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7F" w:rsidRDefault="007A22B2" w:rsidP="00466EA6">
      <w:pPr>
        <w:spacing w:line="240" w:lineRule="auto"/>
        <w:jc w:val="center"/>
        <w:rPr>
          <w:rFonts w:ascii="Arial" w:hAnsi="Arial" w:cs="Arial"/>
          <w:b/>
          <w:szCs w:val="24"/>
          <w:u w:val="single"/>
        </w:rPr>
      </w:pPr>
      <w:bookmarkStart w:id="0" w:name="_GoBack"/>
      <w:bookmarkEnd w:id="0"/>
      <w:r>
        <w:rPr>
          <w:rFonts w:ascii="Arial" w:hAnsi="Arial" w:cs="Arial"/>
          <w:b/>
          <w:noProof/>
          <w:color w:val="000080"/>
          <w:sz w:val="28"/>
          <w:szCs w:val="28"/>
        </w:rPr>
        <w:drawing>
          <wp:inline distT="0" distB="0" distL="0" distR="0" wp14:anchorId="787CF652" wp14:editId="6D0292DC">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466EA6" w:rsidRPr="00625B9D" w:rsidRDefault="00466EA6" w:rsidP="00466EA6">
      <w:pPr>
        <w:spacing w:line="240" w:lineRule="auto"/>
        <w:jc w:val="center"/>
        <w:rPr>
          <w:rFonts w:ascii="Arial" w:hAnsi="Arial" w:cs="Arial"/>
          <w:b/>
          <w:szCs w:val="24"/>
          <w:u w:val="single"/>
        </w:rPr>
      </w:pPr>
    </w:p>
    <w:p w:rsidR="00663D7F" w:rsidRPr="00D560BC" w:rsidRDefault="00931CE8" w:rsidP="00466EA6">
      <w:pPr>
        <w:spacing w:after="0" w:line="240" w:lineRule="auto"/>
        <w:jc w:val="center"/>
        <w:rPr>
          <w:rFonts w:ascii="Arial" w:hAnsi="Arial" w:cs="Arial"/>
          <w:b/>
          <w:color w:val="000080"/>
          <w:sz w:val="40"/>
          <w:szCs w:val="40"/>
        </w:rPr>
      </w:pPr>
      <w:r w:rsidRPr="00D560BC">
        <w:rPr>
          <w:rFonts w:ascii="Arial" w:hAnsi="Arial" w:cs="Arial"/>
          <w:b/>
          <w:color w:val="000080"/>
          <w:sz w:val="40"/>
          <w:szCs w:val="40"/>
        </w:rPr>
        <w:t>Public Summary Document</w:t>
      </w:r>
      <w:r w:rsidR="00663D7F" w:rsidRPr="00D560BC">
        <w:rPr>
          <w:rFonts w:ascii="Arial" w:hAnsi="Arial" w:cs="Arial"/>
          <w:b/>
          <w:color w:val="000080"/>
          <w:sz w:val="40"/>
          <w:szCs w:val="40"/>
        </w:rPr>
        <w:t xml:space="preserve"> </w:t>
      </w:r>
    </w:p>
    <w:p w:rsidR="00466EA6" w:rsidRPr="00170FCF" w:rsidRDefault="00466EA6" w:rsidP="00466EA6">
      <w:pPr>
        <w:spacing w:after="0" w:line="240" w:lineRule="auto"/>
        <w:jc w:val="center"/>
        <w:rPr>
          <w:rFonts w:ascii="Arial" w:hAnsi="Arial" w:cs="Arial"/>
          <w:b/>
          <w:color w:val="000080"/>
          <w:sz w:val="36"/>
          <w:szCs w:val="36"/>
        </w:rPr>
      </w:pPr>
    </w:p>
    <w:p w:rsidR="00663D7F" w:rsidRDefault="00663D7F" w:rsidP="00466EA6">
      <w:pPr>
        <w:tabs>
          <w:tab w:val="left" w:pos="4320"/>
        </w:tabs>
        <w:spacing w:after="0" w:line="240" w:lineRule="auto"/>
        <w:jc w:val="center"/>
        <w:rPr>
          <w:rFonts w:ascii="Arial" w:hAnsi="Arial" w:cs="Arial"/>
          <w:b/>
          <w:i/>
          <w:color w:val="000080"/>
          <w:sz w:val="28"/>
          <w:szCs w:val="28"/>
        </w:rPr>
      </w:pPr>
      <w:r w:rsidRPr="00625B9D">
        <w:rPr>
          <w:rFonts w:ascii="Arial" w:hAnsi="Arial" w:cs="Arial"/>
          <w:b/>
          <w:i/>
          <w:color w:val="000080"/>
          <w:sz w:val="28"/>
          <w:szCs w:val="28"/>
        </w:rPr>
        <w:t xml:space="preserve">Application </w:t>
      </w:r>
      <w:r w:rsidR="00A8649A">
        <w:rPr>
          <w:rFonts w:ascii="Arial" w:hAnsi="Arial" w:cs="Arial"/>
          <w:b/>
          <w:i/>
          <w:color w:val="000080"/>
          <w:sz w:val="28"/>
          <w:szCs w:val="28"/>
        </w:rPr>
        <w:t>1272</w:t>
      </w:r>
      <w:r w:rsidR="00F21251">
        <w:rPr>
          <w:rFonts w:ascii="Arial" w:hAnsi="Arial" w:cs="Arial"/>
          <w:b/>
          <w:i/>
          <w:color w:val="000080"/>
          <w:sz w:val="28"/>
          <w:szCs w:val="28"/>
        </w:rPr>
        <w:t xml:space="preserve"> </w:t>
      </w:r>
      <w:r w:rsidRPr="00625B9D">
        <w:rPr>
          <w:rFonts w:ascii="Arial" w:hAnsi="Arial" w:cs="Arial"/>
          <w:b/>
          <w:i/>
          <w:color w:val="000080"/>
          <w:sz w:val="28"/>
          <w:szCs w:val="28"/>
        </w:rPr>
        <w:t xml:space="preserve">– </w:t>
      </w:r>
      <w:r w:rsidR="00CB26C3" w:rsidRPr="00CB26C3">
        <w:rPr>
          <w:rFonts w:ascii="Arial" w:hAnsi="Arial" w:cs="Arial"/>
          <w:b/>
          <w:i/>
          <w:color w:val="000080"/>
          <w:sz w:val="28"/>
          <w:szCs w:val="28"/>
        </w:rPr>
        <w:t>Intravesical Injection of Botulinum Toxin</w:t>
      </w:r>
      <w:r w:rsidR="006712AA">
        <w:rPr>
          <w:rFonts w:ascii="Arial" w:hAnsi="Arial" w:cs="Arial"/>
          <w:b/>
          <w:i/>
          <w:color w:val="000080"/>
          <w:sz w:val="28"/>
          <w:szCs w:val="28"/>
        </w:rPr>
        <w:t xml:space="preserve"> </w:t>
      </w:r>
      <w:r w:rsidR="00AE6D90">
        <w:rPr>
          <w:rFonts w:ascii="Arial" w:hAnsi="Arial" w:cs="Arial"/>
          <w:b/>
          <w:i/>
          <w:color w:val="000080"/>
          <w:sz w:val="28"/>
          <w:szCs w:val="28"/>
        </w:rPr>
        <w:t xml:space="preserve">Type A </w:t>
      </w:r>
      <w:r w:rsidR="00CB26C3" w:rsidRPr="00CB26C3">
        <w:rPr>
          <w:rFonts w:ascii="Arial" w:hAnsi="Arial" w:cs="Arial"/>
          <w:b/>
          <w:i/>
          <w:color w:val="000080"/>
          <w:sz w:val="28"/>
          <w:szCs w:val="28"/>
        </w:rPr>
        <w:t>(</w:t>
      </w:r>
      <w:r w:rsidR="00DA3003">
        <w:rPr>
          <w:rFonts w:ascii="Arial" w:hAnsi="Arial" w:cs="Arial"/>
          <w:b/>
          <w:i/>
          <w:color w:val="000080"/>
          <w:sz w:val="28"/>
          <w:szCs w:val="28"/>
        </w:rPr>
        <w:t>BOTOX</w:t>
      </w:r>
      <w:r w:rsidR="008B3A28" w:rsidRPr="008B3A28">
        <w:rPr>
          <w:rFonts w:ascii="Arial" w:hAnsi="Arial" w:cs="Arial"/>
          <w:b/>
          <w:i/>
          <w:color w:val="000080"/>
          <w:sz w:val="28"/>
          <w:szCs w:val="28"/>
          <w:vertAlign w:val="superscript"/>
        </w:rPr>
        <w:t>®</w:t>
      </w:r>
      <w:r w:rsidR="00CB26C3" w:rsidRPr="00CB26C3">
        <w:rPr>
          <w:rFonts w:ascii="Arial" w:hAnsi="Arial" w:cs="Arial"/>
          <w:b/>
          <w:i/>
          <w:color w:val="000080"/>
          <w:sz w:val="28"/>
          <w:szCs w:val="28"/>
        </w:rPr>
        <w:t>) into the Bladder Wall for Urinary Incontinence due to Idiopathic Overactive Bladder</w:t>
      </w:r>
    </w:p>
    <w:p w:rsidR="00466EA6" w:rsidRPr="008C04A5" w:rsidRDefault="00466EA6" w:rsidP="00466EA6">
      <w:pPr>
        <w:tabs>
          <w:tab w:val="left" w:pos="4320"/>
        </w:tabs>
        <w:spacing w:after="0" w:line="240" w:lineRule="auto"/>
        <w:jc w:val="center"/>
        <w:rPr>
          <w:rFonts w:ascii="Arial" w:hAnsi="Arial" w:cs="Arial"/>
          <w:b/>
          <w:i/>
          <w:color w:val="000080"/>
          <w:sz w:val="28"/>
          <w:szCs w:val="28"/>
        </w:rPr>
      </w:pPr>
    </w:p>
    <w:p w:rsidR="00F21251" w:rsidRPr="00466EA6" w:rsidRDefault="00663D7F" w:rsidP="00466EA6">
      <w:pPr>
        <w:tabs>
          <w:tab w:val="left" w:pos="2265"/>
          <w:tab w:val="left" w:pos="3402"/>
          <w:tab w:val="left" w:pos="4320"/>
        </w:tabs>
        <w:spacing w:after="0" w:line="240" w:lineRule="auto"/>
        <w:rPr>
          <w:rFonts w:ascii="Arial" w:hAnsi="Arial" w:cs="Arial"/>
          <w:b/>
          <w:szCs w:val="24"/>
          <w:lang w:val="en-US"/>
        </w:rPr>
      </w:pPr>
      <w:r w:rsidRPr="00466EA6">
        <w:rPr>
          <w:rFonts w:ascii="Arial" w:hAnsi="Arial" w:cs="Arial"/>
          <w:b/>
          <w:szCs w:val="24"/>
        </w:rPr>
        <w:t>Sponsor/Applicant/s:</w:t>
      </w:r>
      <w:r w:rsidRPr="00466EA6">
        <w:rPr>
          <w:rFonts w:ascii="Arial" w:hAnsi="Arial" w:cs="Arial"/>
          <w:b/>
          <w:szCs w:val="24"/>
        </w:rPr>
        <w:tab/>
      </w:r>
      <w:r w:rsidR="006712AA">
        <w:rPr>
          <w:rFonts w:ascii="Arial" w:hAnsi="Arial" w:cs="Arial"/>
          <w:b/>
          <w:szCs w:val="24"/>
          <w:lang w:val="en-US"/>
        </w:rPr>
        <w:t xml:space="preserve">Allergan </w:t>
      </w:r>
      <w:r w:rsidR="00080121">
        <w:rPr>
          <w:rFonts w:ascii="Arial" w:hAnsi="Arial" w:cs="Arial"/>
          <w:b/>
          <w:szCs w:val="24"/>
          <w:lang w:val="en-US"/>
        </w:rPr>
        <w:t>Australia Pty Ltd</w:t>
      </w:r>
    </w:p>
    <w:p w:rsidR="00466EA6" w:rsidRPr="00466EA6" w:rsidRDefault="002C203B" w:rsidP="002C203B">
      <w:pPr>
        <w:tabs>
          <w:tab w:val="left" w:pos="7755"/>
        </w:tabs>
        <w:spacing w:after="0" w:line="240" w:lineRule="auto"/>
        <w:rPr>
          <w:rFonts w:ascii="Arial" w:hAnsi="Arial" w:cs="Arial"/>
          <w:b/>
          <w:szCs w:val="24"/>
          <w:lang w:val="en-US"/>
        </w:rPr>
      </w:pPr>
      <w:r>
        <w:rPr>
          <w:rFonts w:ascii="Arial" w:hAnsi="Arial" w:cs="Arial"/>
          <w:b/>
          <w:szCs w:val="24"/>
          <w:lang w:val="en-US"/>
        </w:rPr>
        <w:tab/>
      </w:r>
    </w:p>
    <w:p w:rsidR="00663D7F" w:rsidRPr="00466EA6" w:rsidRDefault="004F3235" w:rsidP="00466EA6">
      <w:pPr>
        <w:tabs>
          <w:tab w:val="left" w:pos="2265"/>
          <w:tab w:val="left" w:pos="3420"/>
          <w:tab w:val="left" w:pos="4320"/>
        </w:tabs>
        <w:spacing w:after="0" w:line="240" w:lineRule="auto"/>
        <w:rPr>
          <w:rFonts w:ascii="Arial" w:hAnsi="Arial" w:cs="Arial"/>
          <w:b/>
          <w:szCs w:val="24"/>
        </w:rPr>
      </w:pPr>
      <w:r w:rsidRPr="00466EA6">
        <w:rPr>
          <w:rFonts w:ascii="Arial" w:hAnsi="Arial" w:cs="Arial"/>
          <w:b/>
          <w:szCs w:val="24"/>
        </w:rPr>
        <w:t xml:space="preserve">Date of </w:t>
      </w:r>
      <w:r w:rsidR="00A8649A">
        <w:rPr>
          <w:rFonts w:ascii="Arial" w:hAnsi="Arial" w:cs="Arial"/>
          <w:b/>
          <w:szCs w:val="24"/>
        </w:rPr>
        <w:t>MSAC meeting</w:t>
      </w:r>
      <w:r w:rsidR="00535175" w:rsidRPr="00466EA6">
        <w:rPr>
          <w:rFonts w:ascii="Arial" w:hAnsi="Arial" w:cs="Arial"/>
          <w:b/>
          <w:szCs w:val="24"/>
        </w:rPr>
        <w:t>:</w:t>
      </w:r>
      <w:r w:rsidRPr="00466EA6">
        <w:rPr>
          <w:rFonts w:ascii="Arial" w:hAnsi="Arial" w:cs="Arial"/>
          <w:b/>
          <w:szCs w:val="24"/>
        </w:rPr>
        <w:tab/>
      </w:r>
      <w:r w:rsidR="00A8649A">
        <w:rPr>
          <w:rFonts w:ascii="Arial" w:hAnsi="Arial" w:cs="Arial"/>
          <w:b/>
          <w:szCs w:val="24"/>
        </w:rPr>
        <w:t>28 November 2013</w:t>
      </w:r>
    </w:p>
    <w:p w:rsidR="008C04A5" w:rsidRPr="00931CE8" w:rsidRDefault="008C04A5" w:rsidP="008C04A5">
      <w:pPr>
        <w:tabs>
          <w:tab w:val="left" w:pos="2265"/>
          <w:tab w:val="left" w:pos="3420"/>
          <w:tab w:val="left" w:pos="4320"/>
        </w:tabs>
        <w:spacing w:line="240" w:lineRule="auto"/>
        <w:rPr>
          <w:b/>
          <w:szCs w:val="24"/>
        </w:rPr>
      </w:pPr>
    </w:p>
    <w:p w:rsidR="00663D7F" w:rsidRPr="00F64B04" w:rsidRDefault="0090515A" w:rsidP="00F64B04">
      <w:pPr>
        <w:pStyle w:val="Heading1"/>
        <w:spacing w:before="0" w:line="240" w:lineRule="auto"/>
        <w:rPr>
          <w:rFonts w:cs="Arial"/>
          <w:szCs w:val="24"/>
        </w:rPr>
      </w:pPr>
      <w:r w:rsidRPr="00F64B04">
        <w:rPr>
          <w:rFonts w:cs="Arial"/>
          <w:szCs w:val="24"/>
        </w:rPr>
        <w:t>1.</w:t>
      </w:r>
      <w:r w:rsidRPr="00F64B04">
        <w:rPr>
          <w:rFonts w:cs="Arial"/>
          <w:szCs w:val="24"/>
        </w:rPr>
        <w:tab/>
      </w:r>
      <w:r w:rsidR="00663D7F" w:rsidRPr="00F64B04">
        <w:rPr>
          <w:rFonts w:cs="Arial"/>
          <w:szCs w:val="24"/>
        </w:rPr>
        <w:t>Purpose of application</w:t>
      </w:r>
    </w:p>
    <w:p w:rsidR="00E63754" w:rsidRDefault="00080121" w:rsidP="003E35D3">
      <w:pPr>
        <w:pStyle w:val="Style10"/>
        <w:rPr>
          <w:lang w:eastAsia="zh-CN"/>
        </w:rPr>
      </w:pPr>
      <w:r w:rsidRPr="00010357">
        <w:rPr>
          <w:rFonts w:cstheme="minorHAnsi"/>
        </w:rPr>
        <w:t xml:space="preserve">On 5 April 2013, </w:t>
      </w:r>
      <w:r w:rsidR="003C7903" w:rsidRPr="00010357">
        <w:rPr>
          <w:rFonts w:cstheme="minorHAnsi"/>
        </w:rPr>
        <w:t>a minor submission</w:t>
      </w:r>
      <w:r w:rsidR="00B62BD6" w:rsidRPr="00010357">
        <w:rPr>
          <w:rFonts w:cstheme="minorHAnsi"/>
        </w:rPr>
        <w:t xml:space="preserve"> </w:t>
      </w:r>
      <w:r w:rsidR="00CB26C3">
        <w:rPr>
          <w:lang w:eastAsia="zh-CN"/>
        </w:rPr>
        <w:t>requesting Medicare Benefits Schedule</w:t>
      </w:r>
      <w:r w:rsidR="003C7903" w:rsidRPr="00010357">
        <w:rPr>
          <w:lang w:eastAsia="zh-CN"/>
        </w:rPr>
        <w:t xml:space="preserve"> </w:t>
      </w:r>
      <w:r w:rsidR="00CB26C3">
        <w:rPr>
          <w:lang w:eastAsia="zh-CN"/>
        </w:rPr>
        <w:t>(</w:t>
      </w:r>
      <w:r w:rsidR="003C7903" w:rsidRPr="00010357">
        <w:rPr>
          <w:lang w:eastAsia="zh-CN"/>
        </w:rPr>
        <w:t>MBS</w:t>
      </w:r>
      <w:r w:rsidR="00CB26C3">
        <w:rPr>
          <w:lang w:eastAsia="zh-CN"/>
        </w:rPr>
        <w:t>)</w:t>
      </w:r>
      <w:r w:rsidR="003C7903" w:rsidRPr="00010357">
        <w:rPr>
          <w:lang w:eastAsia="zh-CN"/>
        </w:rPr>
        <w:t xml:space="preserve"> listing of the procedure to inject </w:t>
      </w:r>
      <w:r w:rsidR="00F767AC">
        <w:rPr>
          <w:lang w:eastAsia="zh-CN"/>
        </w:rPr>
        <w:t>botulinum toxin t</w:t>
      </w:r>
      <w:r w:rsidR="007F63DA" w:rsidRPr="00010357">
        <w:rPr>
          <w:lang w:eastAsia="zh-CN"/>
        </w:rPr>
        <w:t>ype A</w:t>
      </w:r>
      <w:r w:rsidR="00EA0B6C">
        <w:rPr>
          <w:lang w:eastAsia="zh-CN"/>
        </w:rPr>
        <w:t xml:space="preserve"> </w:t>
      </w:r>
      <w:r w:rsidR="007F63DA" w:rsidRPr="00010357">
        <w:rPr>
          <w:lang w:eastAsia="zh-CN"/>
        </w:rPr>
        <w:t>(</w:t>
      </w:r>
      <w:r w:rsidR="003C7903" w:rsidRPr="00010357">
        <w:rPr>
          <w:lang w:eastAsia="zh-CN"/>
        </w:rPr>
        <w:t>BOTOX</w:t>
      </w:r>
      <w:r w:rsidR="003C7903" w:rsidRPr="00CB26C3">
        <w:rPr>
          <w:vertAlign w:val="superscript"/>
          <w:lang w:eastAsia="zh-CN"/>
        </w:rPr>
        <w:t>®</w:t>
      </w:r>
      <w:r w:rsidR="007F63DA" w:rsidRPr="00010357">
        <w:rPr>
          <w:lang w:eastAsia="zh-CN"/>
        </w:rPr>
        <w:t>)</w:t>
      </w:r>
      <w:r w:rsidR="003C7903" w:rsidRPr="00010357">
        <w:rPr>
          <w:lang w:eastAsia="zh-CN"/>
        </w:rPr>
        <w:t xml:space="preserve"> </w:t>
      </w:r>
      <w:r w:rsidR="007F63DA" w:rsidRPr="00010357">
        <w:rPr>
          <w:rFonts w:cstheme="minorHAnsi"/>
        </w:rPr>
        <w:t>for the treatment of urinary incontinence due to idiopathic overactive bladder (IOAB)</w:t>
      </w:r>
      <w:r w:rsidR="00CB26C3">
        <w:rPr>
          <w:rFonts w:cstheme="minorHAnsi"/>
        </w:rPr>
        <w:t xml:space="preserve"> was received from Allergan Australia Pty Ltd. This MSAC application was co-depen</w:t>
      </w:r>
      <w:r w:rsidR="008F6F05">
        <w:rPr>
          <w:rFonts w:cstheme="minorHAnsi"/>
        </w:rPr>
        <w:t>dent on an application to the Pharmaceutical Benefits Advisory Committee (</w:t>
      </w:r>
      <w:r w:rsidR="003C7903" w:rsidRPr="00010357">
        <w:rPr>
          <w:lang w:eastAsia="zh-CN"/>
        </w:rPr>
        <w:t>PBAC</w:t>
      </w:r>
      <w:r w:rsidR="008F6F05">
        <w:rPr>
          <w:lang w:eastAsia="zh-CN"/>
        </w:rPr>
        <w:t xml:space="preserve">) for Pharmaceutical Benefits Scheme (PBS) listing of the </w:t>
      </w:r>
      <w:r w:rsidR="00D54718">
        <w:rPr>
          <w:lang w:eastAsia="zh-CN"/>
        </w:rPr>
        <w:t xml:space="preserve">medicine </w:t>
      </w:r>
      <w:r w:rsidR="008F6F05">
        <w:rPr>
          <w:lang w:eastAsia="zh-CN"/>
        </w:rPr>
        <w:t>component of the service</w:t>
      </w:r>
      <w:r w:rsidR="003C7903" w:rsidRPr="00010357">
        <w:rPr>
          <w:lang w:eastAsia="zh-CN"/>
        </w:rPr>
        <w:t>.</w:t>
      </w:r>
    </w:p>
    <w:p w:rsidR="00B564A6" w:rsidRDefault="00E63754" w:rsidP="003E35D3">
      <w:pPr>
        <w:pStyle w:val="Style10"/>
        <w:rPr>
          <w:lang w:eastAsia="zh-CN"/>
        </w:rPr>
      </w:pPr>
      <w:r>
        <w:rPr>
          <w:lang w:eastAsia="zh-CN"/>
        </w:rPr>
        <w:t xml:space="preserve"> </w:t>
      </w:r>
    </w:p>
    <w:p w:rsidR="00B564A6" w:rsidRDefault="00B564A6" w:rsidP="00B564A6">
      <w:pPr>
        <w:pStyle w:val="Style10"/>
      </w:pPr>
      <w:r>
        <w:t xml:space="preserve">The proposed procedure involves twenty 100 U injections of botulinum toxin into the muscle of the bladder wall at 1 cm intervals using a rigid or flexible cystoscope. Clinical improvement </w:t>
      </w:r>
      <w:r w:rsidR="00D54718">
        <w:t xml:space="preserve">occurs </w:t>
      </w:r>
      <w:r>
        <w:t xml:space="preserve">within 2 weeks and the median time to retreatment </w:t>
      </w:r>
      <w:r w:rsidR="00D54718">
        <w:t xml:space="preserve">(in clinical trials) was </w:t>
      </w:r>
      <w:r>
        <w:t xml:space="preserve">approximately 6 months. </w:t>
      </w:r>
      <w:r w:rsidR="00B925B5">
        <w:t>Delivery of the service</w:t>
      </w:r>
      <w:r>
        <w:t xml:space="preserve"> is proposed to be restricted to approved urologists and urogynaecologists. Generally</w:t>
      </w:r>
      <w:r w:rsidR="00B925B5">
        <w:t>,</w:t>
      </w:r>
      <w:r>
        <w:t xml:space="preserve"> the procedure is performed in hospital on day-admitted patients.</w:t>
      </w:r>
    </w:p>
    <w:p w:rsidR="003E35D3" w:rsidRPr="00010357" w:rsidRDefault="003E35D3" w:rsidP="003E35D3">
      <w:pPr>
        <w:pStyle w:val="Style10"/>
        <w:ind w:left="720"/>
        <w:rPr>
          <w:lang w:eastAsia="zh-CN"/>
        </w:rPr>
      </w:pPr>
    </w:p>
    <w:p w:rsidR="00F64B04" w:rsidRPr="00F75515" w:rsidRDefault="00663D7F" w:rsidP="00F75515">
      <w:pPr>
        <w:pStyle w:val="Heading1"/>
        <w:spacing w:before="0" w:line="240" w:lineRule="auto"/>
        <w:rPr>
          <w:rFonts w:cs="Arial"/>
          <w:szCs w:val="24"/>
        </w:rPr>
      </w:pPr>
      <w:r w:rsidRPr="00F64B04">
        <w:rPr>
          <w:rFonts w:cs="Arial"/>
          <w:szCs w:val="24"/>
        </w:rPr>
        <w:t>2.</w:t>
      </w:r>
      <w:r w:rsidRPr="00F64B04">
        <w:rPr>
          <w:rFonts w:cs="Arial"/>
          <w:szCs w:val="24"/>
        </w:rPr>
        <w:tab/>
        <w:t>Background</w:t>
      </w:r>
    </w:p>
    <w:p w:rsidR="00E63754" w:rsidRDefault="002F73A5" w:rsidP="003E35D3">
      <w:pPr>
        <w:pStyle w:val="Style10"/>
        <w:rPr>
          <w:lang w:eastAsia="zh-CN"/>
        </w:rPr>
      </w:pPr>
      <w:r>
        <w:rPr>
          <w:lang w:eastAsia="zh-CN"/>
        </w:rPr>
        <w:t xml:space="preserve">At the April 2013 meeting, </w:t>
      </w:r>
      <w:r w:rsidR="00F75515" w:rsidRPr="00F75515">
        <w:rPr>
          <w:lang w:eastAsia="zh-CN"/>
        </w:rPr>
        <w:t xml:space="preserve">MSAC </w:t>
      </w:r>
      <w:r>
        <w:rPr>
          <w:lang w:eastAsia="zh-CN"/>
        </w:rPr>
        <w:t>supported MBS listing for</w:t>
      </w:r>
      <w:r w:rsidR="00F75515" w:rsidRPr="00F75515">
        <w:rPr>
          <w:lang w:eastAsia="zh-CN"/>
        </w:rPr>
        <w:t xml:space="preserve"> </w:t>
      </w:r>
      <w:r w:rsidR="00B925B5">
        <w:rPr>
          <w:lang w:eastAsia="zh-CN"/>
        </w:rPr>
        <w:t xml:space="preserve">a similar </w:t>
      </w:r>
      <w:r w:rsidR="00F75515" w:rsidRPr="00F75515">
        <w:rPr>
          <w:rStyle w:val="jonChar"/>
          <w:rFonts w:ascii="Times New Roman" w:eastAsia="Calibri" w:hAnsi="Times New Roman" w:cs="Times New Roman"/>
          <w:sz w:val="24"/>
          <w:szCs w:val="24"/>
        </w:rPr>
        <w:t>proce</w:t>
      </w:r>
      <w:r w:rsidR="00EA0B6C">
        <w:rPr>
          <w:rStyle w:val="jonChar"/>
          <w:rFonts w:ascii="Times New Roman" w:eastAsia="Calibri" w:hAnsi="Times New Roman" w:cs="Times New Roman"/>
          <w:sz w:val="24"/>
          <w:szCs w:val="24"/>
        </w:rPr>
        <w:t>dure to inject botulinum toxin t</w:t>
      </w:r>
      <w:r w:rsidR="00F75515" w:rsidRPr="00F75515">
        <w:rPr>
          <w:rStyle w:val="jonChar"/>
          <w:rFonts w:ascii="Times New Roman" w:eastAsia="Calibri" w:hAnsi="Times New Roman" w:cs="Times New Roman"/>
          <w:sz w:val="24"/>
          <w:szCs w:val="24"/>
        </w:rPr>
        <w:t>ype A (BOTOX</w:t>
      </w:r>
      <w:r w:rsidR="00F75515" w:rsidRPr="002F73A5">
        <w:rPr>
          <w:rStyle w:val="jonChar"/>
          <w:rFonts w:ascii="Times New Roman" w:eastAsia="Calibri" w:hAnsi="Times New Roman" w:cs="Times New Roman"/>
          <w:sz w:val="24"/>
          <w:szCs w:val="24"/>
          <w:vertAlign w:val="superscript"/>
        </w:rPr>
        <w:t>®</w:t>
      </w:r>
      <w:r w:rsidR="00F75515" w:rsidRPr="00F75515">
        <w:rPr>
          <w:rStyle w:val="jonChar"/>
          <w:rFonts w:ascii="Times New Roman" w:eastAsia="Calibri" w:hAnsi="Times New Roman" w:cs="Times New Roman"/>
          <w:sz w:val="24"/>
          <w:szCs w:val="24"/>
        </w:rPr>
        <w:t xml:space="preserve">) </w:t>
      </w:r>
      <w:r w:rsidR="00B925B5">
        <w:rPr>
          <w:rStyle w:val="jonChar"/>
          <w:rFonts w:ascii="Times New Roman" w:eastAsia="Calibri" w:hAnsi="Times New Roman" w:cs="Times New Roman"/>
          <w:sz w:val="24"/>
          <w:szCs w:val="24"/>
        </w:rPr>
        <w:t xml:space="preserve">for </w:t>
      </w:r>
      <w:r w:rsidR="00F75515" w:rsidRPr="00F75515">
        <w:rPr>
          <w:rStyle w:val="jonChar"/>
          <w:rFonts w:ascii="Times New Roman" w:eastAsia="Calibri" w:hAnsi="Times New Roman" w:cs="Times New Roman"/>
          <w:sz w:val="24"/>
          <w:szCs w:val="24"/>
        </w:rPr>
        <w:t>urinary incontinence due to neurogenic detrusor overactivity</w:t>
      </w:r>
      <w:r w:rsidR="00F75515" w:rsidRPr="00F75515">
        <w:rPr>
          <w:lang w:eastAsia="zh-CN"/>
        </w:rPr>
        <w:t xml:space="preserve"> (NDO)</w:t>
      </w:r>
      <w:r>
        <w:rPr>
          <w:lang w:eastAsia="zh-CN"/>
        </w:rPr>
        <w:t xml:space="preserve"> - Application </w:t>
      </w:r>
      <w:r w:rsidRPr="00F75515">
        <w:rPr>
          <w:lang w:eastAsia="zh-CN"/>
        </w:rPr>
        <w:t>1221</w:t>
      </w:r>
      <w:r w:rsidR="00F75515" w:rsidRPr="00F75515">
        <w:rPr>
          <w:lang w:eastAsia="zh-CN"/>
        </w:rPr>
        <w:t>.</w:t>
      </w:r>
    </w:p>
    <w:p w:rsidR="00AF6FFA" w:rsidRDefault="00E63754" w:rsidP="003E35D3">
      <w:pPr>
        <w:pStyle w:val="Style10"/>
        <w:rPr>
          <w:lang w:eastAsia="zh-CN"/>
        </w:rPr>
      </w:pPr>
      <w:r>
        <w:rPr>
          <w:lang w:eastAsia="zh-CN"/>
        </w:rPr>
        <w:t xml:space="preserve"> </w:t>
      </w:r>
    </w:p>
    <w:p w:rsidR="00663D7F" w:rsidRPr="00F64B04" w:rsidRDefault="00F64B04" w:rsidP="001466DD">
      <w:pPr>
        <w:pStyle w:val="Heading1"/>
        <w:spacing w:before="0" w:line="240" w:lineRule="auto"/>
        <w:rPr>
          <w:rFonts w:cs="Arial"/>
          <w:szCs w:val="24"/>
        </w:rPr>
      </w:pPr>
      <w:r>
        <w:rPr>
          <w:rFonts w:cs="Arial"/>
          <w:szCs w:val="24"/>
        </w:rPr>
        <w:t>3.</w:t>
      </w:r>
      <w:r>
        <w:rPr>
          <w:rFonts w:cs="Arial"/>
          <w:szCs w:val="24"/>
        </w:rPr>
        <w:tab/>
      </w:r>
      <w:r w:rsidR="00663D7F" w:rsidRPr="00F64B04">
        <w:rPr>
          <w:rFonts w:cs="Arial"/>
          <w:szCs w:val="24"/>
        </w:rPr>
        <w:t>Prerequisites to implementation of any funding advice</w:t>
      </w:r>
    </w:p>
    <w:p w:rsidR="00E63754" w:rsidRDefault="001A1E22" w:rsidP="003E35D3">
      <w:pPr>
        <w:pStyle w:val="Style10"/>
      </w:pPr>
      <w:r>
        <w:t>BOTOX</w:t>
      </w:r>
      <w:r w:rsidR="00E6357F" w:rsidRPr="00573294">
        <w:rPr>
          <w:vertAlign w:val="superscript"/>
        </w:rPr>
        <w:t>®</w:t>
      </w:r>
      <w:r w:rsidR="00E6357F">
        <w:t xml:space="preserve"> is TGA approved for the (broader) indication of overactive bladder (OAB).</w:t>
      </w:r>
    </w:p>
    <w:p w:rsidR="00E63754" w:rsidRDefault="00E63754" w:rsidP="003E35D3">
      <w:pPr>
        <w:pStyle w:val="Style10"/>
      </w:pPr>
    </w:p>
    <w:p w:rsidR="007E1D3C" w:rsidRDefault="007E1D3C" w:rsidP="003E35D3">
      <w:pPr>
        <w:pStyle w:val="Style10"/>
      </w:pPr>
      <w:r w:rsidRPr="00FA1F36">
        <w:t>In addition, BOTOX</w:t>
      </w:r>
      <w:r w:rsidRPr="004C3F1A">
        <w:rPr>
          <w:vertAlign w:val="superscript"/>
        </w:rPr>
        <w:t xml:space="preserve">® </w:t>
      </w:r>
      <w:r w:rsidRPr="00FA1F36">
        <w:t xml:space="preserve">is also </w:t>
      </w:r>
      <w:r w:rsidR="004C3F1A">
        <w:t xml:space="preserve">TGA </w:t>
      </w:r>
      <w:r w:rsidRPr="00FA1F36">
        <w:t xml:space="preserve">approved for the treatment of strabismus, </w:t>
      </w:r>
      <w:proofErr w:type="spellStart"/>
      <w:r w:rsidRPr="00FA1F36">
        <w:t>blepharospasm</w:t>
      </w:r>
      <w:proofErr w:type="spellEnd"/>
      <w:r w:rsidRPr="00FA1F36">
        <w:t xml:space="preserve">, cervical dystonia, focal spasticity, </w:t>
      </w:r>
      <w:proofErr w:type="gramStart"/>
      <w:r w:rsidRPr="00FA1F36">
        <w:t>severe</w:t>
      </w:r>
      <w:proofErr w:type="gramEnd"/>
      <w:r w:rsidRPr="00FA1F36">
        <w:t xml:space="preserve"> primary hyperhidrosis of the axillae, spasmodic dysphonia, and chronic migraine</w:t>
      </w:r>
      <w:r w:rsidR="00C07A39">
        <w:t>.</w:t>
      </w:r>
    </w:p>
    <w:p w:rsidR="00E6357F" w:rsidRPr="0090515A" w:rsidRDefault="00E6357F" w:rsidP="003E35D3">
      <w:pPr>
        <w:pStyle w:val="Style10"/>
      </w:pPr>
    </w:p>
    <w:p w:rsidR="00663D7F" w:rsidRPr="00F64B04" w:rsidRDefault="00F64B04" w:rsidP="001466DD">
      <w:pPr>
        <w:pStyle w:val="Heading1"/>
        <w:spacing w:before="0" w:line="240" w:lineRule="auto"/>
        <w:rPr>
          <w:rFonts w:cs="Arial"/>
          <w:szCs w:val="24"/>
        </w:rPr>
      </w:pPr>
      <w:r>
        <w:rPr>
          <w:rFonts w:cs="Arial"/>
          <w:szCs w:val="24"/>
        </w:rPr>
        <w:t>4.</w:t>
      </w:r>
      <w:r>
        <w:rPr>
          <w:rFonts w:cs="Arial"/>
          <w:szCs w:val="24"/>
        </w:rPr>
        <w:tab/>
      </w:r>
      <w:r w:rsidR="00663D7F" w:rsidRPr="00F64B04">
        <w:rPr>
          <w:rFonts w:cs="Arial"/>
          <w:szCs w:val="24"/>
        </w:rPr>
        <w:t>Proposal for public funding</w:t>
      </w:r>
    </w:p>
    <w:p w:rsidR="00E63754" w:rsidRDefault="00A70E96" w:rsidP="000B6FA7">
      <w:pPr>
        <w:pStyle w:val="Style10"/>
      </w:pPr>
      <w:bookmarkStart w:id="1" w:name="_Ref356476129"/>
      <w:r w:rsidRPr="003E35D3">
        <w:t xml:space="preserve">The </w:t>
      </w:r>
      <w:r w:rsidR="00642BB0">
        <w:t>submission</w:t>
      </w:r>
      <w:r w:rsidRPr="003E35D3">
        <w:t xml:space="preserve"> propose</w:t>
      </w:r>
      <w:r w:rsidR="00642BB0">
        <w:t>d</w:t>
      </w:r>
      <w:r w:rsidRPr="003E35D3">
        <w:t xml:space="preserve"> a fee of $229.85 for the intravesical injection of </w:t>
      </w:r>
      <w:r w:rsidR="00EA0B6C">
        <w:rPr>
          <w:rStyle w:val="jonChar"/>
          <w:rFonts w:ascii="Times New Roman" w:eastAsia="Calibri" w:hAnsi="Times New Roman" w:cs="Times New Roman"/>
          <w:sz w:val="24"/>
          <w:szCs w:val="24"/>
        </w:rPr>
        <w:t>botulinum toxin t</w:t>
      </w:r>
      <w:r w:rsidR="00EA0B6C" w:rsidRPr="00F75515">
        <w:rPr>
          <w:rStyle w:val="jonChar"/>
          <w:rFonts w:ascii="Times New Roman" w:eastAsia="Calibri" w:hAnsi="Times New Roman" w:cs="Times New Roman"/>
          <w:sz w:val="24"/>
          <w:szCs w:val="24"/>
        </w:rPr>
        <w:t xml:space="preserve">ype A </w:t>
      </w:r>
      <w:r w:rsidRPr="003E35D3">
        <w:t xml:space="preserve">for urinary incontinence due to IOAB. This is consistent with the fee proposed in the </w:t>
      </w:r>
      <w:r w:rsidRPr="003E35D3">
        <w:lastRenderedPageBreak/>
        <w:t xml:space="preserve">Final DAP for Application 1272 (February 2013) and the fee for intravesical injection of </w:t>
      </w:r>
      <w:r w:rsidR="00EA0B6C">
        <w:rPr>
          <w:rStyle w:val="jonChar"/>
          <w:rFonts w:ascii="Times New Roman" w:eastAsia="Calibri" w:hAnsi="Times New Roman" w:cs="Times New Roman"/>
          <w:sz w:val="24"/>
          <w:szCs w:val="24"/>
        </w:rPr>
        <w:t>botulinum toxin t</w:t>
      </w:r>
      <w:r w:rsidR="00EA0B6C" w:rsidRPr="00F75515">
        <w:rPr>
          <w:rStyle w:val="jonChar"/>
          <w:rFonts w:ascii="Times New Roman" w:eastAsia="Calibri" w:hAnsi="Times New Roman" w:cs="Times New Roman"/>
          <w:sz w:val="24"/>
          <w:szCs w:val="24"/>
        </w:rPr>
        <w:t xml:space="preserve">ype A </w:t>
      </w:r>
      <w:r w:rsidRPr="000B6FA7">
        <w:t>for urinary incontinence due to neurogenic detrusor overactivity (57th MSAC Meeting minutes, Application 1221).</w:t>
      </w:r>
    </w:p>
    <w:p w:rsidR="00E63754" w:rsidRDefault="00E63754" w:rsidP="000B6FA7">
      <w:pPr>
        <w:pStyle w:val="Style10"/>
      </w:pPr>
    </w:p>
    <w:p w:rsidR="000B6FA7" w:rsidRPr="000B6FA7" w:rsidRDefault="00D23C2D" w:rsidP="000B6FA7">
      <w:pPr>
        <w:pStyle w:val="Style10"/>
      </w:pPr>
      <w:r>
        <w:t>The following MBS item wa</w:t>
      </w:r>
      <w:r w:rsidR="000B6FA7" w:rsidRPr="000B6FA7">
        <w:t xml:space="preserve">s </w:t>
      </w:r>
      <w:r>
        <w:t>proposed</w:t>
      </w:r>
      <w:r w:rsidR="000B6FA7" w:rsidRPr="000B6FA7">
        <w:t xml:space="preserve">: </w:t>
      </w:r>
    </w:p>
    <w:p w:rsidR="003E35D3" w:rsidRPr="000B6FA7" w:rsidRDefault="003E35D3" w:rsidP="000B6FA7">
      <w:pPr>
        <w:pStyle w:val="Style10"/>
      </w:pPr>
    </w:p>
    <w:bookmarkEnd w:id="1"/>
    <w:p w:rsidR="005949D2" w:rsidRDefault="00EA0B6C" w:rsidP="005949D2">
      <w:pPr>
        <w:pStyle w:val="Caption"/>
        <w:spacing w:after="0"/>
        <w:rPr>
          <w:rFonts w:ascii="Calibri" w:hAnsi="Calibri"/>
          <w:sz w:val="22"/>
          <w:szCs w:val="22"/>
        </w:rPr>
      </w:pPr>
      <w:r>
        <w:rPr>
          <w:rFonts w:ascii="Calibri" w:hAnsi="Calibri"/>
          <w:sz w:val="22"/>
          <w:szCs w:val="22"/>
        </w:rPr>
        <w:t>Applicant</w:t>
      </w:r>
      <w:r w:rsidR="00760975">
        <w:rPr>
          <w:rFonts w:ascii="Calibri" w:hAnsi="Calibri"/>
          <w:sz w:val="22"/>
          <w:szCs w:val="22"/>
        </w:rPr>
        <w:t xml:space="preserve"> p</w:t>
      </w:r>
      <w:r w:rsidR="005949D2" w:rsidRPr="00E70A36">
        <w:rPr>
          <w:rFonts w:ascii="Calibri" w:hAnsi="Calibri"/>
          <w:sz w:val="22"/>
          <w:szCs w:val="22"/>
        </w:rPr>
        <w:t>roposed wording and fee for the requested MBS item</w:t>
      </w:r>
    </w:p>
    <w:tbl>
      <w:tblPr>
        <w:tblW w:w="5132" w:type="pct"/>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295"/>
      </w:tblGrid>
      <w:tr w:rsidR="005949D2" w:rsidRPr="008B3A28" w:rsidTr="00D57B62">
        <w:tc>
          <w:tcPr>
            <w:tcW w:w="5000" w:type="pct"/>
            <w:shd w:val="clear" w:color="auto" w:fill="FFFFFF"/>
          </w:tcPr>
          <w:p w:rsidR="005949D2" w:rsidRPr="008B3A28" w:rsidRDefault="005949D2" w:rsidP="00D57B62">
            <w:pPr>
              <w:tabs>
                <w:tab w:val="left" w:pos="720"/>
                <w:tab w:val="left" w:pos="1140"/>
              </w:tabs>
              <w:spacing w:after="0"/>
              <w:rPr>
                <w:rFonts w:ascii="Arial" w:hAnsi="Arial" w:cs="Arial"/>
                <w:b/>
                <w:bCs/>
                <w:sz w:val="20"/>
              </w:rPr>
            </w:pPr>
            <w:r w:rsidRPr="008B3A28">
              <w:rPr>
                <w:rFonts w:ascii="Arial" w:hAnsi="Arial" w:cs="Arial"/>
                <w:b/>
                <w:bCs/>
                <w:sz w:val="20"/>
              </w:rPr>
              <w:t>Group T11 – Botulinum toxin</w:t>
            </w:r>
          </w:p>
          <w:p w:rsidR="005949D2" w:rsidRPr="008B3A28" w:rsidRDefault="005949D2" w:rsidP="00D57B62">
            <w:pPr>
              <w:tabs>
                <w:tab w:val="left" w:pos="720"/>
                <w:tab w:val="left" w:pos="1140"/>
              </w:tabs>
              <w:spacing w:after="0"/>
              <w:rPr>
                <w:rFonts w:ascii="Arial" w:hAnsi="Arial" w:cs="Arial"/>
                <w:b/>
                <w:bCs/>
                <w:sz w:val="20"/>
              </w:rPr>
            </w:pPr>
            <w:r w:rsidRPr="008B3A28">
              <w:rPr>
                <w:rFonts w:ascii="Arial" w:hAnsi="Arial" w:cs="Arial"/>
                <w:b/>
                <w:bCs/>
                <w:sz w:val="20"/>
              </w:rPr>
              <w:t xml:space="preserve">Division 2.42A of the General Medical Services Table  </w:t>
            </w:r>
          </w:p>
        </w:tc>
      </w:tr>
      <w:tr w:rsidR="005949D2" w:rsidRPr="008B3A28" w:rsidTr="00D57B62">
        <w:trPr>
          <w:cantSplit/>
        </w:trPr>
        <w:tc>
          <w:tcPr>
            <w:tcW w:w="5000" w:type="pct"/>
            <w:shd w:val="clear" w:color="auto" w:fill="FFFFFF"/>
            <w:tcMar>
              <w:top w:w="15" w:type="dxa"/>
              <w:left w:w="60" w:type="dxa"/>
              <w:bottom w:w="15" w:type="dxa"/>
              <w:right w:w="60" w:type="dxa"/>
            </w:tcMar>
            <w:vAlign w:val="center"/>
          </w:tcPr>
          <w:p w:rsidR="005949D2" w:rsidRPr="008B3A28" w:rsidRDefault="005949D2" w:rsidP="00D57B62">
            <w:pPr>
              <w:tabs>
                <w:tab w:val="left" w:pos="720"/>
                <w:tab w:val="left" w:pos="1140"/>
              </w:tabs>
              <w:spacing w:before="120" w:after="0"/>
              <w:rPr>
                <w:rFonts w:ascii="Arial" w:hAnsi="Arial" w:cs="Arial"/>
                <w:b/>
                <w:sz w:val="20"/>
              </w:rPr>
            </w:pPr>
            <w:r w:rsidRPr="008B3A28">
              <w:rPr>
                <w:rFonts w:ascii="Arial" w:hAnsi="Arial" w:cs="Arial"/>
                <w:b/>
                <w:sz w:val="20"/>
              </w:rPr>
              <w:t>MBS item no: TBA (within Group T11)</w:t>
            </w:r>
          </w:p>
          <w:p w:rsidR="005949D2" w:rsidRPr="008B3A28" w:rsidRDefault="005949D2" w:rsidP="00CA6102">
            <w:pPr>
              <w:tabs>
                <w:tab w:val="left" w:pos="720"/>
                <w:tab w:val="left" w:pos="1140"/>
              </w:tabs>
              <w:spacing w:before="120" w:after="0" w:line="240" w:lineRule="auto"/>
              <w:rPr>
                <w:rFonts w:ascii="Arial" w:hAnsi="Arial" w:cs="Arial"/>
                <w:sz w:val="20"/>
              </w:rPr>
            </w:pPr>
            <w:r w:rsidRPr="008B3A28">
              <w:rPr>
                <w:rFonts w:ascii="Arial" w:hAnsi="Arial" w:cs="Arial"/>
                <w:sz w:val="20"/>
              </w:rPr>
              <w:t xml:space="preserve">BOTULINUM TOXIN (Botox), intravesical injection of, for the treatment of urinary incontinence due to idiopathic overactive bladder, including cystoscopy and all injections in one day, but not provided on the same occasion as a service described in item 11900, in patients aged 18 years or older who have failed or are intolerant to anti-cholinergic medications, and who are willing and able to self-catheterise. </w:t>
            </w:r>
            <w:r w:rsidRPr="008B3A28">
              <w:rPr>
                <w:rFonts w:ascii="Arial" w:hAnsi="Arial" w:cs="Arial"/>
                <w:strike/>
                <w:sz w:val="20"/>
              </w:rPr>
              <w:t>(</w:t>
            </w:r>
            <w:proofErr w:type="spellStart"/>
            <w:r w:rsidRPr="008B3A28">
              <w:rPr>
                <w:rFonts w:ascii="Arial" w:hAnsi="Arial" w:cs="Arial"/>
                <w:strike/>
                <w:sz w:val="20"/>
              </w:rPr>
              <w:t>Anaes</w:t>
            </w:r>
            <w:proofErr w:type="spellEnd"/>
            <w:r w:rsidRPr="008B3A28">
              <w:rPr>
                <w:rFonts w:ascii="Arial" w:hAnsi="Arial" w:cs="Arial"/>
                <w:strike/>
                <w:sz w:val="20"/>
              </w:rPr>
              <w:t>.)</w:t>
            </w:r>
          </w:p>
          <w:p w:rsidR="005949D2" w:rsidRPr="008B3A28" w:rsidRDefault="005949D2" w:rsidP="00D57B62">
            <w:pPr>
              <w:tabs>
                <w:tab w:val="left" w:pos="720"/>
                <w:tab w:val="left" w:pos="1140"/>
              </w:tabs>
              <w:spacing w:before="120" w:after="0"/>
              <w:rPr>
                <w:rFonts w:ascii="Arial" w:hAnsi="Arial" w:cs="Arial"/>
                <w:sz w:val="20"/>
              </w:rPr>
            </w:pPr>
            <w:r w:rsidRPr="008B3A28">
              <w:rPr>
                <w:rFonts w:ascii="Arial" w:hAnsi="Arial" w:cs="Arial"/>
                <w:sz w:val="20"/>
              </w:rPr>
              <w:t>(See para T11.1 of explanatory notes to this Category)</w:t>
            </w:r>
          </w:p>
          <w:p w:rsidR="005949D2" w:rsidRPr="008B3A28" w:rsidRDefault="005949D2" w:rsidP="00E63754">
            <w:pPr>
              <w:tabs>
                <w:tab w:val="left" w:pos="720"/>
                <w:tab w:val="left" w:pos="1140"/>
              </w:tabs>
              <w:spacing w:before="120" w:after="0"/>
              <w:rPr>
                <w:rFonts w:ascii="Arial" w:hAnsi="Arial" w:cs="Arial"/>
                <w:b/>
                <w:sz w:val="20"/>
              </w:rPr>
            </w:pPr>
            <w:r w:rsidRPr="008B3A28">
              <w:rPr>
                <w:rFonts w:ascii="Arial" w:hAnsi="Arial" w:cs="Arial"/>
                <w:b/>
                <w:sz w:val="20"/>
              </w:rPr>
              <w:t xml:space="preserve">MBS Fee: </w:t>
            </w:r>
            <w:r w:rsidRPr="008B3A28">
              <w:rPr>
                <w:rFonts w:ascii="Arial" w:hAnsi="Arial" w:cs="Arial"/>
                <w:sz w:val="20"/>
              </w:rPr>
              <w:t>$229.85</w:t>
            </w:r>
            <w:r w:rsidR="00E63754">
              <w:rPr>
                <w:rFonts w:ascii="Arial" w:hAnsi="Arial" w:cs="Arial"/>
                <w:sz w:val="20"/>
              </w:rPr>
              <w:tab/>
            </w:r>
            <w:r w:rsidRPr="008B3A28">
              <w:rPr>
                <w:rFonts w:ascii="Arial" w:hAnsi="Arial" w:cs="Arial"/>
                <w:b/>
                <w:sz w:val="20"/>
              </w:rPr>
              <w:t xml:space="preserve">Benefit: </w:t>
            </w:r>
            <w:r w:rsidRPr="008B3A28">
              <w:rPr>
                <w:rFonts w:ascii="Arial" w:hAnsi="Arial" w:cs="Arial"/>
                <w:sz w:val="20"/>
              </w:rPr>
              <w:t>75% = $172.40</w:t>
            </w:r>
          </w:p>
        </w:tc>
      </w:tr>
    </w:tbl>
    <w:p w:rsidR="00623A8C" w:rsidRDefault="00623A8C" w:rsidP="001F656B">
      <w:pPr>
        <w:pStyle w:val="Style10"/>
      </w:pPr>
    </w:p>
    <w:p w:rsidR="000A3118" w:rsidRDefault="00E6357F" w:rsidP="000A3118">
      <w:pPr>
        <w:spacing w:after="0" w:line="240" w:lineRule="auto"/>
      </w:pPr>
      <w:r w:rsidRPr="002F7858">
        <w:t xml:space="preserve">As noted in the final DAP, the MBS item </w:t>
      </w:r>
      <w:r w:rsidR="009B39C2">
        <w:t>would</w:t>
      </w:r>
      <w:r w:rsidRPr="002F7858">
        <w:t xml:space="preserve"> be aligned with the PBAC-recommended PBS listing. </w:t>
      </w:r>
      <w:r w:rsidR="000A3118">
        <w:t xml:space="preserve">MSAC noted that the proposed item descriptor would limit </w:t>
      </w:r>
      <w:r w:rsidR="00AC6E91">
        <w:rPr>
          <w:rStyle w:val="jonChar"/>
          <w:rFonts w:ascii="Times New Roman" w:eastAsia="Calibri" w:hAnsi="Times New Roman" w:cs="Times New Roman"/>
          <w:sz w:val="24"/>
          <w:szCs w:val="24"/>
        </w:rPr>
        <w:t>botulinum toxin t</w:t>
      </w:r>
      <w:r w:rsidR="00AC6E91" w:rsidRPr="00F75515">
        <w:rPr>
          <w:rStyle w:val="jonChar"/>
          <w:rFonts w:ascii="Times New Roman" w:eastAsia="Calibri" w:hAnsi="Times New Roman" w:cs="Times New Roman"/>
          <w:sz w:val="24"/>
          <w:szCs w:val="24"/>
        </w:rPr>
        <w:t xml:space="preserve">ype </w:t>
      </w:r>
      <w:proofErr w:type="gramStart"/>
      <w:r w:rsidR="00AC6E91" w:rsidRPr="00F75515">
        <w:rPr>
          <w:rStyle w:val="jonChar"/>
          <w:rFonts w:ascii="Times New Roman" w:eastAsia="Calibri" w:hAnsi="Times New Roman" w:cs="Times New Roman"/>
          <w:sz w:val="24"/>
          <w:szCs w:val="24"/>
        </w:rPr>
        <w:t>A</w:t>
      </w:r>
      <w:proofErr w:type="gramEnd"/>
      <w:r w:rsidR="00AC6E91" w:rsidRPr="00F75515">
        <w:rPr>
          <w:rStyle w:val="jonChar"/>
          <w:rFonts w:ascii="Times New Roman" w:eastAsia="Calibri" w:hAnsi="Times New Roman" w:cs="Times New Roman"/>
          <w:sz w:val="24"/>
          <w:szCs w:val="24"/>
        </w:rPr>
        <w:t xml:space="preserve"> </w:t>
      </w:r>
      <w:r w:rsidR="000A3118">
        <w:t>injection to patients older than 18 years with</w:t>
      </w:r>
      <w:r w:rsidR="00F24020">
        <w:t xml:space="preserve"> </w:t>
      </w:r>
      <w:r w:rsidR="000A3118">
        <w:t xml:space="preserve">≥14 episodes </w:t>
      </w:r>
      <w:r w:rsidR="00880E4A">
        <w:t>of urinary incontinence due to I</w:t>
      </w:r>
      <w:r w:rsidR="000A3118">
        <w:t>OAB per week who have failed or are intolerant of two or more anticholinergics and who are willing and able to self-catheterise.</w:t>
      </w:r>
    </w:p>
    <w:p w:rsidR="00F24020" w:rsidRDefault="00F24020" w:rsidP="001F656B">
      <w:pPr>
        <w:pStyle w:val="Style10"/>
      </w:pPr>
    </w:p>
    <w:p w:rsidR="00E6357F" w:rsidRPr="001F656B" w:rsidRDefault="00F24020" w:rsidP="001F656B">
      <w:pPr>
        <w:pStyle w:val="Style10"/>
      </w:pPr>
      <w:r w:rsidRPr="002F7858">
        <w:t xml:space="preserve">The proposed PBS restriction is shown </w:t>
      </w:r>
      <w:r>
        <w:t>below</w:t>
      </w:r>
      <w:r w:rsidRPr="002F7858">
        <w:t xml:space="preserve">. </w:t>
      </w:r>
      <w:r w:rsidR="00E6357F" w:rsidRPr="002F7858">
        <w:t xml:space="preserve">Under the proposed PBS restriction, treatment would be </w:t>
      </w:r>
      <w:r w:rsidR="00E6357F" w:rsidRPr="001F656B">
        <w:t xml:space="preserve">discontinued if the patient does not show a response (≥50% reduction in incontinence episodes) after the first treatment. </w:t>
      </w:r>
    </w:p>
    <w:p w:rsidR="000B6FA7" w:rsidRPr="001F656B" w:rsidRDefault="000B6FA7" w:rsidP="001F656B">
      <w:pPr>
        <w:pStyle w:val="Style10"/>
      </w:pPr>
    </w:p>
    <w:p w:rsidR="000B6FA7" w:rsidRPr="001F656B" w:rsidRDefault="000B6FA7" w:rsidP="001F656B">
      <w:pPr>
        <w:pStyle w:val="Style10"/>
      </w:pPr>
      <w:r w:rsidRPr="001F656B">
        <w:t>The Minor Submission propose</w:t>
      </w:r>
      <w:r w:rsidR="009B39C2">
        <w:t>d</w:t>
      </w:r>
      <w:r w:rsidRPr="001F656B">
        <w:t xml:space="preserve"> the following wording of the PBS Section 100 listing for </w:t>
      </w:r>
      <w:r w:rsidR="00AC6E91">
        <w:rPr>
          <w:rStyle w:val="jonChar"/>
          <w:rFonts w:ascii="Times New Roman" w:eastAsia="Calibri" w:hAnsi="Times New Roman" w:cs="Times New Roman"/>
          <w:sz w:val="24"/>
          <w:szCs w:val="24"/>
        </w:rPr>
        <w:t>botulinum toxin t</w:t>
      </w:r>
      <w:r w:rsidR="00AC6E91" w:rsidRPr="00F75515">
        <w:rPr>
          <w:rStyle w:val="jonChar"/>
          <w:rFonts w:ascii="Times New Roman" w:eastAsia="Calibri" w:hAnsi="Times New Roman" w:cs="Times New Roman"/>
          <w:sz w:val="24"/>
          <w:szCs w:val="24"/>
        </w:rPr>
        <w:t xml:space="preserve">ype A </w:t>
      </w:r>
      <w:r w:rsidR="00AC567C">
        <w:t>for</w:t>
      </w:r>
      <w:r w:rsidRPr="001F656B">
        <w:t xml:space="preserve"> IOAB: </w:t>
      </w:r>
    </w:p>
    <w:p w:rsidR="002F7858" w:rsidRPr="001F656B" w:rsidRDefault="002F7858" w:rsidP="001F656B">
      <w:pPr>
        <w:pStyle w:val="Style10"/>
      </w:pPr>
    </w:p>
    <w:p w:rsidR="000B6FA7" w:rsidRPr="00A41E06" w:rsidRDefault="00AC6E91" w:rsidP="000B6FA7">
      <w:pPr>
        <w:pStyle w:val="Caption"/>
        <w:spacing w:after="0"/>
        <w:ind w:left="1440" w:hanging="1440"/>
        <w:rPr>
          <w:rFonts w:ascii="Calibri" w:hAnsi="Calibri"/>
          <w:sz w:val="22"/>
          <w:szCs w:val="22"/>
        </w:rPr>
      </w:pPr>
      <w:r>
        <w:rPr>
          <w:rFonts w:ascii="Calibri" w:hAnsi="Calibri"/>
          <w:sz w:val="22"/>
          <w:szCs w:val="22"/>
        </w:rPr>
        <w:t xml:space="preserve">Applicant </w:t>
      </w:r>
      <w:r w:rsidR="000B6FA7" w:rsidRPr="00E70A36">
        <w:rPr>
          <w:rFonts w:ascii="Calibri" w:hAnsi="Calibri"/>
          <w:sz w:val="22"/>
          <w:szCs w:val="22"/>
        </w:rPr>
        <w:t xml:space="preserve">Proposed wording of the PBS Section 100 listing for </w:t>
      </w:r>
      <w:r w:rsidRPr="00AC6E91">
        <w:rPr>
          <w:rFonts w:ascii="Calibri" w:hAnsi="Calibri"/>
          <w:sz w:val="22"/>
          <w:szCs w:val="22"/>
        </w:rPr>
        <w:t xml:space="preserve">botulinum toxin type A </w:t>
      </w:r>
      <w:r w:rsidR="00AC567C">
        <w:rPr>
          <w:rFonts w:ascii="Calibri" w:hAnsi="Calibri"/>
          <w:sz w:val="22"/>
          <w:szCs w:val="22"/>
        </w:rPr>
        <w:t xml:space="preserve">for </w:t>
      </w:r>
      <w:r w:rsidR="000B6FA7">
        <w:rPr>
          <w:rFonts w:ascii="Calibri" w:hAnsi="Calibri"/>
          <w:sz w:val="22"/>
          <w:szCs w:val="22"/>
        </w:rPr>
        <w:t>IOAB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0B6FA7" w:rsidRPr="008B3A28" w:rsidTr="00D57B62">
        <w:tc>
          <w:tcPr>
            <w:tcW w:w="9360" w:type="dxa"/>
          </w:tcPr>
          <w:p w:rsidR="000B6FA7" w:rsidRPr="008B3A28" w:rsidRDefault="000B6FA7" w:rsidP="00CA6102">
            <w:pPr>
              <w:spacing w:after="0" w:line="240" w:lineRule="auto"/>
              <w:rPr>
                <w:rFonts w:ascii="Arial" w:hAnsi="Arial" w:cs="Arial"/>
                <w:b/>
                <w:sz w:val="20"/>
                <w:u w:val="single"/>
              </w:rPr>
            </w:pPr>
            <w:r w:rsidRPr="008B3A28">
              <w:rPr>
                <w:rFonts w:ascii="Arial" w:hAnsi="Arial" w:cs="Arial"/>
                <w:b/>
                <w:sz w:val="20"/>
                <w:u w:val="single"/>
              </w:rPr>
              <w:t>Section 100 Botulinum Toxin Program</w:t>
            </w:r>
          </w:p>
          <w:p w:rsidR="000B6FA7" w:rsidRPr="008B3A28" w:rsidRDefault="000B6FA7" w:rsidP="00CA6102">
            <w:pPr>
              <w:spacing w:after="0" w:line="240" w:lineRule="auto"/>
              <w:rPr>
                <w:rFonts w:ascii="Arial" w:hAnsi="Arial" w:cs="Arial"/>
                <w:i/>
                <w:sz w:val="20"/>
              </w:rPr>
            </w:pPr>
            <w:r w:rsidRPr="008B3A28">
              <w:rPr>
                <w:rFonts w:ascii="Arial" w:hAnsi="Arial" w:cs="Arial"/>
                <w:i/>
                <w:sz w:val="20"/>
              </w:rPr>
              <w:t>Authority Required</w:t>
            </w:r>
          </w:p>
          <w:p w:rsidR="000B6FA7" w:rsidRPr="008B3A28" w:rsidRDefault="000B6FA7" w:rsidP="00CA6102">
            <w:pPr>
              <w:spacing w:after="0" w:line="240" w:lineRule="auto"/>
              <w:rPr>
                <w:rFonts w:ascii="Arial" w:hAnsi="Arial" w:cs="Arial"/>
                <w:sz w:val="20"/>
              </w:rPr>
            </w:pPr>
            <w:r w:rsidRPr="008B3A28">
              <w:rPr>
                <w:rFonts w:ascii="Arial" w:hAnsi="Arial" w:cs="Arial"/>
                <w:sz w:val="20"/>
              </w:rPr>
              <w:t>Treatment of urinary incontinence due to idiopathic overactive bladder in patients who have ≥14 episodes/week, are willing to self-catheterise, and are not adequately managed by 2 or more anti-</w:t>
            </w:r>
            <w:proofErr w:type="spellStart"/>
            <w:r w:rsidRPr="008B3A28">
              <w:rPr>
                <w:rFonts w:ascii="Arial" w:hAnsi="Arial" w:cs="Arial"/>
                <w:sz w:val="20"/>
              </w:rPr>
              <w:t>cholinergics</w:t>
            </w:r>
            <w:proofErr w:type="spellEnd"/>
            <w:r w:rsidRPr="008B3A28">
              <w:rPr>
                <w:rFonts w:ascii="Arial" w:hAnsi="Arial" w:cs="Arial"/>
                <w:sz w:val="20"/>
              </w:rPr>
              <w:t>.</w:t>
            </w:r>
          </w:p>
          <w:p w:rsidR="000B6FA7" w:rsidRPr="008B3A28" w:rsidRDefault="000B6FA7" w:rsidP="00CA6102">
            <w:pPr>
              <w:spacing w:after="0" w:line="240" w:lineRule="auto"/>
              <w:rPr>
                <w:rFonts w:ascii="Arial" w:hAnsi="Arial" w:cs="Arial"/>
                <w:sz w:val="20"/>
              </w:rPr>
            </w:pPr>
            <w:r w:rsidRPr="008B3A28">
              <w:rPr>
                <w:rFonts w:ascii="Arial" w:hAnsi="Arial" w:cs="Arial"/>
                <w:sz w:val="20"/>
              </w:rPr>
              <w:t xml:space="preserve">Inadequate management by anti-cholinergic therapy is shown by an insufficient response or if the patient experiences intolerable side effects necessitating withdrawal from treatment. </w:t>
            </w:r>
          </w:p>
          <w:p w:rsidR="000B6FA7" w:rsidRPr="008B3A28" w:rsidRDefault="000B6FA7" w:rsidP="00CA6102">
            <w:pPr>
              <w:spacing w:after="0" w:line="240" w:lineRule="auto"/>
              <w:rPr>
                <w:rFonts w:ascii="Arial" w:hAnsi="Arial" w:cs="Arial"/>
                <w:sz w:val="20"/>
              </w:rPr>
            </w:pPr>
            <w:r w:rsidRPr="008B3A28">
              <w:rPr>
                <w:rFonts w:ascii="Arial" w:hAnsi="Arial" w:cs="Arial"/>
                <w:sz w:val="20"/>
              </w:rPr>
              <w:t xml:space="preserve">Treatment should be discontinued if the patient does not show response after the first treatment. Treatment response is defined as a 50% or greater reduction from baseline in urinary incontinence frequency 6–12 weeks after the first treatment. </w:t>
            </w:r>
          </w:p>
        </w:tc>
      </w:tr>
    </w:tbl>
    <w:p w:rsidR="00B42018" w:rsidRDefault="00B42018" w:rsidP="009A0FFB">
      <w:pPr>
        <w:spacing w:after="0" w:line="240" w:lineRule="auto"/>
        <w:rPr>
          <w:color w:val="4F81BD"/>
        </w:rPr>
      </w:pPr>
    </w:p>
    <w:p w:rsidR="00663D7F" w:rsidRPr="009A0FFB" w:rsidRDefault="00663D7F" w:rsidP="009A0FFB">
      <w:pPr>
        <w:spacing w:after="0" w:line="240" w:lineRule="auto"/>
        <w:rPr>
          <w:rFonts w:ascii="Arial" w:hAnsi="Arial" w:cs="Arial"/>
          <w:b/>
          <w:szCs w:val="24"/>
        </w:rPr>
      </w:pPr>
      <w:r w:rsidRPr="009A0FFB">
        <w:rPr>
          <w:rFonts w:ascii="Arial" w:hAnsi="Arial" w:cs="Arial"/>
          <w:b/>
          <w:szCs w:val="24"/>
        </w:rPr>
        <w:t>5.</w:t>
      </w:r>
      <w:r w:rsidRPr="009A0FFB">
        <w:rPr>
          <w:rFonts w:ascii="Arial" w:hAnsi="Arial" w:cs="Arial"/>
          <w:b/>
          <w:szCs w:val="24"/>
        </w:rPr>
        <w:tab/>
        <w:t>Consumer Impact Statement</w:t>
      </w:r>
    </w:p>
    <w:p w:rsidR="00931CE8" w:rsidRPr="0090515A" w:rsidRDefault="00931CE8" w:rsidP="008539F8">
      <w:pPr>
        <w:tabs>
          <w:tab w:val="left" w:pos="720"/>
          <w:tab w:val="left" w:pos="1140"/>
        </w:tabs>
        <w:spacing w:after="0" w:line="240" w:lineRule="auto"/>
        <w:rPr>
          <w:szCs w:val="24"/>
        </w:rPr>
      </w:pPr>
      <w:proofErr w:type="gramStart"/>
      <w:r w:rsidRPr="0090515A">
        <w:rPr>
          <w:szCs w:val="24"/>
        </w:rPr>
        <w:t>Nil.</w:t>
      </w:r>
      <w:proofErr w:type="gramEnd"/>
    </w:p>
    <w:p w:rsidR="0075590C" w:rsidRPr="008539F8" w:rsidRDefault="0075590C" w:rsidP="008539F8">
      <w:pPr>
        <w:spacing w:after="0" w:line="240" w:lineRule="auto"/>
      </w:pPr>
    </w:p>
    <w:p w:rsidR="00663D7F" w:rsidRPr="00F64B04" w:rsidRDefault="00663D7F" w:rsidP="008539F8">
      <w:pPr>
        <w:pStyle w:val="Heading1"/>
        <w:spacing w:before="0" w:line="240" w:lineRule="auto"/>
        <w:rPr>
          <w:rFonts w:cs="Arial"/>
          <w:szCs w:val="24"/>
        </w:rPr>
      </w:pPr>
      <w:r w:rsidRPr="00F64B04">
        <w:rPr>
          <w:rFonts w:cs="Arial"/>
          <w:szCs w:val="24"/>
        </w:rPr>
        <w:t xml:space="preserve">6. </w:t>
      </w:r>
      <w:r w:rsidRPr="00F64B04">
        <w:rPr>
          <w:rFonts w:cs="Arial"/>
          <w:szCs w:val="24"/>
        </w:rPr>
        <w:tab/>
        <w:t>Proposed intervention’s place in clinical management</w:t>
      </w:r>
    </w:p>
    <w:p w:rsidR="00BA55CD" w:rsidRPr="0020501B" w:rsidRDefault="00BA55CD" w:rsidP="0020501B">
      <w:pPr>
        <w:pStyle w:val="Style10"/>
      </w:pPr>
      <w:r w:rsidRPr="0020501B">
        <w:t xml:space="preserve">As specified in the Final DAP and consistent with the recommendation </w:t>
      </w:r>
      <w:r w:rsidR="00AC567C">
        <w:t>of</w:t>
      </w:r>
      <w:r w:rsidRPr="0020501B">
        <w:t xml:space="preserve"> </w:t>
      </w:r>
      <w:r w:rsidR="00AC6E91">
        <w:rPr>
          <w:rStyle w:val="jonChar"/>
          <w:rFonts w:ascii="Times New Roman" w:eastAsia="Calibri" w:hAnsi="Times New Roman" w:cs="Times New Roman"/>
          <w:sz w:val="24"/>
          <w:szCs w:val="24"/>
        </w:rPr>
        <w:t>botulinum toxin t</w:t>
      </w:r>
      <w:r w:rsidR="00AC6E91" w:rsidRPr="00F75515">
        <w:rPr>
          <w:rStyle w:val="jonChar"/>
          <w:rFonts w:ascii="Times New Roman" w:eastAsia="Calibri" w:hAnsi="Times New Roman" w:cs="Times New Roman"/>
          <w:sz w:val="24"/>
          <w:szCs w:val="24"/>
        </w:rPr>
        <w:t xml:space="preserve">ype A </w:t>
      </w:r>
      <w:r w:rsidRPr="0020501B">
        <w:t xml:space="preserve">for NDO, </w:t>
      </w:r>
      <w:r w:rsidR="00AC6E91">
        <w:rPr>
          <w:rStyle w:val="jonChar"/>
          <w:rFonts w:ascii="Times New Roman" w:eastAsia="Calibri" w:hAnsi="Times New Roman" w:cs="Times New Roman"/>
          <w:sz w:val="24"/>
          <w:szCs w:val="24"/>
        </w:rPr>
        <w:t>botulinum toxin t</w:t>
      </w:r>
      <w:r w:rsidR="00AC6E91" w:rsidRPr="00F75515">
        <w:rPr>
          <w:rStyle w:val="jonChar"/>
          <w:rFonts w:ascii="Times New Roman" w:eastAsia="Calibri" w:hAnsi="Times New Roman" w:cs="Times New Roman"/>
          <w:sz w:val="24"/>
          <w:szCs w:val="24"/>
        </w:rPr>
        <w:t xml:space="preserve">ype A </w:t>
      </w:r>
      <w:r w:rsidR="00880E4A">
        <w:t>for I</w:t>
      </w:r>
      <w:r w:rsidRPr="0020501B">
        <w:t xml:space="preserve">OAB is proposed as a </w:t>
      </w:r>
      <w:r w:rsidR="00B564A6">
        <w:t>second-line</w:t>
      </w:r>
      <w:r w:rsidRPr="0020501B">
        <w:t xml:space="preserve"> conservative </w:t>
      </w:r>
      <w:r w:rsidRPr="0020501B">
        <w:lastRenderedPageBreak/>
        <w:t xml:space="preserve">treatment for patients who are intolerant </w:t>
      </w:r>
      <w:r w:rsidR="00AC567C">
        <w:t>of</w:t>
      </w:r>
      <w:r w:rsidR="00DA3003">
        <w:t>,</w:t>
      </w:r>
      <w:r w:rsidR="00AC567C">
        <w:t xml:space="preserve"> </w:t>
      </w:r>
      <w:r w:rsidRPr="0020501B">
        <w:t>or fail</w:t>
      </w:r>
      <w:r w:rsidR="00DA3003">
        <w:t>,</w:t>
      </w:r>
      <w:r w:rsidRPr="0020501B">
        <w:t xml:space="preserve"> </w:t>
      </w:r>
      <w:r w:rsidR="00B564A6">
        <w:t>first-</w:t>
      </w:r>
      <w:r w:rsidRPr="0020501B">
        <w:t>line conservative management</w:t>
      </w:r>
      <w:r w:rsidR="00E21E37">
        <w:t xml:space="preserve"> (i</w:t>
      </w:r>
      <w:r w:rsidR="00AC567C">
        <w:t>.</w:t>
      </w:r>
      <w:r w:rsidR="00E21E37">
        <w:t>e</w:t>
      </w:r>
      <w:r w:rsidR="00AC567C">
        <w:t>.</w:t>
      </w:r>
      <w:r w:rsidR="00E21E37">
        <w:t xml:space="preserve"> best supportive care</w:t>
      </w:r>
      <w:r w:rsidRPr="0020501B">
        <w:t>). This includes lifestyle modifications (e</w:t>
      </w:r>
      <w:r w:rsidR="00B564A6">
        <w:t>.</w:t>
      </w:r>
      <w:r w:rsidRPr="0020501B">
        <w:t>g</w:t>
      </w:r>
      <w:r w:rsidR="00B564A6">
        <w:t>.</w:t>
      </w:r>
      <w:r w:rsidRPr="0020501B">
        <w:t xml:space="preserve"> pad use, portable urinals, clean intermittent catheterisation) and anti-cholinergic medication. </w:t>
      </w:r>
    </w:p>
    <w:p w:rsidR="003E35D3" w:rsidRDefault="003E35D3" w:rsidP="003E35D3">
      <w:pPr>
        <w:pStyle w:val="Style10"/>
      </w:pPr>
    </w:p>
    <w:p w:rsidR="00BA55CD" w:rsidRDefault="00BA55CD" w:rsidP="003E35D3">
      <w:pPr>
        <w:pStyle w:val="Style10"/>
      </w:pPr>
      <w:r>
        <w:t>As noted in the PSD for Application 1221, s</w:t>
      </w:r>
      <w:r w:rsidRPr="00CF06B2">
        <w:t>acral nerve stimulation (SNS)</w:t>
      </w:r>
      <w:r>
        <w:t xml:space="preserve"> is</w:t>
      </w:r>
      <w:r w:rsidRPr="00CF06B2">
        <w:t xml:space="preserve"> a more </w:t>
      </w:r>
      <w:r>
        <w:t xml:space="preserve">expensive and </w:t>
      </w:r>
      <w:r w:rsidRPr="00CF06B2">
        <w:t>invasive treatment option (</w:t>
      </w:r>
      <w:r>
        <w:t>requiring</w:t>
      </w:r>
      <w:r w:rsidRPr="00CF06B2">
        <w:t xml:space="preserve"> implantation of a system that delivers electrical stimulation to the sacral nerve), </w:t>
      </w:r>
      <w:r>
        <w:t xml:space="preserve">and </w:t>
      </w:r>
      <w:r w:rsidRPr="00CF06B2">
        <w:t xml:space="preserve">may be utilised less frequently as a result of listing </w:t>
      </w:r>
      <w:r w:rsidR="00AC6E91">
        <w:rPr>
          <w:rStyle w:val="jonChar"/>
          <w:rFonts w:ascii="Times New Roman" w:eastAsia="Calibri" w:hAnsi="Times New Roman" w:cs="Times New Roman"/>
          <w:sz w:val="24"/>
          <w:szCs w:val="24"/>
        </w:rPr>
        <w:t>botulinum toxin t</w:t>
      </w:r>
      <w:r w:rsidR="00AC6E91" w:rsidRPr="00F75515">
        <w:rPr>
          <w:rStyle w:val="jonChar"/>
          <w:rFonts w:ascii="Times New Roman" w:eastAsia="Calibri" w:hAnsi="Times New Roman" w:cs="Times New Roman"/>
          <w:sz w:val="24"/>
          <w:szCs w:val="24"/>
        </w:rPr>
        <w:t xml:space="preserve">ype A </w:t>
      </w:r>
      <w:r w:rsidRPr="00CF06B2">
        <w:t xml:space="preserve">injections on the PBS and MBS (insofar as the </w:t>
      </w:r>
      <w:r w:rsidR="00193EF2">
        <w:t>medicine</w:t>
      </w:r>
      <w:r w:rsidR="00193EF2" w:rsidRPr="00CF06B2">
        <w:t xml:space="preserve"> </w:t>
      </w:r>
      <w:r w:rsidRPr="00CF06B2">
        <w:t xml:space="preserve">may displace SNS as a second-line treatment option). </w:t>
      </w:r>
    </w:p>
    <w:p w:rsidR="00BA55CD" w:rsidRPr="0090515A" w:rsidRDefault="00BA55CD" w:rsidP="0075590C">
      <w:pPr>
        <w:spacing w:after="0" w:line="240" w:lineRule="auto"/>
        <w:rPr>
          <w:b/>
        </w:rPr>
      </w:pPr>
    </w:p>
    <w:p w:rsidR="00B40E51" w:rsidRPr="008539F8" w:rsidRDefault="00663D7F" w:rsidP="008539F8">
      <w:pPr>
        <w:pStyle w:val="Heading1"/>
        <w:spacing w:before="0" w:line="240" w:lineRule="auto"/>
        <w:rPr>
          <w:rFonts w:cs="Arial"/>
          <w:szCs w:val="24"/>
        </w:rPr>
      </w:pPr>
      <w:r w:rsidRPr="00F64B04">
        <w:rPr>
          <w:rFonts w:cs="Arial"/>
          <w:szCs w:val="24"/>
        </w:rPr>
        <w:t>7.</w:t>
      </w:r>
      <w:r w:rsidRPr="00F64B04">
        <w:rPr>
          <w:rFonts w:cs="Arial"/>
          <w:szCs w:val="24"/>
        </w:rPr>
        <w:tab/>
        <w:t>Other options for MSAC consideration</w:t>
      </w:r>
    </w:p>
    <w:p w:rsidR="008C04A5" w:rsidRDefault="008539F8" w:rsidP="008539F8">
      <w:pPr>
        <w:spacing w:after="0" w:line="240" w:lineRule="auto"/>
      </w:pPr>
      <w:proofErr w:type="gramStart"/>
      <w:r>
        <w:t>Nil.</w:t>
      </w:r>
      <w:proofErr w:type="gramEnd"/>
    </w:p>
    <w:p w:rsidR="008539F8" w:rsidRPr="008539F8" w:rsidRDefault="008539F8" w:rsidP="008539F8">
      <w:pPr>
        <w:spacing w:after="0" w:line="240" w:lineRule="auto"/>
      </w:pPr>
    </w:p>
    <w:p w:rsidR="00663D7F" w:rsidRPr="00F64B04" w:rsidRDefault="00663D7F" w:rsidP="008539F8">
      <w:pPr>
        <w:pStyle w:val="Heading1"/>
        <w:spacing w:before="0" w:line="240" w:lineRule="auto"/>
        <w:rPr>
          <w:rFonts w:cs="Arial"/>
          <w:szCs w:val="24"/>
        </w:rPr>
      </w:pPr>
      <w:r w:rsidRPr="00F64B04">
        <w:rPr>
          <w:rFonts w:cs="Arial"/>
          <w:szCs w:val="24"/>
        </w:rPr>
        <w:t>8.</w:t>
      </w:r>
      <w:r w:rsidRPr="00F64B04">
        <w:rPr>
          <w:rFonts w:cs="Arial"/>
          <w:szCs w:val="24"/>
        </w:rPr>
        <w:tab/>
        <w:t>Comparator to the proposed intervention</w:t>
      </w:r>
    </w:p>
    <w:p w:rsidR="00A04AE7" w:rsidRDefault="00546979" w:rsidP="00885329">
      <w:pPr>
        <w:pStyle w:val="Style10"/>
      </w:pPr>
      <w:r>
        <w:t xml:space="preserve">The submission nominated best supportive care (BSC) as the appropriate main comparator. </w:t>
      </w:r>
    </w:p>
    <w:p w:rsidR="00546979" w:rsidRDefault="00546979" w:rsidP="00885329">
      <w:pPr>
        <w:pStyle w:val="Style10"/>
      </w:pPr>
    </w:p>
    <w:p w:rsidR="00BA55CD" w:rsidRDefault="00BA55CD" w:rsidP="00885329">
      <w:pPr>
        <w:pStyle w:val="Style10"/>
      </w:pPr>
      <w:r>
        <w:t>PASC agreed that existing MBS item 36851 was the most appropriate benchmark to set the MBS fee.</w:t>
      </w:r>
    </w:p>
    <w:p w:rsidR="00BA55CD" w:rsidRPr="00B946F4" w:rsidRDefault="00BA55CD" w:rsidP="00885329">
      <w:pPr>
        <w:pStyle w:val="Style10"/>
      </w:pPr>
    </w:p>
    <w:p w:rsidR="00663D7F" w:rsidRPr="00F64B04" w:rsidRDefault="00F64B04" w:rsidP="00B946F4">
      <w:pPr>
        <w:pStyle w:val="Heading1"/>
        <w:spacing w:before="0" w:line="240" w:lineRule="auto"/>
        <w:rPr>
          <w:rFonts w:cs="Arial"/>
          <w:szCs w:val="24"/>
        </w:rPr>
      </w:pPr>
      <w:r>
        <w:rPr>
          <w:rFonts w:cs="Arial"/>
          <w:szCs w:val="24"/>
        </w:rPr>
        <w:t>9.</w:t>
      </w:r>
      <w:r>
        <w:rPr>
          <w:rFonts w:cs="Arial"/>
          <w:szCs w:val="24"/>
        </w:rPr>
        <w:tab/>
      </w:r>
      <w:r w:rsidR="00663D7F" w:rsidRPr="00F64B04">
        <w:rPr>
          <w:rFonts w:cs="Arial"/>
          <w:szCs w:val="24"/>
        </w:rPr>
        <w:t>Comparative safety</w:t>
      </w:r>
    </w:p>
    <w:p w:rsidR="006C6EBE" w:rsidRDefault="006C6EBE" w:rsidP="00885329">
      <w:pPr>
        <w:pStyle w:val="Style10"/>
      </w:pPr>
      <w:r>
        <w:t>A systematic literature review was conducted and identified five relevant trials:</w:t>
      </w:r>
    </w:p>
    <w:p w:rsidR="006C6EBE" w:rsidRPr="00CF06B2" w:rsidRDefault="006C6EBE" w:rsidP="00F80B82">
      <w:pPr>
        <w:pStyle w:val="Style10"/>
        <w:numPr>
          <w:ilvl w:val="0"/>
          <w:numId w:val="4"/>
        </w:numPr>
      </w:pPr>
      <w:r>
        <w:t>T</w:t>
      </w:r>
      <w:r w:rsidR="007A0EA8">
        <w:t>wo pivotal Phase III randomised controlled trial</w:t>
      </w:r>
      <w:r w:rsidRPr="00CF06B2">
        <w:t>s (</w:t>
      </w:r>
      <w:r w:rsidRPr="00CF06B2">
        <w:rPr>
          <w:i/>
        </w:rPr>
        <w:t xml:space="preserve">Studies </w:t>
      </w:r>
      <w:r>
        <w:rPr>
          <w:i/>
        </w:rPr>
        <w:t>095</w:t>
      </w:r>
      <w:r w:rsidRPr="00CF06B2">
        <w:t xml:space="preserve"> and </w:t>
      </w:r>
      <w:r w:rsidRPr="00CF06B2">
        <w:rPr>
          <w:i/>
        </w:rPr>
        <w:t>5</w:t>
      </w:r>
      <w:r>
        <w:rPr>
          <w:i/>
        </w:rPr>
        <w:t>20</w:t>
      </w:r>
      <w:r w:rsidRPr="00CF06B2">
        <w:t xml:space="preserve">) examining the efficacy and safety of </w:t>
      </w:r>
      <w:r w:rsidR="00AC6E91">
        <w:rPr>
          <w:rStyle w:val="jonChar"/>
          <w:rFonts w:ascii="Times New Roman" w:eastAsia="Calibri" w:hAnsi="Times New Roman" w:cs="Times New Roman"/>
          <w:sz w:val="24"/>
          <w:szCs w:val="24"/>
        </w:rPr>
        <w:t>botulinum toxin t</w:t>
      </w:r>
      <w:r w:rsidR="00AC6E91" w:rsidRPr="00F75515">
        <w:rPr>
          <w:rStyle w:val="jonChar"/>
          <w:rFonts w:ascii="Times New Roman" w:eastAsia="Calibri" w:hAnsi="Times New Roman" w:cs="Times New Roman"/>
          <w:sz w:val="24"/>
          <w:szCs w:val="24"/>
        </w:rPr>
        <w:t xml:space="preserve">ype A </w:t>
      </w:r>
      <w:r w:rsidR="009F26EF">
        <w:t>for</w:t>
      </w:r>
      <w:r w:rsidRPr="00CF06B2">
        <w:t xml:space="preserve"> </w:t>
      </w:r>
      <w:r w:rsidR="00880E4A">
        <w:t>I</w:t>
      </w:r>
      <w:r>
        <w:t>OAB</w:t>
      </w:r>
      <w:r w:rsidRPr="00CF06B2">
        <w:t xml:space="preserve"> patients</w:t>
      </w:r>
      <w:r>
        <w:t xml:space="preserve"> refractory to anti-</w:t>
      </w:r>
      <w:proofErr w:type="spellStart"/>
      <w:r>
        <w:t>cholinergics</w:t>
      </w:r>
      <w:proofErr w:type="spellEnd"/>
      <w:r>
        <w:t>.</w:t>
      </w:r>
      <w:r w:rsidRPr="00CF06B2">
        <w:t xml:space="preserve"> </w:t>
      </w:r>
    </w:p>
    <w:p w:rsidR="006C6EBE" w:rsidRDefault="006C6EBE" w:rsidP="00F80B82">
      <w:pPr>
        <w:pStyle w:val="Style10"/>
        <w:numPr>
          <w:ilvl w:val="0"/>
          <w:numId w:val="4"/>
        </w:numPr>
      </w:pPr>
      <w:r>
        <w:t>Two supportive trials, consisting of a Phase II RCT (</w:t>
      </w:r>
      <w:r w:rsidRPr="003C34A9">
        <w:rPr>
          <w:i/>
        </w:rPr>
        <w:t>Study 077</w:t>
      </w:r>
      <w:r>
        <w:t>) and a publication of a small investigator-initiated RCT (Jabs 2010).</w:t>
      </w:r>
    </w:p>
    <w:p w:rsidR="006C6EBE" w:rsidRDefault="006C6EBE" w:rsidP="00F80B82">
      <w:pPr>
        <w:pStyle w:val="Style10"/>
        <w:numPr>
          <w:ilvl w:val="0"/>
          <w:numId w:val="4"/>
        </w:numPr>
      </w:pPr>
      <w:r>
        <w:t>A</w:t>
      </w:r>
      <w:r w:rsidRPr="00CF06B2">
        <w:t xml:space="preserve"> long-term follow-up trial of the two pivotal trials (</w:t>
      </w:r>
      <w:r w:rsidRPr="00CF06B2">
        <w:rPr>
          <w:i/>
        </w:rPr>
        <w:t>Study 09</w:t>
      </w:r>
      <w:r>
        <w:rPr>
          <w:i/>
        </w:rPr>
        <w:t>6</w:t>
      </w:r>
      <w:r w:rsidRPr="00CF06B2">
        <w:t>)</w:t>
      </w:r>
      <w:r>
        <w:t>.</w:t>
      </w:r>
    </w:p>
    <w:p w:rsidR="00885329" w:rsidRPr="00722E6A" w:rsidRDefault="00885329" w:rsidP="00885329">
      <w:pPr>
        <w:pStyle w:val="Style10"/>
      </w:pPr>
    </w:p>
    <w:p w:rsidR="007C3833" w:rsidRDefault="005E6D0E" w:rsidP="007C3833">
      <w:pPr>
        <w:pStyle w:val="Style10"/>
      </w:pPr>
      <w:r>
        <w:t>The</w:t>
      </w:r>
      <w:r w:rsidR="006C6EBE">
        <w:t xml:space="preserve"> key safety outcomes relat</w:t>
      </w:r>
      <w:r w:rsidR="009F26EF">
        <w:t>ing</w:t>
      </w:r>
      <w:r w:rsidR="006C6EBE">
        <w:t xml:space="preserve"> to the procedure </w:t>
      </w:r>
      <w:r w:rsidR="007C3833">
        <w:t>were r</w:t>
      </w:r>
      <w:r w:rsidR="006C6EBE">
        <w:t>eported in the Phase III pivotal RCTs</w:t>
      </w:r>
      <w:r w:rsidR="007A0EA8">
        <w:t>.</w:t>
      </w:r>
      <w:r w:rsidR="006C6EBE">
        <w:t xml:space="preserve"> </w:t>
      </w:r>
      <w:r w:rsidR="007C3833">
        <w:t>MSAC noted there was n</w:t>
      </w:r>
      <w:r w:rsidR="007C3833" w:rsidRPr="007C3833">
        <w:t>o significant difference in incidence of injection/procedural pain</w:t>
      </w:r>
      <w:r w:rsidR="007C3833">
        <w:t xml:space="preserve"> reported in the pivotal trials</w:t>
      </w:r>
      <w:r w:rsidR="0079514D">
        <w:t>;</w:t>
      </w:r>
      <w:r w:rsidR="007C3833">
        <w:t xml:space="preserve"> i</w:t>
      </w:r>
      <w:r w:rsidR="007C3833" w:rsidRPr="007C3833">
        <w:t xml:space="preserve">ncidence: </w:t>
      </w:r>
      <w:r w:rsidR="00AC6E91">
        <w:rPr>
          <w:rStyle w:val="jonChar"/>
          <w:rFonts w:ascii="Times New Roman" w:eastAsia="Calibri" w:hAnsi="Times New Roman" w:cs="Times New Roman"/>
          <w:sz w:val="24"/>
          <w:szCs w:val="24"/>
        </w:rPr>
        <w:t>botulinum toxin t</w:t>
      </w:r>
      <w:r w:rsidR="00AC6E91" w:rsidRPr="00F75515">
        <w:rPr>
          <w:rStyle w:val="jonChar"/>
          <w:rFonts w:ascii="Times New Roman" w:eastAsia="Calibri" w:hAnsi="Times New Roman" w:cs="Times New Roman"/>
          <w:sz w:val="24"/>
          <w:szCs w:val="24"/>
        </w:rPr>
        <w:t xml:space="preserve">ype A </w:t>
      </w:r>
      <w:r w:rsidR="007C3833" w:rsidRPr="007C3833">
        <w:t>0.9%, Placebo</w:t>
      </w:r>
      <w:r w:rsidR="007C3833">
        <w:t xml:space="preserve"> </w:t>
      </w:r>
      <w:r w:rsidR="007C3833" w:rsidRPr="007C3833">
        <w:t>0.7%.</w:t>
      </w:r>
    </w:p>
    <w:p w:rsidR="007C3833" w:rsidRDefault="007C3833" w:rsidP="007C3833">
      <w:pPr>
        <w:pStyle w:val="Style10"/>
      </w:pPr>
    </w:p>
    <w:p w:rsidR="007A0EA8" w:rsidRDefault="007C3833" w:rsidP="00885329">
      <w:pPr>
        <w:pStyle w:val="Style10"/>
      </w:pPr>
      <w:r>
        <w:t xml:space="preserve">PBAC considered the comparative safety of the </w:t>
      </w:r>
      <w:r w:rsidR="00A6373D">
        <w:t>medicine</w:t>
      </w:r>
      <w:r>
        <w:t>.</w:t>
      </w:r>
    </w:p>
    <w:p w:rsidR="007A0EA8" w:rsidRDefault="007A0EA8" w:rsidP="00885329">
      <w:pPr>
        <w:pStyle w:val="Style10"/>
      </w:pPr>
    </w:p>
    <w:p w:rsidR="006C6EBE" w:rsidRPr="007A0EA8" w:rsidRDefault="007A0EA8" w:rsidP="00885329">
      <w:pPr>
        <w:pStyle w:val="Style10"/>
        <w:rPr>
          <w:b/>
          <w:sz w:val="20"/>
        </w:rPr>
      </w:pPr>
      <w:r w:rsidRPr="007A0EA8">
        <w:t>C</w:t>
      </w:r>
      <w:r w:rsidR="006C6EBE" w:rsidRPr="00803D93">
        <w:t xml:space="preserve">onsistent with the MSAC minutes for Application 1221, overall, the adverse events were consistent with the known pharmacology for </w:t>
      </w:r>
      <w:r w:rsidR="00AC6E91">
        <w:rPr>
          <w:rStyle w:val="jonChar"/>
          <w:rFonts w:ascii="Times New Roman" w:eastAsia="Calibri" w:hAnsi="Times New Roman" w:cs="Times New Roman"/>
          <w:sz w:val="24"/>
          <w:szCs w:val="24"/>
        </w:rPr>
        <w:t>botulinum toxin t</w:t>
      </w:r>
      <w:r w:rsidR="00AC6E91" w:rsidRPr="00F75515">
        <w:rPr>
          <w:rStyle w:val="jonChar"/>
          <w:rFonts w:ascii="Times New Roman" w:eastAsia="Calibri" w:hAnsi="Times New Roman" w:cs="Times New Roman"/>
          <w:sz w:val="24"/>
          <w:szCs w:val="24"/>
        </w:rPr>
        <w:t xml:space="preserve">ype A </w:t>
      </w:r>
      <w:r w:rsidR="006C6EBE" w:rsidRPr="00803D93">
        <w:t>with no unexpected safety issues as</w:t>
      </w:r>
      <w:r w:rsidR="00880E4A">
        <w:t>sociated with the treatment of I</w:t>
      </w:r>
      <w:r w:rsidR="006C6EBE" w:rsidRPr="00803D93">
        <w:t>OAB.</w:t>
      </w:r>
    </w:p>
    <w:p w:rsidR="006C6EBE" w:rsidRPr="00B946F4" w:rsidRDefault="006C6EBE" w:rsidP="00885329">
      <w:pPr>
        <w:pStyle w:val="Style10"/>
      </w:pPr>
    </w:p>
    <w:p w:rsidR="00663D7F" w:rsidRPr="00F64B04" w:rsidRDefault="00F64B04" w:rsidP="00B946F4">
      <w:pPr>
        <w:pStyle w:val="Heading1"/>
        <w:spacing w:before="0" w:line="240" w:lineRule="auto"/>
        <w:rPr>
          <w:rFonts w:cs="Arial"/>
          <w:szCs w:val="24"/>
        </w:rPr>
      </w:pPr>
      <w:r>
        <w:rPr>
          <w:rFonts w:cs="Arial"/>
          <w:szCs w:val="24"/>
        </w:rPr>
        <w:t>10.</w:t>
      </w:r>
      <w:r>
        <w:rPr>
          <w:rFonts w:cs="Arial"/>
          <w:szCs w:val="24"/>
        </w:rPr>
        <w:tab/>
      </w:r>
      <w:r w:rsidR="00663D7F" w:rsidRPr="00F64B04">
        <w:rPr>
          <w:rFonts w:cs="Arial"/>
          <w:szCs w:val="24"/>
        </w:rPr>
        <w:t>Comparative effectiveness</w:t>
      </w:r>
    </w:p>
    <w:p w:rsidR="0052459F" w:rsidRDefault="008D0DF9" w:rsidP="00CA6102">
      <w:pPr>
        <w:pStyle w:val="Style10"/>
      </w:pPr>
      <w:bookmarkStart w:id="2" w:name="_Toc315099764"/>
      <w:bookmarkStart w:id="3" w:name="_Toc315805901"/>
      <w:r>
        <w:t>T</w:t>
      </w:r>
      <w:r w:rsidR="006C6EBE" w:rsidRPr="00803D93">
        <w:t xml:space="preserve">he overall comparative effectiveness of the proposed service </w:t>
      </w:r>
      <w:r>
        <w:t>was</w:t>
      </w:r>
      <w:r w:rsidR="006C6EBE" w:rsidRPr="00803D93">
        <w:t xml:space="preserve"> considered by </w:t>
      </w:r>
      <w:r w:rsidR="00D97427">
        <w:t>PBAC. T</w:t>
      </w:r>
      <w:r w:rsidR="006C6EBE">
        <w:t xml:space="preserve">his </w:t>
      </w:r>
      <w:r w:rsidR="005E5569">
        <w:t xml:space="preserve">approach was </w:t>
      </w:r>
      <w:r w:rsidR="006C6EBE">
        <w:t xml:space="preserve">consistent with </w:t>
      </w:r>
      <w:r w:rsidR="00D97427">
        <w:t>consideration of compa</w:t>
      </w:r>
      <w:r w:rsidR="00B458E5">
        <w:t>rative effectiveness evidence</w:t>
      </w:r>
      <w:r w:rsidR="005E5569">
        <w:t xml:space="preserve"> for Application 1221 (</w:t>
      </w:r>
      <w:r w:rsidR="00AC6E91">
        <w:rPr>
          <w:rStyle w:val="jonChar"/>
          <w:rFonts w:ascii="Times New Roman" w:eastAsia="Calibri" w:hAnsi="Times New Roman" w:cs="Times New Roman"/>
          <w:sz w:val="24"/>
          <w:szCs w:val="24"/>
        </w:rPr>
        <w:t>botulinum toxin t</w:t>
      </w:r>
      <w:r w:rsidR="00AC6E91" w:rsidRPr="00F75515">
        <w:rPr>
          <w:rStyle w:val="jonChar"/>
          <w:rFonts w:ascii="Times New Roman" w:eastAsia="Calibri" w:hAnsi="Times New Roman" w:cs="Times New Roman"/>
          <w:sz w:val="24"/>
          <w:szCs w:val="24"/>
        </w:rPr>
        <w:t xml:space="preserve">ype A </w:t>
      </w:r>
      <w:r w:rsidR="005E5569">
        <w:t>for NDO).</w:t>
      </w:r>
      <w:bookmarkEnd w:id="2"/>
      <w:bookmarkEnd w:id="3"/>
    </w:p>
    <w:p w:rsidR="00CA6102" w:rsidRPr="0052459F" w:rsidRDefault="00CA6102" w:rsidP="00CA6102">
      <w:pPr>
        <w:pStyle w:val="Style10"/>
      </w:pPr>
    </w:p>
    <w:p w:rsidR="00663D7F" w:rsidRPr="00F64B04" w:rsidRDefault="00663D7F" w:rsidP="0075590C">
      <w:pPr>
        <w:pStyle w:val="Heading1"/>
        <w:spacing w:before="0" w:line="240" w:lineRule="auto"/>
        <w:rPr>
          <w:rFonts w:cs="Arial"/>
          <w:szCs w:val="24"/>
        </w:rPr>
      </w:pPr>
      <w:r w:rsidRPr="00F64B04">
        <w:rPr>
          <w:rFonts w:cs="Arial"/>
          <w:szCs w:val="24"/>
        </w:rPr>
        <w:t>11.</w:t>
      </w:r>
      <w:r w:rsidRPr="00F64B04">
        <w:rPr>
          <w:rFonts w:cs="Arial"/>
          <w:szCs w:val="24"/>
        </w:rPr>
        <w:tab/>
        <w:t>Economic evaluation</w:t>
      </w:r>
    </w:p>
    <w:p w:rsidR="006C6EBE" w:rsidRDefault="0052459F" w:rsidP="00885329">
      <w:pPr>
        <w:pStyle w:val="Style10"/>
      </w:pPr>
      <w:r>
        <w:t>T</w:t>
      </w:r>
      <w:r w:rsidR="006C6EBE" w:rsidRPr="00803D93">
        <w:t xml:space="preserve">he economic evaluation to determine the cost-effectiveness of the proposed service </w:t>
      </w:r>
      <w:r>
        <w:t>was considered</w:t>
      </w:r>
      <w:r w:rsidR="006C6EBE" w:rsidRPr="00803D93">
        <w:t xml:space="preserve"> by PBAC. </w:t>
      </w:r>
    </w:p>
    <w:p w:rsidR="00885329" w:rsidRPr="00803D93" w:rsidRDefault="00885329" w:rsidP="00885329">
      <w:pPr>
        <w:pStyle w:val="Style10"/>
      </w:pPr>
    </w:p>
    <w:p w:rsidR="006C6EBE" w:rsidRDefault="006C6EBE" w:rsidP="00885329">
      <w:pPr>
        <w:pStyle w:val="Style10"/>
      </w:pPr>
      <w:r>
        <w:t>As the proposed service</w:t>
      </w:r>
      <w:r w:rsidRPr="00CF06B2">
        <w:t xml:space="preserve"> would only be provided ‘in-hospital’,</w:t>
      </w:r>
      <w:r>
        <w:t xml:space="preserve"> there w</w:t>
      </w:r>
      <w:r w:rsidR="0003441E">
        <w:t>ill</w:t>
      </w:r>
      <w:r>
        <w:t xml:space="preserve"> be </w:t>
      </w:r>
      <w:r w:rsidRPr="00CF06B2">
        <w:t xml:space="preserve">no Extended Medicare Safety Net (EMSN) financial implications. </w:t>
      </w:r>
    </w:p>
    <w:p w:rsidR="006D4702" w:rsidRDefault="006D4702" w:rsidP="00885329">
      <w:pPr>
        <w:pStyle w:val="Style10"/>
      </w:pPr>
    </w:p>
    <w:p w:rsidR="00907076" w:rsidRPr="00F64B04" w:rsidRDefault="00907076" w:rsidP="00B946F4">
      <w:pPr>
        <w:pStyle w:val="Heading1"/>
        <w:spacing w:before="0" w:line="240" w:lineRule="auto"/>
        <w:rPr>
          <w:rFonts w:cs="Arial"/>
          <w:szCs w:val="24"/>
        </w:rPr>
      </w:pPr>
      <w:r w:rsidRPr="00F64B04">
        <w:rPr>
          <w:rFonts w:cs="Arial"/>
          <w:szCs w:val="24"/>
        </w:rPr>
        <w:lastRenderedPageBreak/>
        <w:t>12.</w:t>
      </w:r>
      <w:r w:rsidRPr="00F64B04">
        <w:rPr>
          <w:rFonts w:cs="Arial"/>
          <w:szCs w:val="24"/>
        </w:rPr>
        <w:tab/>
        <w:t>Financial/budgetary impacts</w:t>
      </w:r>
    </w:p>
    <w:p w:rsidR="006C6EBE" w:rsidRPr="00885329" w:rsidRDefault="005B570C" w:rsidP="00885329">
      <w:pPr>
        <w:pStyle w:val="Style10"/>
      </w:pPr>
      <w:r w:rsidRPr="00885329">
        <w:t xml:space="preserve">The expected utilisation and costs associated with </w:t>
      </w:r>
      <w:r w:rsidR="00AC6E91">
        <w:rPr>
          <w:rStyle w:val="jonChar"/>
          <w:rFonts w:ascii="Times New Roman" w:eastAsia="Calibri" w:hAnsi="Times New Roman" w:cs="Times New Roman"/>
          <w:sz w:val="24"/>
          <w:szCs w:val="24"/>
        </w:rPr>
        <w:t>botulinum toxin t</w:t>
      </w:r>
      <w:r w:rsidR="00AC6E91" w:rsidRPr="00F75515">
        <w:rPr>
          <w:rStyle w:val="jonChar"/>
          <w:rFonts w:ascii="Times New Roman" w:eastAsia="Calibri" w:hAnsi="Times New Roman" w:cs="Times New Roman"/>
          <w:sz w:val="24"/>
          <w:szCs w:val="24"/>
        </w:rPr>
        <w:t xml:space="preserve">ype </w:t>
      </w:r>
      <w:proofErr w:type="gramStart"/>
      <w:r w:rsidR="00AC6E91" w:rsidRPr="00F75515">
        <w:rPr>
          <w:rStyle w:val="jonChar"/>
          <w:rFonts w:ascii="Times New Roman" w:eastAsia="Calibri" w:hAnsi="Times New Roman" w:cs="Times New Roman"/>
          <w:sz w:val="24"/>
          <w:szCs w:val="24"/>
        </w:rPr>
        <w:t>A</w:t>
      </w:r>
      <w:proofErr w:type="gramEnd"/>
      <w:r w:rsidR="00AC6E91" w:rsidRPr="00F75515">
        <w:rPr>
          <w:rStyle w:val="jonChar"/>
          <w:rFonts w:ascii="Times New Roman" w:eastAsia="Calibri" w:hAnsi="Times New Roman" w:cs="Times New Roman"/>
          <w:sz w:val="24"/>
          <w:szCs w:val="24"/>
        </w:rPr>
        <w:t xml:space="preserve"> </w:t>
      </w:r>
      <w:r w:rsidRPr="00885329">
        <w:t xml:space="preserve">treatment, </w:t>
      </w:r>
      <w:r w:rsidR="00880E4A">
        <w:t>under the proposed listing for I</w:t>
      </w:r>
      <w:r w:rsidRPr="00885329">
        <w:t>OAB, were estimated using an epidemiological approach.</w:t>
      </w:r>
    </w:p>
    <w:p w:rsidR="005B570C" w:rsidRDefault="005B570C" w:rsidP="00885329">
      <w:pPr>
        <w:pStyle w:val="Style10"/>
        <w:rPr>
          <w:rFonts w:ascii="Calibri" w:hAnsi="Calibri"/>
          <w:sz w:val="22"/>
        </w:rPr>
      </w:pPr>
    </w:p>
    <w:p w:rsidR="005B570C" w:rsidRDefault="005B570C" w:rsidP="00885329">
      <w:pPr>
        <w:pStyle w:val="Style10"/>
      </w:pPr>
      <w:r w:rsidRPr="0026141E">
        <w:t xml:space="preserve">The results indicated that a total of </w:t>
      </w:r>
      <w:r w:rsidR="0081225C">
        <w:t>between 10,000 – 50,000</w:t>
      </w:r>
      <w:r>
        <w:t xml:space="preserve"> </w:t>
      </w:r>
      <w:r w:rsidRPr="0026141E">
        <w:t xml:space="preserve">patients are expected to initiate treatment during Year 1. </w:t>
      </w:r>
    </w:p>
    <w:p w:rsidR="00885329" w:rsidRPr="0026141E" w:rsidRDefault="00885329" w:rsidP="00885329">
      <w:pPr>
        <w:pStyle w:val="Style10"/>
      </w:pPr>
    </w:p>
    <w:p w:rsidR="005B570C" w:rsidRDefault="005B570C" w:rsidP="00885329">
      <w:pPr>
        <w:pStyle w:val="Style10"/>
      </w:pPr>
      <w:r w:rsidRPr="0026141E">
        <w:t xml:space="preserve">The net cost to the MBS </w:t>
      </w:r>
      <w:r w:rsidR="00382496">
        <w:t>was</w:t>
      </w:r>
      <w:r w:rsidRPr="0026141E">
        <w:t xml:space="preserve"> </w:t>
      </w:r>
      <w:r w:rsidR="0052459F">
        <w:t>estimate</w:t>
      </w:r>
      <w:r w:rsidR="00CF4E14">
        <w:t>d</w:t>
      </w:r>
      <w:r w:rsidR="0078403E">
        <w:t xml:space="preserve"> </w:t>
      </w:r>
      <w:r w:rsidR="0052459F">
        <w:t xml:space="preserve">to be </w:t>
      </w:r>
      <w:r w:rsidR="0081225C">
        <w:t>less than $10</w:t>
      </w:r>
      <w:r w:rsidRPr="0026141E">
        <w:t xml:space="preserve"> million in Year 1</w:t>
      </w:r>
      <w:r w:rsidR="0003441E">
        <w:t>,</w:t>
      </w:r>
      <w:r w:rsidRPr="0026141E">
        <w:t xml:space="preserve"> increasing to </w:t>
      </w:r>
      <w:r w:rsidR="0081225C">
        <w:t>between $30 - $60</w:t>
      </w:r>
      <w:r w:rsidRPr="0026141E">
        <w:t xml:space="preserve"> million in Year 5. </w:t>
      </w:r>
    </w:p>
    <w:p w:rsidR="00525847" w:rsidRDefault="00525847" w:rsidP="00885329">
      <w:pPr>
        <w:spacing w:after="0" w:line="240" w:lineRule="auto"/>
        <w:rPr>
          <w:rFonts w:ascii="Arial" w:hAnsi="Arial" w:cs="Arial"/>
          <w:b/>
        </w:rPr>
      </w:pPr>
    </w:p>
    <w:p w:rsidR="00663D7F" w:rsidRPr="00885329" w:rsidRDefault="00663D7F" w:rsidP="00885329">
      <w:pPr>
        <w:spacing w:after="0" w:line="240" w:lineRule="auto"/>
        <w:rPr>
          <w:rFonts w:ascii="Arial" w:hAnsi="Arial" w:cs="Arial"/>
          <w:b/>
        </w:rPr>
      </w:pPr>
      <w:r w:rsidRPr="00885329">
        <w:rPr>
          <w:rFonts w:ascii="Arial" w:hAnsi="Arial" w:cs="Arial"/>
          <w:b/>
        </w:rPr>
        <w:t>1</w:t>
      </w:r>
      <w:r w:rsidR="00FB4197" w:rsidRPr="00885329">
        <w:rPr>
          <w:rFonts w:ascii="Arial" w:hAnsi="Arial" w:cs="Arial"/>
          <w:b/>
        </w:rPr>
        <w:t>3</w:t>
      </w:r>
      <w:r w:rsidRPr="00885329">
        <w:rPr>
          <w:rFonts w:ascii="Arial" w:hAnsi="Arial" w:cs="Arial"/>
          <w:b/>
        </w:rPr>
        <w:t>.</w:t>
      </w:r>
      <w:r w:rsidRPr="00885329">
        <w:rPr>
          <w:rFonts w:ascii="Arial" w:hAnsi="Arial" w:cs="Arial"/>
          <w:b/>
        </w:rPr>
        <w:tab/>
        <w:t>Other significant factors</w:t>
      </w:r>
    </w:p>
    <w:p w:rsidR="0075590C" w:rsidRDefault="008D1677" w:rsidP="008D1677">
      <w:pPr>
        <w:tabs>
          <w:tab w:val="left" w:pos="720"/>
        </w:tabs>
        <w:spacing w:after="0" w:line="240" w:lineRule="auto"/>
        <w:rPr>
          <w:szCs w:val="24"/>
        </w:rPr>
      </w:pPr>
      <w:proofErr w:type="gramStart"/>
      <w:r>
        <w:rPr>
          <w:szCs w:val="24"/>
        </w:rPr>
        <w:t>Nil.</w:t>
      </w:r>
      <w:proofErr w:type="gramEnd"/>
    </w:p>
    <w:p w:rsidR="008D1677" w:rsidRPr="0075590C" w:rsidRDefault="008D1677" w:rsidP="008D1677">
      <w:pPr>
        <w:tabs>
          <w:tab w:val="left" w:pos="720"/>
        </w:tabs>
        <w:spacing w:after="0" w:line="240" w:lineRule="auto"/>
        <w:rPr>
          <w:b/>
          <w:i/>
          <w:szCs w:val="24"/>
        </w:rPr>
      </w:pPr>
    </w:p>
    <w:p w:rsidR="00E601B6" w:rsidRDefault="008D1677" w:rsidP="00E601B6">
      <w:pPr>
        <w:keepNext/>
        <w:keepLines/>
        <w:spacing w:after="0" w:line="240" w:lineRule="auto"/>
        <w:outlineLvl w:val="0"/>
        <w:rPr>
          <w:rStyle w:val="Heading1Char"/>
        </w:rPr>
      </w:pPr>
      <w:r w:rsidRPr="002F5BBC">
        <w:rPr>
          <w:rStyle w:val="Heading1Char"/>
        </w:rPr>
        <w:t>14.</w:t>
      </w:r>
      <w:r w:rsidRPr="002F5BBC">
        <w:rPr>
          <w:rStyle w:val="Heading1Char"/>
        </w:rPr>
        <w:tab/>
        <w:t xml:space="preserve">Key issues for MSAC from ESC </w:t>
      </w:r>
    </w:p>
    <w:p w:rsidR="003E6362" w:rsidRDefault="00A83A53" w:rsidP="003E6362">
      <w:pPr>
        <w:autoSpaceDE w:val="0"/>
        <w:autoSpaceDN w:val="0"/>
        <w:adjustRightInd w:val="0"/>
        <w:spacing w:after="0" w:line="240" w:lineRule="auto"/>
        <w:rPr>
          <w:color w:val="000000"/>
          <w:szCs w:val="24"/>
        </w:rPr>
      </w:pPr>
      <w:proofErr w:type="gramStart"/>
      <w:r>
        <w:rPr>
          <w:rStyle w:val="Heading1Char"/>
          <w:rFonts w:ascii="Times New Roman" w:hAnsi="Times New Roman" w:cs="Times New Roman"/>
          <w:b w:val="0"/>
        </w:rPr>
        <w:t>Nil</w:t>
      </w:r>
      <w:r w:rsidR="007D507A">
        <w:rPr>
          <w:rStyle w:val="Heading1Char"/>
          <w:rFonts w:ascii="Times New Roman" w:hAnsi="Times New Roman" w:cs="Times New Roman"/>
          <w:b w:val="0"/>
        </w:rPr>
        <w:t>.</w:t>
      </w:r>
      <w:proofErr w:type="gramEnd"/>
      <w:r w:rsidR="007D507A">
        <w:rPr>
          <w:rStyle w:val="Heading1Char"/>
          <w:rFonts w:ascii="Times New Roman" w:hAnsi="Times New Roman" w:cs="Times New Roman"/>
          <w:b w:val="0"/>
        </w:rPr>
        <w:t xml:space="preserve"> </w:t>
      </w:r>
    </w:p>
    <w:p w:rsidR="0075590C" w:rsidRPr="0075590C" w:rsidRDefault="008D1677" w:rsidP="003E6362">
      <w:pPr>
        <w:pStyle w:val="Heading1"/>
        <w:spacing w:before="0" w:line="240" w:lineRule="auto"/>
      </w:pPr>
      <w:r w:rsidRPr="002F5BBC">
        <w:rPr>
          <w:rStyle w:val="Heading1Char"/>
        </w:rPr>
        <w:br/>
      </w:r>
      <w:r w:rsidR="0075590C" w:rsidRPr="0075590C">
        <w:t>1</w:t>
      </w:r>
      <w:r>
        <w:t>5</w:t>
      </w:r>
      <w:r w:rsidR="0075590C" w:rsidRPr="0075590C">
        <w:t>.</w:t>
      </w:r>
      <w:r w:rsidR="0075590C" w:rsidRPr="0075590C">
        <w:tab/>
        <w:t xml:space="preserve">Summary of consideration and rationale for MSAC’s advice </w:t>
      </w:r>
    </w:p>
    <w:p w:rsidR="00A83A53" w:rsidRDefault="00A83A53" w:rsidP="007D507A">
      <w:pPr>
        <w:pStyle w:val="Style10"/>
      </w:pPr>
      <w:r>
        <w:t xml:space="preserve">MSAC considered an application requesting Medicare Benefits Schedule (MBS) listing of intravesical injection of </w:t>
      </w:r>
      <w:r w:rsidR="00AC6E91">
        <w:rPr>
          <w:rStyle w:val="jonChar"/>
          <w:rFonts w:ascii="Times New Roman" w:eastAsia="Calibri" w:hAnsi="Times New Roman" w:cs="Times New Roman"/>
          <w:sz w:val="24"/>
          <w:szCs w:val="24"/>
        </w:rPr>
        <w:t>botulinum toxin t</w:t>
      </w:r>
      <w:r w:rsidR="00AC6E91" w:rsidRPr="00F75515">
        <w:rPr>
          <w:rStyle w:val="jonChar"/>
          <w:rFonts w:ascii="Times New Roman" w:eastAsia="Calibri" w:hAnsi="Times New Roman" w:cs="Times New Roman"/>
          <w:sz w:val="24"/>
          <w:szCs w:val="24"/>
        </w:rPr>
        <w:t xml:space="preserve">ype A </w:t>
      </w:r>
      <w:r>
        <w:t xml:space="preserve">for the treatment of urinary incontinence due to </w:t>
      </w:r>
      <w:r w:rsidR="00880E4A">
        <w:t>I</w:t>
      </w:r>
      <w:r w:rsidR="00AC6E91">
        <w:t>OAB</w:t>
      </w:r>
      <w:r>
        <w:t xml:space="preserve">. This was a co-dependent application with the Pharmaceutical Benefits Advisory </w:t>
      </w:r>
      <w:r w:rsidR="00AC6E91">
        <w:t>PBAC</w:t>
      </w:r>
      <w:r>
        <w:t xml:space="preserve">, which assessed the safety, effectiveness and efficacy, cost-effectiveness and safety of </w:t>
      </w:r>
      <w:r w:rsidR="00AC6E91">
        <w:rPr>
          <w:rStyle w:val="jonChar"/>
          <w:rFonts w:ascii="Times New Roman" w:eastAsia="Calibri" w:hAnsi="Times New Roman" w:cs="Times New Roman"/>
          <w:sz w:val="24"/>
          <w:szCs w:val="24"/>
        </w:rPr>
        <w:t>botulinum toxin t</w:t>
      </w:r>
      <w:r w:rsidR="00AC6E91" w:rsidRPr="00F75515">
        <w:rPr>
          <w:rStyle w:val="jonChar"/>
          <w:rFonts w:ascii="Times New Roman" w:eastAsia="Calibri" w:hAnsi="Times New Roman" w:cs="Times New Roman"/>
          <w:sz w:val="24"/>
          <w:szCs w:val="24"/>
        </w:rPr>
        <w:t xml:space="preserve">ype </w:t>
      </w:r>
      <w:proofErr w:type="gramStart"/>
      <w:r w:rsidR="00AC6E91" w:rsidRPr="00F75515">
        <w:rPr>
          <w:rStyle w:val="jonChar"/>
          <w:rFonts w:ascii="Times New Roman" w:eastAsia="Calibri" w:hAnsi="Times New Roman" w:cs="Times New Roman"/>
          <w:sz w:val="24"/>
          <w:szCs w:val="24"/>
        </w:rPr>
        <w:t>A</w:t>
      </w:r>
      <w:proofErr w:type="gramEnd"/>
      <w:r w:rsidR="00D560BC">
        <w:t xml:space="preserve"> </w:t>
      </w:r>
      <w:r>
        <w:t>injection for treating this condition. MSAC’s role was to consider the wording of the MBS item descriptor, the MBS fee and the financial implications of publicly funding the intravesical injection procedure.</w:t>
      </w:r>
    </w:p>
    <w:p w:rsidR="00A83A53" w:rsidRDefault="00A83A53" w:rsidP="007D507A">
      <w:pPr>
        <w:pStyle w:val="Style10"/>
      </w:pPr>
    </w:p>
    <w:p w:rsidR="00A83A53" w:rsidRDefault="00A83A53" w:rsidP="007D507A">
      <w:pPr>
        <w:pStyle w:val="Style10"/>
      </w:pPr>
      <w:r>
        <w:t xml:space="preserve">The proposed procedure involves twenty 100 U injections of </w:t>
      </w:r>
      <w:r w:rsidR="00AC6E91">
        <w:rPr>
          <w:rStyle w:val="jonChar"/>
          <w:rFonts w:ascii="Times New Roman" w:eastAsia="Calibri" w:hAnsi="Times New Roman" w:cs="Times New Roman"/>
          <w:sz w:val="24"/>
          <w:szCs w:val="24"/>
        </w:rPr>
        <w:t>botulinum toxin t</w:t>
      </w:r>
      <w:r w:rsidR="00AC6E91" w:rsidRPr="00F75515">
        <w:rPr>
          <w:rStyle w:val="jonChar"/>
          <w:rFonts w:ascii="Times New Roman" w:eastAsia="Calibri" w:hAnsi="Times New Roman" w:cs="Times New Roman"/>
          <w:sz w:val="24"/>
          <w:szCs w:val="24"/>
        </w:rPr>
        <w:t xml:space="preserve">ype A </w:t>
      </w:r>
      <w:r>
        <w:t>into the muscle of the bladder wall at 1 cm intervals using a rigid or flexible cystoscope. Clinical improvement happens within 2 weeks and the median time to retreatment was approximately 6 months in clinical trials. The delivery is proposed to be restricted to approved urologists and urogynaecologists. Generally the procedure is performed in hospital on day-admitted patients.</w:t>
      </w:r>
    </w:p>
    <w:p w:rsidR="00A83A53" w:rsidRDefault="00A83A53" w:rsidP="007D507A">
      <w:pPr>
        <w:pStyle w:val="Style10"/>
      </w:pPr>
    </w:p>
    <w:p w:rsidR="00A83A53" w:rsidRDefault="00A83A53" w:rsidP="007D507A">
      <w:pPr>
        <w:pStyle w:val="Style10"/>
      </w:pPr>
      <w:r>
        <w:t>The proposed item descriptor would limit botulinum toxin injection</w:t>
      </w:r>
      <w:r w:rsidR="00AC6E91">
        <w:t>s</w:t>
      </w:r>
      <w:r>
        <w:t xml:space="preserve"> to patients &gt;18 years with ≥14 episodes of urinary inconti</w:t>
      </w:r>
      <w:r w:rsidR="00880E4A">
        <w:t>nence due to I</w:t>
      </w:r>
      <w:r>
        <w:t xml:space="preserve">OAB per week who have failed or are intolerant of two or more anticholinergics and who are willing and able to self-catheterise. MSAC noted that the proposed item descriptor does not provide for general anaesthesia. The applicant stated that </w:t>
      </w:r>
      <w:r>
        <w:rPr>
          <w:b/>
        </w:rPr>
        <w:t>(redacted information</w:t>
      </w:r>
      <w:proofErr w:type="gramStart"/>
      <w:r>
        <w:rPr>
          <w:b/>
        </w:rPr>
        <w:t>)</w:t>
      </w:r>
      <w:r w:rsidRPr="00543E5E">
        <w:t>%</w:t>
      </w:r>
      <w:proofErr w:type="gramEnd"/>
      <w:r>
        <w:t xml:space="preserve"> of patients will require local anaesthesia only. However, this would leave a subset of patients that</w:t>
      </w:r>
      <w:r w:rsidR="000A7152">
        <w:t xml:space="preserve"> do </w:t>
      </w:r>
      <w:r>
        <w:t>require anaesthesia with extended out-of-pocket costs. MSAC noted that the lack of an anaesthesia requirement may result in procedures being performed in specialist’s clinics rather than in hospital. MSAC accepted that the delivery of anaesth</w:t>
      </w:r>
      <w:r w:rsidR="00880E4A">
        <w:t>esia differed in patients with I</w:t>
      </w:r>
      <w:r>
        <w:t>OAB compared with patients with urinary incontinence due to neurogenic detrusor overactivity (NDO) considered in April 2013; general anaesthesia is needed in NDO patients to help prevent spasms occurring during the procedure.</w:t>
      </w:r>
    </w:p>
    <w:p w:rsidR="00A83A53" w:rsidRDefault="00A83A53" w:rsidP="007D507A">
      <w:pPr>
        <w:pStyle w:val="Style10"/>
      </w:pPr>
    </w:p>
    <w:p w:rsidR="00A83A53" w:rsidRDefault="00A83A53" w:rsidP="007D507A">
      <w:pPr>
        <w:pStyle w:val="Style10"/>
      </w:pPr>
      <w:r>
        <w:t xml:space="preserve">MSAC considered </w:t>
      </w:r>
      <w:r w:rsidR="009B7BDF">
        <w:t xml:space="preserve">the </w:t>
      </w:r>
      <w:r>
        <w:t>costs of this listing to the MBS</w:t>
      </w:r>
      <w:r w:rsidR="00880E4A">
        <w:t xml:space="preserve"> </w:t>
      </w:r>
      <w:r>
        <w:t>which was estimated at $123 million over 5 years. MSAC considered that this cost estimate may not be accurate. The epidemiological approach adopted as the basis for estimating costs to the MBS raised a concern that th</w:t>
      </w:r>
      <w:r w:rsidR="0078403E">
        <w:t xml:space="preserve">is </w:t>
      </w:r>
      <w:r>
        <w:t xml:space="preserve">may be an underestimate. This is because the percentage of patients currently not adequately managed, and therefore potentially eligible for this treatment, was </w:t>
      </w:r>
      <w:r>
        <w:lastRenderedPageBreak/>
        <w:t>based on expert opinion and unweighted means from four clinical trials. According to these trials, the failure rate of anticholinergics ma</w:t>
      </w:r>
      <w:r w:rsidR="00880E4A">
        <w:t>y range from 35% to 58% of the I</w:t>
      </w:r>
      <w:r>
        <w:t xml:space="preserve">OAB population. At 58%, the 5-year cost to the MBS would increase to $192 million. The financial model also assumed that </w:t>
      </w:r>
      <w:r w:rsidR="0081225C">
        <w:rPr>
          <w:b/>
        </w:rPr>
        <w:t>(redacted information</w:t>
      </w:r>
      <w:proofErr w:type="gramStart"/>
      <w:r w:rsidR="0081225C">
        <w:rPr>
          <w:b/>
        </w:rPr>
        <w:t>)</w:t>
      </w:r>
      <w:r>
        <w:t>%</w:t>
      </w:r>
      <w:proofErr w:type="gramEnd"/>
      <w:r>
        <w:t xml:space="preserve"> of patients who have failed on anticholinergics would seek botulinum toxin treatment; if this rose to </w:t>
      </w:r>
      <w:r w:rsidR="00DE5DD0">
        <w:rPr>
          <w:b/>
        </w:rPr>
        <w:t>(redacted information)</w:t>
      </w:r>
      <w:r>
        <w:t xml:space="preserve">% the 5-year cost to the MBS would be </w:t>
      </w:r>
      <w:r w:rsidR="00DE5DD0">
        <w:t>greater than $100</w:t>
      </w:r>
      <w:r>
        <w:t> million.</w:t>
      </w:r>
    </w:p>
    <w:p w:rsidR="00A83A53" w:rsidRDefault="00A83A53" w:rsidP="007D507A">
      <w:pPr>
        <w:pStyle w:val="Style10"/>
      </w:pPr>
    </w:p>
    <w:p w:rsidR="00A83A53" w:rsidRDefault="00A83A53" w:rsidP="007D507A">
      <w:pPr>
        <w:pStyle w:val="Style10"/>
      </w:pPr>
      <w:r>
        <w:t xml:space="preserve">However, MSAC also </w:t>
      </w:r>
      <w:r w:rsidR="00AB0269">
        <w:t>noted</w:t>
      </w:r>
      <w:r>
        <w:t xml:space="preserve"> the constraints in the health care system which suggests that the projected numbers of intravesical injections may be well beyond the current capacity of the limited number of specialists and hospitals able to render the service. In addition, the estimates do not account for the split of services provided to private patients rendered in private or public hospitals (and so eligible for MBS funding) and public patients in public hospitals (and so not eligible for MBS funding).</w:t>
      </w:r>
    </w:p>
    <w:p w:rsidR="00A83A53" w:rsidRDefault="00A83A53" w:rsidP="007D507A">
      <w:pPr>
        <w:pStyle w:val="Style10"/>
      </w:pPr>
    </w:p>
    <w:p w:rsidR="00A83A53" w:rsidRDefault="00A83A53" w:rsidP="007D507A">
      <w:pPr>
        <w:pStyle w:val="Style10"/>
      </w:pPr>
      <w:r>
        <w:t>MSAC concluded that there remains considerable uncertainty about the financial impact of publicly funding intravesical inj</w:t>
      </w:r>
      <w:r w:rsidR="00880E4A">
        <w:t xml:space="preserve">ections of </w:t>
      </w:r>
      <w:r w:rsidR="00AB0269">
        <w:rPr>
          <w:rStyle w:val="jonChar"/>
          <w:rFonts w:ascii="Times New Roman" w:eastAsia="Calibri" w:hAnsi="Times New Roman" w:cs="Times New Roman"/>
          <w:sz w:val="24"/>
          <w:szCs w:val="24"/>
        </w:rPr>
        <w:t>botulinum toxin t</w:t>
      </w:r>
      <w:r w:rsidR="00AB0269" w:rsidRPr="00F75515">
        <w:rPr>
          <w:rStyle w:val="jonChar"/>
          <w:rFonts w:ascii="Times New Roman" w:eastAsia="Calibri" w:hAnsi="Times New Roman" w:cs="Times New Roman"/>
          <w:sz w:val="24"/>
          <w:szCs w:val="24"/>
        </w:rPr>
        <w:t>ype A</w:t>
      </w:r>
      <w:r w:rsidR="00880E4A">
        <w:t xml:space="preserve"> for I</w:t>
      </w:r>
      <w:r>
        <w:t>OAB. Based on the submitted estimates, it appears that the net cost to the MBS will be substantial or very substantial.</w:t>
      </w:r>
    </w:p>
    <w:p w:rsidR="00A83A53" w:rsidRDefault="00A83A53" w:rsidP="007D507A">
      <w:pPr>
        <w:pStyle w:val="Style10"/>
      </w:pPr>
    </w:p>
    <w:p w:rsidR="007D507A" w:rsidRDefault="00A83A53" w:rsidP="00882AA0">
      <w:pPr>
        <w:pStyle w:val="Style10"/>
      </w:pPr>
      <w:r>
        <w:t xml:space="preserve">MSAC noted that the proposed Schedule fee aligns with current MBS cystoscopy injection item 36851 and with April 2013 MSAC advice on injecting botulinum toxin for NDO. </w:t>
      </w:r>
    </w:p>
    <w:p w:rsidR="00882AA0" w:rsidRPr="00882AA0" w:rsidRDefault="00882AA0" w:rsidP="00882AA0">
      <w:pPr>
        <w:pStyle w:val="Style10"/>
      </w:pPr>
    </w:p>
    <w:p w:rsidR="00A83A53" w:rsidRDefault="00A83A53" w:rsidP="00882AA0">
      <w:pPr>
        <w:pStyle w:val="Style10"/>
        <w:rPr>
          <w:b/>
        </w:rPr>
      </w:pPr>
      <w:r>
        <w:rPr>
          <w:b/>
        </w:rPr>
        <w:t>Lay S</w:t>
      </w:r>
      <w:r w:rsidRPr="00D53853">
        <w:rPr>
          <w:b/>
        </w:rPr>
        <w:t>ummary</w:t>
      </w:r>
    </w:p>
    <w:p w:rsidR="00A83A53" w:rsidRDefault="00A83A53" w:rsidP="00882AA0">
      <w:pPr>
        <w:pStyle w:val="Style10"/>
      </w:pPr>
      <w:r>
        <w:t>MSAC considered an application to include injection of botulinum toxin (BOTOX</w:t>
      </w:r>
      <w:r w:rsidRPr="003B0DFE">
        <w:rPr>
          <w:vertAlign w:val="superscript"/>
        </w:rPr>
        <w:t>®</w:t>
      </w:r>
      <w:r>
        <w:t>) into the muscle wall of the bladder as a treatment for urinary incontinence due to idiopathic overactive bladder. This application was coordinated with a PBAC consideration of botulinum toxin for listing in the PBS for the same population.</w:t>
      </w:r>
    </w:p>
    <w:p w:rsidR="00A83A53" w:rsidRDefault="00A83A53" w:rsidP="007D507A">
      <w:pPr>
        <w:pStyle w:val="Style10"/>
      </w:pPr>
    </w:p>
    <w:p w:rsidR="00A83A53" w:rsidRDefault="00A83A53" w:rsidP="007D507A">
      <w:pPr>
        <w:pStyle w:val="Style10"/>
      </w:pPr>
      <w:r>
        <w:t>MSAC advised that the injection should be publicly funded, and that this should be coordinated with the listing of the medicine on the PBS. MSAC also expressed concerns that the estimated net cost to the MBS may not be accurate.</w:t>
      </w:r>
    </w:p>
    <w:p w:rsidR="00A31EAB" w:rsidRPr="00E93E23" w:rsidRDefault="00A31EAB" w:rsidP="007D507A">
      <w:pPr>
        <w:pStyle w:val="Style10"/>
        <w:rPr>
          <w:sz w:val="23"/>
          <w:szCs w:val="23"/>
        </w:rPr>
      </w:pPr>
    </w:p>
    <w:p w:rsidR="0075590C" w:rsidRPr="0075590C" w:rsidRDefault="0075590C" w:rsidP="00A31EAB">
      <w:pPr>
        <w:pStyle w:val="Style1"/>
        <w:rPr>
          <w:rFonts w:ascii="Arial" w:eastAsiaTheme="majorEastAsia" w:hAnsi="Arial" w:cstheme="majorBidi"/>
          <w:b/>
          <w:bCs/>
          <w:szCs w:val="28"/>
        </w:rPr>
      </w:pPr>
      <w:r w:rsidRPr="0075590C">
        <w:rPr>
          <w:rFonts w:ascii="Arial" w:eastAsiaTheme="majorEastAsia" w:hAnsi="Arial" w:cstheme="majorBidi"/>
          <w:b/>
          <w:bCs/>
          <w:szCs w:val="28"/>
        </w:rPr>
        <w:t>1</w:t>
      </w:r>
      <w:r w:rsidR="008D1677">
        <w:rPr>
          <w:rFonts w:ascii="Arial" w:eastAsiaTheme="majorEastAsia" w:hAnsi="Arial" w:cstheme="majorBidi"/>
          <w:b/>
          <w:bCs/>
          <w:szCs w:val="28"/>
        </w:rPr>
        <w:t>6</w:t>
      </w:r>
      <w:r w:rsidRPr="0075590C">
        <w:rPr>
          <w:rFonts w:ascii="Arial" w:eastAsiaTheme="majorEastAsia" w:hAnsi="Arial" w:cstheme="majorBidi"/>
          <w:b/>
          <w:bCs/>
          <w:szCs w:val="28"/>
        </w:rPr>
        <w:t>.</w:t>
      </w:r>
      <w:r w:rsidRPr="0075590C">
        <w:rPr>
          <w:rFonts w:ascii="Arial" w:eastAsiaTheme="majorEastAsia" w:hAnsi="Arial" w:cstheme="majorBidi"/>
          <w:b/>
          <w:bCs/>
          <w:szCs w:val="28"/>
        </w:rPr>
        <w:tab/>
        <w:t>MSAC’s advice to the Minister</w:t>
      </w:r>
    </w:p>
    <w:p w:rsidR="00655A3A" w:rsidRPr="00B2566A" w:rsidRDefault="00655A3A" w:rsidP="00054299">
      <w:pPr>
        <w:pStyle w:val="Style10"/>
        <w:rPr>
          <w:b/>
        </w:rPr>
      </w:pPr>
      <w:r>
        <w:t xml:space="preserve">MSAC supported public funding via the proposed MBS item with the wording of the item descriptor and timing of implementation coordinated with the PBS listing of </w:t>
      </w:r>
      <w:r w:rsidR="00AB0269">
        <w:rPr>
          <w:rStyle w:val="jonChar"/>
          <w:rFonts w:ascii="Times New Roman" w:eastAsia="Calibri" w:hAnsi="Times New Roman" w:cs="Times New Roman"/>
          <w:sz w:val="24"/>
          <w:szCs w:val="24"/>
        </w:rPr>
        <w:t>botulinum toxin t</w:t>
      </w:r>
      <w:r w:rsidR="00AB0269" w:rsidRPr="00F75515">
        <w:rPr>
          <w:rStyle w:val="jonChar"/>
          <w:rFonts w:ascii="Times New Roman" w:eastAsia="Calibri" w:hAnsi="Times New Roman" w:cs="Times New Roman"/>
          <w:sz w:val="24"/>
          <w:szCs w:val="24"/>
        </w:rPr>
        <w:t>ype A</w:t>
      </w:r>
      <w:r>
        <w:t>.</w:t>
      </w:r>
    </w:p>
    <w:p w:rsidR="00655A3A" w:rsidRDefault="00655A3A" w:rsidP="00054299">
      <w:pPr>
        <w:pStyle w:val="Style10"/>
        <w:rPr>
          <w:rFonts w:ascii="Tms Rmn" w:eastAsia="Calibri" w:hAnsi="Tms Rmn"/>
        </w:rPr>
      </w:pPr>
    </w:p>
    <w:tbl>
      <w:tblPr>
        <w:tblW w:w="5000" w:type="pct"/>
        <w:tblLayout w:type="fixed"/>
        <w:tblLook w:val="00A0" w:firstRow="1" w:lastRow="0" w:firstColumn="1" w:lastColumn="0" w:noHBand="0" w:noVBand="0"/>
      </w:tblPr>
      <w:tblGrid>
        <w:gridCol w:w="1172"/>
        <w:gridCol w:w="8070"/>
      </w:tblGrid>
      <w:tr w:rsidR="00655A3A" w:rsidTr="00D57B62">
        <w:tc>
          <w:tcPr>
            <w:tcW w:w="634" w:type="pct"/>
            <w:tcBorders>
              <w:top w:val="single" w:sz="6" w:space="0" w:color="000000"/>
              <w:left w:val="single" w:sz="6" w:space="0" w:color="000000"/>
              <w:bottom w:val="single" w:sz="6" w:space="0" w:color="000000"/>
              <w:right w:val="single" w:sz="6" w:space="0" w:color="000000"/>
            </w:tcBorders>
          </w:tcPr>
          <w:p w:rsidR="00655A3A" w:rsidRDefault="00655A3A" w:rsidP="007402C1">
            <w:pPr>
              <w:autoSpaceDE w:val="0"/>
              <w:autoSpaceDN w:val="0"/>
              <w:adjustRightInd w:val="0"/>
              <w:spacing w:line="240" w:lineRule="auto"/>
              <w:rPr>
                <w:rFonts w:ascii="Arial" w:eastAsia="Calibri" w:hAnsi="Arial" w:cs="Arial"/>
                <w:b/>
                <w:bCs/>
                <w:color w:val="000000"/>
                <w:sz w:val="20"/>
              </w:rPr>
            </w:pPr>
            <w:r>
              <w:rPr>
                <w:rFonts w:ascii="Arial" w:eastAsia="Calibri" w:hAnsi="Arial" w:cs="Arial"/>
                <w:b/>
                <w:bCs/>
                <w:color w:val="000000"/>
                <w:sz w:val="20"/>
              </w:rPr>
              <w:t>Draft new MBS item</w:t>
            </w:r>
          </w:p>
        </w:tc>
        <w:tc>
          <w:tcPr>
            <w:tcW w:w="4365" w:type="pct"/>
            <w:tcBorders>
              <w:top w:val="single" w:sz="6" w:space="0" w:color="000000"/>
              <w:left w:val="single" w:sz="6" w:space="0" w:color="000000"/>
              <w:bottom w:val="single" w:sz="6" w:space="0" w:color="000000"/>
              <w:right w:val="single" w:sz="6" w:space="0" w:color="000000"/>
            </w:tcBorders>
          </w:tcPr>
          <w:p w:rsidR="00655A3A" w:rsidRDefault="00655A3A" w:rsidP="007402C1">
            <w:pPr>
              <w:autoSpaceDE w:val="0"/>
              <w:autoSpaceDN w:val="0"/>
              <w:adjustRightInd w:val="0"/>
              <w:spacing w:line="240" w:lineRule="auto"/>
              <w:rPr>
                <w:rFonts w:ascii="Arial" w:eastAsia="Calibri" w:hAnsi="Arial" w:cs="Arial"/>
                <w:color w:val="000000"/>
                <w:sz w:val="20"/>
              </w:rPr>
            </w:pPr>
            <w:r>
              <w:rPr>
                <w:rFonts w:ascii="Arial" w:eastAsia="Calibri" w:hAnsi="Arial" w:cs="Arial"/>
                <w:color w:val="000000"/>
                <w:sz w:val="20"/>
              </w:rPr>
              <w:t>Category 3 – Group T11 – botulinum toxin injections</w:t>
            </w:r>
          </w:p>
        </w:tc>
      </w:tr>
      <w:tr w:rsidR="00655A3A" w:rsidTr="00D57B62">
        <w:tc>
          <w:tcPr>
            <w:tcW w:w="634" w:type="pct"/>
            <w:tcBorders>
              <w:top w:val="single" w:sz="6" w:space="0" w:color="000000"/>
              <w:left w:val="single" w:sz="6" w:space="0" w:color="000000"/>
              <w:bottom w:val="single" w:sz="6" w:space="0" w:color="000000"/>
              <w:right w:val="single" w:sz="6" w:space="0" w:color="000000"/>
            </w:tcBorders>
            <w:vAlign w:val="bottom"/>
          </w:tcPr>
          <w:p w:rsidR="00655A3A" w:rsidRDefault="00655A3A" w:rsidP="007402C1">
            <w:pPr>
              <w:autoSpaceDE w:val="0"/>
              <w:autoSpaceDN w:val="0"/>
              <w:adjustRightInd w:val="0"/>
              <w:spacing w:after="0" w:line="240" w:lineRule="auto"/>
              <w:rPr>
                <w:rFonts w:ascii="Arial" w:eastAsia="Calibri" w:hAnsi="Arial" w:cs="Arial"/>
                <w:b/>
                <w:bCs/>
                <w:color w:val="000000"/>
                <w:sz w:val="20"/>
              </w:rPr>
            </w:pPr>
            <w:r>
              <w:rPr>
                <w:rFonts w:ascii="Arial" w:eastAsia="Calibri" w:hAnsi="Arial" w:cs="Arial"/>
                <w:b/>
                <w:bCs/>
                <w:color w:val="000000"/>
                <w:sz w:val="20"/>
              </w:rPr>
              <w:t>New item 18379</w:t>
            </w:r>
          </w:p>
        </w:tc>
        <w:tc>
          <w:tcPr>
            <w:tcW w:w="4365" w:type="pct"/>
            <w:tcBorders>
              <w:top w:val="single" w:sz="6" w:space="0" w:color="000000"/>
              <w:left w:val="single" w:sz="6" w:space="0" w:color="000000"/>
              <w:bottom w:val="single" w:sz="6" w:space="0" w:color="000000"/>
              <w:right w:val="single" w:sz="6" w:space="0" w:color="000000"/>
            </w:tcBorders>
          </w:tcPr>
          <w:p w:rsidR="00655A3A" w:rsidRDefault="00655A3A" w:rsidP="007402C1">
            <w:pPr>
              <w:autoSpaceDE w:val="0"/>
              <w:autoSpaceDN w:val="0"/>
              <w:adjustRightInd w:val="0"/>
              <w:spacing w:line="240" w:lineRule="auto"/>
              <w:rPr>
                <w:rFonts w:ascii="Arial" w:eastAsia="Calibri" w:hAnsi="Arial" w:cs="Arial"/>
                <w:color w:val="000000"/>
                <w:sz w:val="20"/>
              </w:rPr>
            </w:pPr>
            <w:r>
              <w:rPr>
                <w:rFonts w:ascii="Arial" w:eastAsia="Calibri" w:hAnsi="Arial" w:cs="Arial"/>
                <w:color w:val="000000"/>
                <w:sz w:val="20"/>
              </w:rPr>
              <w:t>Botulinum toxin type A (Botox), intravesical injection of, with cystoscopy, for the treatment of urinary incontinence, including all such injections on any one day, if:</w:t>
            </w:r>
          </w:p>
          <w:p w:rsidR="00655A3A" w:rsidRDefault="00655A3A" w:rsidP="007402C1">
            <w:pPr>
              <w:autoSpaceDE w:val="0"/>
              <w:autoSpaceDN w:val="0"/>
              <w:adjustRightInd w:val="0"/>
              <w:spacing w:line="240" w:lineRule="auto"/>
              <w:ind w:left="720" w:hanging="360"/>
              <w:rPr>
                <w:rFonts w:ascii="Arial" w:eastAsia="Calibri" w:hAnsi="Arial" w:cs="Arial"/>
                <w:color w:val="000000"/>
                <w:sz w:val="20"/>
              </w:rPr>
            </w:pPr>
            <w:r>
              <w:rPr>
                <w:rFonts w:eastAsia="Calibri"/>
                <w:color w:val="000000"/>
                <w:sz w:val="20"/>
              </w:rPr>
              <w:t>(</w:t>
            </w:r>
            <w:r>
              <w:rPr>
                <w:rFonts w:ascii="Arial" w:eastAsia="Calibri" w:hAnsi="Arial" w:cs="Arial"/>
                <w:color w:val="000000"/>
                <w:sz w:val="20"/>
              </w:rPr>
              <w:t xml:space="preserve">a) the urinary incontinence is due to idiopathic overactive bladder in a patient: </w:t>
            </w:r>
            <w:r>
              <w:rPr>
                <w:rFonts w:ascii="Arial" w:eastAsia="Calibri" w:hAnsi="Arial" w:cs="Arial"/>
                <w:color w:val="000000"/>
                <w:sz w:val="20"/>
              </w:rPr>
              <w:br/>
              <w:t>(</w:t>
            </w:r>
            <w:proofErr w:type="spellStart"/>
            <w:r>
              <w:rPr>
                <w:rFonts w:ascii="Arial" w:eastAsia="Calibri" w:hAnsi="Arial" w:cs="Arial"/>
                <w:color w:val="000000"/>
                <w:sz w:val="20"/>
              </w:rPr>
              <w:t>i</w:t>
            </w:r>
            <w:proofErr w:type="spellEnd"/>
            <w:r>
              <w:rPr>
                <w:rFonts w:ascii="Arial" w:eastAsia="Calibri" w:hAnsi="Arial" w:cs="Arial"/>
                <w:color w:val="000000"/>
                <w:sz w:val="20"/>
              </w:rPr>
              <w:t xml:space="preserve">) who is at least 18 years of age; and </w:t>
            </w:r>
          </w:p>
          <w:p w:rsidR="00655A3A" w:rsidRDefault="00655A3A" w:rsidP="007402C1">
            <w:pPr>
              <w:autoSpaceDE w:val="0"/>
              <w:autoSpaceDN w:val="0"/>
              <w:adjustRightInd w:val="0"/>
              <w:spacing w:line="240" w:lineRule="auto"/>
              <w:ind w:left="720" w:firstLine="22"/>
              <w:rPr>
                <w:rFonts w:ascii="Arial" w:eastAsia="Calibri" w:hAnsi="Arial" w:cs="Arial"/>
                <w:color w:val="000000"/>
                <w:sz w:val="20"/>
              </w:rPr>
            </w:pPr>
            <w:r>
              <w:rPr>
                <w:rFonts w:ascii="Arial" w:eastAsia="Calibri" w:hAnsi="Arial" w:cs="Arial"/>
                <w:color w:val="000000"/>
                <w:sz w:val="20"/>
              </w:rPr>
              <w:t xml:space="preserve">(ii) the patient has urinary incontinence that has been inadequately controlled by at least two alternative anti-cholinergic agents, as manifested by having experienced at least 14 episodes of urinary incontinence per week before commencement of treatment with botulinum toxin type A; and </w:t>
            </w:r>
          </w:p>
          <w:p w:rsidR="00655A3A" w:rsidRDefault="00655A3A" w:rsidP="007402C1">
            <w:pPr>
              <w:autoSpaceDE w:val="0"/>
              <w:autoSpaceDN w:val="0"/>
              <w:adjustRightInd w:val="0"/>
              <w:spacing w:line="240" w:lineRule="auto"/>
              <w:ind w:left="720" w:hanging="360"/>
              <w:rPr>
                <w:rFonts w:ascii="Arial" w:eastAsia="Calibri" w:hAnsi="Arial" w:cs="Arial"/>
                <w:color w:val="000000"/>
                <w:sz w:val="20"/>
              </w:rPr>
            </w:pPr>
            <w:r>
              <w:rPr>
                <w:rFonts w:ascii="Arial" w:eastAsia="Calibri" w:hAnsi="Arial" w:cs="Arial"/>
                <w:color w:val="000000"/>
                <w:sz w:val="20"/>
              </w:rPr>
              <w:t xml:space="preserve">(b) the patient is willing and able to self-catheterise; and </w:t>
            </w:r>
          </w:p>
          <w:p w:rsidR="00655A3A" w:rsidRDefault="00655A3A" w:rsidP="007402C1">
            <w:pPr>
              <w:autoSpaceDE w:val="0"/>
              <w:autoSpaceDN w:val="0"/>
              <w:adjustRightInd w:val="0"/>
              <w:spacing w:line="240" w:lineRule="auto"/>
              <w:ind w:left="720" w:hanging="360"/>
              <w:rPr>
                <w:rFonts w:ascii="Arial" w:eastAsia="Calibri" w:hAnsi="Arial" w:cs="Arial"/>
                <w:color w:val="000000"/>
                <w:sz w:val="20"/>
              </w:rPr>
            </w:pPr>
            <w:r>
              <w:rPr>
                <w:rFonts w:ascii="Arial" w:eastAsia="Calibri" w:hAnsi="Arial" w:cs="Arial"/>
                <w:color w:val="000000"/>
                <w:sz w:val="20"/>
              </w:rPr>
              <w:t xml:space="preserve">(c) the requirements relating to botulinum toxin type A under the Pharmaceutical Benefits Scheme are complied with; and </w:t>
            </w:r>
          </w:p>
          <w:p w:rsidR="00655A3A" w:rsidRDefault="00655A3A" w:rsidP="007402C1">
            <w:pPr>
              <w:autoSpaceDE w:val="0"/>
              <w:autoSpaceDN w:val="0"/>
              <w:adjustRightInd w:val="0"/>
              <w:spacing w:line="240" w:lineRule="auto"/>
              <w:ind w:left="720" w:hanging="360"/>
              <w:rPr>
                <w:rFonts w:ascii="Arial" w:eastAsia="Calibri" w:hAnsi="Arial" w:cs="Arial"/>
                <w:color w:val="000000"/>
                <w:sz w:val="20"/>
              </w:rPr>
            </w:pPr>
            <w:r>
              <w:rPr>
                <w:rFonts w:ascii="Arial" w:eastAsia="Calibri" w:hAnsi="Arial" w:cs="Arial"/>
                <w:color w:val="000000"/>
                <w:sz w:val="20"/>
              </w:rPr>
              <w:lastRenderedPageBreak/>
              <w:t xml:space="preserve">(d) treatment is not provided on the same occasion as a service described in item 104, 105, 110, 116, 119, 11900 or 11919 </w:t>
            </w:r>
          </w:p>
          <w:p w:rsidR="00655A3A" w:rsidRDefault="00655A3A" w:rsidP="007402C1">
            <w:pPr>
              <w:autoSpaceDE w:val="0"/>
              <w:autoSpaceDN w:val="0"/>
              <w:adjustRightInd w:val="0"/>
              <w:spacing w:line="240" w:lineRule="auto"/>
              <w:ind w:left="396"/>
              <w:rPr>
                <w:rFonts w:ascii="Arial" w:eastAsia="Calibri" w:hAnsi="Arial" w:cs="Arial"/>
                <w:color w:val="000000"/>
                <w:sz w:val="20"/>
              </w:rPr>
            </w:pPr>
            <w:r>
              <w:rPr>
                <w:rFonts w:ascii="Arial" w:eastAsia="Calibri" w:hAnsi="Arial" w:cs="Arial"/>
                <w:color w:val="000000"/>
                <w:sz w:val="20"/>
              </w:rPr>
              <w:t xml:space="preserve">For each patient—applicable not more than once, except if the patient achieves at least a 50% reduction in urinary incontinence episodes from baseline at any time during the period of 6 to 12 weeks after first treatment </w:t>
            </w:r>
          </w:p>
          <w:p w:rsidR="00655A3A" w:rsidRDefault="00655A3A" w:rsidP="007402C1">
            <w:pPr>
              <w:autoSpaceDE w:val="0"/>
              <w:autoSpaceDN w:val="0"/>
              <w:adjustRightInd w:val="0"/>
              <w:spacing w:line="240" w:lineRule="auto"/>
              <w:ind w:left="317" w:firstLine="43"/>
              <w:rPr>
                <w:rFonts w:ascii="Arial" w:eastAsia="Calibri" w:hAnsi="Arial" w:cs="Arial"/>
                <w:color w:val="000000"/>
                <w:sz w:val="20"/>
              </w:rPr>
            </w:pPr>
            <w:r>
              <w:rPr>
                <w:rFonts w:ascii="Arial" w:eastAsia="Calibri" w:hAnsi="Arial" w:cs="Arial"/>
                <w:color w:val="000000"/>
                <w:sz w:val="20"/>
              </w:rPr>
              <w:t>(</w:t>
            </w:r>
            <w:proofErr w:type="spellStart"/>
            <w:r>
              <w:rPr>
                <w:rFonts w:ascii="Arial" w:eastAsia="Calibri" w:hAnsi="Arial" w:cs="Arial"/>
                <w:color w:val="000000"/>
                <w:sz w:val="20"/>
              </w:rPr>
              <w:t>Anaes</w:t>
            </w:r>
            <w:proofErr w:type="spellEnd"/>
            <w:r>
              <w:rPr>
                <w:rFonts w:ascii="Arial" w:eastAsia="Calibri" w:hAnsi="Arial" w:cs="Arial"/>
                <w:color w:val="000000"/>
                <w:sz w:val="20"/>
              </w:rPr>
              <w:t>.) (H)</w:t>
            </w:r>
          </w:p>
          <w:p w:rsidR="00655A3A" w:rsidRDefault="00655A3A" w:rsidP="007402C1">
            <w:pPr>
              <w:tabs>
                <w:tab w:val="left" w:pos="2514"/>
              </w:tabs>
              <w:autoSpaceDE w:val="0"/>
              <w:autoSpaceDN w:val="0"/>
              <w:adjustRightInd w:val="0"/>
              <w:spacing w:line="240" w:lineRule="auto"/>
              <w:ind w:left="360"/>
              <w:rPr>
                <w:rFonts w:ascii="Arial" w:eastAsia="Calibri" w:hAnsi="Arial" w:cs="Arial"/>
                <w:color w:val="000000"/>
                <w:sz w:val="20"/>
              </w:rPr>
            </w:pPr>
            <w:r>
              <w:rPr>
                <w:rFonts w:ascii="Arial" w:eastAsia="Calibri" w:hAnsi="Arial" w:cs="Arial"/>
                <w:b/>
                <w:bCs/>
                <w:color w:val="000000"/>
                <w:sz w:val="20"/>
              </w:rPr>
              <w:t>MBS fee:</w:t>
            </w:r>
            <w:r>
              <w:rPr>
                <w:rFonts w:ascii="Arial" w:eastAsia="Calibri" w:hAnsi="Arial" w:cs="Arial"/>
                <w:color w:val="000000"/>
                <w:sz w:val="20"/>
              </w:rPr>
              <w:t xml:space="preserve"> $229.85*  </w:t>
            </w:r>
            <w:r>
              <w:rPr>
                <w:rFonts w:ascii="Arial" w:eastAsia="Calibri" w:hAnsi="Arial" w:cs="Arial"/>
                <w:b/>
                <w:bCs/>
                <w:color w:val="000000"/>
                <w:sz w:val="20"/>
              </w:rPr>
              <w:t>Benefit:</w:t>
            </w:r>
            <w:r>
              <w:rPr>
                <w:rFonts w:ascii="Arial" w:eastAsia="Calibri" w:hAnsi="Arial" w:cs="Arial"/>
                <w:color w:val="000000"/>
                <w:sz w:val="20"/>
              </w:rPr>
              <w:t xml:space="preserve"> 75% = $172.40 </w:t>
            </w:r>
          </w:p>
        </w:tc>
      </w:tr>
    </w:tbl>
    <w:p w:rsidR="00655A3A" w:rsidRPr="004E4A88" w:rsidRDefault="00655A3A" w:rsidP="007402C1">
      <w:pPr>
        <w:spacing w:line="240" w:lineRule="auto"/>
        <w:rPr>
          <w:rFonts w:eastAsia="Calibri"/>
          <w:color w:val="000000"/>
          <w:sz w:val="20"/>
        </w:rPr>
      </w:pPr>
      <w:r w:rsidRPr="004E4A88">
        <w:rPr>
          <w:rFonts w:eastAsia="Calibri"/>
          <w:color w:val="000000"/>
          <w:sz w:val="20"/>
        </w:rPr>
        <w:lastRenderedPageBreak/>
        <w:t>*MBS fee and benefit (rebate) are at the 1 November 2012 rate.  Fee and benefit from 1 November 2014 will be at the 1 July 2014 indexed rate (e.g. $234.00 and $175.50 respectively).</w:t>
      </w:r>
    </w:p>
    <w:p w:rsidR="00655A3A" w:rsidRDefault="00655A3A" w:rsidP="00054299">
      <w:pPr>
        <w:pStyle w:val="Style10"/>
      </w:pPr>
      <w:r>
        <w:t>MSAC noted that the flow-on implications for MBS costs were large and highly uncertain and supported the Department undertaking further work to refine these estimates.</w:t>
      </w:r>
    </w:p>
    <w:p w:rsidR="00655A3A" w:rsidRPr="0075590C" w:rsidRDefault="00655A3A" w:rsidP="008D1677">
      <w:pPr>
        <w:pStyle w:val="Style1"/>
        <w:rPr>
          <w:lang w:eastAsia="en-US"/>
        </w:rPr>
      </w:pPr>
    </w:p>
    <w:p w:rsidR="0075590C" w:rsidRPr="0075590C" w:rsidRDefault="0075590C" w:rsidP="008D1677">
      <w:pPr>
        <w:keepNext/>
        <w:keepLines/>
        <w:spacing w:after="0" w:line="240" w:lineRule="auto"/>
        <w:outlineLvl w:val="0"/>
        <w:rPr>
          <w:rFonts w:ascii="Arial" w:eastAsiaTheme="majorEastAsia" w:hAnsi="Arial" w:cstheme="majorBidi"/>
          <w:b/>
          <w:bCs/>
          <w:szCs w:val="28"/>
        </w:rPr>
      </w:pPr>
      <w:r w:rsidRPr="0075590C">
        <w:rPr>
          <w:rFonts w:ascii="Arial" w:eastAsiaTheme="majorEastAsia" w:hAnsi="Arial" w:cstheme="majorBidi"/>
          <w:b/>
          <w:bCs/>
          <w:szCs w:val="28"/>
        </w:rPr>
        <w:t>1</w:t>
      </w:r>
      <w:r w:rsidR="008D1677">
        <w:rPr>
          <w:rFonts w:ascii="Arial" w:eastAsiaTheme="majorEastAsia" w:hAnsi="Arial" w:cstheme="majorBidi"/>
          <w:b/>
          <w:bCs/>
          <w:szCs w:val="28"/>
        </w:rPr>
        <w:t>7</w:t>
      </w:r>
      <w:r w:rsidRPr="0075590C">
        <w:rPr>
          <w:rFonts w:ascii="Arial" w:eastAsiaTheme="majorEastAsia" w:hAnsi="Arial" w:cstheme="majorBidi"/>
          <w:b/>
          <w:bCs/>
          <w:szCs w:val="28"/>
        </w:rPr>
        <w:t>.</w:t>
      </w:r>
      <w:r w:rsidRPr="0075590C">
        <w:rPr>
          <w:rFonts w:ascii="Arial" w:eastAsiaTheme="majorEastAsia" w:hAnsi="Arial" w:cstheme="majorBidi"/>
          <w:b/>
          <w:bCs/>
          <w:szCs w:val="28"/>
        </w:rPr>
        <w:tab/>
        <w:t>Applicant’s comments on MSAC’s Public Summary Document</w:t>
      </w:r>
    </w:p>
    <w:p w:rsidR="00727576" w:rsidRPr="00AC1C70" w:rsidRDefault="00AC1C70" w:rsidP="00727576">
      <w:pPr>
        <w:spacing w:after="0" w:line="240" w:lineRule="auto"/>
        <w:rPr>
          <w:szCs w:val="24"/>
        </w:rPr>
      </w:pPr>
      <w:r w:rsidRPr="00AC1C70">
        <w:rPr>
          <w:szCs w:val="24"/>
        </w:rPr>
        <w:t>No comment.</w:t>
      </w:r>
    </w:p>
    <w:p w:rsidR="008D1677" w:rsidRDefault="008D1677" w:rsidP="008D1677">
      <w:pPr>
        <w:keepNext/>
        <w:keepLines/>
        <w:spacing w:after="0" w:line="240" w:lineRule="auto"/>
        <w:outlineLvl w:val="0"/>
        <w:rPr>
          <w:rFonts w:ascii="Arial" w:eastAsiaTheme="majorEastAsia" w:hAnsi="Arial" w:cstheme="majorBidi"/>
          <w:b/>
          <w:bCs/>
          <w:szCs w:val="28"/>
        </w:rPr>
      </w:pPr>
    </w:p>
    <w:p w:rsidR="0075590C" w:rsidRPr="0075590C" w:rsidRDefault="0075590C" w:rsidP="008D1677">
      <w:pPr>
        <w:keepNext/>
        <w:keepLines/>
        <w:spacing w:after="0" w:line="240" w:lineRule="auto"/>
        <w:outlineLvl w:val="0"/>
        <w:rPr>
          <w:rFonts w:ascii="Arial" w:eastAsiaTheme="majorEastAsia" w:hAnsi="Arial" w:cstheme="majorBidi"/>
          <w:b/>
          <w:bCs/>
          <w:szCs w:val="28"/>
        </w:rPr>
      </w:pPr>
      <w:r w:rsidRPr="0075590C">
        <w:rPr>
          <w:rFonts w:ascii="Arial" w:eastAsiaTheme="majorEastAsia" w:hAnsi="Arial" w:cstheme="majorBidi"/>
          <w:b/>
          <w:bCs/>
          <w:szCs w:val="28"/>
        </w:rPr>
        <w:t>1</w:t>
      </w:r>
      <w:r w:rsidR="008D1677">
        <w:rPr>
          <w:rFonts w:ascii="Arial" w:eastAsiaTheme="majorEastAsia" w:hAnsi="Arial" w:cstheme="majorBidi"/>
          <w:b/>
          <w:bCs/>
          <w:szCs w:val="28"/>
        </w:rPr>
        <w:t>8</w:t>
      </w:r>
      <w:r w:rsidRPr="0075590C">
        <w:rPr>
          <w:rFonts w:ascii="Arial" w:eastAsiaTheme="majorEastAsia" w:hAnsi="Arial" w:cstheme="majorBidi"/>
          <w:b/>
          <w:bCs/>
          <w:szCs w:val="28"/>
        </w:rPr>
        <w:t>.</w:t>
      </w:r>
      <w:r w:rsidRPr="0075590C">
        <w:rPr>
          <w:rFonts w:ascii="Arial" w:eastAsiaTheme="majorEastAsia" w:hAnsi="Arial" w:cstheme="majorBidi"/>
          <w:b/>
          <w:bCs/>
          <w:szCs w:val="28"/>
        </w:rPr>
        <w:tab/>
        <w:t xml:space="preserve">Context for decision </w:t>
      </w:r>
    </w:p>
    <w:p w:rsidR="0075590C" w:rsidRPr="0075590C" w:rsidRDefault="0075590C" w:rsidP="00054299">
      <w:pPr>
        <w:pStyle w:val="Style10"/>
      </w:pPr>
      <w:r w:rsidRPr="0075590C">
        <w:t>This advice was made under the MSAC Terms of Reference.</w:t>
      </w:r>
    </w:p>
    <w:p w:rsidR="008D1677" w:rsidRDefault="008D1677" w:rsidP="00054299">
      <w:pPr>
        <w:pStyle w:val="Style10"/>
        <w:rPr>
          <w:lang w:val="en-US" w:eastAsia="en-US"/>
        </w:rPr>
      </w:pPr>
    </w:p>
    <w:p w:rsidR="0075590C" w:rsidRPr="0075590C" w:rsidRDefault="0075590C" w:rsidP="00054299">
      <w:pPr>
        <w:pStyle w:val="Style10"/>
        <w:rPr>
          <w:lang w:val="en-US" w:eastAsia="en-US"/>
        </w:rPr>
      </w:pPr>
      <w:r w:rsidRPr="0075590C">
        <w:rPr>
          <w:lang w:val="en-US" w:eastAsia="en-US"/>
        </w:rPr>
        <w:t xml:space="preserve">MSAC is to: </w:t>
      </w:r>
    </w:p>
    <w:p w:rsidR="007402C1" w:rsidRDefault="007402C1" w:rsidP="00054299">
      <w:pPr>
        <w:pStyle w:val="Style10"/>
        <w:rPr>
          <w:lang w:val="en-US" w:eastAsia="en-US"/>
        </w:rPr>
      </w:pPr>
    </w:p>
    <w:p w:rsidR="0075590C" w:rsidRPr="0075590C" w:rsidRDefault="0075590C" w:rsidP="00054299">
      <w:pPr>
        <w:pStyle w:val="Style10"/>
        <w:rPr>
          <w:lang w:val="en-US" w:eastAsia="en-US"/>
        </w:rPr>
      </w:pPr>
      <w:r w:rsidRPr="0075590C">
        <w:rPr>
          <w:lang w:val="en-US" w:eastAsia="en-US"/>
        </w:rPr>
        <w:t>Advise the Minister for Health on medical services that involve new or emerging technologies and procedures</w:t>
      </w:r>
      <w:r w:rsidRPr="0075590C">
        <w:t xml:space="preserve"> and, where relevant, amendment to existing MBS items</w:t>
      </w:r>
      <w:r w:rsidRPr="0075590C">
        <w:rPr>
          <w:lang w:val="en-US" w:eastAsia="en-US"/>
        </w:rPr>
        <w:t xml:space="preserve">, in relation to: </w:t>
      </w:r>
    </w:p>
    <w:p w:rsidR="0075590C" w:rsidRPr="0075590C" w:rsidRDefault="0075590C" w:rsidP="00F80B82">
      <w:pPr>
        <w:pStyle w:val="Style10"/>
        <w:numPr>
          <w:ilvl w:val="0"/>
          <w:numId w:val="5"/>
        </w:numPr>
        <w:rPr>
          <w:lang w:val="en-US" w:eastAsia="en-US"/>
        </w:rPr>
      </w:pPr>
      <w:r w:rsidRPr="0075590C">
        <w:rPr>
          <w:lang w:val="en-US" w:eastAsia="en-US"/>
        </w:rPr>
        <w:t xml:space="preserve">the strength of evidence in relation to the comparative safety, effectiveness, cost-effectiveness and total cost of the medical service; </w:t>
      </w:r>
    </w:p>
    <w:p w:rsidR="0075590C" w:rsidRPr="0075590C" w:rsidRDefault="0075590C" w:rsidP="00F80B82">
      <w:pPr>
        <w:pStyle w:val="Style10"/>
        <w:numPr>
          <w:ilvl w:val="0"/>
          <w:numId w:val="5"/>
        </w:numPr>
        <w:rPr>
          <w:lang w:val="en-US" w:eastAsia="en-US"/>
        </w:rPr>
      </w:pPr>
      <w:r w:rsidRPr="0075590C">
        <w:rPr>
          <w:lang w:val="en-US" w:eastAsia="en-US"/>
        </w:rPr>
        <w:t xml:space="preserve">whether public funding should be supported for the medical service and, if so, the circumstances under which public funding should be supported; </w:t>
      </w:r>
    </w:p>
    <w:p w:rsidR="0075590C" w:rsidRPr="0075590C" w:rsidRDefault="0075590C" w:rsidP="00F80B82">
      <w:pPr>
        <w:pStyle w:val="Style10"/>
        <w:numPr>
          <w:ilvl w:val="0"/>
          <w:numId w:val="5"/>
        </w:numPr>
        <w:rPr>
          <w:lang w:val="en-US" w:eastAsia="en-US"/>
        </w:rPr>
      </w:pPr>
      <w:r w:rsidRPr="0075590C">
        <w:rPr>
          <w:lang w:val="en-US" w:eastAsia="en-US"/>
        </w:rPr>
        <w:t xml:space="preserve">the proposed Medicare Benefits Schedule (MBS) item descriptor and fee for the service where funding through the MBS is supported; </w:t>
      </w:r>
    </w:p>
    <w:p w:rsidR="0075590C" w:rsidRPr="0075590C" w:rsidRDefault="0075590C" w:rsidP="00F80B82">
      <w:pPr>
        <w:pStyle w:val="Style10"/>
        <w:numPr>
          <w:ilvl w:val="0"/>
          <w:numId w:val="5"/>
        </w:numPr>
        <w:rPr>
          <w:lang w:val="en-US" w:eastAsia="en-US"/>
        </w:rPr>
      </w:pPr>
      <w:r w:rsidRPr="0075590C">
        <w:rPr>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period;</w:t>
      </w:r>
    </w:p>
    <w:p w:rsidR="0075590C" w:rsidRPr="0075590C" w:rsidRDefault="0075590C" w:rsidP="00F80B82">
      <w:pPr>
        <w:pStyle w:val="Style10"/>
        <w:numPr>
          <w:ilvl w:val="0"/>
          <w:numId w:val="5"/>
        </w:numPr>
        <w:rPr>
          <w:lang w:val="en-US" w:eastAsia="en-US"/>
        </w:rPr>
      </w:pPr>
      <w:proofErr w:type="gramStart"/>
      <w:r w:rsidRPr="0075590C">
        <w:rPr>
          <w:lang w:val="en-US" w:eastAsia="en-US"/>
        </w:rPr>
        <w:t>other</w:t>
      </w:r>
      <w:proofErr w:type="gramEnd"/>
      <w:r w:rsidRPr="0075590C">
        <w:rPr>
          <w:lang w:val="en-US" w:eastAsia="en-US"/>
        </w:rPr>
        <w:t xml:space="preserve"> matters related to the public funding of health services referred by the Minister.</w:t>
      </w:r>
    </w:p>
    <w:p w:rsidR="007402C1" w:rsidRDefault="007402C1" w:rsidP="007402C1">
      <w:pPr>
        <w:pStyle w:val="Style10"/>
        <w:rPr>
          <w:lang w:val="en-US" w:eastAsia="en-US"/>
        </w:rPr>
      </w:pPr>
    </w:p>
    <w:p w:rsidR="0075590C" w:rsidRPr="0075590C" w:rsidRDefault="0075590C" w:rsidP="007402C1">
      <w:pPr>
        <w:pStyle w:val="Style10"/>
        <w:rPr>
          <w:lang w:val="en-US" w:eastAsia="en-US"/>
        </w:rPr>
      </w:pPr>
      <w:proofErr w:type="gramStart"/>
      <w:r w:rsidRPr="0075590C">
        <w:rPr>
          <w:lang w:val="en-US" w:eastAsia="en-US"/>
        </w:rPr>
        <w:t>Advise</w:t>
      </w:r>
      <w:proofErr w:type="gramEnd"/>
      <w:r w:rsidRPr="0075590C">
        <w:rPr>
          <w:lang w:val="en-US" w:eastAsia="en-US"/>
        </w:rPr>
        <w:t xml:space="preserve"> the Australian Health Ministers’ Advisory Council (AHMAC) on health technology assessments referred under AHMAC arrangements. </w:t>
      </w:r>
    </w:p>
    <w:p w:rsidR="00E601B6" w:rsidRDefault="00E601B6" w:rsidP="00054299">
      <w:pPr>
        <w:pStyle w:val="Style10"/>
        <w:rPr>
          <w:lang w:val="en-US" w:eastAsia="en-US"/>
        </w:rPr>
      </w:pPr>
    </w:p>
    <w:p w:rsidR="0075590C" w:rsidRDefault="0075590C" w:rsidP="00054299">
      <w:pPr>
        <w:pStyle w:val="Style10"/>
        <w:rPr>
          <w:lang w:val="en-US" w:eastAsia="en-US"/>
        </w:rPr>
      </w:pPr>
      <w:r w:rsidRPr="0075590C">
        <w:rPr>
          <w:lang w:val="en-US" w:eastAsia="en-US"/>
        </w:rPr>
        <w:t>MSAC may also establish sub-committees to assist MSAC to effectively undertake its role. MSAC may delegate some of its functions to its Executive sub-committee.</w:t>
      </w:r>
    </w:p>
    <w:p w:rsidR="008D1677" w:rsidRPr="0075590C" w:rsidRDefault="008D1677" w:rsidP="00054299">
      <w:pPr>
        <w:pStyle w:val="Style10"/>
        <w:rPr>
          <w:lang w:val="en-US" w:eastAsia="en-US"/>
        </w:rPr>
      </w:pPr>
    </w:p>
    <w:p w:rsidR="0075590C" w:rsidRPr="0075590C" w:rsidRDefault="0075590C" w:rsidP="008D1677">
      <w:pPr>
        <w:keepNext/>
        <w:keepLines/>
        <w:spacing w:after="0" w:line="240" w:lineRule="auto"/>
        <w:outlineLvl w:val="0"/>
        <w:rPr>
          <w:rFonts w:ascii="Arial" w:eastAsiaTheme="majorEastAsia" w:hAnsi="Arial" w:cstheme="majorBidi"/>
          <w:b/>
          <w:bCs/>
          <w:szCs w:val="28"/>
        </w:rPr>
      </w:pPr>
      <w:r w:rsidRPr="0075590C">
        <w:rPr>
          <w:rFonts w:ascii="Arial" w:eastAsiaTheme="majorEastAsia" w:hAnsi="Arial" w:cstheme="majorBidi"/>
          <w:b/>
          <w:bCs/>
          <w:szCs w:val="28"/>
        </w:rPr>
        <w:t>1</w:t>
      </w:r>
      <w:r w:rsidR="008D1677">
        <w:rPr>
          <w:rFonts w:ascii="Arial" w:eastAsiaTheme="majorEastAsia" w:hAnsi="Arial" w:cstheme="majorBidi"/>
          <w:b/>
          <w:bCs/>
          <w:szCs w:val="28"/>
        </w:rPr>
        <w:t>9</w:t>
      </w:r>
      <w:r w:rsidRPr="0075590C">
        <w:rPr>
          <w:rFonts w:ascii="Arial" w:eastAsiaTheme="majorEastAsia" w:hAnsi="Arial" w:cstheme="majorBidi"/>
          <w:b/>
          <w:bCs/>
          <w:szCs w:val="28"/>
        </w:rPr>
        <w:t>.</w:t>
      </w:r>
      <w:r w:rsidRPr="0075590C">
        <w:rPr>
          <w:rFonts w:ascii="Arial" w:eastAsiaTheme="majorEastAsia" w:hAnsi="Arial" w:cstheme="majorBidi"/>
          <w:b/>
          <w:bCs/>
          <w:szCs w:val="28"/>
        </w:rPr>
        <w:tab/>
        <w:t xml:space="preserve">Linkages to other documents </w:t>
      </w:r>
    </w:p>
    <w:p w:rsidR="0075590C" w:rsidRPr="0075590C" w:rsidRDefault="0075590C" w:rsidP="008D1677">
      <w:pPr>
        <w:tabs>
          <w:tab w:val="left" w:pos="720"/>
        </w:tabs>
        <w:spacing w:after="0" w:line="240" w:lineRule="auto"/>
        <w:ind w:left="706" w:hanging="706"/>
        <w:rPr>
          <w:szCs w:val="24"/>
        </w:rPr>
      </w:pPr>
      <w:r w:rsidRPr="0075590C">
        <w:rPr>
          <w:szCs w:val="24"/>
        </w:rPr>
        <w:t xml:space="preserve">MSAC’s processes are detailed on the MSAC Website at: </w:t>
      </w:r>
      <w:hyperlink r:id="rId10" w:tooltip="Medical services advisory committee website" w:history="1">
        <w:r w:rsidRPr="0075590C">
          <w:rPr>
            <w:color w:val="0000FF"/>
            <w:szCs w:val="24"/>
            <w:u w:val="single"/>
          </w:rPr>
          <w:t>www.msac.gov.au</w:t>
        </w:r>
      </w:hyperlink>
      <w:r w:rsidRPr="0075590C">
        <w:rPr>
          <w:szCs w:val="24"/>
        </w:rPr>
        <w:t xml:space="preserve">.  </w:t>
      </w:r>
    </w:p>
    <w:sectPr w:rsidR="0075590C" w:rsidRPr="0075590C">
      <w:footerReference w:type="default" r:id="rId11"/>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DF" w:rsidRDefault="00A459DF">
      <w:r>
        <w:separator/>
      </w:r>
    </w:p>
  </w:endnote>
  <w:endnote w:type="continuationSeparator" w:id="0">
    <w:p w:rsidR="00A459DF" w:rsidRDefault="00A4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fornian FB">
    <w:altName w:val="Cambria Math"/>
    <w:panose1 w:val="0207040306080B030204"/>
    <w:charset w:val="00"/>
    <w:family w:val="roman"/>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572626"/>
      <w:docPartObj>
        <w:docPartGallery w:val="Page Numbers (Bottom of Page)"/>
        <w:docPartUnique/>
      </w:docPartObj>
    </w:sdtPr>
    <w:sdtEndPr>
      <w:rPr>
        <w:noProof/>
      </w:rPr>
    </w:sdtEndPr>
    <w:sdtContent>
      <w:p w:rsidR="002C203B" w:rsidRDefault="002C203B">
        <w:pPr>
          <w:pStyle w:val="Footer"/>
          <w:jc w:val="center"/>
        </w:pPr>
        <w:r>
          <w:fldChar w:fldCharType="begin"/>
        </w:r>
        <w:r>
          <w:instrText xml:space="preserve"> PAGE   \* MERGEFORMAT </w:instrText>
        </w:r>
        <w:r>
          <w:fldChar w:fldCharType="separate"/>
        </w:r>
        <w:r w:rsidR="000341B9">
          <w:rPr>
            <w:noProof/>
          </w:rPr>
          <w:t>1</w:t>
        </w:r>
        <w:r>
          <w:rPr>
            <w:noProof/>
          </w:rPr>
          <w:fldChar w:fldCharType="end"/>
        </w:r>
      </w:p>
    </w:sdtContent>
  </w:sdt>
  <w:p w:rsidR="002C203B" w:rsidRDefault="002C2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DF" w:rsidRDefault="00A459DF">
      <w:r>
        <w:separator/>
      </w:r>
    </w:p>
  </w:footnote>
  <w:footnote w:type="continuationSeparator" w:id="0">
    <w:p w:rsidR="00A459DF" w:rsidRDefault="00A45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D44"/>
    <w:multiLevelType w:val="hybridMultilevel"/>
    <w:tmpl w:val="9AF8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F1805"/>
    <w:multiLevelType w:val="hybridMultilevel"/>
    <w:tmpl w:val="0E24B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E77DC7"/>
    <w:multiLevelType w:val="hybridMultilevel"/>
    <w:tmpl w:val="FAB0BD8C"/>
    <w:lvl w:ilvl="0" w:tplc="C212B01E">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D714F3"/>
    <w:multiLevelType w:val="hybridMultilevel"/>
    <w:tmpl w:val="0C683AA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05"/>
    <w:rsid w:val="00001028"/>
    <w:rsid w:val="00002734"/>
    <w:rsid w:val="0000352B"/>
    <w:rsid w:val="00006389"/>
    <w:rsid w:val="000071B7"/>
    <w:rsid w:val="00010357"/>
    <w:rsid w:val="00020EB6"/>
    <w:rsid w:val="00024B10"/>
    <w:rsid w:val="0002517B"/>
    <w:rsid w:val="000341B9"/>
    <w:rsid w:val="0003441E"/>
    <w:rsid w:val="0003761F"/>
    <w:rsid w:val="000405BB"/>
    <w:rsid w:val="0004285F"/>
    <w:rsid w:val="00054299"/>
    <w:rsid w:val="00057229"/>
    <w:rsid w:val="0006145C"/>
    <w:rsid w:val="000631F7"/>
    <w:rsid w:val="00064798"/>
    <w:rsid w:val="0007037F"/>
    <w:rsid w:val="00070B42"/>
    <w:rsid w:val="000733B1"/>
    <w:rsid w:val="00073B31"/>
    <w:rsid w:val="000800AF"/>
    <w:rsid w:val="00080121"/>
    <w:rsid w:val="00080EA8"/>
    <w:rsid w:val="0008636E"/>
    <w:rsid w:val="00091192"/>
    <w:rsid w:val="00092BC7"/>
    <w:rsid w:val="00093783"/>
    <w:rsid w:val="0009390C"/>
    <w:rsid w:val="000A3118"/>
    <w:rsid w:val="000A5516"/>
    <w:rsid w:val="000A7152"/>
    <w:rsid w:val="000B6FA7"/>
    <w:rsid w:val="000C3F85"/>
    <w:rsid w:val="000C4EA3"/>
    <w:rsid w:val="000D0E99"/>
    <w:rsid w:val="000D3C17"/>
    <w:rsid w:val="000D48D6"/>
    <w:rsid w:val="000D4C7B"/>
    <w:rsid w:val="000D59F4"/>
    <w:rsid w:val="000E0A04"/>
    <w:rsid w:val="000E2A53"/>
    <w:rsid w:val="000E3C47"/>
    <w:rsid w:val="000E5A58"/>
    <w:rsid w:val="000E786D"/>
    <w:rsid w:val="000F0987"/>
    <w:rsid w:val="000F1FA6"/>
    <w:rsid w:val="000F2743"/>
    <w:rsid w:val="000F48E1"/>
    <w:rsid w:val="000F51B5"/>
    <w:rsid w:val="0011062D"/>
    <w:rsid w:val="0011086F"/>
    <w:rsid w:val="00111B1B"/>
    <w:rsid w:val="001140BD"/>
    <w:rsid w:val="0011495E"/>
    <w:rsid w:val="0012076C"/>
    <w:rsid w:val="001220DE"/>
    <w:rsid w:val="00122B4A"/>
    <w:rsid w:val="00125CC8"/>
    <w:rsid w:val="001268DC"/>
    <w:rsid w:val="0012704E"/>
    <w:rsid w:val="00134012"/>
    <w:rsid w:val="00136083"/>
    <w:rsid w:val="00136435"/>
    <w:rsid w:val="00137754"/>
    <w:rsid w:val="00137B09"/>
    <w:rsid w:val="001409A5"/>
    <w:rsid w:val="00142C76"/>
    <w:rsid w:val="001454E6"/>
    <w:rsid w:val="001466DD"/>
    <w:rsid w:val="001468F9"/>
    <w:rsid w:val="001558F3"/>
    <w:rsid w:val="00160401"/>
    <w:rsid w:val="001643C4"/>
    <w:rsid w:val="00167031"/>
    <w:rsid w:val="00167C97"/>
    <w:rsid w:val="00170FCF"/>
    <w:rsid w:val="0017559D"/>
    <w:rsid w:val="00176283"/>
    <w:rsid w:val="0017761D"/>
    <w:rsid w:val="00193EF2"/>
    <w:rsid w:val="0019749F"/>
    <w:rsid w:val="001A1E22"/>
    <w:rsid w:val="001A24AF"/>
    <w:rsid w:val="001A6F5F"/>
    <w:rsid w:val="001B2402"/>
    <w:rsid w:val="001B2E4B"/>
    <w:rsid w:val="001B5ADF"/>
    <w:rsid w:val="001B753E"/>
    <w:rsid w:val="001C163E"/>
    <w:rsid w:val="001D5B25"/>
    <w:rsid w:val="001E4933"/>
    <w:rsid w:val="001E59B7"/>
    <w:rsid w:val="001F2AEB"/>
    <w:rsid w:val="001F3344"/>
    <w:rsid w:val="001F60D8"/>
    <w:rsid w:val="001F656B"/>
    <w:rsid w:val="0020501B"/>
    <w:rsid w:val="0020705A"/>
    <w:rsid w:val="00214DB8"/>
    <w:rsid w:val="00220840"/>
    <w:rsid w:val="002446A7"/>
    <w:rsid w:val="002466D6"/>
    <w:rsid w:val="00250CD3"/>
    <w:rsid w:val="0025295B"/>
    <w:rsid w:val="0025440A"/>
    <w:rsid w:val="00261335"/>
    <w:rsid w:val="002662FF"/>
    <w:rsid w:val="00266B03"/>
    <w:rsid w:val="00270FE7"/>
    <w:rsid w:val="00274154"/>
    <w:rsid w:val="00275621"/>
    <w:rsid w:val="002757A8"/>
    <w:rsid w:val="00276D7D"/>
    <w:rsid w:val="00284546"/>
    <w:rsid w:val="002921D6"/>
    <w:rsid w:val="0029609E"/>
    <w:rsid w:val="002A5B99"/>
    <w:rsid w:val="002A7C06"/>
    <w:rsid w:val="002B08F9"/>
    <w:rsid w:val="002B2266"/>
    <w:rsid w:val="002B612F"/>
    <w:rsid w:val="002B75B8"/>
    <w:rsid w:val="002C0FA0"/>
    <w:rsid w:val="002C0FAF"/>
    <w:rsid w:val="002C203B"/>
    <w:rsid w:val="002C3408"/>
    <w:rsid w:val="002C4DDD"/>
    <w:rsid w:val="002C50B7"/>
    <w:rsid w:val="002C664D"/>
    <w:rsid w:val="002C7635"/>
    <w:rsid w:val="002C7DB2"/>
    <w:rsid w:val="002D0AD2"/>
    <w:rsid w:val="002D4ECD"/>
    <w:rsid w:val="002D79A5"/>
    <w:rsid w:val="002E5ECA"/>
    <w:rsid w:val="002F713E"/>
    <w:rsid w:val="002F73A5"/>
    <w:rsid w:val="002F7858"/>
    <w:rsid w:val="00300686"/>
    <w:rsid w:val="00302309"/>
    <w:rsid w:val="00302F3D"/>
    <w:rsid w:val="0031051C"/>
    <w:rsid w:val="003143CD"/>
    <w:rsid w:val="003248B4"/>
    <w:rsid w:val="00324DA6"/>
    <w:rsid w:val="00332626"/>
    <w:rsid w:val="0033262D"/>
    <w:rsid w:val="0034263E"/>
    <w:rsid w:val="003432AD"/>
    <w:rsid w:val="00353C3E"/>
    <w:rsid w:val="0036266D"/>
    <w:rsid w:val="003718DD"/>
    <w:rsid w:val="0037671E"/>
    <w:rsid w:val="00382496"/>
    <w:rsid w:val="003839D3"/>
    <w:rsid w:val="00384863"/>
    <w:rsid w:val="00391550"/>
    <w:rsid w:val="003933DC"/>
    <w:rsid w:val="003A07CD"/>
    <w:rsid w:val="003A0863"/>
    <w:rsid w:val="003B2381"/>
    <w:rsid w:val="003B5D63"/>
    <w:rsid w:val="003C0133"/>
    <w:rsid w:val="003C20E8"/>
    <w:rsid w:val="003C26A2"/>
    <w:rsid w:val="003C2A90"/>
    <w:rsid w:val="003C64F2"/>
    <w:rsid w:val="003C7903"/>
    <w:rsid w:val="003D0BF5"/>
    <w:rsid w:val="003E01F6"/>
    <w:rsid w:val="003E35D3"/>
    <w:rsid w:val="003E50EE"/>
    <w:rsid w:val="003E6362"/>
    <w:rsid w:val="003E7DE7"/>
    <w:rsid w:val="003F0CEE"/>
    <w:rsid w:val="003F53C9"/>
    <w:rsid w:val="003F6A3D"/>
    <w:rsid w:val="00401AF0"/>
    <w:rsid w:val="00415579"/>
    <w:rsid w:val="00421106"/>
    <w:rsid w:val="004321BB"/>
    <w:rsid w:val="00432E52"/>
    <w:rsid w:val="00436E57"/>
    <w:rsid w:val="00441071"/>
    <w:rsid w:val="00441676"/>
    <w:rsid w:val="00442A8A"/>
    <w:rsid w:val="004430EC"/>
    <w:rsid w:val="00444DEC"/>
    <w:rsid w:val="00444E24"/>
    <w:rsid w:val="00456018"/>
    <w:rsid w:val="00457294"/>
    <w:rsid w:val="00457B29"/>
    <w:rsid w:val="00457C98"/>
    <w:rsid w:val="00463001"/>
    <w:rsid w:val="0046520F"/>
    <w:rsid w:val="00466874"/>
    <w:rsid w:val="00466EA6"/>
    <w:rsid w:val="00476777"/>
    <w:rsid w:val="004768AD"/>
    <w:rsid w:val="00476F6F"/>
    <w:rsid w:val="00486AF0"/>
    <w:rsid w:val="0049308E"/>
    <w:rsid w:val="00497268"/>
    <w:rsid w:val="004A2F04"/>
    <w:rsid w:val="004A4B31"/>
    <w:rsid w:val="004B370F"/>
    <w:rsid w:val="004B7141"/>
    <w:rsid w:val="004B7714"/>
    <w:rsid w:val="004C3B16"/>
    <w:rsid w:val="004C3F1A"/>
    <w:rsid w:val="004C578D"/>
    <w:rsid w:val="004C5E63"/>
    <w:rsid w:val="004C61E7"/>
    <w:rsid w:val="004D1AF3"/>
    <w:rsid w:val="004D36EB"/>
    <w:rsid w:val="004D5926"/>
    <w:rsid w:val="004D6D85"/>
    <w:rsid w:val="004D7720"/>
    <w:rsid w:val="004E3957"/>
    <w:rsid w:val="004E58A3"/>
    <w:rsid w:val="004E5CEF"/>
    <w:rsid w:val="004F285D"/>
    <w:rsid w:val="004F3235"/>
    <w:rsid w:val="004F557A"/>
    <w:rsid w:val="004F6294"/>
    <w:rsid w:val="00501A11"/>
    <w:rsid w:val="00501DF7"/>
    <w:rsid w:val="00503848"/>
    <w:rsid w:val="00504513"/>
    <w:rsid w:val="00511B61"/>
    <w:rsid w:val="00512169"/>
    <w:rsid w:val="00513260"/>
    <w:rsid w:val="00513D6A"/>
    <w:rsid w:val="00514408"/>
    <w:rsid w:val="00514BA4"/>
    <w:rsid w:val="00515534"/>
    <w:rsid w:val="0051595B"/>
    <w:rsid w:val="00523377"/>
    <w:rsid w:val="0052459F"/>
    <w:rsid w:val="00525847"/>
    <w:rsid w:val="00526863"/>
    <w:rsid w:val="00531269"/>
    <w:rsid w:val="00532044"/>
    <w:rsid w:val="0053317A"/>
    <w:rsid w:val="00535175"/>
    <w:rsid w:val="0053675C"/>
    <w:rsid w:val="0054219B"/>
    <w:rsid w:val="0054470D"/>
    <w:rsid w:val="005451FB"/>
    <w:rsid w:val="00546979"/>
    <w:rsid w:val="00554AF4"/>
    <w:rsid w:val="00566125"/>
    <w:rsid w:val="00567E3B"/>
    <w:rsid w:val="00567E86"/>
    <w:rsid w:val="00570639"/>
    <w:rsid w:val="00570E5E"/>
    <w:rsid w:val="00573294"/>
    <w:rsid w:val="00575616"/>
    <w:rsid w:val="00575775"/>
    <w:rsid w:val="005759EB"/>
    <w:rsid w:val="00581B4B"/>
    <w:rsid w:val="005873F3"/>
    <w:rsid w:val="00590F99"/>
    <w:rsid w:val="005917D0"/>
    <w:rsid w:val="00591F75"/>
    <w:rsid w:val="00594062"/>
    <w:rsid w:val="005949D2"/>
    <w:rsid w:val="005A2EF7"/>
    <w:rsid w:val="005A44B0"/>
    <w:rsid w:val="005A6A0A"/>
    <w:rsid w:val="005B570C"/>
    <w:rsid w:val="005C27A6"/>
    <w:rsid w:val="005C33AB"/>
    <w:rsid w:val="005C3410"/>
    <w:rsid w:val="005C4631"/>
    <w:rsid w:val="005C7908"/>
    <w:rsid w:val="005D2418"/>
    <w:rsid w:val="005D4B07"/>
    <w:rsid w:val="005D57FF"/>
    <w:rsid w:val="005D66E1"/>
    <w:rsid w:val="005E5569"/>
    <w:rsid w:val="005E6D0E"/>
    <w:rsid w:val="005E78F1"/>
    <w:rsid w:val="005F00FC"/>
    <w:rsid w:val="005F5CE2"/>
    <w:rsid w:val="00601C25"/>
    <w:rsid w:val="00602635"/>
    <w:rsid w:val="006134EC"/>
    <w:rsid w:val="00617CD1"/>
    <w:rsid w:val="00622215"/>
    <w:rsid w:val="00622FF7"/>
    <w:rsid w:val="0062372E"/>
    <w:rsid w:val="00623A8C"/>
    <w:rsid w:val="00625B9D"/>
    <w:rsid w:val="006326F9"/>
    <w:rsid w:val="00637EB3"/>
    <w:rsid w:val="00642BB0"/>
    <w:rsid w:val="0064322F"/>
    <w:rsid w:val="0064772E"/>
    <w:rsid w:val="00651090"/>
    <w:rsid w:val="00655A3A"/>
    <w:rsid w:val="00655D03"/>
    <w:rsid w:val="00663D7F"/>
    <w:rsid w:val="00664A94"/>
    <w:rsid w:val="006654F0"/>
    <w:rsid w:val="00666AD1"/>
    <w:rsid w:val="00667127"/>
    <w:rsid w:val="006712AA"/>
    <w:rsid w:val="006770B5"/>
    <w:rsid w:val="0068218E"/>
    <w:rsid w:val="006831FC"/>
    <w:rsid w:val="00685839"/>
    <w:rsid w:val="00687999"/>
    <w:rsid w:val="00694D54"/>
    <w:rsid w:val="00695C26"/>
    <w:rsid w:val="00696979"/>
    <w:rsid w:val="00696D84"/>
    <w:rsid w:val="00697624"/>
    <w:rsid w:val="006A2FCE"/>
    <w:rsid w:val="006A2FE1"/>
    <w:rsid w:val="006A5437"/>
    <w:rsid w:val="006A5562"/>
    <w:rsid w:val="006A6A82"/>
    <w:rsid w:val="006A796F"/>
    <w:rsid w:val="006B3BB6"/>
    <w:rsid w:val="006B7086"/>
    <w:rsid w:val="006B7C5E"/>
    <w:rsid w:val="006C4EFA"/>
    <w:rsid w:val="006C5FBF"/>
    <w:rsid w:val="006C6EBE"/>
    <w:rsid w:val="006D2111"/>
    <w:rsid w:val="006D4702"/>
    <w:rsid w:val="006D5E83"/>
    <w:rsid w:val="006D6C00"/>
    <w:rsid w:val="006E2867"/>
    <w:rsid w:val="006E7064"/>
    <w:rsid w:val="006F018A"/>
    <w:rsid w:val="006F17B7"/>
    <w:rsid w:val="006F6427"/>
    <w:rsid w:val="006F79D5"/>
    <w:rsid w:val="00703EC9"/>
    <w:rsid w:val="00704C1D"/>
    <w:rsid w:val="00705346"/>
    <w:rsid w:val="007077EC"/>
    <w:rsid w:val="00711C44"/>
    <w:rsid w:val="00716CA1"/>
    <w:rsid w:val="00716FDE"/>
    <w:rsid w:val="00717094"/>
    <w:rsid w:val="007216AC"/>
    <w:rsid w:val="00727576"/>
    <w:rsid w:val="00731017"/>
    <w:rsid w:val="0073355F"/>
    <w:rsid w:val="00736C00"/>
    <w:rsid w:val="007402C1"/>
    <w:rsid w:val="0074101E"/>
    <w:rsid w:val="00744BD5"/>
    <w:rsid w:val="00747DD4"/>
    <w:rsid w:val="00750462"/>
    <w:rsid w:val="00753413"/>
    <w:rsid w:val="0075590C"/>
    <w:rsid w:val="00760975"/>
    <w:rsid w:val="00760BCE"/>
    <w:rsid w:val="00765C67"/>
    <w:rsid w:val="0077146B"/>
    <w:rsid w:val="007770E2"/>
    <w:rsid w:val="00780FA6"/>
    <w:rsid w:val="0078403E"/>
    <w:rsid w:val="00784E7B"/>
    <w:rsid w:val="00787DD4"/>
    <w:rsid w:val="007914C6"/>
    <w:rsid w:val="0079514D"/>
    <w:rsid w:val="00796C61"/>
    <w:rsid w:val="007A0EA8"/>
    <w:rsid w:val="007A20B1"/>
    <w:rsid w:val="007A22B2"/>
    <w:rsid w:val="007A4485"/>
    <w:rsid w:val="007A724F"/>
    <w:rsid w:val="007B011F"/>
    <w:rsid w:val="007B4328"/>
    <w:rsid w:val="007C08A9"/>
    <w:rsid w:val="007C1932"/>
    <w:rsid w:val="007C3833"/>
    <w:rsid w:val="007D507A"/>
    <w:rsid w:val="007D6C85"/>
    <w:rsid w:val="007E1D3C"/>
    <w:rsid w:val="007E2612"/>
    <w:rsid w:val="007F63DA"/>
    <w:rsid w:val="007F6AB3"/>
    <w:rsid w:val="00811964"/>
    <w:rsid w:val="0081225C"/>
    <w:rsid w:val="00817175"/>
    <w:rsid w:val="00821F0A"/>
    <w:rsid w:val="00826E4B"/>
    <w:rsid w:val="00830DEC"/>
    <w:rsid w:val="00832885"/>
    <w:rsid w:val="0083448F"/>
    <w:rsid w:val="00840C48"/>
    <w:rsid w:val="008419E2"/>
    <w:rsid w:val="00850745"/>
    <w:rsid w:val="00850868"/>
    <w:rsid w:val="0085146B"/>
    <w:rsid w:val="008539F8"/>
    <w:rsid w:val="008567F9"/>
    <w:rsid w:val="00860523"/>
    <w:rsid w:val="00871D14"/>
    <w:rsid w:val="00872836"/>
    <w:rsid w:val="00874D77"/>
    <w:rsid w:val="008751AF"/>
    <w:rsid w:val="00876142"/>
    <w:rsid w:val="00880E4A"/>
    <w:rsid w:val="00882AA0"/>
    <w:rsid w:val="008838AF"/>
    <w:rsid w:val="00884409"/>
    <w:rsid w:val="00885329"/>
    <w:rsid w:val="00886FD4"/>
    <w:rsid w:val="0089121C"/>
    <w:rsid w:val="008932F2"/>
    <w:rsid w:val="008A080B"/>
    <w:rsid w:val="008A2AC4"/>
    <w:rsid w:val="008A7D7E"/>
    <w:rsid w:val="008A7F4E"/>
    <w:rsid w:val="008B11F0"/>
    <w:rsid w:val="008B3A28"/>
    <w:rsid w:val="008B40EE"/>
    <w:rsid w:val="008C04A5"/>
    <w:rsid w:val="008C1775"/>
    <w:rsid w:val="008D0DF9"/>
    <w:rsid w:val="008D1677"/>
    <w:rsid w:val="008D40DB"/>
    <w:rsid w:val="008F1C46"/>
    <w:rsid w:val="008F2EFF"/>
    <w:rsid w:val="008F4E0A"/>
    <w:rsid w:val="008F6F05"/>
    <w:rsid w:val="009007BA"/>
    <w:rsid w:val="0090474D"/>
    <w:rsid w:val="00904E51"/>
    <w:rsid w:val="0090515A"/>
    <w:rsid w:val="00907076"/>
    <w:rsid w:val="00913870"/>
    <w:rsid w:val="00920B51"/>
    <w:rsid w:val="009276C8"/>
    <w:rsid w:val="00927FB7"/>
    <w:rsid w:val="00931CE8"/>
    <w:rsid w:val="00931ED6"/>
    <w:rsid w:val="00933157"/>
    <w:rsid w:val="00934875"/>
    <w:rsid w:val="00937181"/>
    <w:rsid w:val="00941A46"/>
    <w:rsid w:val="00942756"/>
    <w:rsid w:val="0094345E"/>
    <w:rsid w:val="00945205"/>
    <w:rsid w:val="0095007C"/>
    <w:rsid w:val="00952454"/>
    <w:rsid w:val="009524E1"/>
    <w:rsid w:val="00955E59"/>
    <w:rsid w:val="00981C3D"/>
    <w:rsid w:val="00981D0D"/>
    <w:rsid w:val="00990F07"/>
    <w:rsid w:val="00996FAC"/>
    <w:rsid w:val="009A0FB1"/>
    <w:rsid w:val="009A0FFB"/>
    <w:rsid w:val="009A15C4"/>
    <w:rsid w:val="009A2EAC"/>
    <w:rsid w:val="009B0120"/>
    <w:rsid w:val="009B2840"/>
    <w:rsid w:val="009B2DEF"/>
    <w:rsid w:val="009B39C2"/>
    <w:rsid w:val="009B7139"/>
    <w:rsid w:val="009B75BF"/>
    <w:rsid w:val="009B7BDF"/>
    <w:rsid w:val="009B7E26"/>
    <w:rsid w:val="009C01A4"/>
    <w:rsid w:val="009C4D7D"/>
    <w:rsid w:val="009C57B0"/>
    <w:rsid w:val="009D17E2"/>
    <w:rsid w:val="009D3C34"/>
    <w:rsid w:val="009D4B26"/>
    <w:rsid w:val="009D4CC8"/>
    <w:rsid w:val="009D6CEC"/>
    <w:rsid w:val="009D737A"/>
    <w:rsid w:val="009E330C"/>
    <w:rsid w:val="009E5775"/>
    <w:rsid w:val="009E60E0"/>
    <w:rsid w:val="009E620F"/>
    <w:rsid w:val="009E6FF3"/>
    <w:rsid w:val="009F266E"/>
    <w:rsid w:val="009F26EF"/>
    <w:rsid w:val="00A04AC8"/>
    <w:rsid w:val="00A04AE7"/>
    <w:rsid w:val="00A05A7E"/>
    <w:rsid w:val="00A068CB"/>
    <w:rsid w:val="00A13525"/>
    <w:rsid w:val="00A139A1"/>
    <w:rsid w:val="00A15C7E"/>
    <w:rsid w:val="00A31EAB"/>
    <w:rsid w:val="00A32D05"/>
    <w:rsid w:val="00A3427D"/>
    <w:rsid w:val="00A35329"/>
    <w:rsid w:val="00A431EA"/>
    <w:rsid w:val="00A458B9"/>
    <w:rsid w:val="00A45981"/>
    <w:rsid w:val="00A459DF"/>
    <w:rsid w:val="00A45D76"/>
    <w:rsid w:val="00A554D1"/>
    <w:rsid w:val="00A562D6"/>
    <w:rsid w:val="00A601B7"/>
    <w:rsid w:val="00A632DE"/>
    <w:rsid w:val="00A6373D"/>
    <w:rsid w:val="00A70E96"/>
    <w:rsid w:val="00A77DA3"/>
    <w:rsid w:val="00A82450"/>
    <w:rsid w:val="00A83A53"/>
    <w:rsid w:val="00A847E3"/>
    <w:rsid w:val="00A859D6"/>
    <w:rsid w:val="00A8649A"/>
    <w:rsid w:val="00A86D2E"/>
    <w:rsid w:val="00A86DB7"/>
    <w:rsid w:val="00A904D4"/>
    <w:rsid w:val="00A90BE2"/>
    <w:rsid w:val="00AA0455"/>
    <w:rsid w:val="00AA12DC"/>
    <w:rsid w:val="00AB0269"/>
    <w:rsid w:val="00AB100B"/>
    <w:rsid w:val="00AB119A"/>
    <w:rsid w:val="00AB390A"/>
    <w:rsid w:val="00AB3B25"/>
    <w:rsid w:val="00AB5D53"/>
    <w:rsid w:val="00AC0D01"/>
    <w:rsid w:val="00AC1C70"/>
    <w:rsid w:val="00AC45E0"/>
    <w:rsid w:val="00AC567C"/>
    <w:rsid w:val="00AC6E91"/>
    <w:rsid w:val="00AD2E72"/>
    <w:rsid w:val="00AD4ADA"/>
    <w:rsid w:val="00AD5A4D"/>
    <w:rsid w:val="00AE3781"/>
    <w:rsid w:val="00AE6D90"/>
    <w:rsid w:val="00AF101B"/>
    <w:rsid w:val="00AF2320"/>
    <w:rsid w:val="00AF6FFA"/>
    <w:rsid w:val="00B03DD6"/>
    <w:rsid w:val="00B11A7B"/>
    <w:rsid w:val="00B13856"/>
    <w:rsid w:val="00B23D3E"/>
    <w:rsid w:val="00B24047"/>
    <w:rsid w:val="00B24CD8"/>
    <w:rsid w:val="00B27407"/>
    <w:rsid w:val="00B31B21"/>
    <w:rsid w:val="00B4042F"/>
    <w:rsid w:val="00B40E51"/>
    <w:rsid w:val="00B416A0"/>
    <w:rsid w:val="00B417BF"/>
    <w:rsid w:val="00B42018"/>
    <w:rsid w:val="00B431D4"/>
    <w:rsid w:val="00B44676"/>
    <w:rsid w:val="00B4565E"/>
    <w:rsid w:val="00B458E5"/>
    <w:rsid w:val="00B45CDF"/>
    <w:rsid w:val="00B51CEE"/>
    <w:rsid w:val="00B51E10"/>
    <w:rsid w:val="00B52E78"/>
    <w:rsid w:val="00B52EB4"/>
    <w:rsid w:val="00B533AD"/>
    <w:rsid w:val="00B564A6"/>
    <w:rsid w:val="00B62BD6"/>
    <w:rsid w:val="00B63135"/>
    <w:rsid w:val="00B63A93"/>
    <w:rsid w:val="00B67F50"/>
    <w:rsid w:val="00B712A0"/>
    <w:rsid w:val="00B73F09"/>
    <w:rsid w:val="00B74013"/>
    <w:rsid w:val="00B76832"/>
    <w:rsid w:val="00B80BDC"/>
    <w:rsid w:val="00B83AF1"/>
    <w:rsid w:val="00B8545A"/>
    <w:rsid w:val="00B856A8"/>
    <w:rsid w:val="00B9010D"/>
    <w:rsid w:val="00B925B5"/>
    <w:rsid w:val="00B946F4"/>
    <w:rsid w:val="00BA12BD"/>
    <w:rsid w:val="00BA21AC"/>
    <w:rsid w:val="00BA32F7"/>
    <w:rsid w:val="00BA55CD"/>
    <w:rsid w:val="00BA6A90"/>
    <w:rsid w:val="00BB0DFE"/>
    <w:rsid w:val="00BC41B8"/>
    <w:rsid w:val="00BC5F4A"/>
    <w:rsid w:val="00BD3BA2"/>
    <w:rsid w:val="00BD403D"/>
    <w:rsid w:val="00BD6306"/>
    <w:rsid w:val="00BE3E53"/>
    <w:rsid w:val="00BE6F08"/>
    <w:rsid w:val="00BE7BF5"/>
    <w:rsid w:val="00BF2D8F"/>
    <w:rsid w:val="00C056A7"/>
    <w:rsid w:val="00C06EC0"/>
    <w:rsid w:val="00C076A5"/>
    <w:rsid w:val="00C07A39"/>
    <w:rsid w:val="00C11398"/>
    <w:rsid w:val="00C12267"/>
    <w:rsid w:val="00C12AE1"/>
    <w:rsid w:val="00C2084B"/>
    <w:rsid w:val="00C210E1"/>
    <w:rsid w:val="00C21B71"/>
    <w:rsid w:val="00C22717"/>
    <w:rsid w:val="00C24984"/>
    <w:rsid w:val="00C31AE9"/>
    <w:rsid w:val="00C31D25"/>
    <w:rsid w:val="00C3407F"/>
    <w:rsid w:val="00C4061D"/>
    <w:rsid w:val="00C42580"/>
    <w:rsid w:val="00C42AD9"/>
    <w:rsid w:val="00C44CFA"/>
    <w:rsid w:val="00C4674F"/>
    <w:rsid w:val="00C46FA5"/>
    <w:rsid w:val="00C47600"/>
    <w:rsid w:val="00C479BF"/>
    <w:rsid w:val="00C509EA"/>
    <w:rsid w:val="00C511F5"/>
    <w:rsid w:val="00C54BB0"/>
    <w:rsid w:val="00C5723E"/>
    <w:rsid w:val="00C65578"/>
    <w:rsid w:val="00C7022D"/>
    <w:rsid w:val="00C720BA"/>
    <w:rsid w:val="00C76C0E"/>
    <w:rsid w:val="00C80D3D"/>
    <w:rsid w:val="00C8284F"/>
    <w:rsid w:val="00C837CA"/>
    <w:rsid w:val="00C85692"/>
    <w:rsid w:val="00C86219"/>
    <w:rsid w:val="00C865F4"/>
    <w:rsid w:val="00C8753A"/>
    <w:rsid w:val="00C9323E"/>
    <w:rsid w:val="00C947B7"/>
    <w:rsid w:val="00C95C67"/>
    <w:rsid w:val="00CA2A4E"/>
    <w:rsid w:val="00CA5E00"/>
    <w:rsid w:val="00CA6102"/>
    <w:rsid w:val="00CB06CD"/>
    <w:rsid w:val="00CB120F"/>
    <w:rsid w:val="00CB2112"/>
    <w:rsid w:val="00CB26C3"/>
    <w:rsid w:val="00CB3D36"/>
    <w:rsid w:val="00CB4FDE"/>
    <w:rsid w:val="00CB62B2"/>
    <w:rsid w:val="00CC39F7"/>
    <w:rsid w:val="00CC3F0F"/>
    <w:rsid w:val="00CD1AD1"/>
    <w:rsid w:val="00CD7E58"/>
    <w:rsid w:val="00CE0C4B"/>
    <w:rsid w:val="00CE244C"/>
    <w:rsid w:val="00CE336D"/>
    <w:rsid w:val="00CE7CB9"/>
    <w:rsid w:val="00CF4CC5"/>
    <w:rsid w:val="00CF4E14"/>
    <w:rsid w:val="00D00528"/>
    <w:rsid w:val="00D02C07"/>
    <w:rsid w:val="00D031D6"/>
    <w:rsid w:val="00D03757"/>
    <w:rsid w:val="00D04EF5"/>
    <w:rsid w:val="00D1188D"/>
    <w:rsid w:val="00D12328"/>
    <w:rsid w:val="00D13082"/>
    <w:rsid w:val="00D149B5"/>
    <w:rsid w:val="00D20C0B"/>
    <w:rsid w:val="00D2328F"/>
    <w:rsid w:val="00D23C2D"/>
    <w:rsid w:val="00D2439F"/>
    <w:rsid w:val="00D32B4C"/>
    <w:rsid w:val="00D350B1"/>
    <w:rsid w:val="00D400CA"/>
    <w:rsid w:val="00D42CC7"/>
    <w:rsid w:val="00D42E75"/>
    <w:rsid w:val="00D455E5"/>
    <w:rsid w:val="00D459C3"/>
    <w:rsid w:val="00D50151"/>
    <w:rsid w:val="00D5132B"/>
    <w:rsid w:val="00D54718"/>
    <w:rsid w:val="00D5554F"/>
    <w:rsid w:val="00D55AB4"/>
    <w:rsid w:val="00D560BC"/>
    <w:rsid w:val="00D63F95"/>
    <w:rsid w:val="00D6411B"/>
    <w:rsid w:val="00D70AD5"/>
    <w:rsid w:val="00D72E30"/>
    <w:rsid w:val="00D7504A"/>
    <w:rsid w:val="00D83CFE"/>
    <w:rsid w:val="00D84E8C"/>
    <w:rsid w:val="00D858DA"/>
    <w:rsid w:val="00D95ACC"/>
    <w:rsid w:val="00D97427"/>
    <w:rsid w:val="00DA0211"/>
    <w:rsid w:val="00DA280D"/>
    <w:rsid w:val="00DA3003"/>
    <w:rsid w:val="00DA38A9"/>
    <w:rsid w:val="00DA4D85"/>
    <w:rsid w:val="00DA5863"/>
    <w:rsid w:val="00DA6FD9"/>
    <w:rsid w:val="00DB0EF7"/>
    <w:rsid w:val="00DB310F"/>
    <w:rsid w:val="00DB6578"/>
    <w:rsid w:val="00DC0E36"/>
    <w:rsid w:val="00DC225A"/>
    <w:rsid w:val="00DC3412"/>
    <w:rsid w:val="00DC4DA4"/>
    <w:rsid w:val="00DC7A4C"/>
    <w:rsid w:val="00DE013E"/>
    <w:rsid w:val="00DE57EB"/>
    <w:rsid w:val="00DE5DD0"/>
    <w:rsid w:val="00DE6F7D"/>
    <w:rsid w:val="00DF076C"/>
    <w:rsid w:val="00DF0CCC"/>
    <w:rsid w:val="00DF3BFF"/>
    <w:rsid w:val="00DF502E"/>
    <w:rsid w:val="00DF65E7"/>
    <w:rsid w:val="00E00AC7"/>
    <w:rsid w:val="00E062E6"/>
    <w:rsid w:val="00E076BB"/>
    <w:rsid w:val="00E07BCB"/>
    <w:rsid w:val="00E07FC1"/>
    <w:rsid w:val="00E10552"/>
    <w:rsid w:val="00E14441"/>
    <w:rsid w:val="00E17CD2"/>
    <w:rsid w:val="00E21E37"/>
    <w:rsid w:val="00E2281C"/>
    <w:rsid w:val="00E26AC2"/>
    <w:rsid w:val="00E32407"/>
    <w:rsid w:val="00E33459"/>
    <w:rsid w:val="00E3409C"/>
    <w:rsid w:val="00E36301"/>
    <w:rsid w:val="00E3734E"/>
    <w:rsid w:val="00E4356A"/>
    <w:rsid w:val="00E5601E"/>
    <w:rsid w:val="00E601B6"/>
    <w:rsid w:val="00E6190B"/>
    <w:rsid w:val="00E6296D"/>
    <w:rsid w:val="00E62C7B"/>
    <w:rsid w:val="00E6357F"/>
    <w:rsid w:val="00E63754"/>
    <w:rsid w:val="00E63A7E"/>
    <w:rsid w:val="00E66801"/>
    <w:rsid w:val="00E703BA"/>
    <w:rsid w:val="00E70B1E"/>
    <w:rsid w:val="00E72FA3"/>
    <w:rsid w:val="00E800B4"/>
    <w:rsid w:val="00E804FB"/>
    <w:rsid w:val="00E81B68"/>
    <w:rsid w:val="00E82A51"/>
    <w:rsid w:val="00E85C9B"/>
    <w:rsid w:val="00E957B9"/>
    <w:rsid w:val="00EA0B6C"/>
    <w:rsid w:val="00EA1364"/>
    <w:rsid w:val="00EA1CEA"/>
    <w:rsid w:val="00EA486A"/>
    <w:rsid w:val="00EA49EE"/>
    <w:rsid w:val="00EA4AE1"/>
    <w:rsid w:val="00EA59B5"/>
    <w:rsid w:val="00EA7051"/>
    <w:rsid w:val="00EB5DE2"/>
    <w:rsid w:val="00EB7BED"/>
    <w:rsid w:val="00EC010E"/>
    <w:rsid w:val="00EC02A7"/>
    <w:rsid w:val="00EC1116"/>
    <w:rsid w:val="00EC7899"/>
    <w:rsid w:val="00ED023F"/>
    <w:rsid w:val="00ED3C05"/>
    <w:rsid w:val="00ED4767"/>
    <w:rsid w:val="00ED64DC"/>
    <w:rsid w:val="00EE1400"/>
    <w:rsid w:val="00EE19F6"/>
    <w:rsid w:val="00EE2649"/>
    <w:rsid w:val="00EE6131"/>
    <w:rsid w:val="00EF13B3"/>
    <w:rsid w:val="00EF467B"/>
    <w:rsid w:val="00EF79F5"/>
    <w:rsid w:val="00F048A6"/>
    <w:rsid w:val="00F15A93"/>
    <w:rsid w:val="00F17646"/>
    <w:rsid w:val="00F207A4"/>
    <w:rsid w:val="00F21251"/>
    <w:rsid w:val="00F24020"/>
    <w:rsid w:val="00F32A2B"/>
    <w:rsid w:val="00F4144E"/>
    <w:rsid w:val="00F42B65"/>
    <w:rsid w:val="00F45B3C"/>
    <w:rsid w:val="00F4681B"/>
    <w:rsid w:val="00F5553C"/>
    <w:rsid w:val="00F57581"/>
    <w:rsid w:val="00F64B04"/>
    <w:rsid w:val="00F705C8"/>
    <w:rsid w:val="00F736D8"/>
    <w:rsid w:val="00F753B3"/>
    <w:rsid w:val="00F75515"/>
    <w:rsid w:val="00F767AC"/>
    <w:rsid w:val="00F80B82"/>
    <w:rsid w:val="00F82C30"/>
    <w:rsid w:val="00F831A5"/>
    <w:rsid w:val="00F9113E"/>
    <w:rsid w:val="00F92E6E"/>
    <w:rsid w:val="00F97EEC"/>
    <w:rsid w:val="00FB38A3"/>
    <w:rsid w:val="00FB4197"/>
    <w:rsid w:val="00FB72AF"/>
    <w:rsid w:val="00FC14BC"/>
    <w:rsid w:val="00FC22F5"/>
    <w:rsid w:val="00FC43CF"/>
    <w:rsid w:val="00FC55CD"/>
    <w:rsid w:val="00FC5623"/>
    <w:rsid w:val="00FC5832"/>
    <w:rsid w:val="00FD12A7"/>
    <w:rsid w:val="00FD7B07"/>
    <w:rsid w:val="00FE1D01"/>
    <w:rsid w:val="00FE294F"/>
    <w:rsid w:val="00FF1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spacing w:after="120" w:line="360"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8D1677"/>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176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Pr>
      <w:rFonts w:ascii="Arial" w:hAnsi="Arial" w:cs="Arial"/>
      <w:sz w:val="22"/>
      <w:szCs w:val="22"/>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customStyle="1" w:styleId="CharChar1CharCharCharChar">
    <w:name w:val="Char Char1 Char Char Char Char"/>
    <w:basedOn w:val="Normal"/>
    <w:rPr>
      <w:rFonts w:ascii="Arial" w:hAnsi="Arial" w:cs="Arial"/>
      <w:sz w:val="22"/>
      <w:szCs w:val="22"/>
      <w:lang w:eastAsia="en-US"/>
    </w:rPr>
  </w:style>
  <w:style w:type="paragraph" w:styleId="FootnoteText">
    <w:name w:val="footnote text"/>
    <w:basedOn w:val="Normal"/>
    <w:link w:val="FootnoteTextChar"/>
    <w:rPr>
      <w:sz w:val="20"/>
    </w:rPr>
  </w:style>
  <w:style w:type="character" w:styleId="FootnoteReference">
    <w:name w:val="footnote reference"/>
    <w:uiPriority w:val="99"/>
    <w:semiHidden/>
    <w:rPr>
      <w:vertAlign w:val="superscript"/>
    </w:rPr>
  </w:style>
  <w:style w:type="paragraph" w:customStyle="1" w:styleId="Char">
    <w:name w:val="Char"/>
    <w:basedOn w:val="Normal"/>
    <w:link w:val="CharChar"/>
    <w:rPr>
      <w:rFonts w:ascii="Arial" w:hAnsi="Arial" w:cs="Arial"/>
      <w:sz w:val="22"/>
      <w:szCs w:val="22"/>
      <w:lang w:eastAsia="en-US"/>
    </w:rPr>
  </w:style>
  <w:style w:type="paragraph" w:customStyle="1" w:styleId="Tabletext">
    <w:name w:val="Table text"/>
    <w:basedOn w:val="Normal"/>
    <w:link w:val="TabletextChar"/>
    <w:qFormat/>
    <w:pPr>
      <w:keepNext/>
      <w:spacing w:before="60" w:after="40"/>
    </w:pPr>
    <w:rPr>
      <w:rFonts w:ascii="Arial Narrow" w:hAnsi="Arial Narrow"/>
      <w:sz w:val="20"/>
      <w:lang w:eastAsia="en-US"/>
    </w:rPr>
  </w:style>
  <w:style w:type="paragraph" w:customStyle="1" w:styleId="StyleExecSumm">
    <w:name w:val="Style ExecSumm"/>
    <w:basedOn w:val="Normal"/>
    <w:qFormat/>
    <w:pPr>
      <w:spacing w:after="240" w:line="288" w:lineRule="auto"/>
      <w:jc w:val="both"/>
    </w:pPr>
    <w:rPr>
      <w:rFonts w:ascii="Californian FB" w:hAnsi="Californian FB"/>
      <w:sz w:val="22"/>
      <w:szCs w:val="24"/>
      <w:lang w:eastAsia="en-US"/>
    </w:rPr>
  </w:style>
  <w:style w:type="paragraph" w:customStyle="1" w:styleId="Default">
    <w:name w:val="Default"/>
    <w:pPr>
      <w:autoSpaceDE w:val="0"/>
      <w:autoSpaceDN w:val="0"/>
      <w:adjustRightInd w:val="0"/>
    </w:pPr>
    <w:rPr>
      <w:rFonts w:ascii="Tahoma" w:hAnsi="Tahoma" w:cs="Tahoma"/>
      <w:color w:val="000000"/>
      <w:sz w:val="24"/>
      <w:szCs w:val="24"/>
      <w:lang w:val="en-US" w:eastAsia="en-US"/>
    </w:rPr>
  </w:style>
  <w:style w:type="paragraph" w:customStyle="1" w:styleId="Heading4">
    <w:name w:val="Heading4"/>
    <w:basedOn w:val="Normal"/>
    <w:next w:val="Normal"/>
    <w:qFormat/>
    <w:pPr>
      <w:keepNext/>
      <w:tabs>
        <w:tab w:val="left" w:pos="851"/>
      </w:tabs>
      <w:spacing w:before="240"/>
      <w:outlineLvl w:val="3"/>
    </w:pPr>
    <w:rPr>
      <w:rFonts w:ascii="Gill Sans MT" w:hAnsi="Gill Sans MT"/>
      <w:b/>
      <w:bCs/>
      <w:i/>
      <w:sz w:val="22"/>
      <w:szCs w:val="32"/>
      <w:lang w:val="x-none" w:eastAsia="en-US"/>
    </w:rPr>
  </w:style>
  <w:style w:type="paragraph" w:customStyle="1" w:styleId="Tablecaption">
    <w:name w:val="Table caption"/>
    <w:basedOn w:val="Caption"/>
    <w:link w:val="TablecaptionChar"/>
    <w:qFormat/>
    <w:pPr>
      <w:keepNext/>
      <w:spacing w:before="120"/>
      <w:ind w:left="1077" w:hanging="1077"/>
    </w:pPr>
    <w:rPr>
      <w:rFonts w:ascii="Gill Sans MT" w:hAnsi="Gill Sans MT"/>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Pr>
      <w:b/>
      <w:bCs/>
      <w:sz w:val="20"/>
    </w:rPr>
  </w:style>
  <w:style w:type="paragraph" w:styleId="ListParagraph">
    <w:name w:val="List Paragraph"/>
    <w:basedOn w:val="Normal"/>
    <w:uiPriority w:val="34"/>
    <w:qFormat/>
    <w:pPr>
      <w:spacing w:after="240"/>
      <w:contextualSpacing/>
      <w:jc w:val="both"/>
    </w:pPr>
    <w:rPr>
      <w:rFonts w:ascii="Garamond" w:eastAsia="Calibri" w:hAnsi="Garamond"/>
      <w:szCs w:val="24"/>
      <w:lang w:eastAsia="en-US"/>
    </w:rPr>
  </w:style>
  <w:style w:type="paragraph" w:customStyle="1" w:styleId="bulletpointstyle">
    <w:name w:val="bullet point style"/>
    <w:basedOn w:val="Normal"/>
    <w:pPr>
      <w:tabs>
        <w:tab w:val="num" w:pos="720"/>
      </w:tabs>
      <w:spacing w:after="240"/>
      <w:ind w:left="981"/>
      <w:jc w:val="both"/>
    </w:pPr>
    <w:rPr>
      <w:rFonts w:ascii="Garamond" w:eastAsia="Calibri" w:hAnsi="Garamond"/>
      <w:szCs w:val="24"/>
      <w:lang w:eastAsia="en-US"/>
    </w:rPr>
  </w:style>
  <w:style w:type="paragraph" w:customStyle="1" w:styleId="Tabletextbold">
    <w:name w:val="Table text bold"/>
    <w:basedOn w:val="Normal"/>
    <w:link w:val="TabletextboldChar"/>
    <w:pPr>
      <w:keepNext/>
      <w:spacing w:before="40" w:after="40"/>
    </w:pPr>
    <w:rPr>
      <w:rFonts w:ascii="Arial Narrow" w:eastAsia="Calibri" w:hAnsi="Arial Narrow" w:cs="Arial"/>
      <w:b/>
      <w:sz w:val="18"/>
      <w:lang w:eastAsia="en-US"/>
    </w:rPr>
  </w:style>
  <w:style w:type="character" w:customStyle="1" w:styleId="TabletextboldChar">
    <w:name w:val="Table text bold Char"/>
    <w:link w:val="Tabletextbold"/>
    <w:locked/>
    <w:rPr>
      <w:rFonts w:ascii="Arial Narrow" w:eastAsia="Calibri" w:hAnsi="Arial Narrow" w:cs="Arial"/>
      <w:b/>
      <w:sz w:val="18"/>
      <w:lang w:val="en-AU" w:eastAsia="en-US" w:bidi="ar-SA"/>
    </w:rPr>
  </w:style>
  <w:style w:type="character" w:customStyle="1" w:styleId="TabletextChar">
    <w:name w:val="Table text Char"/>
    <w:link w:val="Tabletext"/>
    <w:locked/>
    <w:rPr>
      <w:rFonts w:ascii="Arial Narrow" w:hAnsi="Arial Narrow"/>
      <w:lang w:val="en-AU" w:eastAsia="en-US" w:bidi="ar-SA"/>
    </w:rPr>
  </w:style>
  <w:style w:type="paragraph" w:customStyle="1" w:styleId="Tablename">
    <w:name w:val="Table name"/>
    <w:link w:val="TablenameChar"/>
    <w:pPr>
      <w:spacing w:before="40" w:after="40" w:line="276" w:lineRule="auto"/>
    </w:pPr>
    <w:rPr>
      <w:rFonts w:ascii="Arial" w:eastAsia="Calibri" w:hAnsi="Arial" w:cs="Arial"/>
      <w:b/>
      <w:sz w:val="18"/>
      <w:lang w:eastAsia="en-US"/>
    </w:rPr>
  </w:style>
  <w:style w:type="character" w:customStyle="1" w:styleId="TablenameChar">
    <w:name w:val="Table name Char"/>
    <w:link w:val="Tablename"/>
    <w:locked/>
    <w:rPr>
      <w:rFonts w:ascii="Arial" w:eastAsia="Calibri" w:hAnsi="Arial" w:cs="Arial"/>
      <w:b/>
      <w:sz w:val="18"/>
      <w:lang w:val="en-AU" w:eastAsia="en-US" w:bidi="ar-SA"/>
    </w:rPr>
  </w:style>
  <w:style w:type="character" w:styleId="Emphasis">
    <w:name w:val="Emphasis"/>
    <w:qFormat/>
    <w:rPr>
      <w:rFonts w:ascii="Garamond" w:hAnsi="Garamond" w:cs="Times New Roman"/>
      <w:i/>
      <w:sz w:val="24"/>
    </w:rPr>
  </w:style>
  <w:style w:type="table" w:styleId="TableGrid">
    <w:name w:val="Table Grid"/>
    <w:basedOn w:val="TableNormal"/>
    <w:rsid w:val="00DF5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1E4933"/>
  </w:style>
  <w:style w:type="paragraph" w:styleId="NormalWeb">
    <w:name w:val="Normal (Web)"/>
    <w:basedOn w:val="Normal"/>
    <w:uiPriority w:val="99"/>
    <w:rsid w:val="001E4933"/>
    <w:pPr>
      <w:spacing w:before="100" w:beforeAutospacing="1" w:after="100" w:afterAutospacing="1"/>
    </w:pPr>
    <w:rPr>
      <w:color w:val="000000"/>
      <w:szCs w:val="24"/>
    </w:rPr>
  </w:style>
  <w:style w:type="paragraph" w:styleId="Revision">
    <w:name w:val="Revision"/>
    <w:hidden/>
    <w:uiPriority w:val="99"/>
    <w:semiHidden/>
    <w:rsid w:val="00AB119A"/>
    <w:rPr>
      <w:sz w:val="24"/>
    </w:rPr>
  </w:style>
  <w:style w:type="character" w:customStyle="1" w:styleId="FooterChar">
    <w:name w:val="Footer Char"/>
    <w:basedOn w:val="DefaultParagraphFont"/>
    <w:link w:val="Footer"/>
    <w:uiPriority w:val="99"/>
    <w:rsid w:val="00913870"/>
    <w:rPr>
      <w:sz w:val="24"/>
    </w:rPr>
  </w:style>
  <w:style w:type="character" w:customStyle="1" w:styleId="CharChar">
    <w:name w:val="Char Char"/>
    <w:basedOn w:val="DefaultParagraphFont"/>
    <w:link w:val="Char"/>
    <w:rsid w:val="00DF65E7"/>
    <w:rPr>
      <w:rFonts w:ascii="Arial" w:hAnsi="Arial" w:cs="Arial"/>
      <w:sz w:val="22"/>
      <w:szCs w:val="22"/>
      <w:lang w:eastAsia="en-US"/>
    </w:rPr>
  </w:style>
  <w:style w:type="character" w:customStyle="1" w:styleId="apple-style-span">
    <w:name w:val="apple-style-span"/>
    <w:basedOn w:val="DefaultParagraphFont"/>
    <w:uiPriority w:val="99"/>
    <w:rsid w:val="00F9113E"/>
    <w:rPr>
      <w:rFonts w:cs="Times New Roman"/>
    </w:rPr>
  </w:style>
  <w:style w:type="character" w:customStyle="1" w:styleId="apple-converted-space">
    <w:name w:val="apple-converted-space"/>
    <w:basedOn w:val="DefaultParagraphFont"/>
    <w:uiPriority w:val="99"/>
    <w:rsid w:val="00F9113E"/>
    <w:rPr>
      <w:rFonts w:cs="Times New Roman"/>
    </w:rPr>
  </w:style>
  <w:style w:type="character" w:customStyle="1" w:styleId="Heading1Char">
    <w:name w:val="Heading 1 Char"/>
    <w:basedOn w:val="DefaultParagraphFont"/>
    <w:link w:val="Heading1"/>
    <w:rsid w:val="008D1677"/>
    <w:rPr>
      <w:rFonts w:ascii="Arial" w:eastAsiaTheme="majorEastAsia" w:hAnsi="Arial" w:cstheme="majorBidi"/>
      <w:b/>
      <w:bCs/>
      <w:sz w:val="24"/>
      <w:szCs w:val="28"/>
    </w:rPr>
  </w:style>
  <w:style w:type="character" w:customStyle="1" w:styleId="Heading3Char">
    <w:name w:val="Heading 3 Char"/>
    <w:basedOn w:val="DefaultParagraphFont"/>
    <w:link w:val="Heading3"/>
    <w:semiHidden/>
    <w:rsid w:val="00F17646"/>
    <w:rPr>
      <w:rFonts w:asciiTheme="majorHAnsi" w:eastAsiaTheme="majorEastAsia" w:hAnsiTheme="majorHAnsi" w:cstheme="majorBidi"/>
      <w:b/>
      <w:bCs/>
      <w:color w:val="4F81BD" w:themeColor="accent1"/>
      <w:sz w:val="24"/>
    </w:rPr>
  </w:style>
  <w:style w:type="character" w:customStyle="1" w:styleId="TablecaptionChar">
    <w:name w:val="Table caption Char"/>
    <w:basedOn w:val="DefaultParagraphFont"/>
    <w:link w:val="Tablecaption"/>
    <w:rsid w:val="000C4EA3"/>
    <w:rPr>
      <w:rFonts w:ascii="Gill Sans MT" w:hAnsi="Gill Sans MT"/>
      <w:b/>
      <w:bCs/>
      <w:lang w:eastAsia="en-US"/>
    </w:rPr>
  </w:style>
  <w:style w:type="paragraph" w:customStyle="1" w:styleId="Style1">
    <w:name w:val="Style1"/>
    <w:basedOn w:val="Normal"/>
    <w:link w:val="Style1Char"/>
    <w:qFormat/>
    <w:rsid w:val="00A31EAB"/>
    <w:pPr>
      <w:spacing w:after="0" w:line="240" w:lineRule="auto"/>
    </w:pPr>
  </w:style>
  <w:style w:type="character" w:customStyle="1" w:styleId="Style1Char">
    <w:name w:val="Style1 Char"/>
    <w:basedOn w:val="DefaultParagraphFont"/>
    <w:link w:val="Style1"/>
    <w:rsid w:val="00A31EAB"/>
    <w:rPr>
      <w:sz w:val="24"/>
    </w:rPr>
  </w:style>
  <w:style w:type="character" w:customStyle="1" w:styleId="FootnoteTextChar">
    <w:name w:val="Footnote Text Char"/>
    <w:basedOn w:val="DefaultParagraphFont"/>
    <w:link w:val="FootnoteText"/>
    <w:rsid w:val="00573294"/>
  </w:style>
  <w:style w:type="paragraph" w:customStyle="1" w:styleId="jon">
    <w:name w:val="jon"/>
    <w:basedOn w:val="Normal"/>
    <w:link w:val="jonChar"/>
    <w:qFormat/>
    <w:rsid w:val="00463001"/>
    <w:pPr>
      <w:spacing w:before="80" w:after="160"/>
    </w:pPr>
    <w:rPr>
      <w:rFonts w:ascii="Calibri" w:hAnsi="Calibri" w:cs="Arial"/>
      <w:sz w:val="22"/>
      <w:szCs w:val="22"/>
      <w:lang w:eastAsia="zh-CN"/>
    </w:rPr>
  </w:style>
  <w:style w:type="character" w:customStyle="1" w:styleId="jonChar">
    <w:name w:val="jon Char"/>
    <w:basedOn w:val="DefaultParagraphFont"/>
    <w:link w:val="jon"/>
    <w:rsid w:val="00463001"/>
    <w:rPr>
      <w:rFonts w:ascii="Calibri" w:hAnsi="Calibri" w:cs="Arial"/>
      <w:sz w:val="22"/>
      <w:szCs w:val="22"/>
      <w:lang w:eastAsia="zh-CN"/>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locked/>
    <w:rsid w:val="00E6357F"/>
    <w:rPr>
      <w:b/>
      <w:bCs/>
    </w:rPr>
  </w:style>
  <w:style w:type="paragraph" w:customStyle="1" w:styleId="Table-bodytext">
    <w:name w:val="Table - body text"/>
    <w:basedOn w:val="Normal"/>
    <w:link w:val="Table-bodytextChar"/>
    <w:rsid w:val="005B570C"/>
    <w:pPr>
      <w:widowControl w:val="0"/>
      <w:adjustRightInd w:val="0"/>
      <w:spacing w:after="0" w:line="240" w:lineRule="auto"/>
      <w:jc w:val="center"/>
      <w:textAlignment w:val="baseline"/>
    </w:pPr>
    <w:rPr>
      <w:rFonts w:cs="Arial"/>
      <w:sz w:val="20"/>
      <w:szCs w:val="24"/>
      <w:lang w:eastAsia="en-US"/>
    </w:rPr>
  </w:style>
  <w:style w:type="character" w:customStyle="1" w:styleId="Table-bodytextChar">
    <w:name w:val="Table - body text Char"/>
    <w:basedOn w:val="DefaultParagraphFont"/>
    <w:link w:val="Table-bodytext"/>
    <w:rsid w:val="005B570C"/>
    <w:rPr>
      <w:rFonts w:cs="Arial"/>
      <w:szCs w:val="24"/>
      <w:lang w:eastAsia="en-US"/>
    </w:rPr>
  </w:style>
  <w:style w:type="paragraph" w:customStyle="1" w:styleId="Style10">
    <w:name w:val="Style10"/>
    <w:basedOn w:val="Normal"/>
    <w:link w:val="Style10Char"/>
    <w:qFormat/>
    <w:rsid w:val="003E35D3"/>
    <w:pPr>
      <w:spacing w:after="0" w:line="240" w:lineRule="auto"/>
    </w:pPr>
    <w:rPr>
      <w:szCs w:val="24"/>
    </w:rPr>
  </w:style>
  <w:style w:type="character" w:customStyle="1" w:styleId="Style10Char">
    <w:name w:val="Style10 Char"/>
    <w:basedOn w:val="DefaultParagraphFont"/>
    <w:link w:val="Style10"/>
    <w:rsid w:val="003E35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spacing w:after="120" w:line="360"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8D1677"/>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176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Pr>
      <w:rFonts w:ascii="Arial" w:hAnsi="Arial" w:cs="Arial"/>
      <w:sz w:val="22"/>
      <w:szCs w:val="22"/>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customStyle="1" w:styleId="CharChar1CharCharCharChar">
    <w:name w:val="Char Char1 Char Char Char Char"/>
    <w:basedOn w:val="Normal"/>
    <w:rPr>
      <w:rFonts w:ascii="Arial" w:hAnsi="Arial" w:cs="Arial"/>
      <w:sz w:val="22"/>
      <w:szCs w:val="22"/>
      <w:lang w:eastAsia="en-US"/>
    </w:rPr>
  </w:style>
  <w:style w:type="paragraph" w:styleId="FootnoteText">
    <w:name w:val="footnote text"/>
    <w:basedOn w:val="Normal"/>
    <w:link w:val="FootnoteTextChar"/>
    <w:rPr>
      <w:sz w:val="20"/>
    </w:rPr>
  </w:style>
  <w:style w:type="character" w:styleId="FootnoteReference">
    <w:name w:val="footnote reference"/>
    <w:uiPriority w:val="99"/>
    <w:semiHidden/>
    <w:rPr>
      <w:vertAlign w:val="superscript"/>
    </w:rPr>
  </w:style>
  <w:style w:type="paragraph" w:customStyle="1" w:styleId="Char">
    <w:name w:val="Char"/>
    <w:basedOn w:val="Normal"/>
    <w:link w:val="CharChar"/>
    <w:rPr>
      <w:rFonts w:ascii="Arial" w:hAnsi="Arial" w:cs="Arial"/>
      <w:sz w:val="22"/>
      <w:szCs w:val="22"/>
      <w:lang w:eastAsia="en-US"/>
    </w:rPr>
  </w:style>
  <w:style w:type="paragraph" w:customStyle="1" w:styleId="Tabletext">
    <w:name w:val="Table text"/>
    <w:basedOn w:val="Normal"/>
    <w:link w:val="TabletextChar"/>
    <w:qFormat/>
    <w:pPr>
      <w:keepNext/>
      <w:spacing w:before="60" w:after="40"/>
    </w:pPr>
    <w:rPr>
      <w:rFonts w:ascii="Arial Narrow" w:hAnsi="Arial Narrow"/>
      <w:sz w:val="20"/>
      <w:lang w:eastAsia="en-US"/>
    </w:rPr>
  </w:style>
  <w:style w:type="paragraph" w:customStyle="1" w:styleId="StyleExecSumm">
    <w:name w:val="Style ExecSumm"/>
    <w:basedOn w:val="Normal"/>
    <w:qFormat/>
    <w:pPr>
      <w:spacing w:after="240" w:line="288" w:lineRule="auto"/>
      <w:jc w:val="both"/>
    </w:pPr>
    <w:rPr>
      <w:rFonts w:ascii="Californian FB" w:hAnsi="Californian FB"/>
      <w:sz w:val="22"/>
      <w:szCs w:val="24"/>
      <w:lang w:eastAsia="en-US"/>
    </w:rPr>
  </w:style>
  <w:style w:type="paragraph" w:customStyle="1" w:styleId="Default">
    <w:name w:val="Default"/>
    <w:pPr>
      <w:autoSpaceDE w:val="0"/>
      <w:autoSpaceDN w:val="0"/>
      <w:adjustRightInd w:val="0"/>
    </w:pPr>
    <w:rPr>
      <w:rFonts w:ascii="Tahoma" w:hAnsi="Tahoma" w:cs="Tahoma"/>
      <w:color w:val="000000"/>
      <w:sz w:val="24"/>
      <w:szCs w:val="24"/>
      <w:lang w:val="en-US" w:eastAsia="en-US"/>
    </w:rPr>
  </w:style>
  <w:style w:type="paragraph" w:customStyle="1" w:styleId="Heading4">
    <w:name w:val="Heading4"/>
    <w:basedOn w:val="Normal"/>
    <w:next w:val="Normal"/>
    <w:qFormat/>
    <w:pPr>
      <w:keepNext/>
      <w:tabs>
        <w:tab w:val="left" w:pos="851"/>
      </w:tabs>
      <w:spacing w:before="240"/>
      <w:outlineLvl w:val="3"/>
    </w:pPr>
    <w:rPr>
      <w:rFonts w:ascii="Gill Sans MT" w:hAnsi="Gill Sans MT"/>
      <w:b/>
      <w:bCs/>
      <w:i/>
      <w:sz w:val="22"/>
      <w:szCs w:val="32"/>
      <w:lang w:val="x-none" w:eastAsia="en-US"/>
    </w:rPr>
  </w:style>
  <w:style w:type="paragraph" w:customStyle="1" w:styleId="Tablecaption">
    <w:name w:val="Table caption"/>
    <w:basedOn w:val="Caption"/>
    <w:link w:val="TablecaptionChar"/>
    <w:qFormat/>
    <w:pPr>
      <w:keepNext/>
      <w:spacing w:before="120"/>
      <w:ind w:left="1077" w:hanging="1077"/>
    </w:pPr>
    <w:rPr>
      <w:rFonts w:ascii="Gill Sans MT" w:hAnsi="Gill Sans MT"/>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Pr>
      <w:b/>
      <w:bCs/>
      <w:sz w:val="20"/>
    </w:rPr>
  </w:style>
  <w:style w:type="paragraph" w:styleId="ListParagraph">
    <w:name w:val="List Paragraph"/>
    <w:basedOn w:val="Normal"/>
    <w:uiPriority w:val="34"/>
    <w:qFormat/>
    <w:pPr>
      <w:spacing w:after="240"/>
      <w:contextualSpacing/>
      <w:jc w:val="both"/>
    </w:pPr>
    <w:rPr>
      <w:rFonts w:ascii="Garamond" w:eastAsia="Calibri" w:hAnsi="Garamond"/>
      <w:szCs w:val="24"/>
      <w:lang w:eastAsia="en-US"/>
    </w:rPr>
  </w:style>
  <w:style w:type="paragraph" w:customStyle="1" w:styleId="bulletpointstyle">
    <w:name w:val="bullet point style"/>
    <w:basedOn w:val="Normal"/>
    <w:pPr>
      <w:tabs>
        <w:tab w:val="num" w:pos="720"/>
      </w:tabs>
      <w:spacing w:after="240"/>
      <w:ind w:left="981"/>
      <w:jc w:val="both"/>
    </w:pPr>
    <w:rPr>
      <w:rFonts w:ascii="Garamond" w:eastAsia="Calibri" w:hAnsi="Garamond"/>
      <w:szCs w:val="24"/>
      <w:lang w:eastAsia="en-US"/>
    </w:rPr>
  </w:style>
  <w:style w:type="paragraph" w:customStyle="1" w:styleId="Tabletextbold">
    <w:name w:val="Table text bold"/>
    <w:basedOn w:val="Normal"/>
    <w:link w:val="TabletextboldChar"/>
    <w:pPr>
      <w:keepNext/>
      <w:spacing w:before="40" w:after="40"/>
    </w:pPr>
    <w:rPr>
      <w:rFonts w:ascii="Arial Narrow" w:eastAsia="Calibri" w:hAnsi="Arial Narrow" w:cs="Arial"/>
      <w:b/>
      <w:sz w:val="18"/>
      <w:lang w:eastAsia="en-US"/>
    </w:rPr>
  </w:style>
  <w:style w:type="character" w:customStyle="1" w:styleId="TabletextboldChar">
    <w:name w:val="Table text bold Char"/>
    <w:link w:val="Tabletextbold"/>
    <w:locked/>
    <w:rPr>
      <w:rFonts w:ascii="Arial Narrow" w:eastAsia="Calibri" w:hAnsi="Arial Narrow" w:cs="Arial"/>
      <w:b/>
      <w:sz w:val="18"/>
      <w:lang w:val="en-AU" w:eastAsia="en-US" w:bidi="ar-SA"/>
    </w:rPr>
  </w:style>
  <w:style w:type="character" w:customStyle="1" w:styleId="TabletextChar">
    <w:name w:val="Table text Char"/>
    <w:link w:val="Tabletext"/>
    <w:locked/>
    <w:rPr>
      <w:rFonts w:ascii="Arial Narrow" w:hAnsi="Arial Narrow"/>
      <w:lang w:val="en-AU" w:eastAsia="en-US" w:bidi="ar-SA"/>
    </w:rPr>
  </w:style>
  <w:style w:type="paragraph" w:customStyle="1" w:styleId="Tablename">
    <w:name w:val="Table name"/>
    <w:link w:val="TablenameChar"/>
    <w:pPr>
      <w:spacing w:before="40" w:after="40" w:line="276" w:lineRule="auto"/>
    </w:pPr>
    <w:rPr>
      <w:rFonts w:ascii="Arial" w:eastAsia="Calibri" w:hAnsi="Arial" w:cs="Arial"/>
      <w:b/>
      <w:sz w:val="18"/>
      <w:lang w:eastAsia="en-US"/>
    </w:rPr>
  </w:style>
  <w:style w:type="character" w:customStyle="1" w:styleId="TablenameChar">
    <w:name w:val="Table name Char"/>
    <w:link w:val="Tablename"/>
    <w:locked/>
    <w:rPr>
      <w:rFonts w:ascii="Arial" w:eastAsia="Calibri" w:hAnsi="Arial" w:cs="Arial"/>
      <w:b/>
      <w:sz w:val="18"/>
      <w:lang w:val="en-AU" w:eastAsia="en-US" w:bidi="ar-SA"/>
    </w:rPr>
  </w:style>
  <w:style w:type="character" w:styleId="Emphasis">
    <w:name w:val="Emphasis"/>
    <w:qFormat/>
    <w:rPr>
      <w:rFonts w:ascii="Garamond" w:hAnsi="Garamond" w:cs="Times New Roman"/>
      <w:i/>
      <w:sz w:val="24"/>
    </w:rPr>
  </w:style>
  <w:style w:type="table" w:styleId="TableGrid">
    <w:name w:val="Table Grid"/>
    <w:basedOn w:val="TableNormal"/>
    <w:rsid w:val="00DF5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1E4933"/>
  </w:style>
  <w:style w:type="paragraph" w:styleId="NormalWeb">
    <w:name w:val="Normal (Web)"/>
    <w:basedOn w:val="Normal"/>
    <w:uiPriority w:val="99"/>
    <w:rsid w:val="001E4933"/>
    <w:pPr>
      <w:spacing w:before="100" w:beforeAutospacing="1" w:after="100" w:afterAutospacing="1"/>
    </w:pPr>
    <w:rPr>
      <w:color w:val="000000"/>
      <w:szCs w:val="24"/>
    </w:rPr>
  </w:style>
  <w:style w:type="paragraph" w:styleId="Revision">
    <w:name w:val="Revision"/>
    <w:hidden/>
    <w:uiPriority w:val="99"/>
    <w:semiHidden/>
    <w:rsid w:val="00AB119A"/>
    <w:rPr>
      <w:sz w:val="24"/>
    </w:rPr>
  </w:style>
  <w:style w:type="character" w:customStyle="1" w:styleId="FooterChar">
    <w:name w:val="Footer Char"/>
    <w:basedOn w:val="DefaultParagraphFont"/>
    <w:link w:val="Footer"/>
    <w:uiPriority w:val="99"/>
    <w:rsid w:val="00913870"/>
    <w:rPr>
      <w:sz w:val="24"/>
    </w:rPr>
  </w:style>
  <w:style w:type="character" w:customStyle="1" w:styleId="CharChar">
    <w:name w:val="Char Char"/>
    <w:basedOn w:val="DefaultParagraphFont"/>
    <w:link w:val="Char"/>
    <w:rsid w:val="00DF65E7"/>
    <w:rPr>
      <w:rFonts w:ascii="Arial" w:hAnsi="Arial" w:cs="Arial"/>
      <w:sz w:val="22"/>
      <w:szCs w:val="22"/>
      <w:lang w:eastAsia="en-US"/>
    </w:rPr>
  </w:style>
  <w:style w:type="character" w:customStyle="1" w:styleId="apple-style-span">
    <w:name w:val="apple-style-span"/>
    <w:basedOn w:val="DefaultParagraphFont"/>
    <w:uiPriority w:val="99"/>
    <w:rsid w:val="00F9113E"/>
    <w:rPr>
      <w:rFonts w:cs="Times New Roman"/>
    </w:rPr>
  </w:style>
  <w:style w:type="character" w:customStyle="1" w:styleId="apple-converted-space">
    <w:name w:val="apple-converted-space"/>
    <w:basedOn w:val="DefaultParagraphFont"/>
    <w:uiPriority w:val="99"/>
    <w:rsid w:val="00F9113E"/>
    <w:rPr>
      <w:rFonts w:cs="Times New Roman"/>
    </w:rPr>
  </w:style>
  <w:style w:type="character" w:customStyle="1" w:styleId="Heading1Char">
    <w:name w:val="Heading 1 Char"/>
    <w:basedOn w:val="DefaultParagraphFont"/>
    <w:link w:val="Heading1"/>
    <w:rsid w:val="008D1677"/>
    <w:rPr>
      <w:rFonts w:ascii="Arial" w:eastAsiaTheme="majorEastAsia" w:hAnsi="Arial" w:cstheme="majorBidi"/>
      <w:b/>
      <w:bCs/>
      <w:sz w:val="24"/>
      <w:szCs w:val="28"/>
    </w:rPr>
  </w:style>
  <w:style w:type="character" w:customStyle="1" w:styleId="Heading3Char">
    <w:name w:val="Heading 3 Char"/>
    <w:basedOn w:val="DefaultParagraphFont"/>
    <w:link w:val="Heading3"/>
    <w:semiHidden/>
    <w:rsid w:val="00F17646"/>
    <w:rPr>
      <w:rFonts w:asciiTheme="majorHAnsi" w:eastAsiaTheme="majorEastAsia" w:hAnsiTheme="majorHAnsi" w:cstheme="majorBidi"/>
      <w:b/>
      <w:bCs/>
      <w:color w:val="4F81BD" w:themeColor="accent1"/>
      <w:sz w:val="24"/>
    </w:rPr>
  </w:style>
  <w:style w:type="character" w:customStyle="1" w:styleId="TablecaptionChar">
    <w:name w:val="Table caption Char"/>
    <w:basedOn w:val="DefaultParagraphFont"/>
    <w:link w:val="Tablecaption"/>
    <w:rsid w:val="000C4EA3"/>
    <w:rPr>
      <w:rFonts w:ascii="Gill Sans MT" w:hAnsi="Gill Sans MT"/>
      <w:b/>
      <w:bCs/>
      <w:lang w:eastAsia="en-US"/>
    </w:rPr>
  </w:style>
  <w:style w:type="paragraph" w:customStyle="1" w:styleId="Style1">
    <w:name w:val="Style1"/>
    <w:basedOn w:val="Normal"/>
    <w:link w:val="Style1Char"/>
    <w:qFormat/>
    <w:rsid w:val="00A31EAB"/>
    <w:pPr>
      <w:spacing w:after="0" w:line="240" w:lineRule="auto"/>
    </w:pPr>
  </w:style>
  <w:style w:type="character" w:customStyle="1" w:styleId="Style1Char">
    <w:name w:val="Style1 Char"/>
    <w:basedOn w:val="DefaultParagraphFont"/>
    <w:link w:val="Style1"/>
    <w:rsid w:val="00A31EAB"/>
    <w:rPr>
      <w:sz w:val="24"/>
    </w:rPr>
  </w:style>
  <w:style w:type="character" w:customStyle="1" w:styleId="FootnoteTextChar">
    <w:name w:val="Footnote Text Char"/>
    <w:basedOn w:val="DefaultParagraphFont"/>
    <w:link w:val="FootnoteText"/>
    <w:rsid w:val="00573294"/>
  </w:style>
  <w:style w:type="paragraph" w:customStyle="1" w:styleId="jon">
    <w:name w:val="jon"/>
    <w:basedOn w:val="Normal"/>
    <w:link w:val="jonChar"/>
    <w:qFormat/>
    <w:rsid w:val="00463001"/>
    <w:pPr>
      <w:spacing w:before="80" w:after="160"/>
    </w:pPr>
    <w:rPr>
      <w:rFonts w:ascii="Calibri" w:hAnsi="Calibri" w:cs="Arial"/>
      <w:sz w:val="22"/>
      <w:szCs w:val="22"/>
      <w:lang w:eastAsia="zh-CN"/>
    </w:rPr>
  </w:style>
  <w:style w:type="character" w:customStyle="1" w:styleId="jonChar">
    <w:name w:val="jon Char"/>
    <w:basedOn w:val="DefaultParagraphFont"/>
    <w:link w:val="jon"/>
    <w:rsid w:val="00463001"/>
    <w:rPr>
      <w:rFonts w:ascii="Calibri" w:hAnsi="Calibri" w:cs="Arial"/>
      <w:sz w:val="22"/>
      <w:szCs w:val="22"/>
      <w:lang w:eastAsia="zh-CN"/>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locked/>
    <w:rsid w:val="00E6357F"/>
    <w:rPr>
      <w:b/>
      <w:bCs/>
    </w:rPr>
  </w:style>
  <w:style w:type="paragraph" w:customStyle="1" w:styleId="Table-bodytext">
    <w:name w:val="Table - body text"/>
    <w:basedOn w:val="Normal"/>
    <w:link w:val="Table-bodytextChar"/>
    <w:rsid w:val="005B570C"/>
    <w:pPr>
      <w:widowControl w:val="0"/>
      <w:adjustRightInd w:val="0"/>
      <w:spacing w:after="0" w:line="240" w:lineRule="auto"/>
      <w:jc w:val="center"/>
      <w:textAlignment w:val="baseline"/>
    </w:pPr>
    <w:rPr>
      <w:rFonts w:cs="Arial"/>
      <w:sz w:val="20"/>
      <w:szCs w:val="24"/>
      <w:lang w:eastAsia="en-US"/>
    </w:rPr>
  </w:style>
  <w:style w:type="character" w:customStyle="1" w:styleId="Table-bodytextChar">
    <w:name w:val="Table - body text Char"/>
    <w:basedOn w:val="DefaultParagraphFont"/>
    <w:link w:val="Table-bodytext"/>
    <w:rsid w:val="005B570C"/>
    <w:rPr>
      <w:rFonts w:cs="Arial"/>
      <w:szCs w:val="24"/>
      <w:lang w:eastAsia="en-US"/>
    </w:rPr>
  </w:style>
  <w:style w:type="paragraph" w:customStyle="1" w:styleId="Style10">
    <w:name w:val="Style10"/>
    <w:basedOn w:val="Normal"/>
    <w:link w:val="Style10Char"/>
    <w:qFormat/>
    <w:rsid w:val="003E35D3"/>
    <w:pPr>
      <w:spacing w:after="0" w:line="240" w:lineRule="auto"/>
    </w:pPr>
    <w:rPr>
      <w:szCs w:val="24"/>
    </w:rPr>
  </w:style>
  <w:style w:type="character" w:customStyle="1" w:styleId="Style10Char">
    <w:name w:val="Style10 Char"/>
    <w:basedOn w:val="DefaultParagraphFont"/>
    <w:link w:val="Style10"/>
    <w:rsid w:val="003E35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56439">
      <w:bodyDiv w:val="1"/>
      <w:marLeft w:val="0"/>
      <w:marRight w:val="0"/>
      <w:marTop w:val="0"/>
      <w:marBottom w:val="0"/>
      <w:divBdr>
        <w:top w:val="none" w:sz="0" w:space="0" w:color="auto"/>
        <w:left w:val="none" w:sz="0" w:space="0" w:color="auto"/>
        <w:bottom w:val="none" w:sz="0" w:space="0" w:color="auto"/>
        <w:right w:val="none" w:sz="0" w:space="0" w:color="auto"/>
      </w:divBdr>
      <w:divsChild>
        <w:div w:id="1193568387">
          <w:marLeft w:val="1166"/>
          <w:marRight w:val="0"/>
          <w:marTop w:val="67"/>
          <w:marBottom w:val="0"/>
          <w:divBdr>
            <w:top w:val="none" w:sz="0" w:space="0" w:color="auto"/>
            <w:left w:val="none" w:sz="0" w:space="0" w:color="auto"/>
            <w:bottom w:val="none" w:sz="0" w:space="0" w:color="auto"/>
            <w:right w:val="none" w:sz="0" w:space="0" w:color="auto"/>
          </w:divBdr>
        </w:div>
        <w:div w:id="1797871023">
          <w:marLeft w:val="1166"/>
          <w:marRight w:val="0"/>
          <w:marTop w:val="67"/>
          <w:marBottom w:val="0"/>
          <w:divBdr>
            <w:top w:val="none" w:sz="0" w:space="0" w:color="auto"/>
            <w:left w:val="none" w:sz="0" w:space="0" w:color="auto"/>
            <w:bottom w:val="none" w:sz="0" w:space="0" w:color="auto"/>
            <w:right w:val="none" w:sz="0" w:space="0" w:color="auto"/>
          </w:divBdr>
        </w:div>
      </w:divsChild>
    </w:div>
    <w:div w:id="288704508">
      <w:bodyDiv w:val="1"/>
      <w:marLeft w:val="0"/>
      <w:marRight w:val="0"/>
      <w:marTop w:val="0"/>
      <w:marBottom w:val="0"/>
      <w:divBdr>
        <w:top w:val="none" w:sz="0" w:space="0" w:color="auto"/>
        <w:left w:val="none" w:sz="0" w:space="0" w:color="auto"/>
        <w:bottom w:val="none" w:sz="0" w:space="0" w:color="auto"/>
        <w:right w:val="none" w:sz="0" w:space="0" w:color="auto"/>
      </w:divBdr>
      <w:divsChild>
        <w:div w:id="66614394">
          <w:marLeft w:val="547"/>
          <w:marRight w:val="0"/>
          <w:marTop w:val="86"/>
          <w:marBottom w:val="0"/>
          <w:divBdr>
            <w:top w:val="none" w:sz="0" w:space="0" w:color="auto"/>
            <w:left w:val="none" w:sz="0" w:space="0" w:color="auto"/>
            <w:bottom w:val="none" w:sz="0" w:space="0" w:color="auto"/>
            <w:right w:val="none" w:sz="0" w:space="0" w:color="auto"/>
          </w:divBdr>
        </w:div>
        <w:div w:id="204947159">
          <w:marLeft w:val="1166"/>
          <w:marRight w:val="0"/>
          <w:marTop w:val="77"/>
          <w:marBottom w:val="0"/>
          <w:divBdr>
            <w:top w:val="none" w:sz="0" w:space="0" w:color="auto"/>
            <w:left w:val="none" w:sz="0" w:space="0" w:color="auto"/>
            <w:bottom w:val="none" w:sz="0" w:space="0" w:color="auto"/>
            <w:right w:val="none" w:sz="0" w:space="0" w:color="auto"/>
          </w:divBdr>
        </w:div>
        <w:div w:id="505943056">
          <w:marLeft w:val="547"/>
          <w:marRight w:val="0"/>
          <w:marTop w:val="86"/>
          <w:marBottom w:val="0"/>
          <w:divBdr>
            <w:top w:val="none" w:sz="0" w:space="0" w:color="auto"/>
            <w:left w:val="none" w:sz="0" w:space="0" w:color="auto"/>
            <w:bottom w:val="none" w:sz="0" w:space="0" w:color="auto"/>
            <w:right w:val="none" w:sz="0" w:space="0" w:color="auto"/>
          </w:divBdr>
        </w:div>
        <w:div w:id="953099224">
          <w:marLeft w:val="547"/>
          <w:marRight w:val="0"/>
          <w:marTop w:val="86"/>
          <w:marBottom w:val="0"/>
          <w:divBdr>
            <w:top w:val="none" w:sz="0" w:space="0" w:color="auto"/>
            <w:left w:val="none" w:sz="0" w:space="0" w:color="auto"/>
            <w:bottom w:val="none" w:sz="0" w:space="0" w:color="auto"/>
            <w:right w:val="none" w:sz="0" w:space="0" w:color="auto"/>
          </w:divBdr>
        </w:div>
        <w:div w:id="1427967151">
          <w:marLeft w:val="547"/>
          <w:marRight w:val="0"/>
          <w:marTop w:val="86"/>
          <w:marBottom w:val="0"/>
          <w:divBdr>
            <w:top w:val="none" w:sz="0" w:space="0" w:color="auto"/>
            <w:left w:val="none" w:sz="0" w:space="0" w:color="auto"/>
            <w:bottom w:val="none" w:sz="0" w:space="0" w:color="auto"/>
            <w:right w:val="none" w:sz="0" w:space="0" w:color="auto"/>
          </w:divBdr>
        </w:div>
      </w:divsChild>
    </w:div>
    <w:div w:id="573009056">
      <w:bodyDiv w:val="1"/>
      <w:marLeft w:val="0"/>
      <w:marRight w:val="0"/>
      <w:marTop w:val="0"/>
      <w:marBottom w:val="0"/>
      <w:divBdr>
        <w:top w:val="none" w:sz="0" w:space="0" w:color="auto"/>
        <w:left w:val="none" w:sz="0" w:space="0" w:color="auto"/>
        <w:bottom w:val="none" w:sz="0" w:space="0" w:color="auto"/>
        <w:right w:val="none" w:sz="0" w:space="0" w:color="auto"/>
      </w:divBdr>
      <w:divsChild>
        <w:div w:id="831408548">
          <w:marLeft w:val="1166"/>
          <w:marRight w:val="0"/>
          <w:marTop w:val="67"/>
          <w:marBottom w:val="0"/>
          <w:divBdr>
            <w:top w:val="none" w:sz="0" w:space="0" w:color="auto"/>
            <w:left w:val="none" w:sz="0" w:space="0" w:color="auto"/>
            <w:bottom w:val="none" w:sz="0" w:space="0" w:color="auto"/>
            <w:right w:val="none" w:sz="0" w:space="0" w:color="auto"/>
          </w:divBdr>
        </w:div>
        <w:div w:id="1018000426">
          <w:marLeft w:val="1166"/>
          <w:marRight w:val="0"/>
          <w:marTop w:val="67"/>
          <w:marBottom w:val="0"/>
          <w:divBdr>
            <w:top w:val="none" w:sz="0" w:space="0" w:color="auto"/>
            <w:left w:val="none" w:sz="0" w:space="0" w:color="auto"/>
            <w:bottom w:val="none" w:sz="0" w:space="0" w:color="auto"/>
            <w:right w:val="none" w:sz="0" w:space="0" w:color="auto"/>
          </w:divBdr>
        </w:div>
      </w:divsChild>
    </w:div>
    <w:div w:id="653141447">
      <w:bodyDiv w:val="1"/>
      <w:marLeft w:val="0"/>
      <w:marRight w:val="0"/>
      <w:marTop w:val="0"/>
      <w:marBottom w:val="0"/>
      <w:divBdr>
        <w:top w:val="none" w:sz="0" w:space="0" w:color="auto"/>
        <w:left w:val="none" w:sz="0" w:space="0" w:color="auto"/>
        <w:bottom w:val="none" w:sz="0" w:space="0" w:color="auto"/>
        <w:right w:val="none" w:sz="0" w:space="0" w:color="auto"/>
      </w:divBdr>
      <w:divsChild>
        <w:div w:id="564680514">
          <w:marLeft w:val="1166"/>
          <w:marRight w:val="0"/>
          <w:marTop w:val="67"/>
          <w:marBottom w:val="0"/>
          <w:divBdr>
            <w:top w:val="none" w:sz="0" w:space="0" w:color="auto"/>
            <w:left w:val="none" w:sz="0" w:space="0" w:color="auto"/>
            <w:bottom w:val="none" w:sz="0" w:space="0" w:color="auto"/>
            <w:right w:val="none" w:sz="0" w:space="0" w:color="auto"/>
          </w:divBdr>
        </w:div>
        <w:div w:id="891037518">
          <w:marLeft w:val="1166"/>
          <w:marRight w:val="0"/>
          <w:marTop w:val="67"/>
          <w:marBottom w:val="0"/>
          <w:divBdr>
            <w:top w:val="none" w:sz="0" w:space="0" w:color="auto"/>
            <w:left w:val="none" w:sz="0" w:space="0" w:color="auto"/>
            <w:bottom w:val="none" w:sz="0" w:space="0" w:color="auto"/>
            <w:right w:val="none" w:sz="0" w:space="0" w:color="auto"/>
          </w:divBdr>
        </w:div>
        <w:div w:id="1356152181">
          <w:marLeft w:val="1166"/>
          <w:marRight w:val="0"/>
          <w:marTop w:val="67"/>
          <w:marBottom w:val="0"/>
          <w:divBdr>
            <w:top w:val="none" w:sz="0" w:space="0" w:color="auto"/>
            <w:left w:val="none" w:sz="0" w:space="0" w:color="auto"/>
            <w:bottom w:val="none" w:sz="0" w:space="0" w:color="auto"/>
            <w:right w:val="none" w:sz="0" w:space="0" w:color="auto"/>
          </w:divBdr>
        </w:div>
        <w:div w:id="1712607533">
          <w:marLeft w:val="1166"/>
          <w:marRight w:val="0"/>
          <w:marTop w:val="67"/>
          <w:marBottom w:val="0"/>
          <w:divBdr>
            <w:top w:val="none" w:sz="0" w:space="0" w:color="auto"/>
            <w:left w:val="none" w:sz="0" w:space="0" w:color="auto"/>
            <w:bottom w:val="none" w:sz="0" w:space="0" w:color="auto"/>
            <w:right w:val="none" w:sz="0" w:space="0" w:color="auto"/>
          </w:divBdr>
        </w:div>
        <w:div w:id="1820072169">
          <w:marLeft w:val="1166"/>
          <w:marRight w:val="0"/>
          <w:marTop w:val="67"/>
          <w:marBottom w:val="0"/>
          <w:divBdr>
            <w:top w:val="none" w:sz="0" w:space="0" w:color="auto"/>
            <w:left w:val="none" w:sz="0" w:space="0" w:color="auto"/>
            <w:bottom w:val="none" w:sz="0" w:space="0" w:color="auto"/>
            <w:right w:val="none" w:sz="0" w:space="0" w:color="auto"/>
          </w:divBdr>
        </w:div>
        <w:div w:id="2139300657">
          <w:marLeft w:val="1166"/>
          <w:marRight w:val="0"/>
          <w:marTop w:val="67"/>
          <w:marBottom w:val="0"/>
          <w:divBdr>
            <w:top w:val="none" w:sz="0" w:space="0" w:color="auto"/>
            <w:left w:val="none" w:sz="0" w:space="0" w:color="auto"/>
            <w:bottom w:val="none" w:sz="0" w:space="0" w:color="auto"/>
            <w:right w:val="none" w:sz="0" w:space="0" w:color="auto"/>
          </w:divBdr>
        </w:div>
      </w:divsChild>
    </w:div>
    <w:div w:id="716465578">
      <w:bodyDiv w:val="1"/>
      <w:marLeft w:val="0"/>
      <w:marRight w:val="0"/>
      <w:marTop w:val="0"/>
      <w:marBottom w:val="0"/>
      <w:divBdr>
        <w:top w:val="none" w:sz="0" w:space="0" w:color="auto"/>
        <w:left w:val="none" w:sz="0" w:space="0" w:color="auto"/>
        <w:bottom w:val="none" w:sz="0" w:space="0" w:color="auto"/>
        <w:right w:val="none" w:sz="0" w:space="0" w:color="auto"/>
      </w:divBdr>
      <w:divsChild>
        <w:div w:id="235870375">
          <w:marLeft w:val="1166"/>
          <w:marRight w:val="0"/>
          <w:marTop w:val="77"/>
          <w:marBottom w:val="0"/>
          <w:divBdr>
            <w:top w:val="none" w:sz="0" w:space="0" w:color="auto"/>
            <w:left w:val="none" w:sz="0" w:space="0" w:color="auto"/>
            <w:bottom w:val="none" w:sz="0" w:space="0" w:color="auto"/>
            <w:right w:val="none" w:sz="0" w:space="0" w:color="auto"/>
          </w:divBdr>
        </w:div>
        <w:div w:id="416559364">
          <w:marLeft w:val="1166"/>
          <w:marRight w:val="0"/>
          <w:marTop w:val="77"/>
          <w:marBottom w:val="0"/>
          <w:divBdr>
            <w:top w:val="none" w:sz="0" w:space="0" w:color="auto"/>
            <w:left w:val="none" w:sz="0" w:space="0" w:color="auto"/>
            <w:bottom w:val="none" w:sz="0" w:space="0" w:color="auto"/>
            <w:right w:val="none" w:sz="0" w:space="0" w:color="auto"/>
          </w:divBdr>
        </w:div>
        <w:div w:id="534201738">
          <w:marLeft w:val="1166"/>
          <w:marRight w:val="0"/>
          <w:marTop w:val="67"/>
          <w:marBottom w:val="0"/>
          <w:divBdr>
            <w:top w:val="none" w:sz="0" w:space="0" w:color="auto"/>
            <w:left w:val="none" w:sz="0" w:space="0" w:color="auto"/>
            <w:bottom w:val="none" w:sz="0" w:space="0" w:color="auto"/>
            <w:right w:val="none" w:sz="0" w:space="0" w:color="auto"/>
          </w:divBdr>
        </w:div>
        <w:div w:id="854923766">
          <w:marLeft w:val="547"/>
          <w:marRight w:val="0"/>
          <w:marTop w:val="86"/>
          <w:marBottom w:val="0"/>
          <w:divBdr>
            <w:top w:val="none" w:sz="0" w:space="0" w:color="auto"/>
            <w:left w:val="none" w:sz="0" w:space="0" w:color="auto"/>
            <w:bottom w:val="none" w:sz="0" w:space="0" w:color="auto"/>
            <w:right w:val="none" w:sz="0" w:space="0" w:color="auto"/>
          </w:divBdr>
        </w:div>
        <w:div w:id="1016034730">
          <w:marLeft w:val="547"/>
          <w:marRight w:val="0"/>
          <w:marTop w:val="86"/>
          <w:marBottom w:val="0"/>
          <w:divBdr>
            <w:top w:val="none" w:sz="0" w:space="0" w:color="auto"/>
            <w:left w:val="none" w:sz="0" w:space="0" w:color="auto"/>
            <w:bottom w:val="none" w:sz="0" w:space="0" w:color="auto"/>
            <w:right w:val="none" w:sz="0" w:space="0" w:color="auto"/>
          </w:divBdr>
        </w:div>
        <w:div w:id="1340041948">
          <w:marLeft w:val="1166"/>
          <w:marRight w:val="0"/>
          <w:marTop w:val="67"/>
          <w:marBottom w:val="0"/>
          <w:divBdr>
            <w:top w:val="none" w:sz="0" w:space="0" w:color="auto"/>
            <w:left w:val="none" w:sz="0" w:space="0" w:color="auto"/>
            <w:bottom w:val="none" w:sz="0" w:space="0" w:color="auto"/>
            <w:right w:val="none" w:sz="0" w:space="0" w:color="auto"/>
          </w:divBdr>
        </w:div>
        <w:div w:id="1442257885">
          <w:marLeft w:val="1166"/>
          <w:marRight w:val="0"/>
          <w:marTop w:val="77"/>
          <w:marBottom w:val="0"/>
          <w:divBdr>
            <w:top w:val="none" w:sz="0" w:space="0" w:color="auto"/>
            <w:left w:val="none" w:sz="0" w:space="0" w:color="auto"/>
            <w:bottom w:val="none" w:sz="0" w:space="0" w:color="auto"/>
            <w:right w:val="none" w:sz="0" w:space="0" w:color="auto"/>
          </w:divBdr>
        </w:div>
        <w:div w:id="1940024783">
          <w:marLeft w:val="1800"/>
          <w:marRight w:val="0"/>
          <w:marTop w:val="58"/>
          <w:marBottom w:val="0"/>
          <w:divBdr>
            <w:top w:val="none" w:sz="0" w:space="0" w:color="auto"/>
            <w:left w:val="none" w:sz="0" w:space="0" w:color="auto"/>
            <w:bottom w:val="none" w:sz="0" w:space="0" w:color="auto"/>
            <w:right w:val="none" w:sz="0" w:space="0" w:color="auto"/>
          </w:divBdr>
        </w:div>
      </w:divsChild>
    </w:div>
    <w:div w:id="1056783070">
      <w:bodyDiv w:val="1"/>
      <w:marLeft w:val="0"/>
      <w:marRight w:val="0"/>
      <w:marTop w:val="0"/>
      <w:marBottom w:val="0"/>
      <w:divBdr>
        <w:top w:val="none" w:sz="0" w:space="0" w:color="auto"/>
        <w:left w:val="none" w:sz="0" w:space="0" w:color="auto"/>
        <w:bottom w:val="none" w:sz="0" w:space="0" w:color="auto"/>
        <w:right w:val="none" w:sz="0" w:space="0" w:color="auto"/>
      </w:divBdr>
      <w:divsChild>
        <w:div w:id="1799179364">
          <w:marLeft w:val="1166"/>
          <w:marRight w:val="0"/>
          <w:marTop w:val="77"/>
          <w:marBottom w:val="0"/>
          <w:divBdr>
            <w:top w:val="none" w:sz="0" w:space="0" w:color="auto"/>
            <w:left w:val="none" w:sz="0" w:space="0" w:color="auto"/>
            <w:bottom w:val="none" w:sz="0" w:space="0" w:color="auto"/>
            <w:right w:val="none" w:sz="0" w:space="0" w:color="auto"/>
          </w:divBdr>
        </w:div>
      </w:divsChild>
    </w:div>
    <w:div w:id="1064334932">
      <w:bodyDiv w:val="1"/>
      <w:marLeft w:val="0"/>
      <w:marRight w:val="0"/>
      <w:marTop w:val="0"/>
      <w:marBottom w:val="0"/>
      <w:divBdr>
        <w:top w:val="none" w:sz="0" w:space="0" w:color="auto"/>
        <w:left w:val="none" w:sz="0" w:space="0" w:color="auto"/>
        <w:bottom w:val="none" w:sz="0" w:space="0" w:color="auto"/>
        <w:right w:val="none" w:sz="0" w:space="0" w:color="auto"/>
      </w:divBdr>
      <w:divsChild>
        <w:div w:id="184680495">
          <w:marLeft w:val="547"/>
          <w:marRight w:val="0"/>
          <w:marTop w:val="77"/>
          <w:marBottom w:val="0"/>
          <w:divBdr>
            <w:top w:val="none" w:sz="0" w:space="0" w:color="auto"/>
            <w:left w:val="none" w:sz="0" w:space="0" w:color="auto"/>
            <w:bottom w:val="none" w:sz="0" w:space="0" w:color="auto"/>
            <w:right w:val="none" w:sz="0" w:space="0" w:color="auto"/>
          </w:divBdr>
        </w:div>
        <w:div w:id="426000189">
          <w:marLeft w:val="547"/>
          <w:marRight w:val="0"/>
          <w:marTop w:val="96"/>
          <w:marBottom w:val="0"/>
          <w:divBdr>
            <w:top w:val="none" w:sz="0" w:space="0" w:color="auto"/>
            <w:left w:val="none" w:sz="0" w:space="0" w:color="auto"/>
            <w:bottom w:val="none" w:sz="0" w:space="0" w:color="auto"/>
            <w:right w:val="none" w:sz="0" w:space="0" w:color="auto"/>
          </w:divBdr>
        </w:div>
        <w:div w:id="635725572">
          <w:marLeft w:val="1166"/>
          <w:marRight w:val="0"/>
          <w:marTop w:val="77"/>
          <w:marBottom w:val="0"/>
          <w:divBdr>
            <w:top w:val="none" w:sz="0" w:space="0" w:color="auto"/>
            <w:left w:val="none" w:sz="0" w:space="0" w:color="auto"/>
            <w:bottom w:val="none" w:sz="0" w:space="0" w:color="auto"/>
            <w:right w:val="none" w:sz="0" w:space="0" w:color="auto"/>
          </w:divBdr>
        </w:div>
        <w:div w:id="664015340">
          <w:marLeft w:val="547"/>
          <w:marRight w:val="0"/>
          <w:marTop w:val="77"/>
          <w:marBottom w:val="0"/>
          <w:divBdr>
            <w:top w:val="none" w:sz="0" w:space="0" w:color="auto"/>
            <w:left w:val="none" w:sz="0" w:space="0" w:color="auto"/>
            <w:bottom w:val="none" w:sz="0" w:space="0" w:color="auto"/>
            <w:right w:val="none" w:sz="0" w:space="0" w:color="auto"/>
          </w:divBdr>
        </w:div>
        <w:div w:id="798644217">
          <w:marLeft w:val="547"/>
          <w:marRight w:val="0"/>
          <w:marTop w:val="77"/>
          <w:marBottom w:val="0"/>
          <w:divBdr>
            <w:top w:val="none" w:sz="0" w:space="0" w:color="auto"/>
            <w:left w:val="none" w:sz="0" w:space="0" w:color="auto"/>
            <w:bottom w:val="none" w:sz="0" w:space="0" w:color="auto"/>
            <w:right w:val="none" w:sz="0" w:space="0" w:color="auto"/>
          </w:divBdr>
        </w:div>
        <w:div w:id="1203595603">
          <w:marLeft w:val="547"/>
          <w:marRight w:val="0"/>
          <w:marTop w:val="77"/>
          <w:marBottom w:val="0"/>
          <w:divBdr>
            <w:top w:val="none" w:sz="0" w:space="0" w:color="auto"/>
            <w:left w:val="none" w:sz="0" w:space="0" w:color="auto"/>
            <w:bottom w:val="none" w:sz="0" w:space="0" w:color="auto"/>
            <w:right w:val="none" w:sz="0" w:space="0" w:color="auto"/>
          </w:divBdr>
        </w:div>
        <w:div w:id="1524200074">
          <w:marLeft w:val="547"/>
          <w:marRight w:val="0"/>
          <w:marTop w:val="77"/>
          <w:marBottom w:val="0"/>
          <w:divBdr>
            <w:top w:val="none" w:sz="0" w:space="0" w:color="auto"/>
            <w:left w:val="none" w:sz="0" w:space="0" w:color="auto"/>
            <w:bottom w:val="none" w:sz="0" w:space="0" w:color="auto"/>
            <w:right w:val="none" w:sz="0" w:space="0" w:color="auto"/>
          </w:divBdr>
        </w:div>
      </w:divsChild>
    </w:div>
    <w:div w:id="1094937579">
      <w:bodyDiv w:val="1"/>
      <w:marLeft w:val="0"/>
      <w:marRight w:val="0"/>
      <w:marTop w:val="0"/>
      <w:marBottom w:val="0"/>
      <w:divBdr>
        <w:top w:val="none" w:sz="0" w:space="0" w:color="auto"/>
        <w:left w:val="none" w:sz="0" w:space="0" w:color="auto"/>
        <w:bottom w:val="none" w:sz="0" w:space="0" w:color="auto"/>
        <w:right w:val="none" w:sz="0" w:space="0" w:color="auto"/>
      </w:divBdr>
      <w:divsChild>
        <w:div w:id="2015834868">
          <w:marLeft w:val="0"/>
          <w:marRight w:val="0"/>
          <w:marTop w:val="0"/>
          <w:marBottom w:val="0"/>
          <w:divBdr>
            <w:top w:val="none" w:sz="0" w:space="0" w:color="auto"/>
            <w:left w:val="none" w:sz="0" w:space="0" w:color="auto"/>
            <w:bottom w:val="none" w:sz="0" w:space="0" w:color="auto"/>
            <w:right w:val="none" w:sz="0" w:space="0" w:color="auto"/>
          </w:divBdr>
          <w:divsChild>
            <w:div w:id="1741631918">
              <w:marLeft w:val="0"/>
              <w:marRight w:val="0"/>
              <w:marTop w:val="0"/>
              <w:marBottom w:val="0"/>
              <w:divBdr>
                <w:top w:val="none" w:sz="0" w:space="0" w:color="auto"/>
                <w:left w:val="none" w:sz="0" w:space="0" w:color="auto"/>
                <w:bottom w:val="none" w:sz="0" w:space="0" w:color="auto"/>
                <w:right w:val="none" w:sz="0" w:space="0" w:color="auto"/>
              </w:divBdr>
              <w:divsChild>
                <w:div w:id="1088573311">
                  <w:marLeft w:val="0"/>
                  <w:marRight w:val="0"/>
                  <w:marTop w:val="0"/>
                  <w:marBottom w:val="0"/>
                  <w:divBdr>
                    <w:top w:val="none" w:sz="0" w:space="0" w:color="auto"/>
                    <w:left w:val="none" w:sz="0" w:space="0" w:color="auto"/>
                    <w:bottom w:val="none" w:sz="0" w:space="0" w:color="auto"/>
                    <w:right w:val="none" w:sz="0" w:space="0" w:color="auto"/>
                  </w:divBdr>
                  <w:divsChild>
                    <w:div w:id="4096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53617">
      <w:bodyDiv w:val="1"/>
      <w:marLeft w:val="0"/>
      <w:marRight w:val="0"/>
      <w:marTop w:val="0"/>
      <w:marBottom w:val="0"/>
      <w:divBdr>
        <w:top w:val="none" w:sz="0" w:space="0" w:color="auto"/>
        <w:left w:val="none" w:sz="0" w:space="0" w:color="auto"/>
        <w:bottom w:val="none" w:sz="0" w:space="0" w:color="auto"/>
        <w:right w:val="none" w:sz="0" w:space="0" w:color="auto"/>
      </w:divBdr>
      <w:divsChild>
        <w:div w:id="241060853">
          <w:marLeft w:val="1166"/>
          <w:marRight w:val="0"/>
          <w:marTop w:val="77"/>
          <w:marBottom w:val="0"/>
          <w:divBdr>
            <w:top w:val="none" w:sz="0" w:space="0" w:color="auto"/>
            <w:left w:val="none" w:sz="0" w:space="0" w:color="auto"/>
            <w:bottom w:val="none" w:sz="0" w:space="0" w:color="auto"/>
            <w:right w:val="none" w:sz="0" w:space="0" w:color="auto"/>
          </w:divBdr>
        </w:div>
        <w:div w:id="439029216">
          <w:marLeft w:val="1166"/>
          <w:marRight w:val="0"/>
          <w:marTop w:val="77"/>
          <w:marBottom w:val="0"/>
          <w:divBdr>
            <w:top w:val="none" w:sz="0" w:space="0" w:color="auto"/>
            <w:left w:val="none" w:sz="0" w:space="0" w:color="auto"/>
            <w:bottom w:val="none" w:sz="0" w:space="0" w:color="auto"/>
            <w:right w:val="none" w:sz="0" w:space="0" w:color="auto"/>
          </w:divBdr>
        </w:div>
        <w:div w:id="608658176">
          <w:marLeft w:val="1166"/>
          <w:marRight w:val="0"/>
          <w:marTop w:val="77"/>
          <w:marBottom w:val="0"/>
          <w:divBdr>
            <w:top w:val="none" w:sz="0" w:space="0" w:color="auto"/>
            <w:left w:val="none" w:sz="0" w:space="0" w:color="auto"/>
            <w:bottom w:val="none" w:sz="0" w:space="0" w:color="auto"/>
            <w:right w:val="none" w:sz="0" w:space="0" w:color="auto"/>
          </w:divBdr>
        </w:div>
        <w:div w:id="1884245151">
          <w:marLeft w:val="1166"/>
          <w:marRight w:val="0"/>
          <w:marTop w:val="77"/>
          <w:marBottom w:val="0"/>
          <w:divBdr>
            <w:top w:val="none" w:sz="0" w:space="0" w:color="auto"/>
            <w:left w:val="none" w:sz="0" w:space="0" w:color="auto"/>
            <w:bottom w:val="none" w:sz="0" w:space="0" w:color="auto"/>
            <w:right w:val="none" w:sz="0" w:space="0" w:color="auto"/>
          </w:divBdr>
        </w:div>
      </w:divsChild>
    </w:div>
    <w:div w:id="1186554106">
      <w:bodyDiv w:val="1"/>
      <w:marLeft w:val="0"/>
      <w:marRight w:val="0"/>
      <w:marTop w:val="0"/>
      <w:marBottom w:val="0"/>
      <w:divBdr>
        <w:top w:val="none" w:sz="0" w:space="0" w:color="auto"/>
        <w:left w:val="none" w:sz="0" w:space="0" w:color="auto"/>
        <w:bottom w:val="none" w:sz="0" w:space="0" w:color="auto"/>
        <w:right w:val="none" w:sz="0" w:space="0" w:color="auto"/>
      </w:divBdr>
    </w:div>
    <w:div w:id="1207331807">
      <w:bodyDiv w:val="1"/>
      <w:marLeft w:val="0"/>
      <w:marRight w:val="0"/>
      <w:marTop w:val="0"/>
      <w:marBottom w:val="0"/>
      <w:divBdr>
        <w:top w:val="none" w:sz="0" w:space="0" w:color="auto"/>
        <w:left w:val="none" w:sz="0" w:space="0" w:color="auto"/>
        <w:bottom w:val="none" w:sz="0" w:space="0" w:color="auto"/>
        <w:right w:val="none" w:sz="0" w:space="0" w:color="auto"/>
      </w:divBdr>
      <w:divsChild>
        <w:div w:id="708992880">
          <w:marLeft w:val="1166"/>
          <w:marRight w:val="0"/>
          <w:marTop w:val="77"/>
          <w:marBottom w:val="0"/>
          <w:divBdr>
            <w:top w:val="none" w:sz="0" w:space="0" w:color="auto"/>
            <w:left w:val="none" w:sz="0" w:space="0" w:color="auto"/>
            <w:bottom w:val="none" w:sz="0" w:space="0" w:color="auto"/>
            <w:right w:val="none" w:sz="0" w:space="0" w:color="auto"/>
          </w:divBdr>
        </w:div>
        <w:div w:id="973826898">
          <w:marLeft w:val="1166"/>
          <w:marRight w:val="0"/>
          <w:marTop w:val="77"/>
          <w:marBottom w:val="0"/>
          <w:divBdr>
            <w:top w:val="none" w:sz="0" w:space="0" w:color="auto"/>
            <w:left w:val="none" w:sz="0" w:space="0" w:color="auto"/>
            <w:bottom w:val="none" w:sz="0" w:space="0" w:color="auto"/>
            <w:right w:val="none" w:sz="0" w:space="0" w:color="auto"/>
          </w:divBdr>
        </w:div>
        <w:div w:id="1491747461">
          <w:marLeft w:val="547"/>
          <w:marRight w:val="0"/>
          <w:marTop w:val="86"/>
          <w:marBottom w:val="0"/>
          <w:divBdr>
            <w:top w:val="none" w:sz="0" w:space="0" w:color="auto"/>
            <w:left w:val="none" w:sz="0" w:space="0" w:color="auto"/>
            <w:bottom w:val="none" w:sz="0" w:space="0" w:color="auto"/>
            <w:right w:val="none" w:sz="0" w:space="0" w:color="auto"/>
          </w:divBdr>
        </w:div>
        <w:div w:id="1507669601">
          <w:marLeft w:val="1166"/>
          <w:marRight w:val="0"/>
          <w:marTop w:val="77"/>
          <w:marBottom w:val="0"/>
          <w:divBdr>
            <w:top w:val="none" w:sz="0" w:space="0" w:color="auto"/>
            <w:left w:val="none" w:sz="0" w:space="0" w:color="auto"/>
            <w:bottom w:val="none" w:sz="0" w:space="0" w:color="auto"/>
            <w:right w:val="none" w:sz="0" w:space="0" w:color="auto"/>
          </w:divBdr>
        </w:div>
      </w:divsChild>
    </w:div>
    <w:div w:id="1216509087">
      <w:bodyDiv w:val="1"/>
      <w:marLeft w:val="0"/>
      <w:marRight w:val="0"/>
      <w:marTop w:val="0"/>
      <w:marBottom w:val="0"/>
      <w:divBdr>
        <w:top w:val="none" w:sz="0" w:space="0" w:color="auto"/>
        <w:left w:val="none" w:sz="0" w:space="0" w:color="auto"/>
        <w:bottom w:val="none" w:sz="0" w:space="0" w:color="auto"/>
        <w:right w:val="none" w:sz="0" w:space="0" w:color="auto"/>
      </w:divBdr>
      <w:divsChild>
        <w:div w:id="228158302">
          <w:marLeft w:val="547"/>
          <w:marRight w:val="0"/>
          <w:marTop w:val="86"/>
          <w:marBottom w:val="0"/>
          <w:divBdr>
            <w:top w:val="none" w:sz="0" w:space="0" w:color="auto"/>
            <w:left w:val="none" w:sz="0" w:space="0" w:color="auto"/>
            <w:bottom w:val="none" w:sz="0" w:space="0" w:color="auto"/>
            <w:right w:val="none" w:sz="0" w:space="0" w:color="auto"/>
          </w:divBdr>
        </w:div>
        <w:div w:id="279528478">
          <w:marLeft w:val="1800"/>
          <w:marRight w:val="0"/>
          <w:marTop w:val="67"/>
          <w:marBottom w:val="0"/>
          <w:divBdr>
            <w:top w:val="none" w:sz="0" w:space="0" w:color="auto"/>
            <w:left w:val="none" w:sz="0" w:space="0" w:color="auto"/>
            <w:bottom w:val="none" w:sz="0" w:space="0" w:color="auto"/>
            <w:right w:val="none" w:sz="0" w:space="0" w:color="auto"/>
          </w:divBdr>
        </w:div>
        <w:div w:id="723602999">
          <w:marLeft w:val="1166"/>
          <w:marRight w:val="0"/>
          <w:marTop w:val="77"/>
          <w:marBottom w:val="0"/>
          <w:divBdr>
            <w:top w:val="none" w:sz="0" w:space="0" w:color="auto"/>
            <w:left w:val="none" w:sz="0" w:space="0" w:color="auto"/>
            <w:bottom w:val="none" w:sz="0" w:space="0" w:color="auto"/>
            <w:right w:val="none" w:sz="0" w:space="0" w:color="auto"/>
          </w:divBdr>
        </w:div>
        <w:div w:id="725835725">
          <w:marLeft w:val="1166"/>
          <w:marRight w:val="0"/>
          <w:marTop w:val="77"/>
          <w:marBottom w:val="0"/>
          <w:divBdr>
            <w:top w:val="none" w:sz="0" w:space="0" w:color="auto"/>
            <w:left w:val="none" w:sz="0" w:space="0" w:color="auto"/>
            <w:bottom w:val="none" w:sz="0" w:space="0" w:color="auto"/>
            <w:right w:val="none" w:sz="0" w:space="0" w:color="auto"/>
          </w:divBdr>
        </w:div>
        <w:div w:id="785008858">
          <w:marLeft w:val="547"/>
          <w:marRight w:val="0"/>
          <w:marTop w:val="86"/>
          <w:marBottom w:val="0"/>
          <w:divBdr>
            <w:top w:val="none" w:sz="0" w:space="0" w:color="auto"/>
            <w:left w:val="none" w:sz="0" w:space="0" w:color="auto"/>
            <w:bottom w:val="none" w:sz="0" w:space="0" w:color="auto"/>
            <w:right w:val="none" w:sz="0" w:space="0" w:color="auto"/>
          </w:divBdr>
        </w:div>
        <w:div w:id="1785660564">
          <w:marLeft w:val="1166"/>
          <w:marRight w:val="0"/>
          <w:marTop w:val="67"/>
          <w:marBottom w:val="0"/>
          <w:divBdr>
            <w:top w:val="none" w:sz="0" w:space="0" w:color="auto"/>
            <w:left w:val="none" w:sz="0" w:space="0" w:color="auto"/>
            <w:bottom w:val="none" w:sz="0" w:space="0" w:color="auto"/>
            <w:right w:val="none" w:sz="0" w:space="0" w:color="auto"/>
          </w:divBdr>
        </w:div>
        <w:div w:id="2048748413">
          <w:marLeft w:val="547"/>
          <w:marRight w:val="0"/>
          <w:marTop w:val="86"/>
          <w:marBottom w:val="0"/>
          <w:divBdr>
            <w:top w:val="none" w:sz="0" w:space="0" w:color="auto"/>
            <w:left w:val="none" w:sz="0" w:space="0" w:color="auto"/>
            <w:bottom w:val="none" w:sz="0" w:space="0" w:color="auto"/>
            <w:right w:val="none" w:sz="0" w:space="0" w:color="auto"/>
          </w:divBdr>
        </w:div>
        <w:div w:id="2122915484">
          <w:marLeft w:val="1166"/>
          <w:marRight w:val="0"/>
          <w:marTop w:val="67"/>
          <w:marBottom w:val="0"/>
          <w:divBdr>
            <w:top w:val="none" w:sz="0" w:space="0" w:color="auto"/>
            <w:left w:val="none" w:sz="0" w:space="0" w:color="auto"/>
            <w:bottom w:val="none" w:sz="0" w:space="0" w:color="auto"/>
            <w:right w:val="none" w:sz="0" w:space="0" w:color="auto"/>
          </w:divBdr>
        </w:div>
      </w:divsChild>
    </w:div>
    <w:div w:id="1233153736">
      <w:bodyDiv w:val="1"/>
      <w:marLeft w:val="0"/>
      <w:marRight w:val="0"/>
      <w:marTop w:val="0"/>
      <w:marBottom w:val="0"/>
      <w:divBdr>
        <w:top w:val="none" w:sz="0" w:space="0" w:color="auto"/>
        <w:left w:val="none" w:sz="0" w:space="0" w:color="auto"/>
        <w:bottom w:val="none" w:sz="0" w:space="0" w:color="auto"/>
        <w:right w:val="none" w:sz="0" w:space="0" w:color="auto"/>
      </w:divBdr>
      <w:divsChild>
        <w:div w:id="172033538">
          <w:marLeft w:val="547"/>
          <w:marRight w:val="0"/>
          <w:marTop w:val="86"/>
          <w:marBottom w:val="0"/>
          <w:divBdr>
            <w:top w:val="none" w:sz="0" w:space="0" w:color="auto"/>
            <w:left w:val="none" w:sz="0" w:space="0" w:color="auto"/>
            <w:bottom w:val="none" w:sz="0" w:space="0" w:color="auto"/>
            <w:right w:val="none" w:sz="0" w:space="0" w:color="auto"/>
          </w:divBdr>
        </w:div>
        <w:div w:id="265309915">
          <w:marLeft w:val="1166"/>
          <w:marRight w:val="0"/>
          <w:marTop w:val="67"/>
          <w:marBottom w:val="0"/>
          <w:divBdr>
            <w:top w:val="none" w:sz="0" w:space="0" w:color="auto"/>
            <w:left w:val="none" w:sz="0" w:space="0" w:color="auto"/>
            <w:bottom w:val="none" w:sz="0" w:space="0" w:color="auto"/>
            <w:right w:val="none" w:sz="0" w:space="0" w:color="auto"/>
          </w:divBdr>
        </w:div>
      </w:divsChild>
    </w:div>
    <w:div w:id="1335962615">
      <w:bodyDiv w:val="1"/>
      <w:marLeft w:val="0"/>
      <w:marRight w:val="0"/>
      <w:marTop w:val="0"/>
      <w:marBottom w:val="0"/>
      <w:divBdr>
        <w:top w:val="none" w:sz="0" w:space="0" w:color="auto"/>
        <w:left w:val="none" w:sz="0" w:space="0" w:color="auto"/>
        <w:bottom w:val="none" w:sz="0" w:space="0" w:color="auto"/>
        <w:right w:val="none" w:sz="0" w:space="0" w:color="auto"/>
      </w:divBdr>
      <w:divsChild>
        <w:div w:id="638463146">
          <w:marLeft w:val="547"/>
          <w:marRight w:val="0"/>
          <w:marTop w:val="115"/>
          <w:marBottom w:val="0"/>
          <w:divBdr>
            <w:top w:val="none" w:sz="0" w:space="0" w:color="auto"/>
            <w:left w:val="none" w:sz="0" w:space="0" w:color="auto"/>
            <w:bottom w:val="none" w:sz="0" w:space="0" w:color="auto"/>
            <w:right w:val="none" w:sz="0" w:space="0" w:color="auto"/>
          </w:divBdr>
        </w:div>
        <w:div w:id="1527789118">
          <w:marLeft w:val="547"/>
          <w:marRight w:val="0"/>
          <w:marTop w:val="115"/>
          <w:marBottom w:val="0"/>
          <w:divBdr>
            <w:top w:val="none" w:sz="0" w:space="0" w:color="auto"/>
            <w:left w:val="none" w:sz="0" w:space="0" w:color="auto"/>
            <w:bottom w:val="none" w:sz="0" w:space="0" w:color="auto"/>
            <w:right w:val="none" w:sz="0" w:space="0" w:color="auto"/>
          </w:divBdr>
        </w:div>
        <w:div w:id="1574967109">
          <w:marLeft w:val="1166"/>
          <w:marRight w:val="0"/>
          <w:marTop w:val="96"/>
          <w:marBottom w:val="0"/>
          <w:divBdr>
            <w:top w:val="none" w:sz="0" w:space="0" w:color="auto"/>
            <w:left w:val="none" w:sz="0" w:space="0" w:color="auto"/>
            <w:bottom w:val="none" w:sz="0" w:space="0" w:color="auto"/>
            <w:right w:val="none" w:sz="0" w:space="0" w:color="auto"/>
          </w:divBdr>
        </w:div>
        <w:div w:id="1712344138">
          <w:marLeft w:val="1166"/>
          <w:marRight w:val="0"/>
          <w:marTop w:val="96"/>
          <w:marBottom w:val="0"/>
          <w:divBdr>
            <w:top w:val="none" w:sz="0" w:space="0" w:color="auto"/>
            <w:left w:val="none" w:sz="0" w:space="0" w:color="auto"/>
            <w:bottom w:val="none" w:sz="0" w:space="0" w:color="auto"/>
            <w:right w:val="none" w:sz="0" w:space="0" w:color="auto"/>
          </w:divBdr>
        </w:div>
        <w:div w:id="2034070227">
          <w:marLeft w:val="1166"/>
          <w:marRight w:val="0"/>
          <w:marTop w:val="96"/>
          <w:marBottom w:val="0"/>
          <w:divBdr>
            <w:top w:val="none" w:sz="0" w:space="0" w:color="auto"/>
            <w:left w:val="none" w:sz="0" w:space="0" w:color="auto"/>
            <w:bottom w:val="none" w:sz="0" w:space="0" w:color="auto"/>
            <w:right w:val="none" w:sz="0" w:space="0" w:color="auto"/>
          </w:divBdr>
        </w:div>
      </w:divsChild>
    </w:div>
    <w:div w:id="1344168939">
      <w:bodyDiv w:val="1"/>
      <w:marLeft w:val="0"/>
      <w:marRight w:val="0"/>
      <w:marTop w:val="0"/>
      <w:marBottom w:val="0"/>
      <w:divBdr>
        <w:top w:val="none" w:sz="0" w:space="0" w:color="auto"/>
        <w:left w:val="none" w:sz="0" w:space="0" w:color="auto"/>
        <w:bottom w:val="none" w:sz="0" w:space="0" w:color="auto"/>
        <w:right w:val="none" w:sz="0" w:space="0" w:color="auto"/>
      </w:divBdr>
      <w:divsChild>
        <w:div w:id="665017324">
          <w:marLeft w:val="547"/>
          <w:marRight w:val="0"/>
          <w:marTop w:val="67"/>
          <w:marBottom w:val="0"/>
          <w:divBdr>
            <w:top w:val="none" w:sz="0" w:space="0" w:color="auto"/>
            <w:left w:val="none" w:sz="0" w:space="0" w:color="auto"/>
            <w:bottom w:val="none" w:sz="0" w:space="0" w:color="auto"/>
            <w:right w:val="none" w:sz="0" w:space="0" w:color="auto"/>
          </w:divBdr>
        </w:div>
        <w:div w:id="897545772">
          <w:marLeft w:val="1166"/>
          <w:marRight w:val="0"/>
          <w:marTop w:val="67"/>
          <w:marBottom w:val="0"/>
          <w:divBdr>
            <w:top w:val="none" w:sz="0" w:space="0" w:color="auto"/>
            <w:left w:val="none" w:sz="0" w:space="0" w:color="auto"/>
            <w:bottom w:val="none" w:sz="0" w:space="0" w:color="auto"/>
            <w:right w:val="none" w:sz="0" w:space="0" w:color="auto"/>
          </w:divBdr>
        </w:div>
        <w:div w:id="1014569901">
          <w:marLeft w:val="547"/>
          <w:marRight w:val="0"/>
          <w:marTop w:val="67"/>
          <w:marBottom w:val="0"/>
          <w:divBdr>
            <w:top w:val="none" w:sz="0" w:space="0" w:color="auto"/>
            <w:left w:val="none" w:sz="0" w:space="0" w:color="auto"/>
            <w:bottom w:val="none" w:sz="0" w:space="0" w:color="auto"/>
            <w:right w:val="none" w:sz="0" w:space="0" w:color="auto"/>
          </w:divBdr>
        </w:div>
        <w:div w:id="1152335065">
          <w:marLeft w:val="547"/>
          <w:marRight w:val="0"/>
          <w:marTop w:val="86"/>
          <w:marBottom w:val="0"/>
          <w:divBdr>
            <w:top w:val="none" w:sz="0" w:space="0" w:color="auto"/>
            <w:left w:val="none" w:sz="0" w:space="0" w:color="auto"/>
            <w:bottom w:val="none" w:sz="0" w:space="0" w:color="auto"/>
            <w:right w:val="none" w:sz="0" w:space="0" w:color="auto"/>
          </w:divBdr>
        </w:div>
        <w:div w:id="1233855088">
          <w:marLeft w:val="547"/>
          <w:marRight w:val="0"/>
          <w:marTop w:val="67"/>
          <w:marBottom w:val="0"/>
          <w:divBdr>
            <w:top w:val="none" w:sz="0" w:space="0" w:color="auto"/>
            <w:left w:val="none" w:sz="0" w:space="0" w:color="auto"/>
            <w:bottom w:val="none" w:sz="0" w:space="0" w:color="auto"/>
            <w:right w:val="none" w:sz="0" w:space="0" w:color="auto"/>
          </w:divBdr>
        </w:div>
        <w:div w:id="1335691738">
          <w:marLeft w:val="1166"/>
          <w:marRight w:val="0"/>
          <w:marTop w:val="67"/>
          <w:marBottom w:val="0"/>
          <w:divBdr>
            <w:top w:val="none" w:sz="0" w:space="0" w:color="auto"/>
            <w:left w:val="none" w:sz="0" w:space="0" w:color="auto"/>
            <w:bottom w:val="none" w:sz="0" w:space="0" w:color="auto"/>
            <w:right w:val="none" w:sz="0" w:space="0" w:color="auto"/>
          </w:divBdr>
        </w:div>
        <w:div w:id="1536430550">
          <w:marLeft w:val="1166"/>
          <w:marRight w:val="0"/>
          <w:marTop w:val="67"/>
          <w:marBottom w:val="0"/>
          <w:divBdr>
            <w:top w:val="none" w:sz="0" w:space="0" w:color="auto"/>
            <w:left w:val="none" w:sz="0" w:space="0" w:color="auto"/>
            <w:bottom w:val="none" w:sz="0" w:space="0" w:color="auto"/>
            <w:right w:val="none" w:sz="0" w:space="0" w:color="auto"/>
          </w:divBdr>
        </w:div>
        <w:div w:id="1990354892">
          <w:marLeft w:val="1166"/>
          <w:marRight w:val="0"/>
          <w:marTop w:val="67"/>
          <w:marBottom w:val="0"/>
          <w:divBdr>
            <w:top w:val="none" w:sz="0" w:space="0" w:color="auto"/>
            <w:left w:val="none" w:sz="0" w:space="0" w:color="auto"/>
            <w:bottom w:val="none" w:sz="0" w:space="0" w:color="auto"/>
            <w:right w:val="none" w:sz="0" w:space="0" w:color="auto"/>
          </w:divBdr>
        </w:div>
      </w:divsChild>
    </w:div>
    <w:div w:id="1443959157">
      <w:bodyDiv w:val="1"/>
      <w:marLeft w:val="0"/>
      <w:marRight w:val="0"/>
      <w:marTop w:val="0"/>
      <w:marBottom w:val="0"/>
      <w:divBdr>
        <w:top w:val="none" w:sz="0" w:space="0" w:color="auto"/>
        <w:left w:val="none" w:sz="0" w:space="0" w:color="auto"/>
        <w:bottom w:val="none" w:sz="0" w:space="0" w:color="auto"/>
        <w:right w:val="none" w:sz="0" w:space="0" w:color="auto"/>
      </w:divBdr>
      <w:divsChild>
        <w:div w:id="91436604">
          <w:marLeft w:val="547"/>
          <w:marRight w:val="0"/>
          <w:marTop w:val="101"/>
          <w:marBottom w:val="0"/>
          <w:divBdr>
            <w:top w:val="none" w:sz="0" w:space="0" w:color="auto"/>
            <w:left w:val="none" w:sz="0" w:space="0" w:color="auto"/>
            <w:bottom w:val="none" w:sz="0" w:space="0" w:color="auto"/>
            <w:right w:val="none" w:sz="0" w:space="0" w:color="auto"/>
          </w:divBdr>
        </w:div>
        <w:div w:id="220095356">
          <w:marLeft w:val="1166"/>
          <w:marRight w:val="0"/>
          <w:marTop w:val="82"/>
          <w:marBottom w:val="0"/>
          <w:divBdr>
            <w:top w:val="none" w:sz="0" w:space="0" w:color="auto"/>
            <w:left w:val="none" w:sz="0" w:space="0" w:color="auto"/>
            <w:bottom w:val="none" w:sz="0" w:space="0" w:color="auto"/>
            <w:right w:val="none" w:sz="0" w:space="0" w:color="auto"/>
          </w:divBdr>
        </w:div>
        <w:div w:id="232550497">
          <w:marLeft w:val="1166"/>
          <w:marRight w:val="0"/>
          <w:marTop w:val="82"/>
          <w:marBottom w:val="0"/>
          <w:divBdr>
            <w:top w:val="none" w:sz="0" w:space="0" w:color="auto"/>
            <w:left w:val="none" w:sz="0" w:space="0" w:color="auto"/>
            <w:bottom w:val="none" w:sz="0" w:space="0" w:color="auto"/>
            <w:right w:val="none" w:sz="0" w:space="0" w:color="auto"/>
          </w:divBdr>
        </w:div>
        <w:div w:id="1093746611">
          <w:marLeft w:val="1166"/>
          <w:marRight w:val="0"/>
          <w:marTop w:val="82"/>
          <w:marBottom w:val="0"/>
          <w:divBdr>
            <w:top w:val="none" w:sz="0" w:space="0" w:color="auto"/>
            <w:left w:val="none" w:sz="0" w:space="0" w:color="auto"/>
            <w:bottom w:val="none" w:sz="0" w:space="0" w:color="auto"/>
            <w:right w:val="none" w:sz="0" w:space="0" w:color="auto"/>
          </w:divBdr>
        </w:div>
        <w:div w:id="1766731180">
          <w:marLeft w:val="1800"/>
          <w:marRight w:val="0"/>
          <w:marTop w:val="72"/>
          <w:marBottom w:val="0"/>
          <w:divBdr>
            <w:top w:val="none" w:sz="0" w:space="0" w:color="auto"/>
            <w:left w:val="none" w:sz="0" w:space="0" w:color="auto"/>
            <w:bottom w:val="none" w:sz="0" w:space="0" w:color="auto"/>
            <w:right w:val="none" w:sz="0" w:space="0" w:color="auto"/>
          </w:divBdr>
        </w:div>
        <w:div w:id="1958876907">
          <w:marLeft w:val="1800"/>
          <w:marRight w:val="0"/>
          <w:marTop w:val="72"/>
          <w:marBottom w:val="0"/>
          <w:divBdr>
            <w:top w:val="none" w:sz="0" w:space="0" w:color="auto"/>
            <w:left w:val="none" w:sz="0" w:space="0" w:color="auto"/>
            <w:bottom w:val="none" w:sz="0" w:space="0" w:color="auto"/>
            <w:right w:val="none" w:sz="0" w:space="0" w:color="auto"/>
          </w:divBdr>
        </w:div>
        <w:div w:id="1980308397">
          <w:marLeft w:val="1166"/>
          <w:marRight w:val="0"/>
          <w:marTop w:val="82"/>
          <w:marBottom w:val="0"/>
          <w:divBdr>
            <w:top w:val="none" w:sz="0" w:space="0" w:color="auto"/>
            <w:left w:val="none" w:sz="0" w:space="0" w:color="auto"/>
            <w:bottom w:val="none" w:sz="0" w:space="0" w:color="auto"/>
            <w:right w:val="none" w:sz="0" w:space="0" w:color="auto"/>
          </w:divBdr>
        </w:div>
      </w:divsChild>
    </w:div>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 w:id="1578172465">
      <w:bodyDiv w:val="1"/>
      <w:marLeft w:val="0"/>
      <w:marRight w:val="0"/>
      <w:marTop w:val="0"/>
      <w:marBottom w:val="0"/>
      <w:divBdr>
        <w:top w:val="none" w:sz="0" w:space="0" w:color="auto"/>
        <w:left w:val="none" w:sz="0" w:space="0" w:color="auto"/>
        <w:bottom w:val="none" w:sz="0" w:space="0" w:color="auto"/>
        <w:right w:val="none" w:sz="0" w:space="0" w:color="auto"/>
      </w:divBdr>
      <w:divsChild>
        <w:div w:id="192311380">
          <w:marLeft w:val="1166"/>
          <w:marRight w:val="0"/>
          <w:marTop w:val="67"/>
          <w:marBottom w:val="0"/>
          <w:divBdr>
            <w:top w:val="none" w:sz="0" w:space="0" w:color="auto"/>
            <w:left w:val="none" w:sz="0" w:space="0" w:color="auto"/>
            <w:bottom w:val="none" w:sz="0" w:space="0" w:color="auto"/>
            <w:right w:val="none" w:sz="0" w:space="0" w:color="auto"/>
          </w:divBdr>
        </w:div>
        <w:div w:id="1255674099">
          <w:marLeft w:val="1166"/>
          <w:marRight w:val="0"/>
          <w:marTop w:val="67"/>
          <w:marBottom w:val="0"/>
          <w:divBdr>
            <w:top w:val="none" w:sz="0" w:space="0" w:color="auto"/>
            <w:left w:val="none" w:sz="0" w:space="0" w:color="auto"/>
            <w:bottom w:val="none" w:sz="0" w:space="0" w:color="auto"/>
            <w:right w:val="none" w:sz="0" w:space="0" w:color="auto"/>
          </w:divBdr>
        </w:div>
        <w:div w:id="1811898986">
          <w:marLeft w:val="547"/>
          <w:marRight w:val="0"/>
          <w:marTop w:val="86"/>
          <w:marBottom w:val="0"/>
          <w:divBdr>
            <w:top w:val="none" w:sz="0" w:space="0" w:color="auto"/>
            <w:left w:val="none" w:sz="0" w:space="0" w:color="auto"/>
            <w:bottom w:val="none" w:sz="0" w:space="0" w:color="auto"/>
            <w:right w:val="none" w:sz="0" w:space="0" w:color="auto"/>
          </w:divBdr>
        </w:div>
      </w:divsChild>
    </w:div>
    <w:div w:id="1626934956">
      <w:bodyDiv w:val="1"/>
      <w:marLeft w:val="0"/>
      <w:marRight w:val="0"/>
      <w:marTop w:val="0"/>
      <w:marBottom w:val="0"/>
      <w:divBdr>
        <w:top w:val="none" w:sz="0" w:space="0" w:color="auto"/>
        <w:left w:val="none" w:sz="0" w:space="0" w:color="auto"/>
        <w:bottom w:val="none" w:sz="0" w:space="0" w:color="auto"/>
        <w:right w:val="none" w:sz="0" w:space="0" w:color="auto"/>
      </w:divBdr>
      <w:divsChild>
        <w:div w:id="59838915">
          <w:marLeft w:val="547"/>
          <w:marRight w:val="0"/>
          <w:marTop w:val="96"/>
          <w:marBottom w:val="0"/>
          <w:divBdr>
            <w:top w:val="none" w:sz="0" w:space="0" w:color="auto"/>
            <w:left w:val="none" w:sz="0" w:space="0" w:color="auto"/>
            <w:bottom w:val="none" w:sz="0" w:space="0" w:color="auto"/>
            <w:right w:val="none" w:sz="0" w:space="0" w:color="auto"/>
          </w:divBdr>
        </w:div>
        <w:div w:id="892616466">
          <w:marLeft w:val="1166"/>
          <w:marRight w:val="0"/>
          <w:marTop w:val="77"/>
          <w:marBottom w:val="0"/>
          <w:divBdr>
            <w:top w:val="none" w:sz="0" w:space="0" w:color="auto"/>
            <w:left w:val="none" w:sz="0" w:space="0" w:color="auto"/>
            <w:bottom w:val="none" w:sz="0" w:space="0" w:color="auto"/>
            <w:right w:val="none" w:sz="0" w:space="0" w:color="auto"/>
          </w:divBdr>
        </w:div>
        <w:div w:id="970012283">
          <w:marLeft w:val="1166"/>
          <w:marRight w:val="0"/>
          <w:marTop w:val="77"/>
          <w:marBottom w:val="0"/>
          <w:divBdr>
            <w:top w:val="none" w:sz="0" w:space="0" w:color="auto"/>
            <w:left w:val="none" w:sz="0" w:space="0" w:color="auto"/>
            <w:bottom w:val="none" w:sz="0" w:space="0" w:color="auto"/>
            <w:right w:val="none" w:sz="0" w:space="0" w:color="auto"/>
          </w:divBdr>
        </w:div>
        <w:div w:id="1337997832">
          <w:marLeft w:val="547"/>
          <w:marRight w:val="0"/>
          <w:marTop w:val="86"/>
          <w:marBottom w:val="0"/>
          <w:divBdr>
            <w:top w:val="none" w:sz="0" w:space="0" w:color="auto"/>
            <w:left w:val="none" w:sz="0" w:space="0" w:color="auto"/>
            <w:bottom w:val="none" w:sz="0" w:space="0" w:color="auto"/>
            <w:right w:val="none" w:sz="0" w:space="0" w:color="auto"/>
          </w:divBdr>
        </w:div>
        <w:div w:id="1437823436">
          <w:marLeft w:val="547"/>
          <w:marRight w:val="0"/>
          <w:marTop w:val="96"/>
          <w:marBottom w:val="0"/>
          <w:divBdr>
            <w:top w:val="none" w:sz="0" w:space="0" w:color="auto"/>
            <w:left w:val="none" w:sz="0" w:space="0" w:color="auto"/>
            <w:bottom w:val="none" w:sz="0" w:space="0" w:color="auto"/>
            <w:right w:val="none" w:sz="0" w:space="0" w:color="auto"/>
          </w:divBdr>
        </w:div>
        <w:div w:id="1623802971">
          <w:marLeft w:val="1166"/>
          <w:marRight w:val="0"/>
          <w:marTop w:val="77"/>
          <w:marBottom w:val="0"/>
          <w:divBdr>
            <w:top w:val="none" w:sz="0" w:space="0" w:color="auto"/>
            <w:left w:val="none" w:sz="0" w:space="0" w:color="auto"/>
            <w:bottom w:val="none" w:sz="0" w:space="0" w:color="auto"/>
            <w:right w:val="none" w:sz="0" w:space="0" w:color="auto"/>
          </w:divBdr>
        </w:div>
        <w:div w:id="2113738506">
          <w:marLeft w:val="547"/>
          <w:marRight w:val="0"/>
          <w:marTop w:val="96"/>
          <w:marBottom w:val="0"/>
          <w:divBdr>
            <w:top w:val="none" w:sz="0" w:space="0" w:color="auto"/>
            <w:left w:val="none" w:sz="0" w:space="0" w:color="auto"/>
            <w:bottom w:val="none" w:sz="0" w:space="0" w:color="auto"/>
            <w:right w:val="none" w:sz="0" w:space="0" w:color="auto"/>
          </w:divBdr>
        </w:div>
      </w:divsChild>
    </w:div>
    <w:div w:id="1672639050">
      <w:bodyDiv w:val="1"/>
      <w:marLeft w:val="0"/>
      <w:marRight w:val="0"/>
      <w:marTop w:val="0"/>
      <w:marBottom w:val="0"/>
      <w:divBdr>
        <w:top w:val="none" w:sz="0" w:space="0" w:color="auto"/>
        <w:left w:val="none" w:sz="0" w:space="0" w:color="auto"/>
        <w:bottom w:val="none" w:sz="0" w:space="0" w:color="auto"/>
        <w:right w:val="none" w:sz="0" w:space="0" w:color="auto"/>
      </w:divBdr>
      <w:divsChild>
        <w:div w:id="979382892">
          <w:marLeft w:val="0"/>
          <w:marRight w:val="0"/>
          <w:marTop w:val="0"/>
          <w:marBottom w:val="0"/>
          <w:divBdr>
            <w:top w:val="none" w:sz="0" w:space="0" w:color="auto"/>
            <w:left w:val="none" w:sz="0" w:space="0" w:color="auto"/>
            <w:bottom w:val="none" w:sz="0" w:space="0" w:color="auto"/>
            <w:right w:val="none" w:sz="0" w:space="0" w:color="auto"/>
          </w:divBdr>
          <w:divsChild>
            <w:div w:id="1440295120">
              <w:marLeft w:val="0"/>
              <w:marRight w:val="0"/>
              <w:marTop w:val="0"/>
              <w:marBottom w:val="0"/>
              <w:divBdr>
                <w:top w:val="none" w:sz="0" w:space="0" w:color="auto"/>
                <w:left w:val="none" w:sz="0" w:space="0" w:color="auto"/>
                <w:bottom w:val="none" w:sz="0" w:space="0" w:color="auto"/>
                <w:right w:val="none" w:sz="0" w:space="0" w:color="auto"/>
              </w:divBdr>
              <w:divsChild>
                <w:div w:id="930503255">
                  <w:marLeft w:val="0"/>
                  <w:marRight w:val="0"/>
                  <w:marTop w:val="0"/>
                  <w:marBottom w:val="0"/>
                  <w:divBdr>
                    <w:top w:val="none" w:sz="0" w:space="0" w:color="auto"/>
                    <w:left w:val="none" w:sz="0" w:space="0" w:color="auto"/>
                    <w:bottom w:val="none" w:sz="0" w:space="0" w:color="auto"/>
                    <w:right w:val="none" w:sz="0" w:space="0" w:color="auto"/>
                  </w:divBdr>
                  <w:divsChild>
                    <w:div w:id="393628181">
                      <w:marLeft w:val="0"/>
                      <w:marRight w:val="0"/>
                      <w:marTop w:val="0"/>
                      <w:marBottom w:val="0"/>
                      <w:divBdr>
                        <w:top w:val="none" w:sz="0" w:space="0" w:color="auto"/>
                        <w:left w:val="none" w:sz="0" w:space="0" w:color="auto"/>
                        <w:bottom w:val="none" w:sz="0" w:space="0" w:color="auto"/>
                        <w:right w:val="none" w:sz="0" w:space="0" w:color="auto"/>
                      </w:divBdr>
                      <w:divsChild>
                        <w:div w:id="526068149">
                          <w:marLeft w:val="0"/>
                          <w:marRight w:val="0"/>
                          <w:marTop w:val="0"/>
                          <w:marBottom w:val="0"/>
                          <w:divBdr>
                            <w:top w:val="none" w:sz="0" w:space="0" w:color="auto"/>
                            <w:left w:val="none" w:sz="0" w:space="0" w:color="auto"/>
                            <w:bottom w:val="none" w:sz="0" w:space="0" w:color="auto"/>
                            <w:right w:val="none" w:sz="0" w:space="0" w:color="auto"/>
                          </w:divBdr>
                          <w:divsChild>
                            <w:div w:id="18639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52686">
      <w:bodyDiv w:val="1"/>
      <w:marLeft w:val="0"/>
      <w:marRight w:val="0"/>
      <w:marTop w:val="0"/>
      <w:marBottom w:val="0"/>
      <w:divBdr>
        <w:top w:val="none" w:sz="0" w:space="0" w:color="auto"/>
        <w:left w:val="none" w:sz="0" w:space="0" w:color="auto"/>
        <w:bottom w:val="none" w:sz="0" w:space="0" w:color="auto"/>
        <w:right w:val="none" w:sz="0" w:space="0" w:color="auto"/>
      </w:divBdr>
      <w:divsChild>
        <w:div w:id="933900567">
          <w:marLeft w:val="547"/>
          <w:marRight w:val="0"/>
          <w:marTop w:val="86"/>
          <w:marBottom w:val="0"/>
          <w:divBdr>
            <w:top w:val="none" w:sz="0" w:space="0" w:color="auto"/>
            <w:left w:val="none" w:sz="0" w:space="0" w:color="auto"/>
            <w:bottom w:val="none" w:sz="0" w:space="0" w:color="auto"/>
            <w:right w:val="none" w:sz="0" w:space="0" w:color="auto"/>
          </w:divBdr>
        </w:div>
        <w:div w:id="1208495222">
          <w:marLeft w:val="547"/>
          <w:marRight w:val="0"/>
          <w:marTop w:val="86"/>
          <w:marBottom w:val="0"/>
          <w:divBdr>
            <w:top w:val="none" w:sz="0" w:space="0" w:color="auto"/>
            <w:left w:val="none" w:sz="0" w:space="0" w:color="auto"/>
            <w:bottom w:val="none" w:sz="0" w:space="0" w:color="auto"/>
            <w:right w:val="none" w:sz="0" w:space="0" w:color="auto"/>
          </w:divBdr>
        </w:div>
      </w:divsChild>
    </w:div>
    <w:div w:id="1747339285">
      <w:bodyDiv w:val="1"/>
      <w:marLeft w:val="0"/>
      <w:marRight w:val="0"/>
      <w:marTop w:val="0"/>
      <w:marBottom w:val="0"/>
      <w:divBdr>
        <w:top w:val="none" w:sz="0" w:space="0" w:color="auto"/>
        <w:left w:val="none" w:sz="0" w:space="0" w:color="auto"/>
        <w:bottom w:val="none" w:sz="0" w:space="0" w:color="auto"/>
        <w:right w:val="none" w:sz="0" w:space="0" w:color="auto"/>
      </w:divBdr>
    </w:div>
    <w:div w:id="1756706767">
      <w:bodyDiv w:val="1"/>
      <w:marLeft w:val="0"/>
      <w:marRight w:val="0"/>
      <w:marTop w:val="0"/>
      <w:marBottom w:val="0"/>
      <w:divBdr>
        <w:top w:val="none" w:sz="0" w:space="0" w:color="auto"/>
        <w:left w:val="none" w:sz="0" w:space="0" w:color="auto"/>
        <w:bottom w:val="none" w:sz="0" w:space="0" w:color="auto"/>
        <w:right w:val="none" w:sz="0" w:space="0" w:color="auto"/>
      </w:divBdr>
      <w:divsChild>
        <w:div w:id="78523318">
          <w:marLeft w:val="1166"/>
          <w:marRight w:val="0"/>
          <w:marTop w:val="67"/>
          <w:marBottom w:val="0"/>
          <w:divBdr>
            <w:top w:val="none" w:sz="0" w:space="0" w:color="auto"/>
            <w:left w:val="none" w:sz="0" w:space="0" w:color="auto"/>
            <w:bottom w:val="none" w:sz="0" w:space="0" w:color="auto"/>
            <w:right w:val="none" w:sz="0" w:space="0" w:color="auto"/>
          </w:divBdr>
        </w:div>
        <w:div w:id="776675665">
          <w:marLeft w:val="547"/>
          <w:marRight w:val="0"/>
          <w:marTop w:val="67"/>
          <w:marBottom w:val="0"/>
          <w:divBdr>
            <w:top w:val="none" w:sz="0" w:space="0" w:color="auto"/>
            <w:left w:val="none" w:sz="0" w:space="0" w:color="auto"/>
            <w:bottom w:val="none" w:sz="0" w:space="0" w:color="auto"/>
            <w:right w:val="none" w:sz="0" w:space="0" w:color="auto"/>
          </w:divBdr>
        </w:div>
        <w:div w:id="1252281475">
          <w:marLeft w:val="547"/>
          <w:marRight w:val="0"/>
          <w:marTop w:val="67"/>
          <w:marBottom w:val="0"/>
          <w:divBdr>
            <w:top w:val="none" w:sz="0" w:space="0" w:color="auto"/>
            <w:left w:val="none" w:sz="0" w:space="0" w:color="auto"/>
            <w:bottom w:val="none" w:sz="0" w:space="0" w:color="auto"/>
            <w:right w:val="none" w:sz="0" w:space="0" w:color="auto"/>
          </w:divBdr>
        </w:div>
        <w:div w:id="1363239877">
          <w:marLeft w:val="1166"/>
          <w:marRight w:val="0"/>
          <w:marTop w:val="67"/>
          <w:marBottom w:val="0"/>
          <w:divBdr>
            <w:top w:val="none" w:sz="0" w:space="0" w:color="auto"/>
            <w:left w:val="none" w:sz="0" w:space="0" w:color="auto"/>
            <w:bottom w:val="none" w:sz="0" w:space="0" w:color="auto"/>
            <w:right w:val="none" w:sz="0" w:space="0" w:color="auto"/>
          </w:divBdr>
        </w:div>
        <w:div w:id="1796950845">
          <w:marLeft w:val="1166"/>
          <w:marRight w:val="0"/>
          <w:marTop w:val="67"/>
          <w:marBottom w:val="0"/>
          <w:divBdr>
            <w:top w:val="none" w:sz="0" w:space="0" w:color="auto"/>
            <w:left w:val="none" w:sz="0" w:space="0" w:color="auto"/>
            <w:bottom w:val="none" w:sz="0" w:space="0" w:color="auto"/>
            <w:right w:val="none" w:sz="0" w:space="0" w:color="auto"/>
          </w:divBdr>
        </w:div>
        <w:div w:id="1948385995">
          <w:marLeft w:val="547"/>
          <w:marRight w:val="0"/>
          <w:marTop w:val="67"/>
          <w:marBottom w:val="0"/>
          <w:divBdr>
            <w:top w:val="none" w:sz="0" w:space="0" w:color="auto"/>
            <w:left w:val="none" w:sz="0" w:space="0" w:color="auto"/>
            <w:bottom w:val="none" w:sz="0" w:space="0" w:color="auto"/>
            <w:right w:val="none" w:sz="0" w:space="0" w:color="auto"/>
          </w:divBdr>
        </w:div>
        <w:div w:id="1959674363">
          <w:marLeft w:val="547"/>
          <w:marRight w:val="0"/>
          <w:marTop w:val="86"/>
          <w:marBottom w:val="0"/>
          <w:divBdr>
            <w:top w:val="none" w:sz="0" w:space="0" w:color="auto"/>
            <w:left w:val="none" w:sz="0" w:space="0" w:color="auto"/>
            <w:bottom w:val="none" w:sz="0" w:space="0" w:color="auto"/>
            <w:right w:val="none" w:sz="0" w:space="0" w:color="auto"/>
          </w:divBdr>
        </w:div>
        <w:div w:id="2060467964">
          <w:marLeft w:val="1166"/>
          <w:marRight w:val="0"/>
          <w:marTop w:val="67"/>
          <w:marBottom w:val="0"/>
          <w:divBdr>
            <w:top w:val="none" w:sz="0" w:space="0" w:color="auto"/>
            <w:left w:val="none" w:sz="0" w:space="0" w:color="auto"/>
            <w:bottom w:val="none" w:sz="0" w:space="0" w:color="auto"/>
            <w:right w:val="none" w:sz="0" w:space="0" w:color="auto"/>
          </w:divBdr>
        </w:div>
      </w:divsChild>
    </w:div>
    <w:div w:id="1822382242">
      <w:bodyDiv w:val="1"/>
      <w:marLeft w:val="0"/>
      <w:marRight w:val="0"/>
      <w:marTop w:val="0"/>
      <w:marBottom w:val="0"/>
      <w:divBdr>
        <w:top w:val="none" w:sz="0" w:space="0" w:color="auto"/>
        <w:left w:val="none" w:sz="0" w:space="0" w:color="auto"/>
        <w:bottom w:val="none" w:sz="0" w:space="0" w:color="auto"/>
        <w:right w:val="none" w:sz="0" w:space="0" w:color="auto"/>
      </w:divBdr>
      <w:divsChild>
        <w:div w:id="851456570">
          <w:marLeft w:val="547"/>
          <w:marRight w:val="0"/>
          <w:marTop w:val="86"/>
          <w:marBottom w:val="0"/>
          <w:divBdr>
            <w:top w:val="none" w:sz="0" w:space="0" w:color="auto"/>
            <w:left w:val="none" w:sz="0" w:space="0" w:color="auto"/>
            <w:bottom w:val="none" w:sz="0" w:space="0" w:color="auto"/>
            <w:right w:val="none" w:sz="0" w:space="0" w:color="auto"/>
          </w:divBdr>
        </w:div>
      </w:divsChild>
    </w:div>
    <w:div w:id="1858081413">
      <w:bodyDiv w:val="1"/>
      <w:marLeft w:val="0"/>
      <w:marRight w:val="0"/>
      <w:marTop w:val="0"/>
      <w:marBottom w:val="0"/>
      <w:divBdr>
        <w:top w:val="none" w:sz="0" w:space="0" w:color="auto"/>
        <w:left w:val="none" w:sz="0" w:space="0" w:color="auto"/>
        <w:bottom w:val="none" w:sz="0" w:space="0" w:color="auto"/>
        <w:right w:val="none" w:sz="0" w:space="0" w:color="auto"/>
      </w:divBdr>
      <w:divsChild>
        <w:div w:id="1719478441">
          <w:marLeft w:val="1166"/>
          <w:marRight w:val="0"/>
          <w:marTop w:val="67"/>
          <w:marBottom w:val="0"/>
          <w:divBdr>
            <w:top w:val="none" w:sz="0" w:space="0" w:color="auto"/>
            <w:left w:val="none" w:sz="0" w:space="0" w:color="auto"/>
            <w:bottom w:val="none" w:sz="0" w:space="0" w:color="auto"/>
            <w:right w:val="none" w:sz="0" w:space="0" w:color="auto"/>
          </w:divBdr>
        </w:div>
      </w:divsChild>
    </w:div>
    <w:div w:id="2076737369">
      <w:bodyDiv w:val="1"/>
      <w:marLeft w:val="0"/>
      <w:marRight w:val="0"/>
      <w:marTop w:val="0"/>
      <w:marBottom w:val="0"/>
      <w:divBdr>
        <w:top w:val="none" w:sz="0" w:space="0" w:color="auto"/>
        <w:left w:val="none" w:sz="0" w:space="0" w:color="auto"/>
        <w:bottom w:val="none" w:sz="0" w:space="0" w:color="auto"/>
        <w:right w:val="none" w:sz="0" w:space="0" w:color="auto"/>
      </w:divBdr>
      <w:divsChild>
        <w:div w:id="17316396">
          <w:marLeft w:val="547"/>
          <w:marRight w:val="0"/>
          <w:marTop w:val="86"/>
          <w:marBottom w:val="0"/>
          <w:divBdr>
            <w:top w:val="none" w:sz="0" w:space="0" w:color="auto"/>
            <w:left w:val="none" w:sz="0" w:space="0" w:color="auto"/>
            <w:bottom w:val="none" w:sz="0" w:space="0" w:color="auto"/>
            <w:right w:val="none" w:sz="0" w:space="0" w:color="auto"/>
          </w:divBdr>
        </w:div>
        <w:div w:id="331492656">
          <w:marLeft w:val="1166"/>
          <w:marRight w:val="0"/>
          <w:marTop w:val="77"/>
          <w:marBottom w:val="0"/>
          <w:divBdr>
            <w:top w:val="none" w:sz="0" w:space="0" w:color="auto"/>
            <w:left w:val="none" w:sz="0" w:space="0" w:color="auto"/>
            <w:bottom w:val="none" w:sz="0" w:space="0" w:color="auto"/>
            <w:right w:val="none" w:sz="0" w:space="0" w:color="auto"/>
          </w:divBdr>
        </w:div>
        <w:div w:id="1322583490">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08FF6-B5CF-4CF5-8F9F-38BB30C0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2423</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15990</CharactersWithSpaces>
  <SharedDoc>false</SharedDoc>
  <HLinks>
    <vt:vector size="6" baseType="variant">
      <vt:variant>
        <vt:i4>3997744</vt:i4>
      </vt:variant>
      <vt:variant>
        <vt:i4>0</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2014-09-01T08:35:00Z</dcterms:created>
  <dcterms:modified xsi:type="dcterms:W3CDTF">2014-09-01T08:35:00Z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