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490FBB" w:rsidRDefault="006478E7" w:rsidP="006478E7">
      <w:pPr>
        <w:spacing w:before="120" w:after="120" w:line="312" w:lineRule="auto"/>
        <w:jc w:val="center"/>
      </w:pPr>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0E16F3FC" w14:textId="77777777" w:rsidR="00266C1C" w:rsidRPr="00490FBB" w:rsidRDefault="00266C1C" w:rsidP="00266C1C">
      <w:pPr>
        <w:pStyle w:val="Heading1"/>
        <w:spacing w:after="0"/>
      </w:pPr>
      <w:r>
        <w:t>Ratified</w:t>
      </w:r>
      <w:r>
        <w:br/>
      </w:r>
      <w:r w:rsidRPr="00490FBB">
        <w:t>PICO Confirmation</w:t>
      </w:r>
    </w:p>
    <w:p w14:paraId="50B6D781" w14:textId="6730DCB5" w:rsidR="006478E7" w:rsidRPr="00490FBB" w:rsidRDefault="006478E7" w:rsidP="00266C1C">
      <w:pPr>
        <w:pStyle w:val="Heading10"/>
        <w:spacing w:before="1440"/>
        <w:jc w:val="center"/>
        <w:rPr>
          <w:sz w:val="48"/>
          <w:szCs w:val="48"/>
        </w:rPr>
      </w:pPr>
      <w:r w:rsidRPr="00490FBB">
        <w:rPr>
          <w:sz w:val="48"/>
          <w:szCs w:val="48"/>
        </w:rPr>
        <w:t xml:space="preserve">Application </w:t>
      </w:r>
      <w:r w:rsidR="001D3580">
        <w:rPr>
          <w:sz w:val="48"/>
          <w:szCs w:val="48"/>
        </w:rPr>
        <w:t>1672</w:t>
      </w:r>
      <w:r w:rsidRPr="00490FBB">
        <w:rPr>
          <w:sz w:val="48"/>
          <w:szCs w:val="48"/>
        </w:rPr>
        <w:t>:</w:t>
      </w:r>
    </w:p>
    <w:p w14:paraId="23900CA0" w14:textId="203E4961" w:rsidR="006478E7" w:rsidRPr="00490FBB" w:rsidRDefault="00D379FB" w:rsidP="000D35EA">
      <w:pPr>
        <w:pStyle w:val="Heading10"/>
        <w:jc w:val="center"/>
      </w:pPr>
      <w:bookmarkStart w:id="0" w:name="_Hlk81485387"/>
      <w:r w:rsidRPr="00D379FB">
        <w:rPr>
          <w:sz w:val="48"/>
          <w:szCs w:val="48"/>
        </w:rPr>
        <w:t>Procedures for the insertion or removal of a leadless permanent pacemaker for the treatment of bradyarrhythmia</w:t>
      </w:r>
      <w:bookmarkEnd w:id="0"/>
      <w:r w:rsidR="006478E7" w:rsidRPr="00490FBB">
        <w:br w:type="page"/>
      </w:r>
    </w:p>
    <w:p w14:paraId="71A31C57" w14:textId="77777777" w:rsidR="00B45795" w:rsidRPr="00B45795" w:rsidRDefault="00B45795" w:rsidP="00B45795">
      <w:pPr>
        <w:pStyle w:val="Heading2"/>
        <w:jc w:val="both"/>
        <w:rPr>
          <w:rFonts w:asciiTheme="minorHAnsi" w:hAnsiTheme="minorHAnsi" w:cstheme="minorHAnsi"/>
          <w:b/>
          <w:bCs/>
          <w:i/>
          <w:iCs/>
          <w:color w:val="auto"/>
          <w:sz w:val="22"/>
          <w:szCs w:val="22"/>
        </w:rPr>
      </w:pPr>
      <w:bookmarkStart w:id="1" w:name="_Ref69732160"/>
      <w:bookmarkStart w:id="2" w:name="_Ref69732155"/>
      <w:r w:rsidRPr="00B45795">
        <w:rPr>
          <w:rFonts w:asciiTheme="minorHAnsi" w:hAnsiTheme="minorHAnsi" w:cstheme="minorHAnsi"/>
          <w:b/>
          <w:bCs/>
          <w:i/>
          <w:iCs/>
          <w:color w:val="auto"/>
          <w:sz w:val="22"/>
          <w:szCs w:val="22"/>
        </w:rPr>
        <w:lastRenderedPageBreak/>
        <w:t>Summary of PICO/PPICO criteria to define the question(s) to be addressed in an Assessment Report to the Medical Services Advisory Committee (MSAC)</w:t>
      </w:r>
    </w:p>
    <w:p w14:paraId="224459F3" w14:textId="26B508AE" w:rsidR="00D52956" w:rsidRDefault="00D52956" w:rsidP="00D52956">
      <w:pPr>
        <w:pStyle w:val="Caption"/>
      </w:pPr>
      <w:r>
        <w:t>Table</w:t>
      </w:r>
      <w:r w:rsidR="00FD4C65">
        <w:t> </w:t>
      </w:r>
      <w:r>
        <w:fldChar w:fldCharType="begin"/>
      </w:r>
      <w:r>
        <w:instrText xml:space="preserve"> SEQ Table \* ARABIC </w:instrText>
      </w:r>
      <w:r>
        <w:fldChar w:fldCharType="separate"/>
      </w:r>
      <w:r w:rsidR="000D35EA">
        <w:rPr>
          <w:noProof/>
        </w:rPr>
        <w:t>1</w:t>
      </w:r>
      <w:r>
        <w:fldChar w:fldCharType="end"/>
      </w:r>
      <w:bookmarkEnd w:id="1"/>
      <w:r>
        <w:tab/>
        <w:t xml:space="preserve">PICO for </w:t>
      </w:r>
      <w:r w:rsidR="001D1F0E">
        <w:t xml:space="preserve">transcatheter </w:t>
      </w:r>
      <w:r w:rsidR="00885C2A">
        <w:t xml:space="preserve">insertion of a leadless pacemaker </w:t>
      </w:r>
      <w:r>
        <w:t>in</w:t>
      </w:r>
      <w:r w:rsidR="00885C2A">
        <w:t xml:space="preserve"> </w:t>
      </w:r>
      <w:bookmarkEnd w:id="2"/>
      <w:r w:rsidR="00A8223D">
        <w:t xml:space="preserve">patients with </w:t>
      </w:r>
      <w:r w:rsidR="005B73F1">
        <w:t>bradycardia</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Caption w:val="PICO for insertion of a leadless pacemaker in patients with bradycardia"/>
        <w:tblDescription w:val="A summary of each of the PICO elements (population, intervention, comparator, outcomes) and the research question for the assessment."/>
      </w:tblPr>
      <w:tblGrid>
        <w:gridCol w:w="1408"/>
        <w:gridCol w:w="8158"/>
      </w:tblGrid>
      <w:tr w:rsidR="006478E7" w:rsidRPr="00490FBB" w14:paraId="2A509B30" w14:textId="77777777" w:rsidTr="004D5B78">
        <w:trPr>
          <w:trHeight w:val="372"/>
          <w:tblHeader/>
        </w:trPr>
        <w:tc>
          <w:tcPr>
            <w:tcW w:w="736"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B038E3">
            <w:pPr>
              <w:spacing w:before="20" w:after="20" w:line="240" w:lineRule="auto"/>
              <w:rPr>
                <w:b/>
              </w:rPr>
            </w:pPr>
            <w:bookmarkStart w:id="3" w:name="Title_Table1" w:colFirst="0" w:colLast="0"/>
            <w:r w:rsidRPr="00490FBB">
              <w:rPr>
                <w:b/>
              </w:rPr>
              <w:t>Component</w:t>
            </w:r>
          </w:p>
        </w:tc>
        <w:tc>
          <w:tcPr>
            <w:tcW w:w="426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1DF4F" w14:textId="77777777" w:rsidR="006478E7" w:rsidRPr="00490FBB" w:rsidRDefault="006478E7" w:rsidP="00B038E3">
            <w:pPr>
              <w:spacing w:before="20" w:after="20" w:line="240" w:lineRule="auto"/>
              <w:rPr>
                <w:b/>
              </w:rPr>
            </w:pPr>
            <w:r w:rsidRPr="00490FBB">
              <w:rPr>
                <w:b/>
              </w:rPr>
              <w:t>Description</w:t>
            </w:r>
          </w:p>
        </w:tc>
      </w:tr>
      <w:bookmarkEnd w:id="3"/>
      <w:tr w:rsidR="006478E7" w:rsidRPr="00490FBB" w14:paraId="78E0BB65" w14:textId="77777777" w:rsidTr="004D5B78">
        <w:tc>
          <w:tcPr>
            <w:tcW w:w="736" w:type="pct"/>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B038E3">
            <w:pPr>
              <w:spacing w:before="80" w:after="120" w:line="240" w:lineRule="auto"/>
              <w:rPr>
                <w:rFonts w:cs="Arial"/>
              </w:rPr>
            </w:pPr>
            <w:r>
              <w:rPr>
                <w:rFonts w:cs="Arial"/>
              </w:rPr>
              <w:t>Population</w:t>
            </w:r>
          </w:p>
        </w:tc>
        <w:tc>
          <w:tcPr>
            <w:tcW w:w="4264" w:type="pct"/>
            <w:tcBorders>
              <w:top w:val="single" w:sz="4" w:space="0" w:color="auto"/>
              <w:left w:val="single" w:sz="4" w:space="0" w:color="auto"/>
              <w:bottom w:val="single" w:sz="4" w:space="0" w:color="auto"/>
              <w:right w:val="single" w:sz="4" w:space="0" w:color="auto"/>
            </w:tcBorders>
            <w:hideMark/>
          </w:tcPr>
          <w:p w14:paraId="09C12DEE" w14:textId="3BA1EEF3" w:rsidR="00D80F4B" w:rsidRDefault="00885C2A" w:rsidP="00B038E3">
            <w:pPr>
              <w:pStyle w:val="Instructionaltext"/>
              <w:spacing w:before="80" w:after="0" w:line="240" w:lineRule="auto"/>
              <w:rPr>
                <w:color w:val="auto"/>
              </w:rPr>
            </w:pPr>
            <w:r w:rsidRPr="00885C2A">
              <w:rPr>
                <w:color w:val="auto"/>
              </w:rPr>
              <w:t>Patients</w:t>
            </w:r>
            <w:r w:rsidR="001B6958">
              <w:rPr>
                <w:color w:val="auto"/>
                <w:vertAlign w:val="superscript"/>
              </w:rPr>
              <w:t>a</w:t>
            </w:r>
            <w:r w:rsidRPr="0065779C">
              <w:rPr>
                <w:color w:val="auto"/>
              </w:rPr>
              <w:t xml:space="preserve"> </w:t>
            </w:r>
            <w:r w:rsidR="003827CE">
              <w:rPr>
                <w:color w:val="auto"/>
              </w:rPr>
              <w:t>in whom</w:t>
            </w:r>
            <w:r w:rsidR="00A37899">
              <w:rPr>
                <w:color w:val="auto"/>
              </w:rPr>
              <w:t xml:space="preserve"> </w:t>
            </w:r>
            <w:r w:rsidR="004D5B78">
              <w:rPr>
                <w:color w:val="auto"/>
              </w:rPr>
              <w:t>single-chamber</w:t>
            </w:r>
            <w:r w:rsidR="003105CC">
              <w:rPr>
                <w:color w:val="auto"/>
              </w:rPr>
              <w:t xml:space="preserve"> </w:t>
            </w:r>
            <w:r w:rsidR="00D468FF">
              <w:rPr>
                <w:color w:val="auto"/>
              </w:rPr>
              <w:t xml:space="preserve">ventricular </w:t>
            </w:r>
            <w:r w:rsidR="00ED4C5E">
              <w:rPr>
                <w:color w:val="auto"/>
              </w:rPr>
              <w:t>pacing</w:t>
            </w:r>
            <w:r w:rsidR="00966022">
              <w:rPr>
                <w:color w:val="auto"/>
              </w:rPr>
              <w:t xml:space="preserve"> (mode VVIR)</w:t>
            </w:r>
            <w:r w:rsidR="003827CE">
              <w:rPr>
                <w:color w:val="auto"/>
              </w:rPr>
              <w:t xml:space="preserve"> is indicated</w:t>
            </w:r>
            <w:r w:rsidR="00B969A3">
              <w:rPr>
                <w:color w:val="auto"/>
              </w:rPr>
              <w:t xml:space="preserve"> due to one</w:t>
            </w:r>
            <w:r w:rsidR="004111F1">
              <w:rPr>
                <w:color w:val="auto"/>
              </w:rPr>
              <w:t xml:space="preserve"> or more</w:t>
            </w:r>
            <w:r w:rsidR="00B969A3">
              <w:rPr>
                <w:color w:val="auto"/>
              </w:rPr>
              <w:t xml:space="preserve"> of the following conditions:</w:t>
            </w:r>
          </w:p>
          <w:p w14:paraId="42AAA8EB" w14:textId="239E4BCD" w:rsidR="00885C2A" w:rsidRPr="00D80F4B" w:rsidRDefault="003105CC" w:rsidP="00BC7B13">
            <w:pPr>
              <w:pStyle w:val="ListParagraph"/>
              <w:numPr>
                <w:ilvl w:val="0"/>
                <w:numId w:val="5"/>
              </w:numPr>
              <w:spacing w:after="120" w:line="240" w:lineRule="auto"/>
              <w:ind w:left="714" w:hanging="357"/>
            </w:pPr>
            <w:r w:rsidRPr="00D80F4B">
              <w:t>s</w:t>
            </w:r>
            <w:r w:rsidR="00885C2A" w:rsidRPr="00D80F4B">
              <w:t>ymptomatic paroxysmal or permanent high</w:t>
            </w:r>
            <w:r w:rsidR="00704FD1">
              <w:t>-</w:t>
            </w:r>
            <w:r w:rsidR="00885C2A" w:rsidRPr="00D80F4B">
              <w:t xml:space="preserve">grade </w:t>
            </w:r>
            <w:r w:rsidR="00D80F4B" w:rsidRPr="00D80F4B">
              <w:t>atrioventricular (</w:t>
            </w:r>
            <w:r w:rsidR="00885C2A" w:rsidRPr="00D80F4B">
              <w:t>AV</w:t>
            </w:r>
            <w:r w:rsidR="00D80F4B" w:rsidRPr="00D80F4B">
              <w:t>)</w:t>
            </w:r>
            <w:r w:rsidR="00885C2A" w:rsidRPr="00D80F4B">
              <w:t xml:space="preserve"> block in the presence of </w:t>
            </w:r>
            <w:r w:rsidR="00D80F4B" w:rsidRPr="00D80F4B">
              <w:t>atrial fibrillation (</w:t>
            </w:r>
            <w:r w:rsidR="00885C2A" w:rsidRPr="00D80F4B">
              <w:t>AF</w:t>
            </w:r>
            <w:r w:rsidR="00D80F4B" w:rsidRPr="00D80F4B">
              <w:t>)</w:t>
            </w:r>
          </w:p>
          <w:p w14:paraId="281F1F6F" w14:textId="0ACEBFDB" w:rsidR="00885C2A" w:rsidRPr="00A2720E" w:rsidRDefault="003105CC" w:rsidP="00BC7B13">
            <w:pPr>
              <w:pStyle w:val="ListParagraph"/>
              <w:numPr>
                <w:ilvl w:val="0"/>
                <w:numId w:val="5"/>
              </w:numPr>
              <w:spacing w:after="120" w:line="240" w:lineRule="auto"/>
            </w:pPr>
            <w:r w:rsidRPr="00D80F4B">
              <w:t>s</w:t>
            </w:r>
            <w:r w:rsidR="00885C2A" w:rsidRPr="00D80F4B">
              <w:t>ymptomatic paroxysmal or permanent high</w:t>
            </w:r>
            <w:r w:rsidR="00611F0C">
              <w:t>-</w:t>
            </w:r>
            <w:r w:rsidR="00885C2A" w:rsidRPr="00D80F4B">
              <w:t xml:space="preserve">grade AV block in the absence of AF, </w:t>
            </w:r>
            <w:r w:rsidR="00885C2A" w:rsidRPr="00A2720E">
              <w:t xml:space="preserve">as an alternative to </w:t>
            </w:r>
            <w:r w:rsidR="004D5B78">
              <w:t>dual-chamber</w:t>
            </w:r>
            <w:r w:rsidR="00885C2A" w:rsidRPr="00A2720E">
              <w:t xml:space="preserve"> pacing, when atrial lead placement is considered difficult, high risk or not deemed necessary for effective therapy</w:t>
            </w:r>
          </w:p>
          <w:p w14:paraId="4A4FF7C2" w14:textId="56C92FF3" w:rsidR="00FE105C" w:rsidRPr="00D52956" w:rsidRDefault="003105CC" w:rsidP="00BC7B13">
            <w:pPr>
              <w:pStyle w:val="ListParagraph"/>
              <w:numPr>
                <w:ilvl w:val="0"/>
                <w:numId w:val="5"/>
              </w:numPr>
              <w:spacing w:after="80" w:line="240" w:lineRule="auto"/>
              <w:ind w:left="714" w:hanging="357"/>
            </w:pPr>
            <w:r w:rsidRPr="00D80F4B">
              <w:t>s</w:t>
            </w:r>
            <w:r w:rsidR="00885C2A" w:rsidRPr="00D80F4B">
              <w:t>ymptomatic sinus node dysfunction (</w:t>
            </w:r>
            <w:r w:rsidR="00807D3A" w:rsidRPr="00D80F4B">
              <w:t>SND</w:t>
            </w:r>
            <w:r w:rsidR="00885C2A" w:rsidRPr="00D80F4B">
              <w:t>)</w:t>
            </w:r>
            <w:r w:rsidR="00D80F4B" w:rsidRPr="00D80F4B">
              <w:t>,</w:t>
            </w:r>
            <w:r w:rsidR="00885C2A" w:rsidRPr="00D80F4B">
              <w:t xml:space="preserve"> </w:t>
            </w:r>
            <w:r w:rsidR="00885C2A" w:rsidRPr="00A2720E">
              <w:t xml:space="preserve">as an alternative to atrial or </w:t>
            </w:r>
            <w:r w:rsidR="004D5B78">
              <w:t>dual-chamber</w:t>
            </w:r>
            <w:r w:rsidR="00885C2A" w:rsidRPr="00A2720E">
              <w:t xml:space="preserve"> pacing, when atrial lead placement is considered difficult, high risk, or not deemed necessary for effective therapy.</w:t>
            </w:r>
          </w:p>
        </w:tc>
      </w:tr>
      <w:tr w:rsidR="006478E7" w:rsidRPr="00490FBB" w14:paraId="654E13A9" w14:textId="77777777" w:rsidTr="004D5B78">
        <w:tc>
          <w:tcPr>
            <w:tcW w:w="736"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B038E3">
            <w:pPr>
              <w:spacing w:before="80" w:after="120" w:line="240" w:lineRule="auto"/>
              <w:rPr>
                <w:rFonts w:cs="Arial"/>
              </w:rPr>
            </w:pPr>
            <w:r w:rsidRPr="00490FBB">
              <w:rPr>
                <w:rFonts w:cs="Arial"/>
              </w:rPr>
              <w:t>Intervention</w:t>
            </w:r>
          </w:p>
        </w:tc>
        <w:tc>
          <w:tcPr>
            <w:tcW w:w="4264" w:type="pct"/>
            <w:tcBorders>
              <w:top w:val="single" w:sz="4" w:space="0" w:color="auto"/>
              <w:left w:val="single" w:sz="4" w:space="0" w:color="auto"/>
              <w:bottom w:val="single" w:sz="4" w:space="0" w:color="auto"/>
              <w:right w:val="single" w:sz="4" w:space="0" w:color="auto"/>
            </w:tcBorders>
            <w:hideMark/>
          </w:tcPr>
          <w:p w14:paraId="45BB815E" w14:textId="01C23BBE" w:rsidR="006478E7" w:rsidRDefault="008177CD" w:rsidP="0065779C">
            <w:pPr>
              <w:spacing w:before="80" w:after="40"/>
            </w:pPr>
            <w:r>
              <w:t>Percutaneous t</w:t>
            </w:r>
            <w:r w:rsidR="001D1F0E">
              <w:t>ranscatheter</w:t>
            </w:r>
            <w:r w:rsidR="0067083B">
              <w:t xml:space="preserve"> insertion</w:t>
            </w:r>
            <w:r>
              <w:t xml:space="preserve">, </w:t>
            </w:r>
            <w:r w:rsidR="0050344D">
              <w:t xml:space="preserve">or </w:t>
            </w:r>
            <w:r>
              <w:t xml:space="preserve">retrieval </w:t>
            </w:r>
            <w:r w:rsidR="00F939E5">
              <w:t>with or without</w:t>
            </w:r>
            <w:r w:rsidR="00E45D84">
              <w:t xml:space="preserve"> replacement</w:t>
            </w:r>
            <w:r w:rsidR="0050344D">
              <w:t>,</w:t>
            </w:r>
            <w:r w:rsidR="000F68B5">
              <w:t xml:space="preserve"> and surgical explantation</w:t>
            </w:r>
            <w:r w:rsidR="00164C84">
              <w:t>,</w:t>
            </w:r>
            <w:r w:rsidR="0067083B">
              <w:t xml:space="preserve"> of a</w:t>
            </w:r>
            <w:r w:rsidR="001D1F0E">
              <w:t xml:space="preserve"> </w:t>
            </w:r>
            <w:r w:rsidR="00F92353">
              <w:t>l</w:t>
            </w:r>
            <w:r w:rsidR="004F74D4" w:rsidRPr="004F74D4">
              <w:t>eadless</w:t>
            </w:r>
            <w:r w:rsidR="00836612">
              <w:t xml:space="preserve"> </w:t>
            </w:r>
            <w:r w:rsidR="004F74D4" w:rsidRPr="004F74D4">
              <w:t xml:space="preserve">pacemaker </w:t>
            </w:r>
            <w:r w:rsidR="00151546">
              <w:t>(LPM)</w:t>
            </w:r>
            <w:r w:rsidR="00971D6E">
              <w:t xml:space="preserve"> </w:t>
            </w:r>
            <w:r w:rsidR="00971D6E" w:rsidRPr="00971D6E">
              <w:t xml:space="preserve">for </w:t>
            </w:r>
            <w:r w:rsidR="004D5B78">
              <w:t>single-chamber</w:t>
            </w:r>
            <w:r w:rsidR="00971D6E" w:rsidRPr="00971D6E">
              <w:t xml:space="preserve"> ventricular pacing</w:t>
            </w:r>
            <w:r w:rsidR="0065779C">
              <w:t>:</w:t>
            </w:r>
          </w:p>
          <w:p w14:paraId="3E51DB12" w14:textId="359EFCDC" w:rsidR="0065779C" w:rsidRPr="00D52956" w:rsidRDefault="0065779C" w:rsidP="00BC7B13">
            <w:pPr>
              <w:pStyle w:val="ListParagraph"/>
              <w:numPr>
                <w:ilvl w:val="0"/>
                <w:numId w:val="7"/>
              </w:numPr>
              <w:spacing w:after="80" w:line="240" w:lineRule="auto"/>
              <w:ind w:left="714" w:hanging="357"/>
            </w:pPr>
            <w:r w:rsidRPr="004F74D4">
              <w:t xml:space="preserve">Micra </w:t>
            </w:r>
            <w:r>
              <w:t>Transcatheter Pacing System (Medtronic)</w:t>
            </w:r>
          </w:p>
        </w:tc>
      </w:tr>
      <w:tr w:rsidR="006478E7" w:rsidRPr="00490FBB" w14:paraId="1F5647C3" w14:textId="77777777" w:rsidTr="004D5B78">
        <w:tc>
          <w:tcPr>
            <w:tcW w:w="736" w:type="pct"/>
            <w:tcBorders>
              <w:top w:val="single" w:sz="4" w:space="0" w:color="auto"/>
              <w:left w:val="single" w:sz="8" w:space="0" w:color="auto"/>
              <w:bottom w:val="single" w:sz="4" w:space="0" w:color="auto"/>
              <w:right w:val="single" w:sz="4" w:space="0" w:color="auto"/>
            </w:tcBorders>
            <w:hideMark/>
          </w:tcPr>
          <w:p w14:paraId="7F55173A" w14:textId="6713E9F3" w:rsidR="006478E7" w:rsidRPr="00490FBB" w:rsidRDefault="006478E7" w:rsidP="00B038E3">
            <w:pPr>
              <w:spacing w:before="80" w:after="80" w:line="240" w:lineRule="auto"/>
              <w:rPr>
                <w:rFonts w:cs="Arial"/>
              </w:rPr>
            </w:pPr>
            <w:r w:rsidRPr="00490FBB">
              <w:rPr>
                <w:rFonts w:cs="Arial"/>
              </w:rPr>
              <w:t>Comparator</w:t>
            </w:r>
          </w:p>
        </w:tc>
        <w:tc>
          <w:tcPr>
            <w:tcW w:w="4264" w:type="pct"/>
            <w:tcBorders>
              <w:top w:val="single" w:sz="4" w:space="0" w:color="auto"/>
              <w:left w:val="single" w:sz="4" w:space="0" w:color="auto"/>
              <w:bottom w:val="single" w:sz="4" w:space="0" w:color="auto"/>
              <w:right w:val="single" w:sz="4" w:space="0" w:color="auto"/>
            </w:tcBorders>
            <w:hideMark/>
          </w:tcPr>
          <w:p w14:paraId="7E690E4B" w14:textId="71440A9A" w:rsidR="002B178B" w:rsidRPr="00D52956" w:rsidRDefault="00F92353" w:rsidP="009E25F6">
            <w:pPr>
              <w:spacing w:before="80" w:after="80" w:line="240" w:lineRule="auto"/>
            </w:pPr>
            <w:r>
              <w:t xml:space="preserve">Standard </w:t>
            </w:r>
            <w:r w:rsidR="004D5B78">
              <w:t>single-chamber</w:t>
            </w:r>
            <w:r>
              <w:t xml:space="preserve"> transvenous</w:t>
            </w:r>
            <w:r w:rsidR="009C7B54" w:rsidRPr="009C7B54">
              <w:t xml:space="preserve"> pacemaker</w:t>
            </w:r>
            <w:r>
              <w:t xml:space="preserve"> (TV-PM)</w:t>
            </w:r>
          </w:p>
        </w:tc>
      </w:tr>
      <w:tr w:rsidR="006478E7" w:rsidRPr="00490FBB" w14:paraId="591B1D2D" w14:textId="77777777" w:rsidTr="004D5B78">
        <w:tc>
          <w:tcPr>
            <w:tcW w:w="736" w:type="pct"/>
            <w:tcBorders>
              <w:top w:val="single" w:sz="4" w:space="0" w:color="auto"/>
              <w:left w:val="single" w:sz="8" w:space="0" w:color="auto"/>
              <w:bottom w:val="single" w:sz="4" w:space="0" w:color="auto"/>
              <w:right w:val="single" w:sz="4" w:space="0" w:color="auto"/>
            </w:tcBorders>
            <w:hideMark/>
          </w:tcPr>
          <w:p w14:paraId="635F9D15" w14:textId="77777777" w:rsidR="006478E7" w:rsidRPr="00490FBB" w:rsidRDefault="006478E7" w:rsidP="00B038E3">
            <w:pPr>
              <w:spacing w:before="80" w:after="120" w:line="240" w:lineRule="auto"/>
              <w:rPr>
                <w:rFonts w:cs="Arial"/>
              </w:rPr>
            </w:pPr>
            <w:r w:rsidRPr="00490FBB">
              <w:rPr>
                <w:rFonts w:cs="Arial"/>
              </w:rPr>
              <w:t>Outcomes</w:t>
            </w:r>
          </w:p>
        </w:tc>
        <w:tc>
          <w:tcPr>
            <w:tcW w:w="4264" w:type="pct"/>
            <w:tcBorders>
              <w:top w:val="single" w:sz="4" w:space="0" w:color="auto"/>
              <w:left w:val="single" w:sz="4" w:space="0" w:color="auto"/>
              <w:bottom w:val="single" w:sz="4" w:space="0" w:color="auto"/>
              <w:right w:val="single" w:sz="4" w:space="0" w:color="auto"/>
            </w:tcBorders>
            <w:hideMark/>
          </w:tcPr>
          <w:p w14:paraId="4D32064D" w14:textId="3ED57B78" w:rsidR="00BD24A8" w:rsidRPr="00BD24A8" w:rsidRDefault="00F92353" w:rsidP="00B038E3">
            <w:pPr>
              <w:pStyle w:val="Instructionaltext"/>
              <w:spacing w:before="80" w:after="0" w:line="240" w:lineRule="auto"/>
              <w:rPr>
                <w:b/>
                <w:bCs/>
                <w:color w:val="auto"/>
              </w:rPr>
            </w:pPr>
            <w:r>
              <w:rPr>
                <w:b/>
                <w:bCs/>
                <w:color w:val="auto"/>
              </w:rPr>
              <w:t>Technical performance</w:t>
            </w:r>
          </w:p>
          <w:p w14:paraId="7E4F480B" w14:textId="5DD96D01" w:rsidR="00DA7C4E" w:rsidRDefault="00DA7C4E" w:rsidP="00BC7B13">
            <w:pPr>
              <w:pStyle w:val="ListParagraph"/>
              <w:numPr>
                <w:ilvl w:val="0"/>
                <w:numId w:val="5"/>
              </w:numPr>
              <w:spacing w:after="120" w:line="240" w:lineRule="auto"/>
            </w:pPr>
            <w:r>
              <w:t>pacing performance (sensing, impedance, pacing threshold)</w:t>
            </w:r>
          </w:p>
          <w:p w14:paraId="428BDC49" w14:textId="748CC8F4" w:rsidR="00DA7C4E" w:rsidRDefault="00DA7C4E" w:rsidP="00BC7B13">
            <w:pPr>
              <w:pStyle w:val="ListParagraph"/>
              <w:numPr>
                <w:ilvl w:val="0"/>
                <w:numId w:val="5"/>
              </w:numPr>
              <w:spacing w:after="120" w:line="240" w:lineRule="auto"/>
            </w:pPr>
            <w:r>
              <w:t>battery life</w:t>
            </w:r>
          </w:p>
          <w:p w14:paraId="3DF7ED6E" w14:textId="53545726" w:rsidR="00BD24A8" w:rsidRPr="00BD24A8" w:rsidRDefault="00DA7C4E" w:rsidP="00BC7B13">
            <w:pPr>
              <w:pStyle w:val="ListParagraph"/>
              <w:numPr>
                <w:ilvl w:val="0"/>
                <w:numId w:val="5"/>
              </w:numPr>
              <w:spacing w:before="120" w:after="80" w:line="240" w:lineRule="auto"/>
              <w:ind w:left="714" w:hanging="357"/>
            </w:pPr>
            <w:r>
              <w:t>adaptability (rate response)</w:t>
            </w:r>
          </w:p>
          <w:p w14:paraId="6B5C7611" w14:textId="719B69DD" w:rsidR="00BD24A8" w:rsidRPr="00BD24A8" w:rsidRDefault="00DA7C4E" w:rsidP="00B038E3">
            <w:pPr>
              <w:pStyle w:val="Instructionaltext"/>
              <w:spacing w:before="80" w:after="0" w:line="240" w:lineRule="auto"/>
              <w:rPr>
                <w:b/>
                <w:bCs/>
                <w:color w:val="auto"/>
              </w:rPr>
            </w:pPr>
            <w:r>
              <w:rPr>
                <w:b/>
                <w:bCs/>
                <w:color w:val="auto"/>
              </w:rPr>
              <w:t>Patient-relevant e</w:t>
            </w:r>
            <w:r w:rsidR="00BD24A8" w:rsidRPr="00BD24A8">
              <w:rPr>
                <w:b/>
                <w:bCs/>
                <w:color w:val="auto"/>
              </w:rPr>
              <w:t>ffectiveness outcome</w:t>
            </w:r>
            <w:r w:rsidR="00F92353">
              <w:rPr>
                <w:b/>
                <w:bCs/>
                <w:color w:val="auto"/>
              </w:rPr>
              <w:t>s</w:t>
            </w:r>
          </w:p>
          <w:p w14:paraId="27D68EB0" w14:textId="77777777" w:rsidR="00DA7C4E" w:rsidRDefault="00DA7C4E" w:rsidP="00BC7B13">
            <w:pPr>
              <w:pStyle w:val="ListParagraph"/>
              <w:numPr>
                <w:ilvl w:val="0"/>
                <w:numId w:val="5"/>
              </w:numPr>
              <w:spacing w:after="120" w:line="240" w:lineRule="auto"/>
            </w:pPr>
            <w:r>
              <w:t>mortality (all-cause and cardiovascular)</w:t>
            </w:r>
          </w:p>
          <w:p w14:paraId="6D2CC19D" w14:textId="77777777" w:rsidR="00DA7C4E" w:rsidRDefault="00DA7C4E" w:rsidP="00BC7B13">
            <w:pPr>
              <w:pStyle w:val="ListParagraph"/>
              <w:numPr>
                <w:ilvl w:val="0"/>
                <w:numId w:val="5"/>
              </w:numPr>
              <w:spacing w:after="120" w:line="240" w:lineRule="auto"/>
            </w:pPr>
            <w:r>
              <w:t>exercise capacity</w:t>
            </w:r>
          </w:p>
          <w:p w14:paraId="690C8F68" w14:textId="77777777" w:rsidR="00DA7C4E" w:rsidRDefault="00DA7C4E" w:rsidP="00BC7B13">
            <w:pPr>
              <w:pStyle w:val="ListParagraph"/>
              <w:numPr>
                <w:ilvl w:val="0"/>
                <w:numId w:val="5"/>
              </w:numPr>
              <w:spacing w:after="120" w:line="240" w:lineRule="auto"/>
            </w:pPr>
            <w:r>
              <w:t>change of medication</w:t>
            </w:r>
          </w:p>
          <w:p w14:paraId="21E66DDD" w14:textId="064DD8D1" w:rsidR="00DA7C4E" w:rsidRDefault="00DA7C4E" w:rsidP="00BC7B13">
            <w:pPr>
              <w:pStyle w:val="ListParagraph"/>
              <w:numPr>
                <w:ilvl w:val="0"/>
                <w:numId w:val="5"/>
              </w:numPr>
              <w:spacing w:after="120" w:line="240" w:lineRule="auto"/>
            </w:pPr>
            <w:r>
              <w:t>progression or recurrence of cardiac arrhythmias</w:t>
            </w:r>
          </w:p>
          <w:p w14:paraId="73837A7A" w14:textId="17E7438A" w:rsidR="00BD6D35" w:rsidRDefault="00BD6D35" w:rsidP="00BC7B13">
            <w:pPr>
              <w:pStyle w:val="ListParagraph"/>
              <w:numPr>
                <w:ilvl w:val="0"/>
                <w:numId w:val="5"/>
              </w:numPr>
              <w:spacing w:after="120" w:line="240" w:lineRule="auto"/>
            </w:pPr>
            <w:r>
              <w:t>switch to an alternative device (a different pacemaker or defibrillator)</w:t>
            </w:r>
          </w:p>
          <w:p w14:paraId="20116C09" w14:textId="77777777" w:rsidR="00DA7C4E" w:rsidRDefault="00DA7C4E" w:rsidP="00BC7B13">
            <w:pPr>
              <w:pStyle w:val="ListParagraph"/>
              <w:numPr>
                <w:ilvl w:val="0"/>
                <w:numId w:val="5"/>
              </w:numPr>
              <w:spacing w:after="120" w:line="240" w:lineRule="auto"/>
            </w:pPr>
            <w:r>
              <w:t>symptoms of cardiac arrhythmias (pre-syncope or syncope)</w:t>
            </w:r>
          </w:p>
          <w:p w14:paraId="576A6A50" w14:textId="586F1659" w:rsidR="00DA7C4E" w:rsidRDefault="004111F1" w:rsidP="00BC7B13">
            <w:pPr>
              <w:pStyle w:val="ListParagraph"/>
              <w:numPr>
                <w:ilvl w:val="0"/>
                <w:numId w:val="5"/>
              </w:numPr>
              <w:spacing w:after="120" w:line="240" w:lineRule="auto"/>
            </w:pPr>
            <w:r>
              <w:t xml:space="preserve">health-related </w:t>
            </w:r>
            <w:r w:rsidR="00DA7C4E">
              <w:t>quality of life</w:t>
            </w:r>
          </w:p>
          <w:p w14:paraId="60B743BE" w14:textId="287D5F1F" w:rsidR="00BD24A8" w:rsidRPr="00BD24A8" w:rsidRDefault="00DA7C4E" w:rsidP="00BC7B13">
            <w:pPr>
              <w:pStyle w:val="ListParagraph"/>
              <w:numPr>
                <w:ilvl w:val="0"/>
                <w:numId w:val="5"/>
              </w:numPr>
              <w:spacing w:before="120" w:after="80" w:line="240" w:lineRule="auto"/>
              <w:ind w:left="714" w:hanging="357"/>
            </w:pPr>
            <w:r>
              <w:t>patient satisfaction</w:t>
            </w:r>
          </w:p>
          <w:p w14:paraId="1D2B09AB" w14:textId="4EACAF6B" w:rsidR="00DA7C4E" w:rsidRPr="00BD24A8" w:rsidRDefault="00DA7C4E" w:rsidP="00B038E3">
            <w:pPr>
              <w:pStyle w:val="Instructionaltext"/>
              <w:spacing w:before="80" w:after="0" w:line="240" w:lineRule="auto"/>
              <w:rPr>
                <w:b/>
                <w:bCs/>
                <w:color w:val="auto"/>
              </w:rPr>
            </w:pPr>
            <w:r>
              <w:rPr>
                <w:b/>
                <w:bCs/>
                <w:color w:val="auto"/>
              </w:rPr>
              <w:t>Safety</w:t>
            </w:r>
            <w:r w:rsidRPr="00BD24A8">
              <w:rPr>
                <w:b/>
                <w:bCs/>
                <w:color w:val="auto"/>
              </w:rPr>
              <w:t xml:space="preserve"> outcome</w:t>
            </w:r>
            <w:r>
              <w:rPr>
                <w:b/>
                <w:bCs/>
                <w:color w:val="auto"/>
              </w:rPr>
              <w:t>s</w:t>
            </w:r>
          </w:p>
          <w:p w14:paraId="057CE2F6" w14:textId="1E465794" w:rsidR="00DA7C4E" w:rsidRDefault="00DA7C4E" w:rsidP="00BC7B13">
            <w:pPr>
              <w:pStyle w:val="ListParagraph"/>
              <w:numPr>
                <w:ilvl w:val="0"/>
                <w:numId w:val="5"/>
              </w:numPr>
              <w:spacing w:after="120" w:line="240" w:lineRule="auto"/>
            </w:pPr>
            <w:r>
              <w:t>major procedure-related complications (</w:t>
            </w:r>
            <w:r w:rsidR="00B038E3">
              <w:t xml:space="preserve">infection, pericardial effusion, </w:t>
            </w:r>
            <w:r>
              <w:t>cardiac tamponade/perforation, thromboembolism, vascular complications [</w:t>
            </w:r>
            <w:r w:rsidR="00D452EC">
              <w:t xml:space="preserve">bleeding, </w:t>
            </w:r>
            <w:r>
              <w:t>arteriovenous/atrioventricular fistula</w:t>
            </w:r>
            <w:r w:rsidR="004D5B78">
              <w:t>, pseudoaneurysm, haematoma</w:t>
            </w:r>
            <w:r>
              <w:t>])</w:t>
            </w:r>
          </w:p>
          <w:p w14:paraId="2F36F702" w14:textId="7AB7FF77" w:rsidR="00253723" w:rsidRDefault="00253723" w:rsidP="00BC7B13">
            <w:pPr>
              <w:pStyle w:val="ListParagraph"/>
              <w:numPr>
                <w:ilvl w:val="0"/>
                <w:numId w:val="5"/>
              </w:numPr>
              <w:spacing w:after="120" w:line="240" w:lineRule="auto"/>
            </w:pPr>
            <w:r>
              <w:t>Right ventricular dysfunction</w:t>
            </w:r>
          </w:p>
          <w:p w14:paraId="7FD06FF6" w14:textId="52821651" w:rsidR="00253723" w:rsidRDefault="00253723" w:rsidP="00BC7B13">
            <w:pPr>
              <w:pStyle w:val="ListParagraph"/>
              <w:numPr>
                <w:ilvl w:val="0"/>
                <w:numId w:val="5"/>
              </w:numPr>
              <w:spacing w:after="120" w:line="240" w:lineRule="auto"/>
            </w:pPr>
            <w:r w:rsidRPr="00253723">
              <w:t>Atrioventricular (AV – tricuspid &amp; mitral) valve regurgitation</w:t>
            </w:r>
          </w:p>
          <w:p w14:paraId="27570071" w14:textId="0029A1E1" w:rsidR="00253723" w:rsidRDefault="00253723" w:rsidP="00A97FC9">
            <w:pPr>
              <w:pStyle w:val="ListParagraph"/>
              <w:numPr>
                <w:ilvl w:val="0"/>
                <w:numId w:val="5"/>
              </w:numPr>
              <w:spacing w:after="120" w:line="240" w:lineRule="auto"/>
            </w:pPr>
            <w:r>
              <w:t>Pacemaker syndrome</w:t>
            </w:r>
          </w:p>
          <w:p w14:paraId="231BB5A2" w14:textId="40F19042" w:rsidR="00DA7C4E" w:rsidRDefault="00DA7C4E" w:rsidP="00BC7B13">
            <w:pPr>
              <w:pStyle w:val="ListParagraph"/>
              <w:numPr>
                <w:ilvl w:val="0"/>
                <w:numId w:val="5"/>
              </w:numPr>
              <w:spacing w:after="120" w:line="240" w:lineRule="auto"/>
            </w:pPr>
            <w:r>
              <w:t>major device-related complications (device dislodgement, device malfunction, battery failure, device infection, pacemaker-induced arrhythmia)</w:t>
            </w:r>
          </w:p>
          <w:p w14:paraId="0ED23E04" w14:textId="22B51800" w:rsidR="00BD6D35" w:rsidRDefault="00BD6D35" w:rsidP="00BC7B13">
            <w:pPr>
              <w:pStyle w:val="ListParagraph"/>
              <w:numPr>
                <w:ilvl w:val="0"/>
                <w:numId w:val="5"/>
              </w:numPr>
              <w:spacing w:after="120" w:line="240" w:lineRule="auto"/>
            </w:pPr>
            <w:r>
              <w:t>device revision, retrieval, replacement</w:t>
            </w:r>
            <w:r w:rsidR="00791567">
              <w:t>, explantation</w:t>
            </w:r>
          </w:p>
          <w:p w14:paraId="4C18C0BB" w14:textId="7913DF84" w:rsidR="00DA7C4E" w:rsidRPr="00BD24A8" w:rsidRDefault="00DA7C4E" w:rsidP="00BC7B13">
            <w:pPr>
              <w:pStyle w:val="ListParagraph"/>
              <w:numPr>
                <w:ilvl w:val="0"/>
                <w:numId w:val="5"/>
              </w:numPr>
              <w:spacing w:before="120" w:after="80" w:line="240" w:lineRule="auto"/>
              <w:ind w:left="714" w:hanging="357"/>
            </w:pPr>
            <w:r>
              <w:t>any serious adverse event</w:t>
            </w:r>
          </w:p>
          <w:p w14:paraId="71AEBEEA" w14:textId="0A72B8BA" w:rsidR="00BD24A8" w:rsidRPr="00BD24A8" w:rsidRDefault="00BD24A8" w:rsidP="00B038E3">
            <w:pPr>
              <w:pStyle w:val="Instructionaltext"/>
              <w:spacing w:before="80" w:after="0" w:line="240" w:lineRule="auto"/>
              <w:rPr>
                <w:b/>
                <w:bCs/>
                <w:color w:val="auto"/>
              </w:rPr>
            </w:pPr>
            <w:r w:rsidRPr="00BD24A8">
              <w:rPr>
                <w:b/>
                <w:bCs/>
                <w:color w:val="auto"/>
              </w:rPr>
              <w:t>Health</w:t>
            </w:r>
            <w:r w:rsidR="00DA7C4E">
              <w:rPr>
                <w:b/>
                <w:bCs/>
                <w:color w:val="auto"/>
              </w:rPr>
              <w:t xml:space="preserve"> </w:t>
            </w:r>
            <w:r w:rsidRPr="00BD24A8">
              <w:rPr>
                <w:b/>
                <w:bCs/>
                <w:color w:val="auto"/>
              </w:rPr>
              <w:t>care resources</w:t>
            </w:r>
          </w:p>
          <w:p w14:paraId="2EEA8F36" w14:textId="77777777" w:rsidR="00DA7C4E" w:rsidRDefault="00DA7C4E" w:rsidP="00BC7B13">
            <w:pPr>
              <w:pStyle w:val="ListParagraph"/>
              <w:numPr>
                <w:ilvl w:val="0"/>
                <w:numId w:val="5"/>
              </w:numPr>
              <w:spacing w:after="120" w:line="240" w:lineRule="auto"/>
            </w:pPr>
            <w:r>
              <w:t>procedure duration</w:t>
            </w:r>
          </w:p>
          <w:p w14:paraId="45DD5745" w14:textId="77777777" w:rsidR="00BD6D35" w:rsidRDefault="00BD6D35" w:rsidP="00BC7B13">
            <w:pPr>
              <w:pStyle w:val="ListParagraph"/>
              <w:numPr>
                <w:ilvl w:val="0"/>
                <w:numId w:val="5"/>
              </w:numPr>
              <w:spacing w:after="120" w:line="240" w:lineRule="auto"/>
            </w:pPr>
            <w:r>
              <w:t>implant success rate</w:t>
            </w:r>
          </w:p>
          <w:p w14:paraId="7784DF6F" w14:textId="77777777" w:rsidR="00DA7C4E" w:rsidRDefault="00DA7C4E" w:rsidP="00BC7B13">
            <w:pPr>
              <w:pStyle w:val="ListParagraph"/>
              <w:numPr>
                <w:ilvl w:val="0"/>
                <w:numId w:val="5"/>
              </w:numPr>
              <w:spacing w:after="120" w:line="240" w:lineRule="auto"/>
            </w:pPr>
            <w:r>
              <w:t>time to hospital discharge</w:t>
            </w:r>
          </w:p>
          <w:p w14:paraId="0E67F4B2" w14:textId="48ADBBB2" w:rsidR="00DA7C4E" w:rsidRDefault="00DA7C4E" w:rsidP="00BC7B13">
            <w:pPr>
              <w:pStyle w:val="ListParagraph"/>
              <w:numPr>
                <w:ilvl w:val="0"/>
                <w:numId w:val="5"/>
              </w:numPr>
              <w:spacing w:after="120" w:line="240" w:lineRule="auto"/>
            </w:pPr>
            <w:r>
              <w:t>procedure-related</w:t>
            </w:r>
            <w:r w:rsidR="004D5B78">
              <w:t xml:space="preserve"> </w:t>
            </w:r>
            <w:r>
              <w:t>and follow-up costs</w:t>
            </w:r>
            <w:r w:rsidR="00BD6D35">
              <w:t xml:space="preserve"> (including downstream hospitalisations</w:t>
            </w:r>
            <w:r w:rsidR="00F939E5">
              <w:t xml:space="preserve"> and device monitoring</w:t>
            </w:r>
            <w:r w:rsidR="00BD6D35">
              <w:t>)</w:t>
            </w:r>
          </w:p>
          <w:p w14:paraId="390B5F47" w14:textId="6FD739DD" w:rsidR="00BD6D35" w:rsidRDefault="00791567" w:rsidP="00BC7B13">
            <w:pPr>
              <w:pStyle w:val="ListParagraph"/>
              <w:numPr>
                <w:ilvl w:val="0"/>
                <w:numId w:val="5"/>
              </w:numPr>
              <w:spacing w:after="80" w:line="240" w:lineRule="auto"/>
              <w:ind w:left="714" w:hanging="357"/>
            </w:pPr>
            <w:r>
              <w:t xml:space="preserve">cost of </w:t>
            </w:r>
            <w:r w:rsidR="00BD6D35">
              <w:t xml:space="preserve">device </w:t>
            </w:r>
            <w:r w:rsidR="00121002">
              <w:t>and consumables</w:t>
            </w:r>
          </w:p>
          <w:p w14:paraId="0210CBBA" w14:textId="1D65750D" w:rsidR="00BD24A8" w:rsidRPr="00BD24A8" w:rsidRDefault="00BD24A8" w:rsidP="00B038E3">
            <w:pPr>
              <w:pStyle w:val="Instructionaltext"/>
              <w:keepNext/>
              <w:spacing w:before="80" w:after="0" w:line="240" w:lineRule="auto"/>
              <w:rPr>
                <w:b/>
                <w:bCs/>
                <w:color w:val="auto"/>
              </w:rPr>
            </w:pPr>
            <w:r w:rsidRPr="00BD24A8">
              <w:rPr>
                <w:b/>
                <w:bCs/>
                <w:color w:val="auto"/>
              </w:rPr>
              <w:t>Total Australian Government health</w:t>
            </w:r>
            <w:r w:rsidR="00F403F2">
              <w:rPr>
                <w:b/>
                <w:bCs/>
                <w:color w:val="auto"/>
              </w:rPr>
              <w:t xml:space="preserve"> </w:t>
            </w:r>
            <w:r w:rsidRPr="00BD24A8">
              <w:rPr>
                <w:b/>
                <w:bCs/>
                <w:color w:val="auto"/>
              </w:rPr>
              <w:t>care costs</w:t>
            </w:r>
          </w:p>
          <w:p w14:paraId="02E0CD0D" w14:textId="5B6FE9C4" w:rsidR="00DA7C4E" w:rsidRDefault="00DA7C4E" w:rsidP="00BC7B13">
            <w:pPr>
              <w:pStyle w:val="ListParagraph"/>
              <w:numPr>
                <w:ilvl w:val="0"/>
                <w:numId w:val="5"/>
              </w:numPr>
              <w:spacing w:after="120" w:line="240" w:lineRule="auto"/>
            </w:pPr>
            <w:r>
              <w:t xml:space="preserve">total cost to the </w:t>
            </w:r>
            <w:r w:rsidR="004D5B78">
              <w:t>Medica</w:t>
            </w:r>
            <w:r w:rsidR="00BD6D35">
              <w:t>re</w:t>
            </w:r>
            <w:r w:rsidR="004D5B78">
              <w:t xml:space="preserve"> Benefits Schedule (</w:t>
            </w:r>
            <w:r>
              <w:t>MBS</w:t>
            </w:r>
            <w:r w:rsidR="004D5B78">
              <w:t>)</w:t>
            </w:r>
          </w:p>
          <w:p w14:paraId="6F9242D7" w14:textId="58483356" w:rsidR="00E01349" w:rsidRPr="00BD24A8" w:rsidRDefault="00DA7C4E" w:rsidP="00BC7B13">
            <w:pPr>
              <w:pStyle w:val="ListParagraph"/>
              <w:numPr>
                <w:ilvl w:val="0"/>
                <w:numId w:val="5"/>
              </w:numPr>
              <w:spacing w:after="80" w:line="240" w:lineRule="auto"/>
              <w:ind w:left="714" w:hanging="357"/>
            </w:pPr>
            <w:r>
              <w:t>total cost to other health</w:t>
            </w:r>
            <w:r w:rsidR="00F403F2">
              <w:t xml:space="preserve"> </w:t>
            </w:r>
            <w:r>
              <w:t>care budgets</w:t>
            </w:r>
          </w:p>
        </w:tc>
      </w:tr>
      <w:tr w:rsidR="00BB1698" w:rsidRPr="00490FBB" w14:paraId="4A55FFDB" w14:textId="77777777" w:rsidTr="004D5B78">
        <w:tc>
          <w:tcPr>
            <w:tcW w:w="736" w:type="pct"/>
            <w:tcBorders>
              <w:top w:val="single" w:sz="4" w:space="0" w:color="auto"/>
              <w:left w:val="single" w:sz="8" w:space="0" w:color="auto"/>
              <w:bottom w:val="single" w:sz="8" w:space="0" w:color="auto"/>
              <w:right w:val="single" w:sz="4" w:space="0" w:color="auto"/>
            </w:tcBorders>
          </w:tcPr>
          <w:p w14:paraId="003B36EC" w14:textId="5559E3E5" w:rsidR="00BB1698" w:rsidRPr="00490FBB" w:rsidRDefault="00BB1698" w:rsidP="00B038E3">
            <w:pPr>
              <w:spacing w:before="80" w:after="80" w:line="240" w:lineRule="auto"/>
              <w:rPr>
                <w:rFonts w:cs="Arial"/>
              </w:rPr>
            </w:pPr>
            <w:r w:rsidRPr="00490FBB">
              <w:rPr>
                <w:rFonts w:cs="Arial"/>
              </w:rPr>
              <w:t>Assessment question</w:t>
            </w:r>
          </w:p>
        </w:tc>
        <w:tc>
          <w:tcPr>
            <w:tcW w:w="4264" w:type="pct"/>
            <w:tcBorders>
              <w:top w:val="single" w:sz="4" w:space="0" w:color="auto"/>
              <w:left w:val="single" w:sz="4" w:space="0" w:color="auto"/>
              <w:bottom w:val="single" w:sz="4" w:space="0" w:color="auto"/>
              <w:right w:val="single" w:sz="4" w:space="0" w:color="auto"/>
            </w:tcBorders>
          </w:tcPr>
          <w:p w14:paraId="7AB69A9A" w14:textId="4FDDEB59" w:rsidR="00BB1698" w:rsidRPr="00FD4C65" w:rsidRDefault="00BB1698" w:rsidP="00B038E3">
            <w:pPr>
              <w:spacing w:before="80" w:after="80" w:line="240" w:lineRule="auto"/>
              <w:rPr>
                <w:color w:val="000000" w:themeColor="text1"/>
              </w:rPr>
            </w:pPr>
            <w:r w:rsidRPr="00FD4C65">
              <w:rPr>
                <w:color w:val="000000" w:themeColor="text1"/>
              </w:rPr>
              <w:t>What</w:t>
            </w:r>
            <w:r w:rsidRPr="00490FBB">
              <w:rPr>
                <w:color w:val="000000" w:themeColor="text1"/>
              </w:rPr>
              <w:t xml:space="preserve"> is the safety, effectiveness and cost-effectiveness of </w:t>
            </w:r>
            <w:r w:rsidR="00DA7C4E">
              <w:rPr>
                <w:color w:val="000000" w:themeColor="text1"/>
              </w:rPr>
              <w:t>fully implantable</w:t>
            </w:r>
            <w:r w:rsidR="00BD24A8">
              <w:rPr>
                <w:color w:val="000000" w:themeColor="text1"/>
              </w:rPr>
              <w:t xml:space="preserve"> leadless pacemaker</w:t>
            </w:r>
            <w:r w:rsidR="00DA7C4E">
              <w:rPr>
                <w:color w:val="000000" w:themeColor="text1"/>
              </w:rPr>
              <w:t>s</w:t>
            </w:r>
            <w:r w:rsidR="00BD24A8">
              <w:rPr>
                <w:color w:val="000000" w:themeColor="text1"/>
              </w:rPr>
              <w:t xml:space="preserve"> (</w:t>
            </w:r>
            <w:r w:rsidR="00DA7C4E">
              <w:rPr>
                <w:color w:val="000000" w:themeColor="text1"/>
              </w:rPr>
              <w:t>LPMs</w:t>
            </w:r>
            <w:r w:rsidR="00BD24A8">
              <w:rPr>
                <w:color w:val="000000" w:themeColor="text1"/>
              </w:rPr>
              <w:t>)</w:t>
            </w:r>
            <w:r w:rsidRPr="00490FBB">
              <w:rPr>
                <w:color w:val="000000" w:themeColor="text1"/>
              </w:rPr>
              <w:t xml:space="preserve"> versus </w:t>
            </w:r>
            <w:r w:rsidR="004D5B78">
              <w:rPr>
                <w:color w:val="000000" w:themeColor="text1"/>
              </w:rPr>
              <w:t>single-chamber</w:t>
            </w:r>
            <w:r w:rsidR="00DA7C4E" w:rsidRPr="00DA7C4E">
              <w:rPr>
                <w:color w:val="000000" w:themeColor="text1"/>
              </w:rPr>
              <w:t xml:space="preserve"> transvenous pacemaker</w:t>
            </w:r>
            <w:r w:rsidR="00DA7C4E">
              <w:rPr>
                <w:color w:val="000000" w:themeColor="text1"/>
              </w:rPr>
              <w:t>s</w:t>
            </w:r>
            <w:r w:rsidR="00DA7C4E" w:rsidRPr="00DA7C4E">
              <w:rPr>
                <w:color w:val="000000" w:themeColor="text1"/>
              </w:rPr>
              <w:t xml:space="preserve"> (TV-PM</w:t>
            </w:r>
            <w:r w:rsidR="00DA7C4E">
              <w:rPr>
                <w:color w:val="000000" w:themeColor="text1"/>
              </w:rPr>
              <w:t>s</w:t>
            </w:r>
            <w:r w:rsidR="00DA7C4E" w:rsidRPr="00DA7C4E">
              <w:rPr>
                <w:color w:val="000000" w:themeColor="text1"/>
              </w:rPr>
              <w:t>)</w:t>
            </w:r>
            <w:r w:rsidR="00DA7C4E">
              <w:rPr>
                <w:color w:val="000000" w:themeColor="text1"/>
              </w:rPr>
              <w:t xml:space="preserve"> for patients </w:t>
            </w:r>
            <w:r w:rsidR="00E41C3D">
              <w:rPr>
                <w:color w:val="000000" w:themeColor="text1"/>
              </w:rPr>
              <w:t xml:space="preserve">with bradyarrhythmia </w:t>
            </w:r>
            <w:r w:rsidR="003827CE" w:rsidRPr="00266C1C">
              <w:rPr>
                <w:rFonts w:asciiTheme="minorHAnsi" w:hAnsiTheme="minorHAnsi" w:cstheme="minorHAnsi"/>
              </w:rPr>
              <w:t>in whom single-chamber ventricular pacing is indicated</w:t>
            </w:r>
            <w:r w:rsidRPr="00FD4C65">
              <w:rPr>
                <w:color w:val="000000" w:themeColor="text1"/>
              </w:rPr>
              <w:t>?</w:t>
            </w:r>
          </w:p>
        </w:tc>
      </w:tr>
    </w:tbl>
    <w:p w14:paraId="2371B509" w14:textId="17D5E350" w:rsidR="001B6958" w:rsidRPr="009E25F6" w:rsidRDefault="001B6958" w:rsidP="00202DEE">
      <w:pPr>
        <w:pStyle w:val="TableNote"/>
        <w:rPr>
          <w:rFonts w:asciiTheme="minorHAnsi" w:hAnsiTheme="minorHAnsi" w:cstheme="minorHAnsi"/>
          <w:sz w:val="18"/>
        </w:rPr>
      </w:pPr>
      <w:r w:rsidRPr="009E25F6">
        <w:rPr>
          <w:rFonts w:asciiTheme="minorHAnsi" w:hAnsiTheme="minorHAnsi" w:cstheme="minorHAnsi"/>
          <w:sz w:val="18"/>
          <w:vertAlign w:val="superscript"/>
        </w:rPr>
        <w:t xml:space="preserve">a </w:t>
      </w:r>
      <w:r w:rsidRPr="009E25F6">
        <w:rPr>
          <w:rFonts w:asciiTheme="minorHAnsi" w:hAnsiTheme="minorHAnsi" w:cstheme="minorHAnsi"/>
          <w:sz w:val="18"/>
        </w:rPr>
        <w:t xml:space="preserve">With anatomy </w:t>
      </w:r>
      <w:r w:rsidR="00E41C3D" w:rsidRPr="009E25F6">
        <w:rPr>
          <w:rFonts w:asciiTheme="minorHAnsi" w:hAnsiTheme="minorHAnsi" w:cstheme="minorHAnsi"/>
          <w:sz w:val="18"/>
        </w:rPr>
        <w:t xml:space="preserve">that </w:t>
      </w:r>
      <w:r w:rsidRPr="009E25F6">
        <w:rPr>
          <w:rFonts w:asciiTheme="minorHAnsi" w:hAnsiTheme="minorHAnsi" w:cstheme="minorHAnsi"/>
          <w:sz w:val="18"/>
        </w:rPr>
        <w:t>can tolerate a 23 French sheath at the vascular insertion site</w:t>
      </w:r>
      <w:r w:rsidR="00E41C3D" w:rsidRPr="009E25F6">
        <w:rPr>
          <w:rFonts w:asciiTheme="minorHAnsi" w:hAnsiTheme="minorHAnsi" w:cstheme="minorHAnsi"/>
          <w:sz w:val="18"/>
        </w:rPr>
        <w:t>.</w:t>
      </w:r>
    </w:p>
    <w:p w14:paraId="53297713" w14:textId="7996A62B" w:rsidR="00912660" w:rsidRDefault="00912660" w:rsidP="00713728">
      <w:pPr>
        <w:pStyle w:val="Heading2"/>
      </w:pPr>
      <w:r>
        <w:t>Purpose of application</w:t>
      </w:r>
    </w:p>
    <w:p w14:paraId="1B8054AA" w14:textId="7D20D3E2" w:rsidR="00551D6C" w:rsidRPr="005B73F1" w:rsidRDefault="004C2C5E" w:rsidP="00B038E3">
      <w:r w:rsidRPr="009A3778">
        <w:t xml:space="preserve">An application requesting </w:t>
      </w:r>
      <w:r w:rsidRPr="00551D6C">
        <w:t>Medicare Benefits Schedule (MBS) listing</w:t>
      </w:r>
      <w:r w:rsidRPr="009A3778">
        <w:t xml:space="preserve"> of </w:t>
      </w:r>
      <w:r w:rsidR="00341FC3">
        <w:t xml:space="preserve">the service to insert </w:t>
      </w:r>
      <w:r w:rsidR="005B73F1">
        <w:t>a fully implantable</w:t>
      </w:r>
      <w:r w:rsidR="00551D6C">
        <w:t xml:space="preserve"> leadless pacemaker </w:t>
      </w:r>
      <w:r w:rsidR="005B73F1">
        <w:t xml:space="preserve">(LPM) </w:t>
      </w:r>
      <w:r w:rsidRPr="009A3778">
        <w:t xml:space="preserve">for </w:t>
      </w:r>
      <w:r w:rsidR="00551D6C">
        <w:t xml:space="preserve">the </w:t>
      </w:r>
      <w:r w:rsidR="005B73F1">
        <w:t>management</w:t>
      </w:r>
      <w:r w:rsidR="00551D6C">
        <w:t xml:space="preserve"> of </w:t>
      </w:r>
      <w:r w:rsidR="005B73F1">
        <w:t>bradyarrhythmia</w:t>
      </w:r>
      <w:r w:rsidRPr="009A3778">
        <w:t xml:space="preserve"> was received from </w:t>
      </w:r>
      <w:r w:rsidR="00551D6C" w:rsidRPr="00551D6C">
        <w:t>Medtronic Australasia Pty Ltd</w:t>
      </w:r>
      <w:r w:rsidRPr="009A3778">
        <w:t xml:space="preserve"> by the Department of Health</w:t>
      </w:r>
      <w:r w:rsidR="005B73F1">
        <w:t>.</w:t>
      </w:r>
    </w:p>
    <w:p w14:paraId="795C57CF" w14:textId="71CA79F1" w:rsidR="00551D6C" w:rsidRPr="009A3778" w:rsidRDefault="00551D6C" w:rsidP="00B038E3">
      <w:r w:rsidRPr="00551D6C">
        <w:t xml:space="preserve">The clinical claim </w:t>
      </w:r>
      <w:r w:rsidR="005B73F1">
        <w:t xml:space="preserve">made in the application is </w:t>
      </w:r>
      <w:r w:rsidRPr="00551D6C">
        <w:t>that</w:t>
      </w:r>
      <w:r w:rsidR="005A3165">
        <w:t xml:space="preserve">, relative to standard single-chamber transvenous pacemakers (TV-PM), </w:t>
      </w:r>
      <w:r w:rsidR="005A3165" w:rsidRPr="00551D6C">
        <w:t xml:space="preserve">the </w:t>
      </w:r>
      <w:r w:rsidR="00341FC3">
        <w:t xml:space="preserve">transcatheter </w:t>
      </w:r>
      <w:r w:rsidR="005A3165">
        <w:t>LPM</w:t>
      </w:r>
      <w:r w:rsidR="005A3165" w:rsidRPr="00551D6C">
        <w:t xml:space="preserve"> </w:t>
      </w:r>
      <w:r w:rsidR="005A3165">
        <w:t>is</w:t>
      </w:r>
      <w:r w:rsidR="005A3165" w:rsidRPr="00551D6C">
        <w:t xml:space="preserve"> noninferior </w:t>
      </w:r>
      <w:r w:rsidRPr="00551D6C">
        <w:t xml:space="preserve">in terms of </w:t>
      </w:r>
      <w:r w:rsidR="005A3165">
        <w:t>effectiveness (pacing performance) and superior in terms of safety (procedure-</w:t>
      </w:r>
      <w:r w:rsidR="00DD2265">
        <w:t>related</w:t>
      </w:r>
      <w:r w:rsidR="005A3165">
        <w:t xml:space="preserve"> and device-related complications)</w:t>
      </w:r>
      <w:r w:rsidRPr="00551D6C">
        <w:t>.</w:t>
      </w:r>
    </w:p>
    <w:p w14:paraId="18E66948" w14:textId="27175DA2" w:rsidR="00D73332" w:rsidRPr="00FD4C65" w:rsidRDefault="00D73332" w:rsidP="00FD4C65">
      <w:pPr>
        <w:pStyle w:val="Heading2"/>
      </w:pPr>
      <w:r w:rsidRPr="00F403F2">
        <w:t xml:space="preserve">PICO </w:t>
      </w:r>
      <w:r w:rsidR="00FD4E33" w:rsidRPr="00F403F2">
        <w:t>criteria</w:t>
      </w:r>
    </w:p>
    <w:p w14:paraId="06B30611" w14:textId="0C482E78" w:rsidR="007D6B83" w:rsidRDefault="007D6B83" w:rsidP="007D6B83">
      <w:pPr>
        <w:pStyle w:val="Heading3"/>
      </w:pPr>
      <w:r w:rsidRPr="00713728">
        <w:t>Population</w:t>
      </w:r>
    </w:p>
    <w:p w14:paraId="11D700A3" w14:textId="11BA9F77" w:rsidR="00E53478" w:rsidRPr="007D1197" w:rsidRDefault="00E53478" w:rsidP="00622677">
      <w:pPr>
        <w:pStyle w:val="Heading4"/>
        <w:spacing w:before="120"/>
        <w:rPr>
          <w:rFonts w:eastAsiaTheme="minorHAnsi"/>
        </w:rPr>
      </w:pPr>
      <w:r w:rsidRPr="007D1197">
        <w:rPr>
          <w:rFonts w:eastAsiaTheme="minorHAnsi"/>
        </w:rPr>
        <w:t>Bradycardia</w:t>
      </w:r>
    </w:p>
    <w:p w14:paraId="00403813" w14:textId="765888DA" w:rsidR="00E53478" w:rsidRDefault="00E53478" w:rsidP="00B038E3">
      <w:r w:rsidRPr="00C63125">
        <w:t xml:space="preserve">Bradycardia, or cardiac bradyarrhythmia, is defined as abnormally slow heart rhythm, </w:t>
      </w:r>
      <w:r>
        <w:t xml:space="preserve">as a result of </w:t>
      </w:r>
      <w:r w:rsidRPr="00C63125">
        <w:t>the disturbance of the generation or conduction of cardiac electrical activity. A resting heart rate less than 60 beat</w:t>
      </w:r>
      <w:r>
        <w:t>s</w:t>
      </w:r>
      <w:r w:rsidRPr="00C63125">
        <w:t xml:space="preserve"> per minute</w:t>
      </w:r>
      <w:r w:rsidR="000A7C37">
        <w:t xml:space="preserve"> (bpm)</w:t>
      </w:r>
      <w:r w:rsidRPr="00C63125">
        <w:t xml:space="preserve"> in adults</w:t>
      </w:r>
      <w:r w:rsidR="00692D0E">
        <w:t>,</w:t>
      </w:r>
      <w:r w:rsidRPr="00C63125">
        <w:t xml:space="preserve"> other than well trained athletes</w:t>
      </w:r>
      <w:r w:rsidR="00692D0E">
        <w:t>,</w:t>
      </w:r>
      <w:r w:rsidRPr="00C63125">
        <w:t xml:space="preserve"> is considered bradycardia</w:t>
      </w:r>
      <w:r w:rsidR="000A7C37">
        <w:t>; however, population studies frequently use a lower cut</w:t>
      </w:r>
      <w:r w:rsidR="000168A6">
        <w:t>-</w:t>
      </w:r>
      <w:r w:rsidR="000A7C37">
        <w:t xml:space="preserve">off of 50 bpm </w:t>
      </w:r>
      <w:r w:rsidR="00C651AB">
        <w:t>(Kusumoto et al. 2019)</w:t>
      </w:r>
      <w:r w:rsidRPr="00C63125">
        <w:t>.</w:t>
      </w:r>
    </w:p>
    <w:p w14:paraId="4B66D061" w14:textId="5DD430C8" w:rsidR="000A7C37" w:rsidRPr="00C63125" w:rsidRDefault="000A7C37" w:rsidP="00B038E3">
      <w:r w:rsidRPr="000A7C37">
        <w:t>Within the heart there is a natural pacemaker, the sinoatrial (SA) node, located within the right atrium. The SA node sets the heart rate by spontaneously generating electrical activity which initiates depolarisation and contraction of the right atrium. The electrical signal is then propagated through the right atrium to the ventricles through the atrioventricular (AV) junction. The AV junction consists of the AV node and the bundle of His and is located at the base of the intra-atrial septum extending into the interventricular septum. In a normally functioning heart this is the only electrical connection between the atrium and the ventricles. Following electrical conduction through this system, there is resulting depolarisation and contraction of the ventricles.</w:t>
      </w:r>
    </w:p>
    <w:p w14:paraId="3AB3CFA0" w14:textId="65041A20" w:rsidR="00E53478" w:rsidRDefault="00E53478" w:rsidP="00B038E3">
      <w:r w:rsidRPr="00C63125">
        <w:t>There are several conditions that can cause disruption in this pathway. Such disruptions result in arrythmias</w:t>
      </w:r>
      <w:r w:rsidR="007A2FBB">
        <w:t>,</w:t>
      </w:r>
      <w:r w:rsidRPr="00C63125">
        <w:t xml:space="preserve"> of which bradycardia is the most common. Depending on the location of the conduction abnormality, or the presence of symptomatic bradycardia, the treatment of these conditions is usually permanent cardiac pacing</w:t>
      </w:r>
      <w:r w:rsidR="00675F45">
        <w:t>.</w:t>
      </w:r>
    </w:p>
    <w:p w14:paraId="5A8CBA49" w14:textId="392D344C" w:rsidR="00BE6E16" w:rsidRPr="00E41C3D" w:rsidRDefault="00E53478" w:rsidP="00D00426">
      <w:r w:rsidRPr="00C63125">
        <w:t xml:space="preserve">Bradycardia can be broadly categorised as stemming from </w:t>
      </w:r>
      <w:r w:rsidR="000A7C37">
        <w:t>sinus node dysfunction (</w:t>
      </w:r>
      <w:r w:rsidRPr="00C63125">
        <w:t>SND</w:t>
      </w:r>
      <w:r w:rsidR="000A7C37">
        <w:t>)</w:t>
      </w:r>
      <w:r w:rsidRPr="00C63125">
        <w:t xml:space="preserve"> or </w:t>
      </w:r>
      <w:r>
        <w:t>AV block</w:t>
      </w:r>
      <w:r w:rsidR="00BE6E16">
        <w:t xml:space="preserve">. </w:t>
      </w:r>
      <w:r w:rsidR="00D00426">
        <w:t xml:space="preserve">Definitions and descriptions of SND and AV block are provided as Attachment </w:t>
      </w:r>
      <w:r w:rsidR="004122EF">
        <w:t xml:space="preserve">1 </w:t>
      </w:r>
      <w:r w:rsidR="00D00426">
        <w:t xml:space="preserve">(taken from the </w:t>
      </w:r>
      <w:r w:rsidR="00D00426" w:rsidRPr="00B038E3">
        <w:t xml:space="preserve">2018 American College of Cardiology / American Heart Association/ Heart Rhythm Society </w:t>
      </w:r>
      <w:r w:rsidR="00D00426">
        <w:t>[</w:t>
      </w:r>
      <w:r w:rsidR="00D00426" w:rsidRPr="00B038E3">
        <w:t>ACC/AHA/HRS</w:t>
      </w:r>
      <w:r w:rsidR="00D00426">
        <w:t xml:space="preserve">] guideline on the evaluation and management of patients with bradycardia and cardiac conduction delay). </w:t>
      </w:r>
      <w:r w:rsidR="00BE6E16" w:rsidRPr="00C63125">
        <w:t>Whil</w:t>
      </w:r>
      <w:r w:rsidR="00BE6E16">
        <w:t>e</w:t>
      </w:r>
      <w:r w:rsidR="00BE6E16" w:rsidRPr="00C63125">
        <w:t xml:space="preserve"> SND is often related to age-dependent, progressive, degenerative fibrosis of the sinus nodal tissue and surrounding atrial myocardium, which in turn can result in abnormalities of sinus node and atrial impulse formation, the leading cause of progressive AV block is the degenerative disease of the AV node</w:t>
      </w:r>
      <w:r w:rsidR="00BE6E16">
        <w:rPr>
          <w:sz w:val="20"/>
        </w:rPr>
        <w:t>.</w:t>
      </w:r>
    </w:p>
    <w:p w14:paraId="33DCF4B5" w14:textId="36DD9B6D" w:rsidR="00E53478" w:rsidRPr="00C63125" w:rsidRDefault="00BE6E16" w:rsidP="00B038E3">
      <w:r>
        <w:t>T</w:t>
      </w:r>
      <w:r w:rsidR="00E53478" w:rsidRPr="00C63125">
        <w:t>he clinical presentation</w:t>
      </w:r>
      <w:r>
        <w:t xml:space="preserve"> of bradycardia</w:t>
      </w:r>
      <w:r w:rsidR="00E53478" w:rsidRPr="00C63125">
        <w:t xml:space="preserve"> rang</w:t>
      </w:r>
      <w:r>
        <w:t>es</w:t>
      </w:r>
      <w:r w:rsidR="00E53478" w:rsidRPr="00C63125">
        <w:t xml:space="preserve"> from insidious symptoms to episodes of syncope, explained by the underlying electrophysiologic issue. </w:t>
      </w:r>
      <w:r w:rsidR="000A7C37">
        <w:t>S</w:t>
      </w:r>
      <w:r w:rsidR="00E53478" w:rsidRPr="00C63125">
        <w:t>ymptomatic bradycardia</w:t>
      </w:r>
      <w:r w:rsidR="00E53478">
        <w:t xml:space="preserve"> </w:t>
      </w:r>
      <w:r w:rsidR="00B038E3" w:rsidRPr="00B038E3">
        <w:t xml:space="preserve">is </w:t>
      </w:r>
      <w:r w:rsidR="00B038E3">
        <w:t>defined in</w:t>
      </w:r>
      <w:r w:rsidR="00B038E3" w:rsidRPr="00B038E3">
        <w:t xml:space="preserve"> the 2018 ACC/AHA/HRS guideline </w:t>
      </w:r>
      <w:r w:rsidR="00B038E3">
        <w:t>as a “</w:t>
      </w:r>
      <w:r w:rsidR="00E53478" w:rsidRPr="00C63125">
        <w:t xml:space="preserve">documented bradyarrhythmia that is directly responsible for development of the clinical manifestations of syncope or presyncope, transient dizziness or light headedness, heart failure symptoms, or confusional states resulting from cerebral hypoperfusion attributable to slow heart rate” (Kusumoto </w:t>
      </w:r>
      <w:r w:rsidR="00B038E3">
        <w:t xml:space="preserve">et al. </w:t>
      </w:r>
      <w:r w:rsidR="00E53478" w:rsidRPr="00C63125">
        <w:t>2019).</w:t>
      </w:r>
    </w:p>
    <w:p w14:paraId="7CC6F9BB" w14:textId="4A581912" w:rsidR="00B038E3" w:rsidRDefault="00B038E3" w:rsidP="00A04F2E">
      <w:pPr>
        <w:pStyle w:val="Heading4"/>
        <w:rPr>
          <w:rFonts w:eastAsiaTheme="minorHAnsi"/>
        </w:rPr>
      </w:pPr>
      <w:r>
        <w:rPr>
          <w:rFonts w:eastAsiaTheme="minorHAnsi"/>
        </w:rPr>
        <w:t>Permanent pacing</w:t>
      </w:r>
    </w:p>
    <w:p w14:paraId="6B1D1B95" w14:textId="7EA726A7" w:rsidR="00562807" w:rsidRDefault="00562807" w:rsidP="00854BB7">
      <w:r w:rsidRPr="00562807">
        <w:t>Permanent pacing works by preventing the heart from beating slower than a predefined rate, by delivering an electrical stimulus to the myocardium when required. In conventional pacing this occurs via a transvenous lead which is in contact with the myocardium either in the atrium or ventricle depending on the lead location. The electrical impulse triggers localised depolarisation</w:t>
      </w:r>
      <w:r w:rsidR="007A2FBB">
        <w:t>,</w:t>
      </w:r>
      <w:r w:rsidRPr="00562807">
        <w:t xml:space="preserve"> which is then propagated causing either atrial or ventricular contraction.</w:t>
      </w:r>
      <w:r w:rsidR="00854BB7">
        <w:t xml:space="preserve"> </w:t>
      </w:r>
      <w:r w:rsidRPr="00562807">
        <w:t xml:space="preserve">The </w:t>
      </w:r>
      <w:r w:rsidR="007A2FBB">
        <w:t>effectiveness</w:t>
      </w:r>
      <w:r w:rsidRPr="00562807">
        <w:t xml:space="preserve"> of therapy is monitored regularly by clinicians, with device check-ups at regular intervals or if a patient presents with symptomatic bradycardia</w:t>
      </w:r>
      <w:r>
        <w:t>.</w:t>
      </w:r>
    </w:p>
    <w:p w14:paraId="122D2944" w14:textId="3AA576B2" w:rsidR="00562807" w:rsidRDefault="00562807" w:rsidP="00562807">
      <w:r w:rsidRPr="00562807">
        <w:t xml:space="preserve">Currently available permanent pacemakers are available in two main forms: single-chamber (atrial or ventricular pacing only) or dual-chamber (paces both the atrium and ventricles). In addition, these pacemakers are available in various pacing modes. Selection of </w:t>
      </w:r>
      <w:r w:rsidR="007A2FBB">
        <w:t xml:space="preserve">the </w:t>
      </w:r>
      <w:r w:rsidRPr="00562807">
        <w:t>ideal pacing mode involves consideration of the patient’s overall physical condition, comorbidities, exercise capacity, and chronotropic response to exercise in addition to the underlying rhythm disturbance</w:t>
      </w:r>
      <w:r w:rsidR="00951B53">
        <w:t xml:space="preserve"> (Hayes, 20</w:t>
      </w:r>
      <w:r w:rsidR="000B0353">
        <w:t>21</w:t>
      </w:r>
      <w:r w:rsidR="00951B53">
        <w:t>)</w:t>
      </w:r>
      <w:r w:rsidRPr="00562807">
        <w:t>. Patient preference must also be taken into account</w:t>
      </w:r>
      <w:r w:rsidR="00675F45">
        <w:t>.</w:t>
      </w:r>
    </w:p>
    <w:p w14:paraId="79E98806" w14:textId="494084B4" w:rsidR="00675F45" w:rsidRDefault="00675F45" w:rsidP="00A04F2E">
      <w:pPr>
        <w:pStyle w:val="Heading4"/>
      </w:pPr>
      <w:r>
        <w:t>Single-chamber pacing</w:t>
      </w:r>
    </w:p>
    <w:p w14:paraId="2428A53C" w14:textId="78C76DF1" w:rsidR="001E0D1A" w:rsidRDefault="00170F0C" w:rsidP="00675F45">
      <w:r>
        <w:t>The TV-PM is an example of a single</w:t>
      </w:r>
      <w:r w:rsidR="00183AB5">
        <w:t>-</w:t>
      </w:r>
      <w:r>
        <w:t xml:space="preserve">chamber pacing device. </w:t>
      </w:r>
      <w:r w:rsidR="00675F45" w:rsidRPr="00784B5D">
        <w:t>In single-chamber pacing, a single-chamber of the heart is sensed and paced. This can be either the atrium or the ventricle.</w:t>
      </w:r>
      <w:r w:rsidR="00675F45">
        <w:t xml:space="preserve"> </w:t>
      </w:r>
    </w:p>
    <w:p w14:paraId="62BA3AC6" w14:textId="1EA3644E" w:rsidR="0017550C" w:rsidRDefault="00675F45" w:rsidP="00831042">
      <w:r w:rsidRPr="00675F45">
        <w:t>In single-chamber ventricular pacing, the electrical activity in the ventricle is sensed, and the ventricle is paced as required.</w:t>
      </w:r>
      <w:r w:rsidR="00854BB7">
        <w:t xml:space="preserve"> </w:t>
      </w:r>
      <w:r w:rsidR="00810925">
        <w:t>S</w:t>
      </w:r>
      <w:r w:rsidR="000E0280">
        <w:t xml:space="preserve">ingle-chamber ventricular pacing is </w:t>
      </w:r>
      <w:r w:rsidR="00810925">
        <w:t xml:space="preserve">most commonly used in </w:t>
      </w:r>
      <w:r w:rsidR="00831042">
        <w:t>patients with atrial fibrillation (AF) who require a pacemaker due to slow ventricular response</w:t>
      </w:r>
      <w:r w:rsidR="0017550C">
        <w:t xml:space="preserve"> (Semlitsch et al. 2020)</w:t>
      </w:r>
      <w:r w:rsidR="00B261C4">
        <w:t>;</w:t>
      </w:r>
      <w:r w:rsidR="0017550C">
        <w:t xml:space="preserve"> </w:t>
      </w:r>
      <w:r w:rsidR="00B261C4">
        <w:t>h</w:t>
      </w:r>
      <w:r w:rsidR="0017550C">
        <w:t>owever, it is also</w:t>
      </w:r>
      <w:r w:rsidR="000E0280">
        <w:t xml:space="preserve"> </w:t>
      </w:r>
      <w:r w:rsidR="0017550C">
        <w:t xml:space="preserve">used in </w:t>
      </w:r>
      <w:r w:rsidR="00831042">
        <w:t>patients with bradycardia due to AV</w:t>
      </w:r>
      <w:r w:rsidR="000E0280">
        <w:t xml:space="preserve"> </w:t>
      </w:r>
      <w:r w:rsidR="00831042">
        <w:t xml:space="preserve">block or </w:t>
      </w:r>
      <w:r w:rsidR="000E0280">
        <w:t>SND</w:t>
      </w:r>
      <w:r w:rsidR="00831042">
        <w:t xml:space="preserve"> if other pacing modes are not appropriate</w:t>
      </w:r>
      <w:r w:rsidR="00810925">
        <w:t xml:space="preserve"> (e.g., </w:t>
      </w:r>
      <w:r w:rsidR="0017550C">
        <w:t xml:space="preserve">in </w:t>
      </w:r>
      <w:r w:rsidR="00810925" w:rsidRPr="00810925">
        <w:t>people who have specific factors such as frailty or comorbidities that influence the balance of risks and benefits in favour of single-chamber pacing</w:t>
      </w:r>
      <w:r w:rsidR="00810925">
        <w:t>)</w:t>
      </w:r>
      <w:r w:rsidR="0017550C">
        <w:t xml:space="preserve"> (NICE, 2018)</w:t>
      </w:r>
      <w:r w:rsidR="00831042">
        <w:t>.</w:t>
      </w:r>
      <w:r w:rsidR="000E0280">
        <w:t xml:space="preserve"> </w:t>
      </w:r>
    </w:p>
    <w:p w14:paraId="33BD6E25" w14:textId="33B083EF" w:rsidR="004A7E64" w:rsidRDefault="00810925" w:rsidP="00831042">
      <w:r>
        <w:t xml:space="preserve">The populations </w:t>
      </w:r>
      <w:r w:rsidR="0017550C">
        <w:t>suitable</w:t>
      </w:r>
      <w:r>
        <w:t xml:space="preserve"> for single-chamber ventricular pacing are defined below</w:t>
      </w:r>
      <w:r w:rsidR="004A7E64">
        <w:t>:</w:t>
      </w:r>
      <w:r>
        <w:rPr>
          <w:rStyle w:val="FootnoteReference"/>
        </w:rPr>
        <w:footnoteReference w:id="1"/>
      </w:r>
    </w:p>
    <w:p w14:paraId="41AB0F54" w14:textId="0FCBFEB4" w:rsidR="0017550C" w:rsidRDefault="004A7E64" w:rsidP="00BC7B13">
      <w:pPr>
        <w:pStyle w:val="ListParagraph"/>
        <w:numPr>
          <w:ilvl w:val="0"/>
          <w:numId w:val="8"/>
        </w:numPr>
      </w:pPr>
      <w:r w:rsidRPr="00D80F4B">
        <w:t>symptomatic paroxysmal or permanent high</w:t>
      </w:r>
      <w:r>
        <w:t>-</w:t>
      </w:r>
      <w:r w:rsidRPr="00D80F4B">
        <w:t>grade AV block in the presence of AF</w:t>
      </w:r>
    </w:p>
    <w:p w14:paraId="3A30C8A7" w14:textId="26ABA50E" w:rsidR="00611E17" w:rsidRDefault="0017550C" w:rsidP="00611E17">
      <w:pPr>
        <w:pStyle w:val="ListParagraph"/>
        <w:numPr>
          <w:ilvl w:val="0"/>
          <w:numId w:val="8"/>
        </w:numPr>
      </w:pPr>
      <w:r w:rsidRPr="00D80F4B">
        <w:t>symptomatic paroxysmal or permanent high</w:t>
      </w:r>
      <w:r>
        <w:t>-</w:t>
      </w:r>
      <w:r w:rsidRPr="00D80F4B">
        <w:t xml:space="preserve">grade AV block </w:t>
      </w:r>
      <w:r w:rsidR="004A7E64" w:rsidRPr="00D80F4B">
        <w:t xml:space="preserve">in the absence of AF, </w:t>
      </w:r>
      <w:r w:rsidR="004A7E64" w:rsidRPr="00A2720E">
        <w:t xml:space="preserve">as an alternative to </w:t>
      </w:r>
      <w:r w:rsidR="004A7E64">
        <w:t>dual-chamber</w:t>
      </w:r>
      <w:r w:rsidR="004A7E64" w:rsidRPr="00A2720E">
        <w:t xml:space="preserve"> pacing, when atrial lead placement is considered difficult, high risk or not deemed necessary for effective therapy</w:t>
      </w:r>
      <w:r w:rsidR="004A7E64">
        <w:t xml:space="preserve"> (refer</w:t>
      </w:r>
      <w:r w:rsidR="000F5CB6">
        <w:t xml:space="preserve"> to </w:t>
      </w:r>
      <w:r w:rsidR="000F5CB6">
        <w:fldChar w:fldCharType="begin"/>
      </w:r>
      <w:r w:rsidR="000F5CB6">
        <w:instrText xml:space="preserve"> REF _Ref80349666 \h </w:instrText>
      </w:r>
      <w:r w:rsidR="000F5CB6">
        <w:fldChar w:fldCharType="separate"/>
      </w:r>
      <w:r w:rsidR="000D35EA">
        <w:t xml:space="preserve">Figure </w:t>
      </w:r>
      <w:r w:rsidR="000D35EA">
        <w:rPr>
          <w:noProof/>
        </w:rPr>
        <w:t>3</w:t>
      </w:r>
      <w:r w:rsidR="000F5CB6">
        <w:fldChar w:fldCharType="end"/>
      </w:r>
      <w:r w:rsidR="004A7E64">
        <w:t>)</w:t>
      </w:r>
    </w:p>
    <w:p w14:paraId="0C4E2CC0" w14:textId="52D0A4D1" w:rsidR="004A7E64" w:rsidRDefault="004A7E64" w:rsidP="00611E17">
      <w:pPr>
        <w:pStyle w:val="ListParagraph"/>
        <w:numPr>
          <w:ilvl w:val="0"/>
          <w:numId w:val="8"/>
        </w:numPr>
      </w:pPr>
      <w:r w:rsidRPr="00D80F4B">
        <w:t xml:space="preserve">symptomatic SND, </w:t>
      </w:r>
      <w:r w:rsidRPr="00A2720E">
        <w:t xml:space="preserve">as an alternative to atrial or </w:t>
      </w:r>
      <w:r>
        <w:t>dual-chamber</w:t>
      </w:r>
      <w:r w:rsidRPr="00A2720E">
        <w:t xml:space="preserve"> pacing, when atrial lead placement is considered difficult, high risk, or not deemed necessary for effective therapy</w:t>
      </w:r>
      <w:r>
        <w:t xml:space="preserve"> (refer to</w:t>
      </w:r>
      <w:r w:rsidR="00611E17">
        <w:t xml:space="preserve"> </w:t>
      </w:r>
      <w:r w:rsidR="00611E17">
        <w:fldChar w:fldCharType="begin"/>
      </w:r>
      <w:r w:rsidR="00611E17">
        <w:instrText xml:space="preserve"> REF _Ref80349678 \h </w:instrText>
      </w:r>
      <w:r w:rsidR="00611E17">
        <w:fldChar w:fldCharType="separate"/>
      </w:r>
      <w:r w:rsidR="000D35EA">
        <w:t xml:space="preserve">Figure </w:t>
      </w:r>
      <w:r w:rsidR="000D35EA">
        <w:rPr>
          <w:noProof/>
        </w:rPr>
        <w:t>4</w:t>
      </w:r>
      <w:r w:rsidR="00611E17">
        <w:fldChar w:fldCharType="end"/>
      </w:r>
      <w:r w:rsidR="00611E17">
        <w:t>).</w:t>
      </w:r>
    </w:p>
    <w:p w14:paraId="093CC6E2" w14:textId="44F0D28A" w:rsidR="00740132" w:rsidRPr="00740132" w:rsidRDefault="00740132" w:rsidP="003C782C">
      <w:pPr>
        <w:rPr>
          <w:i/>
          <w:iCs/>
        </w:rPr>
      </w:pPr>
      <w:r w:rsidRPr="00740132">
        <w:rPr>
          <w:i/>
          <w:iCs/>
        </w:rPr>
        <w:t>PASC noted that the indication for single-chamber ventricular pacing requires a degree of subjective interpretation on behalf of the clinician in terms of “when atrial lead placement is considered difficult, high risk or not deemed necessary for effective therapy”. PASC acknowledged that this is not necessarily a problem, but it does mean that there is some subjectivity in determining patient need for the device. The applicant’s clinical expert advised that for the majority of patients who are indicated single-chamber ventricular pacing, either option (surgical or percutaneous) would be possible and patient preference would be taken into consideration.</w:t>
      </w:r>
    </w:p>
    <w:p w14:paraId="7B74A7D5" w14:textId="6E3F30B7" w:rsidR="00675F45" w:rsidRDefault="00675F45" w:rsidP="003C782C">
      <w:r w:rsidRPr="00BD63B4">
        <w:t xml:space="preserve">Conventional single-chamber </w:t>
      </w:r>
      <w:r w:rsidR="00D17D09">
        <w:t xml:space="preserve">TV-PMs </w:t>
      </w:r>
      <w:r w:rsidRPr="00BD63B4">
        <w:t>have a long history of use and have essentially remained unchanged over time</w:t>
      </w:r>
      <w:r w:rsidR="007A2FBB">
        <w:t xml:space="preserve">, </w:t>
      </w:r>
      <w:r w:rsidRPr="00BD63B4">
        <w:t xml:space="preserve">with reliance on a pulse generator which sits in a subcutaneous pocket (created at time of insertion) and a connecting transvenous lead system. </w:t>
      </w:r>
      <w:r w:rsidR="002B5CD6">
        <w:t>Although TV-PMs are an effective intervention</w:t>
      </w:r>
      <w:r w:rsidR="00854BB7">
        <w:t xml:space="preserve"> in patients with cardiac arrhythmias</w:t>
      </w:r>
      <w:r w:rsidR="002B5CD6">
        <w:t>, the</w:t>
      </w:r>
      <w:r w:rsidR="00854BB7">
        <w:t xml:space="preserve">y are associated with </w:t>
      </w:r>
      <w:r w:rsidR="00556F21">
        <w:t xml:space="preserve">serious complications (most notably infections) attributable to the </w:t>
      </w:r>
      <w:r w:rsidR="00D17D09">
        <w:t>pocket</w:t>
      </w:r>
      <w:r w:rsidR="00556F21">
        <w:t xml:space="preserve"> </w:t>
      </w:r>
      <w:r w:rsidR="00D17D09">
        <w:t>and lead</w:t>
      </w:r>
      <w:r w:rsidR="00556F21">
        <w:t>s.</w:t>
      </w:r>
    </w:p>
    <w:p w14:paraId="122AF9CC" w14:textId="77777777" w:rsidR="003074C7" w:rsidRDefault="00556F21" w:rsidP="003C782C">
      <w:r>
        <w:t xml:space="preserve">To overcome the safety concerns with the TV-PM, </w:t>
      </w:r>
      <w:r w:rsidR="003C782C">
        <w:t>fully implantable</w:t>
      </w:r>
      <w:r w:rsidR="00706778">
        <w:t>, self-contained,</w:t>
      </w:r>
      <w:r w:rsidR="003C782C">
        <w:t xml:space="preserve"> intracardiac leadless pacemakers (LPMs) have been developed, omitting the need for a generator pocket and transvenous leads. </w:t>
      </w:r>
      <w:r w:rsidR="002C064D" w:rsidRPr="002C064D">
        <w:t>Other possible advantages include patient satisfaction due the absence of a scar and subcutaneous device location.</w:t>
      </w:r>
      <w:r w:rsidR="002C064D">
        <w:t xml:space="preserve"> </w:t>
      </w:r>
      <w:r w:rsidR="003C782C">
        <w:t>The current generation of these devices are solely indicated for right ventricular pacing.</w:t>
      </w:r>
      <w:r w:rsidR="00992EF7">
        <w:t xml:space="preserve"> </w:t>
      </w:r>
    </w:p>
    <w:p w14:paraId="2DC2D8D4" w14:textId="16345680" w:rsidR="00675F45" w:rsidRDefault="00992EF7" w:rsidP="003C782C">
      <w:r>
        <w:t xml:space="preserve">The </w:t>
      </w:r>
      <w:r w:rsidR="007A2FBB">
        <w:t>applicant</w:t>
      </w:r>
      <w:r>
        <w:t xml:space="preserve"> claims tha</w:t>
      </w:r>
      <w:r w:rsidR="00966022">
        <w:t>t</w:t>
      </w:r>
      <w:r>
        <w:t xml:space="preserve"> a</w:t>
      </w:r>
      <w:r w:rsidRPr="00992EF7">
        <w:t xml:space="preserve">ll patients eligible for conventional single-chamber </w:t>
      </w:r>
      <w:r>
        <w:t>ventricular</w:t>
      </w:r>
      <w:r w:rsidRPr="00992EF7">
        <w:t xml:space="preserve"> pacemakers </w:t>
      </w:r>
      <w:r>
        <w:t xml:space="preserve">(mode VVI) </w:t>
      </w:r>
      <w:r w:rsidR="00966022">
        <w:t>with response modulation</w:t>
      </w:r>
      <w:r w:rsidR="00966022" w:rsidRPr="00992EF7">
        <w:t xml:space="preserve"> </w:t>
      </w:r>
      <w:r w:rsidRPr="00992EF7">
        <w:t>would be suitable for consideration of implantation with a</w:t>
      </w:r>
      <w:r w:rsidR="00706778">
        <w:t>n</w:t>
      </w:r>
      <w:r w:rsidRPr="00992EF7">
        <w:t xml:space="preserve"> LPM.</w:t>
      </w:r>
      <w:r w:rsidR="003074C7">
        <w:t xml:space="preserve"> LPMs </w:t>
      </w:r>
      <w:r w:rsidR="006A3045">
        <w:t>also provide a</w:t>
      </w:r>
      <w:r w:rsidR="003074C7">
        <w:t xml:space="preserve"> </w:t>
      </w:r>
      <w:r w:rsidR="006A3045">
        <w:t xml:space="preserve">treatment option </w:t>
      </w:r>
      <w:r w:rsidR="003074C7">
        <w:t xml:space="preserve">for patients who are eligible for a TV-PM but are deemed unsuitable </w:t>
      </w:r>
      <w:r w:rsidR="003074C7" w:rsidRPr="003074C7">
        <w:t xml:space="preserve">due to venous access issues or </w:t>
      </w:r>
      <w:r w:rsidR="006A3045">
        <w:t>prior</w:t>
      </w:r>
      <w:r w:rsidR="003074C7" w:rsidRPr="003074C7">
        <w:t xml:space="preserve"> infection</w:t>
      </w:r>
      <w:r w:rsidR="006A3045">
        <w:t>s</w:t>
      </w:r>
      <w:r w:rsidR="003074C7">
        <w:t>.</w:t>
      </w:r>
    </w:p>
    <w:p w14:paraId="15CE399E" w14:textId="221E3280" w:rsidR="00183AB5" w:rsidRDefault="00F354B0" w:rsidP="00F354B0">
      <w:pPr>
        <w:pStyle w:val="Heading4"/>
      </w:pPr>
      <w:r>
        <w:t>Referral and diagnosis</w:t>
      </w:r>
    </w:p>
    <w:p w14:paraId="7B842FDD" w14:textId="31BC42B8" w:rsidR="005A3E11" w:rsidRPr="005A3E11" w:rsidRDefault="005A3E11" w:rsidP="005A3E11">
      <w:r>
        <w:t>In Australia, p</w:t>
      </w:r>
      <w:r w:rsidRPr="00183AB5">
        <w:t xml:space="preserve">atients </w:t>
      </w:r>
      <w:r w:rsidR="007104CC">
        <w:t>with symptomatic bradycardia</w:t>
      </w:r>
      <w:r>
        <w:t xml:space="preserve"> </w:t>
      </w:r>
      <w:r w:rsidRPr="00183AB5">
        <w:t xml:space="preserve">may initially present to the hospital or to a general practitioner, with subsequent referral to a specialist cardiologist. </w:t>
      </w:r>
      <w:r>
        <w:t>In the lead up to being considered eligible for single-chamber ventricular pacing, evaluation of the patient’s history and physical examination constitutes a pivotal component of the medical evaluation, together with a resting electrocardiography (ECG) to document rhythm, rate and conduction, and to screen for structural heart disease or systemic illness (Kusumoto et al. 2019). Further non-invasive testing may include exercise ECG testing, ambulatory ECG, imaging, laboratory testing, genetic testing and sleep apnoea testing.</w:t>
      </w:r>
      <w:r w:rsidR="005A3672">
        <w:t xml:space="preserve"> </w:t>
      </w:r>
      <w:r>
        <w:t>Invasive testing</w:t>
      </w:r>
      <w:r w:rsidR="005A3672">
        <w:t xml:space="preserve"> (</w:t>
      </w:r>
      <w:r>
        <w:t>such as implantable cardiac monitors and electrophysiology studies</w:t>
      </w:r>
      <w:r w:rsidR="005A3672">
        <w:t>)</w:t>
      </w:r>
      <w:r>
        <w:t xml:space="preserve"> may be required in some patients where non-invasive tests are non-diagnostic (Kusumoto et al. 2019).</w:t>
      </w:r>
    </w:p>
    <w:p w14:paraId="4B7B2AAF" w14:textId="3EF04F89" w:rsidR="00E53478" w:rsidRPr="00897156" w:rsidRDefault="00142B0A" w:rsidP="005A3165">
      <w:pPr>
        <w:pStyle w:val="Heading4"/>
        <w:rPr>
          <w:rFonts w:eastAsiaTheme="minorHAnsi"/>
        </w:rPr>
      </w:pPr>
      <w:r>
        <w:rPr>
          <w:rFonts w:eastAsiaTheme="minorHAnsi"/>
        </w:rPr>
        <w:t>Estimated size of the proposed</w:t>
      </w:r>
      <w:r w:rsidR="00E53478" w:rsidRPr="00897156">
        <w:rPr>
          <w:rFonts w:eastAsiaTheme="minorHAnsi"/>
        </w:rPr>
        <w:t xml:space="preserve"> population </w:t>
      </w:r>
      <w:r>
        <w:rPr>
          <w:rFonts w:eastAsiaTheme="minorHAnsi"/>
        </w:rPr>
        <w:t>in Australia</w:t>
      </w:r>
    </w:p>
    <w:p w14:paraId="45D40BFE" w14:textId="6F2F0B90" w:rsidR="00D613E4" w:rsidRDefault="00D613E4" w:rsidP="00142B0A">
      <w:r w:rsidRPr="00D613E4">
        <w:t xml:space="preserve">The use of permanent pacemakers increases with age. </w:t>
      </w:r>
      <w:r w:rsidR="007A2FBB">
        <w:t xml:space="preserve">Approximately </w:t>
      </w:r>
      <w:r w:rsidRPr="00D613E4">
        <w:t xml:space="preserve">70-80% of pacemakers are implanted in the over 65 age group (Gregoratos </w:t>
      </w:r>
      <w:r>
        <w:t xml:space="preserve">et al. </w:t>
      </w:r>
      <w:r w:rsidRPr="00D613E4">
        <w:t xml:space="preserve">1999), with aging associated with an increased risk of arrhythmias and conduction disorders (Wasmer </w:t>
      </w:r>
      <w:r>
        <w:t xml:space="preserve">et al. </w:t>
      </w:r>
      <w:r w:rsidRPr="00D613E4">
        <w:t>2017). With an increasingly aging population in Australia, it is expected the number of pacemakers inserted annually will continue to rise.</w:t>
      </w:r>
    </w:p>
    <w:p w14:paraId="4F2160A7" w14:textId="4830F5CD" w:rsidR="00E53478" w:rsidRDefault="00E53478" w:rsidP="00142B0A">
      <w:r w:rsidRPr="00A83589">
        <w:t xml:space="preserve">The Australian and New Zealand cardiac implantable electronic device survey for the 2017 calendar year </w:t>
      </w:r>
      <w:r w:rsidR="00957441">
        <w:t xml:space="preserve">(Mond et al. 2019) </w:t>
      </w:r>
      <w:r w:rsidRPr="00A83589">
        <w:t>collected sales data directly from companies providing pacemakers and other implantable cardioverter-defibrillators (ICDs</w:t>
      </w:r>
      <w:r w:rsidR="00D613E4">
        <w:t>).</w:t>
      </w:r>
      <w:r w:rsidRPr="00A83589">
        <w:t xml:space="preserve"> The study found that in 2017, there were 17,971 new pacemakers (745 per million population) and 3,462 replacements sold in Australia. Of the total number of pacemakers</w:t>
      </w:r>
      <w:r w:rsidR="00D613E4">
        <w:t xml:space="preserve"> (</w:t>
      </w:r>
      <w:r w:rsidRPr="00A83589">
        <w:t>new and replacements</w:t>
      </w:r>
      <w:r w:rsidR="00D613E4">
        <w:t>)</w:t>
      </w:r>
      <w:r w:rsidRPr="00A83589">
        <w:t xml:space="preserve">, 21% (4,464) were single-chamber </w:t>
      </w:r>
      <w:r w:rsidR="00D613E4">
        <w:t>device</w:t>
      </w:r>
      <w:r w:rsidRPr="00A83589">
        <w:t>s.</w:t>
      </w:r>
      <w:r>
        <w:t xml:space="preserve"> </w:t>
      </w:r>
    </w:p>
    <w:p w14:paraId="278857AC" w14:textId="6072DC65" w:rsidR="00B03B05" w:rsidRDefault="007733F7" w:rsidP="00142B0A">
      <w:r w:rsidRPr="007733F7">
        <w:t xml:space="preserve">The current number of single-chamber </w:t>
      </w:r>
      <w:r>
        <w:t>TV-</w:t>
      </w:r>
      <w:r w:rsidRPr="007733F7">
        <w:t xml:space="preserve">PM </w:t>
      </w:r>
      <w:r w:rsidR="00ED086B">
        <w:t xml:space="preserve">implantation </w:t>
      </w:r>
      <w:r w:rsidRPr="007733F7">
        <w:t xml:space="preserve">procedures subsidised on the MBS can be estimated based on </w:t>
      </w:r>
      <w:r>
        <w:t>Medicare</w:t>
      </w:r>
      <w:r w:rsidRPr="007733F7">
        <w:t xml:space="preserve"> statistics for MBS item 38350 </w:t>
      </w:r>
      <w:r w:rsidR="00ED086B">
        <w:t xml:space="preserve">(for </w:t>
      </w:r>
      <w:r w:rsidRPr="007733F7">
        <w:t>insertion, removal or replacement of single chamber permanent transvenous electrode</w:t>
      </w:r>
      <w:r w:rsidR="00ED086B">
        <w:t>)</w:t>
      </w:r>
      <w:r w:rsidRPr="007733F7">
        <w:t>. The historical utilisation of MBS item 38350 is provided</w:t>
      </w:r>
      <w:r w:rsidR="00ED086B">
        <w:t xml:space="preserve"> in </w:t>
      </w:r>
      <w:r w:rsidR="009212AE">
        <w:rPr>
          <w:highlight w:val="yellow"/>
        </w:rPr>
        <w:fldChar w:fldCharType="begin"/>
      </w:r>
      <w:r w:rsidR="009212AE">
        <w:instrText xml:space="preserve"> REF _Ref76556541 \h </w:instrText>
      </w:r>
      <w:r w:rsidR="009212AE">
        <w:rPr>
          <w:highlight w:val="yellow"/>
        </w:rPr>
      </w:r>
      <w:r w:rsidR="009212AE">
        <w:rPr>
          <w:highlight w:val="yellow"/>
        </w:rPr>
        <w:fldChar w:fldCharType="separate"/>
      </w:r>
      <w:r w:rsidR="000D35EA">
        <w:t xml:space="preserve">Figure </w:t>
      </w:r>
      <w:r w:rsidR="000D35EA">
        <w:rPr>
          <w:noProof/>
        </w:rPr>
        <w:t>1</w:t>
      </w:r>
      <w:r w:rsidR="009212AE">
        <w:rPr>
          <w:highlight w:val="yellow"/>
        </w:rPr>
        <w:fldChar w:fldCharType="end"/>
      </w:r>
      <w:r w:rsidRPr="007733F7">
        <w:t>. In the past 2-3 years, around 3,000-3,200 services were provided under this MBS item.</w:t>
      </w:r>
      <w:r w:rsidR="00ED086B">
        <w:t xml:space="preserve"> </w:t>
      </w:r>
      <w:r w:rsidR="00ED086B" w:rsidRPr="00ED086B">
        <w:t xml:space="preserve">Given that all single-chamber </w:t>
      </w:r>
      <w:r w:rsidR="00ED086B">
        <w:t>TV-</w:t>
      </w:r>
      <w:r w:rsidR="00ED086B" w:rsidRPr="00ED086B">
        <w:t>PM devices provided through the MBS require the lead, the usage data for MBS item 38350 is a reasonable representation of the number of implant procedures as well. However, some of the services provided under MBS item 38350 relate to lead complications including revisions.</w:t>
      </w:r>
    </w:p>
    <w:p w14:paraId="3E62C9DA" w14:textId="1C1717D5" w:rsidR="00ED086B" w:rsidRDefault="00ED086B" w:rsidP="00142B0A">
      <w:r w:rsidRPr="00ED086B">
        <w:t>Another relevant MBS item is 38353</w:t>
      </w:r>
      <w:r w:rsidR="007A2FBB">
        <w:t xml:space="preserve">, </w:t>
      </w:r>
      <w:r>
        <w:t xml:space="preserve">for </w:t>
      </w:r>
      <w:r w:rsidRPr="00ED086B">
        <w:t xml:space="preserve">insertion, removal or replacement of the </w:t>
      </w:r>
      <w:r>
        <w:t>TV-</w:t>
      </w:r>
      <w:r w:rsidRPr="00ED086B">
        <w:t>PM device itself</w:t>
      </w:r>
      <w:r>
        <w:t xml:space="preserve">. </w:t>
      </w:r>
      <w:r w:rsidR="009212AE">
        <w:t>As shown</w:t>
      </w:r>
      <w:r w:rsidRPr="00ED086B">
        <w:t xml:space="preserve"> in </w:t>
      </w:r>
      <w:r w:rsidR="009212AE">
        <w:rPr>
          <w:highlight w:val="yellow"/>
        </w:rPr>
        <w:fldChar w:fldCharType="begin"/>
      </w:r>
      <w:r w:rsidR="009212AE">
        <w:instrText xml:space="preserve"> REF _Ref76556541 \h </w:instrText>
      </w:r>
      <w:r w:rsidR="009212AE">
        <w:rPr>
          <w:highlight w:val="yellow"/>
        </w:rPr>
      </w:r>
      <w:r w:rsidR="009212AE">
        <w:rPr>
          <w:highlight w:val="yellow"/>
        </w:rPr>
        <w:fldChar w:fldCharType="separate"/>
      </w:r>
      <w:r w:rsidR="000D35EA">
        <w:t xml:space="preserve">Figure </w:t>
      </w:r>
      <w:r w:rsidR="000D35EA">
        <w:rPr>
          <w:noProof/>
        </w:rPr>
        <w:t>1</w:t>
      </w:r>
      <w:r w:rsidR="009212AE">
        <w:rPr>
          <w:highlight w:val="yellow"/>
        </w:rPr>
        <w:fldChar w:fldCharType="end"/>
      </w:r>
      <w:r w:rsidR="009212AE">
        <w:t>, t</w:t>
      </w:r>
      <w:r>
        <w:t>he</w:t>
      </w:r>
      <w:r w:rsidRPr="00ED086B">
        <w:t xml:space="preserve"> service volume </w:t>
      </w:r>
      <w:r>
        <w:t xml:space="preserve">for MBS item 38353 </w:t>
      </w:r>
      <w:r w:rsidRPr="00ED086B">
        <w:t>is currently four times more than that for MBS item 38350</w:t>
      </w:r>
      <w:r>
        <w:t>,</w:t>
      </w:r>
      <w:r w:rsidRPr="00ED086B">
        <w:t xml:space="preserve"> because </w:t>
      </w:r>
      <w:r>
        <w:t>it</w:t>
      </w:r>
      <w:r w:rsidRPr="00ED086B">
        <w:t xml:space="preserve"> </w:t>
      </w:r>
      <w:r w:rsidR="009212AE">
        <w:t>relates to services for</w:t>
      </w:r>
      <w:r>
        <w:t xml:space="preserve"> single-chamber and </w:t>
      </w:r>
      <w:r w:rsidRPr="00ED086B">
        <w:t xml:space="preserve">dual-chamber </w:t>
      </w:r>
      <w:r>
        <w:t>pacemaker</w:t>
      </w:r>
      <w:r w:rsidRPr="00ED086B">
        <w:t>s.</w:t>
      </w:r>
      <w:r>
        <w:t xml:space="preserve"> Applying the proportion of </w:t>
      </w:r>
      <w:r w:rsidR="009212AE">
        <w:t xml:space="preserve">all </w:t>
      </w:r>
      <w:r w:rsidR="00C02F76">
        <w:t xml:space="preserve">pacemakers that were single-chamber devices from </w:t>
      </w:r>
      <w:r w:rsidR="007A2FBB">
        <w:t xml:space="preserve">the survey in </w:t>
      </w:r>
      <w:r w:rsidR="00C02F76">
        <w:t>Mond et al. 2019 (i.e.</w:t>
      </w:r>
      <w:r w:rsidR="000168A6">
        <w:t>,</w:t>
      </w:r>
      <w:r w:rsidR="00C02F76">
        <w:t xml:space="preserve"> 21%), </w:t>
      </w:r>
      <w:r w:rsidR="009212AE">
        <w:t>approximately</w:t>
      </w:r>
      <w:r w:rsidR="00C02F76">
        <w:t xml:space="preserve"> 2,553 single-chamber TV-PM </w:t>
      </w:r>
      <w:r w:rsidR="000C566F">
        <w:t>implantation services</w:t>
      </w:r>
      <w:r w:rsidR="00C02F76">
        <w:t xml:space="preserve"> are </w:t>
      </w:r>
      <w:r w:rsidR="009212AE">
        <w:t>estimated</w:t>
      </w:r>
      <w:r w:rsidR="00C02F76">
        <w:t xml:space="preserve"> </w:t>
      </w:r>
      <w:r w:rsidR="000C566F">
        <w:t>for</w:t>
      </w:r>
      <w:r w:rsidR="00C02F76">
        <w:t xml:space="preserve"> 2021.</w:t>
      </w:r>
    </w:p>
    <w:p w14:paraId="3F948810" w14:textId="55CC7750" w:rsidR="009212AE" w:rsidRDefault="009212AE" w:rsidP="009212AE">
      <w:pPr>
        <w:pStyle w:val="Caption"/>
      </w:pPr>
      <w:bookmarkStart w:id="4" w:name="_Ref76556541"/>
      <w:r>
        <w:t xml:space="preserve">Figure </w:t>
      </w:r>
      <w:r>
        <w:fldChar w:fldCharType="begin"/>
      </w:r>
      <w:r>
        <w:instrText xml:space="preserve"> SEQ Figure \* ARABIC </w:instrText>
      </w:r>
      <w:r>
        <w:fldChar w:fldCharType="separate"/>
      </w:r>
      <w:r w:rsidR="000D35EA">
        <w:rPr>
          <w:noProof/>
        </w:rPr>
        <w:t>1</w:t>
      </w:r>
      <w:r>
        <w:fldChar w:fldCharType="end"/>
      </w:r>
      <w:bookmarkEnd w:id="4"/>
      <w:r>
        <w:tab/>
        <w:t>Number of services for MBS items 38350 and 38353, calendar years 1994 – 2020</w:t>
      </w:r>
    </w:p>
    <w:p w14:paraId="2839C608" w14:textId="138829C0" w:rsidR="009212AE" w:rsidRDefault="009212AE" w:rsidP="009212AE">
      <w:pPr>
        <w:spacing w:after="0"/>
        <w:rPr>
          <w:lang w:val="en-GB" w:eastAsia="ja-JP"/>
        </w:rPr>
      </w:pPr>
      <w:r>
        <w:rPr>
          <w:noProof/>
          <w:lang w:eastAsia="en-AU"/>
        </w:rPr>
        <w:drawing>
          <wp:inline distT="0" distB="0" distL="0" distR="0" wp14:anchorId="7DA3A3E1" wp14:editId="79A2A249">
            <wp:extent cx="4580357" cy="2743227"/>
            <wp:effectExtent l="0" t="0" r="0" b="0"/>
            <wp:docPr id="2" name="Picture 2" descr="Line chart showing the number of services for MBS items 38350 and 38353 from 1994 to 2020, using data from Medicare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showing the number of services for MBS items 38350 and 38353 from 1994 to 2020, using data from Medicare Australia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0357" cy="2743227"/>
                    </a:xfrm>
                    <a:prstGeom prst="rect">
                      <a:avLst/>
                    </a:prstGeom>
                  </pic:spPr>
                </pic:pic>
              </a:graphicData>
            </a:graphic>
          </wp:inline>
        </w:drawing>
      </w:r>
    </w:p>
    <w:p w14:paraId="69B66EB5" w14:textId="5A16DB74" w:rsidR="009212AE" w:rsidRDefault="009212AE" w:rsidP="009212AE">
      <w:pPr>
        <w:pStyle w:val="Tablenotes"/>
        <w:rPr>
          <w:lang w:val="en-GB" w:eastAsia="ja-JP"/>
        </w:rPr>
      </w:pPr>
      <w:r w:rsidRPr="008A40E2">
        <w:rPr>
          <w:lang w:val="en-GB" w:eastAsia="ja-JP"/>
        </w:rPr>
        <w:t xml:space="preserve">Source: </w:t>
      </w:r>
      <w:r>
        <w:rPr>
          <w:lang w:val="en-GB" w:eastAsia="ja-JP"/>
        </w:rPr>
        <w:t>MBS Item Statistics Reports, Medicare Australia, accessed 07 July 2021.</w:t>
      </w:r>
    </w:p>
    <w:p w14:paraId="39EDCEBA" w14:textId="7711257B" w:rsidR="00247DD6" w:rsidRDefault="00247DD6" w:rsidP="00C74B85">
      <w:pPr>
        <w:rPr>
          <w:lang w:val="en-GB" w:eastAsia="ja-JP"/>
        </w:rPr>
      </w:pPr>
      <w:r>
        <w:rPr>
          <w:lang w:val="en-GB" w:eastAsia="ja-JP"/>
        </w:rPr>
        <w:t xml:space="preserve">An estimate of current usage of LPMs in Australia was not provided in the application. However, an Australian article states that in 2018, </w:t>
      </w:r>
      <w:r w:rsidRPr="00247DD6">
        <w:rPr>
          <w:lang w:val="en-GB" w:eastAsia="ja-JP"/>
        </w:rPr>
        <w:t xml:space="preserve">fewer than 100 </w:t>
      </w:r>
      <w:r w:rsidR="00A34089">
        <w:rPr>
          <w:lang w:val="en-GB" w:eastAsia="ja-JP"/>
        </w:rPr>
        <w:t>LPMs</w:t>
      </w:r>
      <w:r w:rsidRPr="00247DD6">
        <w:rPr>
          <w:lang w:val="en-GB" w:eastAsia="ja-JP"/>
        </w:rPr>
        <w:t xml:space="preserve"> ha</w:t>
      </w:r>
      <w:r w:rsidR="00A34089">
        <w:rPr>
          <w:lang w:val="en-GB" w:eastAsia="ja-JP"/>
        </w:rPr>
        <w:t>d</w:t>
      </w:r>
      <w:r w:rsidRPr="00247DD6">
        <w:rPr>
          <w:lang w:val="en-GB" w:eastAsia="ja-JP"/>
        </w:rPr>
        <w:t xml:space="preserve"> been</w:t>
      </w:r>
      <w:r w:rsidR="00A34089">
        <w:rPr>
          <w:lang w:val="en-GB" w:eastAsia="ja-JP"/>
        </w:rPr>
        <w:t xml:space="preserve"> </w:t>
      </w:r>
      <w:r w:rsidRPr="00247DD6">
        <w:rPr>
          <w:lang w:val="en-GB" w:eastAsia="ja-JP"/>
        </w:rPr>
        <w:t>implanted in Australia</w:t>
      </w:r>
      <w:r w:rsidR="00C74B85">
        <w:rPr>
          <w:lang w:val="en-GB" w:eastAsia="ja-JP"/>
        </w:rPr>
        <w:t xml:space="preserve"> (Koh &amp; Lau, 2018)</w:t>
      </w:r>
      <w:r w:rsidR="00A34089">
        <w:rPr>
          <w:lang w:val="en-GB" w:eastAsia="ja-JP"/>
        </w:rPr>
        <w:t>.</w:t>
      </w:r>
      <w:r w:rsidR="00C74B85">
        <w:rPr>
          <w:lang w:val="en-GB" w:eastAsia="ja-JP"/>
        </w:rPr>
        <w:t xml:space="preserve"> T</w:t>
      </w:r>
      <w:r w:rsidR="00C74B85" w:rsidRPr="00C74B85">
        <w:rPr>
          <w:lang w:val="en-GB" w:eastAsia="ja-JP"/>
        </w:rPr>
        <w:t>hese numbers are</w:t>
      </w:r>
      <w:r w:rsidR="00C74B85">
        <w:rPr>
          <w:lang w:val="en-GB" w:eastAsia="ja-JP"/>
        </w:rPr>
        <w:t xml:space="preserve"> </w:t>
      </w:r>
      <w:r w:rsidR="00C74B85" w:rsidRPr="00C74B85">
        <w:rPr>
          <w:lang w:val="en-GB" w:eastAsia="ja-JP"/>
        </w:rPr>
        <w:t xml:space="preserve">expected to </w:t>
      </w:r>
      <w:r w:rsidR="00C74B85">
        <w:rPr>
          <w:lang w:val="en-GB" w:eastAsia="ja-JP"/>
        </w:rPr>
        <w:t>rise</w:t>
      </w:r>
      <w:r w:rsidR="00C74B85" w:rsidRPr="00C74B85">
        <w:rPr>
          <w:lang w:val="en-GB" w:eastAsia="ja-JP"/>
        </w:rPr>
        <w:t xml:space="preserve"> with increased clinical acceptance </w:t>
      </w:r>
      <w:r w:rsidR="00C74B85">
        <w:rPr>
          <w:lang w:val="en-GB" w:eastAsia="ja-JP"/>
        </w:rPr>
        <w:t>of</w:t>
      </w:r>
      <w:r w:rsidR="00C74B85" w:rsidRPr="00C74B85">
        <w:rPr>
          <w:lang w:val="en-GB" w:eastAsia="ja-JP"/>
        </w:rPr>
        <w:t xml:space="preserve"> the</w:t>
      </w:r>
      <w:r w:rsidR="00C74B85">
        <w:rPr>
          <w:lang w:val="en-GB" w:eastAsia="ja-JP"/>
        </w:rPr>
        <w:t xml:space="preserve"> </w:t>
      </w:r>
      <w:r w:rsidR="00C74B85" w:rsidRPr="00C74B85">
        <w:rPr>
          <w:lang w:val="en-GB" w:eastAsia="ja-JP"/>
        </w:rPr>
        <w:t xml:space="preserve">technology and </w:t>
      </w:r>
      <w:r w:rsidR="00C74B85">
        <w:rPr>
          <w:lang w:val="en-GB" w:eastAsia="ja-JP"/>
        </w:rPr>
        <w:t xml:space="preserve">as </w:t>
      </w:r>
      <w:r w:rsidR="00C74B85" w:rsidRPr="00C74B85">
        <w:rPr>
          <w:lang w:val="en-GB" w:eastAsia="ja-JP"/>
        </w:rPr>
        <w:t>more operators are trained in</w:t>
      </w:r>
      <w:r w:rsidR="00C74B85">
        <w:rPr>
          <w:lang w:val="en-GB" w:eastAsia="ja-JP"/>
        </w:rPr>
        <w:t xml:space="preserve"> </w:t>
      </w:r>
      <w:r w:rsidR="00C74B85" w:rsidRPr="00C74B85">
        <w:rPr>
          <w:lang w:val="en-GB" w:eastAsia="ja-JP"/>
        </w:rPr>
        <w:t>the procedure.</w:t>
      </w:r>
    </w:p>
    <w:p w14:paraId="67D7E32E" w14:textId="6EA70274" w:rsidR="00697867" w:rsidRPr="0000750A" w:rsidRDefault="00697867" w:rsidP="00C74B85">
      <w:pPr>
        <w:rPr>
          <w:strike/>
          <w:lang w:val="en-GB" w:eastAsia="ja-JP"/>
        </w:rPr>
      </w:pPr>
      <w:r w:rsidRPr="004C0267">
        <w:rPr>
          <w:lang w:val="en-GB" w:eastAsia="ja-JP"/>
        </w:rPr>
        <w:t>The applicant provided an updated estimate of the likely usage of the LPM device based on recent utilisation data. The applicant claims that usage in the last three years is approximately</w:t>
      </w:r>
      <w:r w:rsidR="00446F1B">
        <w:rPr>
          <w:lang w:val="en-GB" w:eastAsia="ja-JP"/>
        </w:rPr>
        <w:t xml:space="preserve"> </w:t>
      </w:r>
      <w:r w:rsidR="00446F1B" w:rsidRPr="00446F1B">
        <w:rPr>
          <w:b/>
          <w:bCs/>
          <w:lang w:val="en-GB" w:eastAsia="ja-JP"/>
        </w:rPr>
        <w:t>REDACTED</w:t>
      </w:r>
      <w:r w:rsidR="00446F1B">
        <w:rPr>
          <w:lang w:val="en-GB" w:eastAsia="ja-JP"/>
        </w:rPr>
        <w:t>.</w:t>
      </w:r>
    </w:p>
    <w:p w14:paraId="0E38780D" w14:textId="703A6E31" w:rsidR="007A66C8" w:rsidRDefault="007A66C8" w:rsidP="00713728">
      <w:pPr>
        <w:pStyle w:val="Heading3"/>
      </w:pPr>
      <w:r w:rsidRPr="008F1532">
        <w:t>Intervention</w:t>
      </w:r>
    </w:p>
    <w:p w14:paraId="601BB9C7" w14:textId="10C3F492" w:rsidR="00706778" w:rsidRDefault="00004630" w:rsidP="00B45795">
      <w:pPr>
        <w:spacing w:before="240"/>
      </w:pPr>
      <w:r>
        <w:t>According to the application, t</w:t>
      </w:r>
      <w:r w:rsidR="00615FBB" w:rsidRPr="002A0970">
        <w:t xml:space="preserve">he </w:t>
      </w:r>
      <w:r w:rsidR="00706778">
        <w:t>only available</w:t>
      </w:r>
      <w:r w:rsidR="00615FBB" w:rsidRPr="002A0970">
        <w:t xml:space="preserve"> </w:t>
      </w:r>
      <w:r w:rsidR="004D5B78">
        <w:t>single-chamber</w:t>
      </w:r>
      <w:r w:rsidR="00615FBB" w:rsidRPr="002A0970">
        <w:t xml:space="preserve"> implantable transcatheter pacing system</w:t>
      </w:r>
      <w:r w:rsidR="00615FBB">
        <w:t xml:space="preserve"> </w:t>
      </w:r>
      <w:r w:rsidR="00706778">
        <w:t xml:space="preserve">in Australia is </w:t>
      </w:r>
      <w:r w:rsidR="00615FBB" w:rsidRPr="002A0970">
        <w:t xml:space="preserve">Medtronic’s Micra </w:t>
      </w:r>
      <w:r w:rsidR="00706778" w:rsidRPr="002C064D">
        <w:t>Transcatheter Pacing System (TPS)</w:t>
      </w:r>
      <w:r w:rsidR="00706778">
        <w:t xml:space="preserve">, </w:t>
      </w:r>
      <w:r w:rsidR="00615FBB" w:rsidRPr="002A0970">
        <w:t>Model MC1VR01 referred to as Micra VR. The Micra VR is a programmable cardiac device that monitors and regulates the patient’s heart rate by providing rate-responsive bradycardia pacing to the right ventricle.</w:t>
      </w:r>
      <w:r w:rsidR="00706778">
        <w:t xml:space="preserve"> It</w:t>
      </w:r>
      <w:r w:rsidR="00706778" w:rsidRPr="002C064D">
        <w:t xml:space="preserve"> </w:t>
      </w:r>
      <w:r w:rsidR="00706778">
        <w:t>is</w:t>
      </w:r>
      <w:r w:rsidR="00706778" w:rsidRPr="002C064D">
        <w:t xml:space="preserve"> inserted via the femoral vein and implanted directly into the right ventricular myocardium</w:t>
      </w:r>
      <w:r>
        <w:t xml:space="preserve"> (see </w:t>
      </w:r>
      <w:r>
        <w:fldChar w:fldCharType="begin"/>
      </w:r>
      <w:r>
        <w:instrText xml:space="preserve"> REF _Ref76024293 \h </w:instrText>
      </w:r>
      <w:r>
        <w:fldChar w:fldCharType="separate"/>
      </w:r>
      <w:r w:rsidR="000D35EA">
        <w:t xml:space="preserve">Figure </w:t>
      </w:r>
      <w:r w:rsidR="000D35EA">
        <w:rPr>
          <w:noProof/>
        </w:rPr>
        <w:t>2</w:t>
      </w:r>
      <w:r>
        <w:fldChar w:fldCharType="end"/>
      </w:r>
      <w:r>
        <w:t>)</w:t>
      </w:r>
      <w:r w:rsidR="00706778">
        <w:t>,</w:t>
      </w:r>
      <w:r w:rsidR="00706778" w:rsidRPr="002C064D">
        <w:t xml:space="preserve"> negating the need for transvenous </w:t>
      </w:r>
      <w:r w:rsidR="007A2FBB">
        <w:t>leads</w:t>
      </w:r>
      <w:r w:rsidR="00706778" w:rsidRPr="002C064D">
        <w:t>.</w:t>
      </w:r>
    </w:p>
    <w:p w14:paraId="77477351" w14:textId="161D37AF" w:rsidR="00827B65" w:rsidRDefault="00827B65" w:rsidP="00E638A9">
      <w:r>
        <w:t>S</w:t>
      </w:r>
      <w:r w:rsidRPr="00827B65">
        <w:t xml:space="preserve">imilar to TV-PMs, Micra </w:t>
      </w:r>
      <w:r>
        <w:t xml:space="preserve">VR has </w:t>
      </w:r>
      <w:r w:rsidR="00C26E47">
        <w:t xml:space="preserve">traditional </w:t>
      </w:r>
      <w:r>
        <w:t>remote monitoring capabilities</w:t>
      </w:r>
      <w:r w:rsidRPr="00827B65">
        <w:t>, but it is not capable of Bluetooth monitoring due to its small size.</w:t>
      </w:r>
    </w:p>
    <w:p w14:paraId="51EE18B2" w14:textId="7A2FC276" w:rsidR="00B60C5A" w:rsidRDefault="00B60C5A" w:rsidP="00E638A9">
      <w:r w:rsidRPr="00F2563B">
        <w:t xml:space="preserve">The </w:t>
      </w:r>
      <w:r>
        <w:t xml:space="preserve">application advises that the </w:t>
      </w:r>
      <w:r w:rsidRPr="00F2563B">
        <w:t>next generation Micra LPM device will be available in due course</w:t>
      </w:r>
      <w:r>
        <w:t>,</w:t>
      </w:r>
      <w:r w:rsidRPr="00F2563B">
        <w:t xml:space="preserve"> which </w:t>
      </w:r>
      <w:r w:rsidRPr="009A4F92">
        <w:t xml:space="preserve">will </w:t>
      </w:r>
      <w:r w:rsidR="00BC0994">
        <w:t xml:space="preserve">pace the right ventricle and </w:t>
      </w:r>
      <w:r w:rsidRPr="009A4F92">
        <w:t>sense the electrical signals in the atrium to allow for synchronised AV pacing of the ventricle</w:t>
      </w:r>
      <w:r>
        <w:t xml:space="preserve"> (Micra AV)</w:t>
      </w:r>
      <w:r w:rsidRPr="00F2563B">
        <w:t xml:space="preserve">; however, </w:t>
      </w:r>
      <w:r>
        <w:t>MSAC</w:t>
      </w:r>
      <w:r w:rsidRPr="00F2563B">
        <w:t xml:space="preserve"> </w:t>
      </w:r>
      <w:r>
        <w:t>A</w:t>
      </w:r>
      <w:r w:rsidRPr="00F2563B">
        <w:t xml:space="preserve">pplication </w:t>
      </w:r>
      <w:r>
        <w:t xml:space="preserve">1672 </w:t>
      </w:r>
      <w:r w:rsidRPr="00F2563B">
        <w:t>is limited to the Micra LPM for pacing to the right ventricle</w:t>
      </w:r>
      <w:r>
        <w:t xml:space="preserve"> only</w:t>
      </w:r>
      <w:r w:rsidR="00BC0994">
        <w:t xml:space="preserve"> without sensing in the atrium</w:t>
      </w:r>
      <w:r w:rsidRPr="00F2563B">
        <w:t>.</w:t>
      </w:r>
    </w:p>
    <w:p w14:paraId="041FFD2E" w14:textId="649CDA2F" w:rsidR="00004630" w:rsidRDefault="00004630" w:rsidP="00004630">
      <w:pPr>
        <w:pStyle w:val="Caption"/>
      </w:pPr>
      <w:bookmarkStart w:id="5" w:name="_Ref76024293"/>
      <w:r>
        <w:t xml:space="preserve">Figure </w:t>
      </w:r>
      <w:r>
        <w:fldChar w:fldCharType="begin"/>
      </w:r>
      <w:r>
        <w:instrText xml:space="preserve"> SEQ Figure \* ARABIC </w:instrText>
      </w:r>
      <w:r>
        <w:fldChar w:fldCharType="separate"/>
      </w:r>
      <w:r w:rsidR="000D35EA">
        <w:rPr>
          <w:noProof/>
        </w:rPr>
        <w:t>2</w:t>
      </w:r>
      <w:r>
        <w:fldChar w:fldCharType="end"/>
      </w:r>
      <w:bookmarkEnd w:id="5"/>
      <w:r>
        <w:tab/>
        <w:t>Medtronic’s Micra VR</w:t>
      </w:r>
    </w:p>
    <w:p w14:paraId="5A406DA1" w14:textId="74A870F0" w:rsidR="00004630" w:rsidRDefault="005D20FC" w:rsidP="00004630">
      <w:pPr>
        <w:pBdr>
          <w:top w:val="single" w:sz="4" w:space="1" w:color="auto"/>
          <w:left w:val="single" w:sz="4" w:space="4" w:color="auto"/>
          <w:bottom w:val="single" w:sz="4" w:space="1" w:color="auto"/>
          <w:right w:val="single" w:sz="4" w:space="4" w:color="auto"/>
        </w:pBdr>
        <w:spacing w:after="0" w:line="240" w:lineRule="auto"/>
        <w:jc w:val="center"/>
      </w:pPr>
      <w:r>
        <w:rPr>
          <w:rFonts w:asciiTheme="minorHAnsi" w:eastAsiaTheme="minorHAnsi" w:hAnsiTheme="minorHAnsi" w:cstheme="minorBidi"/>
          <w:noProof/>
          <w:lang w:eastAsia="en-AU"/>
        </w:rPr>
        <w:drawing>
          <wp:inline distT="0" distB="0" distL="0" distR="0" wp14:anchorId="7D01A224" wp14:editId="3B253257">
            <wp:extent cx="2088000" cy="1951200"/>
            <wp:effectExtent l="0" t="0" r="7620" b="0"/>
            <wp:docPr id="4" name="Picture 4" descr="A close-up of the LPM next to a ruler to indicate the small size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the LPM next to a ruler to indicate the small size of the dev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8000" cy="1951200"/>
                    </a:xfrm>
                    <a:prstGeom prst="rect">
                      <a:avLst/>
                    </a:prstGeom>
                  </pic:spPr>
                </pic:pic>
              </a:graphicData>
            </a:graphic>
          </wp:inline>
        </w:drawing>
      </w:r>
      <w:r w:rsidR="00004630">
        <w:rPr>
          <w:rFonts w:asciiTheme="minorHAnsi" w:eastAsiaTheme="minorHAnsi" w:hAnsiTheme="minorHAnsi" w:cstheme="minorBidi"/>
          <w:noProof/>
          <w:lang w:eastAsia="en-AU"/>
        </w:rPr>
        <w:drawing>
          <wp:inline distT="0" distB="0" distL="0" distR="0" wp14:anchorId="36E07619" wp14:editId="19BB9428">
            <wp:extent cx="3909600" cy="1951200"/>
            <wp:effectExtent l="0" t="0" r="0" b="0"/>
            <wp:docPr id="3" name="Picture 3" descr="A picture containing an illustration of the Micra VR in the right ventricle of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n illustration of the Micra VR in the right ventricle of the he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600" cy="1951200"/>
                    </a:xfrm>
                    <a:prstGeom prst="rect">
                      <a:avLst/>
                    </a:prstGeom>
                    <a:noFill/>
                    <a:ln>
                      <a:noFill/>
                    </a:ln>
                  </pic:spPr>
                </pic:pic>
              </a:graphicData>
            </a:graphic>
          </wp:inline>
        </w:drawing>
      </w:r>
    </w:p>
    <w:p w14:paraId="74BAA1DC" w14:textId="77777777" w:rsidR="00004630" w:rsidRDefault="00004630" w:rsidP="00004630">
      <w:pPr>
        <w:pStyle w:val="Tablenotes"/>
      </w:pPr>
      <w:r>
        <w:t>Source: MSAC Application 1672</w:t>
      </w:r>
    </w:p>
    <w:p w14:paraId="419BA7F3" w14:textId="4814D971" w:rsidR="00EE243C" w:rsidRDefault="00C02244" w:rsidP="0038424D">
      <w:r w:rsidRPr="00EE243C">
        <w:t xml:space="preserve">The Micra VR </w:t>
      </w:r>
      <w:r w:rsidR="009D7CBA" w:rsidRPr="00EE243C">
        <w:t xml:space="preserve">is </w:t>
      </w:r>
      <w:r w:rsidR="00DE473C" w:rsidRPr="00EE243C">
        <w:t>a</w:t>
      </w:r>
      <w:r w:rsidR="009D7CBA" w:rsidRPr="00EE243C">
        <w:t xml:space="preserve"> miniaturised device </w:t>
      </w:r>
      <w:r w:rsidR="00004630">
        <w:t xml:space="preserve">measuring </w:t>
      </w:r>
      <w:r w:rsidR="009D7CBA" w:rsidRPr="00EE243C">
        <w:t>25.9 mm l</w:t>
      </w:r>
      <w:r w:rsidR="003B4BC0" w:rsidRPr="00EE243C">
        <w:t>ong</w:t>
      </w:r>
      <w:r w:rsidR="009D7CBA" w:rsidRPr="00EE243C">
        <w:t xml:space="preserve">, </w:t>
      </w:r>
      <w:r w:rsidR="003B4BC0" w:rsidRPr="00EE243C">
        <w:t>2.8</w:t>
      </w:r>
      <w:r w:rsidR="009D7CBA" w:rsidRPr="00EE243C">
        <w:t xml:space="preserve"> mm diameter</w:t>
      </w:r>
      <w:r w:rsidR="00004630">
        <w:t xml:space="preserve"> and </w:t>
      </w:r>
      <w:r w:rsidR="009D7CBA" w:rsidRPr="00EE243C">
        <w:t>1.75 g</w:t>
      </w:r>
      <w:r w:rsidR="00004630">
        <w:t>rams.</w:t>
      </w:r>
      <w:r w:rsidR="009D7CBA" w:rsidRPr="00EE243C">
        <w:t xml:space="preserve"> </w:t>
      </w:r>
      <w:r w:rsidR="00004630">
        <w:t xml:space="preserve">The device </w:t>
      </w:r>
      <w:r w:rsidR="009D7CBA" w:rsidRPr="00EE243C">
        <w:t xml:space="preserve">senses the electrical activity of the patient’s heart using sensing and pacing electrodes enclosed in </w:t>
      </w:r>
      <w:r w:rsidR="00DE473C" w:rsidRPr="00EE243C">
        <w:t>a</w:t>
      </w:r>
      <w:r w:rsidR="009D7CBA" w:rsidRPr="00EE243C">
        <w:t xml:space="preserve"> </w:t>
      </w:r>
      <w:r w:rsidR="003B4BC0" w:rsidRPr="00EE243C">
        <w:t>hermetically</w:t>
      </w:r>
      <w:r w:rsidR="007A2FBB">
        <w:t xml:space="preserve"> </w:t>
      </w:r>
      <w:r w:rsidR="00004630">
        <w:t>sealed</w:t>
      </w:r>
      <w:r w:rsidR="003B4BC0" w:rsidRPr="00EE243C">
        <w:t xml:space="preserve"> </w:t>
      </w:r>
      <w:r w:rsidR="009D7CBA" w:rsidRPr="00EE243C">
        <w:t xml:space="preserve">titanium capsule. </w:t>
      </w:r>
      <w:r w:rsidR="00EE243C" w:rsidRPr="00EE243C">
        <w:t>The device</w:t>
      </w:r>
      <w:r w:rsidR="00DE473C" w:rsidRPr="00EE243C">
        <w:t xml:space="preserve"> </w:t>
      </w:r>
      <w:r w:rsidR="009D7CBA" w:rsidRPr="00EE243C">
        <w:t xml:space="preserve">monitors the heart rhythm for bradycardia and responds to bradycardia by providing pacing therapy based on </w:t>
      </w:r>
      <w:r w:rsidR="007A2FBB" w:rsidRPr="00EE243C">
        <w:t xml:space="preserve">programmed </w:t>
      </w:r>
      <w:r w:rsidR="009D7CBA" w:rsidRPr="00EE243C">
        <w:t xml:space="preserve">pacing parameters. </w:t>
      </w:r>
      <w:r w:rsidR="00DE473C" w:rsidRPr="00EE243C">
        <w:t>R</w:t>
      </w:r>
      <w:r w:rsidR="009D7CBA" w:rsidRPr="00EE243C">
        <w:t>ate</w:t>
      </w:r>
      <w:r w:rsidR="00DD6F24">
        <w:t>-</w:t>
      </w:r>
      <w:r w:rsidR="009D7CBA" w:rsidRPr="00EE243C">
        <w:t>response</w:t>
      </w:r>
      <w:r w:rsidR="00DE473C" w:rsidRPr="00EE243C">
        <w:t xml:space="preserve"> is</w:t>
      </w:r>
      <w:r w:rsidR="009D7CBA" w:rsidRPr="00EE243C">
        <w:t xml:space="preserve"> controlled through an activity</w:t>
      </w:r>
      <w:r w:rsidR="000168A6">
        <w:t>-</w:t>
      </w:r>
      <w:r w:rsidR="009D7CBA" w:rsidRPr="00EE243C">
        <w:t>based sensor.</w:t>
      </w:r>
    </w:p>
    <w:p w14:paraId="2016F2A7" w14:textId="77777777" w:rsidR="00446F1B" w:rsidRDefault="00446F1B">
      <w:pPr>
        <w:spacing w:after="160" w:line="259" w:lineRule="auto"/>
      </w:pPr>
      <w:r>
        <w:br w:type="page"/>
      </w:r>
    </w:p>
    <w:p w14:paraId="0436CBF6" w14:textId="181606FE" w:rsidR="00EE243C" w:rsidRDefault="00EE243C" w:rsidP="00EE243C">
      <w:pPr>
        <w:spacing w:after="120"/>
      </w:pPr>
      <w:r w:rsidRPr="00341391">
        <w:t xml:space="preserve">The components of the Micra </w:t>
      </w:r>
      <w:r>
        <w:t>VR</w:t>
      </w:r>
      <w:r w:rsidRPr="00341391">
        <w:t xml:space="preserve"> </w:t>
      </w:r>
      <w:r>
        <w:t xml:space="preserve">system </w:t>
      </w:r>
      <w:r w:rsidRPr="00341391">
        <w:t>include</w:t>
      </w:r>
      <w:r>
        <w:t>:</w:t>
      </w:r>
    </w:p>
    <w:p w14:paraId="4A0E0E54" w14:textId="71E951A8" w:rsidR="00EE243C" w:rsidRDefault="00EE243C" w:rsidP="00BC7B13">
      <w:pPr>
        <w:pStyle w:val="ListParagraph"/>
        <w:numPr>
          <w:ilvl w:val="0"/>
          <w:numId w:val="6"/>
        </w:numPr>
      </w:pPr>
      <w:r w:rsidRPr="00341391">
        <w:t>the LPM</w:t>
      </w:r>
      <w:r>
        <w:t xml:space="preserve"> device</w:t>
      </w:r>
      <w:r w:rsidR="00004630">
        <w:t xml:space="preserve"> (</w:t>
      </w:r>
      <w:r>
        <w:t>which is drug-eluting</w:t>
      </w:r>
      <w:r w:rsidR="00004630">
        <w:t xml:space="preserve">, with </w:t>
      </w:r>
      <w:r>
        <w:t>controlled-release dexamethasone)</w:t>
      </w:r>
    </w:p>
    <w:p w14:paraId="6E6A92F3" w14:textId="77777777" w:rsidR="00EE243C" w:rsidRDefault="00EE243C" w:rsidP="00BC7B13">
      <w:pPr>
        <w:pStyle w:val="ListParagraph"/>
        <w:numPr>
          <w:ilvl w:val="0"/>
          <w:numId w:val="6"/>
        </w:numPr>
      </w:pPr>
      <w:r>
        <w:t>a</w:t>
      </w:r>
      <w:r w:rsidRPr="00341391">
        <w:t xml:space="preserve"> </w:t>
      </w:r>
      <w:r>
        <w:t xml:space="preserve">single-use </w:t>
      </w:r>
      <w:r w:rsidRPr="00341391">
        <w:t>delivery catheter</w:t>
      </w:r>
      <w:r>
        <w:t xml:space="preserve"> to deliver, deploy and test device placement</w:t>
      </w:r>
    </w:p>
    <w:p w14:paraId="5C604D2C" w14:textId="72E795EE" w:rsidR="00EE243C" w:rsidRDefault="00EE243C" w:rsidP="00FC7F9E">
      <w:pPr>
        <w:pStyle w:val="ListParagraph"/>
        <w:numPr>
          <w:ilvl w:val="0"/>
          <w:numId w:val="6"/>
        </w:numPr>
      </w:pPr>
      <w:r>
        <w:t>a single-use</w:t>
      </w:r>
      <w:r w:rsidRPr="00341391">
        <w:t xml:space="preserve"> introducer </w:t>
      </w:r>
      <w:r>
        <w:t>(23 Fr</w:t>
      </w:r>
      <w:r w:rsidR="00873236">
        <w:t>ench</w:t>
      </w:r>
      <w:r w:rsidR="00385B07">
        <w:t xml:space="preserve"> sheath</w:t>
      </w:r>
      <w:r>
        <w:t>)</w:t>
      </w:r>
      <w:r w:rsidR="00A108BD">
        <w:t>.</w:t>
      </w:r>
    </w:p>
    <w:p w14:paraId="06C7764F" w14:textId="2965A81E" w:rsidR="00BC0994" w:rsidRDefault="00BC0994" w:rsidP="00EE243C">
      <w:r>
        <w:t xml:space="preserve">A standard Medtronic cardiac device programmer is used in conjunction with the Micra VR system. The programmer is applicable to all implantable Medtronic cardiac devices and is not </w:t>
      </w:r>
      <w:r w:rsidR="00CA1147">
        <w:t>device</w:t>
      </w:r>
      <w:r>
        <w:t>-specific.</w:t>
      </w:r>
    </w:p>
    <w:p w14:paraId="6D5F0B59" w14:textId="7D4A9BA2" w:rsidR="00AF14C0" w:rsidRPr="00AF14C0" w:rsidRDefault="00EE243C" w:rsidP="00AF14C0">
      <w:r w:rsidRPr="003B4BC0">
        <w:t xml:space="preserve">After placing </w:t>
      </w:r>
      <w:r>
        <w:t>the</w:t>
      </w:r>
      <w:r w:rsidRPr="003B4BC0">
        <w:t xml:space="preserve"> </w:t>
      </w:r>
      <w:r w:rsidR="00004630">
        <w:t xml:space="preserve">introducer </w:t>
      </w:r>
      <w:r w:rsidRPr="003B4BC0">
        <w:t xml:space="preserve">sheath in the femoral vein in the groin, the pacemaker is delivered to the apex of the right ventricle using </w:t>
      </w:r>
      <w:r>
        <w:t>the</w:t>
      </w:r>
      <w:r w:rsidRPr="003B4BC0">
        <w:t xml:space="preserve"> steerable </w:t>
      </w:r>
      <w:r>
        <w:t xml:space="preserve">delivery </w:t>
      </w:r>
      <w:r w:rsidRPr="003B4BC0">
        <w:t>catheter.</w:t>
      </w:r>
      <w:r w:rsidR="00691279">
        <w:t xml:space="preserve"> The minimum size 23 French introducer ma</w:t>
      </w:r>
      <w:r w:rsidR="005F54E1">
        <w:t>y preclude use in individuals where</w:t>
      </w:r>
      <w:r w:rsidR="00691279">
        <w:t xml:space="preserve"> this is unable to be used for anatomical reasons.</w:t>
      </w:r>
      <w:r w:rsidRPr="003B4BC0">
        <w:t xml:space="preserve"> </w:t>
      </w:r>
      <w:r w:rsidR="009D7CBA" w:rsidRPr="009D7CBA">
        <w:t xml:space="preserve">The </w:t>
      </w:r>
      <w:r w:rsidR="00B60C5A">
        <w:t xml:space="preserve">Micra VR </w:t>
      </w:r>
      <w:r w:rsidR="009D7CBA" w:rsidRPr="009D7CBA">
        <w:t xml:space="preserve">has an active fixation mechanism consisting of </w:t>
      </w:r>
      <w:r w:rsidR="00DE473C">
        <w:t>four</w:t>
      </w:r>
      <w:r w:rsidR="009D7CBA" w:rsidRPr="009D7CBA">
        <w:t xml:space="preserve"> electrically inactive tines designed to anchor it in the cardiac tissue at the implant location</w:t>
      </w:r>
      <w:r w:rsidR="00004630">
        <w:t xml:space="preserve"> (</w:t>
      </w:r>
      <w:r w:rsidR="00DE473C">
        <w:t xml:space="preserve">shown in </w:t>
      </w:r>
      <w:r w:rsidR="00DE473C">
        <w:fldChar w:fldCharType="begin"/>
      </w:r>
      <w:r w:rsidR="00DE473C">
        <w:instrText xml:space="preserve"> REF _Ref76024293 \h </w:instrText>
      </w:r>
      <w:r w:rsidR="00DE473C">
        <w:fldChar w:fldCharType="separate"/>
      </w:r>
      <w:r w:rsidR="000D35EA">
        <w:t xml:space="preserve">Figure </w:t>
      </w:r>
      <w:r w:rsidR="000D35EA">
        <w:rPr>
          <w:noProof/>
        </w:rPr>
        <w:t>2</w:t>
      </w:r>
      <w:r w:rsidR="00DE473C">
        <w:fldChar w:fldCharType="end"/>
      </w:r>
      <w:r w:rsidR="00004630">
        <w:t>)</w:t>
      </w:r>
      <w:r w:rsidR="00DE473C">
        <w:t>.</w:t>
      </w:r>
      <w:r>
        <w:t xml:space="preserve"> Fluoroscopic guidance is used throughout the</w:t>
      </w:r>
      <w:r w:rsidRPr="003B4BC0">
        <w:t xml:space="preserve"> procedure</w:t>
      </w:r>
      <w:r>
        <w:t xml:space="preserve"> to navigate the delivery system</w:t>
      </w:r>
      <w:r w:rsidR="00DD6F24">
        <w:t>, deploy the device</w:t>
      </w:r>
      <w:r w:rsidR="000168A6">
        <w:t>,</w:t>
      </w:r>
      <w:r>
        <w:t xml:space="preserve"> and assess the adequacy of the device fixation in the patient’s cardiac tissue. </w:t>
      </w:r>
      <w:r w:rsidRPr="00F95503">
        <w:t>Initial electrical measurements are taken to help determine whether the sensing, electrode impedance, and pacing threshold values are acceptable for the device implant</w:t>
      </w:r>
      <w:r>
        <w:t>. If the Micra VR needs to be repositioned after removing the tether during the initial implant procedure, the original introducer and delivery system can be used.</w:t>
      </w:r>
    </w:p>
    <w:p w14:paraId="592312F4" w14:textId="3FB4D9E1" w:rsidR="005E4DF0" w:rsidRDefault="005E4DF0" w:rsidP="00EE243C">
      <w:r>
        <w:t>An Australian observational study of 79 patients undergoing LPM insertion reported implantation failure in three patients; two (2.5%) due to excessive venous tortuosity and one (1.3%) due to inadequate sensing (Denman et al. 2019).</w:t>
      </w:r>
    </w:p>
    <w:p w14:paraId="1817745E" w14:textId="69F4E025" w:rsidR="00AF14C0" w:rsidRDefault="00AF14C0" w:rsidP="00EE243C">
      <w:r w:rsidRPr="00AF14C0">
        <w:rPr>
          <w:i/>
          <w:iCs/>
        </w:rPr>
        <w:t xml:space="preserve">PASC queried the mobility of the device if it becomes dislodged from the myocardium. The </w:t>
      </w:r>
      <w:r w:rsidR="00622677">
        <w:rPr>
          <w:i/>
          <w:iCs/>
        </w:rPr>
        <w:t>a</w:t>
      </w:r>
      <w:r w:rsidR="00622677" w:rsidRPr="00AF14C0">
        <w:rPr>
          <w:i/>
          <w:iCs/>
        </w:rPr>
        <w:t xml:space="preserve">pplicant’s </w:t>
      </w:r>
      <w:r w:rsidRPr="00AF14C0">
        <w:rPr>
          <w:i/>
          <w:iCs/>
        </w:rPr>
        <w:t>clinical expert acknowledged that it is possible for the device to get stuck in the pulmonary artery. In that case, it would generally be retrieved due to concerns about the potential for thrombus formation around it and the creation of a pulmonary emboli.</w:t>
      </w:r>
    </w:p>
    <w:p w14:paraId="2B4BE0AF" w14:textId="07153F1C" w:rsidR="00EE78FD" w:rsidRDefault="00B174C4" w:rsidP="0038424D">
      <w:r>
        <w:t>T</w:t>
      </w:r>
      <w:r w:rsidR="00113518">
        <w:t xml:space="preserve">he </w:t>
      </w:r>
      <w:r w:rsidR="003B4BC0">
        <w:t xml:space="preserve">Micra </w:t>
      </w:r>
      <w:r w:rsidR="00113518">
        <w:t xml:space="preserve">VR </w:t>
      </w:r>
      <w:r w:rsidR="003B4BC0">
        <w:t xml:space="preserve">does not </w:t>
      </w:r>
      <w:r>
        <w:t xml:space="preserve">usually </w:t>
      </w:r>
      <w:r w:rsidR="003B4BC0">
        <w:t xml:space="preserve">need to be explanted as it can be </w:t>
      </w:r>
      <w:r w:rsidR="00113518">
        <w:t xml:space="preserve">programmed to ‘Device Off’ mode, which permanently disables pacing and sensing, allowing it to remain in the body beyond its useful life. The Micra VR takes up less than 1% of the volume of a normal right ventricle and it </w:t>
      </w:r>
      <w:r w:rsidR="00865B20">
        <w:t xml:space="preserve">has been reported </w:t>
      </w:r>
      <w:r w:rsidR="00113518">
        <w:t xml:space="preserve">that at least </w:t>
      </w:r>
      <w:r w:rsidR="00865B20">
        <w:t>three</w:t>
      </w:r>
      <w:r w:rsidR="00113518">
        <w:t xml:space="preserve"> devices </w:t>
      </w:r>
      <w:r w:rsidR="00573BC6">
        <w:t xml:space="preserve">could be accommodated in the right ventricle and trabeculation </w:t>
      </w:r>
      <w:r w:rsidR="00113518">
        <w:t xml:space="preserve">(Fagerlund et al. 2018). </w:t>
      </w:r>
      <w:r w:rsidR="00865B20">
        <w:t>A</w:t>
      </w:r>
      <w:r w:rsidR="003B4BC0">
        <w:t>t the end of the battery longevity</w:t>
      </w:r>
      <w:r w:rsidR="00865B20">
        <w:t>, the Micra VR is expected to be fully encapsulated</w:t>
      </w:r>
      <w:r w:rsidR="003B4BC0">
        <w:t xml:space="preserve"> and would be permanently programmed to </w:t>
      </w:r>
      <w:r w:rsidR="00865B20">
        <w:t>‘</w:t>
      </w:r>
      <w:r w:rsidR="003B4BC0">
        <w:t xml:space="preserve">Device </w:t>
      </w:r>
      <w:r w:rsidR="00865B20">
        <w:t>Off’</w:t>
      </w:r>
      <w:r w:rsidR="003B4BC0">
        <w:t xml:space="preserve"> </w:t>
      </w:r>
      <w:r w:rsidR="00865B20">
        <w:t>to allow</w:t>
      </w:r>
      <w:r w:rsidR="003B4BC0">
        <w:t xml:space="preserve"> an additional Micra </w:t>
      </w:r>
      <w:r w:rsidR="00865B20">
        <w:t xml:space="preserve">VR </w:t>
      </w:r>
      <w:r w:rsidR="003B4BC0">
        <w:t>or transvenous therapy to be added.</w:t>
      </w:r>
      <w:r w:rsidR="00865B20">
        <w:t xml:space="preserve"> </w:t>
      </w:r>
      <w:r w:rsidR="00BC0994">
        <w:t xml:space="preserve">This feature is also available in instances where a </w:t>
      </w:r>
      <w:r w:rsidR="00CA1147">
        <w:t>patient’s</w:t>
      </w:r>
      <w:r w:rsidR="00BC0994">
        <w:t xml:space="preserve"> </w:t>
      </w:r>
      <w:r w:rsidR="00BC0994" w:rsidRPr="004D37E0">
        <w:t>clinical indication changes</w:t>
      </w:r>
      <w:r w:rsidR="00BC0994">
        <w:t>,</w:t>
      </w:r>
      <w:r w:rsidR="00BC0994" w:rsidRPr="004D37E0">
        <w:t xml:space="preserve"> requiring them to have a different therapy.</w:t>
      </w:r>
      <w:r w:rsidR="00BC0994">
        <w:t xml:space="preserve"> It is not the intention that a patient will receive a new device as a consequence of hardware upgrade. The intention is for the original Micra device to remain in place until the end of service is reached.</w:t>
      </w:r>
    </w:p>
    <w:p w14:paraId="62A13430" w14:textId="3A22D3B7" w:rsidR="00740132" w:rsidRPr="00740132" w:rsidRDefault="00740132" w:rsidP="0038424D">
      <w:pPr>
        <w:rPr>
          <w:i/>
          <w:iCs/>
        </w:rPr>
      </w:pPr>
      <w:r w:rsidRPr="00740132">
        <w:rPr>
          <w:i/>
          <w:iCs/>
        </w:rPr>
        <w:t xml:space="preserve">PASC raised concerns about the implications of leaving the device </w:t>
      </w:r>
      <w:r w:rsidRPr="00266C1C">
        <w:t>in situ</w:t>
      </w:r>
      <w:r w:rsidRPr="00740132">
        <w:rPr>
          <w:i/>
          <w:iCs/>
        </w:rPr>
        <w:t xml:space="preserve"> after its useful life, particularly for patients who could potentially end up with several abandoned devices in their right ventricle. PASC considered this to be an important issue for younger people </w:t>
      </w:r>
      <w:r w:rsidR="003827CE">
        <w:rPr>
          <w:rFonts w:asciiTheme="minorHAnsi" w:hAnsiTheme="minorHAnsi" w:cstheme="minorHAnsi"/>
          <w:i/>
          <w:iCs/>
        </w:rPr>
        <w:t>in whom single-chamber ventricular pacing is indicated</w:t>
      </w:r>
      <w:r w:rsidRPr="00740132">
        <w:rPr>
          <w:i/>
          <w:iCs/>
        </w:rPr>
        <w:t xml:space="preserve">. Although this subpopulation may not be large, there is potential for them to accrue multiple devices during their lifetime. The applicant acknowledged that no </w:t>
      </w:r>
      <w:r w:rsidRPr="00266C1C">
        <w:t>in vivo</w:t>
      </w:r>
      <w:r w:rsidRPr="00740132">
        <w:rPr>
          <w:i/>
          <w:iCs/>
        </w:rPr>
        <w:t xml:space="preserve"> studies have been conducted to determine the maximum number of </w:t>
      </w:r>
      <w:r w:rsidR="00C26E47">
        <w:rPr>
          <w:i/>
          <w:iCs/>
        </w:rPr>
        <w:t>LPM (</w:t>
      </w:r>
      <w:r w:rsidRPr="00740132">
        <w:rPr>
          <w:i/>
          <w:iCs/>
        </w:rPr>
        <w:t>Micra</w:t>
      </w:r>
      <w:r w:rsidR="00C26E47">
        <w:rPr>
          <w:i/>
          <w:iCs/>
        </w:rPr>
        <w:t>)</w:t>
      </w:r>
      <w:r w:rsidRPr="00740132">
        <w:rPr>
          <w:i/>
          <w:iCs/>
        </w:rPr>
        <w:t xml:space="preserve"> devices that can be implanted within a single ventricle. However, a study </w:t>
      </w:r>
      <w:r>
        <w:rPr>
          <w:i/>
          <w:iCs/>
        </w:rPr>
        <w:t xml:space="preserve">has been conducted </w:t>
      </w:r>
      <w:r w:rsidR="00500881">
        <w:rPr>
          <w:i/>
          <w:iCs/>
        </w:rPr>
        <w:t>on</w:t>
      </w:r>
      <w:r w:rsidRPr="00740132">
        <w:rPr>
          <w:i/>
          <w:iCs/>
        </w:rPr>
        <w:t xml:space="preserve"> six human cadaver hearts and one reanimated human heart (not deemed viable for transplant) </w:t>
      </w:r>
      <w:r w:rsidR="00500881">
        <w:rPr>
          <w:i/>
          <w:iCs/>
        </w:rPr>
        <w:t xml:space="preserve">that </w:t>
      </w:r>
      <w:r w:rsidRPr="00740132">
        <w:rPr>
          <w:i/>
          <w:iCs/>
        </w:rPr>
        <w:t xml:space="preserve">were each implanted with multiple </w:t>
      </w:r>
      <w:r w:rsidR="00C26E47">
        <w:rPr>
          <w:i/>
          <w:iCs/>
        </w:rPr>
        <w:t>LPM</w:t>
      </w:r>
      <w:r w:rsidRPr="00740132">
        <w:rPr>
          <w:i/>
          <w:iCs/>
        </w:rPr>
        <w:t xml:space="preserve"> devices (Omdahl et al. 2016). The study concluded that the right ventricle can </w:t>
      </w:r>
      <w:r w:rsidR="00AF14C0">
        <w:rPr>
          <w:i/>
          <w:iCs/>
        </w:rPr>
        <w:t xml:space="preserve">comfortably </w:t>
      </w:r>
      <w:r w:rsidRPr="00740132">
        <w:rPr>
          <w:i/>
          <w:iCs/>
        </w:rPr>
        <w:t xml:space="preserve">accommodate three Micra devices, with the potential in some larger hearts for even more. </w:t>
      </w:r>
      <w:r w:rsidRPr="004817D7">
        <w:rPr>
          <w:i/>
          <w:iCs/>
        </w:rPr>
        <w:t>As such, the applicant has placed no ceiling on the maximum number of devices that can be implanted in a single patient.</w:t>
      </w:r>
      <w:r w:rsidRPr="00740132">
        <w:rPr>
          <w:i/>
          <w:iCs/>
        </w:rPr>
        <w:t xml:space="preserve"> The applicant explained that there are separate locations within the right ventricle where the devices can be implanted, such as the apex, the septum or the outflow tract.</w:t>
      </w:r>
    </w:p>
    <w:p w14:paraId="08007DB3" w14:textId="75BA687D" w:rsidR="00500881" w:rsidRDefault="00EE78FD" w:rsidP="0038424D">
      <w:r>
        <w:t>There may be some circumstances where retrieval of the Micra VR is necessary</w:t>
      </w:r>
      <w:r w:rsidR="00004630">
        <w:t xml:space="preserve"> (e.g</w:t>
      </w:r>
      <w:r w:rsidR="00DD6F24">
        <w:t>.</w:t>
      </w:r>
      <w:r w:rsidR="00004630">
        <w:t>, in the case of infection)</w:t>
      </w:r>
      <w:r>
        <w:t xml:space="preserve">. </w:t>
      </w:r>
      <w:r w:rsidR="00500881" w:rsidRPr="00500881">
        <w:t>The</w:t>
      </w:r>
      <w:r w:rsidR="00500881">
        <w:t xml:space="preserve"> </w:t>
      </w:r>
      <w:r w:rsidR="00500881" w:rsidRPr="00500881">
        <w:t xml:space="preserve">device has a retrieval feature so that it can be snared and removed if not encapsulated. The applicant’s data suggests that the device is 75% encapsulated at 4 months post-implant and fully encapsulated at one year. </w:t>
      </w:r>
      <w:r w:rsidR="0038424D">
        <w:t>According to the Micra MC1VR01 Clinician Manual, r</w:t>
      </w:r>
      <w:r w:rsidR="00573BC6">
        <w:t xml:space="preserve">etrieval of the device after it is fully encapsulated may result in injury to the patient’s cardiac tissue and </w:t>
      </w:r>
      <w:r w:rsidR="0038424D">
        <w:t>should only be attempted by centres with expertise in the removal of implanted leads</w:t>
      </w:r>
      <w:r w:rsidR="00084AF0">
        <w:t xml:space="preserve"> (particularly with cardiac surgery backup)</w:t>
      </w:r>
      <w:r w:rsidR="00573BC6">
        <w:t>.</w:t>
      </w:r>
      <w:r w:rsidR="00827B65">
        <w:t xml:space="preserve"> A</w:t>
      </w:r>
      <w:r w:rsidR="00500881" w:rsidRPr="00500881">
        <w:rPr>
          <w:i/>
          <w:iCs/>
        </w:rPr>
        <w:t xml:space="preserve"> </w:t>
      </w:r>
      <w:r w:rsidR="00500881" w:rsidRPr="00827B65">
        <w:t>similar situation exists for transvenous leads, whereby faulty leads are often left in place and a patient may accrue multiple leads over their lifetime. If explantation of transvenous leads is required due to infection or other reasons, the procedure requires specialist techniques.</w:t>
      </w:r>
    </w:p>
    <w:p w14:paraId="0B477AED" w14:textId="34A1C684" w:rsidR="00827B65" w:rsidRDefault="00827B65" w:rsidP="0038424D">
      <w:pPr>
        <w:rPr>
          <w:i/>
          <w:iCs/>
        </w:rPr>
      </w:pPr>
      <w:r w:rsidRPr="00827B65">
        <w:rPr>
          <w:i/>
          <w:iCs/>
        </w:rPr>
        <w:t>At the PASC meeting, the applicant’s clinical expert acknowledged that if the device were to be implanted in a younger person, it would be preferable to extract the old device, if possible. The expectation from clinicians is that over time, methods will be developed to successfully extract an encapsulated device without the need for cardiac surgery. If this cannot be achieved and new technologies have not been developed in the meantime, then a patient who reaches capacity in the right ventricle may need to switch to a transvenous system.</w:t>
      </w:r>
    </w:p>
    <w:p w14:paraId="3D497531" w14:textId="0207BA7E" w:rsidR="00AF14C0" w:rsidRPr="00827B65" w:rsidRDefault="00AF14C0" w:rsidP="0038424D">
      <w:pPr>
        <w:rPr>
          <w:i/>
          <w:iCs/>
        </w:rPr>
      </w:pPr>
      <w:r w:rsidRPr="00AF14C0">
        <w:rPr>
          <w:i/>
          <w:iCs/>
        </w:rPr>
        <w:t>PASC queried whether the level of encapsulation could be adequately assessed by transoesophageal echocardiography (TOE) to determine whether simple retrieval or surgical explant is necessary. The applicant’s clinical expert explained that based on experience with transvenous leads, echo provides some information</w:t>
      </w:r>
      <w:r>
        <w:rPr>
          <w:i/>
          <w:iCs/>
        </w:rPr>
        <w:t xml:space="preserve">; however, </w:t>
      </w:r>
      <w:r w:rsidRPr="00AF14C0">
        <w:rPr>
          <w:i/>
          <w:iCs/>
        </w:rPr>
        <w:t>the full extent of encapsulation is not known until surgery.</w:t>
      </w:r>
    </w:p>
    <w:p w14:paraId="183E9C9E" w14:textId="707F4210" w:rsidR="00B31FAB" w:rsidRDefault="00EE243C" w:rsidP="00E638A9">
      <w:r>
        <w:t>The application states that the longevity of the LPM battery is 12 years</w:t>
      </w:r>
      <w:r w:rsidR="007104CC" w:rsidRPr="007104CC">
        <w:t xml:space="preserve"> </w:t>
      </w:r>
      <w:r w:rsidR="007104CC">
        <w:t>(Duray et al. 2017)</w:t>
      </w:r>
      <w:r w:rsidR="00873236">
        <w:t xml:space="preserve">. </w:t>
      </w:r>
      <w:r>
        <w:t>According to t</w:t>
      </w:r>
      <w:r w:rsidR="00EE78FD">
        <w:t>he Micra MC1VR01 Clinician Manual</w:t>
      </w:r>
      <w:r>
        <w:t xml:space="preserve">, </w:t>
      </w:r>
      <w:r w:rsidR="00EE78FD">
        <w:t xml:space="preserve">the service life of the device is affected by the programmed settings for certain features such as </w:t>
      </w:r>
      <w:r w:rsidR="00DD6F24">
        <w:t>r</w:t>
      </w:r>
      <w:r w:rsidR="00EE78FD">
        <w:t>ate</w:t>
      </w:r>
      <w:r w:rsidR="00DD6F24">
        <w:t>-r</w:t>
      </w:r>
      <w:r w:rsidR="00EE78FD">
        <w:t>esponse.</w:t>
      </w:r>
    </w:p>
    <w:p w14:paraId="3F44E7D9" w14:textId="7B542CE5" w:rsidR="00B31341" w:rsidRDefault="00385B07" w:rsidP="00385B07">
      <w:pPr>
        <w:pStyle w:val="Heading4"/>
      </w:pPr>
      <w:r>
        <w:t>Setting</w:t>
      </w:r>
    </w:p>
    <w:p w14:paraId="21BE9835" w14:textId="5E466F9F" w:rsidR="00723B7B" w:rsidRDefault="00B31341" w:rsidP="00385B07">
      <w:r w:rsidRPr="00B31341">
        <w:t>The procedure is performed as an inpatient service, either in the public or private hospital setting</w:t>
      </w:r>
      <w:r w:rsidR="00385B07">
        <w:t xml:space="preserve"> by </w:t>
      </w:r>
      <w:r w:rsidR="00385B07" w:rsidRPr="00B31341">
        <w:t>specialist cardiologists (interventional cardiologist, cardiac electrophysiologist) or cardiac surgeons</w:t>
      </w:r>
      <w:r w:rsidR="00723B7B">
        <w:t xml:space="preserve"> in a cardiac catheterisation laboratory or operating room</w:t>
      </w:r>
      <w:r w:rsidRPr="00B31341">
        <w:t xml:space="preserve">. </w:t>
      </w:r>
      <w:r w:rsidR="00723B7B">
        <w:t>Cardiologists who intend to perform insertion of a</w:t>
      </w:r>
      <w:r w:rsidR="00DD6F24">
        <w:t>n</w:t>
      </w:r>
      <w:r w:rsidR="00723B7B">
        <w:t xml:space="preserve"> LPM device undergo a comprehensive training program</w:t>
      </w:r>
      <w:r w:rsidR="00DD6F24">
        <w:t xml:space="preserve"> </w:t>
      </w:r>
      <w:r w:rsidR="00723B7B">
        <w:t>provided by Medtronic.</w:t>
      </w:r>
    </w:p>
    <w:p w14:paraId="2C1524DC" w14:textId="00482EDF" w:rsidR="00B31341" w:rsidRDefault="00385B07" w:rsidP="00385B07">
      <w:r w:rsidRPr="00385B07">
        <w:t xml:space="preserve">According to an Australian observational study (Denman </w:t>
      </w:r>
      <w:r>
        <w:t xml:space="preserve">et al. </w:t>
      </w:r>
      <w:r w:rsidRPr="00385B07">
        <w:t xml:space="preserve">2019), </w:t>
      </w:r>
      <w:r w:rsidR="00360A5E" w:rsidRPr="00360A5E">
        <w:t xml:space="preserve">the procedure time </w:t>
      </w:r>
      <w:r w:rsidR="00360A5E">
        <w:t xml:space="preserve">for LPM insertion </w:t>
      </w:r>
      <w:r w:rsidR="00360A5E" w:rsidRPr="00360A5E">
        <w:t>was 29 minutes (interquartile range [IQR]: 21–43 minutes) of which fluoroscopy time was 8 minutes (IQR: 5–13</w:t>
      </w:r>
      <w:r w:rsidR="00DD6F24">
        <w:t xml:space="preserve"> minutes</w:t>
      </w:r>
      <w:r w:rsidR="00360A5E" w:rsidRPr="00360A5E">
        <w:t>).</w:t>
      </w:r>
      <w:r w:rsidR="00360A5E">
        <w:t xml:space="preserve"> M</w:t>
      </w:r>
      <w:r w:rsidRPr="00385B07">
        <w:t>ost procedures only require</w:t>
      </w:r>
      <w:r w:rsidR="00360A5E">
        <w:t>d</w:t>
      </w:r>
      <w:r w:rsidRPr="00385B07">
        <w:t xml:space="preserve"> local anaesthetic</w:t>
      </w:r>
      <w:r w:rsidR="00360A5E">
        <w:t>,</w:t>
      </w:r>
      <w:r w:rsidRPr="00385B07">
        <w:t xml:space="preserve"> </w:t>
      </w:r>
      <w:r w:rsidR="00DD6F24">
        <w:t>although</w:t>
      </w:r>
      <w:r w:rsidRPr="00385B07">
        <w:t xml:space="preserve"> 5% required general anaesthe</w:t>
      </w:r>
      <w:r w:rsidR="00360A5E">
        <w:t>sia</w:t>
      </w:r>
      <w:r w:rsidRPr="00385B07">
        <w:t xml:space="preserve"> (all of which involved extraction of a previously implanted transvenous device and re-implantation of an LPM as a single procedure).</w:t>
      </w:r>
    </w:p>
    <w:p w14:paraId="2F2AF942" w14:textId="10A09327" w:rsidR="00FA320C" w:rsidRDefault="00360A5E" w:rsidP="00385B07">
      <w:r>
        <w:t>According to the application, t</w:t>
      </w:r>
      <w:r w:rsidRPr="00B31341">
        <w:t>he first 24 hours after the procedure is critical in terms of monitoring the patient for adverse events and complications</w:t>
      </w:r>
      <w:r>
        <w:t xml:space="preserve">, particularly </w:t>
      </w:r>
      <w:r w:rsidR="00DD6F24">
        <w:t>given the</w:t>
      </w:r>
      <w:r>
        <w:t xml:space="preserve"> potential risk of bleeding due to the large (23 Fr) sheath. An overnight stay is generally recommended, although in some cases patients may be released home on the same day as the procedure.</w:t>
      </w:r>
    </w:p>
    <w:p w14:paraId="0233887D" w14:textId="77777777" w:rsidR="00B31341" w:rsidRDefault="00B31341" w:rsidP="00385B07">
      <w:pPr>
        <w:pStyle w:val="Heading4"/>
      </w:pPr>
      <w:r>
        <w:t>Prerequisites</w:t>
      </w:r>
    </w:p>
    <w:p w14:paraId="77E701D4" w14:textId="0BA066CE" w:rsidR="00723B7B" w:rsidRDefault="00B31341" w:rsidP="00B31341">
      <w:r>
        <w:t>Proficiency in femoral venous access and larg</w:t>
      </w:r>
      <w:r w:rsidR="000168A6">
        <w:t>e</w:t>
      </w:r>
      <w:r w:rsidR="00DD6F24">
        <w:t xml:space="preserve"> </w:t>
      </w:r>
      <w:r>
        <w:t>bore catheter manipulation are</w:t>
      </w:r>
      <w:r w:rsidR="00723B7B">
        <w:t xml:space="preserve"> </w:t>
      </w:r>
      <w:r>
        <w:t>recommended</w:t>
      </w:r>
      <w:r w:rsidR="00723B7B">
        <w:t>.</w:t>
      </w:r>
      <w:r w:rsidR="004D7F8A">
        <w:t xml:space="preserve"> </w:t>
      </w:r>
      <w:r>
        <w:t xml:space="preserve">Upon satisfaction of the prerequisites, physicians are invited to complete the required Micra </w:t>
      </w:r>
      <w:r w:rsidR="00BC0994">
        <w:t xml:space="preserve">components on Medtronic </w:t>
      </w:r>
      <w:r>
        <w:t>Academy educational components.</w:t>
      </w:r>
      <w:r w:rsidR="00723B7B">
        <w:t xml:space="preserve"> The Implanter Training Pathway has</w:t>
      </w:r>
      <w:r>
        <w:t xml:space="preserve"> two components: </w:t>
      </w:r>
      <w:r w:rsidR="00723B7B">
        <w:t xml:space="preserve">completion of </w:t>
      </w:r>
      <w:r>
        <w:t>online modules and attend</w:t>
      </w:r>
      <w:r w:rsidR="00723B7B">
        <w:t>ance at</w:t>
      </w:r>
      <w:r>
        <w:t xml:space="preserve"> a Medtronic sponsored in-person training course. This in-person training includes didactic learning</w:t>
      </w:r>
      <w:r w:rsidR="00BC0994">
        <w:t>, observing Micra implant procedures,</w:t>
      </w:r>
      <w:r>
        <w:t xml:space="preserve"> and hands-on procedural training (e.g.</w:t>
      </w:r>
      <w:r w:rsidR="00723B7B">
        <w:t>,</w:t>
      </w:r>
      <w:r>
        <w:t xml:space="preserve"> implant simulator, cadaver and animal model, videos and demonstration models).</w:t>
      </w:r>
    </w:p>
    <w:p w14:paraId="2B6D6885" w14:textId="5889A363" w:rsidR="00B31341" w:rsidRDefault="000607A1" w:rsidP="00B31341">
      <w:r>
        <w:t>The applicant</w:t>
      </w:r>
      <w:r w:rsidR="00B31341">
        <w:t xml:space="preserve"> recommend</w:t>
      </w:r>
      <w:r>
        <w:t>s</w:t>
      </w:r>
      <w:r w:rsidR="00B31341">
        <w:t xml:space="preserve"> that a minimum of the first 10 implants be supported by a Medtronic Micra Technical Expert representative. </w:t>
      </w:r>
      <w:r w:rsidR="00723B7B">
        <w:t>The application states that a</w:t>
      </w:r>
      <w:r w:rsidR="00B31341">
        <w:t>dditional support beyond the first 10 cases will be made available.</w:t>
      </w:r>
    </w:p>
    <w:p w14:paraId="21ED61B0" w14:textId="77777777" w:rsidR="00EC6B55" w:rsidRDefault="00EC6B55" w:rsidP="00EC6B55">
      <w:pPr>
        <w:pStyle w:val="Heading4"/>
      </w:pPr>
      <w:r>
        <w:t>Regulatory approval</w:t>
      </w:r>
    </w:p>
    <w:p w14:paraId="4DECE665" w14:textId="08058386" w:rsidR="00004630" w:rsidRDefault="00EC6B55" w:rsidP="00004630">
      <w:r>
        <w:t>The Mi</w:t>
      </w:r>
      <w:r w:rsidR="000168A6">
        <w:t>cr</w:t>
      </w:r>
      <w:r>
        <w:t xml:space="preserve">a VR is currently included on the Australian Register of Therapeutic Goods (ARTG), together with an ‘introducer’ for insertion of the device (see </w:t>
      </w:r>
      <w:r>
        <w:fldChar w:fldCharType="begin"/>
      </w:r>
      <w:r>
        <w:instrText xml:space="preserve"> REF _Ref76558616 \h </w:instrText>
      </w:r>
      <w:r>
        <w:fldChar w:fldCharType="separate"/>
      </w:r>
      <w:r w:rsidR="000D35EA">
        <w:t xml:space="preserve">Table </w:t>
      </w:r>
      <w:r w:rsidR="000D35EA">
        <w:rPr>
          <w:noProof/>
        </w:rPr>
        <w:t>2</w:t>
      </w:r>
      <w:r>
        <w:fldChar w:fldCharType="end"/>
      </w:r>
      <w:r>
        <w:t xml:space="preserve"> for details).</w:t>
      </w:r>
    </w:p>
    <w:p w14:paraId="4D9E9141" w14:textId="15DE0595" w:rsidR="00EC6B55" w:rsidRDefault="00EC6B55" w:rsidP="00EC6B55">
      <w:pPr>
        <w:pStyle w:val="Caption"/>
      </w:pPr>
      <w:bookmarkStart w:id="6" w:name="_Ref76558616"/>
      <w:r>
        <w:t xml:space="preserve">Table </w:t>
      </w:r>
      <w:r>
        <w:fldChar w:fldCharType="begin"/>
      </w:r>
      <w:r>
        <w:instrText xml:space="preserve"> SEQ Table \* ARABIC </w:instrText>
      </w:r>
      <w:r>
        <w:fldChar w:fldCharType="separate"/>
      </w:r>
      <w:r w:rsidR="000D35EA">
        <w:rPr>
          <w:noProof/>
        </w:rPr>
        <w:t>2</w:t>
      </w:r>
      <w:r>
        <w:fldChar w:fldCharType="end"/>
      </w:r>
      <w:bookmarkEnd w:id="6"/>
      <w:r>
        <w:tab/>
        <w:t xml:space="preserve">Leadless pacemakers and </w:t>
      </w:r>
      <w:r w:rsidR="00B60C5A">
        <w:t xml:space="preserve">consumables </w:t>
      </w:r>
      <w:r>
        <w:t>on the ARTG</w:t>
      </w:r>
    </w:p>
    <w:tbl>
      <w:tblPr>
        <w:tblStyle w:val="TableGrid"/>
        <w:tblW w:w="5000" w:type="pct"/>
        <w:tblInd w:w="0" w:type="dxa"/>
        <w:tblLook w:val="04A0" w:firstRow="1" w:lastRow="0" w:firstColumn="1" w:lastColumn="0" w:noHBand="0" w:noVBand="1"/>
        <w:tblCaption w:val="Regulatory information for leadless pacemakers in Australia"/>
        <w:tblDescription w:val="A summary of the regulatory information for all leadless pacemakers included on the ARTG. The Micra VR and an associated consumable are the only devices included on the ARTG. A functional description of these devices and the intended purpose is shown. "/>
      </w:tblPr>
      <w:tblGrid>
        <w:gridCol w:w="1416"/>
        <w:gridCol w:w="1701"/>
        <w:gridCol w:w="2266"/>
        <w:gridCol w:w="4188"/>
      </w:tblGrid>
      <w:tr w:rsidR="00EC6B55" w14:paraId="4E41FA50" w14:textId="77777777" w:rsidTr="00AF14C0">
        <w:trPr>
          <w:tblHeader/>
        </w:trPr>
        <w:tc>
          <w:tcPr>
            <w:tcW w:w="739" w:type="pct"/>
          </w:tcPr>
          <w:p w14:paraId="57374D5E" w14:textId="77777777" w:rsidR="00EC6B55" w:rsidRPr="00DE4E40" w:rsidRDefault="00EC6B55" w:rsidP="00D540DE">
            <w:pPr>
              <w:pStyle w:val="TableHeading"/>
            </w:pPr>
            <w:r>
              <w:t>Product name &amp; Sponsor</w:t>
            </w:r>
          </w:p>
        </w:tc>
        <w:tc>
          <w:tcPr>
            <w:tcW w:w="888" w:type="pct"/>
          </w:tcPr>
          <w:p w14:paraId="7F9FF86B" w14:textId="77777777" w:rsidR="00EC6B55" w:rsidRPr="00DE4E40" w:rsidRDefault="00EC6B55" w:rsidP="00D540DE">
            <w:pPr>
              <w:pStyle w:val="TableHeading"/>
            </w:pPr>
            <w:r>
              <w:t>ARTG summary</w:t>
            </w:r>
          </w:p>
        </w:tc>
        <w:tc>
          <w:tcPr>
            <w:tcW w:w="1184" w:type="pct"/>
          </w:tcPr>
          <w:p w14:paraId="370A28F1" w14:textId="77777777" w:rsidR="00EC6B55" w:rsidRPr="00DE4E40" w:rsidRDefault="00EC6B55" w:rsidP="00D540DE">
            <w:pPr>
              <w:pStyle w:val="TableHeading"/>
            </w:pPr>
            <w:r>
              <w:t>Functional description</w:t>
            </w:r>
          </w:p>
        </w:tc>
        <w:tc>
          <w:tcPr>
            <w:tcW w:w="2188" w:type="pct"/>
          </w:tcPr>
          <w:p w14:paraId="1BD179FF" w14:textId="77777777" w:rsidR="00EC6B55" w:rsidRPr="00DE4E40" w:rsidRDefault="00EC6B55" w:rsidP="00D540DE">
            <w:pPr>
              <w:pStyle w:val="TableHeading"/>
            </w:pPr>
            <w:r>
              <w:t>Intended purpose</w:t>
            </w:r>
          </w:p>
        </w:tc>
      </w:tr>
      <w:tr w:rsidR="00EC6B55" w14:paraId="3A6B6E69" w14:textId="77777777" w:rsidTr="00AF14C0">
        <w:tc>
          <w:tcPr>
            <w:tcW w:w="739" w:type="pct"/>
          </w:tcPr>
          <w:p w14:paraId="542C9E43" w14:textId="77777777" w:rsidR="00EC6B55" w:rsidRDefault="00EC6B55" w:rsidP="00EC6B55">
            <w:pPr>
              <w:pStyle w:val="Tabletext"/>
            </w:pPr>
            <w:r w:rsidRPr="00C74E3C">
              <w:t>Micra single chamber transcatheter pacing system - Intracardiac pacemaker</w:t>
            </w:r>
          </w:p>
          <w:p w14:paraId="4EC049F4" w14:textId="77777777" w:rsidR="00EC6B55" w:rsidRPr="00DE4E40" w:rsidRDefault="00EC6B55" w:rsidP="00EC6B55">
            <w:pPr>
              <w:pStyle w:val="Tabletext"/>
            </w:pPr>
            <w:r>
              <w:t>Medtronic Australasia Pty Ltd</w:t>
            </w:r>
          </w:p>
        </w:tc>
        <w:tc>
          <w:tcPr>
            <w:tcW w:w="888" w:type="pct"/>
          </w:tcPr>
          <w:p w14:paraId="41E1F8C5" w14:textId="77777777" w:rsidR="00EC6B55" w:rsidRDefault="00EC6B55" w:rsidP="00EC6B55">
            <w:pPr>
              <w:pStyle w:val="Tabletext"/>
            </w:pPr>
            <w:r w:rsidRPr="00B31FAB">
              <w:rPr>
                <w:b/>
                <w:bCs/>
              </w:rPr>
              <w:t>ARTG ID</w:t>
            </w:r>
            <w:r>
              <w:t>: 283235</w:t>
            </w:r>
          </w:p>
          <w:p w14:paraId="15118352" w14:textId="77777777" w:rsidR="00EC6B55" w:rsidRDefault="00EC6B55" w:rsidP="00EC6B55">
            <w:pPr>
              <w:pStyle w:val="Tabletext"/>
            </w:pPr>
            <w:r w:rsidRPr="00B31FAB">
              <w:rPr>
                <w:b/>
                <w:bCs/>
              </w:rPr>
              <w:t>Start date</w:t>
            </w:r>
            <w:r>
              <w:t>: 06/12/2016</w:t>
            </w:r>
          </w:p>
          <w:p w14:paraId="5BE7ADE4" w14:textId="77777777" w:rsidR="00EC6B55" w:rsidRDefault="00EC6B55" w:rsidP="00EC6B55">
            <w:pPr>
              <w:pStyle w:val="Tabletext"/>
            </w:pPr>
            <w:r w:rsidRPr="00B31FAB">
              <w:rPr>
                <w:b/>
                <w:bCs/>
              </w:rPr>
              <w:t>Category</w:t>
            </w:r>
            <w:r>
              <w:t>: AIMD</w:t>
            </w:r>
          </w:p>
          <w:p w14:paraId="6206DA25" w14:textId="77777777" w:rsidR="00EC6B55" w:rsidRPr="00DE4E40" w:rsidRDefault="00EC6B55" w:rsidP="00EC6B55">
            <w:pPr>
              <w:pStyle w:val="Tabletext"/>
            </w:pPr>
            <w:r w:rsidRPr="00B31FAB">
              <w:rPr>
                <w:b/>
                <w:bCs/>
              </w:rPr>
              <w:t>GMDN</w:t>
            </w:r>
            <w:r>
              <w:t xml:space="preserve">: </w:t>
            </w:r>
            <w:r w:rsidRPr="00C74E3C">
              <w:t>60789 Intracardiac pacemaker</w:t>
            </w:r>
          </w:p>
        </w:tc>
        <w:tc>
          <w:tcPr>
            <w:tcW w:w="1184" w:type="pct"/>
          </w:tcPr>
          <w:p w14:paraId="3BEBA0DF" w14:textId="77777777" w:rsidR="00EC6B55" w:rsidRPr="00DE4E40" w:rsidRDefault="00EC6B55" w:rsidP="00EC6B55">
            <w:pPr>
              <w:pStyle w:val="Tabletext"/>
            </w:pPr>
            <w:r>
              <w:t>MR Conditional single chamber implantable transcatheter pacing system with SureScan technology is a programmable cardiac device that monitors and regulates the patient's heart rate by providing rate-responsive bradycardia pacing to the right ventricle.</w:t>
            </w:r>
            <w:r>
              <w:br/>
              <w:t>The device senses the electrical activity of the patient's heart, using the sensing and pacing electrodes enclosed in the titanium capsule of the device.</w:t>
            </w:r>
          </w:p>
        </w:tc>
        <w:tc>
          <w:tcPr>
            <w:tcW w:w="2188" w:type="pct"/>
          </w:tcPr>
          <w:p w14:paraId="59876646" w14:textId="77777777" w:rsidR="00EC6B55" w:rsidRPr="00DE4E40" w:rsidRDefault="00EC6B55" w:rsidP="00EC6B55">
            <w:pPr>
              <w:pStyle w:val="Tabletext"/>
            </w:pPr>
            <w:r>
              <w:t>Indicated for use in patients who have experienced one or more of the following conditions:</w:t>
            </w:r>
            <w:r>
              <w:br/>
              <w:t>- symptomatic paroxysmal or permanent high-grade AV block in the presence of AF</w:t>
            </w:r>
            <w:r>
              <w:br/>
              <w:t>- symptomatic paroxysmal or permanent high-grade AV block in the absence of AF, as an alternative to dual chamber pacing, when atrial lead placement is considered difficult, high risk, or not deemed necessary for effective therapy</w:t>
            </w:r>
            <w:r>
              <w:br/>
              <w:t>- symptomatic bradycardia-tachycardia syndrome or sinus node dysfunction (sinus bradycardia or sinus pauses), as an alternative to atrial or dual chamber pacing, when atrial lead placement is considered difficult, high risk, or not deemed necessary for effective therapy.</w:t>
            </w:r>
            <w:r>
              <w:br/>
              <w:t>Rate-responsive pacing is indicated to provide increased heart rate appropriate to increasing levels of activity.</w:t>
            </w:r>
          </w:p>
        </w:tc>
      </w:tr>
      <w:tr w:rsidR="00EC6B55" w14:paraId="518B5796" w14:textId="77777777" w:rsidTr="00AF14C0">
        <w:tc>
          <w:tcPr>
            <w:tcW w:w="739" w:type="pct"/>
          </w:tcPr>
          <w:p w14:paraId="467789F6" w14:textId="77777777" w:rsidR="00EC6B55" w:rsidRDefault="00EC6B55" w:rsidP="00520FD3">
            <w:pPr>
              <w:pStyle w:val="Tabletext"/>
              <w:keepNext/>
            </w:pPr>
            <w:r w:rsidRPr="00E7117F">
              <w:t>Micra Introducer - Model MI2355A - Cardiovascular device introducer, non-steerable</w:t>
            </w:r>
          </w:p>
          <w:p w14:paraId="72F477B5" w14:textId="77777777" w:rsidR="00EC6B55" w:rsidRPr="00C74E3C" w:rsidRDefault="00EC6B55" w:rsidP="00520FD3">
            <w:pPr>
              <w:pStyle w:val="Tabletext"/>
              <w:keepNext/>
            </w:pPr>
            <w:r>
              <w:t>Medtronic Australasia Pty Ltd</w:t>
            </w:r>
          </w:p>
        </w:tc>
        <w:tc>
          <w:tcPr>
            <w:tcW w:w="888" w:type="pct"/>
          </w:tcPr>
          <w:p w14:paraId="27A156B0" w14:textId="77777777" w:rsidR="00EC6B55" w:rsidRDefault="00EC6B55" w:rsidP="00520FD3">
            <w:pPr>
              <w:pStyle w:val="Tabletext"/>
              <w:keepNext/>
            </w:pPr>
            <w:r w:rsidRPr="00B31FAB">
              <w:rPr>
                <w:b/>
                <w:bCs/>
              </w:rPr>
              <w:t>ARTG ID</w:t>
            </w:r>
            <w:r>
              <w:t>: 221570</w:t>
            </w:r>
          </w:p>
          <w:p w14:paraId="73876232" w14:textId="77777777" w:rsidR="00EC6B55" w:rsidRDefault="00EC6B55" w:rsidP="00520FD3">
            <w:pPr>
              <w:pStyle w:val="Tabletext"/>
              <w:keepNext/>
            </w:pPr>
            <w:r w:rsidRPr="00B31FAB">
              <w:rPr>
                <w:b/>
                <w:bCs/>
              </w:rPr>
              <w:t>Start date</w:t>
            </w:r>
            <w:r>
              <w:t>: 24/03/2014</w:t>
            </w:r>
          </w:p>
          <w:p w14:paraId="2BCF0436" w14:textId="77777777" w:rsidR="00EC6B55" w:rsidRDefault="00EC6B55" w:rsidP="00520FD3">
            <w:pPr>
              <w:pStyle w:val="Tabletext"/>
              <w:keepNext/>
            </w:pPr>
            <w:r w:rsidRPr="00B31FAB">
              <w:rPr>
                <w:b/>
                <w:bCs/>
              </w:rPr>
              <w:t>Category</w:t>
            </w:r>
            <w:r>
              <w:t>: Class III</w:t>
            </w:r>
          </w:p>
          <w:p w14:paraId="3FE162C2" w14:textId="77777777" w:rsidR="00EC6B55" w:rsidRPr="00E7117F" w:rsidRDefault="00EC6B55" w:rsidP="00520FD3">
            <w:pPr>
              <w:pStyle w:val="Tabletext"/>
              <w:keepNext/>
            </w:pPr>
            <w:r w:rsidRPr="00B31FAB">
              <w:rPr>
                <w:b/>
                <w:bCs/>
              </w:rPr>
              <w:t>GMDN</w:t>
            </w:r>
            <w:r>
              <w:t xml:space="preserve">: </w:t>
            </w:r>
            <w:r w:rsidRPr="00E7117F">
              <w:t>57941 Cardiovascular device introducer, non-steerable</w:t>
            </w:r>
          </w:p>
        </w:tc>
        <w:tc>
          <w:tcPr>
            <w:tcW w:w="1184" w:type="pct"/>
          </w:tcPr>
          <w:p w14:paraId="44968FD5" w14:textId="08DFD730" w:rsidR="00EC6B55" w:rsidRDefault="00EC6B55" w:rsidP="00520FD3">
            <w:pPr>
              <w:pStyle w:val="Tabletext"/>
              <w:keepNext/>
            </w:pPr>
            <w:r>
              <w:t>The Micra introducer is a single-use, disposable, hydrophilically coated sheath that provides a flexible and hemostatic conduit for the insertion of intravascular devices into the venous system to minimize blood loss. The system is comprised of 2 components: a dilator that accom</w:t>
            </w:r>
            <w:r w:rsidR="000168A6">
              <w:t>m</w:t>
            </w:r>
            <w:r>
              <w:t>odates a guidewire and an introducer.</w:t>
            </w:r>
          </w:p>
        </w:tc>
        <w:tc>
          <w:tcPr>
            <w:tcW w:w="2188" w:type="pct"/>
          </w:tcPr>
          <w:p w14:paraId="5F18B2AC" w14:textId="77777777" w:rsidR="00EC6B55" w:rsidRDefault="00EC6B55" w:rsidP="00520FD3">
            <w:pPr>
              <w:pStyle w:val="Tabletext"/>
              <w:keepNext/>
            </w:pPr>
            <w:r>
              <w:t>The Micra introducer is intended to provide a conduit for the insertion of devices into the venous system and to minimize blood loss associated with such insertions.</w:t>
            </w:r>
          </w:p>
        </w:tc>
      </w:tr>
    </w:tbl>
    <w:p w14:paraId="334DE23C" w14:textId="2C90DFE0" w:rsidR="00EC6B55" w:rsidRDefault="00EC6B55" w:rsidP="00EC6B55">
      <w:pPr>
        <w:pStyle w:val="Tablenotes"/>
        <w:rPr>
          <w:lang w:val="en-GB" w:eastAsia="ja-JP"/>
        </w:rPr>
      </w:pPr>
      <w:r>
        <w:rPr>
          <w:lang w:val="en-GB" w:eastAsia="ja-JP"/>
        </w:rPr>
        <w:t>Source: Therapeutic Goods Administration, ARTG Public Summary, accessed 7 July 2021.</w:t>
      </w:r>
    </w:p>
    <w:p w14:paraId="55BA963B" w14:textId="740ED15E" w:rsidR="00004630" w:rsidRDefault="00004630" w:rsidP="00004630">
      <w:r w:rsidRPr="002C064D">
        <w:t xml:space="preserve">Note that </w:t>
      </w:r>
      <w:r>
        <w:t xml:space="preserve">the Nanostim leadless cardiac pacemaker from </w:t>
      </w:r>
      <w:r w:rsidRPr="002C064D">
        <w:t>St Jude</w:t>
      </w:r>
      <w:r>
        <w:t xml:space="preserve"> Medical</w:t>
      </w:r>
      <w:r w:rsidRPr="002C064D">
        <w:t xml:space="preserve"> (now Abbott) was recalled from the Australian market by the </w:t>
      </w:r>
      <w:r>
        <w:t>Therap</w:t>
      </w:r>
      <w:r w:rsidR="000168A6">
        <w:t>eu</w:t>
      </w:r>
      <w:r w:rsidR="001D1F0E">
        <w:t>ti</w:t>
      </w:r>
      <w:r>
        <w:t>c Goods Administration (</w:t>
      </w:r>
      <w:r w:rsidRPr="002C064D">
        <w:t>TGA</w:t>
      </w:r>
      <w:r>
        <w:t>)</w:t>
      </w:r>
      <w:r w:rsidRPr="002C064D">
        <w:t xml:space="preserve"> in 2016 due to battery malfunction specific to the device, hence is no longer marketed in Australia.</w:t>
      </w:r>
    </w:p>
    <w:p w14:paraId="4CE959D5" w14:textId="7C925FFB" w:rsidR="00004630" w:rsidRPr="00EC6B55" w:rsidRDefault="00004630" w:rsidP="00004630">
      <w:pPr>
        <w:rPr>
          <w:lang w:val="en-GB" w:eastAsia="ja-JP"/>
        </w:rPr>
      </w:pPr>
      <w:r>
        <w:t xml:space="preserve">According to the </w:t>
      </w:r>
      <w:r w:rsidR="00DD6F24">
        <w:t>applicant</w:t>
      </w:r>
      <w:r>
        <w:t>, o</w:t>
      </w:r>
      <w:r w:rsidRPr="002C064D">
        <w:t>ther leadless pacemakers are in earlier stages of development and are expected to be several years away from readiness for market entry.</w:t>
      </w:r>
    </w:p>
    <w:p w14:paraId="665B0675" w14:textId="4B299B42" w:rsidR="007A66C8" w:rsidRPr="000607A1" w:rsidRDefault="007A66C8" w:rsidP="00713728">
      <w:pPr>
        <w:pStyle w:val="Heading3"/>
      </w:pPr>
      <w:r w:rsidRPr="000607A1">
        <w:t>Comparator</w:t>
      </w:r>
    </w:p>
    <w:p w14:paraId="257D1C21" w14:textId="4F367669" w:rsidR="001B6D6C" w:rsidRDefault="00E43E3A" w:rsidP="00B45795">
      <w:pPr>
        <w:spacing w:before="240"/>
      </w:pPr>
      <w:r w:rsidRPr="000607A1">
        <w:t xml:space="preserve">The nominated comparator is the insertion of a standard, </w:t>
      </w:r>
      <w:r w:rsidR="004D5B78" w:rsidRPr="000607A1">
        <w:t>single-chamber</w:t>
      </w:r>
      <w:r w:rsidRPr="000607A1">
        <w:t xml:space="preserve"> TV-PM.</w:t>
      </w:r>
      <w:r w:rsidR="000607A1">
        <w:t xml:space="preserve"> </w:t>
      </w:r>
      <w:r w:rsidR="00BD5B13">
        <w:t xml:space="preserve">This </w:t>
      </w:r>
      <w:r w:rsidR="00BD5B13" w:rsidRPr="00BD5B13">
        <w:t>consist</w:t>
      </w:r>
      <w:r w:rsidR="00BD5B13">
        <w:t>s</w:t>
      </w:r>
      <w:r w:rsidR="00BD5B13" w:rsidRPr="00BD5B13">
        <w:t xml:space="preserve"> of a pulse generator (containing the battery and the machinery for sensing and timing of electrical impulses) and </w:t>
      </w:r>
      <w:r w:rsidR="00B7489B">
        <w:t xml:space="preserve">a </w:t>
      </w:r>
      <w:r w:rsidR="00BD5B13" w:rsidRPr="00BD5B13">
        <w:t>lead (</w:t>
      </w:r>
      <w:r w:rsidR="00B7489B">
        <w:t xml:space="preserve">an </w:t>
      </w:r>
      <w:r w:rsidR="00BD5B13" w:rsidRPr="00BD5B13">
        <w:t>insulated wire that deliver</w:t>
      </w:r>
      <w:r w:rsidR="00B7489B">
        <w:t>s</w:t>
      </w:r>
      <w:r w:rsidR="00BD5B13" w:rsidRPr="00BD5B13">
        <w:t xml:space="preserve"> electrical impulses from the pulse generator to the heart)</w:t>
      </w:r>
      <w:r w:rsidR="00BD5B13">
        <w:t>. Insertion of the pulse generator</w:t>
      </w:r>
      <w:r w:rsidR="00BD5B13" w:rsidRPr="00BD5B13">
        <w:t xml:space="preserve"> require</w:t>
      </w:r>
      <w:r w:rsidR="00BD5B13">
        <w:t>s</w:t>
      </w:r>
      <w:r w:rsidR="00BD5B13" w:rsidRPr="00BD5B13">
        <w:t xml:space="preserve"> a surgical incision in the chest to create a subcutaneous pocket</w:t>
      </w:r>
      <w:r w:rsidR="00BD5B13">
        <w:t xml:space="preserve">. </w:t>
      </w:r>
      <w:r w:rsidR="00BD5B13" w:rsidRPr="00BD5B13">
        <w:t>A single lead is inserted percutaneously either via subclavian, cephalic or axillary veins, and guided transvenous</w:t>
      </w:r>
      <w:r w:rsidR="000168A6">
        <w:t>ly</w:t>
      </w:r>
      <w:r w:rsidR="00BD5B13" w:rsidRPr="00BD5B13">
        <w:t xml:space="preserve"> via the tricuspid valve into the right ventricle. The position of the wire is checked using fluoroscopy. The lead can either be attached passively with tines (spikes at the end of the wire), which become fixed via granulation tissue formation, or can be actively fixed to the myocardium using a screw.</w:t>
      </w:r>
    </w:p>
    <w:p w14:paraId="5D2F8A2C" w14:textId="7C9355F8" w:rsidR="00E43E3A" w:rsidRDefault="001B6D6C" w:rsidP="00ED283B">
      <w:r>
        <w:t>T</w:t>
      </w:r>
      <w:r w:rsidRPr="001B6D6C">
        <w:t xml:space="preserve">he health care resources that are needed to be delivered at the same time as the comparator service are similar to those delivered at the same time as the proposed intervention, and includes anaesthesia, </w:t>
      </w:r>
      <w:r w:rsidR="00B7489B">
        <w:t xml:space="preserve">fluoroscopy, </w:t>
      </w:r>
      <w:r w:rsidRPr="001B6D6C">
        <w:t>the professional service itself and hospitalisation. The duration of stay is the same for both procedures</w:t>
      </w:r>
      <w:r>
        <w:t>,</w:t>
      </w:r>
      <w:r w:rsidRPr="001B6D6C">
        <w:t xml:space="preserve"> with patients </w:t>
      </w:r>
      <w:r>
        <w:t xml:space="preserve">generally </w:t>
      </w:r>
      <w:r w:rsidRPr="001B6D6C">
        <w:t xml:space="preserve">admitted overnight. </w:t>
      </w:r>
      <w:r>
        <w:t>According to an Australian study (</w:t>
      </w:r>
      <w:r w:rsidRPr="001B6D6C">
        <w:t xml:space="preserve">Denman </w:t>
      </w:r>
      <w:r>
        <w:t xml:space="preserve">et al. </w:t>
      </w:r>
      <w:r w:rsidRPr="001B6D6C">
        <w:t>2019</w:t>
      </w:r>
      <w:r>
        <w:t>), t</w:t>
      </w:r>
      <w:r w:rsidRPr="001B6D6C">
        <w:t>he procedure time of the insertion of the LPM and a TV-PM is similar (around 30 minutes</w:t>
      </w:r>
      <w:r>
        <w:t>).</w:t>
      </w:r>
    </w:p>
    <w:p w14:paraId="6C076E7C" w14:textId="017054B8" w:rsidR="001B6D6C" w:rsidRDefault="001B6D6C" w:rsidP="001B6D6C">
      <w:pPr>
        <w:spacing w:after="240"/>
      </w:pPr>
      <w:r w:rsidRPr="001B6D6C">
        <w:t xml:space="preserve">There are two item numbers listed on the MBS that are used to claim the single-chamber TV-PM procedure; one item relevant to the insertion of the </w:t>
      </w:r>
      <w:r>
        <w:t>pacemaker</w:t>
      </w:r>
      <w:r w:rsidRPr="001B6D6C">
        <w:t xml:space="preserve"> device itself (MBS item 3</w:t>
      </w:r>
      <w:r w:rsidR="000F75BD">
        <w:t>8</w:t>
      </w:r>
      <w:r w:rsidRPr="001B6D6C">
        <w:t xml:space="preserve">353) and one item for the component of the service that relate to the insertion of the TV lead (MBS item 38350). </w:t>
      </w:r>
      <w:r>
        <w:t>While</w:t>
      </w:r>
      <w:r w:rsidRPr="001B6D6C">
        <w:t xml:space="preserve"> item 38350 is specific to the insertion of the lead for a single-chamber </w:t>
      </w:r>
      <w:r>
        <w:t>pacemaker</w:t>
      </w:r>
      <w:r w:rsidRPr="001B6D6C">
        <w:t>, item 38353 can be used for the insertion of either a dual</w:t>
      </w:r>
      <w:r>
        <w:t>-</w:t>
      </w:r>
      <w:r w:rsidRPr="001B6D6C">
        <w:t xml:space="preserve"> or single-chamber </w:t>
      </w:r>
      <w:r>
        <w:t>pacemaker</w:t>
      </w:r>
      <w:r w:rsidRPr="001B6D6C">
        <w:t>.</w:t>
      </w:r>
    </w:p>
    <w:tbl>
      <w:tblPr>
        <w:tblStyle w:val="TableGrid"/>
        <w:tblW w:w="5000" w:type="pct"/>
        <w:tblInd w:w="0" w:type="dxa"/>
        <w:tblLook w:val="04A0" w:firstRow="1" w:lastRow="0" w:firstColumn="1" w:lastColumn="0" w:noHBand="0" w:noVBand="1"/>
        <w:tblCaption w:val="Item Descriptor Table for the comparators"/>
        <w:tblDescription w:val="Exisitng items for TV-PM insertion are MBS Category 3 - therapeutic procedures. The relevant items are MBS item 38350 and 38353. The full descriptors and fees are shown, together with Explanatory Note TN.8.60 at 7 July 2021."/>
      </w:tblPr>
      <w:tblGrid>
        <w:gridCol w:w="9571"/>
      </w:tblGrid>
      <w:tr w:rsidR="001B6D6C" w:rsidRPr="00D2670B" w14:paraId="385F7DE3" w14:textId="77777777" w:rsidTr="00D540DE">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2193A64C" w14:textId="77777777" w:rsidR="001B6D6C" w:rsidRPr="00DE762F" w:rsidRDefault="001B6D6C" w:rsidP="00D540DE">
            <w:pPr>
              <w:spacing w:before="40" w:after="40" w:line="240" w:lineRule="auto"/>
              <w:rPr>
                <w:rFonts w:ascii="Arial Narrow" w:hAnsi="Arial Narrow"/>
                <w:sz w:val="20"/>
                <w:szCs w:val="20"/>
              </w:rPr>
            </w:pPr>
            <w:r w:rsidRPr="00DE762F">
              <w:rPr>
                <w:rFonts w:ascii="Arial Narrow" w:hAnsi="Arial Narrow"/>
                <w:sz w:val="20"/>
                <w:szCs w:val="20"/>
              </w:rPr>
              <w:t xml:space="preserve">Category </w:t>
            </w:r>
            <w:r>
              <w:t>3</w:t>
            </w:r>
            <w:r w:rsidRPr="00D2670B">
              <w:t xml:space="preserve"> – </w:t>
            </w:r>
            <w:r>
              <w:rPr>
                <w:rFonts w:ascii="Arial Narrow" w:hAnsi="Arial Narrow"/>
                <w:sz w:val="20"/>
                <w:szCs w:val="20"/>
              </w:rPr>
              <w:t>THERAPEUTIC PROCEDURES</w:t>
            </w:r>
          </w:p>
        </w:tc>
      </w:tr>
      <w:tr w:rsidR="001B6D6C" w:rsidRPr="005771DC" w14:paraId="4DCEA469" w14:textId="77777777" w:rsidTr="00D540DE">
        <w:trPr>
          <w:cantSplit/>
        </w:trPr>
        <w:tc>
          <w:tcPr>
            <w:tcW w:w="5000" w:type="pct"/>
            <w:tcBorders>
              <w:top w:val="single" w:sz="4" w:space="0" w:color="auto"/>
              <w:left w:val="single" w:sz="4" w:space="0" w:color="auto"/>
              <w:bottom w:val="single" w:sz="4" w:space="0" w:color="auto"/>
              <w:right w:val="single" w:sz="4" w:space="0" w:color="auto"/>
            </w:tcBorders>
          </w:tcPr>
          <w:p w14:paraId="426D43DB" w14:textId="7A6E7988" w:rsidR="001B6D6C" w:rsidRPr="00DE762F" w:rsidRDefault="001B6D6C" w:rsidP="00D540DE">
            <w:pPr>
              <w:spacing w:before="120" w:after="120" w:line="240" w:lineRule="auto"/>
              <w:rPr>
                <w:rFonts w:ascii="Arial Narrow" w:hAnsi="Arial Narrow"/>
                <w:sz w:val="20"/>
                <w:szCs w:val="20"/>
              </w:rPr>
            </w:pPr>
            <w:r>
              <w:rPr>
                <w:rFonts w:ascii="Arial Narrow" w:hAnsi="Arial Narrow"/>
                <w:sz w:val="20"/>
                <w:szCs w:val="20"/>
              </w:rPr>
              <w:t>38350</w:t>
            </w:r>
          </w:p>
          <w:p w14:paraId="74D112F4" w14:textId="2BB8CC21" w:rsidR="001B6D6C" w:rsidRDefault="001B6D6C" w:rsidP="00D540DE">
            <w:pPr>
              <w:spacing w:before="120" w:after="120" w:line="240" w:lineRule="auto"/>
              <w:rPr>
                <w:rFonts w:ascii="Arial Narrow" w:hAnsi="Arial Narrow"/>
                <w:sz w:val="20"/>
                <w:szCs w:val="20"/>
              </w:rPr>
            </w:pPr>
            <w:r w:rsidRPr="001B6D6C">
              <w:rPr>
                <w:rFonts w:ascii="Arial Narrow" w:hAnsi="Arial Narrow"/>
                <w:sz w:val="20"/>
                <w:szCs w:val="20"/>
              </w:rPr>
              <w:t>SINGLE CHAMBER PERMANENT TRANSVENOUS ELECTRODE, insertion, removal or replacement of, including cardiac electrophysiological services where used for pacemaker implantation</w:t>
            </w:r>
          </w:p>
          <w:p w14:paraId="13D11826" w14:textId="77777777" w:rsidR="001B6D6C" w:rsidRDefault="001B6D6C" w:rsidP="002A4E9B">
            <w:pPr>
              <w:spacing w:before="120" w:after="0" w:line="240" w:lineRule="auto"/>
              <w:rPr>
                <w:rFonts w:ascii="Arial Narrow" w:hAnsi="Arial Narrow"/>
                <w:sz w:val="20"/>
                <w:szCs w:val="20"/>
              </w:rPr>
            </w:pPr>
            <w:r>
              <w:rPr>
                <w:rFonts w:ascii="Arial Narrow" w:hAnsi="Arial Narrow"/>
                <w:sz w:val="20"/>
                <w:szCs w:val="20"/>
              </w:rPr>
              <w:t>Multiple Operation Rule</w:t>
            </w:r>
          </w:p>
          <w:p w14:paraId="579826DF" w14:textId="77777777" w:rsidR="001B6D6C" w:rsidRDefault="001B6D6C" w:rsidP="002A4E9B">
            <w:pPr>
              <w:spacing w:after="120" w:line="240" w:lineRule="auto"/>
              <w:rPr>
                <w:rFonts w:ascii="Arial Narrow" w:hAnsi="Arial Narrow"/>
                <w:sz w:val="20"/>
                <w:szCs w:val="20"/>
              </w:rPr>
            </w:pPr>
            <w:r>
              <w:rPr>
                <w:rFonts w:ascii="Arial Narrow" w:hAnsi="Arial Narrow"/>
                <w:sz w:val="20"/>
                <w:szCs w:val="20"/>
              </w:rPr>
              <w:t>(Anaes.)</w:t>
            </w:r>
          </w:p>
          <w:p w14:paraId="1AEEF324" w14:textId="77777777" w:rsidR="001B6D6C" w:rsidRDefault="001B6D6C" w:rsidP="00D540DE">
            <w:pPr>
              <w:spacing w:before="120" w:after="12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$664.55  Benefit: 75% = $498.45</w:t>
            </w:r>
          </w:p>
          <w:p w14:paraId="03181447" w14:textId="4B9C99BD" w:rsidR="001B6D6C" w:rsidRPr="00DE762F" w:rsidRDefault="001B6D6C" w:rsidP="00D540DE">
            <w:pPr>
              <w:spacing w:before="120" w:after="120" w:line="240" w:lineRule="auto"/>
              <w:rPr>
                <w:rFonts w:ascii="Arial Narrow" w:hAnsi="Arial Narrow"/>
                <w:sz w:val="20"/>
                <w:szCs w:val="20"/>
              </w:rPr>
            </w:pPr>
            <w:r w:rsidRPr="001B6D6C">
              <w:rPr>
                <w:rFonts w:ascii="Arial Narrow" w:hAnsi="Arial Narrow"/>
                <w:sz w:val="20"/>
                <w:szCs w:val="20"/>
              </w:rPr>
              <w:t>(See para TN.8.60 of explanatory notes to this Category)</w:t>
            </w:r>
          </w:p>
        </w:tc>
      </w:tr>
      <w:tr w:rsidR="001B6D6C" w:rsidRPr="005771DC" w14:paraId="64C71B1B" w14:textId="77777777" w:rsidTr="00D540DE">
        <w:tc>
          <w:tcPr>
            <w:tcW w:w="5000" w:type="pct"/>
          </w:tcPr>
          <w:p w14:paraId="0B8627F7" w14:textId="7B3947EB" w:rsidR="001B6D6C" w:rsidRPr="00DE762F" w:rsidRDefault="001B6D6C" w:rsidP="00D540DE">
            <w:pPr>
              <w:spacing w:before="120" w:after="120" w:line="240" w:lineRule="auto"/>
              <w:rPr>
                <w:rFonts w:ascii="Arial Narrow" w:hAnsi="Arial Narrow"/>
                <w:sz w:val="20"/>
                <w:szCs w:val="20"/>
              </w:rPr>
            </w:pPr>
            <w:r>
              <w:rPr>
                <w:rFonts w:ascii="Arial Narrow" w:hAnsi="Arial Narrow"/>
                <w:sz w:val="20"/>
                <w:szCs w:val="20"/>
              </w:rPr>
              <w:t>38353</w:t>
            </w:r>
          </w:p>
          <w:p w14:paraId="34B7F4B7" w14:textId="1C19A158" w:rsidR="001B6D6C" w:rsidRDefault="001B6D6C" w:rsidP="00D540DE">
            <w:pPr>
              <w:spacing w:before="120" w:after="120" w:line="240" w:lineRule="auto"/>
              <w:rPr>
                <w:rFonts w:ascii="Arial Narrow" w:hAnsi="Arial Narrow"/>
                <w:sz w:val="20"/>
                <w:szCs w:val="20"/>
              </w:rPr>
            </w:pPr>
            <w:r w:rsidRPr="001B6D6C">
              <w:rPr>
                <w:rFonts w:ascii="Arial Narrow" w:hAnsi="Arial Narrow"/>
                <w:sz w:val="20"/>
                <w:szCs w:val="20"/>
              </w:rPr>
              <w:t>PERMANENT CARDIAC PACEMAKER, insertion, removal or replacement of, not for cardiac resynchronisation therapy, including cardiac electrophysiological services where used for pacemaker implantation</w:t>
            </w:r>
          </w:p>
          <w:p w14:paraId="1033DCFC" w14:textId="77777777" w:rsidR="001B6D6C" w:rsidRDefault="001B6D6C" w:rsidP="002A4E9B">
            <w:pPr>
              <w:spacing w:before="120" w:after="0" w:line="240" w:lineRule="auto"/>
              <w:rPr>
                <w:rFonts w:ascii="Arial Narrow" w:hAnsi="Arial Narrow"/>
                <w:sz w:val="20"/>
                <w:szCs w:val="20"/>
              </w:rPr>
            </w:pPr>
            <w:r>
              <w:rPr>
                <w:rFonts w:ascii="Arial Narrow" w:hAnsi="Arial Narrow"/>
                <w:sz w:val="20"/>
                <w:szCs w:val="20"/>
              </w:rPr>
              <w:t>Multiple Operation Rule</w:t>
            </w:r>
          </w:p>
          <w:p w14:paraId="30B1747B" w14:textId="77777777" w:rsidR="001B6D6C" w:rsidRDefault="001B6D6C" w:rsidP="002A4E9B">
            <w:pPr>
              <w:spacing w:after="120" w:line="240" w:lineRule="auto"/>
              <w:rPr>
                <w:rFonts w:ascii="Arial Narrow" w:hAnsi="Arial Narrow"/>
                <w:sz w:val="20"/>
                <w:szCs w:val="20"/>
              </w:rPr>
            </w:pPr>
            <w:r>
              <w:rPr>
                <w:rFonts w:ascii="Arial Narrow" w:hAnsi="Arial Narrow"/>
                <w:sz w:val="20"/>
                <w:szCs w:val="20"/>
              </w:rPr>
              <w:t>(Anaes.)</w:t>
            </w:r>
          </w:p>
          <w:p w14:paraId="1E97D419" w14:textId="3F9948B8" w:rsidR="001B6D6C" w:rsidRDefault="001B6D6C" w:rsidP="00D540DE">
            <w:pPr>
              <w:spacing w:before="120" w:after="120" w:line="240" w:lineRule="auto"/>
              <w:rPr>
                <w:rFonts w:ascii="Arial Narrow" w:hAnsi="Arial Narrow"/>
                <w:sz w:val="20"/>
                <w:szCs w:val="20"/>
              </w:rPr>
            </w:pPr>
            <w:r w:rsidRPr="001B6D6C">
              <w:rPr>
                <w:rFonts w:ascii="Arial Narrow" w:hAnsi="Arial Narrow"/>
                <w:sz w:val="20"/>
                <w:szCs w:val="20"/>
              </w:rPr>
              <w:t>Fee: $</w:t>
            </w:r>
            <w:r>
              <w:rPr>
                <w:rFonts w:ascii="Arial Narrow" w:hAnsi="Arial Narrow"/>
                <w:sz w:val="20"/>
                <w:szCs w:val="20"/>
              </w:rPr>
              <w:t>265.80</w:t>
            </w:r>
            <w:r w:rsidRPr="001B6D6C">
              <w:rPr>
                <w:rFonts w:ascii="Arial Narrow" w:hAnsi="Arial Narrow"/>
                <w:sz w:val="20"/>
                <w:szCs w:val="20"/>
              </w:rPr>
              <w:t xml:space="preserve">  Benefit: 75% = $19</w:t>
            </w:r>
            <w:r>
              <w:rPr>
                <w:rFonts w:ascii="Arial Narrow" w:hAnsi="Arial Narrow"/>
                <w:sz w:val="20"/>
                <w:szCs w:val="20"/>
              </w:rPr>
              <w:t>9</w:t>
            </w:r>
            <w:r w:rsidRPr="001B6D6C">
              <w:rPr>
                <w:rFonts w:ascii="Arial Narrow" w:hAnsi="Arial Narrow"/>
                <w:sz w:val="20"/>
                <w:szCs w:val="20"/>
              </w:rPr>
              <w:t>.</w:t>
            </w:r>
            <w:r>
              <w:rPr>
                <w:rFonts w:ascii="Arial Narrow" w:hAnsi="Arial Narrow"/>
                <w:sz w:val="20"/>
                <w:szCs w:val="20"/>
              </w:rPr>
              <w:t>35</w:t>
            </w:r>
          </w:p>
          <w:p w14:paraId="22CE70B9" w14:textId="4BD9495F" w:rsidR="001B6D6C" w:rsidRPr="001B6D6C" w:rsidRDefault="001B6D6C" w:rsidP="00D540DE">
            <w:pPr>
              <w:spacing w:before="120" w:after="120" w:line="240" w:lineRule="auto"/>
              <w:rPr>
                <w:rFonts w:ascii="Arial Narrow" w:hAnsi="Arial Narrow"/>
                <w:sz w:val="20"/>
                <w:szCs w:val="20"/>
              </w:rPr>
            </w:pPr>
            <w:r w:rsidRPr="001B6D6C">
              <w:rPr>
                <w:rFonts w:ascii="Arial Narrow" w:hAnsi="Arial Narrow"/>
                <w:sz w:val="20"/>
                <w:szCs w:val="20"/>
              </w:rPr>
              <w:t>(See para TN.8.60 of explanatory notes to this Category)</w:t>
            </w:r>
          </w:p>
        </w:tc>
      </w:tr>
      <w:tr w:rsidR="001B6D6C" w:rsidRPr="005771DC" w14:paraId="31BAE054" w14:textId="77777777" w:rsidTr="00D540DE">
        <w:tc>
          <w:tcPr>
            <w:tcW w:w="5000" w:type="pct"/>
          </w:tcPr>
          <w:p w14:paraId="76544962" w14:textId="77777777" w:rsidR="001B6D6C" w:rsidRDefault="001B6D6C" w:rsidP="00B7489B">
            <w:pPr>
              <w:keepNext/>
              <w:spacing w:before="120" w:after="120" w:line="240" w:lineRule="auto"/>
              <w:rPr>
                <w:rFonts w:ascii="Arial Narrow" w:hAnsi="Arial Narrow"/>
                <w:sz w:val="20"/>
                <w:szCs w:val="20"/>
              </w:rPr>
            </w:pPr>
            <w:r>
              <w:rPr>
                <w:rFonts w:ascii="Arial Narrow" w:hAnsi="Arial Narrow"/>
                <w:sz w:val="20"/>
                <w:szCs w:val="20"/>
              </w:rPr>
              <w:t>TN</w:t>
            </w:r>
            <w:r w:rsidR="00E7117F">
              <w:rPr>
                <w:rFonts w:ascii="Arial Narrow" w:hAnsi="Arial Narrow"/>
                <w:sz w:val="20"/>
                <w:szCs w:val="20"/>
              </w:rPr>
              <w:t>.8.60</w:t>
            </w:r>
          </w:p>
          <w:p w14:paraId="47661184" w14:textId="748AC507" w:rsidR="00E7117F" w:rsidRDefault="00E7117F" w:rsidP="00E7117F">
            <w:pPr>
              <w:spacing w:before="120" w:after="120" w:line="240" w:lineRule="auto"/>
              <w:rPr>
                <w:rFonts w:ascii="Arial Narrow" w:hAnsi="Arial Narrow"/>
                <w:sz w:val="20"/>
                <w:szCs w:val="20"/>
              </w:rPr>
            </w:pPr>
            <w:r w:rsidRPr="00E7117F">
              <w:rPr>
                <w:rFonts w:ascii="Arial Narrow" w:hAnsi="Arial Narrow"/>
                <w:sz w:val="20"/>
                <w:szCs w:val="20"/>
              </w:rPr>
              <w:t>The fees for the insertion of a pacemaker (Items 38350, 38353 and 38356) cover the testing of cardiac conduction or conduction threshold, etc related to the pacemaker and pacemaker function.</w:t>
            </w:r>
            <w:r>
              <w:rPr>
                <w:rFonts w:ascii="Arial Narrow" w:hAnsi="Arial Narrow"/>
                <w:sz w:val="20"/>
                <w:szCs w:val="20"/>
              </w:rPr>
              <w:t xml:space="preserve"> </w:t>
            </w:r>
            <w:r w:rsidRPr="00E7117F">
              <w:rPr>
                <w:rFonts w:ascii="Arial Narrow" w:hAnsi="Arial Narrow"/>
                <w:sz w:val="20"/>
                <w:szCs w:val="20"/>
              </w:rPr>
              <w:t>Accordingly, additional benefits are not payable for such routine testing under Item 38209 or 38212 (Cardiac electrophysiological studies).</w:t>
            </w:r>
          </w:p>
        </w:tc>
      </w:tr>
    </w:tbl>
    <w:p w14:paraId="5B8BE9C2" w14:textId="768EB13F" w:rsidR="001B6D6C" w:rsidRDefault="001B6D6C" w:rsidP="001B6D6C">
      <w:pPr>
        <w:pStyle w:val="Tablenotes"/>
      </w:pPr>
      <w:r>
        <w:t>Source: MBS Online, accessed 7 July 2021.</w:t>
      </w:r>
    </w:p>
    <w:p w14:paraId="31328A6E" w14:textId="6937E40D" w:rsidR="00B14E86" w:rsidRDefault="00B14E86" w:rsidP="00B14E86">
      <w:r>
        <w:t>A separate MBS item is available for percutaneous extraction of chronically implanted transvenous leads (MBS item 38358).</w:t>
      </w:r>
      <w:r w:rsidR="00E25BDA">
        <w:t xml:space="preserve"> Refer to Attachment 2 for the additional MBS item mentioned in TN.8.214.</w:t>
      </w:r>
    </w:p>
    <w:tbl>
      <w:tblPr>
        <w:tblStyle w:val="TableGrid"/>
        <w:tblW w:w="5000" w:type="pct"/>
        <w:tblInd w:w="0" w:type="dxa"/>
        <w:tblLook w:val="04A0" w:firstRow="1" w:lastRow="0" w:firstColumn="1" w:lastColumn="0" w:noHBand="0" w:noVBand="1"/>
        <w:tblCaption w:val="Item Descriptor Table for the comparators"/>
        <w:tblDescription w:val="Exisitng items for TV-PM insertion are MBS Category 3 - therapeutic procedures. The relevant items are MBS item 38350 and 38353. The full descriptors and fees are shown, together with Explanatory Note TN.8.60 at 7 July 2021."/>
      </w:tblPr>
      <w:tblGrid>
        <w:gridCol w:w="9571"/>
      </w:tblGrid>
      <w:tr w:rsidR="00B14E86" w:rsidRPr="00D2670B" w14:paraId="7B8465DC" w14:textId="77777777" w:rsidTr="00D10671">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0F2AE448" w14:textId="77777777" w:rsidR="00B14E86" w:rsidRPr="00DE762F" w:rsidRDefault="00B14E86" w:rsidP="00E25BDA">
            <w:pPr>
              <w:spacing w:before="40" w:after="40" w:line="240" w:lineRule="auto"/>
              <w:rPr>
                <w:rFonts w:ascii="Arial Narrow" w:hAnsi="Arial Narrow"/>
                <w:sz w:val="20"/>
                <w:szCs w:val="20"/>
              </w:rPr>
            </w:pPr>
            <w:r w:rsidRPr="00DE762F">
              <w:rPr>
                <w:rFonts w:ascii="Arial Narrow" w:hAnsi="Arial Narrow"/>
                <w:sz w:val="20"/>
                <w:szCs w:val="20"/>
              </w:rPr>
              <w:t xml:space="preserve">Category </w:t>
            </w:r>
            <w:r>
              <w:t>3</w:t>
            </w:r>
            <w:r w:rsidRPr="00D2670B">
              <w:t xml:space="preserve"> – </w:t>
            </w:r>
            <w:r>
              <w:rPr>
                <w:rFonts w:ascii="Arial Narrow" w:hAnsi="Arial Narrow"/>
                <w:sz w:val="20"/>
                <w:szCs w:val="20"/>
              </w:rPr>
              <w:t>THERAPEUTIC PROCEDURES</w:t>
            </w:r>
          </w:p>
        </w:tc>
      </w:tr>
      <w:tr w:rsidR="00B14E86" w:rsidRPr="005771DC" w14:paraId="2CCAA8D3" w14:textId="77777777" w:rsidTr="00D10671">
        <w:trPr>
          <w:cantSplit/>
        </w:trPr>
        <w:tc>
          <w:tcPr>
            <w:tcW w:w="5000" w:type="pct"/>
            <w:tcBorders>
              <w:top w:val="single" w:sz="4" w:space="0" w:color="auto"/>
              <w:left w:val="single" w:sz="4" w:space="0" w:color="auto"/>
              <w:bottom w:val="single" w:sz="4" w:space="0" w:color="auto"/>
              <w:right w:val="single" w:sz="4" w:space="0" w:color="auto"/>
            </w:tcBorders>
          </w:tcPr>
          <w:p w14:paraId="2144A29C" w14:textId="306CA0C1" w:rsidR="00B14E86" w:rsidRPr="00DE762F" w:rsidRDefault="00B14E86" w:rsidP="00E25BDA">
            <w:pPr>
              <w:spacing w:before="120" w:after="120" w:line="240" w:lineRule="auto"/>
              <w:rPr>
                <w:rFonts w:ascii="Arial Narrow" w:hAnsi="Arial Narrow"/>
                <w:sz w:val="20"/>
                <w:szCs w:val="20"/>
              </w:rPr>
            </w:pPr>
            <w:r>
              <w:rPr>
                <w:rFonts w:ascii="Arial Narrow" w:hAnsi="Arial Narrow"/>
                <w:sz w:val="20"/>
                <w:szCs w:val="20"/>
              </w:rPr>
              <w:t>38358</w:t>
            </w:r>
          </w:p>
          <w:p w14:paraId="6BF6DA58" w14:textId="2C8CDBE3" w:rsidR="00B14E86" w:rsidRPr="00B14E86"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Extraction of one or more chronically implanted transvenous pacing or defibrillator leads, by percutaneous method, with locking stylets and snares, with extraction sheaths (if any), if:</w:t>
            </w:r>
          </w:p>
          <w:p w14:paraId="7E9FB924" w14:textId="32DC4BAA" w:rsidR="00B14E86" w:rsidRPr="00B14E86"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(a) the leads have been in place for more than 6 months and require removal; and</w:t>
            </w:r>
          </w:p>
          <w:p w14:paraId="0A3488BC" w14:textId="484F7513" w:rsidR="00B14E86" w:rsidRPr="00B14E86"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(b) the service is performed:</w:t>
            </w:r>
          </w:p>
          <w:p w14:paraId="4D097102" w14:textId="2B4B3C36" w:rsidR="00B14E86" w:rsidRPr="00B14E86" w:rsidRDefault="00B14E86" w:rsidP="00E25BDA">
            <w:pPr>
              <w:spacing w:before="120" w:after="120" w:line="240" w:lineRule="auto"/>
              <w:ind w:left="447" w:hanging="283"/>
              <w:rPr>
                <w:rFonts w:ascii="Arial Narrow" w:hAnsi="Arial Narrow"/>
                <w:sz w:val="20"/>
                <w:szCs w:val="20"/>
              </w:rPr>
            </w:pPr>
            <w:r w:rsidRPr="00B14E86">
              <w:rPr>
                <w:rFonts w:ascii="Arial Narrow" w:hAnsi="Arial Narrow"/>
                <w:sz w:val="20"/>
                <w:szCs w:val="20"/>
              </w:rPr>
              <w:t>(i) in association with a service to which item 61109 or 60509 applies; and</w:t>
            </w:r>
          </w:p>
          <w:p w14:paraId="2638F54A" w14:textId="0051A316" w:rsidR="00B14E86" w:rsidRPr="00B14E86" w:rsidRDefault="00B14E86" w:rsidP="00E25BDA">
            <w:pPr>
              <w:spacing w:before="120" w:after="120" w:line="240" w:lineRule="auto"/>
              <w:ind w:left="447" w:hanging="283"/>
              <w:rPr>
                <w:rFonts w:ascii="Arial Narrow" w:hAnsi="Arial Narrow"/>
                <w:sz w:val="20"/>
                <w:szCs w:val="20"/>
              </w:rPr>
            </w:pPr>
            <w:r w:rsidRPr="00B14E86">
              <w:rPr>
                <w:rFonts w:ascii="Arial Narrow" w:hAnsi="Arial Narrow"/>
                <w:sz w:val="20"/>
                <w:szCs w:val="20"/>
              </w:rPr>
              <w:t>(ii) by a specialist or consultant physician who has undertaken the training to perform the service; and</w:t>
            </w:r>
          </w:p>
          <w:p w14:paraId="58C9B243" w14:textId="56EA30B3" w:rsidR="00B14E86" w:rsidRPr="00B14E86" w:rsidRDefault="00B14E86" w:rsidP="00E25BDA">
            <w:pPr>
              <w:spacing w:before="120" w:after="120" w:line="240" w:lineRule="auto"/>
              <w:ind w:left="447" w:hanging="283"/>
              <w:rPr>
                <w:rFonts w:ascii="Arial Narrow" w:hAnsi="Arial Narrow"/>
                <w:sz w:val="20"/>
                <w:szCs w:val="20"/>
              </w:rPr>
            </w:pPr>
            <w:r w:rsidRPr="00B14E86">
              <w:rPr>
                <w:rFonts w:ascii="Arial Narrow" w:hAnsi="Arial Narrow"/>
                <w:sz w:val="20"/>
                <w:szCs w:val="20"/>
              </w:rPr>
              <w:t>(iii) in a facility where cardiothoracic surgery is available and a thoracotomy can be performed immediately and without transfer; and</w:t>
            </w:r>
          </w:p>
          <w:p w14:paraId="44795297" w14:textId="715B1539" w:rsidR="00B14E86" w:rsidRPr="00B14E86"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(c) if the service is performed by an interventional cardiologist—a cardiothoracic surgeon is in attendance during the service</w:t>
            </w:r>
          </w:p>
          <w:p w14:paraId="3EC6E8C4" w14:textId="0C69D381" w:rsidR="00B14E86" w:rsidRPr="00B14E86"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(H)</w:t>
            </w:r>
          </w:p>
          <w:p w14:paraId="592623CF" w14:textId="77777777" w:rsidR="00B14E86" w:rsidRDefault="00B14E86" w:rsidP="00E25BDA">
            <w:pPr>
              <w:spacing w:before="120" w:after="0" w:line="240" w:lineRule="auto"/>
              <w:rPr>
                <w:rFonts w:ascii="Arial Narrow" w:hAnsi="Arial Narrow"/>
                <w:sz w:val="20"/>
                <w:szCs w:val="20"/>
              </w:rPr>
            </w:pPr>
            <w:r>
              <w:rPr>
                <w:rFonts w:ascii="Arial Narrow" w:hAnsi="Arial Narrow"/>
                <w:sz w:val="20"/>
                <w:szCs w:val="20"/>
              </w:rPr>
              <w:t>Multiple Operation Rule</w:t>
            </w:r>
          </w:p>
          <w:p w14:paraId="2738A447" w14:textId="2D2BB3C7" w:rsidR="00B14E86" w:rsidRDefault="00B14E86" w:rsidP="00E25BDA">
            <w:pPr>
              <w:spacing w:after="120" w:line="240" w:lineRule="auto"/>
              <w:rPr>
                <w:rFonts w:ascii="Arial Narrow" w:hAnsi="Arial Narrow"/>
                <w:sz w:val="20"/>
                <w:szCs w:val="20"/>
              </w:rPr>
            </w:pPr>
            <w:r>
              <w:rPr>
                <w:rFonts w:ascii="Arial Narrow" w:hAnsi="Arial Narrow"/>
                <w:sz w:val="20"/>
                <w:szCs w:val="20"/>
              </w:rPr>
              <w:t>(Anaes.) (Assist)</w:t>
            </w:r>
          </w:p>
          <w:p w14:paraId="7899C4C3" w14:textId="54AF94EB" w:rsidR="00B14E86" w:rsidRPr="00B14E86"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Fee: $2,089.00 Benefit: 75% = $1,566.75</w:t>
            </w:r>
          </w:p>
          <w:p w14:paraId="0F222AA5" w14:textId="3E1E5417" w:rsidR="00B14E86" w:rsidRPr="00DE762F" w:rsidRDefault="00B14E86" w:rsidP="00E25BDA">
            <w:pPr>
              <w:spacing w:before="120" w:after="120" w:line="240" w:lineRule="auto"/>
              <w:rPr>
                <w:rFonts w:ascii="Arial Narrow" w:hAnsi="Arial Narrow"/>
                <w:sz w:val="20"/>
                <w:szCs w:val="20"/>
              </w:rPr>
            </w:pPr>
            <w:r w:rsidRPr="00B14E86">
              <w:rPr>
                <w:rFonts w:ascii="Arial Narrow" w:hAnsi="Arial Narrow"/>
                <w:sz w:val="20"/>
                <w:szCs w:val="20"/>
              </w:rPr>
              <w:t>(See para TN.8.64, TN.8.214 of explanatory notes to this Category)</w:t>
            </w:r>
          </w:p>
        </w:tc>
      </w:tr>
      <w:tr w:rsidR="00B14E86" w:rsidRPr="005771DC" w14:paraId="1638E32F" w14:textId="77777777" w:rsidTr="00D10671">
        <w:tc>
          <w:tcPr>
            <w:tcW w:w="5000" w:type="pct"/>
          </w:tcPr>
          <w:p w14:paraId="772FA369" w14:textId="57C771CE" w:rsidR="00B14E86" w:rsidRDefault="00B14E86" w:rsidP="00E25BDA">
            <w:pPr>
              <w:spacing w:before="120" w:after="0" w:line="240" w:lineRule="auto"/>
              <w:rPr>
                <w:rFonts w:ascii="Arial Narrow" w:hAnsi="Arial Narrow"/>
                <w:sz w:val="20"/>
                <w:szCs w:val="20"/>
              </w:rPr>
            </w:pPr>
            <w:r>
              <w:rPr>
                <w:rFonts w:ascii="Arial Narrow" w:hAnsi="Arial Narrow"/>
                <w:sz w:val="20"/>
                <w:szCs w:val="20"/>
              </w:rPr>
              <w:t>TN.8.6</w:t>
            </w:r>
            <w:r w:rsidR="00F500A2">
              <w:rPr>
                <w:rFonts w:ascii="Arial Narrow" w:hAnsi="Arial Narrow"/>
                <w:sz w:val="20"/>
                <w:szCs w:val="20"/>
              </w:rPr>
              <w:t>4</w:t>
            </w:r>
          </w:p>
          <w:p w14:paraId="67E3639C" w14:textId="77777777" w:rsidR="00B14E86" w:rsidRDefault="00F500A2" w:rsidP="00E25BDA">
            <w:pPr>
              <w:spacing w:after="120" w:line="240" w:lineRule="auto"/>
              <w:jc w:val="center"/>
              <w:rPr>
                <w:rFonts w:ascii="Arial Narrow" w:hAnsi="Arial Narrow"/>
                <w:sz w:val="20"/>
                <w:szCs w:val="20"/>
              </w:rPr>
            </w:pPr>
            <w:r w:rsidRPr="00F500A2">
              <w:rPr>
                <w:rFonts w:ascii="Arial Narrow" w:hAnsi="Arial Narrow"/>
                <w:sz w:val="20"/>
                <w:szCs w:val="20"/>
              </w:rPr>
              <w:t>Intravascular Extraction of Permanent Pacing Leads - (Item 38358)</w:t>
            </w:r>
          </w:p>
          <w:p w14:paraId="799CFA3D" w14:textId="46B6BC6E" w:rsidR="00F500A2" w:rsidRDefault="00F500A2" w:rsidP="00E25BDA">
            <w:pPr>
              <w:spacing w:before="120" w:after="120" w:line="240" w:lineRule="auto"/>
              <w:rPr>
                <w:rFonts w:ascii="Arial Narrow" w:hAnsi="Arial Narrow"/>
                <w:sz w:val="20"/>
                <w:szCs w:val="20"/>
              </w:rPr>
            </w:pPr>
            <w:r w:rsidRPr="00F500A2">
              <w:rPr>
                <w:rFonts w:ascii="Arial Narrow" w:hAnsi="Arial Narrow"/>
                <w:sz w:val="20"/>
                <w:szCs w:val="20"/>
              </w:rPr>
              <w:t>For the purposes of Item 38358 specialists or consultant physicians claiming this item must have training recognised by the Lead Extraction Advisory Committee of the Cardiac Society of Australia and New Zealand, and the Department of Human Services notified of that recognition. The procedure should only be undertaken in a hospital capable of providing cardiac surgery.</w:t>
            </w:r>
          </w:p>
        </w:tc>
      </w:tr>
      <w:tr w:rsidR="00F500A2" w:rsidRPr="005771DC" w14:paraId="22E12886" w14:textId="77777777" w:rsidTr="00D10671">
        <w:tc>
          <w:tcPr>
            <w:tcW w:w="5000" w:type="pct"/>
          </w:tcPr>
          <w:p w14:paraId="56155B00" w14:textId="281FA32C" w:rsidR="00F500A2" w:rsidRDefault="00F500A2" w:rsidP="00E25BDA">
            <w:pPr>
              <w:spacing w:before="120" w:after="0" w:line="240" w:lineRule="auto"/>
              <w:rPr>
                <w:rFonts w:ascii="Arial Narrow" w:hAnsi="Arial Narrow"/>
                <w:sz w:val="20"/>
                <w:szCs w:val="20"/>
              </w:rPr>
            </w:pPr>
            <w:r>
              <w:rPr>
                <w:rFonts w:ascii="Arial Narrow" w:hAnsi="Arial Narrow"/>
                <w:sz w:val="20"/>
                <w:szCs w:val="20"/>
              </w:rPr>
              <w:t>TN.8.214</w:t>
            </w:r>
          </w:p>
          <w:p w14:paraId="0C50E013" w14:textId="0B7DF102" w:rsidR="00F500A2" w:rsidRDefault="00F500A2" w:rsidP="00E25BDA">
            <w:pPr>
              <w:spacing w:after="120" w:line="240" w:lineRule="auto"/>
              <w:jc w:val="center"/>
              <w:rPr>
                <w:rFonts w:ascii="Arial Narrow" w:hAnsi="Arial Narrow"/>
                <w:sz w:val="20"/>
                <w:szCs w:val="20"/>
              </w:rPr>
            </w:pPr>
            <w:r>
              <w:rPr>
                <w:rFonts w:ascii="Arial Narrow" w:hAnsi="Arial Narrow"/>
                <w:sz w:val="20"/>
                <w:szCs w:val="20"/>
              </w:rPr>
              <w:t>I</w:t>
            </w:r>
            <w:r w:rsidRPr="00F500A2">
              <w:rPr>
                <w:rFonts w:ascii="Arial Narrow" w:hAnsi="Arial Narrow"/>
                <w:sz w:val="20"/>
                <w:szCs w:val="20"/>
              </w:rPr>
              <w:t>nternational guidelines and claiming guide for extraction of leads</w:t>
            </w:r>
          </w:p>
          <w:p w14:paraId="2F55450F" w14:textId="441C5D1D" w:rsidR="00F500A2" w:rsidRPr="00F500A2" w:rsidRDefault="00F500A2" w:rsidP="00E25BDA">
            <w:pPr>
              <w:spacing w:before="120" w:after="0" w:line="240" w:lineRule="auto"/>
              <w:rPr>
                <w:rFonts w:ascii="Arial Narrow" w:hAnsi="Arial Narrow"/>
                <w:sz w:val="20"/>
                <w:szCs w:val="20"/>
              </w:rPr>
            </w:pPr>
            <w:r w:rsidRPr="00F500A2">
              <w:rPr>
                <w:rFonts w:ascii="Arial Narrow" w:hAnsi="Arial Narrow"/>
                <w:sz w:val="20"/>
                <w:szCs w:val="20"/>
              </w:rPr>
              <w:t>International guidelines state that delays from injury to open access to the heart of more than 5–10 minutes are often associated with a fatal outcome. Preparations for this procedure should provide for this rare but life threatening circumstance.</w:t>
            </w:r>
          </w:p>
          <w:p w14:paraId="42629644" w14:textId="0F2CF0D0" w:rsidR="00F500A2" w:rsidRPr="00F500A2" w:rsidRDefault="00F500A2" w:rsidP="00E25BDA">
            <w:pPr>
              <w:spacing w:before="120" w:after="0" w:line="240" w:lineRule="auto"/>
              <w:rPr>
                <w:rFonts w:ascii="Arial Narrow" w:hAnsi="Arial Narrow"/>
                <w:b/>
                <w:bCs/>
                <w:sz w:val="20"/>
                <w:szCs w:val="20"/>
              </w:rPr>
            </w:pPr>
            <w:r w:rsidRPr="00F500A2">
              <w:rPr>
                <w:rFonts w:ascii="Arial Narrow" w:hAnsi="Arial Narrow"/>
                <w:b/>
                <w:bCs/>
                <w:sz w:val="20"/>
                <w:szCs w:val="20"/>
              </w:rPr>
              <w:t>Claiming guide:</w:t>
            </w:r>
          </w:p>
          <w:p w14:paraId="31D6FA83" w14:textId="4A1F15C8" w:rsidR="00F500A2" w:rsidRPr="00F500A2" w:rsidRDefault="00F500A2" w:rsidP="00E25BDA">
            <w:pPr>
              <w:spacing w:before="120" w:after="0" w:line="240" w:lineRule="auto"/>
              <w:rPr>
                <w:rFonts w:ascii="Arial Narrow" w:hAnsi="Arial Narrow"/>
                <w:sz w:val="20"/>
                <w:szCs w:val="20"/>
              </w:rPr>
            </w:pPr>
            <w:r w:rsidRPr="00F500A2">
              <w:rPr>
                <w:rFonts w:ascii="Arial Narrow" w:hAnsi="Arial Narrow"/>
                <w:sz w:val="20"/>
                <w:szCs w:val="20"/>
              </w:rPr>
              <w:t>When the service to which item 38358 applies is provided to a patient by an accredited interventional cardiologist the following claiming will apply:</w:t>
            </w:r>
          </w:p>
          <w:p w14:paraId="1F554065" w14:textId="4AB2E39D" w:rsidR="00F500A2" w:rsidRPr="00F500A2" w:rsidRDefault="00F500A2" w:rsidP="00E25BDA">
            <w:pPr>
              <w:pStyle w:val="ListParagraph"/>
              <w:numPr>
                <w:ilvl w:val="0"/>
                <w:numId w:val="18"/>
              </w:numPr>
              <w:spacing w:before="120" w:after="0" w:line="240" w:lineRule="auto"/>
              <w:rPr>
                <w:rFonts w:ascii="Arial Narrow" w:hAnsi="Arial Narrow"/>
                <w:sz w:val="20"/>
                <w:szCs w:val="20"/>
              </w:rPr>
            </w:pPr>
            <w:r w:rsidRPr="00F500A2">
              <w:rPr>
                <w:rFonts w:ascii="Arial Narrow" w:hAnsi="Arial Narrow"/>
                <w:sz w:val="20"/>
                <w:szCs w:val="20"/>
              </w:rPr>
              <w:t xml:space="preserve">Item 38358 is to be claimed by the accredited </w:t>
            </w:r>
            <w:r w:rsidRPr="00F500A2">
              <w:rPr>
                <w:rFonts w:ascii="Arial Narrow" w:hAnsi="Arial Narrow"/>
                <w:b/>
                <w:bCs/>
                <w:sz w:val="20"/>
                <w:szCs w:val="20"/>
              </w:rPr>
              <w:t>interventional cardiologist</w:t>
            </w:r>
            <w:r w:rsidRPr="00F500A2">
              <w:rPr>
                <w:rFonts w:ascii="Arial Narrow" w:hAnsi="Arial Narrow"/>
                <w:sz w:val="20"/>
                <w:szCs w:val="20"/>
              </w:rPr>
              <w:t>; and</w:t>
            </w:r>
          </w:p>
          <w:p w14:paraId="24941D23" w14:textId="7849869B" w:rsidR="00F500A2" w:rsidRPr="00F500A2" w:rsidRDefault="00F500A2" w:rsidP="00E25BDA">
            <w:pPr>
              <w:pStyle w:val="ListParagraph"/>
              <w:numPr>
                <w:ilvl w:val="0"/>
                <w:numId w:val="18"/>
              </w:numPr>
              <w:spacing w:before="120" w:after="0" w:line="240" w:lineRule="auto"/>
              <w:rPr>
                <w:rFonts w:ascii="Arial Narrow" w:hAnsi="Arial Narrow"/>
                <w:sz w:val="20"/>
                <w:szCs w:val="20"/>
              </w:rPr>
            </w:pPr>
            <w:r w:rsidRPr="00F500A2">
              <w:rPr>
                <w:rFonts w:ascii="Arial Narrow" w:hAnsi="Arial Narrow"/>
                <w:sz w:val="20"/>
                <w:szCs w:val="20"/>
              </w:rPr>
              <w:t>Item 90300 is to be claimed by the standby cardiothoracic surgeon.</w:t>
            </w:r>
          </w:p>
          <w:p w14:paraId="53212B77" w14:textId="259378AB" w:rsidR="00F500A2" w:rsidRPr="00F500A2" w:rsidRDefault="00F500A2" w:rsidP="00E25BDA">
            <w:pPr>
              <w:spacing w:before="120" w:after="0" w:line="240" w:lineRule="auto"/>
              <w:rPr>
                <w:rFonts w:ascii="Arial Narrow" w:hAnsi="Arial Narrow"/>
                <w:sz w:val="20"/>
                <w:szCs w:val="20"/>
              </w:rPr>
            </w:pPr>
            <w:r w:rsidRPr="00F500A2">
              <w:rPr>
                <w:rFonts w:ascii="Arial Narrow" w:hAnsi="Arial Narrow"/>
                <w:sz w:val="20"/>
                <w:szCs w:val="20"/>
              </w:rPr>
              <w:t>When the service to which item 38358 applies is provided to a patient by an accredited cardiothoracic surgeon the following claiming will apply:</w:t>
            </w:r>
          </w:p>
          <w:p w14:paraId="3A8D654C" w14:textId="4BD2D82C" w:rsidR="00F500A2" w:rsidRPr="00F500A2" w:rsidRDefault="00F500A2" w:rsidP="00E25BDA">
            <w:pPr>
              <w:pStyle w:val="ListParagraph"/>
              <w:numPr>
                <w:ilvl w:val="0"/>
                <w:numId w:val="18"/>
              </w:numPr>
              <w:spacing w:before="120" w:after="0" w:line="240" w:lineRule="auto"/>
              <w:rPr>
                <w:rFonts w:ascii="Arial Narrow" w:hAnsi="Arial Narrow"/>
                <w:sz w:val="20"/>
                <w:szCs w:val="20"/>
              </w:rPr>
            </w:pPr>
            <w:r w:rsidRPr="00F500A2">
              <w:rPr>
                <w:rFonts w:ascii="Arial Narrow" w:hAnsi="Arial Narrow"/>
                <w:sz w:val="20"/>
                <w:szCs w:val="20"/>
              </w:rPr>
              <w:t xml:space="preserve">Item 38358 is to be claimed by the accredited </w:t>
            </w:r>
            <w:r w:rsidRPr="00F500A2">
              <w:rPr>
                <w:rFonts w:ascii="Arial Narrow" w:hAnsi="Arial Narrow"/>
                <w:b/>
                <w:bCs/>
                <w:sz w:val="20"/>
                <w:szCs w:val="20"/>
              </w:rPr>
              <w:t>cardiothoracic surgeon</w:t>
            </w:r>
            <w:r w:rsidRPr="00F500A2">
              <w:rPr>
                <w:rFonts w:ascii="Arial Narrow" w:hAnsi="Arial Narrow"/>
                <w:sz w:val="20"/>
                <w:szCs w:val="20"/>
              </w:rPr>
              <w:t>; and</w:t>
            </w:r>
          </w:p>
          <w:p w14:paraId="0DA2353D" w14:textId="0F109372" w:rsidR="00F500A2" w:rsidRPr="00F500A2" w:rsidRDefault="00F500A2" w:rsidP="00E25BDA">
            <w:pPr>
              <w:pStyle w:val="ListParagraph"/>
              <w:numPr>
                <w:ilvl w:val="0"/>
                <w:numId w:val="18"/>
              </w:numPr>
              <w:spacing w:after="120" w:line="240" w:lineRule="auto"/>
              <w:ind w:left="805" w:hanging="357"/>
              <w:contextualSpacing w:val="0"/>
              <w:rPr>
                <w:rFonts w:ascii="Arial Narrow" w:hAnsi="Arial Narrow"/>
                <w:sz w:val="20"/>
                <w:szCs w:val="20"/>
              </w:rPr>
            </w:pPr>
            <w:r w:rsidRPr="00F500A2">
              <w:rPr>
                <w:rFonts w:ascii="Arial Narrow" w:hAnsi="Arial Narrow"/>
                <w:sz w:val="20"/>
                <w:szCs w:val="20"/>
              </w:rPr>
              <w:t>Item 90300 is also claimable by the cardiothoracic surgeon.</w:t>
            </w:r>
          </w:p>
        </w:tc>
      </w:tr>
    </w:tbl>
    <w:p w14:paraId="08E450AC" w14:textId="77777777" w:rsidR="00B14E86" w:rsidRDefault="00B14E86" w:rsidP="00B14E86"/>
    <w:p w14:paraId="5B32B4A6" w14:textId="1AC7CDB9" w:rsidR="008A32B8" w:rsidRPr="0076740E" w:rsidRDefault="00F22DFD" w:rsidP="008A32B8">
      <w:r>
        <w:t>Various s</w:t>
      </w:r>
      <w:r w:rsidR="008A32B8">
        <w:t>ingle-chamber pacemaker</w:t>
      </w:r>
      <w:r w:rsidR="00C95D0E">
        <w:t xml:space="preserve"> generator</w:t>
      </w:r>
      <w:r w:rsidR="008A32B8">
        <w:t xml:space="preserve">s are available on the </w:t>
      </w:r>
      <w:r>
        <w:t xml:space="preserve">July 2021 </w:t>
      </w:r>
      <w:r w:rsidR="008A32B8">
        <w:t xml:space="preserve">PL (Grouping 08.04.03) </w:t>
      </w:r>
      <w:r>
        <w:t>with a benefit of $3,948 ($5,398 for TV-PMs with a remote monitoring service).</w:t>
      </w:r>
      <w:r w:rsidR="00C95D0E">
        <w:t xml:space="preserve"> Right ventricular pacemaker leads </w:t>
      </w:r>
      <w:r w:rsidR="00697867">
        <w:t xml:space="preserve">(Groupings 08.08.08 and 08.08.09) </w:t>
      </w:r>
      <w:r w:rsidR="00C95D0E">
        <w:t xml:space="preserve">are </w:t>
      </w:r>
      <w:r w:rsidR="00697867">
        <w:t>listed on the PL with benefits ranging from $831 to $1,732.</w:t>
      </w:r>
    </w:p>
    <w:p w14:paraId="29C1EA87" w14:textId="33937438" w:rsidR="007A66C8" w:rsidRPr="008F1532" w:rsidRDefault="007A66C8" w:rsidP="00713728">
      <w:pPr>
        <w:pStyle w:val="Heading3"/>
      </w:pPr>
      <w:r w:rsidRPr="008F1532">
        <w:t>Outcomes</w:t>
      </w:r>
    </w:p>
    <w:p w14:paraId="79B2F684" w14:textId="25BB4364" w:rsidR="00CC184B" w:rsidRDefault="00CC184B" w:rsidP="00B45795">
      <w:pPr>
        <w:pStyle w:val="Heading4"/>
        <w:spacing w:before="120"/>
      </w:pPr>
      <w:r>
        <w:t>Technical performance</w:t>
      </w:r>
    </w:p>
    <w:p w14:paraId="0AE67D0B" w14:textId="6BB81433" w:rsidR="00CC184B" w:rsidRDefault="00CC184B" w:rsidP="00A87E27">
      <w:pPr>
        <w:spacing w:after="120"/>
      </w:pPr>
      <w:r>
        <w:t>Three main technical performance outcomes are relevant:</w:t>
      </w:r>
    </w:p>
    <w:p w14:paraId="114942DB" w14:textId="56429F8B" w:rsidR="00CC184B" w:rsidRDefault="00CC184B" w:rsidP="00BC7B13">
      <w:pPr>
        <w:pStyle w:val="ListParagraph"/>
        <w:numPr>
          <w:ilvl w:val="0"/>
          <w:numId w:val="4"/>
        </w:numPr>
      </w:pPr>
      <w:r>
        <w:t>pacing performance (sensing, impedance, pacing threshold)</w:t>
      </w:r>
    </w:p>
    <w:p w14:paraId="427964FA" w14:textId="17FEC764" w:rsidR="00CC184B" w:rsidRDefault="00CC184B" w:rsidP="00BC7B13">
      <w:pPr>
        <w:pStyle w:val="ListParagraph"/>
        <w:numPr>
          <w:ilvl w:val="0"/>
          <w:numId w:val="4"/>
        </w:numPr>
      </w:pPr>
      <w:r>
        <w:t>battery life</w:t>
      </w:r>
    </w:p>
    <w:p w14:paraId="34F58FC4" w14:textId="1599B6DF" w:rsidR="00CC184B" w:rsidRDefault="00CC184B" w:rsidP="00BC7B13">
      <w:pPr>
        <w:pStyle w:val="ListParagraph"/>
        <w:numPr>
          <w:ilvl w:val="0"/>
          <w:numId w:val="4"/>
        </w:numPr>
      </w:pPr>
      <w:r>
        <w:t>adaptability (rate response).</w:t>
      </w:r>
    </w:p>
    <w:p w14:paraId="45094C39" w14:textId="22835126" w:rsidR="00CC184B" w:rsidRDefault="002D6AD5" w:rsidP="00CC184B">
      <w:r>
        <w:t>Battery longevity is an important consideration for implanted devices</w:t>
      </w:r>
      <w:r w:rsidR="00A87E27">
        <w:t xml:space="preserve"> as there are risks associated with reintervention for device replacement</w:t>
      </w:r>
      <w:r>
        <w:t xml:space="preserve">. </w:t>
      </w:r>
      <w:r w:rsidR="00A87E27">
        <w:t>Long-term r</w:t>
      </w:r>
      <w:r>
        <w:t xml:space="preserve">eal-world data are preferable to </w:t>
      </w:r>
      <w:r w:rsidR="00A87E27">
        <w:t xml:space="preserve">bench testing to </w:t>
      </w:r>
      <w:r>
        <w:t xml:space="preserve">support battery </w:t>
      </w:r>
      <w:r w:rsidR="00A87E27">
        <w:t>life claims</w:t>
      </w:r>
      <w:r>
        <w:t>.</w:t>
      </w:r>
    </w:p>
    <w:p w14:paraId="5E19E883" w14:textId="1579A864" w:rsidR="00ED283B" w:rsidRDefault="00ED283B" w:rsidP="004C6920">
      <w:pPr>
        <w:pStyle w:val="Heading4"/>
      </w:pPr>
      <w:r w:rsidRPr="00ED283B">
        <w:t>Patient</w:t>
      </w:r>
      <w:r w:rsidR="00CC184B">
        <w:t>-</w:t>
      </w:r>
      <w:r w:rsidRPr="00ED283B">
        <w:t>relevant</w:t>
      </w:r>
      <w:r w:rsidR="00CC184B">
        <w:t xml:space="preserve"> effectiveness outcomes</w:t>
      </w:r>
    </w:p>
    <w:p w14:paraId="773DC4D7" w14:textId="41B5F9E3" w:rsidR="00860A3A" w:rsidRPr="00860A3A" w:rsidRDefault="00860A3A" w:rsidP="00E61EC2">
      <w:pPr>
        <w:spacing w:after="120"/>
      </w:pPr>
      <w:r w:rsidRPr="00860A3A">
        <w:t xml:space="preserve">The application did not specify </w:t>
      </w:r>
      <w:r>
        <w:t xml:space="preserve">any patient-relevant effectiveness outcomes but these are likely to </w:t>
      </w:r>
      <w:r w:rsidRPr="00860A3A">
        <w:t>be most influential for MSAC decision-making</w:t>
      </w:r>
      <w:r>
        <w:t>.</w:t>
      </w:r>
      <w:r w:rsidR="00E61EC2">
        <w:t xml:space="preserve"> Patient-relevant effectiveness outcomes include:</w:t>
      </w:r>
    </w:p>
    <w:p w14:paraId="3A40E0F8" w14:textId="00D5F9A2" w:rsidR="00A87E27" w:rsidRDefault="00E61EC2" w:rsidP="00BC7B13">
      <w:pPr>
        <w:pStyle w:val="ListParagraph"/>
        <w:numPr>
          <w:ilvl w:val="0"/>
          <w:numId w:val="4"/>
        </w:numPr>
      </w:pPr>
      <w:r>
        <w:t>mortality (</w:t>
      </w:r>
      <w:r w:rsidR="00860A3A">
        <w:t>a</w:t>
      </w:r>
      <w:r w:rsidR="00A87E27">
        <w:t xml:space="preserve">ll-cause </w:t>
      </w:r>
      <w:r>
        <w:t>and cardiovascular)</w:t>
      </w:r>
    </w:p>
    <w:p w14:paraId="20CCC89A" w14:textId="67342390" w:rsidR="00860A3A" w:rsidRDefault="00860A3A" w:rsidP="00BC7B13">
      <w:pPr>
        <w:pStyle w:val="ListParagraph"/>
        <w:numPr>
          <w:ilvl w:val="0"/>
          <w:numId w:val="4"/>
        </w:numPr>
      </w:pPr>
      <w:r>
        <w:t>exercise capacity</w:t>
      </w:r>
    </w:p>
    <w:p w14:paraId="56454692" w14:textId="74ECA52B" w:rsidR="00860A3A" w:rsidRDefault="00860A3A" w:rsidP="00BC7B13">
      <w:pPr>
        <w:pStyle w:val="ListParagraph"/>
        <w:numPr>
          <w:ilvl w:val="0"/>
          <w:numId w:val="4"/>
        </w:numPr>
      </w:pPr>
      <w:r>
        <w:t>change of medication</w:t>
      </w:r>
    </w:p>
    <w:p w14:paraId="0AD38B58" w14:textId="22BD841A" w:rsidR="00860A3A" w:rsidRDefault="00860A3A" w:rsidP="00BC7B13">
      <w:pPr>
        <w:pStyle w:val="ListParagraph"/>
        <w:numPr>
          <w:ilvl w:val="0"/>
          <w:numId w:val="4"/>
        </w:numPr>
      </w:pPr>
      <w:r>
        <w:t xml:space="preserve">progression </w:t>
      </w:r>
      <w:r w:rsidR="008C30DC">
        <w:t xml:space="preserve">or recurrence </w:t>
      </w:r>
      <w:r>
        <w:t>of cardiac arrhythmias</w:t>
      </w:r>
    </w:p>
    <w:p w14:paraId="5B819EC1" w14:textId="72ED9DC4" w:rsidR="00BD6D35" w:rsidRDefault="00BD6D35" w:rsidP="00BC7B13">
      <w:pPr>
        <w:pStyle w:val="ListParagraph"/>
        <w:numPr>
          <w:ilvl w:val="0"/>
          <w:numId w:val="4"/>
        </w:numPr>
      </w:pPr>
      <w:r>
        <w:t>switch to an alternative device (a different pacemaker or defibrillator)</w:t>
      </w:r>
    </w:p>
    <w:p w14:paraId="39817EB4" w14:textId="68C4F04C" w:rsidR="00E61EC2" w:rsidRDefault="00E61EC2" w:rsidP="00BC7B13">
      <w:pPr>
        <w:pStyle w:val="ListParagraph"/>
        <w:numPr>
          <w:ilvl w:val="0"/>
          <w:numId w:val="4"/>
        </w:numPr>
      </w:pPr>
      <w:r>
        <w:t>symptoms of cardiac arr</w:t>
      </w:r>
      <w:r w:rsidR="008C30DC">
        <w:t>hythmias (</w:t>
      </w:r>
      <w:r>
        <w:t>pre-syncope or syncope</w:t>
      </w:r>
      <w:r w:rsidR="008C30DC">
        <w:t>)</w:t>
      </w:r>
    </w:p>
    <w:p w14:paraId="3219F165" w14:textId="09F6FECE" w:rsidR="00860A3A" w:rsidRDefault="004111F1" w:rsidP="00BC7B13">
      <w:pPr>
        <w:pStyle w:val="ListParagraph"/>
        <w:numPr>
          <w:ilvl w:val="0"/>
          <w:numId w:val="4"/>
        </w:numPr>
      </w:pPr>
      <w:r>
        <w:t xml:space="preserve">health-related </w:t>
      </w:r>
      <w:r w:rsidR="00860A3A">
        <w:t>quality of life</w:t>
      </w:r>
    </w:p>
    <w:p w14:paraId="16959F4E" w14:textId="2D3BF9FB" w:rsidR="00ED283B" w:rsidRDefault="00860A3A" w:rsidP="00BC7B13">
      <w:pPr>
        <w:pStyle w:val="ListParagraph"/>
        <w:numPr>
          <w:ilvl w:val="0"/>
          <w:numId w:val="4"/>
        </w:numPr>
      </w:pPr>
      <w:r>
        <w:t>patient satisfaction</w:t>
      </w:r>
      <w:r w:rsidR="00446557">
        <w:t xml:space="preserve"> (including patient lack of concerns about the device)</w:t>
      </w:r>
      <w:r>
        <w:t>.</w:t>
      </w:r>
    </w:p>
    <w:p w14:paraId="67068F2B" w14:textId="77777777" w:rsidR="00ED283B" w:rsidRPr="00ED283B" w:rsidRDefault="00ED283B" w:rsidP="004C6920">
      <w:pPr>
        <w:pStyle w:val="Heading4"/>
      </w:pPr>
      <w:r w:rsidRPr="00ED283B">
        <w:t>Safety outcomes</w:t>
      </w:r>
    </w:p>
    <w:p w14:paraId="153A03D3" w14:textId="33B68CEB" w:rsidR="004C6920" w:rsidRDefault="007159D0" w:rsidP="00334A51">
      <w:pPr>
        <w:spacing w:after="120"/>
      </w:pPr>
      <w:r>
        <w:t xml:space="preserve">The assessment should capture </w:t>
      </w:r>
      <w:r w:rsidR="004C6920">
        <w:t xml:space="preserve">major </w:t>
      </w:r>
      <w:r>
        <w:t xml:space="preserve">intraoperative and postoperative </w:t>
      </w:r>
      <w:r w:rsidR="00334A51">
        <w:t>complications</w:t>
      </w:r>
      <w:r>
        <w:t xml:space="preserve">, including long-term </w:t>
      </w:r>
      <w:r w:rsidR="00334A51">
        <w:t>device-related complications.</w:t>
      </w:r>
      <w:r>
        <w:t xml:space="preserve"> </w:t>
      </w:r>
      <w:r w:rsidR="009B5722">
        <w:t>Major procedure-related or device-related complications are those that resulted</w:t>
      </w:r>
      <w:r w:rsidR="009B5722" w:rsidRPr="009B5722">
        <w:t xml:space="preserve"> in death, permanent loss of device function as a result of mechanical or electrical dysfunction, hospitalisation, prolongation of hospitalisation by at least 48 hours, or system revision</w:t>
      </w:r>
      <w:r w:rsidR="009B5722">
        <w:t>.</w:t>
      </w:r>
    </w:p>
    <w:p w14:paraId="40D1A5C0" w14:textId="513FBCC7" w:rsidR="009B5722" w:rsidRPr="009B5722" w:rsidRDefault="00334A51" w:rsidP="00334A51">
      <w:pPr>
        <w:spacing w:after="120"/>
      </w:pPr>
      <w:r>
        <w:t>The following safety outcomes are considered relevant to the comparison of LPM versus TV-PM:</w:t>
      </w:r>
    </w:p>
    <w:p w14:paraId="6B053D95" w14:textId="434CCBCE" w:rsidR="00ED283B" w:rsidRDefault="009B5722" w:rsidP="00BC7B13">
      <w:pPr>
        <w:pStyle w:val="ListParagraph"/>
        <w:numPr>
          <w:ilvl w:val="0"/>
          <w:numId w:val="4"/>
        </w:numPr>
      </w:pPr>
      <w:r>
        <w:t>major</w:t>
      </w:r>
      <w:r w:rsidR="00265E43">
        <w:t xml:space="preserve"> </w:t>
      </w:r>
      <w:r w:rsidR="008C30DC">
        <w:t>p</w:t>
      </w:r>
      <w:r w:rsidR="00ED283B">
        <w:t>rocedur</w:t>
      </w:r>
      <w:r w:rsidR="008C30DC">
        <w:t>e-related</w:t>
      </w:r>
      <w:r w:rsidR="00ED283B">
        <w:t xml:space="preserve"> complications</w:t>
      </w:r>
      <w:r w:rsidR="008C30DC">
        <w:t xml:space="preserve"> (cardiac tamponade/perforation, pericardial effusion, </w:t>
      </w:r>
      <w:r>
        <w:t>venous thromboembolism</w:t>
      </w:r>
      <w:r w:rsidR="00265E43">
        <w:t>, infection, vascular complications</w:t>
      </w:r>
      <w:r>
        <w:t xml:space="preserve"> [bleeding, pseudoaneurysm, haematoma, arteriovenous/atrioventricular fistula]</w:t>
      </w:r>
      <w:r w:rsidR="008C30DC">
        <w:t>)</w:t>
      </w:r>
    </w:p>
    <w:p w14:paraId="7512DE8F" w14:textId="77777777" w:rsidR="00DA19B7" w:rsidRDefault="00DA19B7" w:rsidP="00DA19B7">
      <w:pPr>
        <w:pStyle w:val="ListParagraph"/>
        <w:numPr>
          <w:ilvl w:val="0"/>
          <w:numId w:val="4"/>
        </w:numPr>
        <w:spacing w:after="120" w:line="240" w:lineRule="auto"/>
      </w:pPr>
      <w:r>
        <w:t>Right ventricular dysfunction</w:t>
      </w:r>
    </w:p>
    <w:p w14:paraId="6FF11B0B" w14:textId="77777777" w:rsidR="00DA19B7" w:rsidRDefault="00DA19B7" w:rsidP="00DA19B7">
      <w:pPr>
        <w:pStyle w:val="ListParagraph"/>
        <w:numPr>
          <w:ilvl w:val="0"/>
          <w:numId w:val="4"/>
        </w:numPr>
        <w:spacing w:after="120" w:line="240" w:lineRule="auto"/>
      </w:pPr>
      <w:r w:rsidRPr="00253723">
        <w:t>Atrioventricular (AV – tricuspid &amp; mitral) valve regurgitation</w:t>
      </w:r>
    </w:p>
    <w:p w14:paraId="743374C0" w14:textId="78395E44" w:rsidR="00DA19B7" w:rsidRDefault="00DA19B7" w:rsidP="00454169">
      <w:pPr>
        <w:pStyle w:val="ListParagraph"/>
        <w:numPr>
          <w:ilvl w:val="0"/>
          <w:numId w:val="4"/>
        </w:numPr>
        <w:spacing w:after="120" w:line="240" w:lineRule="auto"/>
      </w:pPr>
      <w:r>
        <w:t>Pacemaker syndrome</w:t>
      </w:r>
    </w:p>
    <w:p w14:paraId="43187145" w14:textId="2A101872" w:rsidR="00ED283B" w:rsidRDefault="009B5722" w:rsidP="00BC7B13">
      <w:pPr>
        <w:pStyle w:val="ListParagraph"/>
        <w:numPr>
          <w:ilvl w:val="0"/>
          <w:numId w:val="4"/>
        </w:numPr>
      </w:pPr>
      <w:r>
        <w:t>major</w:t>
      </w:r>
      <w:r w:rsidR="00265E43">
        <w:t xml:space="preserve"> </w:t>
      </w:r>
      <w:r w:rsidR="008C30DC">
        <w:t xml:space="preserve">device-related complications (device dislodgement, device malfunction, </w:t>
      </w:r>
      <w:r w:rsidR="00696E8B">
        <w:t xml:space="preserve">battery failure, </w:t>
      </w:r>
      <w:r w:rsidR="008C30DC">
        <w:t>device infection</w:t>
      </w:r>
      <w:r w:rsidR="007159D0">
        <w:t>, pacemaker-induced arrhythmia</w:t>
      </w:r>
      <w:r w:rsidR="00696E8B">
        <w:t>)</w:t>
      </w:r>
    </w:p>
    <w:p w14:paraId="614002FD" w14:textId="2F17A012" w:rsidR="00BD6D35" w:rsidRDefault="00BD6D35" w:rsidP="00BC7B13">
      <w:pPr>
        <w:pStyle w:val="ListParagraph"/>
        <w:numPr>
          <w:ilvl w:val="0"/>
          <w:numId w:val="4"/>
        </w:numPr>
      </w:pPr>
      <w:r>
        <w:t>device revision, retrieval, replacement</w:t>
      </w:r>
    </w:p>
    <w:p w14:paraId="38648BDC" w14:textId="71353ED3" w:rsidR="00FA320C" w:rsidRDefault="00791567" w:rsidP="00BC7B13">
      <w:pPr>
        <w:pStyle w:val="ListParagraph"/>
        <w:numPr>
          <w:ilvl w:val="0"/>
          <w:numId w:val="4"/>
        </w:numPr>
      </w:pPr>
      <w:r>
        <w:t xml:space="preserve">device </w:t>
      </w:r>
      <w:r w:rsidR="00D66346">
        <w:t>explan</w:t>
      </w:r>
      <w:r>
        <w:t>t</w:t>
      </w:r>
      <w:r w:rsidR="00D66346">
        <w:t>ation</w:t>
      </w:r>
    </w:p>
    <w:p w14:paraId="32F63030" w14:textId="7C57F15D" w:rsidR="00696E8B" w:rsidRDefault="00334A51" w:rsidP="00BC7B13">
      <w:pPr>
        <w:pStyle w:val="ListParagraph"/>
        <w:numPr>
          <w:ilvl w:val="0"/>
          <w:numId w:val="4"/>
        </w:numPr>
        <w:spacing w:after="240"/>
        <w:ind w:left="714" w:hanging="357"/>
      </w:pPr>
      <w:r>
        <w:t>any</w:t>
      </w:r>
      <w:r w:rsidR="00696E8B">
        <w:t xml:space="preserve"> serious adverse event</w:t>
      </w:r>
    </w:p>
    <w:p w14:paraId="383BCED0" w14:textId="0298FAA7" w:rsidR="00E769B7" w:rsidRPr="00E769B7" w:rsidRDefault="00E769B7" w:rsidP="00E769B7">
      <w:pPr>
        <w:rPr>
          <w:i/>
          <w:iCs/>
        </w:rPr>
      </w:pPr>
      <w:r w:rsidRPr="00E769B7">
        <w:rPr>
          <w:i/>
          <w:iCs/>
        </w:rPr>
        <w:t>PASC noted that the application hinges on adequate demonstration of superior safety relative to transvenous pacing.</w:t>
      </w:r>
    </w:p>
    <w:p w14:paraId="6E63323B" w14:textId="0198BDAF" w:rsidR="00ED283B" w:rsidRPr="00ED283B" w:rsidRDefault="00ED283B" w:rsidP="004C6920">
      <w:pPr>
        <w:pStyle w:val="Heading4"/>
      </w:pPr>
      <w:r w:rsidRPr="00ED283B">
        <w:t>Health</w:t>
      </w:r>
      <w:r w:rsidR="00F92353">
        <w:t xml:space="preserve"> </w:t>
      </w:r>
      <w:r w:rsidRPr="00ED283B">
        <w:t xml:space="preserve">care </w:t>
      </w:r>
      <w:r w:rsidR="007159D0">
        <w:t>resources</w:t>
      </w:r>
    </w:p>
    <w:p w14:paraId="6E8B00BC" w14:textId="2C618D73" w:rsidR="00ED283B" w:rsidRDefault="004C6920" w:rsidP="004C6920">
      <w:pPr>
        <w:keepNext/>
        <w:spacing w:after="120"/>
      </w:pPr>
      <w:r>
        <w:t>Health</w:t>
      </w:r>
      <w:r w:rsidR="00F92353">
        <w:t xml:space="preserve"> </w:t>
      </w:r>
      <w:r>
        <w:t xml:space="preserve">care resource use and costs are required for the economic evaluation. </w:t>
      </w:r>
      <w:r w:rsidR="00F92353">
        <w:t>Health care r</w:t>
      </w:r>
      <w:r>
        <w:t xml:space="preserve">esource </w:t>
      </w:r>
      <w:r w:rsidR="00151546">
        <w:t xml:space="preserve">considerations </w:t>
      </w:r>
      <w:r>
        <w:t>include</w:t>
      </w:r>
      <w:r w:rsidR="00ED283B">
        <w:t>:</w:t>
      </w:r>
    </w:p>
    <w:p w14:paraId="65A81D83" w14:textId="1B2AAAB0" w:rsidR="00ED283B" w:rsidRDefault="007159D0" w:rsidP="00BC7B13">
      <w:pPr>
        <w:pStyle w:val="ListParagraph"/>
        <w:numPr>
          <w:ilvl w:val="0"/>
          <w:numId w:val="4"/>
        </w:numPr>
      </w:pPr>
      <w:r>
        <w:t>p</w:t>
      </w:r>
      <w:r w:rsidR="00ED283B">
        <w:t>rocedure duration</w:t>
      </w:r>
    </w:p>
    <w:p w14:paraId="0F47C5E6" w14:textId="77777777" w:rsidR="00BD6D35" w:rsidRDefault="00BD6D35" w:rsidP="00BC7B13">
      <w:pPr>
        <w:pStyle w:val="ListParagraph"/>
        <w:numPr>
          <w:ilvl w:val="0"/>
          <w:numId w:val="4"/>
        </w:numPr>
      </w:pPr>
      <w:r>
        <w:t>implant success rate</w:t>
      </w:r>
    </w:p>
    <w:p w14:paraId="7BBE4AB6" w14:textId="6533D91B" w:rsidR="00265E43" w:rsidRDefault="007159D0" w:rsidP="00BC7B13">
      <w:pPr>
        <w:pStyle w:val="ListParagraph"/>
        <w:numPr>
          <w:ilvl w:val="0"/>
          <w:numId w:val="4"/>
        </w:numPr>
      </w:pPr>
      <w:r>
        <w:t>t</w:t>
      </w:r>
      <w:r w:rsidR="00ED283B">
        <w:t>ime to hospital discharge</w:t>
      </w:r>
    </w:p>
    <w:p w14:paraId="390A1B67" w14:textId="0C81DBE3" w:rsidR="00151546" w:rsidRDefault="00151546" w:rsidP="00BC7B13">
      <w:pPr>
        <w:pStyle w:val="ListParagraph"/>
        <w:numPr>
          <w:ilvl w:val="0"/>
          <w:numId w:val="4"/>
        </w:numPr>
      </w:pPr>
      <w:r>
        <w:t>procedure-related and follow-up costs</w:t>
      </w:r>
      <w:r w:rsidR="00BD6D35">
        <w:t xml:space="preserve"> (including downstream hospitalisations)</w:t>
      </w:r>
    </w:p>
    <w:p w14:paraId="19A5CFD0" w14:textId="03457C74" w:rsidR="00791567" w:rsidRDefault="00791567" w:rsidP="00BC7B13">
      <w:pPr>
        <w:pStyle w:val="ListParagraph"/>
        <w:numPr>
          <w:ilvl w:val="0"/>
          <w:numId w:val="4"/>
        </w:numPr>
        <w:ind w:left="714" w:hanging="357"/>
        <w:contextualSpacing w:val="0"/>
      </w:pPr>
      <w:r>
        <w:t xml:space="preserve">cost of </w:t>
      </w:r>
      <w:r w:rsidR="00151546">
        <w:t xml:space="preserve">device </w:t>
      </w:r>
      <w:r w:rsidR="00121002">
        <w:t>and consumables</w:t>
      </w:r>
      <w:r w:rsidR="00334A51">
        <w:t>.</w:t>
      </w:r>
    </w:p>
    <w:p w14:paraId="714FD7F1" w14:textId="22B80D08" w:rsidR="00334A51" w:rsidRDefault="00B21CFB" w:rsidP="00791567">
      <w:pPr>
        <w:spacing w:after="240"/>
      </w:pPr>
      <w:r>
        <w:t>For the proposed intervention, the application stated that the cost of the LP</w:t>
      </w:r>
      <w:r w:rsidR="00791567">
        <w:t>M</w:t>
      </w:r>
      <w:r>
        <w:t xml:space="preserve"> device and consumables would be proposed and justified in the assessment report.</w:t>
      </w:r>
    </w:p>
    <w:p w14:paraId="1EFF71C3" w14:textId="2BA53BAF" w:rsidR="007159D0" w:rsidRPr="007159D0" w:rsidRDefault="007159D0" w:rsidP="004C6920">
      <w:pPr>
        <w:pStyle w:val="Heading4"/>
      </w:pPr>
      <w:r w:rsidRPr="007159D0">
        <w:t xml:space="preserve">Total </w:t>
      </w:r>
      <w:r w:rsidR="00F92353">
        <w:t xml:space="preserve">Australian </w:t>
      </w:r>
      <w:r w:rsidRPr="007159D0">
        <w:t xml:space="preserve">Government </w:t>
      </w:r>
      <w:r w:rsidR="00F92353">
        <w:t>h</w:t>
      </w:r>
      <w:r w:rsidRPr="007159D0">
        <w:t>ealth</w:t>
      </w:r>
      <w:r w:rsidR="00F92353">
        <w:t xml:space="preserve"> </w:t>
      </w:r>
      <w:r w:rsidRPr="007159D0">
        <w:t>care costs</w:t>
      </w:r>
    </w:p>
    <w:p w14:paraId="48BC0D9F" w14:textId="162BD687" w:rsidR="007159D0" w:rsidRDefault="007159D0" w:rsidP="00BC7B13">
      <w:pPr>
        <w:pStyle w:val="ListParagraph"/>
        <w:numPr>
          <w:ilvl w:val="0"/>
          <w:numId w:val="4"/>
        </w:numPr>
      </w:pPr>
      <w:r>
        <w:t>total cost to the MBS</w:t>
      </w:r>
    </w:p>
    <w:p w14:paraId="491B4793" w14:textId="362B35EA" w:rsidR="009E25F6" w:rsidRDefault="007159D0" w:rsidP="00BC7B13">
      <w:pPr>
        <w:pStyle w:val="ListParagraph"/>
        <w:numPr>
          <w:ilvl w:val="0"/>
          <w:numId w:val="4"/>
        </w:numPr>
      </w:pPr>
      <w:r>
        <w:t>total cost to other health</w:t>
      </w:r>
      <w:r w:rsidR="00F403F2">
        <w:t xml:space="preserve"> </w:t>
      </w:r>
      <w:r>
        <w:t>care budgets</w:t>
      </w:r>
      <w:r w:rsidR="00151546">
        <w:t>.</w:t>
      </w:r>
    </w:p>
    <w:p w14:paraId="6069F0B5" w14:textId="77777777" w:rsidR="00D73332" w:rsidRPr="005A3165" w:rsidRDefault="00D73332" w:rsidP="00713728">
      <w:pPr>
        <w:pStyle w:val="Heading2"/>
        <w:rPr>
          <w:b/>
          <w:bCs/>
          <w:iCs/>
        </w:rPr>
      </w:pPr>
      <w:r w:rsidRPr="007B6FAE">
        <w:t>Clinical management algorithms</w:t>
      </w:r>
    </w:p>
    <w:p w14:paraId="39305E31" w14:textId="6FCF4631" w:rsidR="007B6FAE" w:rsidRDefault="007B6FAE" w:rsidP="00B45795">
      <w:pPr>
        <w:keepNext/>
        <w:spacing w:before="120"/>
      </w:pPr>
      <w:r>
        <w:t>The work up and lead up to diagnosis of patients will not change as a consequence of the introduction of the proposed intervention.</w:t>
      </w:r>
    </w:p>
    <w:p w14:paraId="037DA623" w14:textId="549EF479" w:rsidR="00ED283B" w:rsidRPr="007B6FAE" w:rsidRDefault="007B6FAE" w:rsidP="007B6FAE">
      <w:pPr>
        <w:rPr>
          <w:rFonts w:cstheme="minorHAnsi"/>
        </w:rPr>
      </w:pPr>
      <w:r>
        <w:t>While</w:t>
      </w:r>
      <w:r w:rsidRPr="007B6FAE">
        <w:t xml:space="preserve"> there are no Australian</w:t>
      </w:r>
      <w:r w:rsidR="00647F8A">
        <w:t>-</w:t>
      </w:r>
      <w:r w:rsidRPr="007B6FAE">
        <w:t xml:space="preserve">specific algorithms available for the management of patients with bradycardia, </w:t>
      </w:r>
      <w:r>
        <w:t>the application claims that</w:t>
      </w:r>
      <w:r w:rsidR="002B4B5A">
        <w:t xml:space="preserve"> – </w:t>
      </w:r>
      <w:r w:rsidRPr="007B6FAE">
        <w:t>based on local expert advice</w:t>
      </w:r>
      <w:r w:rsidR="002B4B5A">
        <w:t xml:space="preserve"> – </w:t>
      </w:r>
      <w:r w:rsidRPr="007B6FAE">
        <w:t xml:space="preserve">Australian clinicians refer to the 2018 ACC/AHA/HRS guidelines on the management of patient with bradycardia (Kusomoto </w:t>
      </w:r>
      <w:r>
        <w:t xml:space="preserve">et al. </w:t>
      </w:r>
      <w:r w:rsidRPr="007B6FAE">
        <w:t xml:space="preserve">2019). </w:t>
      </w:r>
      <w:r>
        <w:t>T</w:t>
      </w:r>
      <w:r w:rsidRPr="007B6FAE">
        <w:t xml:space="preserve">he </w:t>
      </w:r>
      <w:r>
        <w:t xml:space="preserve">2013 </w:t>
      </w:r>
      <w:r w:rsidRPr="007B6FAE">
        <w:t xml:space="preserve">European Society of Cardiology (ESC) guidelines on cardiac pacing (Brignole </w:t>
      </w:r>
      <w:r w:rsidR="002B4B5A">
        <w:t xml:space="preserve">et al. </w:t>
      </w:r>
      <w:r w:rsidRPr="007B6FAE">
        <w:t>2013)</w:t>
      </w:r>
      <w:r>
        <w:t xml:space="preserve"> are</w:t>
      </w:r>
      <w:r w:rsidRPr="007B6FAE">
        <w:t xml:space="preserve"> broadly similar to the ACC/AHA/HRS guidelines</w:t>
      </w:r>
      <w:r>
        <w:t xml:space="preserve"> but</w:t>
      </w:r>
      <w:r w:rsidRPr="007B6FAE">
        <w:t xml:space="preserve"> are somewhat dated</w:t>
      </w:r>
      <w:r>
        <w:t xml:space="preserve"> (</w:t>
      </w:r>
      <w:r w:rsidRPr="007B6FAE">
        <w:t>noting that an update of these guidelines is expected in 2021</w:t>
      </w:r>
      <w:r>
        <w:t>)</w:t>
      </w:r>
      <w:r w:rsidRPr="007B6FAE">
        <w:t xml:space="preserve">. </w:t>
      </w:r>
      <w:r w:rsidR="00ED283B" w:rsidRPr="00F543E9">
        <w:t>The clinical place in therapy for LPM, as illustrated in</w:t>
      </w:r>
      <w:r w:rsidR="00ED283B">
        <w:t xml:space="preserve"> </w:t>
      </w:r>
      <w:r w:rsidR="00611E17">
        <w:fldChar w:fldCharType="begin"/>
      </w:r>
      <w:r w:rsidR="00611E17">
        <w:instrText xml:space="preserve"> REF _Ref80349666 \h </w:instrText>
      </w:r>
      <w:r w:rsidR="00611E17">
        <w:fldChar w:fldCharType="separate"/>
      </w:r>
      <w:r w:rsidR="000D35EA">
        <w:t xml:space="preserve">Figure </w:t>
      </w:r>
      <w:r w:rsidR="000D35EA">
        <w:rPr>
          <w:noProof/>
        </w:rPr>
        <w:t>3</w:t>
      </w:r>
      <w:r w:rsidR="00611E17">
        <w:fldChar w:fldCharType="end"/>
      </w:r>
      <w:r w:rsidR="00611E17">
        <w:t xml:space="preserve"> and </w:t>
      </w:r>
      <w:r w:rsidR="00611E17">
        <w:fldChar w:fldCharType="begin"/>
      </w:r>
      <w:r w:rsidR="00611E17">
        <w:instrText xml:space="preserve"> REF _Ref80349678 \h </w:instrText>
      </w:r>
      <w:r w:rsidR="00611E17">
        <w:fldChar w:fldCharType="separate"/>
      </w:r>
      <w:r w:rsidR="000D35EA">
        <w:t xml:space="preserve">Figure </w:t>
      </w:r>
      <w:r w:rsidR="000D35EA">
        <w:rPr>
          <w:noProof/>
        </w:rPr>
        <w:t>4</w:t>
      </w:r>
      <w:r w:rsidR="00611E17">
        <w:fldChar w:fldCharType="end"/>
      </w:r>
      <w:r w:rsidR="00611E17">
        <w:t>,</w:t>
      </w:r>
      <w:r w:rsidR="00ED283B" w:rsidRPr="00F543E9">
        <w:t xml:space="preserve"> was confirmed with local experts </w:t>
      </w:r>
      <w:r>
        <w:t xml:space="preserve">by the applicant </w:t>
      </w:r>
      <w:r w:rsidR="00ED283B" w:rsidRPr="00F543E9">
        <w:t xml:space="preserve">and is consistent with the populations currently indicated for LPM based on the Micra </w:t>
      </w:r>
      <w:r w:rsidR="007C1F43">
        <w:t>VR</w:t>
      </w:r>
      <w:r w:rsidR="00ED283B" w:rsidRPr="00F543E9">
        <w:t xml:space="preserve"> indications (ARTG </w:t>
      </w:r>
      <w:hyperlink r:id="rId12" w:history="1">
        <w:r w:rsidR="00ED283B" w:rsidRPr="00A04F2E">
          <w:rPr>
            <w:rStyle w:val="Hyperlink"/>
            <w:rFonts w:ascii="Calibri" w:hAnsi="Calibri"/>
          </w:rPr>
          <w:t>283235</w:t>
        </w:r>
      </w:hyperlink>
      <w:r w:rsidR="00ED283B" w:rsidRPr="00F543E9">
        <w:t>).</w:t>
      </w:r>
    </w:p>
    <w:p w14:paraId="464136CF" w14:textId="23E1F994" w:rsidR="007C1F43" w:rsidRDefault="00ED283B" w:rsidP="00ED283B">
      <w:pPr>
        <w:rPr>
          <w:sz w:val="20"/>
        </w:rPr>
      </w:pPr>
      <w:r w:rsidRPr="00F543E9">
        <w:t>The</w:t>
      </w:r>
      <w:r>
        <w:t xml:space="preserve"> applicant claims that the</w:t>
      </w:r>
      <w:r w:rsidRPr="00F543E9">
        <w:t xml:space="preserve"> pacing performance of the Micra device is arguably the same irrespective of the indication for pacing, SND or AV block, as per the standard, </w:t>
      </w:r>
      <w:r w:rsidR="004D5B78">
        <w:t>single-chamber</w:t>
      </w:r>
      <w:r w:rsidRPr="00F543E9">
        <w:t xml:space="preserve"> TV-</w:t>
      </w:r>
      <w:r w:rsidRPr="007C1F43">
        <w:t xml:space="preserve">PM. </w:t>
      </w:r>
      <w:r w:rsidR="00A25AFF">
        <w:t>The applicant stated that b</w:t>
      </w:r>
      <w:r w:rsidRPr="007C1F43">
        <w:t>ased on local expert advice from three electrophysiologists, the overall majority of patients for whom LPM would be considered reflect patients with AV block, with only a minority of SND considered suitable for LPM. This is because there is a subset of patients with SND who may require atrial pacing support at a later point in time.</w:t>
      </w:r>
      <w:r w:rsidRPr="00F543E9">
        <w:t xml:space="preserve"> Atrial pacing is not a function available in current LPM devices. For these patients, an upgrade to a </w:t>
      </w:r>
      <w:r w:rsidR="004D5B78">
        <w:t>dual-chamber</w:t>
      </w:r>
      <w:r w:rsidRPr="00F543E9">
        <w:t xml:space="preserve"> </w:t>
      </w:r>
      <w:r w:rsidR="007C1F43">
        <w:t>TV-PM</w:t>
      </w:r>
      <w:r w:rsidRPr="00F543E9">
        <w:t xml:space="preserve"> would be required</w:t>
      </w:r>
      <w:r w:rsidR="002B4B5A">
        <w:t xml:space="preserve"> (</w:t>
      </w:r>
      <w:r w:rsidRPr="00F543E9">
        <w:t>requiring atrial lead placement</w:t>
      </w:r>
      <w:r w:rsidR="002B4B5A">
        <w:t>)</w:t>
      </w:r>
      <w:r w:rsidRPr="00F543E9">
        <w:rPr>
          <w:sz w:val="20"/>
        </w:rPr>
        <w:t>.</w:t>
      </w:r>
    </w:p>
    <w:p w14:paraId="3F183AB3" w14:textId="1D60AB2D" w:rsidR="007C1F43" w:rsidRDefault="00436E37" w:rsidP="00436E37">
      <w:pPr>
        <w:pStyle w:val="Caption"/>
      </w:pPr>
      <w:bookmarkStart w:id="7" w:name="_Ref80349666"/>
      <w:r>
        <w:t xml:space="preserve">Figure </w:t>
      </w:r>
      <w:r>
        <w:fldChar w:fldCharType="begin"/>
      </w:r>
      <w:r>
        <w:instrText xml:space="preserve"> SEQ Figure \* ARABIC </w:instrText>
      </w:r>
      <w:r>
        <w:fldChar w:fldCharType="separate"/>
      </w:r>
      <w:r w:rsidR="000D35EA">
        <w:rPr>
          <w:noProof/>
        </w:rPr>
        <w:t>3</w:t>
      </w:r>
      <w:r>
        <w:fldChar w:fldCharType="end"/>
      </w:r>
      <w:bookmarkEnd w:id="7"/>
      <w:r w:rsidR="007C1F43">
        <w:tab/>
      </w:r>
      <w:r w:rsidR="007C1F43">
        <w:tab/>
        <w:t xml:space="preserve">AV </w:t>
      </w:r>
      <w:r w:rsidR="007E213B">
        <w:t>b</w:t>
      </w:r>
      <w:r w:rsidR="007C1F43">
        <w:t xml:space="preserve">lock </w:t>
      </w:r>
      <w:r w:rsidR="007C1F43" w:rsidRPr="00406C8E">
        <w:t>management</w:t>
      </w:r>
      <w:r w:rsidR="007C1F43">
        <w:t xml:space="preserve"> algorithm</w:t>
      </w:r>
      <w:r w:rsidR="007E213B">
        <w:t xml:space="preserve">, </w:t>
      </w:r>
      <w:r w:rsidR="007C1F43">
        <w:t>including insertion of a leadless pacemaker</w:t>
      </w:r>
    </w:p>
    <w:p w14:paraId="7FA42521" w14:textId="39E13DEB" w:rsidR="00ED283B" w:rsidRDefault="003232A5" w:rsidP="003B06E3">
      <w:pPr>
        <w:pBdr>
          <w:top w:val="single" w:sz="4" w:space="1" w:color="auto"/>
          <w:left w:val="single" w:sz="4" w:space="4" w:color="auto"/>
          <w:bottom w:val="single" w:sz="4" w:space="1" w:color="auto"/>
          <w:right w:val="single" w:sz="4" w:space="4" w:color="auto"/>
        </w:pBdr>
        <w:spacing w:after="0"/>
        <w:jc w:val="center"/>
        <w:rPr>
          <w:u w:val="dotted"/>
        </w:rPr>
      </w:pPr>
      <w:r>
        <w:rPr>
          <w:noProof/>
          <w:u w:val="dotted"/>
          <w:lang w:eastAsia="en-AU"/>
        </w:rPr>
        <w:drawing>
          <wp:inline distT="0" distB="0" distL="0" distR="0" wp14:anchorId="11113771" wp14:editId="37B17133">
            <wp:extent cx="6083935" cy="5770880"/>
            <wp:effectExtent l="0" t="0" r="0" b="1270"/>
            <wp:docPr id="7" name="Picture 7" descr="A simplified clinical management algorithm for AV block is shown with two points at which single-chamber ventricular pacing is indicated, with the option of LPM or TV-PM at bo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mplified clinical management algorithm for AV block is shown with two points at which single-chamber ventricular pacing is indicated, with the option of LPM or TV-PM at both poin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3935" cy="5770880"/>
                    </a:xfrm>
                    <a:prstGeom prst="rect">
                      <a:avLst/>
                    </a:prstGeom>
                  </pic:spPr>
                </pic:pic>
              </a:graphicData>
            </a:graphic>
          </wp:inline>
        </w:drawing>
      </w:r>
    </w:p>
    <w:p w14:paraId="29DBF0F4" w14:textId="77777777" w:rsidR="003232A5" w:rsidRDefault="003232A5" w:rsidP="003232A5">
      <w:pPr>
        <w:pStyle w:val="Tablenotes"/>
        <w:rPr>
          <w:lang w:val="en-GB" w:eastAsia="ja-JP"/>
        </w:rPr>
      </w:pPr>
      <w:bookmarkStart w:id="8" w:name="_Ref74643586"/>
      <w:r>
        <w:rPr>
          <w:lang w:val="en-GB" w:eastAsia="ja-JP"/>
        </w:rPr>
        <w:t>Source: Simplified algorithm derived from Kusomoto et al. 2018,</w:t>
      </w:r>
      <w:r w:rsidRPr="00A52693">
        <w:rPr>
          <w:lang w:val="en-GB" w:eastAsia="ja-JP"/>
        </w:rPr>
        <w:t xml:space="preserve"> </w:t>
      </w:r>
      <w:r>
        <w:rPr>
          <w:lang w:val="en-GB" w:eastAsia="ja-JP"/>
        </w:rPr>
        <w:t>with addition of the proposed intervention (LPM) in blue.</w:t>
      </w:r>
    </w:p>
    <w:p w14:paraId="75B77A8F" w14:textId="77777777" w:rsidR="003232A5" w:rsidRDefault="003232A5" w:rsidP="003232A5">
      <w:pPr>
        <w:pStyle w:val="Tablenotes"/>
      </w:pPr>
      <w:r>
        <w:rPr>
          <w:lang w:val="en-GB" w:eastAsia="ja-JP"/>
        </w:rPr>
        <w:t xml:space="preserve">Abbreviations: AF, atrial fibrillation; </w:t>
      </w:r>
      <w:r w:rsidRPr="00406C8E">
        <w:rPr>
          <w:lang w:val="en-GB" w:eastAsia="ja-JP"/>
        </w:rPr>
        <w:t>AV</w:t>
      </w:r>
      <w:r>
        <w:rPr>
          <w:lang w:val="en-GB" w:eastAsia="ja-JP"/>
        </w:rPr>
        <w:t xml:space="preserve">, </w:t>
      </w:r>
      <w:r w:rsidRPr="00406C8E">
        <w:rPr>
          <w:lang w:val="en-GB" w:eastAsia="ja-JP"/>
        </w:rPr>
        <w:t xml:space="preserve">atrioventricular; </w:t>
      </w:r>
      <w:r>
        <w:rPr>
          <w:lang w:val="en-GB" w:eastAsia="ja-JP"/>
        </w:rPr>
        <w:t xml:space="preserve">CRT, cardiac resynchronisation therapy; </w:t>
      </w:r>
      <w:r w:rsidRPr="00406C8E">
        <w:rPr>
          <w:lang w:val="en-GB" w:eastAsia="ja-JP"/>
        </w:rPr>
        <w:t>GDMT, guideline-directed management</w:t>
      </w:r>
      <w:r>
        <w:rPr>
          <w:lang w:val="en-GB" w:eastAsia="ja-JP"/>
        </w:rPr>
        <w:t xml:space="preserve"> </w:t>
      </w:r>
      <w:r w:rsidRPr="00406C8E">
        <w:rPr>
          <w:lang w:val="en-GB" w:eastAsia="ja-JP"/>
        </w:rPr>
        <w:t xml:space="preserve">and therapy; HF, heart failure; </w:t>
      </w:r>
      <w:r>
        <w:rPr>
          <w:lang w:val="en-GB" w:eastAsia="ja-JP"/>
        </w:rPr>
        <w:t>LPM, leadless pacemaker;</w:t>
      </w:r>
      <w:r w:rsidRPr="00406C8E">
        <w:rPr>
          <w:lang w:val="en-GB" w:eastAsia="ja-JP"/>
        </w:rPr>
        <w:t xml:space="preserve"> LVEF, left ventricular ejection fraction</w:t>
      </w:r>
      <w:r>
        <w:rPr>
          <w:lang w:val="en-GB" w:eastAsia="ja-JP"/>
        </w:rPr>
        <w:t xml:space="preserve">; NMD, neuromuscular disease; TV-PM, single-chamber </w:t>
      </w:r>
      <w:r w:rsidRPr="002858AE">
        <w:rPr>
          <w:lang w:val="en-GB" w:eastAsia="ja-JP"/>
        </w:rPr>
        <w:t>transvenous pacemaker</w:t>
      </w:r>
      <w:r w:rsidRPr="00406C8E">
        <w:rPr>
          <w:lang w:val="en-GB" w:eastAsia="ja-JP"/>
        </w:rPr>
        <w:t>.</w:t>
      </w:r>
    </w:p>
    <w:p w14:paraId="0FD3FD8C" w14:textId="6497792E" w:rsidR="007C1F43" w:rsidRPr="007C1F43" w:rsidRDefault="00436E37" w:rsidP="00436E37">
      <w:pPr>
        <w:pStyle w:val="Caption"/>
      </w:pPr>
      <w:bookmarkStart w:id="9" w:name="_Ref80349678"/>
      <w:bookmarkEnd w:id="8"/>
      <w:r>
        <w:t xml:space="preserve">Figure </w:t>
      </w:r>
      <w:r>
        <w:fldChar w:fldCharType="begin"/>
      </w:r>
      <w:r>
        <w:instrText xml:space="preserve"> SEQ Figure \* ARABIC </w:instrText>
      </w:r>
      <w:r>
        <w:fldChar w:fldCharType="separate"/>
      </w:r>
      <w:r w:rsidR="000D35EA">
        <w:rPr>
          <w:noProof/>
        </w:rPr>
        <w:t>4</w:t>
      </w:r>
      <w:r>
        <w:fldChar w:fldCharType="end"/>
      </w:r>
      <w:bookmarkEnd w:id="9"/>
      <w:r w:rsidR="007C1F43">
        <w:tab/>
        <w:t xml:space="preserve"> Sinus node dysfunction management algorithm</w:t>
      </w:r>
      <w:r w:rsidR="007E213B">
        <w:t xml:space="preserve">, </w:t>
      </w:r>
      <w:r w:rsidR="007C1F43" w:rsidRPr="00406C8E">
        <w:t>including</w:t>
      </w:r>
      <w:r w:rsidR="007C1F43">
        <w:t xml:space="preserve"> insertion of leadless pacemaker</w:t>
      </w:r>
    </w:p>
    <w:p w14:paraId="1A333D85" w14:textId="39AEADBC" w:rsidR="00ED283B" w:rsidRDefault="003232A5" w:rsidP="003B06E3">
      <w:pPr>
        <w:pBdr>
          <w:top w:val="single" w:sz="4" w:space="1" w:color="auto"/>
          <w:left w:val="single" w:sz="4" w:space="4" w:color="auto"/>
          <w:bottom w:val="single" w:sz="4" w:space="1" w:color="auto"/>
          <w:right w:val="single" w:sz="4" w:space="4" w:color="auto"/>
        </w:pBdr>
        <w:spacing w:after="0"/>
        <w:jc w:val="center"/>
        <w:rPr>
          <w:lang w:val="en-GB" w:eastAsia="ja-JP"/>
        </w:rPr>
      </w:pPr>
      <w:r>
        <w:rPr>
          <w:noProof/>
          <w:lang w:eastAsia="en-AU"/>
        </w:rPr>
        <w:drawing>
          <wp:inline distT="0" distB="0" distL="0" distR="0" wp14:anchorId="7D4BDC83" wp14:editId="0DD83755">
            <wp:extent cx="4476750" cy="4196952"/>
            <wp:effectExtent l="0" t="0" r="0" b="0"/>
            <wp:docPr id="10" name="Picture 10" descr="A simplified clinical management algorithm for SND is shown with a single point at which single-chamber ventricular pacing is indicated, with the option of LPM or TV-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mplified clinical management algorithm for SND is shown with a single point at which single-chamber ventricular pacing is indicated, with the option of LPM or TV-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8746" cy="4198823"/>
                    </a:xfrm>
                    <a:prstGeom prst="rect">
                      <a:avLst/>
                    </a:prstGeom>
                  </pic:spPr>
                </pic:pic>
              </a:graphicData>
            </a:graphic>
          </wp:inline>
        </w:drawing>
      </w:r>
    </w:p>
    <w:p w14:paraId="3593F6AB" w14:textId="77777777" w:rsidR="003232A5" w:rsidRDefault="003232A5" w:rsidP="003232A5">
      <w:pPr>
        <w:pStyle w:val="Tablenotes"/>
        <w:rPr>
          <w:lang w:val="en-GB" w:eastAsia="ja-JP"/>
        </w:rPr>
      </w:pPr>
      <w:r>
        <w:rPr>
          <w:lang w:val="en-GB" w:eastAsia="ja-JP"/>
        </w:rPr>
        <w:t>Source: Simplified algorithm derived from Kusomoto et al. 2018, with addition of the proposed intervention (LPM) in blue.</w:t>
      </w:r>
    </w:p>
    <w:p w14:paraId="086AC90E" w14:textId="77777777" w:rsidR="003232A5" w:rsidRDefault="003232A5" w:rsidP="003232A5">
      <w:pPr>
        <w:pStyle w:val="Tablenotes"/>
        <w:rPr>
          <w:lang w:val="en-GB" w:eastAsia="ja-JP"/>
        </w:rPr>
      </w:pPr>
      <w:r w:rsidRPr="00406C8E">
        <w:rPr>
          <w:lang w:val="en-GB" w:eastAsia="ja-JP"/>
        </w:rPr>
        <w:t>*Symptomatic patients with very infrequent need for pacing for rate support or patients with significant comorbidities.</w:t>
      </w:r>
    </w:p>
    <w:p w14:paraId="03AFC3C7" w14:textId="77777777" w:rsidR="003232A5" w:rsidRDefault="003232A5" w:rsidP="003232A5">
      <w:pPr>
        <w:pStyle w:val="Tablenotes"/>
        <w:rPr>
          <w:lang w:val="en-GB" w:eastAsia="ja-JP"/>
        </w:rPr>
      </w:pPr>
      <w:r>
        <w:rPr>
          <w:lang w:val="en-GB" w:eastAsia="ja-JP"/>
        </w:rPr>
        <w:t xml:space="preserve">Abbreviations: </w:t>
      </w:r>
      <w:r w:rsidRPr="00406C8E">
        <w:rPr>
          <w:lang w:val="en-GB" w:eastAsia="ja-JP"/>
        </w:rPr>
        <w:t>AV</w:t>
      </w:r>
      <w:r>
        <w:rPr>
          <w:lang w:val="en-GB" w:eastAsia="ja-JP"/>
        </w:rPr>
        <w:t xml:space="preserve">, </w:t>
      </w:r>
      <w:r w:rsidRPr="00406C8E">
        <w:rPr>
          <w:lang w:val="en-GB" w:eastAsia="ja-JP"/>
        </w:rPr>
        <w:t xml:space="preserve">atrioventricular; </w:t>
      </w:r>
      <w:r>
        <w:rPr>
          <w:lang w:val="en-GB" w:eastAsia="ja-JP"/>
        </w:rPr>
        <w:t xml:space="preserve">LPM, leadless pacemaker; </w:t>
      </w:r>
      <w:r w:rsidRPr="00406C8E">
        <w:rPr>
          <w:lang w:val="en-GB" w:eastAsia="ja-JP"/>
        </w:rPr>
        <w:t>RV, right ventricular</w:t>
      </w:r>
      <w:r>
        <w:rPr>
          <w:lang w:val="en-GB" w:eastAsia="ja-JP"/>
        </w:rPr>
        <w:t xml:space="preserve">; TV-PM, single-chamber </w:t>
      </w:r>
      <w:r w:rsidRPr="002858AE">
        <w:rPr>
          <w:lang w:val="en-GB" w:eastAsia="ja-JP"/>
        </w:rPr>
        <w:t>transvenous pacemaker</w:t>
      </w:r>
      <w:r w:rsidRPr="00406C8E">
        <w:rPr>
          <w:lang w:val="en-GB" w:eastAsia="ja-JP"/>
        </w:rPr>
        <w:t>.</w:t>
      </w:r>
    </w:p>
    <w:p w14:paraId="522BE631" w14:textId="117302F4" w:rsidR="002A4E9B" w:rsidRDefault="002A4E9B" w:rsidP="002A4E9B">
      <w:r w:rsidRPr="0064614A">
        <w:t>The frequency of monitoring of patients after the procedure may vary by treatment centres</w:t>
      </w:r>
      <w:r>
        <w:t>;</w:t>
      </w:r>
      <w:r w:rsidRPr="0064614A">
        <w:t xml:space="preserve"> however</w:t>
      </w:r>
      <w:r>
        <w:t>,</w:t>
      </w:r>
      <w:r w:rsidRPr="0064614A">
        <w:t xml:space="preserve"> patients </w:t>
      </w:r>
      <w:r>
        <w:t xml:space="preserve">who received a TV-PM or an LPM </w:t>
      </w:r>
      <w:r w:rsidRPr="0064614A">
        <w:t xml:space="preserve">are generally followed up at 1 week, 3 months, 6 months and then every 6–12 months by </w:t>
      </w:r>
      <w:r>
        <w:t xml:space="preserve">a </w:t>
      </w:r>
      <w:r w:rsidRPr="0064614A">
        <w:t>specialist cardiologist or general practitioner.</w:t>
      </w:r>
    </w:p>
    <w:p w14:paraId="2BDE22B9" w14:textId="6F61C95C" w:rsidR="00D73332" w:rsidRPr="002B4B5A" w:rsidRDefault="00D73332" w:rsidP="00713728">
      <w:pPr>
        <w:pStyle w:val="Heading2"/>
        <w:rPr>
          <w:b/>
          <w:bCs/>
          <w:iCs/>
        </w:rPr>
      </w:pPr>
      <w:r w:rsidRPr="00490FBB">
        <w:t>Proposed economic evaluation</w:t>
      </w:r>
    </w:p>
    <w:p w14:paraId="0F1B9FC5" w14:textId="7FBC33D1" w:rsidR="009D412D" w:rsidRDefault="00F4377F" w:rsidP="00454169">
      <w:pPr>
        <w:spacing w:before="240"/>
      </w:pPr>
      <w:r>
        <w:t>On the basis of the</w:t>
      </w:r>
      <w:r w:rsidR="00ED283B">
        <w:t xml:space="preserve"> </w:t>
      </w:r>
      <w:r w:rsidR="009D412D">
        <w:t xml:space="preserve">applicant’s </w:t>
      </w:r>
      <w:r w:rsidR="00ED283B">
        <w:t xml:space="preserve">clinical claim </w:t>
      </w:r>
      <w:r>
        <w:t xml:space="preserve">that </w:t>
      </w:r>
      <w:r w:rsidR="004D5B78">
        <w:t>single-chamber</w:t>
      </w:r>
      <w:r>
        <w:t xml:space="preserve"> leadless pacemakers have non-inferior effectiveness </w:t>
      </w:r>
      <w:r w:rsidR="00647F8A">
        <w:t xml:space="preserve">and superior safety </w:t>
      </w:r>
      <w:r>
        <w:t>compared with</w:t>
      </w:r>
      <w:r w:rsidR="00ED283B">
        <w:t xml:space="preserve"> </w:t>
      </w:r>
      <w:r w:rsidR="004D5B78">
        <w:t>single-chamber</w:t>
      </w:r>
      <w:r>
        <w:t xml:space="preserve"> TV-PM</w:t>
      </w:r>
      <w:r w:rsidR="00ED283B">
        <w:t>s</w:t>
      </w:r>
      <w:r>
        <w:t xml:space="preserve">, </w:t>
      </w:r>
      <w:r w:rsidR="00ED283B">
        <w:t xml:space="preserve">the </w:t>
      </w:r>
      <w:r>
        <w:t>appropriate</w:t>
      </w:r>
      <w:r w:rsidR="00ED283B">
        <w:t xml:space="preserve"> economic </w:t>
      </w:r>
      <w:r>
        <w:t>evaluation</w:t>
      </w:r>
      <w:r w:rsidR="00ED283B">
        <w:t xml:space="preserve"> is a cost</w:t>
      </w:r>
      <w:r>
        <w:t>-</w:t>
      </w:r>
      <w:r w:rsidR="00ED283B">
        <w:t>effective</w:t>
      </w:r>
      <w:r>
        <w:t>ness</w:t>
      </w:r>
      <w:r w:rsidR="00ED283B">
        <w:t xml:space="preserve"> </w:t>
      </w:r>
      <w:r>
        <w:t>analysis or</w:t>
      </w:r>
      <w:r w:rsidR="00ED283B">
        <w:t xml:space="preserve"> </w:t>
      </w:r>
      <w:r>
        <w:t xml:space="preserve">a </w:t>
      </w:r>
      <w:r w:rsidR="00ED283B">
        <w:t>cost</w:t>
      </w:r>
      <w:r>
        <w:t>-</w:t>
      </w:r>
      <w:r w:rsidR="00ED283B">
        <w:t>utility analysis.</w:t>
      </w:r>
    </w:p>
    <w:p w14:paraId="7B69F981" w14:textId="54D96E6B" w:rsidR="00ED283B" w:rsidRDefault="00FD5EF6" w:rsidP="00F4377F">
      <w:r w:rsidRPr="00FD5EF6">
        <w:t>MSAC prefers that the economic evaluation is based on results from direct randomised trials</w:t>
      </w:r>
      <w:r w:rsidR="008F0EB3">
        <w:t xml:space="preserve"> </w:t>
      </w:r>
      <w:r w:rsidR="00B96974">
        <w:t>[MSAC Guidelines Version 1.0 May 2021, p</w:t>
      </w:r>
      <w:r w:rsidR="006E2317">
        <w:t>.</w:t>
      </w:r>
      <w:r w:rsidR="00B96974">
        <w:t xml:space="preserve">154]. </w:t>
      </w:r>
      <w:r w:rsidR="009D412D">
        <w:t xml:space="preserve">Any uncertainties </w:t>
      </w:r>
      <w:r>
        <w:t xml:space="preserve">in the clinical claims arising from deficiencies in the clinical evidence </w:t>
      </w:r>
      <w:r w:rsidR="009D412D">
        <w:t xml:space="preserve">will require </w:t>
      </w:r>
      <w:r>
        <w:t xml:space="preserve">careful identification and testing </w:t>
      </w:r>
      <w:r w:rsidR="009D412D">
        <w:t>in the economic analysis</w:t>
      </w:r>
      <w:r>
        <w:t xml:space="preserve"> to increase confidence in the results</w:t>
      </w:r>
      <w:r w:rsidR="009D412D">
        <w:t>.</w:t>
      </w:r>
    </w:p>
    <w:p w14:paraId="41E01350" w14:textId="77777777" w:rsidR="00446F1B" w:rsidRDefault="00446F1B">
      <w:pPr>
        <w:spacing w:after="160" w:line="259" w:lineRule="auto"/>
        <w:rPr>
          <w:rFonts w:ascii="Franklin Gothic Medium" w:eastAsiaTheme="majorEastAsia" w:hAnsi="Franklin Gothic Medium" w:cstheme="majorBidi"/>
          <w:color w:val="000000" w:themeColor="text1"/>
          <w:sz w:val="32"/>
          <w:szCs w:val="26"/>
        </w:rPr>
      </w:pPr>
      <w:r>
        <w:br w:type="page"/>
      </w:r>
    </w:p>
    <w:p w14:paraId="047E4738" w14:textId="2B67A2DF" w:rsidR="00D73332" w:rsidRPr="00DE762F" w:rsidRDefault="00D73332" w:rsidP="00DE762F">
      <w:pPr>
        <w:pStyle w:val="Heading2"/>
      </w:pPr>
      <w:r w:rsidRPr="00DE762F">
        <w:t>Propos</w:t>
      </w:r>
      <w:r w:rsidR="000D1FCF" w:rsidRPr="00DE762F">
        <w:t>al for public funding</w:t>
      </w:r>
    </w:p>
    <w:p w14:paraId="35AE5185" w14:textId="147F5356" w:rsidR="002F3E40" w:rsidRDefault="007B7CE9" w:rsidP="004C0267">
      <w:pPr>
        <w:spacing w:before="120"/>
      </w:pPr>
      <w:r>
        <w:t xml:space="preserve">The applicant proposed a </w:t>
      </w:r>
      <w:r w:rsidR="008D7F67">
        <w:t xml:space="preserve">single </w:t>
      </w:r>
      <w:r>
        <w:t xml:space="preserve">new MBS item for insertion and removal of an LPM. </w:t>
      </w:r>
      <w:r w:rsidR="000B548B">
        <w:t xml:space="preserve">Although not </w:t>
      </w:r>
      <w:r w:rsidR="000C6954">
        <w:t>explicitly mentioned in</w:t>
      </w:r>
      <w:r w:rsidR="000B548B">
        <w:t xml:space="preserve"> the proposed descriptor</w:t>
      </w:r>
      <w:r w:rsidR="00406BA2">
        <w:t xml:space="preserve"> in the application</w:t>
      </w:r>
      <w:r w:rsidR="000B548B">
        <w:t>, t</w:t>
      </w:r>
      <w:r>
        <w:t>h</w:t>
      </w:r>
      <w:r w:rsidR="008D7F67">
        <w:t>e</w:t>
      </w:r>
      <w:r>
        <w:t xml:space="preserve"> </w:t>
      </w:r>
      <w:r w:rsidR="008D7F67">
        <w:t xml:space="preserve">item </w:t>
      </w:r>
      <w:r w:rsidR="00000BD1">
        <w:t xml:space="preserve">is intended </w:t>
      </w:r>
      <w:r w:rsidR="008D7F67">
        <w:t xml:space="preserve">to apply to </w:t>
      </w:r>
      <w:r w:rsidR="00061A36">
        <w:t>percutaneous</w:t>
      </w:r>
      <w:r w:rsidR="008D7F67">
        <w:t xml:space="preserve"> </w:t>
      </w:r>
      <w:r w:rsidR="00602278">
        <w:t xml:space="preserve">procedures </w:t>
      </w:r>
      <w:r w:rsidR="000B548B">
        <w:t>only</w:t>
      </w:r>
      <w:r w:rsidR="00406BA2">
        <w:t>. It is possible for LPMs to be inserted/</w:t>
      </w:r>
      <w:r w:rsidR="00602278">
        <w:t>retrieved</w:t>
      </w:r>
      <w:r w:rsidR="00406BA2">
        <w:t xml:space="preserve"> during open surgery, but </w:t>
      </w:r>
      <w:r w:rsidR="00061A36">
        <w:t>an open</w:t>
      </w:r>
      <w:r w:rsidR="00406BA2">
        <w:t xml:space="preserve"> </w:t>
      </w:r>
      <w:r w:rsidR="00E279B6">
        <w:t xml:space="preserve">approach </w:t>
      </w:r>
      <w:r w:rsidR="00406BA2">
        <w:t xml:space="preserve">is </w:t>
      </w:r>
      <w:r w:rsidR="00BC0994">
        <w:t xml:space="preserve">off-label and </w:t>
      </w:r>
      <w:r w:rsidR="00406BA2">
        <w:t xml:space="preserve">uncommon </w:t>
      </w:r>
      <w:r w:rsidR="000B548B">
        <w:t xml:space="preserve">and </w:t>
      </w:r>
      <w:r w:rsidR="007A6A6E">
        <w:t xml:space="preserve">will </w:t>
      </w:r>
      <w:r w:rsidR="00E279B6">
        <w:t xml:space="preserve">differ from </w:t>
      </w:r>
      <w:r w:rsidR="00061A36">
        <w:t>a percutaneous</w:t>
      </w:r>
      <w:r w:rsidR="00E279B6">
        <w:t xml:space="preserve"> </w:t>
      </w:r>
      <w:r w:rsidR="00061A36">
        <w:t>approach</w:t>
      </w:r>
      <w:r w:rsidR="00E279B6">
        <w:t xml:space="preserve"> in terms of complexity and time</w:t>
      </w:r>
      <w:r w:rsidR="00406BA2">
        <w:t>.</w:t>
      </w:r>
    </w:p>
    <w:p w14:paraId="0CCA47A6" w14:textId="7B6B637A" w:rsidR="0053416C" w:rsidRDefault="00621475" w:rsidP="00675C59">
      <w:r>
        <w:t xml:space="preserve">The </w:t>
      </w:r>
      <w:r w:rsidR="00406BA2">
        <w:t xml:space="preserve">time and complexity for </w:t>
      </w:r>
      <w:r w:rsidR="007A6A6E">
        <w:t xml:space="preserve">percutaneous </w:t>
      </w:r>
      <w:r w:rsidR="00F10EAC">
        <w:t>insertion</w:t>
      </w:r>
      <w:r>
        <w:t xml:space="preserve"> of an LPM is expected to differ from that of </w:t>
      </w:r>
      <w:r w:rsidR="007A6A6E">
        <w:t xml:space="preserve">percutaneous </w:t>
      </w:r>
      <w:r w:rsidR="003A5759">
        <w:t xml:space="preserve">LPM </w:t>
      </w:r>
      <w:r w:rsidR="00061A36">
        <w:t>retrieval</w:t>
      </w:r>
      <w:r w:rsidR="00602278">
        <w:t xml:space="preserve">, which becomes </w:t>
      </w:r>
      <w:r w:rsidR="007A6A6E">
        <w:t>more</w:t>
      </w:r>
      <w:r w:rsidR="00602278">
        <w:t xml:space="preserve"> challenging </w:t>
      </w:r>
      <w:r w:rsidR="007A6A6E">
        <w:t>the longer the device has been in place</w:t>
      </w:r>
      <w:r w:rsidR="00F10EAC">
        <w:t xml:space="preserve">. </w:t>
      </w:r>
      <w:r w:rsidR="00382FD5">
        <w:t xml:space="preserve">In situations where </w:t>
      </w:r>
      <w:r w:rsidR="0053416C">
        <w:t xml:space="preserve">LPM </w:t>
      </w:r>
      <w:r w:rsidR="00061A36">
        <w:t>retrieval</w:t>
      </w:r>
      <w:r w:rsidR="0053416C">
        <w:t xml:space="preserve"> is </w:t>
      </w:r>
      <w:r w:rsidR="00EC7516">
        <w:t>attempted</w:t>
      </w:r>
      <w:r w:rsidR="00F10EAC">
        <w:t xml:space="preserve">, </w:t>
      </w:r>
      <w:r w:rsidR="0053416C">
        <w:t xml:space="preserve">a new LPM may or may not </w:t>
      </w:r>
      <w:r w:rsidR="00EC7516">
        <w:t>be inserted during the same procedure.</w:t>
      </w:r>
    </w:p>
    <w:p w14:paraId="61D44A50" w14:textId="63E47CF5" w:rsidR="00FC7F9E" w:rsidRDefault="00FC7F9E" w:rsidP="00675C59">
      <w:r w:rsidRPr="00910B4C">
        <w:rPr>
          <w:rFonts w:asciiTheme="minorHAnsi" w:hAnsiTheme="minorHAnsi" w:cstheme="minorHAnsi"/>
          <w:i/>
          <w:iCs/>
        </w:rPr>
        <w:t xml:space="preserve">PASC considered whether a </w:t>
      </w:r>
      <w:r>
        <w:rPr>
          <w:rFonts w:asciiTheme="minorHAnsi" w:hAnsiTheme="minorHAnsi" w:cstheme="minorHAnsi"/>
          <w:i/>
          <w:iCs/>
        </w:rPr>
        <w:t>separate MBS</w:t>
      </w:r>
      <w:r w:rsidRPr="00910B4C">
        <w:rPr>
          <w:rFonts w:asciiTheme="minorHAnsi" w:hAnsiTheme="minorHAnsi" w:cstheme="minorHAnsi"/>
          <w:i/>
          <w:iCs/>
        </w:rPr>
        <w:t xml:space="preserve"> item may be required for the scenario where surgical explantation of the device is needed after it has become bound </w:t>
      </w:r>
      <w:r>
        <w:rPr>
          <w:rFonts w:asciiTheme="minorHAnsi" w:hAnsiTheme="minorHAnsi" w:cstheme="minorHAnsi"/>
          <w:i/>
          <w:iCs/>
        </w:rPr>
        <w:t>within the myocardium</w:t>
      </w:r>
      <w:r w:rsidRPr="00910B4C">
        <w:rPr>
          <w:rFonts w:asciiTheme="minorHAnsi" w:hAnsiTheme="minorHAnsi" w:cstheme="minorHAnsi"/>
          <w:i/>
          <w:iCs/>
        </w:rPr>
        <w:t xml:space="preserve">. PASC received advice from the applicant’s clinical expert that explantation </w:t>
      </w:r>
      <w:r>
        <w:rPr>
          <w:rFonts w:asciiTheme="minorHAnsi" w:hAnsiTheme="minorHAnsi" w:cstheme="minorHAnsi"/>
          <w:i/>
          <w:iCs/>
        </w:rPr>
        <w:t xml:space="preserve">of the LPM is similar to </w:t>
      </w:r>
      <w:r w:rsidR="00A86DD9">
        <w:rPr>
          <w:rFonts w:asciiTheme="minorHAnsi" w:hAnsiTheme="minorHAnsi" w:cstheme="minorHAnsi"/>
          <w:i/>
          <w:iCs/>
        </w:rPr>
        <w:t xml:space="preserve">that of </w:t>
      </w:r>
      <w:r>
        <w:rPr>
          <w:rFonts w:asciiTheme="minorHAnsi" w:hAnsiTheme="minorHAnsi" w:cstheme="minorHAnsi"/>
          <w:i/>
          <w:iCs/>
        </w:rPr>
        <w:t>transvenous leads, whereby the procedure to remove the device after it has become encapsulated is entirely different in terms of complexity to retrieval prior to encapsulation. PASC agreed that for LPMs, a parallel schedule to that of transvenous pacemakers is appropriate, with separate items for retrieval and explantation.</w:t>
      </w:r>
    </w:p>
    <w:p w14:paraId="1D91E7B8" w14:textId="20123A87" w:rsidR="00406BA2" w:rsidRDefault="00FC7F9E" w:rsidP="003F65B6">
      <w:r>
        <w:t xml:space="preserve">Four </w:t>
      </w:r>
      <w:r w:rsidR="00F10EAC">
        <w:t xml:space="preserve">scenarios are </w:t>
      </w:r>
      <w:r w:rsidR="0053416C">
        <w:t xml:space="preserve">relevant to this application and </w:t>
      </w:r>
      <w:r w:rsidR="004252B5">
        <w:t>a different fee may apply to each</w:t>
      </w:r>
      <w:r w:rsidR="00F10EAC">
        <w:t>:</w:t>
      </w:r>
    </w:p>
    <w:p w14:paraId="2B9D28D2" w14:textId="765C0649" w:rsidR="000C6954" w:rsidRDefault="00061A36" w:rsidP="00BC7B13">
      <w:pPr>
        <w:pStyle w:val="ListParagraph"/>
        <w:numPr>
          <w:ilvl w:val="0"/>
          <w:numId w:val="2"/>
        </w:numPr>
        <w:ind w:left="1077" w:hanging="357"/>
      </w:pPr>
      <w:r>
        <w:t>Percutaneous</w:t>
      </w:r>
      <w:r w:rsidR="0013682D">
        <w:t xml:space="preserve"> </w:t>
      </w:r>
      <w:r w:rsidR="00F10EAC">
        <w:t>insertion</w:t>
      </w:r>
      <w:r w:rsidR="00593285">
        <w:t xml:space="preserve"> of an LPM</w:t>
      </w:r>
      <w:r w:rsidR="00E45D84">
        <w:t xml:space="preserve"> (MBS item </w:t>
      </w:r>
      <w:r w:rsidR="00B51220">
        <w:t>WWWWW</w:t>
      </w:r>
      <w:r w:rsidR="00E45D84">
        <w:t>)</w:t>
      </w:r>
    </w:p>
    <w:p w14:paraId="3657987B" w14:textId="54C00321" w:rsidR="000C6954" w:rsidRDefault="0013682D" w:rsidP="00BC7B13">
      <w:pPr>
        <w:pStyle w:val="ListParagraph"/>
        <w:numPr>
          <w:ilvl w:val="0"/>
          <w:numId w:val="3"/>
        </w:numPr>
        <w:ind w:left="1560" w:hanging="426"/>
      </w:pPr>
      <w:r>
        <w:t>T</w:t>
      </w:r>
      <w:r w:rsidR="000C6954">
        <w:t>his applies to initial (first) LPM insertion</w:t>
      </w:r>
      <w:r>
        <w:t xml:space="preserve"> and any repositioning that is required during the same procedure</w:t>
      </w:r>
      <w:r w:rsidR="005C0451">
        <w:t xml:space="preserve">. It also applies </w:t>
      </w:r>
      <w:r w:rsidR="000C6954">
        <w:t xml:space="preserve">to insertion of </w:t>
      </w:r>
      <w:r w:rsidR="005C0451">
        <w:t xml:space="preserve">a </w:t>
      </w:r>
      <w:r w:rsidR="000C6954">
        <w:t>subsequent LPM device</w:t>
      </w:r>
      <w:r>
        <w:t xml:space="preserve"> </w:t>
      </w:r>
      <w:r w:rsidR="005C0451">
        <w:t xml:space="preserve">where LPM </w:t>
      </w:r>
      <w:r w:rsidR="007A6A6E">
        <w:t>retr</w:t>
      </w:r>
      <w:r w:rsidR="00532947">
        <w:t>ie</w:t>
      </w:r>
      <w:r w:rsidR="007A6A6E">
        <w:t>val</w:t>
      </w:r>
      <w:r w:rsidR="005C0451">
        <w:t xml:space="preserve"> is not performed during the same procedure (i.e.</w:t>
      </w:r>
      <w:r w:rsidR="000168A6">
        <w:t>,</w:t>
      </w:r>
      <w:r w:rsidR="005C0451">
        <w:t xml:space="preserve"> the </w:t>
      </w:r>
      <w:r w:rsidR="007A6A6E">
        <w:t>existing</w:t>
      </w:r>
      <w:r w:rsidR="005C0451">
        <w:t xml:space="preserve"> device remains in place</w:t>
      </w:r>
      <w:r w:rsidR="007A6A6E">
        <w:t xml:space="preserve"> and a new device is added</w:t>
      </w:r>
      <w:r w:rsidR="005C0451">
        <w:t>)</w:t>
      </w:r>
      <w:r>
        <w:t>.</w:t>
      </w:r>
    </w:p>
    <w:p w14:paraId="6E9920D5" w14:textId="436A1608" w:rsidR="003A5759" w:rsidRDefault="005C3FB9" w:rsidP="00BC7B13">
      <w:pPr>
        <w:pStyle w:val="ListParagraph"/>
        <w:numPr>
          <w:ilvl w:val="0"/>
          <w:numId w:val="2"/>
        </w:numPr>
        <w:ind w:left="1077" w:hanging="357"/>
      </w:pPr>
      <w:r>
        <w:t>Percutaneous</w:t>
      </w:r>
      <w:r w:rsidR="0013682D">
        <w:t xml:space="preserve"> </w:t>
      </w:r>
      <w:r w:rsidR="003A5759">
        <w:t xml:space="preserve">LPM </w:t>
      </w:r>
      <w:r w:rsidR="007A6A6E">
        <w:t>retrieval</w:t>
      </w:r>
      <w:r w:rsidR="00F10EAC">
        <w:t xml:space="preserve"> and replacement</w:t>
      </w:r>
      <w:r w:rsidR="00E45D84">
        <w:t xml:space="preserve"> (MBS item </w:t>
      </w:r>
      <w:r w:rsidR="00B51220">
        <w:t>XXXXX</w:t>
      </w:r>
      <w:r w:rsidR="00E45D84">
        <w:t>)</w:t>
      </w:r>
    </w:p>
    <w:p w14:paraId="5B598594" w14:textId="20FB23D8" w:rsidR="00F10EAC" w:rsidRDefault="003A5759" w:rsidP="00BC7B13">
      <w:pPr>
        <w:pStyle w:val="ListParagraph"/>
        <w:numPr>
          <w:ilvl w:val="0"/>
          <w:numId w:val="3"/>
        </w:numPr>
        <w:ind w:left="1560" w:hanging="426"/>
      </w:pPr>
      <w:r>
        <w:t xml:space="preserve">This applies where an LPM is </w:t>
      </w:r>
      <w:r w:rsidR="00602278">
        <w:t>retrieved</w:t>
      </w:r>
      <w:r>
        <w:t xml:space="preserve"> and replaced with a new LPM during the same </w:t>
      </w:r>
      <w:r w:rsidR="00B51220">
        <w:t xml:space="preserve">percutaneous </w:t>
      </w:r>
      <w:r>
        <w:t>procedure</w:t>
      </w:r>
      <w:r w:rsidR="00F10EAC">
        <w:t>.</w:t>
      </w:r>
    </w:p>
    <w:p w14:paraId="78369D7C" w14:textId="57DBFFF4" w:rsidR="003A5759" w:rsidRDefault="005C3FB9" w:rsidP="00BC7B13">
      <w:pPr>
        <w:pStyle w:val="ListParagraph"/>
        <w:numPr>
          <w:ilvl w:val="0"/>
          <w:numId w:val="2"/>
        </w:numPr>
        <w:ind w:left="1077" w:hanging="357"/>
      </w:pPr>
      <w:r>
        <w:t>Percutaneous</w:t>
      </w:r>
      <w:r w:rsidR="003A5759">
        <w:t xml:space="preserve"> removal of an LPM</w:t>
      </w:r>
      <w:r w:rsidR="00E45D84">
        <w:t xml:space="preserve"> (MBS item </w:t>
      </w:r>
      <w:r w:rsidR="00B51220">
        <w:t>YYYYY</w:t>
      </w:r>
      <w:r w:rsidR="00E45D84">
        <w:t>)</w:t>
      </w:r>
    </w:p>
    <w:p w14:paraId="537630AF" w14:textId="460D8153" w:rsidR="003A5759" w:rsidRDefault="003A5759" w:rsidP="00BC7B13">
      <w:pPr>
        <w:pStyle w:val="ListParagraph"/>
        <w:numPr>
          <w:ilvl w:val="0"/>
          <w:numId w:val="3"/>
        </w:numPr>
        <w:ind w:left="1560" w:hanging="426"/>
      </w:pPr>
      <w:r>
        <w:t xml:space="preserve">This applies when </w:t>
      </w:r>
      <w:r w:rsidR="0053416C">
        <w:t>one or more</w:t>
      </w:r>
      <w:r>
        <w:t xml:space="preserve"> LPM</w:t>
      </w:r>
      <w:r w:rsidR="0053416C">
        <w:t xml:space="preserve">s </w:t>
      </w:r>
      <w:r w:rsidR="005C0451">
        <w:t>are</w:t>
      </w:r>
      <w:r>
        <w:t xml:space="preserve"> </w:t>
      </w:r>
      <w:r w:rsidR="007A6A6E">
        <w:t>retrieved</w:t>
      </w:r>
      <w:r>
        <w:t xml:space="preserve"> </w:t>
      </w:r>
      <w:r w:rsidR="0053416C">
        <w:t xml:space="preserve">during a single </w:t>
      </w:r>
      <w:r w:rsidR="00B51220">
        <w:t xml:space="preserve">percutaneous </w:t>
      </w:r>
      <w:r w:rsidR="0053416C">
        <w:t xml:space="preserve">procedure </w:t>
      </w:r>
      <w:r>
        <w:t xml:space="preserve">and </w:t>
      </w:r>
      <w:r w:rsidR="0053416C">
        <w:t xml:space="preserve">are </w:t>
      </w:r>
      <w:r>
        <w:t>not replaced</w:t>
      </w:r>
      <w:r w:rsidR="004252B5">
        <w:t xml:space="preserve"> with a new device</w:t>
      </w:r>
      <w:r>
        <w:t>.</w:t>
      </w:r>
    </w:p>
    <w:p w14:paraId="5DFF2574" w14:textId="76B92223" w:rsidR="00B51220" w:rsidRDefault="00B51220" w:rsidP="00B51220">
      <w:pPr>
        <w:pStyle w:val="ListParagraph"/>
        <w:numPr>
          <w:ilvl w:val="0"/>
          <w:numId w:val="2"/>
        </w:numPr>
      </w:pPr>
      <w:r>
        <w:t>Surgical explantation of an LPM (MBS item ZZZZZ)</w:t>
      </w:r>
    </w:p>
    <w:p w14:paraId="375F8C54" w14:textId="2F2198EF" w:rsidR="00386AFC" w:rsidRDefault="00386AFC" w:rsidP="00386AFC">
      <w:pPr>
        <w:pStyle w:val="ListParagraph"/>
        <w:numPr>
          <w:ilvl w:val="0"/>
          <w:numId w:val="3"/>
        </w:numPr>
        <w:ind w:left="1560" w:hanging="426"/>
      </w:pPr>
      <w:r>
        <w:t>This applies when one or more LPMs have become encapsulated in the myocardium and require surgical explantation. This procedure is considerably more complex and risky than percutaneous retrieval and requires specialist techniques.</w:t>
      </w:r>
    </w:p>
    <w:p w14:paraId="0873E00A" w14:textId="77777777" w:rsidR="00B45795" w:rsidRDefault="00000BD1" w:rsidP="008F1DDF">
      <w:pPr>
        <w:spacing w:after="240"/>
      </w:pPr>
      <w:r>
        <w:t xml:space="preserve">The scenarios outlined above are reflected in the </w:t>
      </w:r>
      <w:r w:rsidR="00B51220">
        <w:t xml:space="preserve">four </w:t>
      </w:r>
      <w:r>
        <w:t>separate MBS items shown below.</w:t>
      </w:r>
    </w:p>
    <w:p w14:paraId="6D95F798" w14:textId="12EEF63F" w:rsidR="00B45795" w:rsidRDefault="00110DE5" w:rsidP="008F1DDF">
      <w:pPr>
        <w:spacing w:after="240"/>
        <w:rPr>
          <w:rFonts w:asciiTheme="minorHAnsi" w:hAnsiTheme="minorHAnsi" w:cstheme="minorHAnsi"/>
          <w:i/>
          <w:iCs/>
        </w:rPr>
      </w:pPr>
      <w:r>
        <w:rPr>
          <w:rFonts w:asciiTheme="minorHAnsi" w:hAnsiTheme="minorHAnsi" w:cstheme="minorHAnsi"/>
          <w:i/>
          <w:iCs/>
        </w:rPr>
        <w:t>PASC acknowledged that the proposed item descriptors are device agnostic, which is appropriate.</w:t>
      </w:r>
    </w:p>
    <w:p w14:paraId="75DE04DF" w14:textId="616DE6A1" w:rsidR="000B548B" w:rsidRPr="00FC7F9E" w:rsidRDefault="00446F1B" w:rsidP="00446F1B">
      <w:pPr>
        <w:spacing w:after="160" w:line="259" w:lineRule="auto"/>
      </w:pPr>
      <w:r>
        <w:br w:type="page"/>
      </w:r>
    </w:p>
    <w:tbl>
      <w:tblPr>
        <w:tblStyle w:val="TableGrid"/>
        <w:tblW w:w="5000" w:type="pct"/>
        <w:tblInd w:w="0" w:type="dxa"/>
        <w:tblLook w:val="04A0" w:firstRow="1" w:lastRow="0" w:firstColumn="1" w:lastColumn="0" w:noHBand="0" w:noVBand="1"/>
        <w:tblCaption w:val="Proposed Item Descriptor Table"/>
        <w:tblDescription w:val="The tables shows&#10;1. proposed MBS category number (Catagory 3);&#10;2. proposed category description (Therapeutic Procedures);&#10;3. proposed item descriptor (3 descriptors are shown, all relating to single-chamber ventricular LPMs); and&#10;4. proposed fee ($797.45 for insertion only)."/>
      </w:tblPr>
      <w:tblGrid>
        <w:gridCol w:w="9571"/>
      </w:tblGrid>
      <w:tr w:rsidR="002F3E40" w:rsidRPr="00D2670B" w14:paraId="4034848D" w14:textId="77777777" w:rsidTr="003D4112">
        <w:trPr>
          <w:tblHeader/>
        </w:trPr>
        <w:tc>
          <w:tcPr>
            <w:tcW w:w="5000" w:type="pct"/>
            <w:tcBorders>
              <w:top w:val="single" w:sz="4" w:space="0" w:color="auto"/>
              <w:left w:val="single" w:sz="4" w:space="0" w:color="auto"/>
              <w:bottom w:val="single" w:sz="4" w:space="0" w:color="auto"/>
              <w:right w:val="single" w:sz="4" w:space="0" w:color="auto"/>
            </w:tcBorders>
            <w:hideMark/>
          </w:tcPr>
          <w:p w14:paraId="171FF631" w14:textId="5F7A97AF" w:rsidR="002F3E40" w:rsidRPr="00DE762F" w:rsidRDefault="002F3E40" w:rsidP="00D2670B">
            <w:pPr>
              <w:spacing w:before="40" w:after="40" w:line="240" w:lineRule="auto"/>
              <w:rPr>
                <w:rFonts w:ascii="Arial Narrow" w:hAnsi="Arial Narrow"/>
                <w:sz w:val="20"/>
                <w:szCs w:val="20"/>
              </w:rPr>
            </w:pPr>
            <w:bookmarkStart w:id="10" w:name="_Hlk77678803"/>
            <w:r w:rsidRPr="00DE762F">
              <w:rPr>
                <w:rFonts w:ascii="Arial Narrow" w:hAnsi="Arial Narrow"/>
                <w:sz w:val="20"/>
                <w:szCs w:val="20"/>
              </w:rPr>
              <w:t xml:space="preserve">Category </w:t>
            </w:r>
            <w:r w:rsidR="00FE7E2C">
              <w:t>3</w:t>
            </w:r>
            <w:r w:rsidRPr="00D2670B">
              <w:t xml:space="preserve"> – </w:t>
            </w:r>
            <w:r w:rsidR="00FE7E2C">
              <w:rPr>
                <w:rFonts w:ascii="Arial Narrow" w:hAnsi="Arial Narrow"/>
                <w:sz w:val="20"/>
                <w:szCs w:val="20"/>
              </w:rPr>
              <w:t>THERAPEUTIC PROCEDURES</w:t>
            </w:r>
          </w:p>
        </w:tc>
      </w:tr>
      <w:tr w:rsidR="002F3E40" w:rsidRPr="005771DC" w14:paraId="028C0CFB" w14:textId="77777777" w:rsidTr="003D4112">
        <w:tc>
          <w:tcPr>
            <w:tcW w:w="5000" w:type="pct"/>
            <w:tcBorders>
              <w:top w:val="single" w:sz="4" w:space="0" w:color="auto"/>
              <w:left w:val="single" w:sz="4" w:space="0" w:color="auto"/>
              <w:bottom w:val="single" w:sz="4" w:space="0" w:color="auto"/>
              <w:right w:val="single" w:sz="4" w:space="0" w:color="auto"/>
            </w:tcBorders>
          </w:tcPr>
          <w:p w14:paraId="39CDEB64" w14:textId="6A5E8C21" w:rsidR="002F3E40" w:rsidRPr="00DE762F" w:rsidRDefault="000D1FCF" w:rsidP="00D2670B">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B51220">
              <w:rPr>
                <w:rFonts w:ascii="Arial Narrow" w:hAnsi="Arial Narrow"/>
                <w:sz w:val="20"/>
                <w:szCs w:val="20"/>
              </w:rPr>
              <w:t>WWWWW</w:t>
            </w:r>
          </w:p>
          <w:p w14:paraId="3F938317" w14:textId="43AB0CF9" w:rsidR="007B1960" w:rsidRDefault="0081353C" w:rsidP="00D2670B">
            <w:pPr>
              <w:spacing w:before="120" w:after="120" w:line="240" w:lineRule="auto"/>
              <w:rPr>
                <w:rFonts w:ascii="Arial Narrow" w:hAnsi="Arial Narrow"/>
                <w:sz w:val="20"/>
                <w:szCs w:val="20"/>
              </w:rPr>
            </w:pPr>
            <w:r>
              <w:rPr>
                <w:rFonts w:ascii="Arial Narrow" w:hAnsi="Arial Narrow"/>
                <w:sz w:val="20"/>
                <w:szCs w:val="20"/>
              </w:rPr>
              <w:t xml:space="preserve">LEADLESS PERMANENT CARDIAC PACEMAKER, </w:t>
            </w:r>
            <w:r w:rsidR="004D5B78">
              <w:rPr>
                <w:rFonts w:ascii="Arial Narrow" w:hAnsi="Arial Narrow"/>
                <w:sz w:val="20"/>
                <w:szCs w:val="20"/>
              </w:rPr>
              <w:t>SINGLE-CHAMBER</w:t>
            </w:r>
            <w:r w:rsidR="00D468FF">
              <w:rPr>
                <w:rFonts w:ascii="Arial Narrow" w:hAnsi="Arial Narrow"/>
                <w:sz w:val="20"/>
                <w:szCs w:val="20"/>
              </w:rPr>
              <w:t xml:space="preserve"> VENTRICULAR</w:t>
            </w:r>
            <w:r w:rsidR="00E72613">
              <w:rPr>
                <w:rFonts w:ascii="Arial Narrow" w:hAnsi="Arial Narrow"/>
                <w:sz w:val="20"/>
                <w:szCs w:val="20"/>
              </w:rPr>
              <w:t xml:space="preserve">, percutaneous </w:t>
            </w:r>
            <w:r>
              <w:rPr>
                <w:rFonts w:ascii="Arial Narrow" w:hAnsi="Arial Narrow"/>
                <w:sz w:val="20"/>
                <w:szCs w:val="20"/>
              </w:rPr>
              <w:t>insertion of, including cardiac electrophysiological services</w:t>
            </w:r>
          </w:p>
          <w:p w14:paraId="70167CF1" w14:textId="70FD8871" w:rsidR="006D02FF" w:rsidRDefault="006D02FF" w:rsidP="00D2670B">
            <w:pPr>
              <w:spacing w:before="120" w:after="120" w:line="240" w:lineRule="auto"/>
              <w:rPr>
                <w:rFonts w:ascii="Arial Narrow" w:hAnsi="Arial Narrow"/>
                <w:sz w:val="20"/>
                <w:szCs w:val="20"/>
              </w:rPr>
            </w:pPr>
            <w:r>
              <w:rPr>
                <w:rFonts w:ascii="Arial Narrow" w:hAnsi="Arial Narrow"/>
                <w:sz w:val="20"/>
                <w:szCs w:val="20"/>
              </w:rPr>
              <w:t>Multiple Operation Rule</w:t>
            </w:r>
          </w:p>
          <w:p w14:paraId="16EFF5BF" w14:textId="77777777" w:rsidR="0081353C" w:rsidRDefault="006D02FF" w:rsidP="00D2670B">
            <w:pPr>
              <w:spacing w:before="120" w:after="120" w:line="240" w:lineRule="auto"/>
              <w:rPr>
                <w:rFonts w:ascii="Arial Narrow" w:hAnsi="Arial Narrow"/>
                <w:sz w:val="20"/>
                <w:szCs w:val="20"/>
              </w:rPr>
            </w:pPr>
            <w:r>
              <w:rPr>
                <w:rFonts w:ascii="Arial Narrow" w:hAnsi="Arial Narrow"/>
                <w:sz w:val="20"/>
                <w:szCs w:val="20"/>
              </w:rPr>
              <w:t>(Anaes.)</w:t>
            </w:r>
          </w:p>
          <w:p w14:paraId="5379CBCB" w14:textId="0F38BBC2" w:rsidR="006D02FF" w:rsidRPr="00DE762F" w:rsidRDefault="006D02FF" w:rsidP="00D2670B">
            <w:pPr>
              <w:spacing w:before="120" w:after="12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w:t>
            </w:r>
            <w:r w:rsidR="004B17EF">
              <w:rPr>
                <w:rFonts w:ascii="Arial Narrow" w:hAnsi="Arial Narrow"/>
                <w:sz w:val="20"/>
                <w:szCs w:val="20"/>
              </w:rPr>
              <w:t>797.45</w:t>
            </w:r>
          </w:p>
        </w:tc>
      </w:tr>
      <w:tr w:rsidR="006D02FF" w:rsidRPr="005771DC" w14:paraId="40F3C48E" w14:textId="77777777" w:rsidTr="003D4112">
        <w:tc>
          <w:tcPr>
            <w:tcW w:w="5000" w:type="pct"/>
          </w:tcPr>
          <w:p w14:paraId="1AA30078" w14:textId="4832C87F" w:rsidR="006D02FF" w:rsidRPr="00DE762F" w:rsidRDefault="006D02FF" w:rsidP="00D540DE">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B51220">
              <w:rPr>
                <w:rFonts w:ascii="Arial Narrow" w:hAnsi="Arial Narrow"/>
                <w:sz w:val="20"/>
                <w:szCs w:val="20"/>
              </w:rPr>
              <w:t>XXXXX</w:t>
            </w:r>
          </w:p>
          <w:p w14:paraId="7A55CBD7" w14:textId="4C961931" w:rsidR="006D02FF" w:rsidRDefault="006D02FF" w:rsidP="00D540DE">
            <w:pPr>
              <w:spacing w:before="120" w:after="120" w:line="240" w:lineRule="auto"/>
              <w:rPr>
                <w:rFonts w:ascii="Arial Narrow" w:hAnsi="Arial Narrow"/>
                <w:sz w:val="20"/>
                <w:szCs w:val="20"/>
              </w:rPr>
            </w:pPr>
            <w:r>
              <w:rPr>
                <w:rFonts w:ascii="Arial Narrow" w:hAnsi="Arial Narrow"/>
                <w:sz w:val="20"/>
                <w:szCs w:val="20"/>
              </w:rPr>
              <w:t>LEADLESS PERMANENT CARDIAC PACEMAKER</w:t>
            </w:r>
            <w:r w:rsidR="00E72613">
              <w:rPr>
                <w:rFonts w:ascii="Arial Narrow" w:hAnsi="Arial Narrow"/>
                <w:sz w:val="20"/>
                <w:szCs w:val="20"/>
              </w:rPr>
              <w:t xml:space="preserve">, </w:t>
            </w:r>
            <w:r w:rsidR="004D5B78">
              <w:rPr>
                <w:rFonts w:ascii="Arial Narrow" w:hAnsi="Arial Narrow"/>
                <w:sz w:val="20"/>
                <w:szCs w:val="20"/>
              </w:rPr>
              <w:t>SINGLE-CHAMBER</w:t>
            </w:r>
            <w:r w:rsidR="00D468FF">
              <w:rPr>
                <w:rFonts w:ascii="Arial Narrow" w:hAnsi="Arial Narrow"/>
                <w:sz w:val="20"/>
                <w:szCs w:val="20"/>
              </w:rPr>
              <w:t xml:space="preserve"> VENTRICULAR</w:t>
            </w:r>
            <w:r w:rsidR="00E72613">
              <w:rPr>
                <w:rFonts w:ascii="Arial Narrow" w:hAnsi="Arial Narrow"/>
                <w:sz w:val="20"/>
                <w:szCs w:val="20"/>
              </w:rPr>
              <w:t>, percutaneous retrieval</w:t>
            </w:r>
            <w:r>
              <w:rPr>
                <w:rFonts w:ascii="Arial Narrow" w:hAnsi="Arial Narrow"/>
                <w:sz w:val="20"/>
                <w:szCs w:val="20"/>
              </w:rPr>
              <w:t xml:space="preserve"> </w:t>
            </w:r>
            <w:r w:rsidR="008F1DDF">
              <w:rPr>
                <w:rFonts w:ascii="Arial Narrow" w:hAnsi="Arial Narrow"/>
                <w:sz w:val="20"/>
                <w:szCs w:val="20"/>
              </w:rPr>
              <w:t>and replacement of, including cardiac electrophysiological services</w:t>
            </w:r>
          </w:p>
          <w:p w14:paraId="4879E58D" w14:textId="77777777" w:rsidR="006D02FF" w:rsidRDefault="006D02FF" w:rsidP="00D540DE">
            <w:pPr>
              <w:spacing w:before="120" w:after="120" w:line="240" w:lineRule="auto"/>
              <w:rPr>
                <w:rFonts w:ascii="Arial Narrow" w:hAnsi="Arial Narrow"/>
                <w:sz w:val="20"/>
                <w:szCs w:val="20"/>
              </w:rPr>
            </w:pPr>
            <w:r>
              <w:rPr>
                <w:rFonts w:ascii="Arial Narrow" w:hAnsi="Arial Narrow"/>
                <w:sz w:val="20"/>
                <w:szCs w:val="20"/>
              </w:rPr>
              <w:t>Multiple Operation Rule</w:t>
            </w:r>
          </w:p>
          <w:p w14:paraId="7CA953DE" w14:textId="77777777" w:rsidR="006D02FF" w:rsidRDefault="006D02FF" w:rsidP="00D540DE">
            <w:pPr>
              <w:spacing w:before="120" w:after="120" w:line="240" w:lineRule="auto"/>
              <w:rPr>
                <w:rFonts w:ascii="Arial Narrow" w:hAnsi="Arial Narrow"/>
                <w:sz w:val="20"/>
                <w:szCs w:val="20"/>
              </w:rPr>
            </w:pPr>
            <w:r>
              <w:rPr>
                <w:rFonts w:ascii="Arial Narrow" w:hAnsi="Arial Narrow"/>
                <w:sz w:val="20"/>
                <w:szCs w:val="20"/>
              </w:rPr>
              <w:t>(Anaes.)</w:t>
            </w:r>
          </w:p>
          <w:p w14:paraId="0768222D" w14:textId="3310F133" w:rsidR="006D02FF" w:rsidRPr="00DE762F" w:rsidRDefault="006D02FF" w:rsidP="00D540DE">
            <w:pPr>
              <w:spacing w:before="120" w:after="120" w:line="240" w:lineRule="auto"/>
              <w:rPr>
                <w:rFonts w:ascii="Arial Narrow" w:hAnsi="Arial Narrow"/>
                <w:sz w:val="20"/>
                <w:szCs w:val="20"/>
              </w:rPr>
            </w:pPr>
            <w:r w:rsidRPr="00DE762F">
              <w:rPr>
                <w:rFonts w:ascii="Arial Narrow" w:hAnsi="Arial Narrow"/>
                <w:sz w:val="20"/>
                <w:szCs w:val="20"/>
              </w:rPr>
              <w:t xml:space="preserve">Fee: </w:t>
            </w:r>
            <w:r w:rsidR="004C0CB5" w:rsidRPr="009E59CB">
              <w:rPr>
                <w:rFonts w:ascii="Arial Narrow" w:hAnsi="Arial Narrow"/>
                <w:i/>
                <w:iCs/>
                <w:sz w:val="20"/>
                <w:szCs w:val="20"/>
              </w:rPr>
              <w:t>TBD</w:t>
            </w:r>
          </w:p>
        </w:tc>
      </w:tr>
      <w:tr w:rsidR="006D02FF" w:rsidRPr="005771DC" w14:paraId="2B398876" w14:textId="77777777" w:rsidTr="003D4112">
        <w:tc>
          <w:tcPr>
            <w:tcW w:w="5000" w:type="pct"/>
          </w:tcPr>
          <w:p w14:paraId="3669416C" w14:textId="5F42894D" w:rsidR="006D02FF" w:rsidRPr="00DE762F" w:rsidRDefault="006D02FF" w:rsidP="00520FD3">
            <w:pPr>
              <w:keepNext/>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B51220">
              <w:rPr>
                <w:rFonts w:ascii="Arial Narrow" w:hAnsi="Arial Narrow"/>
                <w:sz w:val="20"/>
                <w:szCs w:val="20"/>
              </w:rPr>
              <w:t>YYYYY</w:t>
            </w:r>
          </w:p>
          <w:p w14:paraId="7EFF90DD" w14:textId="0D90AAE7" w:rsidR="006D02FF" w:rsidRDefault="006D02FF" w:rsidP="00D540DE">
            <w:pPr>
              <w:spacing w:before="120" w:after="120" w:line="240" w:lineRule="auto"/>
              <w:rPr>
                <w:rFonts w:ascii="Arial Narrow" w:hAnsi="Arial Narrow"/>
                <w:sz w:val="20"/>
                <w:szCs w:val="20"/>
              </w:rPr>
            </w:pPr>
            <w:r>
              <w:rPr>
                <w:rFonts w:ascii="Arial Narrow" w:hAnsi="Arial Narrow"/>
                <w:sz w:val="20"/>
                <w:szCs w:val="20"/>
              </w:rPr>
              <w:t>LEADLESS PERMANENT CARDIAC PACEMAKER</w:t>
            </w:r>
            <w:r w:rsidR="00E72613">
              <w:rPr>
                <w:rFonts w:ascii="Arial Narrow" w:hAnsi="Arial Narrow"/>
                <w:sz w:val="20"/>
                <w:szCs w:val="20"/>
              </w:rPr>
              <w:t xml:space="preserve">, </w:t>
            </w:r>
            <w:r w:rsidR="004D5B78">
              <w:rPr>
                <w:rFonts w:ascii="Arial Narrow" w:hAnsi="Arial Narrow"/>
                <w:sz w:val="20"/>
                <w:szCs w:val="20"/>
              </w:rPr>
              <w:t>SINGLE-CHAMBER</w:t>
            </w:r>
            <w:r w:rsidR="00D468FF">
              <w:rPr>
                <w:rFonts w:ascii="Arial Narrow" w:hAnsi="Arial Narrow"/>
                <w:sz w:val="20"/>
                <w:szCs w:val="20"/>
              </w:rPr>
              <w:t xml:space="preserve"> VENTRICULAR</w:t>
            </w:r>
            <w:r w:rsidR="00E72613">
              <w:rPr>
                <w:rFonts w:ascii="Arial Narrow" w:hAnsi="Arial Narrow"/>
                <w:sz w:val="20"/>
                <w:szCs w:val="20"/>
              </w:rPr>
              <w:t>, percutaneous retrieval</w:t>
            </w:r>
            <w:r>
              <w:rPr>
                <w:rFonts w:ascii="Arial Narrow" w:hAnsi="Arial Narrow"/>
                <w:sz w:val="20"/>
                <w:szCs w:val="20"/>
              </w:rPr>
              <w:t xml:space="preserve"> of</w:t>
            </w:r>
          </w:p>
          <w:p w14:paraId="2D657D2D" w14:textId="77777777" w:rsidR="006D02FF" w:rsidRDefault="006D02FF" w:rsidP="00D540DE">
            <w:pPr>
              <w:spacing w:before="120" w:after="120" w:line="240" w:lineRule="auto"/>
              <w:rPr>
                <w:rFonts w:ascii="Arial Narrow" w:hAnsi="Arial Narrow"/>
                <w:sz w:val="20"/>
                <w:szCs w:val="20"/>
              </w:rPr>
            </w:pPr>
            <w:r>
              <w:rPr>
                <w:rFonts w:ascii="Arial Narrow" w:hAnsi="Arial Narrow"/>
                <w:sz w:val="20"/>
                <w:szCs w:val="20"/>
              </w:rPr>
              <w:t>Multiple Operation Rule</w:t>
            </w:r>
          </w:p>
          <w:p w14:paraId="5948C64A" w14:textId="77777777" w:rsidR="006D02FF" w:rsidRDefault="006D02FF" w:rsidP="00D540DE">
            <w:pPr>
              <w:spacing w:before="120" w:after="120" w:line="240" w:lineRule="auto"/>
              <w:rPr>
                <w:rFonts w:ascii="Arial Narrow" w:hAnsi="Arial Narrow"/>
                <w:sz w:val="20"/>
                <w:szCs w:val="20"/>
              </w:rPr>
            </w:pPr>
            <w:r>
              <w:rPr>
                <w:rFonts w:ascii="Arial Narrow" w:hAnsi="Arial Narrow"/>
                <w:sz w:val="20"/>
                <w:szCs w:val="20"/>
              </w:rPr>
              <w:t>(Anaes.)</w:t>
            </w:r>
          </w:p>
          <w:p w14:paraId="297FE9D0" w14:textId="7FE23948" w:rsidR="006D02FF" w:rsidRPr="00DE762F" w:rsidRDefault="006D02FF" w:rsidP="00D540DE">
            <w:pPr>
              <w:spacing w:before="120" w:after="120" w:line="240" w:lineRule="auto"/>
              <w:rPr>
                <w:rFonts w:ascii="Arial Narrow" w:hAnsi="Arial Narrow"/>
                <w:sz w:val="20"/>
                <w:szCs w:val="20"/>
              </w:rPr>
            </w:pPr>
            <w:r w:rsidRPr="00DE762F">
              <w:rPr>
                <w:rFonts w:ascii="Arial Narrow" w:hAnsi="Arial Narrow"/>
                <w:sz w:val="20"/>
                <w:szCs w:val="20"/>
              </w:rPr>
              <w:t xml:space="preserve">Fee: </w:t>
            </w:r>
            <w:r w:rsidR="004C0CB5" w:rsidRPr="009E59CB">
              <w:rPr>
                <w:rFonts w:ascii="Arial Narrow" w:hAnsi="Arial Narrow"/>
                <w:i/>
                <w:iCs/>
                <w:sz w:val="20"/>
                <w:szCs w:val="20"/>
              </w:rPr>
              <w:t>TBD</w:t>
            </w:r>
          </w:p>
        </w:tc>
      </w:tr>
      <w:tr w:rsidR="00B51220" w:rsidRPr="005771DC" w14:paraId="1D1467BC" w14:textId="77777777" w:rsidTr="003D4112">
        <w:tc>
          <w:tcPr>
            <w:tcW w:w="5000" w:type="pct"/>
          </w:tcPr>
          <w:p w14:paraId="79E6AB95" w14:textId="77777777" w:rsidR="00B51220" w:rsidRDefault="00B51220" w:rsidP="00520FD3">
            <w:pPr>
              <w:keepNext/>
              <w:spacing w:before="120" w:after="120" w:line="240" w:lineRule="auto"/>
              <w:rPr>
                <w:rFonts w:ascii="Arial Narrow" w:hAnsi="Arial Narrow"/>
                <w:sz w:val="20"/>
                <w:szCs w:val="20"/>
              </w:rPr>
            </w:pPr>
            <w:r>
              <w:rPr>
                <w:rFonts w:ascii="Arial Narrow" w:hAnsi="Arial Narrow"/>
                <w:sz w:val="20"/>
                <w:szCs w:val="20"/>
              </w:rPr>
              <w:t>MBS item ZZZZZ</w:t>
            </w:r>
          </w:p>
          <w:p w14:paraId="179FBDBC" w14:textId="35B9E50A" w:rsidR="00B51220" w:rsidRDefault="00B51220" w:rsidP="00B51220">
            <w:pPr>
              <w:spacing w:before="120" w:after="120" w:line="240" w:lineRule="auto"/>
              <w:rPr>
                <w:rFonts w:ascii="Arial Narrow" w:hAnsi="Arial Narrow"/>
                <w:sz w:val="20"/>
                <w:szCs w:val="20"/>
              </w:rPr>
            </w:pPr>
            <w:r>
              <w:rPr>
                <w:rFonts w:ascii="Arial Narrow" w:hAnsi="Arial Narrow"/>
                <w:sz w:val="20"/>
                <w:szCs w:val="20"/>
              </w:rPr>
              <w:t>LEADLESS PERMANENT CARDIAC PACEMAKER, SINGLE-CHAMBER VENTRICULAR, surgical explantation of</w:t>
            </w:r>
          </w:p>
          <w:p w14:paraId="663E8BC5" w14:textId="77777777" w:rsidR="00B51220" w:rsidRDefault="00B51220" w:rsidP="00B51220">
            <w:pPr>
              <w:spacing w:before="120" w:after="120" w:line="240" w:lineRule="auto"/>
              <w:rPr>
                <w:rFonts w:ascii="Arial Narrow" w:hAnsi="Arial Narrow"/>
                <w:sz w:val="20"/>
                <w:szCs w:val="20"/>
              </w:rPr>
            </w:pPr>
            <w:r>
              <w:rPr>
                <w:rFonts w:ascii="Arial Narrow" w:hAnsi="Arial Narrow"/>
                <w:sz w:val="20"/>
                <w:szCs w:val="20"/>
              </w:rPr>
              <w:t>Multiple Operation Rule</w:t>
            </w:r>
          </w:p>
          <w:p w14:paraId="0884E06F" w14:textId="4AC70FFB" w:rsidR="00B51220" w:rsidRDefault="00B51220" w:rsidP="00B51220">
            <w:pPr>
              <w:spacing w:before="120" w:after="120" w:line="240" w:lineRule="auto"/>
              <w:rPr>
                <w:rFonts w:ascii="Arial Narrow" w:hAnsi="Arial Narrow"/>
                <w:sz w:val="20"/>
                <w:szCs w:val="20"/>
              </w:rPr>
            </w:pPr>
            <w:r>
              <w:rPr>
                <w:rFonts w:ascii="Arial Narrow" w:hAnsi="Arial Narrow"/>
                <w:sz w:val="20"/>
                <w:szCs w:val="20"/>
              </w:rPr>
              <w:t>(Anaes.)</w:t>
            </w:r>
            <w:r w:rsidR="00F500A2">
              <w:rPr>
                <w:rFonts w:ascii="Arial Narrow" w:hAnsi="Arial Narrow"/>
                <w:sz w:val="20"/>
                <w:szCs w:val="20"/>
              </w:rPr>
              <w:t xml:space="preserve"> (Assist)</w:t>
            </w:r>
          </w:p>
          <w:p w14:paraId="32C72648" w14:textId="6CA2A9F5" w:rsidR="00B51220" w:rsidRPr="00DE762F" w:rsidRDefault="00B51220" w:rsidP="00B51220">
            <w:pPr>
              <w:keepNext/>
              <w:spacing w:before="120" w:after="120" w:line="240" w:lineRule="auto"/>
              <w:rPr>
                <w:rFonts w:ascii="Arial Narrow" w:hAnsi="Arial Narrow"/>
                <w:sz w:val="20"/>
                <w:szCs w:val="20"/>
              </w:rPr>
            </w:pPr>
            <w:r w:rsidRPr="00DE762F">
              <w:rPr>
                <w:rFonts w:ascii="Arial Narrow" w:hAnsi="Arial Narrow"/>
                <w:sz w:val="20"/>
                <w:szCs w:val="20"/>
              </w:rPr>
              <w:t xml:space="preserve">Fee: </w:t>
            </w:r>
            <w:r w:rsidRPr="009E59CB">
              <w:rPr>
                <w:rFonts w:ascii="Arial Narrow" w:hAnsi="Arial Narrow"/>
                <w:i/>
                <w:iCs/>
                <w:sz w:val="20"/>
                <w:szCs w:val="20"/>
              </w:rPr>
              <w:t>TBD</w:t>
            </w:r>
          </w:p>
        </w:tc>
      </w:tr>
      <w:bookmarkEnd w:id="10"/>
    </w:tbl>
    <w:p w14:paraId="544A81A6" w14:textId="77777777" w:rsidR="004C0CB5" w:rsidRDefault="004C0CB5" w:rsidP="004C0CB5">
      <w:pPr>
        <w:pStyle w:val="Tablenotes"/>
      </w:pPr>
    </w:p>
    <w:p w14:paraId="3E90A3B5" w14:textId="6C5EB46B" w:rsidR="00A20CF9" w:rsidRDefault="004C0CB5" w:rsidP="004C0CB5">
      <w:r>
        <w:t>The applicant has proposed a fee of $79</w:t>
      </w:r>
      <w:r w:rsidR="004B17EF">
        <w:t>7</w:t>
      </w:r>
      <w:r>
        <w:t>.</w:t>
      </w:r>
      <w:r w:rsidR="004B17EF">
        <w:t>45</w:t>
      </w:r>
      <w:r w:rsidR="004B17EF">
        <w:rPr>
          <w:rStyle w:val="FootnoteReference"/>
        </w:rPr>
        <w:footnoteReference w:id="2"/>
      </w:r>
      <w:r>
        <w:t xml:space="preserve"> for </w:t>
      </w:r>
      <w:r w:rsidR="00E72613">
        <w:t>percutaneous</w:t>
      </w:r>
      <w:r>
        <w:t xml:space="preserve"> insertion of an LPM</w:t>
      </w:r>
      <w:r w:rsidR="009E59CB">
        <w:t xml:space="preserve"> </w:t>
      </w:r>
      <w:r w:rsidR="008F1DDF">
        <w:t xml:space="preserve">capable of </w:t>
      </w:r>
      <w:r w:rsidR="004D5B78">
        <w:t>single-chamber</w:t>
      </w:r>
      <w:r w:rsidR="008F1DDF">
        <w:t xml:space="preserve"> ventricular pacing</w:t>
      </w:r>
      <w:r w:rsidR="00404A7F">
        <w:t>.</w:t>
      </w:r>
      <w:r w:rsidR="00E72613">
        <w:t xml:space="preserve"> </w:t>
      </w:r>
      <w:r w:rsidR="00404A7F">
        <w:t>This fee is</w:t>
      </w:r>
      <w:r w:rsidR="00E72613">
        <w:t xml:space="preserve"> </w:t>
      </w:r>
      <w:r>
        <w:t xml:space="preserve">informed by the combined fee for MBS items 38350 and 38353 (taking the multiple operation rule into account), on the basis that </w:t>
      </w:r>
      <w:r w:rsidRPr="004C0CB5">
        <w:t xml:space="preserve">the total procedure duration </w:t>
      </w:r>
      <w:r>
        <w:t>for</w:t>
      </w:r>
      <w:r w:rsidRPr="004C0CB5">
        <w:t xml:space="preserve"> LPM </w:t>
      </w:r>
      <w:r>
        <w:t xml:space="preserve">insertion </w:t>
      </w:r>
      <w:r w:rsidR="00E72613">
        <w:t xml:space="preserve">is comparable to that of </w:t>
      </w:r>
      <w:r>
        <w:t xml:space="preserve">insertion of a </w:t>
      </w:r>
      <w:r w:rsidR="004D5B78">
        <w:t>single-chamber</w:t>
      </w:r>
      <w:r w:rsidRPr="004C0CB5">
        <w:t xml:space="preserve"> </w:t>
      </w:r>
      <w:r>
        <w:t>TV-</w:t>
      </w:r>
      <w:r w:rsidRPr="004C0CB5">
        <w:t xml:space="preserve">PM </w:t>
      </w:r>
      <w:r>
        <w:t>and electrode.</w:t>
      </w:r>
    </w:p>
    <w:p w14:paraId="4170B7F2" w14:textId="6BE5C7C7" w:rsidR="00B51220" w:rsidRDefault="00B51220" w:rsidP="00E72613">
      <w:pPr>
        <w:rPr>
          <w:i/>
          <w:iCs/>
        </w:rPr>
      </w:pPr>
      <w:r w:rsidRPr="00B51220">
        <w:rPr>
          <w:i/>
          <w:iCs/>
        </w:rPr>
        <w:t xml:space="preserve">PASC considered whether it may be more appropriate to base the fee on a catheter-based cardiac procedure on the MBS, such as catheter-based valve replacement, given the similarities to the LPM insertion procedure. The applicant’s clinical experts </w:t>
      </w:r>
      <w:r>
        <w:rPr>
          <w:i/>
          <w:iCs/>
        </w:rPr>
        <w:t>confirmed that in</w:t>
      </w:r>
      <w:r w:rsidRPr="00B51220">
        <w:rPr>
          <w:i/>
          <w:iCs/>
        </w:rPr>
        <w:t xml:space="preserve"> terms of time taken and skill required, LPM insertion is comparable to implantation of a </w:t>
      </w:r>
      <w:r>
        <w:rPr>
          <w:i/>
          <w:iCs/>
        </w:rPr>
        <w:t>TV-PM</w:t>
      </w:r>
      <w:r w:rsidRPr="00B51220">
        <w:rPr>
          <w:i/>
          <w:iCs/>
        </w:rPr>
        <w:t xml:space="preserve">. On that basis, PASC agreed that </w:t>
      </w:r>
      <w:r>
        <w:rPr>
          <w:i/>
          <w:iCs/>
        </w:rPr>
        <w:t xml:space="preserve">it </w:t>
      </w:r>
      <w:r w:rsidR="00C26E47">
        <w:rPr>
          <w:i/>
          <w:iCs/>
        </w:rPr>
        <w:t>may be</w:t>
      </w:r>
      <w:r>
        <w:rPr>
          <w:i/>
          <w:iCs/>
        </w:rPr>
        <w:t xml:space="preserve"> appropriate for </w:t>
      </w:r>
      <w:r w:rsidRPr="00B51220">
        <w:rPr>
          <w:i/>
          <w:iCs/>
        </w:rPr>
        <w:t xml:space="preserve">the proposed fee for LPM insertion </w:t>
      </w:r>
      <w:r>
        <w:rPr>
          <w:i/>
          <w:iCs/>
        </w:rPr>
        <w:t>to</w:t>
      </w:r>
      <w:r w:rsidRPr="00B51220">
        <w:rPr>
          <w:i/>
          <w:iCs/>
        </w:rPr>
        <w:t xml:space="preserve"> be based on the fee for insertion of a conventional pacemaker and transvenous leads</w:t>
      </w:r>
      <w:r w:rsidR="00C26E47">
        <w:rPr>
          <w:i/>
          <w:iCs/>
        </w:rPr>
        <w:t>, but that it would need to be appropriately justified in the assessment report</w:t>
      </w:r>
      <w:r w:rsidRPr="00B51220">
        <w:rPr>
          <w:i/>
          <w:iCs/>
        </w:rPr>
        <w:t>.</w:t>
      </w:r>
    </w:p>
    <w:p w14:paraId="18385747" w14:textId="14835C84" w:rsidR="00110DE5" w:rsidRPr="00B51220" w:rsidRDefault="00110DE5" w:rsidP="00110DE5">
      <w:pPr>
        <w:rPr>
          <w:i/>
          <w:iCs/>
        </w:rPr>
      </w:pPr>
      <w:r w:rsidRPr="00110DE5">
        <w:rPr>
          <w:i/>
          <w:iCs/>
        </w:rPr>
        <w:t>PASC queried whether the insertion item should be limited to once only or if there is a basis for the procedure being undertaken on multiple occasions in a single patient. The applicant’s clinical expert explained that a patient may receive multiple devices over their lifetime, similar to the situation for transvenous leads.</w:t>
      </w:r>
    </w:p>
    <w:p w14:paraId="716206A4" w14:textId="5AB797D7" w:rsidR="00110DE5" w:rsidRPr="00110DE5" w:rsidRDefault="00E72613" w:rsidP="00110DE5">
      <w:pPr>
        <w:rPr>
          <w:i/>
          <w:iCs/>
        </w:rPr>
      </w:pPr>
      <w:r>
        <w:t xml:space="preserve">The application does not </w:t>
      </w:r>
      <w:r w:rsidR="00C75AD7">
        <w:t>propose fees or provide</w:t>
      </w:r>
      <w:r>
        <w:t xml:space="preserve"> time estimate</w:t>
      </w:r>
      <w:r w:rsidR="00C75AD7">
        <w:t xml:space="preserve">s </w:t>
      </w:r>
      <w:r>
        <w:t xml:space="preserve">for </w:t>
      </w:r>
      <w:r w:rsidR="00110DE5">
        <w:t xml:space="preserve">LPM explantation, </w:t>
      </w:r>
      <w:r>
        <w:t>LPM retrieval or for LPM retr</w:t>
      </w:r>
      <w:r w:rsidR="00532947">
        <w:t>ie</w:t>
      </w:r>
      <w:r>
        <w:t>val with replacement</w:t>
      </w:r>
      <w:r w:rsidR="00C75AD7">
        <w:t xml:space="preserve"> during the same procedure</w:t>
      </w:r>
      <w:r>
        <w:t>.</w:t>
      </w:r>
      <w:r w:rsidR="00DD4BFA">
        <w:t xml:space="preserve"> It will be important to justify these fees during the assessment phase.</w:t>
      </w:r>
    </w:p>
    <w:p w14:paraId="38A3A8CE" w14:textId="36AF3C90" w:rsidR="00404A7F" w:rsidRDefault="00334BF2" w:rsidP="00E72613">
      <w:r>
        <w:t>Similar to TN.8.60 (which applies to MBS items 38350 and 38353), a</w:t>
      </w:r>
      <w:r w:rsidR="00404A7F">
        <w:t>n explanatory note</w:t>
      </w:r>
      <w:r>
        <w:t xml:space="preserve"> </w:t>
      </w:r>
      <w:r w:rsidR="00404A7F">
        <w:t xml:space="preserve">is required </w:t>
      </w:r>
      <w:r w:rsidR="00D35B7B">
        <w:t>to clarify that additional benefits are not payable on the same occasion for cardiac electrophysiological studies.</w:t>
      </w:r>
    </w:p>
    <w:p w14:paraId="2C2DC625" w14:textId="6544ED2A" w:rsidR="00D35B7B" w:rsidRDefault="00D35B7B" w:rsidP="00E72613">
      <w:r>
        <w:t xml:space="preserve">It is intended that the proposed items </w:t>
      </w:r>
      <w:r w:rsidR="00334BF2">
        <w:t xml:space="preserve">for LPM insertion and retrieval </w:t>
      </w:r>
      <w:r>
        <w:t xml:space="preserve">are to be claimed in conjunction with </w:t>
      </w:r>
      <w:r w:rsidR="00334BF2">
        <w:t>an existing MBS item for fluoroscopy</w:t>
      </w:r>
      <w:r w:rsidR="008F1DDF">
        <w:t xml:space="preserve"> (e.g.</w:t>
      </w:r>
      <w:r w:rsidR="000168A6">
        <w:t>,</w:t>
      </w:r>
      <w:r w:rsidR="008F1DDF">
        <w:t xml:space="preserve"> MBS item 61109)</w:t>
      </w:r>
      <w:r w:rsidR="00334BF2">
        <w:t>.</w:t>
      </w:r>
    </w:p>
    <w:p w14:paraId="6DCACB27" w14:textId="712707C4" w:rsidR="00EC78DF" w:rsidRDefault="00EC78DF" w:rsidP="00EC78DF">
      <w:pPr>
        <w:pStyle w:val="Heading3"/>
      </w:pPr>
      <w:r>
        <w:t xml:space="preserve">Private health insurance </w:t>
      </w:r>
    </w:p>
    <w:p w14:paraId="53D73831" w14:textId="0D677D38" w:rsidR="0024028C" w:rsidRDefault="008E0FC1" w:rsidP="00E72613">
      <w:r>
        <w:t>N</w:t>
      </w:r>
      <w:r w:rsidR="0024028C">
        <w:t xml:space="preserve">o leadless pacemakers </w:t>
      </w:r>
      <w:r w:rsidR="009E59CB">
        <w:t>were</w:t>
      </w:r>
      <w:r w:rsidR="0024028C">
        <w:t xml:space="preserve"> available on the </w:t>
      </w:r>
      <w:r>
        <w:t xml:space="preserve">July 2021 </w:t>
      </w:r>
      <w:r w:rsidR="0024028C">
        <w:t>Prostheses Lis</w:t>
      </w:r>
      <w:r>
        <w:t>t (PL). The applicant</w:t>
      </w:r>
      <w:r w:rsidRPr="008E0FC1">
        <w:t xml:space="preserve"> intends to submit an application in early 2022 </w:t>
      </w:r>
      <w:r>
        <w:t xml:space="preserve">to include the Micra TPS </w:t>
      </w:r>
      <w:r w:rsidR="00B31FAB">
        <w:t xml:space="preserve">(also referred to as Micra VR) </w:t>
      </w:r>
      <w:r w:rsidRPr="008E0FC1">
        <w:t xml:space="preserve">on the </w:t>
      </w:r>
      <w:r>
        <w:t>PL.</w:t>
      </w:r>
      <w:r w:rsidR="009E59CB">
        <w:t xml:space="preserve"> The cost of the Micra device and consum</w:t>
      </w:r>
      <w:r w:rsidR="000168A6">
        <w:t>a</w:t>
      </w:r>
      <w:r w:rsidR="009E59CB">
        <w:t xml:space="preserve">bles were not disclosed in the application but will be </w:t>
      </w:r>
      <w:r w:rsidR="00567A1F">
        <w:t>provided</w:t>
      </w:r>
      <w:r w:rsidR="009E59CB">
        <w:t xml:space="preserve"> in the Applicant Developed Assessment Report (ADAR).</w:t>
      </w:r>
    </w:p>
    <w:p w14:paraId="62338695" w14:textId="05193425" w:rsidR="00D37A3F" w:rsidRPr="00D37A3F" w:rsidRDefault="003F0A39" w:rsidP="00713728">
      <w:pPr>
        <w:pStyle w:val="Heading2"/>
      </w:pPr>
      <w:r>
        <w:t>Summary of public consultation</w:t>
      </w:r>
      <w:r w:rsidRPr="00D37A3F">
        <w:t xml:space="preserve"> </w:t>
      </w:r>
      <w:r w:rsidR="00E470B0">
        <w:t>input</w:t>
      </w:r>
    </w:p>
    <w:p w14:paraId="689E452E" w14:textId="29C2E7AE" w:rsidR="00365EA2" w:rsidRDefault="00625B91" w:rsidP="00B45795">
      <w:pPr>
        <w:spacing w:before="120"/>
      </w:pPr>
      <w:r w:rsidRPr="008F1FC7">
        <w:t>The department</w:t>
      </w:r>
      <w:r>
        <w:t xml:space="preserve"> received </w:t>
      </w:r>
      <w:r w:rsidR="00BA3A32">
        <w:t xml:space="preserve">one response from a health professional to </w:t>
      </w:r>
      <w:r>
        <w:t>targeted consultation</w:t>
      </w:r>
      <w:r w:rsidR="00BA3A32">
        <w:t>. The response was</w:t>
      </w:r>
      <w:r>
        <w:t xml:space="preserve"> supportive of the application </w:t>
      </w:r>
      <w:r w:rsidR="00BA3A32">
        <w:t>noting that advantages</w:t>
      </w:r>
      <w:r w:rsidR="00EE1928">
        <w:t xml:space="preserve"> of the proposed intervention</w:t>
      </w:r>
      <w:r w:rsidR="00BA3A32">
        <w:t xml:space="preserve"> would </w:t>
      </w:r>
      <w:r w:rsidR="00EE1928">
        <w:t xml:space="preserve">relate to </w:t>
      </w:r>
      <w:r w:rsidR="00BA3A32">
        <w:t>patient satisfaction, and reduction of lead and pocket complications.</w:t>
      </w:r>
    </w:p>
    <w:p w14:paraId="353EBE33" w14:textId="43138903" w:rsidR="00633AE9" w:rsidRDefault="00633AE9" w:rsidP="00FC7F9E">
      <w:r w:rsidRPr="00906E61">
        <w:rPr>
          <w:rFonts w:asciiTheme="minorHAnsi" w:hAnsiTheme="minorHAnsi" w:cstheme="minorHAnsi"/>
          <w:i/>
          <w:iCs/>
        </w:rPr>
        <w:t xml:space="preserve">PASC noted that </w:t>
      </w:r>
      <w:r>
        <w:rPr>
          <w:rFonts w:asciiTheme="minorHAnsi" w:hAnsiTheme="minorHAnsi" w:cstheme="minorHAnsi"/>
          <w:i/>
          <w:iCs/>
        </w:rPr>
        <w:t>the one response received at targeted consultation was supportive of the application.</w:t>
      </w:r>
    </w:p>
    <w:p w14:paraId="4E68667F" w14:textId="40F09559" w:rsidR="00D37A3F" w:rsidRPr="00D37A3F" w:rsidRDefault="00D37A3F" w:rsidP="00713728">
      <w:pPr>
        <w:pStyle w:val="Heading2"/>
      </w:pPr>
      <w:r w:rsidRPr="00D37A3F">
        <w:t>Next steps</w:t>
      </w:r>
    </w:p>
    <w:p w14:paraId="4563DDC7" w14:textId="0AD374B4" w:rsidR="00F21541" w:rsidRDefault="004C0267" w:rsidP="00633AE9">
      <w:pPr>
        <w:spacing w:before="120"/>
        <w:rPr>
          <w:rFonts w:asciiTheme="minorHAnsi" w:hAnsiTheme="minorHAnsi" w:cstheme="minorHAnsi"/>
          <w:i/>
          <w:iCs/>
        </w:rPr>
      </w:pPr>
      <w:r>
        <w:rPr>
          <w:rFonts w:asciiTheme="minorHAnsi" w:hAnsiTheme="minorHAnsi" w:cstheme="minorHAnsi"/>
          <w:i/>
          <w:iCs/>
        </w:rPr>
        <w:t>PASC noted that the applicant has elected to the application as an ADAR</w:t>
      </w:r>
      <w:r w:rsidR="00A8275A">
        <w:rPr>
          <w:rFonts w:asciiTheme="minorHAnsi" w:hAnsiTheme="minorHAnsi" w:cstheme="minorHAnsi"/>
          <w:i/>
          <w:iCs/>
        </w:rPr>
        <w:t xml:space="preserve"> (Applicant Developed Assessment Report)</w:t>
      </w:r>
      <w:r>
        <w:rPr>
          <w:rFonts w:asciiTheme="minorHAnsi" w:hAnsiTheme="minorHAnsi" w:cstheme="minorHAnsi"/>
          <w:i/>
          <w:iCs/>
        </w:rPr>
        <w:t>, targeting the June 2022 ESC meeting and the July 2022 MSAC meeting.</w:t>
      </w:r>
    </w:p>
    <w:p w14:paraId="2FE65E68" w14:textId="77777777" w:rsidR="00F21541" w:rsidRDefault="00F21541" w:rsidP="00F21541">
      <w:pPr>
        <w:pStyle w:val="Heading2"/>
      </w:pPr>
      <w:r>
        <w:t xml:space="preserve">Applicant Comments on the PICO Confirmation </w:t>
      </w:r>
    </w:p>
    <w:p w14:paraId="3512A612" w14:textId="0A94697A" w:rsidR="00F21541" w:rsidRPr="008F1FC7" w:rsidRDefault="00F21541" w:rsidP="008F1FC7">
      <w:pPr>
        <w:spacing w:before="160"/>
        <w:rPr>
          <w:u w:val="single"/>
        </w:rPr>
      </w:pPr>
      <w:r w:rsidRPr="008F1FC7">
        <w:rPr>
          <w:u w:val="single"/>
        </w:rPr>
        <w:t>Proposal for public funding</w:t>
      </w:r>
    </w:p>
    <w:p w14:paraId="011320BA" w14:textId="5035A600" w:rsidR="00F21541" w:rsidRDefault="00F21541" w:rsidP="00F21541">
      <w:pPr>
        <w:rPr>
          <w:rFonts w:asciiTheme="minorHAnsi" w:hAnsiTheme="minorHAnsi" w:cstheme="minorHAnsi"/>
          <w:i/>
          <w:iCs/>
        </w:rPr>
      </w:pPr>
      <w:r w:rsidRPr="00F21541">
        <w:rPr>
          <w:rFonts w:asciiTheme="minorHAnsi" w:hAnsiTheme="minorHAnsi" w:cstheme="minorHAnsi"/>
          <w:i/>
          <w:iCs/>
        </w:rPr>
        <w:t>Medtronic</w:t>
      </w:r>
      <w:r>
        <w:rPr>
          <w:rFonts w:asciiTheme="minorHAnsi" w:hAnsiTheme="minorHAnsi" w:cstheme="minorHAnsi"/>
          <w:i/>
          <w:iCs/>
        </w:rPr>
        <w:t xml:space="preserve"> advised it</w:t>
      </w:r>
      <w:r w:rsidRPr="00F21541">
        <w:rPr>
          <w:rFonts w:asciiTheme="minorHAnsi" w:hAnsiTheme="minorHAnsi" w:cstheme="minorHAnsi"/>
          <w:i/>
          <w:iCs/>
        </w:rPr>
        <w:t xml:space="preserve"> will work with clinical experts in order to justify the appropriate fees in the assessment report.</w:t>
      </w:r>
    </w:p>
    <w:p w14:paraId="352E1CFA" w14:textId="7A3E64B2" w:rsidR="00446F1B" w:rsidRPr="008F1FC7" w:rsidRDefault="00446F1B" w:rsidP="008F1FC7">
      <w:pPr>
        <w:spacing w:before="120"/>
        <w:rPr>
          <w:u w:val="single"/>
        </w:rPr>
      </w:pPr>
      <w:r w:rsidRPr="008F1FC7">
        <w:rPr>
          <w:u w:val="single"/>
        </w:rPr>
        <w:t>Next Steps</w:t>
      </w:r>
    </w:p>
    <w:p w14:paraId="46A9EC56" w14:textId="6D30CE3E" w:rsidR="00446F1B" w:rsidRPr="00F21541" w:rsidRDefault="00446F1B" w:rsidP="00F21541">
      <w:pPr>
        <w:rPr>
          <w:rFonts w:asciiTheme="minorHAnsi" w:hAnsiTheme="minorHAnsi" w:cstheme="minorHAnsi"/>
          <w:i/>
          <w:iCs/>
        </w:rPr>
      </w:pPr>
      <w:r>
        <w:rPr>
          <w:rFonts w:asciiTheme="minorHAnsi" w:hAnsiTheme="minorHAnsi" w:cstheme="minorHAnsi"/>
          <w:i/>
          <w:iCs/>
        </w:rPr>
        <w:t xml:space="preserve">The applicant </w:t>
      </w:r>
      <w:r w:rsidR="00A8275A">
        <w:rPr>
          <w:rFonts w:asciiTheme="minorHAnsi" w:hAnsiTheme="minorHAnsi" w:cstheme="minorHAnsi"/>
          <w:i/>
          <w:iCs/>
        </w:rPr>
        <w:t>confirmed it intends to submit an ADAR.</w:t>
      </w:r>
    </w:p>
    <w:p w14:paraId="6B27340B" w14:textId="1AF69732" w:rsidR="004E20D3" w:rsidRPr="00FC7F9E" w:rsidRDefault="003F65B6" w:rsidP="00633AE9">
      <w:pPr>
        <w:spacing w:before="120"/>
      </w:pPr>
      <w:r>
        <w:rPr>
          <w:i/>
          <w:iCs/>
        </w:rPr>
        <w:br w:type="page"/>
      </w:r>
    </w:p>
    <w:p w14:paraId="320C904F" w14:textId="556F2E93" w:rsidR="001E1894" w:rsidRDefault="00A33126" w:rsidP="0046565C">
      <w:pPr>
        <w:pStyle w:val="Heading2"/>
      </w:pPr>
      <w:r w:rsidRPr="00A33126">
        <w:t>References</w:t>
      </w:r>
    </w:p>
    <w:p w14:paraId="323728B4" w14:textId="401C87B3" w:rsidR="002B4B5A" w:rsidRDefault="002B4B5A" w:rsidP="003F65B6">
      <w:r w:rsidRPr="003F65B6">
        <w:t>Brignole</w:t>
      </w:r>
      <w:r w:rsidR="003F65B6" w:rsidRPr="003F65B6">
        <w:t>, M., Auricchio, A., Baron-</w:t>
      </w:r>
      <w:r w:rsidR="003F65B6">
        <w:t xml:space="preserve">Esquivias, G., Bordachar, P., Boriani, G., Breithardt, O-A., Cleland, J., Deharo, J-C., Delgado, V., Elliott, P.M., Gorenek, B., Israel, C.W., Leclercq, C., Linde, C., Mont, L., Padeletti, L., Sutton, R., Vardas, P.E. </w:t>
      </w:r>
      <w:r w:rsidR="00DE4414">
        <w:t>(</w:t>
      </w:r>
      <w:r w:rsidRPr="002B4B5A">
        <w:t>2013</w:t>
      </w:r>
      <w:r w:rsidR="00DE4414">
        <w:t>)</w:t>
      </w:r>
      <w:r w:rsidRPr="002B4B5A">
        <w:t xml:space="preserve"> The Task Force on cardiac pacing and resynchronization therapy of the European Society of Cardiology (ESC). Developed in collaboration with the European Heart Rhythm Association (EHRA). 2013 ESC Guidelines on cardiac pacing and cardiac resynchronization therapy. </w:t>
      </w:r>
      <w:r w:rsidRPr="00DE4414">
        <w:rPr>
          <w:i/>
          <w:iCs/>
        </w:rPr>
        <w:t>European Heart Journal</w:t>
      </w:r>
      <w:r w:rsidR="00DE4414" w:rsidRPr="00DE4414">
        <w:rPr>
          <w:i/>
          <w:iCs/>
        </w:rPr>
        <w:t>.</w:t>
      </w:r>
      <w:r w:rsidRPr="002B4B5A">
        <w:t xml:space="preserve"> 34:2281</w:t>
      </w:r>
      <w:r w:rsidR="00DE4414">
        <w:t>-</w:t>
      </w:r>
      <w:r w:rsidRPr="002B4B5A">
        <w:t>329.</w:t>
      </w:r>
    </w:p>
    <w:p w14:paraId="40476D7E" w14:textId="3088340D" w:rsidR="00D613E4" w:rsidRDefault="00385B07" w:rsidP="003F65B6">
      <w:r w:rsidRPr="00385B07">
        <w:t>Denman</w:t>
      </w:r>
      <w:r w:rsidR="003F65B6">
        <w:t>, R.A., Lee, A.C., Mengel, C., Townsend, S., Betts, J., Bovey, N., Wright, D., Davison, O., Haqqani, H.M.</w:t>
      </w:r>
      <w:r w:rsidRPr="00385B07">
        <w:t xml:space="preserve"> </w:t>
      </w:r>
      <w:r w:rsidR="003F65B6">
        <w:t>(</w:t>
      </w:r>
      <w:r w:rsidRPr="00385B07">
        <w:t>2019</w:t>
      </w:r>
      <w:r w:rsidR="003F65B6">
        <w:t>)</w:t>
      </w:r>
      <w:r w:rsidRPr="00385B07">
        <w:t xml:space="preserve"> Leadless </w:t>
      </w:r>
      <w:r w:rsidR="005E4DF0">
        <w:t>p</w:t>
      </w:r>
      <w:r w:rsidRPr="00385B07">
        <w:t xml:space="preserve">ermanent </w:t>
      </w:r>
      <w:r w:rsidR="005E4DF0">
        <w:t>p</w:t>
      </w:r>
      <w:r w:rsidRPr="00385B07">
        <w:t xml:space="preserve">acing: A </w:t>
      </w:r>
      <w:r w:rsidR="005E4DF0">
        <w:t>s</w:t>
      </w:r>
      <w:r w:rsidRPr="00385B07">
        <w:t xml:space="preserve">ingle </w:t>
      </w:r>
      <w:r w:rsidR="005E4DF0">
        <w:t>c</w:t>
      </w:r>
      <w:r w:rsidRPr="00385B07">
        <w:t xml:space="preserve">entre Australian </w:t>
      </w:r>
      <w:r w:rsidR="005E4DF0">
        <w:t>e</w:t>
      </w:r>
      <w:r w:rsidRPr="00385B07">
        <w:t xml:space="preserve">xperience. </w:t>
      </w:r>
      <w:r w:rsidRPr="003F65B6">
        <w:rPr>
          <w:i/>
          <w:iCs/>
        </w:rPr>
        <w:t>Heart, Lung and Circulation</w:t>
      </w:r>
      <w:r w:rsidR="003F65B6" w:rsidRPr="003F65B6">
        <w:rPr>
          <w:i/>
          <w:iCs/>
        </w:rPr>
        <w:t>.</w:t>
      </w:r>
      <w:r w:rsidRPr="00385B07">
        <w:t xml:space="preserve"> 28, 1677–82.</w:t>
      </w:r>
    </w:p>
    <w:p w14:paraId="1C9A4C0D" w14:textId="77777777" w:rsidR="00873236" w:rsidRDefault="00873236" w:rsidP="00873236">
      <w:r>
        <w:t xml:space="preserve">Duray, G.Z., Ritter, P., El-Chami, M., Narasimhan, C., Omar, R., Tolosana, J.M., Zhang, S., Soejima, K., Steinwender, C., Rapallini, L., Cicic, A., Fagan, D.H., Liu, S., Reynolds, D., Micra Transcatheter Pacing Study Group. (2017) </w:t>
      </w:r>
      <w:r w:rsidRPr="00873236">
        <w:t>Long-term performance of a transcatheter pacing system: 12-Month results from the Micra Transcatheter Pacing Study</w:t>
      </w:r>
      <w:r>
        <w:t xml:space="preserve">. </w:t>
      </w:r>
      <w:r w:rsidRPr="00873236">
        <w:rPr>
          <w:i/>
          <w:iCs/>
        </w:rPr>
        <w:t>Heart Rhythm.</w:t>
      </w:r>
      <w:r>
        <w:t xml:space="preserve"> 14:702-09.</w:t>
      </w:r>
    </w:p>
    <w:p w14:paraId="2F7CB96B" w14:textId="2ED52842" w:rsidR="00D613E4" w:rsidRDefault="00113518" w:rsidP="00113518">
      <w:r>
        <w:t>Fagerlund</w:t>
      </w:r>
      <w:r w:rsidR="00DE4414">
        <w:t>,</w:t>
      </w:r>
      <w:r>
        <w:t xml:space="preserve"> B</w:t>
      </w:r>
      <w:r w:rsidR="00DE4414">
        <w:t>.</w:t>
      </w:r>
      <w:r>
        <w:t>C</w:t>
      </w:r>
      <w:r w:rsidR="00DE4414">
        <w:t>.</w:t>
      </w:r>
      <w:r>
        <w:t>, Harboe</w:t>
      </w:r>
      <w:r w:rsidR="00DE4414">
        <w:t>,</w:t>
      </w:r>
      <w:r>
        <w:t xml:space="preserve"> I</w:t>
      </w:r>
      <w:r w:rsidR="00DE4414">
        <w:t>.</w:t>
      </w:r>
      <w:r>
        <w:t>, Giske</w:t>
      </w:r>
      <w:r w:rsidR="00DE4414">
        <w:t>,</w:t>
      </w:r>
      <w:r>
        <w:t xml:space="preserve"> L</w:t>
      </w:r>
      <w:r w:rsidR="00DE4414">
        <w:t>.</w:t>
      </w:r>
      <w:r>
        <w:t>, Movik</w:t>
      </w:r>
      <w:r w:rsidR="00DE4414">
        <w:t>,</w:t>
      </w:r>
      <w:r>
        <w:t xml:space="preserve"> E</w:t>
      </w:r>
      <w:r w:rsidR="00DE4414">
        <w:t>.</w:t>
      </w:r>
      <w:r>
        <w:t>, Ørjasæter</w:t>
      </w:r>
      <w:r w:rsidR="00DE4414">
        <w:t>,</w:t>
      </w:r>
      <w:r>
        <w:t xml:space="preserve"> I</w:t>
      </w:r>
      <w:r w:rsidR="00DE4414">
        <w:t>.</w:t>
      </w:r>
      <w:r>
        <w:t>K</w:t>
      </w:r>
      <w:r w:rsidR="00DE4414">
        <w:t>.</w:t>
      </w:r>
      <w:r>
        <w:t>, Tjelle</w:t>
      </w:r>
      <w:r w:rsidR="00DE4414">
        <w:t>,</w:t>
      </w:r>
      <w:r>
        <w:t xml:space="preserve"> T</w:t>
      </w:r>
      <w:r w:rsidR="00DE4414">
        <w:t>.</w:t>
      </w:r>
      <w:r>
        <w:t xml:space="preserve">E. </w:t>
      </w:r>
      <w:r w:rsidR="00DE4414">
        <w:t xml:space="preserve">(2018) </w:t>
      </w:r>
      <w:r>
        <w:t>The MicraTM Transcatheter Pacing System, a leadless pacemaker, in patients indicated for single‐chamber ventricular pacemaker implantation: A single technology assessment from the Norwegian Institute of Public Health (Folkehelseinstituttet). Oslo: Norwegian Institute of Public Health.</w:t>
      </w:r>
    </w:p>
    <w:p w14:paraId="6882049F" w14:textId="32F073DD" w:rsidR="00D613E4" w:rsidRDefault="00D613E4" w:rsidP="00E01349">
      <w:r w:rsidRPr="00D613E4">
        <w:t xml:space="preserve">Gregoratos G. </w:t>
      </w:r>
      <w:r w:rsidR="00DE4414">
        <w:t xml:space="preserve">(1999) </w:t>
      </w:r>
      <w:r w:rsidRPr="00D613E4">
        <w:t xml:space="preserve">Permanent pacemakers in older persons. </w:t>
      </w:r>
      <w:r w:rsidRPr="00DE4414">
        <w:rPr>
          <w:i/>
          <w:iCs/>
        </w:rPr>
        <w:t>J</w:t>
      </w:r>
      <w:r w:rsidR="003F65B6">
        <w:rPr>
          <w:i/>
          <w:iCs/>
        </w:rPr>
        <w:t>ournal of the</w:t>
      </w:r>
      <w:r w:rsidRPr="00DE4414">
        <w:rPr>
          <w:i/>
          <w:iCs/>
        </w:rPr>
        <w:t xml:space="preserve"> Am</w:t>
      </w:r>
      <w:r w:rsidR="003F65B6">
        <w:rPr>
          <w:i/>
          <w:iCs/>
        </w:rPr>
        <w:t>erican</w:t>
      </w:r>
      <w:r w:rsidRPr="00DE4414">
        <w:rPr>
          <w:i/>
          <w:iCs/>
        </w:rPr>
        <w:t xml:space="preserve"> Geriatr</w:t>
      </w:r>
      <w:r w:rsidR="003F65B6">
        <w:rPr>
          <w:i/>
          <w:iCs/>
        </w:rPr>
        <w:t>ic</w:t>
      </w:r>
      <w:r w:rsidRPr="00DE4414">
        <w:rPr>
          <w:i/>
          <w:iCs/>
        </w:rPr>
        <w:t xml:space="preserve"> Soc</w:t>
      </w:r>
      <w:r w:rsidR="003F65B6">
        <w:rPr>
          <w:i/>
          <w:iCs/>
        </w:rPr>
        <w:t>iety</w:t>
      </w:r>
      <w:r w:rsidR="00DE4414">
        <w:t>.</w:t>
      </w:r>
      <w:r w:rsidRPr="00D613E4">
        <w:t xml:space="preserve"> 47(9):1125-35.</w:t>
      </w:r>
    </w:p>
    <w:p w14:paraId="4D99C677" w14:textId="51CF7A31" w:rsidR="00D175CE" w:rsidRDefault="00D175CE" w:rsidP="00E01349">
      <w:r>
        <w:t>Hayes</w:t>
      </w:r>
      <w:r w:rsidR="00951B53">
        <w:t xml:space="preserve">, </w:t>
      </w:r>
      <w:r w:rsidR="00951B53" w:rsidRPr="00951B53">
        <w:t>D</w:t>
      </w:r>
      <w:r w:rsidR="00951B53">
        <w:t>.</w:t>
      </w:r>
      <w:r w:rsidR="00951B53" w:rsidRPr="00951B53">
        <w:t>L</w:t>
      </w:r>
      <w:r w:rsidR="00951B53">
        <w:t>.</w:t>
      </w:r>
      <w:r w:rsidR="00951B53" w:rsidRPr="00951B53">
        <w:t xml:space="preserve"> (20</w:t>
      </w:r>
      <w:r w:rsidR="000B0353">
        <w:t>21</w:t>
      </w:r>
      <w:r w:rsidR="00951B53" w:rsidRPr="00951B53">
        <w:t>) Modes of cardiac pacing: Nomenclature and selection</w:t>
      </w:r>
      <w:r w:rsidR="00951B53">
        <w:t xml:space="preserve">. </w:t>
      </w:r>
      <w:r w:rsidR="000B0353">
        <w:t xml:space="preserve">In M. Link and B.C. Downey (eds.) </w:t>
      </w:r>
      <w:r w:rsidR="00951B53" w:rsidRPr="000B0353">
        <w:rPr>
          <w:i/>
          <w:iCs/>
        </w:rPr>
        <w:t>UpToDate</w:t>
      </w:r>
      <w:r w:rsidR="000B0353">
        <w:rPr>
          <w:i/>
          <w:iCs/>
        </w:rPr>
        <w:t xml:space="preserve">. </w:t>
      </w:r>
      <w:r w:rsidR="000B0353">
        <w:t>Retrieved 20 July 2021, from</w:t>
      </w:r>
      <w:r w:rsidR="00951B53" w:rsidRPr="00951B53">
        <w:t xml:space="preserve"> </w:t>
      </w:r>
      <w:hyperlink r:id="rId15" w:tooltip="Links to the UpToDate website" w:history="1">
        <w:r w:rsidR="00A34089" w:rsidRPr="00AD21AE">
          <w:rPr>
            <w:rStyle w:val="Hyperlink"/>
            <w:rFonts w:ascii="Calibri" w:hAnsi="Calibri"/>
          </w:rPr>
          <w:t>https://www.uptodate.com/contents/modes-of-cardiac-pacing-nomenclature-and-selection?topicRef=941&amp;source=see_link</w:t>
        </w:r>
      </w:hyperlink>
    </w:p>
    <w:p w14:paraId="379FA841" w14:textId="64D1CDBD" w:rsidR="00A34089" w:rsidRDefault="00A34089" w:rsidP="00E01349">
      <w:r w:rsidRPr="00A34089">
        <w:t xml:space="preserve">Koh, D., Lau, K.K. (2018) A new leadless cardiac conduction device. </w:t>
      </w:r>
      <w:r w:rsidRPr="00A34089">
        <w:rPr>
          <w:i/>
          <w:iCs/>
        </w:rPr>
        <w:t>Journal of Medical Imaging and Radiation Oncology</w:t>
      </w:r>
      <w:r>
        <w:t>.</w:t>
      </w:r>
      <w:r w:rsidRPr="00A34089">
        <w:t xml:space="preserve"> 62</w:t>
      </w:r>
      <w:r>
        <w:t>:</w:t>
      </w:r>
      <w:r w:rsidRPr="00A34089">
        <w:t>375-6</w:t>
      </w:r>
      <w:r>
        <w:t>.</w:t>
      </w:r>
    </w:p>
    <w:p w14:paraId="3D4E22EA" w14:textId="2E4212E0" w:rsidR="00D613E4" w:rsidRDefault="00D613E4" w:rsidP="00E01349">
      <w:r w:rsidRPr="00D613E4">
        <w:t>Kusomoto</w:t>
      </w:r>
      <w:r w:rsidR="00DE4414">
        <w:t>, F.M., Schoenfeld, M.H., Barrett, C., Edgerton, J.R., Ellenbogen, K.A., Gold, M.R., Coldschlager, N.F., Hamilton, R.M., Joglar, J.A., Kim, R.J., Lee, R., Marine, J.E., McLeod, C.J., Oken, K.R., Patton, K.K., Pellegrini, C.N., Selzman, K.A., Thompson, A., Varosy, P.D</w:t>
      </w:r>
      <w:r w:rsidRPr="00D613E4">
        <w:t xml:space="preserve">. </w:t>
      </w:r>
      <w:r w:rsidR="00DE4414">
        <w:t xml:space="preserve">(2019) </w:t>
      </w:r>
      <w:r w:rsidRPr="00D613E4">
        <w:t>2018 ACC/AHA/HRS guideline on the evaluation and management of patients with bradycardia and cardiac conduction delay</w:t>
      </w:r>
      <w:r w:rsidR="00DE4414">
        <w:t>.</w:t>
      </w:r>
      <w:r w:rsidRPr="00D613E4">
        <w:t xml:space="preserve"> A </w:t>
      </w:r>
      <w:r w:rsidR="00DE4414">
        <w:t>r</w:t>
      </w:r>
      <w:r w:rsidRPr="00D613E4">
        <w:t xml:space="preserve">eport of the American College of Cardiology/American Heart Association Task Force on Clinical Practice Guidelines and the Heart Rhythm Society. </w:t>
      </w:r>
      <w:r w:rsidRPr="00DE4414">
        <w:rPr>
          <w:i/>
          <w:iCs/>
        </w:rPr>
        <w:t>Circulation.</w:t>
      </w:r>
      <w:r w:rsidRPr="00D613E4">
        <w:t xml:space="preserve"> 140(8):e382</w:t>
      </w:r>
      <w:r w:rsidR="009B007C">
        <w:t>-</w:t>
      </w:r>
      <w:r w:rsidRPr="00D613E4">
        <w:t>e482</w:t>
      </w:r>
      <w:r>
        <w:t>.</w:t>
      </w:r>
    </w:p>
    <w:p w14:paraId="37DAF6B7" w14:textId="1F8F7E8C" w:rsidR="00AF1240" w:rsidRDefault="00AF1240" w:rsidP="00AF1240">
      <w:r>
        <w:t xml:space="preserve">National Institute for Health and Care Excellence (NICE). Interventional procedure overview of leadless cardiac pacemaker implantation for bradyarrhythmias. Interventional Procedures Programme, IP 1192 [IPG626]. August 2018. Retrieved 20 July 2021, from </w:t>
      </w:r>
      <w:hyperlink r:id="rId16" w:tooltip="Links to the NICE website" w:history="1">
        <w:r w:rsidRPr="00AD21AE">
          <w:rPr>
            <w:rStyle w:val="Hyperlink"/>
            <w:rFonts w:ascii="Calibri" w:hAnsi="Calibri"/>
          </w:rPr>
          <w:t>https://www.nice.org.uk/guidance/ipg626/evidence</w:t>
        </w:r>
      </w:hyperlink>
      <w:r>
        <w:t xml:space="preserve"> </w:t>
      </w:r>
    </w:p>
    <w:p w14:paraId="2A6B2EFE" w14:textId="2E4C1FC0" w:rsidR="00386AFC" w:rsidRDefault="00386AFC" w:rsidP="0017550C">
      <w:r w:rsidRPr="00386AFC">
        <w:t xml:space="preserve">Omdahl, P., Eggen, M.D., Bonner, M.D., Iaizzo, P.A., Wika, K. </w:t>
      </w:r>
      <w:r>
        <w:t xml:space="preserve">(2016) </w:t>
      </w:r>
      <w:r w:rsidRPr="00386AFC">
        <w:t>Right ventricular anatomy can accommodate multiple Micra Transcatheter Pacemakers. Pacing Clin Electrophysiol. 39(4):393-7</w:t>
      </w:r>
      <w:r>
        <w:t>.</w:t>
      </w:r>
    </w:p>
    <w:p w14:paraId="0546DD15" w14:textId="094B5792" w:rsidR="0017550C" w:rsidRDefault="0017550C" w:rsidP="0017550C">
      <w:r>
        <w:t>Semlitsch, Th., Zipp, C., Loder, C. (2020) Leadless Pacemakers for Right Ventricle Pacing. Decision Support Document No. 97/2. Update 2020; Vienna: Ludwig Boltzmann Institute for Health Technology Assessment.</w:t>
      </w:r>
    </w:p>
    <w:p w14:paraId="141E7952" w14:textId="7D56A24D" w:rsidR="00E01349" w:rsidRDefault="00D613E4" w:rsidP="00E01349">
      <w:r w:rsidRPr="00D613E4">
        <w:t>Wasmer</w:t>
      </w:r>
      <w:r w:rsidR="00DE4414">
        <w:t>,</w:t>
      </w:r>
      <w:r w:rsidRPr="00D613E4">
        <w:t xml:space="preserve"> K</w:t>
      </w:r>
      <w:r w:rsidR="00DE4414">
        <w:t>.</w:t>
      </w:r>
      <w:r w:rsidRPr="00D613E4">
        <w:t>, Eckardt</w:t>
      </w:r>
      <w:r w:rsidR="00DE4414">
        <w:t>,</w:t>
      </w:r>
      <w:r w:rsidRPr="00D613E4">
        <w:t xml:space="preserve"> L</w:t>
      </w:r>
      <w:r w:rsidR="00DE4414">
        <w:t>.</w:t>
      </w:r>
      <w:r w:rsidRPr="00D613E4">
        <w:t>, Breithardt</w:t>
      </w:r>
      <w:r w:rsidR="00DE4414">
        <w:t>,</w:t>
      </w:r>
      <w:r w:rsidRPr="00D613E4">
        <w:t xml:space="preserve"> G. </w:t>
      </w:r>
      <w:r w:rsidR="00DE4414">
        <w:t xml:space="preserve">(2017) </w:t>
      </w:r>
      <w:r w:rsidRPr="00D613E4">
        <w:t xml:space="preserve">Predisposing factors for atrial fibrillation in the elderly. </w:t>
      </w:r>
      <w:r w:rsidRPr="00DE4414">
        <w:rPr>
          <w:i/>
          <w:iCs/>
        </w:rPr>
        <w:t>J</w:t>
      </w:r>
      <w:r w:rsidR="003F65B6">
        <w:rPr>
          <w:i/>
          <w:iCs/>
        </w:rPr>
        <w:t>ournal</w:t>
      </w:r>
      <w:r w:rsidRPr="00DE4414">
        <w:rPr>
          <w:i/>
          <w:iCs/>
        </w:rPr>
        <w:t xml:space="preserve"> of Geriatric Cardiology</w:t>
      </w:r>
      <w:r w:rsidR="00DE4414" w:rsidRPr="00DE4414">
        <w:rPr>
          <w:i/>
          <w:iCs/>
        </w:rPr>
        <w:t>.</w:t>
      </w:r>
      <w:r w:rsidRPr="00D613E4">
        <w:t xml:space="preserve"> 14:179-84.</w:t>
      </w:r>
    </w:p>
    <w:p w14:paraId="702FB9CD" w14:textId="77777777" w:rsidR="00826367" w:rsidRDefault="00826367" w:rsidP="00E01349">
      <w:pPr>
        <w:sectPr w:rsidR="00826367" w:rsidSect="00AE6FE0">
          <w:footerReference w:type="even" r:id="rId17"/>
          <w:footerReference w:type="default" r:id="rId18"/>
          <w:pgSz w:w="11906" w:h="16838"/>
          <w:pgMar w:top="682" w:right="1134" w:bottom="1021" w:left="1191" w:header="709" w:footer="709" w:gutter="0"/>
          <w:cols w:space="708"/>
          <w:docGrid w:linePitch="360"/>
        </w:sectPr>
      </w:pPr>
    </w:p>
    <w:p w14:paraId="08A9C10E" w14:textId="11CAF5C4" w:rsidR="00536428" w:rsidRDefault="00536428" w:rsidP="00536428">
      <w:pPr>
        <w:pStyle w:val="Heading2"/>
      </w:pPr>
      <w:r>
        <w:t>Attachment</w:t>
      </w:r>
      <w:r w:rsidR="004122EF">
        <w:t xml:space="preserve"> 1</w:t>
      </w:r>
    </w:p>
    <w:p w14:paraId="735FE656" w14:textId="3096A7BE" w:rsidR="00536428" w:rsidRPr="000B0353" w:rsidRDefault="00536428" w:rsidP="00536428">
      <w:pPr>
        <w:pStyle w:val="Caption"/>
      </w:pPr>
      <w:r>
        <w:t xml:space="preserve">Table </w:t>
      </w:r>
      <w:r>
        <w:fldChar w:fldCharType="begin"/>
      </w:r>
      <w:r>
        <w:instrText xml:space="preserve"> SEQ Table \* ARABIC </w:instrText>
      </w:r>
      <w:r>
        <w:fldChar w:fldCharType="separate"/>
      </w:r>
      <w:r w:rsidR="000D35EA">
        <w:rPr>
          <w:noProof/>
        </w:rPr>
        <w:t>3</w:t>
      </w:r>
      <w:r>
        <w:fldChar w:fldCharType="end"/>
      </w:r>
      <w:r>
        <w:tab/>
      </w:r>
      <w:r w:rsidRPr="000B0353">
        <w:t xml:space="preserve">Definitions of </w:t>
      </w:r>
      <w:r>
        <w:t>sinus node dysfunction (SND)</w:t>
      </w:r>
      <w:r w:rsidRPr="000B0353">
        <w:t xml:space="preserve"> and </w:t>
      </w:r>
      <w:r>
        <w:t>atrioventricular (</w:t>
      </w:r>
      <w:r w:rsidRPr="000B0353">
        <w:t>AV</w:t>
      </w:r>
      <w:r>
        <w:t>)</w:t>
      </w:r>
      <w:r w:rsidRPr="000B0353">
        <w:t xml:space="preserve"> block</w:t>
      </w:r>
    </w:p>
    <w:tbl>
      <w:tblPr>
        <w:tblStyle w:val="TableGrid"/>
        <w:tblW w:w="5000" w:type="pct"/>
        <w:tblInd w:w="0" w:type="dxa"/>
        <w:tblLook w:val="04A0" w:firstRow="1" w:lastRow="0" w:firstColumn="1" w:lastColumn="0" w:noHBand="0" w:noVBand="1"/>
        <w:tblCaption w:val="Definitions of SND and AV block"/>
        <w:tblDescription w:val="Table provides definitions or descriptions of SND and AV block, taken from the 2018 ACC/AHA/HRS Guideline."/>
      </w:tblPr>
      <w:tblGrid>
        <w:gridCol w:w="3114"/>
        <w:gridCol w:w="6457"/>
      </w:tblGrid>
      <w:tr w:rsidR="00536428" w:rsidRPr="00037174" w14:paraId="3966B291" w14:textId="77777777" w:rsidTr="00D10671">
        <w:trPr>
          <w:tblHeader/>
        </w:trPr>
        <w:tc>
          <w:tcPr>
            <w:tcW w:w="1627" w:type="pct"/>
            <w:tcBorders>
              <w:top w:val="single" w:sz="4" w:space="0" w:color="auto"/>
              <w:left w:val="single" w:sz="4" w:space="0" w:color="auto"/>
              <w:bottom w:val="single" w:sz="4" w:space="0" w:color="auto"/>
              <w:right w:val="single" w:sz="4" w:space="0" w:color="auto"/>
            </w:tcBorders>
          </w:tcPr>
          <w:p w14:paraId="4114708C" w14:textId="77777777" w:rsidR="00536428" w:rsidRPr="000B0353" w:rsidRDefault="00536428" w:rsidP="00D10671">
            <w:pPr>
              <w:pStyle w:val="TableHeading"/>
            </w:pPr>
            <w:r>
              <w:t>Term</w:t>
            </w:r>
          </w:p>
        </w:tc>
        <w:tc>
          <w:tcPr>
            <w:tcW w:w="3373" w:type="pct"/>
            <w:tcBorders>
              <w:top w:val="single" w:sz="4" w:space="0" w:color="auto"/>
              <w:left w:val="single" w:sz="4" w:space="0" w:color="auto"/>
              <w:bottom w:val="single" w:sz="4" w:space="0" w:color="auto"/>
              <w:right w:val="single" w:sz="4" w:space="0" w:color="auto"/>
            </w:tcBorders>
            <w:hideMark/>
          </w:tcPr>
          <w:p w14:paraId="482E75B6" w14:textId="77777777" w:rsidR="00536428" w:rsidRPr="000B0353" w:rsidRDefault="00536428" w:rsidP="00D10671">
            <w:pPr>
              <w:pStyle w:val="TableHeading"/>
            </w:pPr>
            <w:r w:rsidRPr="000B0353">
              <w:t>Definition or description</w:t>
            </w:r>
          </w:p>
        </w:tc>
      </w:tr>
      <w:tr w:rsidR="00536428" w:rsidRPr="00037174" w14:paraId="4FEA6809" w14:textId="77777777" w:rsidTr="00D10671">
        <w:tc>
          <w:tcPr>
            <w:tcW w:w="1627" w:type="pct"/>
            <w:tcBorders>
              <w:top w:val="single" w:sz="4" w:space="0" w:color="auto"/>
              <w:left w:val="single" w:sz="4" w:space="0" w:color="auto"/>
              <w:bottom w:val="single" w:sz="4" w:space="0" w:color="auto"/>
              <w:right w:val="nil"/>
            </w:tcBorders>
            <w:shd w:val="clear" w:color="auto" w:fill="D9D9D9" w:themeFill="background1" w:themeFillShade="D9"/>
          </w:tcPr>
          <w:p w14:paraId="33DD2A49" w14:textId="77777777" w:rsidR="00536428" w:rsidRPr="00536428" w:rsidRDefault="00536428" w:rsidP="00D10671">
            <w:pPr>
              <w:pStyle w:val="Tabletext"/>
              <w:rPr>
                <w:b/>
                <w:bCs/>
              </w:rPr>
            </w:pPr>
            <w:r w:rsidRPr="00536428">
              <w:rPr>
                <w:b/>
                <w:bCs/>
              </w:rPr>
              <w:t>SND (with accompanying symptoms)</w:t>
            </w:r>
          </w:p>
        </w:tc>
        <w:tc>
          <w:tcPr>
            <w:tcW w:w="3373" w:type="pct"/>
            <w:tcBorders>
              <w:top w:val="single" w:sz="4" w:space="0" w:color="auto"/>
              <w:left w:val="nil"/>
              <w:bottom w:val="single" w:sz="4" w:space="0" w:color="auto"/>
              <w:right w:val="single" w:sz="4" w:space="0" w:color="auto"/>
            </w:tcBorders>
            <w:shd w:val="clear" w:color="auto" w:fill="D9D9D9" w:themeFill="background1" w:themeFillShade="D9"/>
          </w:tcPr>
          <w:p w14:paraId="46AC028B" w14:textId="77777777" w:rsidR="00536428" w:rsidRPr="00536428" w:rsidRDefault="00536428" w:rsidP="00D10671">
            <w:pPr>
              <w:pStyle w:val="Tabletext"/>
              <w:rPr>
                <w:b/>
                <w:bCs/>
              </w:rPr>
            </w:pPr>
          </w:p>
        </w:tc>
      </w:tr>
      <w:tr w:rsidR="00536428" w:rsidRPr="00037174" w14:paraId="00F5348C" w14:textId="77777777" w:rsidTr="00D10671">
        <w:tc>
          <w:tcPr>
            <w:tcW w:w="1627" w:type="pct"/>
            <w:tcBorders>
              <w:top w:val="single" w:sz="4" w:space="0" w:color="auto"/>
              <w:left w:val="single" w:sz="4" w:space="0" w:color="auto"/>
              <w:bottom w:val="single" w:sz="4" w:space="0" w:color="auto"/>
              <w:right w:val="single" w:sz="4" w:space="0" w:color="auto"/>
            </w:tcBorders>
          </w:tcPr>
          <w:p w14:paraId="6EA5FD6E" w14:textId="77777777" w:rsidR="00536428" w:rsidRPr="000B0353" w:rsidRDefault="00536428" w:rsidP="00D10671">
            <w:pPr>
              <w:pStyle w:val="Tabletext"/>
            </w:pPr>
            <w:r w:rsidRPr="000B0353">
              <w:t>Sinus bradycardia</w:t>
            </w:r>
          </w:p>
        </w:tc>
        <w:tc>
          <w:tcPr>
            <w:tcW w:w="3373" w:type="pct"/>
            <w:tcBorders>
              <w:top w:val="single" w:sz="4" w:space="0" w:color="auto"/>
              <w:left w:val="single" w:sz="4" w:space="0" w:color="auto"/>
              <w:bottom w:val="single" w:sz="4" w:space="0" w:color="auto"/>
              <w:right w:val="single" w:sz="4" w:space="0" w:color="auto"/>
            </w:tcBorders>
            <w:hideMark/>
          </w:tcPr>
          <w:p w14:paraId="70F84ED5" w14:textId="77777777" w:rsidR="00536428" w:rsidRPr="000B0353" w:rsidRDefault="00536428" w:rsidP="00D10671">
            <w:pPr>
              <w:pStyle w:val="Tabletext"/>
            </w:pPr>
            <w:r w:rsidRPr="000B0353">
              <w:t>Sinus rate &lt;50 bpm</w:t>
            </w:r>
          </w:p>
        </w:tc>
      </w:tr>
      <w:tr w:rsidR="00536428" w:rsidRPr="00037174" w14:paraId="306ADD96" w14:textId="77777777" w:rsidTr="00D10671">
        <w:tc>
          <w:tcPr>
            <w:tcW w:w="1627" w:type="pct"/>
            <w:tcBorders>
              <w:top w:val="single" w:sz="4" w:space="0" w:color="auto"/>
              <w:left w:val="single" w:sz="4" w:space="0" w:color="auto"/>
              <w:bottom w:val="single" w:sz="4" w:space="0" w:color="auto"/>
              <w:right w:val="single" w:sz="4" w:space="0" w:color="auto"/>
            </w:tcBorders>
          </w:tcPr>
          <w:p w14:paraId="59ED9961" w14:textId="77777777" w:rsidR="00536428" w:rsidRPr="000B0353" w:rsidRDefault="00536428" w:rsidP="00D10671">
            <w:pPr>
              <w:pStyle w:val="Tabletext"/>
            </w:pPr>
            <w:r w:rsidRPr="000B0353">
              <w:t>Ectopic atrial bradycardia</w:t>
            </w:r>
          </w:p>
        </w:tc>
        <w:tc>
          <w:tcPr>
            <w:tcW w:w="3373" w:type="pct"/>
            <w:tcBorders>
              <w:top w:val="single" w:sz="4" w:space="0" w:color="auto"/>
              <w:left w:val="single" w:sz="4" w:space="0" w:color="auto"/>
              <w:bottom w:val="single" w:sz="4" w:space="0" w:color="auto"/>
              <w:right w:val="single" w:sz="4" w:space="0" w:color="auto"/>
            </w:tcBorders>
            <w:hideMark/>
          </w:tcPr>
          <w:p w14:paraId="0B21F2C3" w14:textId="77777777" w:rsidR="00536428" w:rsidRPr="000B0353" w:rsidRDefault="00536428" w:rsidP="00D10671">
            <w:pPr>
              <w:pStyle w:val="Tabletext"/>
            </w:pPr>
            <w:r w:rsidRPr="000B0353">
              <w:t>Atrial depolarisation attributable to an atrial pacemaker other than the sinus node with a rate &lt;50 bpm</w:t>
            </w:r>
          </w:p>
        </w:tc>
      </w:tr>
      <w:tr w:rsidR="00536428" w:rsidRPr="00037174" w14:paraId="706016D9" w14:textId="77777777" w:rsidTr="00D10671">
        <w:tc>
          <w:tcPr>
            <w:tcW w:w="1627" w:type="pct"/>
            <w:tcBorders>
              <w:top w:val="single" w:sz="4" w:space="0" w:color="auto"/>
              <w:left w:val="single" w:sz="4" w:space="0" w:color="auto"/>
              <w:bottom w:val="single" w:sz="4" w:space="0" w:color="auto"/>
              <w:right w:val="single" w:sz="4" w:space="0" w:color="auto"/>
            </w:tcBorders>
          </w:tcPr>
          <w:p w14:paraId="0EC3868E" w14:textId="77777777" w:rsidR="00536428" w:rsidRPr="000B0353" w:rsidRDefault="00536428" w:rsidP="00D10671">
            <w:pPr>
              <w:pStyle w:val="Tabletext"/>
            </w:pPr>
            <w:r w:rsidRPr="000B0353">
              <w:t>Sinoatrial exit block</w:t>
            </w:r>
          </w:p>
        </w:tc>
        <w:tc>
          <w:tcPr>
            <w:tcW w:w="3373" w:type="pct"/>
            <w:tcBorders>
              <w:top w:val="single" w:sz="4" w:space="0" w:color="auto"/>
              <w:left w:val="single" w:sz="4" w:space="0" w:color="auto"/>
              <w:bottom w:val="single" w:sz="4" w:space="0" w:color="auto"/>
              <w:right w:val="single" w:sz="4" w:space="0" w:color="auto"/>
            </w:tcBorders>
            <w:hideMark/>
          </w:tcPr>
          <w:p w14:paraId="7E0DBEDD" w14:textId="77777777" w:rsidR="00536428" w:rsidRPr="000B0353" w:rsidRDefault="00536428" w:rsidP="00D10671">
            <w:pPr>
              <w:pStyle w:val="Tabletext"/>
            </w:pPr>
            <w:r w:rsidRPr="000B0353">
              <w:t>Evidence that blocked conduction between the sinus node and adjacent atrial tissue is present. Multiple electrocardiographic manifestations including “group beating” of atrial depolarisation and sinus pauses.</w:t>
            </w:r>
          </w:p>
        </w:tc>
      </w:tr>
      <w:tr w:rsidR="00536428" w:rsidRPr="00037174" w14:paraId="299EDEE7" w14:textId="77777777" w:rsidTr="00D10671">
        <w:tc>
          <w:tcPr>
            <w:tcW w:w="1627" w:type="pct"/>
            <w:tcBorders>
              <w:top w:val="single" w:sz="4" w:space="0" w:color="auto"/>
              <w:left w:val="single" w:sz="4" w:space="0" w:color="auto"/>
              <w:bottom w:val="single" w:sz="4" w:space="0" w:color="auto"/>
              <w:right w:val="single" w:sz="4" w:space="0" w:color="auto"/>
            </w:tcBorders>
          </w:tcPr>
          <w:p w14:paraId="315978B2" w14:textId="77777777" w:rsidR="00536428" w:rsidRPr="000B0353" w:rsidRDefault="00536428" w:rsidP="00D10671">
            <w:pPr>
              <w:pStyle w:val="Tabletext"/>
            </w:pPr>
            <w:r w:rsidRPr="000B0353">
              <w:t>Sinus pause</w:t>
            </w:r>
          </w:p>
        </w:tc>
        <w:tc>
          <w:tcPr>
            <w:tcW w:w="3373" w:type="pct"/>
            <w:tcBorders>
              <w:top w:val="single" w:sz="4" w:space="0" w:color="auto"/>
              <w:left w:val="single" w:sz="4" w:space="0" w:color="auto"/>
              <w:bottom w:val="single" w:sz="4" w:space="0" w:color="auto"/>
              <w:right w:val="single" w:sz="4" w:space="0" w:color="auto"/>
            </w:tcBorders>
            <w:hideMark/>
          </w:tcPr>
          <w:p w14:paraId="507813DD" w14:textId="77777777" w:rsidR="00536428" w:rsidRPr="000B0353" w:rsidRDefault="00536428" w:rsidP="00D10671">
            <w:pPr>
              <w:pStyle w:val="Tabletext"/>
            </w:pPr>
            <w:r w:rsidRPr="000B0353">
              <w:t>Sinus node depolarises &gt;3 s after the last atrial depolarisation</w:t>
            </w:r>
          </w:p>
        </w:tc>
      </w:tr>
      <w:tr w:rsidR="00536428" w:rsidRPr="00037174" w14:paraId="2213A69E" w14:textId="77777777" w:rsidTr="00D10671">
        <w:tc>
          <w:tcPr>
            <w:tcW w:w="1627" w:type="pct"/>
            <w:tcBorders>
              <w:top w:val="single" w:sz="4" w:space="0" w:color="auto"/>
              <w:left w:val="single" w:sz="4" w:space="0" w:color="auto"/>
              <w:bottom w:val="single" w:sz="4" w:space="0" w:color="auto"/>
              <w:right w:val="single" w:sz="4" w:space="0" w:color="auto"/>
            </w:tcBorders>
          </w:tcPr>
          <w:p w14:paraId="4EDA00AF" w14:textId="77777777" w:rsidR="00536428" w:rsidRPr="000B0353" w:rsidRDefault="00536428" w:rsidP="00D10671">
            <w:pPr>
              <w:pStyle w:val="Tabletext"/>
            </w:pPr>
            <w:r w:rsidRPr="000B0353">
              <w:t>Sinus node arrest</w:t>
            </w:r>
          </w:p>
        </w:tc>
        <w:tc>
          <w:tcPr>
            <w:tcW w:w="3373" w:type="pct"/>
            <w:tcBorders>
              <w:top w:val="single" w:sz="4" w:space="0" w:color="auto"/>
              <w:left w:val="single" w:sz="4" w:space="0" w:color="auto"/>
              <w:bottom w:val="single" w:sz="4" w:space="0" w:color="auto"/>
              <w:right w:val="single" w:sz="4" w:space="0" w:color="auto"/>
            </w:tcBorders>
            <w:hideMark/>
          </w:tcPr>
          <w:p w14:paraId="1C591F54" w14:textId="77777777" w:rsidR="00536428" w:rsidRPr="000B0353" w:rsidRDefault="00536428" w:rsidP="00D10671">
            <w:pPr>
              <w:pStyle w:val="Tabletext"/>
            </w:pPr>
            <w:r w:rsidRPr="000B0353">
              <w:t>No evidence of sinus node depolarisation</w:t>
            </w:r>
          </w:p>
        </w:tc>
      </w:tr>
      <w:tr w:rsidR="00536428" w:rsidRPr="00037174" w14:paraId="4C0291E8" w14:textId="77777777" w:rsidTr="00D10671">
        <w:tc>
          <w:tcPr>
            <w:tcW w:w="1627" w:type="pct"/>
            <w:tcBorders>
              <w:top w:val="single" w:sz="4" w:space="0" w:color="auto"/>
              <w:left w:val="single" w:sz="4" w:space="0" w:color="auto"/>
              <w:bottom w:val="single" w:sz="4" w:space="0" w:color="auto"/>
              <w:right w:val="single" w:sz="4" w:space="0" w:color="auto"/>
            </w:tcBorders>
          </w:tcPr>
          <w:p w14:paraId="66EBD1B7" w14:textId="77777777" w:rsidR="00536428" w:rsidRPr="000B0353" w:rsidRDefault="00536428" w:rsidP="00D10671">
            <w:pPr>
              <w:pStyle w:val="Tabletext"/>
            </w:pPr>
            <w:r w:rsidRPr="000B0353">
              <w:t>Tachycardia-bradycardia (“tachy-brady”) syndrome</w:t>
            </w:r>
          </w:p>
        </w:tc>
        <w:tc>
          <w:tcPr>
            <w:tcW w:w="3373" w:type="pct"/>
            <w:tcBorders>
              <w:top w:val="single" w:sz="4" w:space="0" w:color="auto"/>
              <w:left w:val="single" w:sz="4" w:space="0" w:color="auto"/>
              <w:bottom w:val="single" w:sz="4" w:space="0" w:color="auto"/>
              <w:right w:val="single" w:sz="4" w:space="0" w:color="auto"/>
            </w:tcBorders>
            <w:hideMark/>
          </w:tcPr>
          <w:p w14:paraId="7FD93CE8" w14:textId="77777777" w:rsidR="00536428" w:rsidRPr="000B0353" w:rsidRDefault="00536428" w:rsidP="00D10671">
            <w:pPr>
              <w:pStyle w:val="Tabletext"/>
            </w:pPr>
            <w:r w:rsidRPr="000B0353">
              <w:t>Sinus bradycardia, ectopic atrial bradycardia, or sinus pause alternating with periods of abnormal atrial tachycardia, atrial flutter, or AF. The tachycardia may be associated with suppression of sinus node automaticity and a sinus pause of variable duration when the tachycardia terminates.</w:t>
            </w:r>
          </w:p>
        </w:tc>
      </w:tr>
      <w:tr w:rsidR="00536428" w:rsidRPr="00037174" w14:paraId="5485B5A8" w14:textId="77777777" w:rsidTr="00D10671">
        <w:tc>
          <w:tcPr>
            <w:tcW w:w="1627" w:type="pct"/>
            <w:tcBorders>
              <w:top w:val="single" w:sz="4" w:space="0" w:color="auto"/>
              <w:left w:val="single" w:sz="4" w:space="0" w:color="auto"/>
              <w:bottom w:val="single" w:sz="4" w:space="0" w:color="auto"/>
              <w:right w:val="single" w:sz="4" w:space="0" w:color="auto"/>
            </w:tcBorders>
          </w:tcPr>
          <w:p w14:paraId="19A4546A" w14:textId="77777777" w:rsidR="00536428" w:rsidRPr="000B0353" w:rsidRDefault="00536428" w:rsidP="00D10671">
            <w:pPr>
              <w:pStyle w:val="Tabletext"/>
            </w:pPr>
            <w:r w:rsidRPr="000B0353">
              <w:t>Chronotropic incompetence</w:t>
            </w:r>
          </w:p>
        </w:tc>
        <w:tc>
          <w:tcPr>
            <w:tcW w:w="3373" w:type="pct"/>
            <w:tcBorders>
              <w:top w:val="single" w:sz="4" w:space="0" w:color="auto"/>
              <w:left w:val="single" w:sz="4" w:space="0" w:color="auto"/>
              <w:bottom w:val="single" w:sz="4" w:space="0" w:color="auto"/>
              <w:right w:val="single" w:sz="4" w:space="0" w:color="auto"/>
            </w:tcBorders>
            <w:hideMark/>
          </w:tcPr>
          <w:p w14:paraId="504725E5" w14:textId="77777777" w:rsidR="00536428" w:rsidRPr="000B0353" w:rsidRDefault="00536428" w:rsidP="00D10671">
            <w:pPr>
              <w:pStyle w:val="Tabletext"/>
            </w:pPr>
            <w:r w:rsidRPr="000B0353">
              <w:t>Broadly defined as the inability of the heart to increase its rate commensurate with increased activity or demand, in many studies translates to failure to attain 80% of expected heart rate reserve during exercise.</w:t>
            </w:r>
          </w:p>
        </w:tc>
      </w:tr>
      <w:tr w:rsidR="00536428" w:rsidRPr="00037174" w14:paraId="413AAD1A" w14:textId="77777777" w:rsidTr="00D10671">
        <w:tc>
          <w:tcPr>
            <w:tcW w:w="1627" w:type="pct"/>
            <w:tcBorders>
              <w:top w:val="single" w:sz="4" w:space="0" w:color="auto"/>
              <w:left w:val="single" w:sz="4" w:space="0" w:color="auto"/>
              <w:bottom w:val="single" w:sz="4" w:space="0" w:color="auto"/>
              <w:right w:val="single" w:sz="4" w:space="0" w:color="auto"/>
            </w:tcBorders>
          </w:tcPr>
          <w:p w14:paraId="2896C45A" w14:textId="77777777" w:rsidR="00536428" w:rsidRPr="000B0353" w:rsidRDefault="00536428" w:rsidP="00D10671">
            <w:pPr>
              <w:pStyle w:val="Tabletext"/>
            </w:pPr>
            <w:r w:rsidRPr="000B0353">
              <w:t>Isorhythmic dissociation</w:t>
            </w:r>
          </w:p>
        </w:tc>
        <w:tc>
          <w:tcPr>
            <w:tcW w:w="3373" w:type="pct"/>
            <w:tcBorders>
              <w:top w:val="single" w:sz="4" w:space="0" w:color="auto"/>
              <w:left w:val="single" w:sz="4" w:space="0" w:color="auto"/>
              <w:bottom w:val="single" w:sz="4" w:space="0" w:color="auto"/>
              <w:right w:val="single" w:sz="4" w:space="0" w:color="auto"/>
            </w:tcBorders>
            <w:hideMark/>
          </w:tcPr>
          <w:p w14:paraId="3AF76DC3" w14:textId="77777777" w:rsidR="00536428" w:rsidRPr="000B0353" w:rsidRDefault="00536428" w:rsidP="00D10671">
            <w:pPr>
              <w:pStyle w:val="Tabletext"/>
            </w:pPr>
            <w:r w:rsidRPr="000B0353">
              <w:t xml:space="preserve">Atrial depolarisation (from either the sinus node or ectopic atrial site) is slower than ventricular depolarisation (from an </w:t>
            </w:r>
            <w:r>
              <w:t>AV</w:t>
            </w:r>
            <w:r w:rsidRPr="000B0353">
              <w:t xml:space="preserve"> nodal, His bundle, or ventricular site).</w:t>
            </w:r>
          </w:p>
        </w:tc>
      </w:tr>
      <w:tr w:rsidR="00536428" w:rsidRPr="00037174" w14:paraId="598679DA" w14:textId="77777777" w:rsidTr="00D10671">
        <w:tc>
          <w:tcPr>
            <w:tcW w:w="1627" w:type="pct"/>
            <w:tcBorders>
              <w:top w:val="single" w:sz="4" w:space="0" w:color="auto"/>
              <w:left w:val="single" w:sz="4" w:space="0" w:color="auto"/>
              <w:bottom w:val="single" w:sz="4" w:space="0" w:color="auto"/>
              <w:right w:val="nil"/>
            </w:tcBorders>
            <w:shd w:val="clear" w:color="auto" w:fill="D9D9D9" w:themeFill="background1" w:themeFillShade="D9"/>
          </w:tcPr>
          <w:p w14:paraId="030FA16E" w14:textId="77777777" w:rsidR="00536428" w:rsidRPr="00536428" w:rsidRDefault="00536428" w:rsidP="00D10671">
            <w:pPr>
              <w:pStyle w:val="Tabletext"/>
              <w:rPr>
                <w:b/>
                <w:bCs/>
              </w:rPr>
            </w:pPr>
            <w:r w:rsidRPr="00536428">
              <w:rPr>
                <w:b/>
                <w:bCs/>
              </w:rPr>
              <w:t>AV block</w:t>
            </w:r>
          </w:p>
        </w:tc>
        <w:tc>
          <w:tcPr>
            <w:tcW w:w="3373" w:type="pct"/>
            <w:tcBorders>
              <w:top w:val="single" w:sz="4" w:space="0" w:color="auto"/>
              <w:left w:val="nil"/>
              <w:bottom w:val="single" w:sz="4" w:space="0" w:color="auto"/>
              <w:right w:val="single" w:sz="4" w:space="0" w:color="auto"/>
            </w:tcBorders>
            <w:shd w:val="clear" w:color="auto" w:fill="D9D9D9" w:themeFill="background1" w:themeFillShade="D9"/>
          </w:tcPr>
          <w:p w14:paraId="09B0AA6B" w14:textId="77777777" w:rsidR="00536428" w:rsidRPr="00536428" w:rsidRDefault="00536428" w:rsidP="00D10671">
            <w:pPr>
              <w:pStyle w:val="Tabletext"/>
              <w:rPr>
                <w:b/>
                <w:bCs/>
              </w:rPr>
            </w:pPr>
          </w:p>
        </w:tc>
      </w:tr>
      <w:tr w:rsidR="00536428" w:rsidRPr="00037174" w14:paraId="62A28A6B" w14:textId="77777777" w:rsidTr="00D10671">
        <w:tc>
          <w:tcPr>
            <w:tcW w:w="1627" w:type="pct"/>
            <w:tcBorders>
              <w:top w:val="single" w:sz="4" w:space="0" w:color="auto"/>
              <w:left w:val="single" w:sz="4" w:space="0" w:color="auto"/>
              <w:bottom w:val="single" w:sz="4" w:space="0" w:color="auto"/>
              <w:right w:val="single" w:sz="4" w:space="0" w:color="auto"/>
            </w:tcBorders>
          </w:tcPr>
          <w:p w14:paraId="16FD8CC3" w14:textId="77777777" w:rsidR="00536428" w:rsidRPr="000B0353" w:rsidRDefault="00536428" w:rsidP="00D10671">
            <w:pPr>
              <w:pStyle w:val="Tabletext"/>
            </w:pPr>
            <w:r w:rsidRPr="000B0353">
              <w:t xml:space="preserve">First-degree </w:t>
            </w:r>
            <w:r>
              <w:t xml:space="preserve">AV </w:t>
            </w:r>
            <w:r w:rsidRPr="000B0353">
              <w:t>block</w:t>
            </w:r>
          </w:p>
        </w:tc>
        <w:tc>
          <w:tcPr>
            <w:tcW w:w="3373" w:type="pct"/>
            <w:tcBorders>
              <w:top w:val="single" w:sz="4" w:space="0" w:color="auto"/>
              <w:left w:val="single" w:sz="4" w:space="0" w:color="auto"/>
              <w:bottom w:val="single" w:sz="4" w:space="0" w:color="auto"/>
              <w:right w:val="single" w:sz="4" w:space="0" w:color="auto"/>
            </w:tcBorders>
            <w:hideMark/>
          </w:tcPr>
          <w:p w14:paraId="180DC09A" w14:textId="77777777" w:rsidR="00536428" w:rsidRPr="000B0353" w:rsidRDefault="00536428" w:rsidP="00D10671">
            <w:pPr>
              <w:pStyle w:val="Tabletext"/>
            </w:pPr>
            <w:r w:rsidRPr="000B0353">
              <w:t xml:space="preserve">P waves associated with 1:1 </w:t>
            </w:r>
            <w:r>
              <w:t>AV</w:t>
            </w:r>
            <w:r w:rsidRPr="000B0353">
              <w:t xml:space="preserve"> conduction and a PR interval &gt;200 ms (this is more accurately defined as </w:t>
            </w:r>
            <w:r>
              <w:t>AV</w:t>
            </w:r>
            <w:r w:rsidRPr="000B0353">
              <w:t xml:space="preserve"> delay because no P waves are blocked)</w:t>
            </w:r>
          </w:p>
        </w:tc>
      </w:tr>
      <w:tr w:rsidR="00536428" w:rsidRPr="00037174" w14:paraId="6F16C8D1" w14:textId="77777777" w:rsidTr="00D10671">
        <w:tc>
          <w:tcPr>
            <w:tcW w:w="1627" w:type="pct"/>
            <w:tcBorders>
              <w:top w:val="single" w:sz="4" w:space="0" w:color="auto"/>
              <w:left w:val="single" w:sz="4" w:space="0" w:color="auto"/>
              <w:bottom w:val="single" w:sz="4" w:space="0" w:color="auto"/>
              <w:right w:val="single" w:sz="4" w:space="0" w:color="auto"/>
            </w:tcBorders>
          </w:tcPr>
          <w:p w14:paraId="10A506BD" w14:textId="77777777" w:rsidR="00536428" w:rsidRPr="000B0353" w:rsidRDefault="00536428" w:rsidP="00D10671">
            <w:pPr>
              <w:pStyle w:val="Tabletext"/>
            </w:pPr>
            <w:r w:rsidRPr="000B0353">
              <w:t xml:space="preserve">Second-degree </w:t>
            </w:r>
            <w:r>
              <w:t>AV</w:t>
            </w:r>
            <w:r w:rsidRPr="000B0353">
              <w:t xml:space="preserve"> block</w:t>
            </w:r>
          </w:p>
        </w:tc>
        <w:tc>
          <w:tcPr>
            <w:tcW w:w="3373" w:type="pct"/>
            <w:tcBorders>
              <w:top w:val="single" w:sz="4" w:space="0" w:color="auto"/>
              <w:left w:val="single" w:sz="4" w:space="0" w:color="auto"/>
              <w:bottom w:val="single" w:sz="4" w:space="0" w:color="auto"/>
              <w:right w:val="single" w:sz="4" w:space="0" w:color="auto"/>
            </w:tcBorders>
            <w:hideMark/>
          </w:tcPr>
          <w:p w14:paraId="2600284D" w14:textId="77777777" w:rsidR="00536428" w:rsidRPr="000B0353" w:rsidRDefault="00536428" w:rsidP="00D10671">
            <w:pPr>
              <w:pStyle w:val="Tabletext"/>
            </w:pPr>
            <w:r w:rsidRPr="000B0353">
              <w:t xml:space="preserve">P waves with a constant rate (&lt;100 bpm) where </w:t>
            </w:r>
            <w:r>
              <w:t>AV</w:t>
            </w:r>
            <w:r w:rsidRPr="000B0353">
              <w:t xml:space="preserve"> conduction is present but not 1:1</w:t>
            </w:r>
          </w:p>
        </w:tc>
      </w:tr>
      <w:tr w:rsidR="00536428" w:rsidRPr="00037174" w14:paraId="0216E7D8" w14:textId="77777777" w:rsidTr="00D10671">
        <w:tc>
          <w:tcPr>
            <w:tcW w:w="1627" w:type="pct"/>
            <w:tcBorders>
              <w:top w:val="single" w:sz="4" w:space="0" w:color="auto"/>
              <w:left w:val="single" w:sz="4" w:space="0" w:color="auto"/>
              <w:bottom w:val="single" w:sz="4" w:space="0" w:color="auto"/>
              <w:right w:val="single" w:sz="4" w:space="0" w:color="auto"/>
            </w:tcBorders>
          </w:tcPr>
          <w:p w14:paraId="5822F8A1" w14:textId="77777777" w:rsidR="00536428" w:rsidRPr="000B0353" w:rsidRDefault="00536428" w:rsidP="00BE6E16">
            <w:pPr>
              <w:pStyle w:val="Tabletext"/>
              <w:ind w:left="306"/>
            </w:pPr>
            <w:r w:rsidRPr="000B0353">
              <w:t>Mobitz type I</w:t>
            </w:r>
          </w:p>
        </w:tc>
        <w:tc>
          <w:tcPr>
            <w:tcW w:w="3373" w:type="pct"/>
            <w:tcBorders>
              <w:top w:val="single" w:sz="4" w:space="0" w:color="auto"/>
              <w:left w:val="single" w:sz="4" w:space="0" w:color="auto"/>
              <w:bottom w:val="single" w:sz="4" w:space="0" w:color="auto"/>
              <w:right w:val="single" w:sz="4" w:space="0" w:color="auto"/>
            </w:tcBorders>
            <w:hideMark/>
          </w:tcPr>
          <w:p w14:paraId="50A91852" w14:textId="77777777" w:rsidR="00536428" w:rsidRPr="000B0353" w:rsidRDefault="00536428" w:rsidP="00D10671">
            <w:pPr>
              <w:pStyle w:val="Tabletext"/>
            </w:pPr>
            <w:r w:rsidRPr="000B0353">
              <w:t>P waves with a constant rate (&lt;100 bpm) with a periodic single nonconducted P wave associated with P waves before and after the nonconducted P wave with inconstant PR intervals</w:t>
            </w:r>
          </w:p>
        </w:tc>
      </w:tr>
      <w:tr w:rsidR="00536428" w:rsidRPr="00037174" w14:paraId="677F75CC" w14:textId="77777777" w:rsidTr="00D10671">
        <w:tc>
          <w:tcPr>
            <w:tcW w:w="1627" w:type="pct"/>
            <w:tcBorders>
              <w:top w:val="single" w:sz="4" w:space="0" w:color="auto"/>
              <w:left w:val="single" w:sz="4" w:space="0" w:color="auto"/>
              <w:bottom w:val="single" w:sz="4" w:space="0" w:color="auto"/>
              <w:right w:val="single" w:sz="4" w:space="0" w:color="auto"/>
            </w:tcBorders>
          </w:tcPr>
          <w:p w14:paraId="43C90C15" w14:textId="77777777" w:rsidR="00536428" w:rsidRPr="000B0353" w:rsidRDefault="00536428" w:rsidP="00BE6E16">
            <w:pPr>
              <w:pStyle w:val="Tabletext"/>
              <w:ind w:left="306"/>
            </w:pPr>
            <w:r w:rsidRPr="000B0353">
              <w:t>Mobitz type II</w:t>
            </w:r>
          </w:p>
        </w:tc>
        <w:tc>
          <w:tcPr>
            <w:tcW w:w="3373" w:type="pct"/>
            <w:tcBorders>
              <w:top w:val="single" w:sz="4" w:space="0" w:color="auto"/>
              <w:left w:val="single" w:sz="4" w:space="0" w:color="auto"/>
              <w:bottom w:val="single" w:sz="4" w:space="0" w:color="auto"/>
              <w:right w:val="single" w:sz="4" w:space="0" w:color="auto"/>
            </w:tcBorders>
            <w:hideMark/>
          </w:tcPr>
          <w:p w14:paraId="12E14778" w14:textId="77777777" w:rsidR="00536428" w:rsidRPr="000B0353" w:rsidRDefault="00536428" w:rsidP="00D10671">
            <w:pPr>
              <w:pStyle w:val="Tabletext"/>
            </w:pPr>
            <w:r w:rsidRPr="000B0353">
              <w:t xml:space="preserve">P waves with a constant rate (&lt; 100 bpm) with a periodic single nonconducted P wave associated with other P waves before and after the nonconducted P wave with constant PR intervals (excluding 2:1 </w:t>
            </w:r>
            <w:r>
              <w:t>AV</w:t>
            </w:r>
            <w:r w:rsidRPr="000B0353">
              <w:t xml:space="preserve"> block)</w:t>
            </w:r>
          </w:p>
        </w:tc>
      </w:tr>
      <w:tr w:rsidR="00536428" w:rsidRPr="00037174" w14:paraId="2BE0D265" w14:textId="77777777" w:rsidTr="00D10671">
        <w:tc>
          <w:tcPr>
            <w:tcW w:w="1627" w:type="pct"/>
            <w:tcBorders>
              <w:top w:val="single" w:sz="4" w:space="0" w:color="auto"/>
              <w:left w:val="single" w:sz="4" w:space="0" w:color="auto"/>
              <w:bottom w:val="single" w:sz="4" w:space="0" w:color="auto"/>
              <w:right w:val="single" w:sz="4" w:space="0" w:color="auto"/>
            </w:tcBorders>
          </w:tcPr>
          <w:p w14:paraId="1FD6FD96" w14:textId="77777777" w:rsidR="00536428" w:rsidRPr="000B0353" w:rsidRDefault="00536428" w:rsidP="00BE6E16">
            <w:pPr>
              <w:pStyle w:val="Tabletext"/>
              <w:ind w:left="306"/>
            </w:pPr>
            <w:r w:rsidRPr="000B0353">
              <w:t xml:space="preserve">2:1 </w:t>
            </w:r>
            <w:r>
              <w:t>AV</w:t>
            </w:r>
            <w:r w:rsidRPr="000B0353">
              <w:t xml:space="preserve"> block</w:t>
            </w:r>
          </w:p>
        </w:tc>
        <w:tc>
          <w:tcPr>
            <w:tcW w:w="3373" w:type="pct"/>
            <w:tcBorders>
              <w:top w:val="single" w:sz="4" w:space="0" w:color="auto"/>
              <w:left w:val="single" w:sz="4" w:space="0" w:color="auto"/>
              <w:bottom w:val="single" w:sz="4" w:space="0" w:color="auto"/>
              <w:right w:val="single" w:sz="4" w:space="0" w:color="auto"/>
            </w:tcBorders>
            <w:hideMark/>
          </w:tcPr>
          <w:p w14:paraId="15CB1B3E" w14:textId="77777777" w:rsidR="00536428" w:rsidRPr="000B0353" w:rsidRDefault="00536428" w:rsidP="00D10671">
            <w:pPr>
              <w:pStyle w:val="Tabletext"/>
            </w:pPr>
            <w:r w:rsidRPr="000B0353">
              <w:t>P waves with a constant rate (or near constant rate because of ventriculophasic sinus arrhythmia) rate (&lt;100 bpm) where every other P wave conducts to the ventricles</w:t>
            </w:r>
          </w:p>
        </w:tc>
      </w:tr>
      <w:tr w:rsidR="00536428" w:rsidRPr="00037174" w14:paraId="362FCB46" w14:textId="77777777" w:rsidTr="00D10671">
        <w:tc>
          <w:tcPr>
            <w:tcW w:w="1627" w:type="pct"/>
            <w:tcBorders>
              <w:top w:val="single" w:sz="4" w:space="0" w:color="auto"/>
              <w:left w:val="single" w:sz="4" w:space="0" w:color="auto"/>
              <w:bottom w:val="single" w:sz="4" w:space="0" w:color="auto"/>
              <w:right w:val="single" w:sz="4" w:space="0" w:color="auto"/>
            </w:tcBorders>
          </w:tcPr>
          <w:p w14:paraId="6AF4415C" w14:textId="77777777" w:rsidR="00536428" w:rsidRPr="000B0353" w:rsidRDefault="00536428" w:rsidP="00BE6E16">
            <w:pPr>
              <w:pStyle w:val="Tabletext"/>
              <w:ind w:left="306"/>
            </w:pPr>
            <w:r w:rsidRPr="000B0353">
              <w:t xml:space="preserve">Advanced, high-grade or high-degree </w:t>
            </w:r>
            <w:r>
              <w:t>AV</w:t>
            </w:r>
            <w:r w:rsidRPr="000B0353">
              <w:t xml:space="preserve"> block</w:t>
            </w:r>
          </w:p>
        </w:tc>
        <w:tc>
          <w:tcPr>
            <w:tcW w:w="3373" w:type="pct"/>
            <w:tcBorders>
              <w:top w:val="single" w:sz="4" w:space="0" w:color="auto"/>
              <w:left w:val="single" w:sz="4" w:space="0" w:color="auto"/>
              <w:bottom w:val="single" w:sz="4" w:space="0" w:color="auto"/>
              <w:right w:val="single" w:sz="4" w:space="0" w:color="auto"/>
            </w:tcBorders>
            <w:hideMark/>
          </w:tcPr>
          <w:p w14:paraId="377C4A01" w14:textId="77777777" w:rsidR="00536428" w:rsidRPr="000B0353" w:rsidRDefault="00536428" w:rsidP="00D10671">
            <w:pPr>
              <w:pStyle w:val="Tabletext"/>
            </w:pPr>
            <w:r w:rsidRPr="000B0353">
              <w:t xml:space="preserve">≥2 consecutive P waves at a constant physiologic rate that do not conduct to the ventricles with evidence for some </w:t>
            </w:r>
            <w:r>
              <w:t xml:space="preserve">AV </w:t>
            </w:r>
            <w:r w:rsidRPr="000B0353">
              <w:t>conduction</w:t>
            </w:r>
          </w:p>
        </w:tc>
      </w:tr>
      <w:tr w:rsidR="00536428" w:rsidRPr="00037174" w14:paraId="3D796892" w14:textId="77777777" w:rsidTr="00D10671">
        <w:tc>
          <w:tcPr>
            <w:tcW w:w="1627" w:type="pct"/>
            <w:tcBorders>
              <w:top w:val="single" w:sz="4" w:space="0" w:color="auto"/>
              <w:left w:val="single" w:sz="4" w:space="0" w:color="auto"/>
              <w:bottom w:val="single" w:sz="4" w:space="0" w:color="auto"/>
              <w:right w:val="single" w:sz="4" w:space="0" w:color="auto"/>
            </w:tcBorders>
          </w:tcPr>
          <w:p w14:paraId="62961E22" w14:textId="77777777" w:rsidR="00536428" w:rsidRPr="000B0353" w:rsidRDefault="00536428" w:rsidP="00D10671">
            <w:pPr>
              <w:pStyle w:val="Tabletext"/>
            </w:pPr>
            <w:r w:rsidRPr="000B0353">
              <w:t xml:space="preserve">Third-degree </w:t>
            </w:r>
            <w:r>
              <w:t>AV b</w:t>
            </w:r>
            <w:r w:rsidRPr="000B0353">
              <w:t>lock (complete heart block)</w:t>
            </w:r>
          </w:p>
        </w:tc>
        <w:tc>
          <w:tcPr>
            <w:tcW w:w="3373" w:type="pct"/>
            <w:tcBorders>
              <w:top w:val="single" w:sz="4" w:space="0" w:color="auto"/>
              <w:left w:val="single" w:sz="4" w:space="0" w:color="auto"/>
              <w:bottom w:val="single" w:sz="4" w:space="0" w:color="auto"/>
              <w:right w:val="single" w:sz="4" w:space="0" w:color="auto"/>
            </w:tcBorders>
            <w:hideMark/>
          </w:tcPr>
          <w:p w14:paraId="340EF929" w14:textId="77777777" w:rsidR="00536428" w:rsidRPr="000B0353" w:rsidRDefault="00536428" w:rsidP="00D10671">
            <w:pPr>
              <w:pStyle w:val="Tabletext"/>
            </w:pPr>
            <w:r w:rsidRPr="000B0353">
              <w:t xml:space="preserve">No evidence of </w:t>
            </w:r>
            <w:r>
              <w:t>AV</w:t>
            </w:r>
            <w:r w:rsidRPr="000B0353">
              <w:t xml:space="preserve"> conduction</w:t>
            </w:r>
          </w:p>
        </w:tc>
      </w:tr>
      <w:tr w:rsidR="00536428" w:rsidRPr="00037174" w14:paraId="3480B010" w14:textId="77777777" w:rsidTr="00D10671">
        <w:tc>
          <w:tcPr>
            <w:tcW w:w="1627" w:type="pct"/>
            <w:tcBorders>
              <w:top w:val="single" w:sz="4" w:space="0" w:color="auto"/>
              <w:left w:val="single" w:sz="4" w:space="0" w:color="auto"/>
              <w:bottom w:val="single" w:sz="4" w:space="0" w:color="auto"/>
              <w:right w:val="single" w:sz="4" w:space="0" w:color="auto"/>
            </w:tcBorders>
          </w:tcPr>
          <w:p w14:paraId="75AD783C" w14:textId="77777777" w:rsidR="00536428" w:rsidRPr="000B0353" w:rsidRDefault="00536428" w:rsidP="00D10671">
            <w:pPr>
              <w:pStyle w:val="Tabletext"/>
            </w:pPr>
            <w:r w:rsidRPr="000B0353">
              <w:t xml:space="preserve">Vagally mediated </w:t>
            </w:r>
            <w:r>
              <w:t>AV</w:t>
            </w:r>
            <w:r w:rsidRPr="000B0353">
              <w:t xml:space="preserve"> block</w:t>
            </w:r>
          </w:p>
        </w:tc>
        <w:tc>
          <w:tcPr>
            <w:tcW w:w="3373" w:type="pct"/>
            <w:tcBorders>
              <w:top w:val="single" w:sz="4" w:space="0" w:color="auto"/>
              <w:left w:val="single" w:sz="4" w:space="0" w:color="auto"/>
              <w:bottom w:val="single" w:sz="4" w:space="0" w:color="auto"/>
              <w:right w:val="single" w:sz="4" w:space="0" w:color="auto"/>
            </w:tcBorders>
            <w:hideMark/>
          </w:tcPr>
          <w:p w14:paraId="1AEA95C7" w14:textId="77777777" w:rsidR="00536428" w:rsidRPr="000B0353" w:rsidRDefault="00536428" w:rsidP="00D10671">
            <w:pPr>
              <w:pStyle w:val="Tabletext"/>
            </w:pPr>
            <w:r w:rsidRPr="000B0353">
              <w:t xml:space="preserve">Any type of </w:t>
            </w:r>
            <w:r>
              <w:t>AV</w:t>
            </w:r>
            <w:r w:rsidRPr="000B0353">
              <w:t xml:space="preserve"> block mediated by heightened parasympathetic tone</w:t>
            </w:r>
          </w:p>
        </w:tc>
      </w:tr>
      <w:tr w:rsidR="00536428" w:rsidRPr="00037174" w14:paraId="28503E98" w14:textId="77777777" w:rsidTr="00D10671">
        <w:tc>
          <w:tcPr>
            <w:tcW w:w="1627" w:type="pct"/>
            <w:tcBorders>
              <w:top w:val="single" w:sz="4" w:space="0" w:color="auto"/>
              <w:left w:val="single" w:sz="4" w:space="0" w:color="auto"/>
              <w:bottom w:val="single" w:sz="4" w:space="0" w:color="auto"/>
              <w:right w:val="single" w:sz="4" w:space="0" w:color="auto"/>
            </w:tcBorders>
          </w:tcPr>
          <w:p w14:paraId="47EF1534" w14:textId="77777777" w:rsidR="00536428" w:rsidRPr="000B0353" w:rsidRDefault="00536428" w:rsidP="00D10671">
            <w:pPr>
              <w:pStyle w:val="Tabletext"/>
            </w:pPr>
            <w:r w:rsidRPr="000B0353">
              <w:t>Infranodal block</w:t>
            </w:r>
          </w:p>
        </w:tc>
        <w:tc>
          <w:tcPr>
            <w:tcW w:w="3373" w:type="pct"/>
            <w:tcBorders>
              <w:top w:val="single" w:sz="4" w:space="0" w:color="auto"/>
              <w:left w:val="single" w:sz="4" w:space="0" w:color="auto"/>
              <w:bottom w:val="single" w:sz="4" w:space="0" w:color="auto"/>
              <w:right w:val="single" w:sz="4" w:space="0" w:color="auto"/>
            </w:tcBorders>
            <w:hideMark/>
          </w:tcPr>
          <w:p w14:paraId="3A0D38FE" w14:textId="77777777" w:rsidR="00536428" w:rsidRPr="000B0353" w:rsidRDefault="00536428" w:rsidP="00D10671">
            <w:pPr>
              <w:pStyle w:val="Tabletext"/>
            </w:pPr>
            <w:r>
              <w:t>AV</w:t>
            </w:r>
            <w:r w:rsidRPr="000B0353">
              <w:t xml:space="preserve"> conduction block where clinical evidence or electrophysiologic evidence suggests that the conduction block occurs distal to the </w:t>
            </w:r>
            <w:r>
              <w:t>AV</w:t>
            </w:r>
            <w:r w:rsidRPr="000B0353">
              <w:t xml:space="preserve"> node</w:t>
            </w:r>
          </w:p>
        </w:tc>
      </w:tr>
    </w:tbl>
    <w:p w14:paraId="297E0A49" w14:textId="77777777" w:rsidR="00536428" w:rsidRDefault="00536428" w:rsidP="00536428">
      <w:pPr>
        <w:pStyle w:val="Tablenotes"/>
        <w:rPr>
          <w:rFonts w:asciiTheme="minorHAnsi" w:hAnsiTheme="minorHAnsi" w:cstheme="minorHAnsi"/>
          <w:szCs w:val="18"/>
        </w:rPr>
      </w:pPr>
      <w:r w:rsidRPr="00826367">
        <w:rPr>
          <w:rFonts w:asciiTheme="minorHAnsi" w:hAnsiTheme="minorHAnsi" w:cstheme="minorHAnsi"/>
          <w:szCs w:val="18"/>
        </w:rPr>
        <w:t xml:space="preserve">Source: Kusumoto (2019) </w:t>
      </w:r>
      <w:r>
        <w:rPr>
          <w:rFonts w:asciiTheme="minorHAnsi" w:hAnsiTheme="minorHAnsi" w:cstheme="minorHAnsi"/>
          <w:szCs w:val="18"/>
        </w:rPr>
        <w:t>T</w:t>
      </w:r>
      <w:r w:rsidRPr="00826367">
        <w:rPr>
          <w:rFonts w:asciiTheme="minorHAnsi" w:hAnsiTheme="minorHAnsi" w:cstheme="minorHAnsi"/>
          <w:szCs w:val="18"/>
        </w:rPr>
        <w:t>able 3 p</w:t>
      </w:r>
      <w:r>
        <w:rPr>
          <w:rFonts w:asciiTheme="minorHAnsi" w:hAnsiTheme="minorHAnsi" w:cstheme="minorHAnsi"/>
          <w:szCs w:val="18"/>
        </w:rPr>
        <w:t>.e</w:t>
      </w:r>
      <w:r w:rsidRPr="00826367">
        <w:rPr>
          <w:rFonts w:asciiTheme="minorHAnsi" w:hAnsiTheme="minorHAnsi" w:cstheme="minorHAnsi"/>
          <w:szCs w:val="18"/>
        </w:rPr>
        <w:t>390.</w:t>
      </w:r>
    </w:p>
    <w:p w14:paraId="518BE933" w14:textId="77777777" w:rsidR="00E25BDA" w:rsidRDefault="00536428" w:rsidP="00536428">
      <w:pPr>
        <w:pStyle w:val="Tablenotes"/>
        <w:rPr>
          <w:rFonts w:asciiTheme="minorHAnsi" w:hAnsiTheme="minorHAnsi" w:cstheme="minorHAnsi"/>
          <w:szCs w:val="18"/>
        </w:rPr>
        <w:sectPr w:rsidR="00E25BDA" w:rsidSect="00AE6FE0">
          <w:pgSz w:w="11906" w:h="16838"/>
          <w:pgMar w:top="682" w:right="1134" w:bottom="1021" w:left="1191" w:header="709" w:footer="709" w:gutter="0"/>
          <w:cols w:space="708"/>
          <w:docGrid w:linePitch="360"/>
        </w:sectPr>
      </w:pPr>
      <w:r>
        <w:rPr>
          <w:rFonts w:asciiTheme="minorHAnsi" w:hAnsiTheme="minorHAnsi" w:cstheme="minorHAnsi"/>
          <w:szCs w:val="18"/>
        </w:rPr>
        <w:t>Abbreviations: AF, atrial fibrillation; AV, atrioventricular; bpm, beats per minute; ms, millisecond; s, second; SND, sinus node dysfunction.</w:t>
      </w:r>
    </w:p>
    <w:p w14:paraId="0C162AF6" w14:textId="06A72947" w:rsidR="00E25BDA" w:rsidRDefault="00E25BDA" w:rsidP="00E25BDA">
      <w:pPr>
        <w:pStyle w:val="Heading2"/>
      </w:pPr>
      <w:r>
        <w:t>Attachment 2</w:t>
      </w:r>
    </w:p>
    <w:tbl>
      <w:tblPr>
        <w:tblStyle w:val="TableGrid"/>
        <w:tblW w:w="5000" w:type="pct"/>
        <w:tblInd w:w="0" w:type="dxa"/>
        <w:tblLook w:val="04A0" w:firstRow="1" w:lastRow="0" w:firstColumn="1" w:lastColumn="0" w:noHBand="0" w:noVBand="1"/>
        <w:tblCaption w:val="Item Descriptor Table for the comparators"/>
        <w:tblDescription w:val="Exisitng items for TV-PM insertion are MBS Category 3 - therapeutic procedures. The relevant items are MBS item 38350 and 38353. The full descriptors and fees are shown, together with Explanatory Note TN.8.60 at 7 July 2021."/>
      </w:tblPr>
      <w:tblGrid>
        <w:gridCol w:w="9571"/>
      </w:tblGrid>
      <w:tr w:rsidR="00E25BDA" w:rsidRPr="00D2670B" w14:paraId="6897CBB1" w14:textId="77777777" w:rsidTr="00D10671">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3A299722" w14:textId="3AAEDD7F" w:rsidR="00E25BDA" w:rsidRPr="00DE762F" w:rsidRDefault="00E25BDA" w:rsidP="00D10671">
            <w:pPr>
              <w:spacing w:before="40" w:after="40" w:line="240" w:lineRule="auto"/>
              <w:rPr>
                <w:rFonts w:ascii="Arial Narrow" w:hAnsi="Arial Narrow"/>
                <w:sz w:val="20"/>
                <w:szCs w:val="20"/>
              </w:rPr>
            </w:pPr>
            <w:r w:rsidRPr="00DE762F">
              <w:rPr>
                <w:rFonts w:ascii="Arial Narrow" w:hAnsi="Arial Narrow"/>
                <w:sz w:val="20"/>
                <w:szCs w:val="20"/>
              </w:rPr>
              <w:t xml:space="preserve">Category </w:t>
            </w:r>
            <w:r>
              <w:rPr>
                <w:rFonts w:ascii="Arial Narrow" w:hAnsi="Arial Narrow"/>
                <w:sz w:val="20"/>
                <w:szCs w:val="20"/>
              </w:rPr>
              <w:t>1</w:t>
            </w:r>
            <w:r w:rsidRPr="00D2670B">
              <w:t xml:space="preserve"> – </w:t>
            </w:r>
            <w:r>
              <w:rPr>
                <w:rFonts w:ascii="Arial Narrow" w:hAnsi="Arial Narrow"/>
                <w:sz w:val="20"/>
                <w:szCs w:val="20"/>
              </w:rPr>
              <w:t>PROFESSIONAL ATTENDANCES</w:t>
            </w:r>
            <w:r>
              <w:rPr>
                <w:rFonts w:ascii="Arial Narrow" w:hAnsi="Arial Narrow"/>
                <w:sz w:val="20"/>
                <w:szCs w:val="20"/>
              </w:rPr>
              <w:br/>
              <w:t>Group A37 – Cardiothoracic Surgeon Attendance for Lead Extraction</w:t>
            </w:r>
          </w:p>
        </w:tc>
      </w:tr>
      <w:tr w:rsidR="00E25BDA" w:rsidRPr="005771DC" w14:paraId="6E93CEEA" w14:textId="77777777" w:rsidTr="00D10671">
        <w:trPr>
          <w:cantSplit/>
        </w:trPr>
        <w:tc>
          <w:tcPr>
            <w:tcW w:w="5000" w:type="pct"/>
            <w:tcBorders>
              <w:top w:val="single" w:sz="4" w:space="0" w:color="auto"/>
              <w:left w:val="single" w:sz="4" w:space="0" w:color="auto"/>
              <w:bottom w:val="single" w:sz="4" w:space="0" w:color="auto"/>
              <w:right w:val="single" w:sz="4" w:space="0" w:color="auto"/>
            </w:tcBorders>
          </w:tcPr>
          <w:p w14:paraId="226E2510" w14:textId="5D830393" w:rsidR="00E25BDA" w:rsidRPr="00DE762F" w:rsidRDefault="00E25BDA" w:rsidP="00D10671">
            <w:pPr>
              <w:spacing w:before="120" w:after="120" w:line="240" w:lineRule="auto"/>
              <w:rPr>
                <w:rFonts w:ascii="Arial Narrow" w:hAnsi="Arial Narrow"/>
                <w:sz w:val="20"/>
                <w:szCs w:val="20"/>
              </w:rPr>
            </w:pPr>
            <w:r>
              <w:rPr>
                <w:rFonts w:ascii="Arial Narrow" w:hAnsi="Arial Narrow"/>
                <w:sz w:val="20"/>
                <w:szCs w:val="20"/>
              </w:rPr>
              <w:t>90300</w:t>
            </w:r>
          </w:p>
          <w:p w14:paraId="728FDBF7" w14:textId="43006364" w:rsidR="00E25BDA" w:rsidRPr="00E25BDA" w:rsidRDefault="00E25BDA" w:rsidP="00E25BDA">
            <w:pPr>
              <w:spacing w:before="120" w:after="120" w:line="240" w:lineRule="auto"/>
              <w:rPr>
                <w:rFonts w:ascii="Arial Narrow" w:hAnsi="Arial Narrow"/>
                <w:sz w:val="20"/>
                <w:szCs w:val="20"/>
              </w:rPr>
            </w:pPr>
            <w:r w:rsidRPr="00E25BDA">
              <w:rPr>
                <w:rFonts w:ascii="Arial Narrow" w:hAnsi="Arial Narrow"/>
                <w:sz w:val="20"/>
                <w:szCs w:val="20"/>
              </w:rPr>
              <w:t>Professional attendance by a cardiothoracic surgeon in the practice of the surgeon’s speciality, if:</w:t>
            </w:r>
          </w:p>
          <w:p w14:paraId="71B55781" w14:textId="00F1CA2D" w:rsidR="00E25BDA" w:rsidRPr="00E25BDA" w:rsidRDefault="00E25BDA" w:rsidP="00E25BDA">
            <w:pPr>
              <w:spacing w:before="120" w:after="120" w:line="240" w:lineRule="auto"/>
              <w:rPr>
                <w:rFonts w:ascii="Arial Narrow" w:hAnsi="Arial Narrow"/>
                <w:sz w:val="20"/>
                <w:szCs w:val="20"/>
              </w:rPr>
            </w:pPr>
            <w:r w:rsidRPr="00E25BDA">
              <w:rPr>
                <w:rFonts w:ascii="Arial Narrow" w:hAnsi="Arial Narrow"/>
                <w:sz w:val="20"/>
                <w:szCs w:val="20"/>
              </w:rPr>
              <w:t>(a) the service is performed in conjunction with a service (the lead extraction service) to which item 38358 applies; and</w:t>
            </w:r>
          </w:p>
          <w:p w14:paraId="531438FD" w14:textId="56E5C177" w:rsidR="00E25BDA" w:rsidRPr="00E25BDA" w:rsidRDefault="00E25BDA" w:rsidP="00E25BDA">
            <w:pPr>
              <w:spacing w:before="120" w:after="120" w:line="240" w:lineRule="auto"/>
              <w:rPr>
                <w:rFonts w:ascii="Arial Narrow" w:hAnsi="Arial Narrow"/>
                <w:sz w:val="20"/>
                <w:szCs w:val="20"/>
              </w:rPr>
            </w:pPr>
            <w:r w:rsidRPr="00E25BDA">
              <w:rPr>
                <w:rFonts w:ascii="Arial Narrow" w:hAnsi="Arial Narrow"/>
                <w:sz w:val="20"/>
                <w:szCs w:val="20"/>
              </w:rPr>
              <w:t>(b) the surgeon is:</w:t>
            </w:r>
          </w:p>
          <w:p w14:paraId="788A667A" w14:textId="473BD703" w:rsidR="00E25BDA" w:rsidRPr="00E25BDA" w:rsidRDefault="00E25BDA" w:rsidP="00E25BDA">
            <w:pPr>
              <w:spacing w:before="120" w:after="120" w:line="240" w:lineRule="auto"/>
              <w:ind w:left="164"/>
              <w:rPr>
                <w:rFonts w:ascii="Arial Narrow" w:hAnsi="Arial Narrow"/>
                <w:sz w:val="20"/>
                <w:szCs w:val="20"/>
              </w:rPr>
            </w:pPr>
            <w:r w:rsidRPr="00E25BDA">
              <w:rPr>
                <w:rFonts w:ascii="Arial Narrow" w:hAnsi="Arial Narrow"/>
                <w:sz w:val="20"/>
                <w:szCs w:val="20"/>
              </w:rPr>
              <w:t>(i) either performing, or providing surgical backup for the provider (who is not a cardiothoracic surgeon) who is performing, the lead extraction service; and</w:t>
            </w:r>
          </w:p>
          <w:p w14:paraId="03042870" w14:textId="5DB458CB" w:rsidR="00E25BDA" w:rsidRPr="00E25BDA" w:rsidRDefault="00E25BDA" w:rsidP="00E25BDA">
            <w:pPr>
              <w:spacing w:before="120" w:after="120" w:line="240" w:lineRule="auto"/>
              <w:ind w:left="164"/>
              <w:rPr>
                <w:rFonts w:ascii="Arial Narrow" w:hAnsi="Arial Narrow"/>
                <w:sz w:val="20"/>
                <w:szCs w:val="20"/>
              </w:rPr>
            </w:pPr>
            <w:r w:rsidRPr="00E25BDA">
              <w:rPr>
                <w:rFonts w:ascii="Arial Narrow" w:hAnsi="Arial Narrow"/>
                <w:sz w:val="20"/>
                <w:szCs w:val="20"/>
              </w:rPr>
              <w:t>(i) present for the duration of the lead extraction service, other than during the low risk pre and post extraction phases; and</w:t>
            </w:r>
          </w:p>
          <w:p w14:paraId="519002AA" w14:textId="77777777" w:rsidR="00E25BDA" w:rsidRPr="00E25BDA" w:rsidRDefault="00E25BDA" w:rsidP="00E25BDA">
            <w:pPr>
              <w:spacing w:before="120" w:after="120" w:line="240" w:lineRule="auto"/>
              <w:ind w:left="164"/>
              <w:rPr>
                <w:rFonts w:ascii="Arial Narrow" w:hAnsi="Arial Narrow"/>
                <w:sz w:val="20"/>
                <w:szCs w:val="20"/>
              </w:rPr>
            </w:pPr>
            <w:r w:rsidRPr="00E25BDA">
              <w:rPr>
                <w:rFonts w:ascii="Arial Narrow" w:hAnsi="Arial Narrow"/>
                <w:sz w:val="20"/>
                <w:szCs w:val="20"/>
              </w:rPr>
              <w:t>(iii) able to immediately scrub in and perform a thoracotomy if major complications occur (H)</w:t>
            </w:r>
          </w:p>
          <w:p w14:paraId="7EE3312C" w14:textId="52F91E72" w:rsidR="00E25BDA" w:rsidRPr="00E25BDA" w:rsidRDefault="00E25BDA" w:rsidP="00E25BDA">
            <w:pPr>
              <w:spacing w:before="120" w:after="120" w:line="240" w:lineRule="auto"/>
              <w:rPr>
                <w:rFonts w:ascii="Arial Narrow" w:hAnsi="Arial Narrow"/>
                <w:sz w:val="20"/>
                <w:szCs w:val="20"/>
              </w:rPr>
            </w:pPr>
            <w:r w:rsidRPr="00E25BDA">
              <w:rPr>
                <w:rFonts w:ascii="Arial Narrow" w:hAnsi="Arial Narrow"/>
                <w:sz w:val="20"/>
                <w:szCs w:val="20"/>
              </w:rPr>
              <w:t xml:space="preserve">Fee: $895.25 </w:t>
            </w:r>
            <w:r>
              <w:rPr>
                <w:rFonts w:ascii="Arial Narrow" w:hAnsi="Arial Narrow"/>
                <w:sz w:val="20"/>
                <w:szCs w:val="20"/>
              </w:rPr>
              <w:t xml:space="preserve"> </w:t>
            </w:r>
            <w:r w:rsidRPr="00E25BDA">
              <w:rPr>
                <w:rFonts w:ascii="Arial Narrow" w:hAnsi="Arial Narrow"/>
                <w:sz w:val="20"/>
                <w:szCs w:val="20"/>
              </w:rPr>
              <w:t>Benefit: 75% = $671.45</w:t>
            </w:r>
          </w:p>
          <w:p w14:paraId="571C2A68" w14:textId="6CE25C6B" w:rsidR="00E25BDA" w:rsidRPr="00DE762F" w:rsidRDefault="00E25BDA" w:rsidP="00E25BDA">
            <w:pPr>
              <w:spacing w:before="120" w:after="120" w:line="240" w:lineRule="auto"/>
              <w:rPr>
                <w:rFonts w:ascii="Arial Narrow" w:hAnsi="Arial Narrow"/>
                <w:sz w:val="20"/>
                <w:szCs w:val="20"/>
              </w:rPr>
            </w:pPr>
            <w:r w:rsidRPr="00E25BDA">
              <w:rPr>
                <w:rFonts w:ascii="Arial Narrow" w:hAnsi="Arial Narrow"/>
                <w:sz w:val="20"/>
                <w:szCs w:val="20"/>
              </w:rPr>
              <w:t>(See para TN.8.214 of explanatory notes to this Category)</w:t>
            </w:r>
          </w:p>
        </w:tc>
      </w:tr>
    </w:tbl>
    <w:p w14:paraId="67FA3710" w14:textId="21C65A88" w:rsidR="00536428" w:rsidRPr="00826367" w:rsidRDefault="00536428" w:rsidP="00E25BDA"/>
    <w:sectPr w:rsidR="00536428" w:rsidRPr="00826367" w:rsidSect="00AE6FE0">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25D5E" w14:textId="77777777" w:rsidR="0000750A" w:rsidRDefault="0000750A" w:rsidP="0016315C">
      <w:pPr>
        <w:spacing w:after="0" w:line="240" w:lineRule="auto"/>
      </w:pPr>
      <w:r>
        <w:separator/>
      </w:r>
    </w:p>
  </w:endnote>
  <w:endnote w:type="continuationSeparator" w:id="0">
    <w:p w14:paraId="0AECE9AF" w14:textId="77777777" w:rsidR="0000750A" w:rsidRDefault="0000750A" w:rsidP="0016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66E4C48E" w:rsidR="0000750A" w:rsidRDefault="0000750A" w:rsidP="00D540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00750A" w:rsidRDefault="0000750A"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214802"/>
      <w:docPartObj>
        <w:docPartGallery w:val="Page Numbers (Bottom of Page)"/>
        <w:docPartUnique/>
      </w:docPartObj>
    </w:sdtPr>
    <w:sdtEndPr>
      <w:rPr>
        <w:noProof/>
      </w:rPr>
    </w:sdtEndPr>
    <w:sdtContent>
      <w:p w14:paraId="33E9D433" w14:textId="461A1BE2" w:rsidR="0000750A" w:rsidRPr="00FE65EC" w:rsidRDefault="0000750A" w:rsidP="00FE65EC">
        <w:pPr>
          <w:spacing w:after="0" w:line="240" w:lineRule="auto"/>
        </w:pPr>
        <w:r w:rsidRPr="00FE65EC">
          <w:fldChar w:fldCharType="begin"/>
        </w:r>
        <w:r w:rsidRPr="00FE65EC">
          <w:instrText xml:space="preserve"> PAGE   \* MERGEFORMAT </w:instrText>
        </w:r>
        <w:r w:rsidRPr="00FE65EC">
          <w:fldChar w:fldCharType="separate"/>
        </w:r>
        <w:r w:rsidRPr="00FE65EC">
          <w:rPr>
            <w:noProof/>
          </w:rPr>
          <w:t>2</w:t>
        </w:r>
        <w:r w:rsidRPr="00FE65EC">
          <w:rPr>
            <w:noProof/>
          </w:rPr>
          <w:fldChar w:fldCharType="end"/>
        </w:r>
        <w:r w:rsidRPr="00FE65EC">
          <w:rPr>
            <w:noProof/>
          </w:rPr>
          <w:tab/>
        </w:r>
        <w:r w:rsidR="00001DC2">
          <w:rPr>
            <w:noProof/>
          </w:rPr>
          <w:tab/>
        </w:r>
        <w:r w:rsidR="00001DC2">
          <w:rPr>
            <w:noProof/>
          </w:rPr>
          <w:tab/>
        </w:r>
        <w:r w:rsidR="00001DC2">
          <w:rPr>
            <w:noProof/>
          </w:rPr>
          <w:tab/>
        </w:r>
        <w:r w:rsidRPr="00FE65EC">
          <w:t>Ratified PICO Confirmation – August 2021 PASC</w:t>
        </w:r>
      </w:p>
      <w:p w14:paraId="2C7E7974" w14:textId="223D45ED" w:rsidR="0000750A" w:rsidRPr="00FE65EC" w:rsidRDefault="0000750A" w:rsidP="00001DC2">
        <w:pPr>
          <w:spacing w:after="0" w:line="240" w:lineRule="auto"/>
          <w:jc w:val="center"/>
        </w:pPr>
        <w:r w:rsidRPr="00FE65EC">
          <w:t>MSAC Application 1672 – Procedures for the insertion or removal of a leadless permanent pacemaker for the treatment of bradyarrhythmia</w:t>
        </w:r>
      </w:p>
      <w:p w14:paraId="74706346" w14:textId="0B061137" w:rsidR="0000750A" w:rsidRDefault="000D35EA">
        <w:pPr>
          <w:pStyle w:val="Footer"/>
        </w:pPr>
      </w:p>
    </w:sdtContent>
  </w:sdt>
  <w:p w14:paraId="33649654" w14:textId="6CC248D1" w:rsidR="0000750A" w:rsidRPr="002619D1" w:rsidRDefault="0000750A" w:rsidP="002619D1">
    <w:pPr>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7B5F2" w14:textId="77777777" w:rsidR="0000750A" w:rsidRDefault="0000750A" w:rsidP="0016315C">
      <w:pPr>
        <w:spacing w:after="0" w:line="240" w:lineRule="auto"/>
      </w:pPr>
      <w:r>
        <w:separator/>
      </w:r>
    </w:p>
  </w:footnote>
  <w:footnote w:type="continuationSeparator" w:id="0">
    <w:p w14:paraId="3C3D63C9" w14:textId="77777777" w:rsidR="0000750A" w:rsidRDefault="0000750A" w:rsidP="0016315C">
      <w:pPr>
        <w:spacing w:after="0" w:line="240" w:lineRule="auto"/>
      </w:pPr>
      <w:r>
        <w:continuationSeparator/>
      </w:r>
    </w:p>
  </w:footnote>
  <w:footnote w:id="1">
    <w:p w14:paraId="42EF5FF9" w14:textId="2FC32426" w:rsidR="0000750A" w:rsidRDefault="0000750A">
      <w:pPr>
        <w:pStyle w:val="FootnoteText"/>
      </w:pPr>
      <w:r>
        <w:rPr>
          <w:rStyle w:val="FootnoteReference"/>
        </w:rPr>
        <w:footnoteRef/>
      </w:r>
      <w:r>
        <w:t xml:space="preserve"> Taken from the ARTG indications for </w:t>
      </w:r>
      <w:r w:rsidRPr="00810925">
        <w:t>Medtronic’s Micra Transcatheter Pacing System</w:t>
      </w:r>
      <w:r>
        <w:t xml:space="preserve"> (</w:t>
      </w:r>
      <w:r>
        <w:fldChar w:fldCharType="begin"/>
      </w:r>
      <w:r>
        <w:instrText xml:space="preserve"> REF _Ref76558616 \h </w:instrText>
      </w:r>
      <w:r>
        <w:fldChar w:fldCharType="separate"/>
      </w:r>
      <w:r w:rsidR="000D35EA">
        <w:t xml:space="preserve">Table </w:t>
      </w:r>
      <w:r w:rsidR="000D35EA">
        <w:rPr>
          <w:noProof/>
        </w:rPr>
        <w:t>2</w:t>
      </w:r>
      <w:r>
        <w:fldChar w:fldCharType="end"/>
      </w:r>
      <w:r>
        <w:t xml:space="preserve">). These indications are broadly consistent with the 2018 </w:t>
      </w:r>
      <w:r w:rsidRPr="00B038E3">
        <w:t>ACC/AHA/HRS</w:t>
      </w:r>
      <w:r>
        <w:t xml:space="preserve"> guideline (Kusumoto et al. 2018).</w:t>
      </w:r>
    </w:p>
  </w:footnote>
  <w:footnote w:id="2">
    <w:p w14:paraId="77F419F4" w14:textId="1ACD794B" w:rsidR="0000750A" w:rsidRPr="006E2317" w:rsidRDefault="0000750A" w:rsidP="00037174">
      <w:pPr>
        <w:pStyle w:val="Heading4"/>
        <w:rPr>
          <w:rFonts w:ascii="Calibri" w:eastAsia="Calibri" w:hAnsi="Calibri" w:cs="Times New Roman"/>
          <w:i w:val="0"/>
          <w:iCs w:val="0"/>
          <w:color w:val="auto"/>
          <w:sz w:val="20"/>
          <w:szCs w:val="20"/>
        </w:rPr>
      </w:pPr>
      <w:r w:rsidRPr="006E2317">
        <w:rPr>
          <w:rFonts w:ascii="Calibri" w:eastAsia="Calibri" w:hAnsi="Calibri" w:cs="Times New Roman"/>
          <w:i w:val="0"/>
          <w:iCs w:val="0"/>
          <w:color w:val="auto"/>
          <w:sz w:val="20"/>
          <w:szCs w:val="20"/>
          <w:vertAlign w:val="superscript"/>
        </w:rPr>
        <w:footnoteRef/>
      </w:r>
      <w:r w:rsidRPr="006E2317">
        <w:rPr>
          <w:rFonts w:ascii="Calibri" w:eastAsia="Calibri" w:hAnsi="Calibri" w:cs="Times New Roman"/>
          <w:i w:val="0"/>
          <w:iCs w:val="0"/>
          <w:color w:val="auto"/>
          <w:sz w:val="20"/>
          <w:szCs w:val="20"/>
        </w:rPr>
        <w:t xml:space="preserve"> Calculated using Schedule fee for MBS items 38350 and 38353 at 7 July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428C"/>
    <w:multiLevelType w:val="hybridMultilevel"/>
    <w:tmpl w:val="4F26C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C91292"/>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1917EF"/>
    <w:multiLevelType w:val="hybridMultilevel"/>
    <w:tmpl w:val="B51EF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E6AD2"/>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04185D"/>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FA4C84"/>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5329C7"/>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590F7F"/>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B33BE4"/>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863605"/>
    <w:multiLevelType w:val="hybridMultilevel"/>
    <w:tmpl w:val="071ACA9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3CDC7826"/>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E93E2B"/>
    <w:multiLevelType w:val="hybridMultilevel"/>
    <w:tmpl w:val="C14C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DE7A1E"/>
    <w:multiLevelType w:val="hybridMultilevel"/>
    <w:tmpl w:val="97D06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0651EC"/>
    <w:multiLevelType w:val="hybridMultilevel"/>
    <w:tmpl w:val="911665E4"/>
    <w:lvl w:ilvl="0" w:tplc="38B864CE">
      <w:start w:val="4"/>
      <w:numFmt w:val="bullet"/>
      <w:lvlText w:val="-"/>
      <w:lvlJc w:val="left"/>
      <w:pPr>
        <w:ind w:left="807" w:hanging="360"/>
      </w:pPr>
      <w:rPr>
        <w:rFonts w:ascii="Arial Narrow" w:eastAsia="Calibri" w:hAnsi="Arial Narrow" w:cs="Times New Roman" w:hint="default"/>
      </w:rPr>
    </w:lvl>
    <w:lvl w:ilvl="1" w:tplc="0C090003" w:tentative="1">
      <w:start w:val="1"/>
      <w:numFmt w:val="bullet"/>
      <w:lvlText w:val="o"/>
      <w:lvlJc w:val="left"/>
      <w:pPr>
        <w:ind w:left="1527" w:hanging="360"/>
      </w:pPr>
      <w:rPr>
        <w:rFonts w:ascii="Courier New" w:hAnsi="Courier New" w:cs="Courier New" w:hint="default"/>
      </w:rPr>
    </w:lvl>
    <w:lvl w:ilvl="2" w:tplc="0C090005" w:tentative="1">
      <w:start w:val="1"/>
      <w:numFmt w:val="bullet"/>
      <w:lvlText w:val=""/>
      <w:lvlJc w:val="left"/>
      <w:pPr>
        <w:ind w:left="2247" w:hanging="360"/>
      </w:pPr>
      <w:rPr>
        <w:rFonts w:ascii="Wingdings" w:hAnsi="Wingdings" w:hint="default"/>
      </w:rPr>
    </w:lvl>
    <w:lvl w:ilvl="3" w:tplc="0C090001" w:tentative="1">
      <w:start w:val="1"/>
      <w:numFmt w:val="bullet"/>
      <w:lvlText w:val=""/>
      <w:lvlJc w:val="left"/>
      <w:pPr>
        <w:ind w:left="2967" w:hanging="360"/>
      </w:pPr>
      <w:rPr>
        <w:rFonts w:ascii="Symbol" w:hAnsi="Symbol" w:hint="default"/>
      </w:rPr>
    </w:lvl>
    <w:lvl w:ilvl="4" w:tplc="0C090003" w:tentative="1">
      <w:start w:val="1"/>
      <w:numFmt w:val="bullet"/>
      <w:lvlText w:val="o"/>
      <w:lvlJc w:val="left"/>
      <w:pPr>
        <w:ind w:left="3687" w:hanging="360"/>
      </w:pPr>
      <w:rPr>
        <w:rFonts w:ascii="Courier New" w:hAnsi="Courier New" w:cs="Courier New" w:hint="default"/>
      </w:rPr>
    </w:lvl>
    <w:lvl w:ilvl="5" w:tplc="0C090005" w:tentative="1">
      <w:start w:val="1"/>
      <w:numFmt w:val="bullet"/>
      <w:lvlText w:val=""/>
      <w:lvlJc w:val="left"/>
      <w:pPr>
        <w:ind w:left="4407" w:hanging="360"/>
      </w:pPr>
      <w:rPr>
        <w:rFonts w:ascii="Wingdings" w:hAnsi="Wingdings" w:hint="default"/>
      </w:rPr>
    </w:lvl>
    <w:lvl w:ilvl="6" w:tplc="0C090001" w:tentative="1">
      <w:start w:val="1"/>
      <w:numFmt w:val="bullet"/>
      <w:lvlText w:val=""/>
      <w:lvlJc w:val="left"/>
      <w:pPr>
        <w:ind w:left="5127" w:hanging="360"/>
      </w:pPr>
      <w:rPr>
        <w:rFonts w:ascii="Symbol" w:hAnsi="Symbol" w:hint="default"/>
      </w:rPr>
    </w:lvl>
    <w:lvl w:ilvl="7" w:tplc="0C090003" w:tentative="1">
      <w:start w:val="1"/>
      <w:numFmt w:val="bullet"/>
      <w:lvlText w:val="o"/>
      <w:lvlJc w:val="left"/>
      <w:pPr>
        <w:ind w:left="5847" w:hanging="360"/>
      </w:pPr>
      <w:rPr>
        <w:rFonts w:ascii="Courier New" w:hAnsi="Courier New" w:cs="Courier New" w:hint="default"/>
      </w:rPr>
    </w:lvl>
    <w:lvl w:ilvl="8" w:tplc="0C090005" w:tentative="1">
      <w:start w:val="1"/>
      <w:numFmt w:val="bullet"/>
      <w:lvlText w:val=""/>
      <w:lvlJc w:val="left"/>
      <w:pPr>
        <w:ind w:left="6567" w:hanging="360"/>
      </w:pPr>
      <w:rPr>
        <w:rFonts w:ascii="Wingdings" w:hAnsi="Wingdings" w:hint="default"/>
      </w:rPr>
    </w:lvl>
  </w:abstractNum>
  <w:abstractNum w:abstractNumId="14" w15:restartNumberingAfterBreak="0">
    <w:nsid w:val="54E100B1"/>
    <w:multiLevelType w:val="hybridMultilevel"/>
    <w:tmpl w:val="859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6" w15:restartNumberingAfterBreak="0">
    <w:nsid w:val="64475338"/>
    <w:multiLevelType w:val="hybridMultilevel"/>
    <w:tmpl w:val="B7281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A9E7CDF"/>
    <w:multiLevelType w:val="hybridMultilevel"/>
    <w:tmpl w:val="21EA9A9C"/>
    <w:lvl w:ilvl="0" w:tplc="1A20957C">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78A47408"/>
    <w:multiLevelType w:val="hybridMultilevel"/>
    <w:tmpl w:val="5A46A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8750BB"/>
    <w:multiLevelType w:val="hybridMultilevel"/>
    <w:tmpl w:val="B90A49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7"/>
  </w:num>
  <w:num w:numId="3">
    <w:abstractNumId w:val="9"/>
  </w:num>
  <w:num w:numId="4">
    <w:abstractNumId w:val="14"/>
  </w:num>
  <w:num w:numId="5">
    <w:abstractNumId w:val="18"/>
  </w:num>
  <w:num w:numId="6">
    <w:abstractNumId w:val="2"/>
  </w:num>
  <w:num w:numId="7">
    <w:abstractNumId w:val="12"/>
  </w:num>
  <w:num w:numId="8">
    <w:abstractNumId w:val="19"/>
  </w:num>
  <w:num w:numId="9">
    <w:abstractNumId w:val="10"/>
  </w:num>
  <w:num w:numId="10">
    <w:abstractNumId w:val="1"/>
  </w:num>
  <w:num w:numId="11">
    <w:abstractNumId w:val="3"/>
  </w:num>
  <w:num w:numId="12">
    <w:abstractNumId w:val="5"/>
  </w:num>
  <w:num w:numId="13">
    <w:abstractNumId w:val="8"/>
  </w:num>
  <w:num w:numId="14">
    <w:abstractNumId w:val="11"/>
  </w:num>
  <w:num w:numId="15">
    <w:abstractNumId w:val="6"/>
  </w:num>
  <w:num w:numId="16">
    <w:abstractNumId w:val="4"/>
  </w:num>
  <w:num w:numId="17">
    <w:abstractNumId w:val="7"/>
  </w:num>
  <w:num w:numId="18">
    <w:abstractNumId w:val="13"/>
  </w:num>
  <w:num w:numId="19">
    <w:abstractNumId w:val="16"/>
  </w:num>
  <w:num w:numId="20">
    <w:abstractNumId w:val="0"/>
  </w:num>
  <w:num w:numId="2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ftet9t22rpt6eaxt5ppew2d9axfsfx5e5e&quot;&gt;My EndNote Library&lt;record-ids&gt;&lt;item&gt;8&lt;/item&gt;&lt;item&gt;13&lt;/item&gt;&lt;item&gt;15&lt;/item&gt;&lt;item&gt;16&lt;/item&gt;&lt;item&gt;17&lt;/item&gt;&lt;/record-ids&gt;&lt;/item&gt;&lt;/Libraries&gt;"/>
  </w:docVars>
  <w:rsids>
    <w:rsidRoot w:val="001E5F9C"/>
    <w:rsid w:val="00000BD1"/>
    <w:rsid w:val="00001613"/>
    <w:rsid w:val="00001DC2"/>
    <w:rsid w:val="00004630"/>
    <w:rsid w:val="000073AA"/>
    <w:rsid w:val="0000750A"/>
    <w:rsid w:val="00007D05"/>
    <w:rsid w:val="00010DA9"/>
    <w:rsid w:val="000115EA"/>
    <w:rsid w:val="00015F76"/>
    <w:rsid w:val="000168A6"/>
    <w:rsid w:val="000206D3"/>
    <w:rsid w:val="00024E6B"/>
    <w:rsid w:val="00037174"/>
    <w:rsid w:val="00041824"/>
    <w:rsid w:val="00054A13"/>
    <w:rsid w:val="00055272"/>
    <w:rsid w:val="00056040"/>
    <w:rsid w:val="000607A1"/>
    <w:rsid w:val="00061A36"/>
    <w:rsid w:val="00064329"/>
    <w:rsid w:val="00070E5E"/>
    <w:rsid w:val="00071C4B"/>
    <w:rsid w:val="00083F40"/>
    <w:rsid w:val="00084AF0"/>
    <w:rsid w:val="000939E0"/>
    <w:rsid w:val="00093A34"/>
    <w:rsid w:val="000A3242"/>
    <w:rsid w:val="000A7C37"/>
    <w:rsid w:val="000B0353"/>
    <w:rsid w:val="000B151F"/>
    <w:rsid w:val="000B548B"/>
    <w:rsid w:val="000C566F"/>
    <w:rsid w:val="000C6954"/>
    <w:rsid w:val="000D1FCF"/>
    <w:rsid w:val="000D35EA"/>
    <w:rsid w:val="000E0280"/>
    <w:rsid w:val="000E623D"/>
    <w:rsid w:val="000F5CB6"/>
    <w:rsid w:val="000F68B5"/>
    <w:rsid w:val="000F75BD"/>
    <w:rsid w:val="000F7C35"/>
    <w:rsid w:val="0010359C"/>
    <w:rsid w:val="00106AA8"/>
    <w:rsid w:val="00110DE5"/>
    <w:rsid w:val="00113518"/>
    <w:rsid w:val="00114FAA"/>
    <w:rsid w:val="00120F8A"/>
    <w:rsid w:val="00120FF4"/>
    <w:rsid w:val="00121002"/>
    <w:rsid w:val="0013682D"/>
    <w:rsid w:val="001410BB"/>
    <w:rsid w:val="001416DA"/>
    <w:rsid w:val="00141E87"/>
    <w:rsid w:val="00142B0A"/>
    <w:rsid w:val="00143391"/>
    <w:rsid w:val="00151546"/>
    <w:rsid w:val="001526E4"/>
    <w:rsid w:val="001545B9"/>
    <w:rsid w:val="00157195"/>
    <w:rsid w:val="00161727"/>
    <w:rsid w:val="0016315C"/>
    <w:rsid w:val="00164670"/>
    <w:rsid w:val="00164C84"/>
    <w:rsid w:val="00170F0C"/>
    <w:rsid w:val="00173763"/>
    <w:rsid w:val="00173850"/>
    <w:rsid w:val="0017550C"/>
    <w:rsid w:val="00176949"/>
    <w:rsid w:val="001771E8"/>
    <w:rsid w:val="001803BA"/>
    <w:rsid w:val="00180F35"/>
    <w:rsid w:val="00182339"/>
    <w:rsid w:val="00183AB5"/>
    <w:rsid w:val="00183E37"/>
    <w:rsid w:val="00186B10"/>
    <w:rsid w:val="00194D49"/>
    <w:rsid w:val="00195636"/>
    <w:rsid w:val="001966FC"/>
    <w:rsid w:val="001A01B0"/>
    <w:rsid w:val="001A5450"/>
    <w:rsid w:val="001A5D2F"/>
    <w:rsid w:val="001B490C"/>
    <w:rsid w:val="001B6958"/>
    <w:rsid w:val="001B6D6C"/>
    <w:rsid w:val="001B78CE"/>
    <w:rsid w:val="001C17D2"/>
    <w:rsid w:val="001D1EAD"/>
    <w:rsid w:val="001D1F0E"/>
    <w:rsid w:val="001D247E"/>
    <w:rsid w:val="001D27F0"/>
    <w:rsid w:val="001D3580"/>
    <w:rsid w:val="001E0D1A"/>
    <w:rsid w:val="001E1894"/>
    <w:rsid w:val="001E5F9C"/>
    <w:rsid w:val="001F01AE"/>
    <w:rsid w:val="00202DEE"/>
    <w:rsid w:val="00206790"/>
    <w:rsid w:val="00206D27"/>
    <w:rsid w:val="00217FB3"/>
    <w:rsid w:val="00235B21"/>
    <w:rsid w:val="002372AA"/>
    <w:rsid w:val="0024028C"/>
    <w:rsid w:val="00247DD6"/>
    <w:rsid w:val="00253723"/>
    <w:rsid w:val="002543EB"/>
    <w:rsid w:val="002619D1"/>
    <w:rsid w:val="00265E43"/>
    <w:rsid w:val="00266C1C"/>
    <w:rsid w:val="0027170F"/>
    <w:rsid w:val="00286591"/>
    <w:rsid w:val="00286F66"/>
    <w:rsid w:val="00297AB2"/>
    <w:rsid w:val="002A4E9B"/>
    <w:rsid w:val="002B03F1"/>
    <w:rsid w:val="002B103E"/>
    <w:rsid w:val="002B178B"/>
    <w:rsid w:val="002B1939"/>
    <w:rsid w:val="002B4A65"/>
    <w:rsid w:val="002B4B5A"/>
    <w:rsid w:val="002B5CD6"/>
    <w:rsid w:val="002C064D"/>
    <w:rsid w:val="002C37F4"/>
    <w:rsid w:val="002C5E84"/>
    <w:rsid w:val="002D5D59"/>
    <w:rsid w:val="002D6AD5"/>
    <w:rsid w:val="002F1791"/>
    <w:rsid w:val="002F2D00"/>
    <w:rsid w:val="002F3E40"/>
    <w:rsid w:val="003029AC"/>
    <w:rsid w:val="003074C7"/>
    <w:rsid w:val="003105CC"/>
    <w:rsid w:val="003232A5"/>
    <w:rsid w:val="00324EF8"/>
    <w:rsid w:val="00334A51"/>
    <w:rsid w:val="00334BF2"/>
    <w:rsid w:val="00341391"/>
    <w:rsid w:val="00341FC3"/>
    <w:rsid w:val="00345AA4"/>
    <w:rsid w:val="0034704A"/>
    <w:rsid w:val="00347F20"/>
    <w:rsid w:val="00352554"/>
    <w:rsid w:val="00354732"/>
    <w:rsid w:val="00360A5E"/>
    <w:rsid w:val="003657B5"/>
    <w:rsid w:val="00365EA2"/>
    <w:rsid w:val="00380DAD"/>
    <w:rsid w:val="00381D87"/>
    <w:rsid w:val="003827CE"/>
    <w:rsid w:val="00382FD5"/>
    <w:rsid w:val="003836AB"/>
    <w:rsid w:val="0038424D"/>
    <w:rsid w:val="00385B07"/>
    <w:rsid w:val="00386AFC"/>
    <w:rsid w:val="0039289E"/>
    <w:rsid w:val="003978BE"/>
    <w:rsid w:val="00397967"/>
    <w:rsid w:val="003A2276"/>
    <w:rsid w:val="003A3FD9"/>
    <w:rsid w:val="003A504D"/>
    <w:rsid w:val="003A5759"/>
    <w:rsid w:val="003A6FC6"/>
    <w:rsid w:val="003A72AD"/>
    <w:rsid w:val="003B06E3"/>
    <w:rsid w:val="003B4BC0"/>
    <w:rsid w:val="003B7EA6"/>
    <w:rsid w:val="003C3C1D"/>
    <w:rsid w:val="003C608E"/>
    <w:rsid w:val="003C782C"/>
    <w:rsid w:val="003D4112"/>
    <w:rsid w:val="003E0B29"/>
    <w:rsid w:val="003E0D70"/>
    <w:rsid w:val="003E26D9"/>
    <w:rsid w:val="003F0A39"/>
    <w:rsid w:val="003F3014"/>
    <w:rsid w:val="003F4A5D"/>
    <w:rsid w:val="003F65B6"/>
    <w:rsid w:val="003F7DC1"/>
    <w:rsid w:val="004036EA"/>
    <w:rsid w:val="00404A7F"/>
    <w:rsid w:val="00404E5A"/>
    <w:rsid w:val="00406BA2"/>
    <w:rsid w:val="00406C8E"/>
    <w:rsid w:val="004111F1"/>
    <w:rsid w:val="004122EF"/>
    <w:rsid w:val="0041357F"/>
    <w:rsid w:val="00416760"/>
    <w:rsid w:val="00421716"/>
    <w:rsid w:val="004252B5"/>
    <w:rsid w:val="00430192"/>
    <w:rsid w:val="004322B3"/>
    <w:rsid w:val="00434DD2"/>
    <w:rsid w:val="004355EE"/>
    <w:rsid w:val="00436D3B"/>
    <w:rsid w:val="00436E37"/>
    <w:rsid w:val="004378E6"/>
    <w:rsid w:val="00446557"/>
    <w:rsid w:val="00446F1B"/>
    <w:rsid w:val="00447604"/>
    <w:rsid w:val="00452E06"/>
    <w:rsid w:val="00454169"/>
    <w:rsid w:val="00460564"/>
    <w:rsid w:val="0046565C"/>
    <w:rsid w:val="00465A53"/>
    <w:rsid w:val="00477785"/>
    <w:rsid w:val="00480327"/>
    <w:rsid w:val="004817D7"/>
    <w:rsid w:val="0048346E"/>
    <w:rsid w:val="00487694"/>
    <w:rsid w:val="00490FBB"/>
    <w:rsid w:val="004A7E64"/>
    <w:rsid w:val="004B0F01"/>
    <w:rsid w:val="004B17EF"/>
    <w:rsid w:val="004B214C"/>
    <w:rsid w:val="004C0267"/>
    <w:rsid w:val="004C0CB5"/>
    <w:rsid w:val="004C2C5E"/>
    <w:rsid w:val="004C5813"/>
    <w:rsid w:val="004C6920"/>
    <w:rsid w:val="004C7458"/>
    <w:rsid w:val="004D5B78"/>
    <w:rsid w:val="004D7F8A"/>
    <w:rsid w:val="004E04AE"/>
    <w:rsid w:val="004E17DD"/>
    <w:rsid w:val="004E20D3"/>
    <w:rsid w:val="004E3ABF"/>
    <w:rsid w:val="004E45EC"/>
    <w:rsid w:val="004E6974"/>
    <w:rsid w:val="004F273F"/>
    <w:rsid w:val="004F35E4"/>
    <w:rsid w:val="004F4B56"/>
    <w:rsid w:val="004F74D4"/>
    <w:rsid w:val="00500881"/>
    <w:rsid w:val="0050344D"/>
    <w:rsid w:val="0051628D"/>
    <w:rsid w:val="00516480"/>
    <w:rsid w:val="00520FD3"/>
    <w:rsid w:val="0052450C"/>
    <w:rsid w:val="00532947"/>
    <w:rsid w:val="0053416C"/>
    <w:rsid w:val="00536428"/>
    <w:rsid w:val="0054063B"/>
    <w:rsid w:val="00541FE0"/>
    <w:rsid w:val="0054217D"/>
    <w:rsid w:val="00544F7B"/>
    <w:rsid w:val="005456B4"/>
    <w:rsid w:val="00551D6C"/>
    <w:rsid w:val="00556F21"/>
    <w:rsid w:val="00557F2C"/>
    <w:rsid w:val="00562807"/>
    <w:rsid w:val="00567A1F"/>
    <w:rsid w:val="00573BC6"/>
    <w:rsid w:val="005754F3"/>
    <w:rsid w:val="005771DC"/>
    <w:rsid w:val="00577468"/>
    <w:rsid w:val="005832CD"/>
    <w:rsid w:val="00592719"/>
    <w:rsid w:val="00593285"/>
    <w:rsid w:val="005A2652"/>
    <w:rsid w:val="005A3165"/>
    <w:rsid w:val="005A3672"/>
    <w:rsid w:val="005A3E11"/>
    <w:rsid w:val="005A666B"/>
    <w:rsid w:val="005B1120"/>
    <w:rsid w:val="005B1F28"/>
    <w:rsid w:val="005B73F1"/>
    <w:rsid w:val="005C0451"/>
    <w:rsid w:val="005C07E7"/>
    <w:rsid w:val="005C1E1F"/>
    <w:rsid w:val="005C3FB9"/>
    <w:rsid w:val="005D1BF3"/>
    <w:rsid w:val="005D20FC"/>
    <w:rsid w:val="005E0AE1"/>
    <w:rsid w:val="005E11DE"/>
    <w:rsid w:val="005E1AC4"/>
    <w:rsid w:val="005E4DF0"/>
    <w:rsid w:val="005E6693"/>
    <w:rsid w:val="005F1865"/>
    <w:rsid w:val="005F54E1"/>
    <w:rsid w:val="00602278"/>
    <w:rsid w:val="00611E17"/>
    <w:rsid w:val="00611F0C"/>
    <w:rsid w:val="00615FBB"/>
    <w:rsid w:val="00621475"/>
    <w:rsid w:val="00622677"/>
    <w:rsid w:val="00625B91"/>
    <w:rsid w:val="006266E9"/>
    <w:rsid w:val="00632B45"/>
    <w:rsid w:val="00632CA8"/>
    <w:rsid w:val="00633AE9"/>
    <w:rsid w:val="006428B8"/>
    <w:rsid w:val="00644F8C"/>
    <w:rsid w:val="006478E7"/>
    <w:rsid w:val="00647F8A"/>
    <w:rsid w:val="00650DAD"/>
    <w:rsid w:val="0065205D"/>
    <w:rsid w:val="006540F6"/>
    <w:rsid w:val="00656F0A"/>
    <w:rsid w:val="0065779C"/>
    <w:rsid w:val="006609FB"/>
    <w:rsid w:val="006673BA"/>
    <w:rsid w:val="00667BD7"/>
    <w:rsid w:val="0067083B"/>
    <w:rsid w:val="006737A8"/>
    <w:rsid w:val="00675C59"/>
    <w:rsid w:val="00675F45"/>
    <w:rsid w:val="00677A89"/>
    <w:rsid w:val="00677AE3"/>
    <w:rsid w:val="006814E7"/>
    <w:rsid w:val="00685355"/>
    <w:rsid w:val="00686EED"/>
    <w:rsid w:val="00691279"/>
    <w:rsid w:val="006929BC"/>
    <w:rsid w:val="00692D0E"/>
    <w:rsid w:val="006946B9"/>
    <w:rsid w:val="00696E8B"/>
    <w:rsid w:val="00697867"/>
    <w:rsid w:val="006A3045"/>
    <w:rsid w:val="006A467F"/>
    <w:rsid w:val="006B6395"/>
    <w:rsid w:val="006C4DD6"/>
    <w:rsid w:val="006C7467"/>
    <w:rsid w:val="006C76CD"/>
    <w:rsid w:val="006C7DE2"/>
    <w:rsid w:val="006D02FF"/>
    <w:rsid w:val="006D0D4D"/>
    <w:rsid w:val="006D6345"/>
    <w:rsid w:val="006E2317"/>
    <w:rsid w:val="006E4A0E"/>
    <w:rsid w:val="006E4ABD"/>
    <w:rsid w:val="006F01C4"/>
    <w:rsid w:val="006F2BE4"/>
    <w:rsid w:val="006F7447"/>
    <w:rsid w:val="0070392D"/>
    <w:rsid w:val="00704FD1"/>
    <w:rsid w:val="00706778"/>
    <w:rsid w:val="007104CC"/>
    <w:rsid w:val="00713728"/>
    <w:rsid w:val="00714E0C"/>
    <w:rsid w:val="007159D0"/>
    <w:rsid w:val="00717443"/>
    <w:rsid w:val="007239C0"/>
    <w:rsid w:val="00723B7B"/>
    <w:rsid w:val="00732B57"/>
    <w:rsid w:val="00734DAF"/>
    <w:rsid w:val="00736C3F"/>
    <w:rsid w:val="00740132"/>
    <w:rsid w:val="00740FA7"/>
    <w:rsid w:val="007462DE"/>
    <w:rsid w:val="007537CA"/>
    <w:rsid w:val="0076740E"/>
    <w:rsid w:val="007733F7"/>
    <w:rsid w:val="00773C4D"/>
    <w:rsid w:val="00785FE0"/>
    <w:rsid w:val="00791567"/>
    <w:rsid w:val="007A0944"/>
    <w:rsid w:val="007A2FBB"/>
    <w:rsid w:val="007A66C8"/>
    <w:rsid w:val="007A6A6E"/>
    <w:rsid w:val="007B0A02"/>
    <w:rsid w:val="007B1093"/>
    <w:rsid w:val="007B1960"/>
    <w:rsid w:val="007B2D20"/>
    <w:rsid w:val="007B4920"/>
    <w:rsid w:val="007B6FAE"/>
    <w:rsid w:val="007B7CE9"/>
    <w:rsid w:val="007C1F43"/>
    <w:rsid w:val="007D6B83"/>
    <w:rsid w:val="007E213B"/>
    <w:rsid w:val="007E3A4C"/>
    <w:rsid w:val="007E5E13"/>
    <w:rsid w:val="0080519B"/>
    <w:rsid w:val="00807D3A"/>
    <w:rsid w:val="00810925"/>
    <w:rsid w:val="0081353C"/>
    <w:rsid w:val="008141B2"/>
    <w:rsid w:val="008144DD"/>
    <w:rsid w:val="008177CD"/>
    <w:rsid w:val="00821698"/>
    <w:rsid w:val="008237A6"/>
    <w:rsid w:val="00826367"/>
    <w:rsid w:val="00827B65"/>
    <w:rsid w:val="00831042"/>
    <w:rsid w:val="00833BB9"/>
    <w:rsid w:val="008340B3"/>
    <w:rsid w:val="00836612"/>
    <w:rsid w:val="0085133F"/>
    <w:rsid w:val="008540AA"/>
    <w:rsid w:val="00854BB7"/>
    <w:rsid w:val="00855C8D"/>
    <w:rsid w:val="00857252"/>
    <w:rsid w:val="00860A3A"/>
    <w:rsid w:val="00865B20"/>
    <w:rsid w:val="00873236"/>
    <w:rsid w:val="00877F97"/>
    <w:rsid w:val="00885C2A"/>
    <w:rsid w:val="00891488"/>
    <w:rsid w:val="008966DE"/>
    <w:rsid w:val="00896B3A"/>
    <w:rsid w:val="008A32B8"/>
    <w:rsid w:val="008A4A5F"/>
    <w:rsid w:val="008A5E70"/>
    <w:rsid w:val="008B1E2F"/>
    <w:rsid w:val="008C30DC"/>
    <w:rsid w:val="008C4B3C"/>
    <w:rsid w:val="008D0D1A"/>
    <w:rsid w:val="008D7F67"/>
    <w:rsid w:val="008E01B5"/>
    <w:rsid w:val="008E0FC1"/>
    <w:rsid w:val="008F0EB3"/>
    <w:rsid w:val="008F1532"/>
    <w:rsid w:val="008F1DDF"/>
    <w:rsid w:val="008F1FC7"/>
    <w:rsid w:val="008F3466"/>
    <w:rsid w:val="00902CAD"/>
    <w:rsid w:val="00906E2F"/>
    <w:rsid w:val="00906E61"/>
    <w:rsid w:val="00910B4C"/>
    <w:rsid w:val="00912260"/>
    <w:rsid w:val="00912660"/>
    <w:rsid w:val="009212AE"/>
    <w:rsid w:val="009322EF"/>
    <w:rsid w:val="00933860"/>
    <w:rsid w:val="009351AA"/>
    <w:rsid w:val="00937A50"/>
    <w:rsid w:val="00941B55"/>
    <w:rsid w:val="009457BF"/>
    <w:rsid w:val="00951B53"/>
    <w:rsid w:val="00956107"/>
    <w:rsid w:val="00957441"/>
    <w:rsid w:val="00966022"/>
    <w:rsid w:val="00971D6E"/>
    <w:rsid w:val="009734E8"/>
    <w:rsid w:val="009876CC"/>
    <w:rsid w:val="00990818"/>
    <w:rsid w:val="00992486"/>
    <w:rsid w:val="00992EF7"/>
    <w:rsid w:val="00993538"/>
    <w:rsid w:val="00995261"/>
    <w:rsid w:val="00997745"/>
    <w:rsid w:val="009B007C"/>
    <w:rsid w:val="009B31CC"/>
    <w:rsid w:val="009B5722"/>
    <w:rsid w:val="009C4AF2"/>
    <w:rsid w:val="009C7B54"/>
    <w:rsid w:val="009D412D"/>
    <w:rsid w:val="009D6782"/>
    <w:rsid w:val="009D75E8"/>
    <w:rsid w:val="009D7CBA"/>
    <w:rsid w:val="009E187A"/>
    <w:rsid w:val="009E25A5"/>
    <w:rsid w:val="009E25F6"/>
    <w:rsid w:val="009E59CB"/>
    <w:rsid w:val="009E7299"/>
    <w:rsid w:val="009F144B"/>
    <w:rsid w:val="009F331C"/>
    <w:rsid w:val="009F5C2E"/>
    <w:rsid w:val="009F62A2"/>
    <w:rsid w:val="00A04F2E"/>
    <w:rsid w:val="00A051AE"/>
    <w:rsid w:val="00A108BD"/>
    <w:rsid w:val="00A201B4"/>
    <w:rsid w:val="00A20CF9"/>
    <w:rsid w:val="00A21BC0"/>
    <w:rsid w:val="00A2479C"/>
    <w:rsid w:val="00A25865"/>
    <w:rsid w:val="00A25AFF"/>
    <w:rsid w:val="00A26B58"/>
    <w:rsid w:val="00A2720E"/>
    <w:rsid w:val="00A33126"/>
    <w:rsid w:val="00A34089"/>
    <w:rsid w:val="00A37899"/>
    <w:rsid w:val="00A4242C"/>
    <w:rsid w:val="00A52693"/>
    <w:rsid w:val="00A57021"/>
    <w:rsid w:val="00A62163"/>
    <w:rsid w:val="00A65B04"/>
    <w:rsid w:val="00A71C1A"/>
    <w:rsid w:val="00A8223D"/>
    <w:rsid w:val="00A8275A"/>
    <w:rsid w:val="00A8499F"/>
    <w:rsid w:val="00A86DD9"/>
    <w:rsid w:val="00A87E27"/>
    <w:rsid w:val="00A90ABD"/>
    <w:rsid w:val="00A97FC9"/>
    <w:rsid w:val="00AB0777"/>
    <w:rsid w:val="00AC4FA1"/>
    <w:rsid w:val="00AC5385"/>
    <w:rsid w:val="00AC75B0"/>
    <w:rsid w:val="00AD0A65"/>
    <w:rsid w:val="00AD2854"/>
    <w:rsid w:val="00AD3DFE"/>
    <w:rsid w:val="00AE2363"/>
    <w:rsid w:val="00AE6FE0"/>
    <w:rsid w:val="00AE7791"/>
    <w:rsid w:val="00AF1240"/>
    <w:rsid w:val="00AF14C0"/>
    <w:rsid w:val="00AF6211"/>
    <w:rsid w:val="00B038E3"/>
    <w:rsid w:val="00B03B05"/>
    <w:rsid w:val="00B14E86"/>
    <w:rsid w:val="00B174C4"/>
    <w:rsid w:val="00B17B75"/>
    <w:rsid w:val="00B21CFB"/>
    <w:rsid w:val="00B22369"/>
    <w:rsid w:val="00B22B6D"/>
    <w:rsid w:val="00B261C4"/>
    <w:rsid w:val="00B31341"/>
    <w:rsid w:val="00B31FAB"/>
    <w:rsid w:val="00B367CF"/>
    <w:rsid w:val="00B3698B"/>
    <w:rsid w:val="00B37921"/>
    <w:rsid w:val="00B42491"/>
    <w:rsid w:val="00B45795"/>
    <w:rsid w:val="00B465C7"/>
    <w:rsid w:val="00B51088"/>
    <w:rsid w:val="00B51220"/>
    <w:rsid w:val="00B56EB7"/>
    <w:rsid w:val="00B60C5A"/>
    <w:rsid w:val="00B63DFA"/>
    <w:rsid w:val="00B70F9C"/>
    <w:rsid w:val="00B72448"/>
    <w:rsid w:val="00B7489B"/>
    <w:rsid w:val="00B74C92"/>
    <w:rsid w:val="00B763F9"/>
    <w:rsid w:val="00B804D0"/>
    <w:rsid w:val="00B80BF6"/>
    <w:rsid w:val="00B815E9"/>
    <w:rsid w:val="00B82A03"/>
    <w:rsid w:val="00B923AA"/>
    <w:rsid w:val="00B96974"/>
    <w:rsid w:val="00B969A3"/>
    <w:rsid w:val="00BA0E34"/>
    <w:rsid w:val="00BA3A32"/>
    <w:rsid w:val="00BA5E7C"/>
    <w:rsid w:val="00BB1698"/>
    <w:rsid w:val="00BB3207"/>
    <w:rsid w:val="00BB43A1"/>
    <w:rsid w:val="00BC0994"/>
    <w:rsid w:val="00BC1521"/>
    <w:rsid w:val="00BC63C9"/>
    <w:rsid w:val="00BC7B13"/>
    <w:rsid w:val="00BD24A8"/>
    <w:rsid w:val="00BD5B13"/>
    <w:rsid w:val="00BD6D35"/>
    <w:rsid w:val="00BD7A16"/>
    <w:rsid w:val="00BE1466"/>
    <w:rsid w:val="00BE34F1"/>
    <w:rsid w:val="00BE3A6A"/>
    <w:rsid w:val="00BE6D0E"/>
    <w:rsid w:val="00BE6E16"/>
    <w:rsid w:val="00BF467D"/>
    <w:rsid w:val="00BF5661"/>
    <w:rsid w:val="00C00AC7"/>
    <w:rsid w:val="00C02244"/>
    <w:rsid w:val="00C02F76"/>
    <w:rsid w:val="00C045B3"/>
    <w:rsid w:val="00C069AA"/>
    <w:rsid w:val="00C07843"/>
    <w:rsid w:val="00C167C6"/>
    <w:rsid w:val="00C23C90"/>
    <w:rsid w:val="00C26E47"/>
    <w:rsid w:val="00C277F7"/>
    <w:rsid w:val="00C338D8"/>
    <w:rsid w:val="00C37200"/>
    <w:rsid w:val="00C40CC4"/>
    <w:rsid w:val="00C40F13"/>
    <w:rsid w:val="00C42554"/>
    <w:rsid w:val="00C54349"/>
    <w:rsid w:val="00C64764"/>
    <w:rsid w:val="00C651AB"/>
    <w:rsid w:val="00C66FED"/>
    <w:rsid w:val="00C73FCC"/>
    <w:rsid w:val="00C74B85"/>
    <w:rsid w:val="00C74E3C"/>
    <w:rsid w:val="00C75AD7"/>
    <w:rsid w:val="00C84E1A"/>
    <w:rsid w:val="00C95D0E"/>
    <w:rsid w:val="00CA1147"/>
    <w:rsid w:val="00CA18A3"/>
    <w:rsid w:val="00CC11A9"/>
    <w:rsid w:val="00CC184B"/>
    <w:rsid w:val="00CC7D82"/>
    <w:rsid w:val="00CD5AA7"/>
    <w:rsid w:val="00CD7760"/>
    <w:rsid w:val="00CE1B13"/>
    <w:rsid w:val="00CE4475"/>
    <w:rsid w:val="00CE5CA8"/>
    <w:rsid w:val="00CE6ABF"/>
    <w:rsid w:val="00CF4230"/>
    <w:rsid w:val="00D00426"/>
    <w:rsid w:val="00D01FE2"/>
    <w:rsid w:val="00D06CD5"/>
    <w:rsid w:val="00D10671"/>
    <w:rsid w:val="00D16FFA"/>
    <w:rsid w:val="00D175CE"/>
    <w:rsid w:val="00D17D09"/>
    <w:rsid w:val="00D220AB"/>
    <w:rsid w:val="00D254E7"/>
    <w:rsid w:val="00D2670B"/>
    <w:rsid w:val="00D33DB3"/>
    <w:rsid w:val="00D35B7B"/>
    <w:rsid w:val="00D379FB"/>
    <w:rsid w:val="00D37A3F"/>
    <w:rsid w:val="00D42937"/>
    <w:rsid w:val="00D441CC"/>
    <w:rsid w:val="00D452EC"/>
    <w:rsid w:val="00D468FF"/>
    <w:rsid w:val="00D47201"/>
    <w:rsid w:val="00D4799C"/>
    <w:rsid w:val="00D51ABA"/>
    <w:rsid w:val="00D51C77"/>
    <w:rsid w:val="00D52956"/>
    <w:rsid w:val="00D540DE"/>
    <w:rsid w:val="00D613E4"/>
    <w:rsid w:val="00D66346"/>
    <w:rsid w:val="00D67757"/>
    <w:rsid w:val="00D73332"/>
    <w:rsid w:val="00D80F4B"/>
    <w:rsid w:val="00D83062"/>
    <w:rsid w:val="00D84E12"/>
    <w:rsid w:val="00D85150"/>
    <w:rsid w:val="00D867D5"/>
    <w:rsid w:val="00D90712"/>
    <w:rsid w:val="00D90828"/>
    <w:rsid w:val="00D97062"/>
    <w:rsid w:val="00DA10BB"/>
    <w:rsid w:val="00DA19B7"/>
    <w:rsid w:val="00DA5F23"/>
    <w:rsid w:val="00DA7C4E"/>
    <w:rsid w:val="00DB1616"/>
    <w:rsid w:val="00DB66BC"/>
    <w:rsid w:val="00DC0674"/>
    <w:rsid w:val="00DC1BEC"/>
    <w:rsid w:val="00DC5635"/>
    <w:rsid w:val="00DC616A"/>
    <w:rsid w:val="00DD2265"/>
    <w:rsid w:val="00DD4BFA"/>
    <w:rsid w:val="00DD6F24"/>
    <w:rsid w:val="00DD7656"/>
    <w:rsid w:val="00DE16FA"/>
    <w:rsid w:val="00DE4414"/>
    <w:rsid w:val="00DE473C"/>
    <w:rsid w:val="00DE762F"/>
    <w:rsid w:val="00DF2D18"/>
    <w:rsid w:val="00E008AE"/>
    <w:rsid w:val="00E01349"/>
    <w:rsid w:val="00E03982"/>
    <w:rsid w:val="00E05EEB"/>
    <w:rsid w:val="00E1270D"/>
    <w:rsid w:val="00E162DC"/>
    <w:rsid w:val="00E2296E"/>
    <w:rsid w:val="00E25BDA"/>
    <w:rsid w:val="00E279B6"/>
    <w:rsid w:val="00E31DAE"/>
    <w:rsid w:val="00E408F7"/>
    <w:rsid w:val="00E41C3D"/>
    <w:rsid w:val="00E43E3A"/>
    <w:rsid w:val="00E45D84"/>
    <w:rsid w:val="00E470B0"/>
    <w:rsid w:val="00E51301"/>
    <w:rsid w:val="00E53478"/>
    <w:rsid w:val="00E56A67"/>
    <w:rsid w:val="00E607F3"/>
    <w:rsid w:val="00E61EC2"/>
    <w:rsid w:val="00E638A9"/>
    <w:rsid w:val="00E65236"/>
    <w:rsid w:val="00E7117F"/>
    <w:rsid w:val="00E72613"/>
    <w:rsid w:val="00E73B3C"/>
    <w:rsid w:val="00E747AC"/>
    <w:rsid w:val="00E751F4"/>
    <w:rsid w:val="00E75861"/>
    <w:rsid w:val="00E769B7"/>
    <w:rsid w:val="00EB5612"/>
    <w:rsid w:val="00EC0489"/>
    <w:rsid w:val="00EC6B55"/>
    <w:rsid w:val="00EC7516"/>
    <w:rsid w:val="00EC78DF"/>
    <w:rsid w:val="00ED086B"/>
    <w:rsid w:val="00ED283B"/>
    <w:rsid w:val="00ED4C5E"/>
    <w:rsid w:val="00EE0967"/>
    <w:rsid w:val="00EE0D7A"/>
    <w:rsid w:val="00EE1928"/>
    <w:rsid w:val="00EE243C"/>
    <w:rsid w:val="00EE3335"/>
    <w:rsid w:val="00EE78FD"/>
    <w:rsid w:val="00EF0D14"/>
    <w:rsid w:val="00EF264C"/>
    <w:rsid w:val="00EF6F92"/>
    <w:rsid w:val="00F000CF"/>
    <w:rsid w:val="00F03583"/>
    <w:rsid w:val="00F10EAC"/>
    <w:rsid w:val="00F16D1C"/>
    <w:rsid w:val="00F20247"/>
    <w:rsid w:val="00F2073A"/>
    <w:rsid w:val="00F21541"/>
    <w:rsid w:val="00F22DFD"/>
    <w:rsid w:val="00F24179"/>
    <w:rsid w:val="00F25E52"/>
    <w:rsid w:val="00F26E8D"/>
    <w:rsid w:val="00F31E6B"/>
    <w:rsid w:val="00F354B0"/>
    <w:rsid w:val="00F403F2"/>
    <w:rsid w:val="00F4377F"/>
    <w:rsid w:val="00F500A2"/>
    <w:rsid w:val="00F542A9"/>
    <w:rsid w:val="00F55728"/>
    <w:rsid w:val="00F572B4"/>
    <w:rsid w:val="00F644AC"/>
    <w:rsid w:val="00F660E8"/>
    <w:rsid w:val="00F70808"/>
    <w:rsid w:val="00F92353"/>
    <w:rsid w:val="00F939E5"/>
    <w:rsid w:val="00F94165"/>
    <w:rsid w:val="00F95503"/>
    <w:rsid w:val="00FA0EA1"/>
    <w:rsid w:val="00FA235D"/>
    <w:rsid w:val="00FA320C"/>
    <w:rsid w:val="00FA66D0"/>
    <w:rsid w:val="00FB2DEE"/>
    <w:rsid w:val="00FB39A5"/>
    <w:rsid w:val="00FB7E81"/>
    <w:rsid w:val="00FC35CF"/>
    <w:rsid w:val="00FC5B92"/>
    <w:rsid w:val="00FC7180"/>
    <w:rsid w:val="00FC7687"/>
    <w:rsid w:val="00FC7F9E"/>
    <w:rsid w:val="00FC7FDB"/>
    <w:rsid w:val="00FD474D"/>
    <w:rsid w:val="00FD4C65"/>
    <w:rsid w:val="00FD4E33"/>
    <w:rsid w:val="00FD5EF6"/>
    <w:rsid w:val="00FD6B80"/>
    <w:rsid w:val="00FE0FD8"/>
    <w:rsid w:val="00FE105C"/>
    <w:rsid w:val="00FE2409"/>
    <w:rsid w:val="00FE3161"/>
    <w:rsid w:val="00FE65EC"/>
    <w:rsid w:val="00FE7E2C"/>
    <w:rsid w:val="00FF1D60"/>
    <w:rsid w:val="00FF5BD0"/>
    <w:rsid w:val="00FF71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541"/>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E5347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56A6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714E0C"/>
    <w:pPr>
      <w:widowControl w:val="0"/>
      <w:spacing w:after="240" w:line="240" w:lineRule="auto"/>
      <w:contextualSpacing/>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714E0C"/>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customStyle="1" w:styleId="Heading4Char">
    <w:name w:val="Heading 4 Char"/>
    <w:basedOn w:val="DefaultParagraphFont"/>
    <w:link w:val="Heading4"/>
    <w:uiPriority w:val="9"/>
    <w:rsid w:val="00E53478"/>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E534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3478"/>
    <w:rPr>
      <w:rFonts w:ascii="Calibri" w:eastAsia="Calibri" w:hAnsi="Calibri" w:cs="Times New Roman"/>
      <w:i/>
      <w:iCs/>
      <w:color w:val="404040" w:themeColor="text1" w:themeTint="BF"/>
    </w:rPr>
  </w:style>
  <w:style w:type="paragraph" w:styleId="FootnoteText">
    <w:name w:val="footnote text"/>
    <w:basedOn w:val="Normal"/>
    <w:link w:val="FootnoteTextChar"/>
    <w:uiPriority w:val="99"/>
    <w:semiHidden/>
    <w:unhideWhenUsed/>
    <w:rsid w:val="00E534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47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53478"/>
    <w:rPr>
      <w:vertAlign w:val="superscript"/>
    </w:rPr>
  </w:style>
  <w:style w:type="paragraph" w:customStyle="1" w:styleId="TableText1">
    <w:name w:val="TableText"/>
    <w:basedOn w:val="Normal"/>
    <w:qFormat/>
    <w:rsid w:val="00E53478"/>
    <w:pPr>
      <w:keepNext/>
      <w:keepLines/>
      <w:autoSpaceDE w:val="0"/>
      <w:autoSpaceDN w:val="0"/>
      <w:adjustRightInd w:val="0"/>
      <w:spacing w:before="40" w:after="120" w:line="240" w:lineRule="auto"/>
    </w:pPr>
    <w:rPr>
      <w:rFonts w:ascii="Arial" w:eastAsia="Times New Roman" w:hAnsi="Arial"/>
      <w:sz w:val="18"/>
      <w:szCs w:val="20"/>
      <w:lang w:val="en-US"/>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locked/>
    <w:rsid w:val="00E53478"/>
    <w:rPr>
      <w:rFonts w:ascii="Arial Narrow" w:eastAsia="Times New Roman" w:hAnsi="Arial Narrow" w:cs="Tahoma"/>
      <w:b/>
      <w:sz w:val="20"/>
      <w:szCs w:val="20"/>
      <w:lang w:val="en-GB" w:eastAsia="ja-JP"/>
    </w:rPr>
  </w:style>
  <w:style w:type="paragraph" w:customStyle="1" w:styleId="TableNote">
    <w:name w:val="Table Note"/>
    <w:basedOn w:val="Normal"/>
    <w:qFormat/>
    <w:rsid w:val="00E53478"/>
    <w:pPr>
      <w:keepNext/>
      <w:keepLines/>
      <w:spacing w:after="0" w:line="240" w:lineRule="auto"/>
    </w:pPr>
    <w:rPr>
      <w:rFonts w:ascii="Arial Narrow" w:hAnsi="Arial Narrow" w:cs="Arial"/>
      <w:sz w:val="16"/>
      <w:szCs w:val="16"/>
    </w:rPr>
  </w:style>
  <w:style w:type="paragraph" w:customStyle="1" w:styleId="EndNoteBibliographyTitle">
    <w:name w:val="EndNote Bibliography Title"/>
    <w:basedOn w:val="Normal"/>
    <w:link w:val="EndNoteBibliographyTitleChar"/>
    <w:rsid w:val="001E1894"/>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1E1894"/>
    <w:rPr>
      <w:rFonts w:ascii="Calibri" w:eastAsia="Calibri" w:hAnsi="Calibri" w:cs="Calibri"/>
      <w:noProof/>
      <w:lang w:val="en-US"/>
    </w:rPr>
  </w:style>
  <w:style w:type="paragraph" w:customStyle="1" w:styleId="EndNoteBibliography">
    <w:name w:val="EndNote Bibliography"/>
    <w:basedOn w:val="Normal"/>
    <w:link w:val="EndNoteBibliographyChar"/>
    <w:rsid w:val="001E1894"/>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1E1894"/>
    <w:rPr>
      <w:rFonts w:ascii="Calibri" w:eastAsia="Calibri" w:hAnsi="Calibri" w:cs="Calibri"/>
      <w:noProof/>
      <w:lang w:val="en-US"/>
    </w:rPr>
  </w:style>
  <w:style w:type="character" w:customStyle="1" w:styleId="Heading5Char">
    <w:name w:val="Heading 5 Char"/>
    <w:basedOn w:val="DefaultParagraphFont"/>
    <w:link w:val="Heading5"/>
    <w:uiPriority w:val="9"/>
    <w:rsid w:val="00E56A67"/>
    <w:rPr>
      <w:rFonts w:asciiTheme="majorHAnsi" w:eastAsiaTheme="majorEastAsia" w:hAnsiTheme="majorHAnsi" w:cstheme="majorBidi"/>
      <w:color w:val="2E74B5" w:themeColor="accent1" w:themeShade="BF"/>
    </w:rPr>
  </w:style>
  <w:style w:type="character" w:customStyle="1" w:styleId="UnresolvedMention1">
    <w:name w:val="Unresolved Mention1"/>
    <w:basedOn w:val="DefaultParagraphFont"/>
    <w:uiPriority w:val="99"/>
    <w:semiHidden/>
    <w:unhideWhenUsed/>
    <w:rsid w:val="0052450C"/>
    <w:rPr>
      <w:color w:val="605E5C"/>
      <w:shd w:val="clear" w:color="auto" w:fill="E1DFDD"/>
    </w:rPr>
  </w:style>
  <w:style w:type="character" w:customStyle="1" w:styleId="UnresolvedMention2">
    <w:name w:val="Unresolved Mention2"/>
    <w:basedOn w:val="DefaultParagraphFont"/>
    <w:uiPriority w:val="99"/>
    <w:semiHidden/>
    <w:unhideWhenUsed/>
    <w:rsid w:val="00A34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98651106">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6667235">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95891930">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bs.tga.gov.au/servlet/xmlmillr6?dbid=ebs/PublicHTML/pdfStore.nsf&amp;docid=FBCE7046797C0BCDCA258081003CA5EE&amp;agid=(PrintDetailsPublic)&amp;actionid=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ice.org.uk/guidance/ipg626/evid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ptodate.com/contents/modes-of-cardiac-pacing-nomenclature-and-selection?topicRef=941&amp;source=see_lin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E4B18-272E-46D5-AFE0-1663CB6B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8158</Words>
  <Characters>46501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2021-10-25T05:55:00Z</dcterms:created>
  <dcterms:modified xsi:type="dcterms:W3CDTF">2021-10-25T05:56:00Z</dcterms:modified>
</cp:coreProperties>
</file>