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8D0747" w14:textId="7F747D16" w:rsidR="004C605E" w:rsidRPr="00707064" w:rsidRDefault="004C605E" w:rsidP="004C605E">
      <w:pPr>
        <w:spacing w:after="240"/>
        <w:jc w:val="center"/>
        <w:rPr>
          <w:b/>
          <w:i/>
          <w:szCs w:val="24"/>
          <w:highlight w:val="yellow"/>
        </w:rPr>
      </w:pPr>
      <w:r>
        <w:rPr>
          <w:rFonts w:ascii="Arial" w:hAnsi="Arial" w:cs="Arial"/>
          <w:b/>
          <w:noProof/>
          <w:color w:val="000080"/>
          <w:sz w:val="28"/>
          <w:szCs w:val="28"/>
        </w:rPr>
        <w:drawing>
          <wp:inline distT="0" distB="0" distL="0" distR="0" wp14:anchorId="0341FFE1" wp14:editId="1601FEC8">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3D5CD8C1" w14:textId="77777777" w:rsidR="004C605E" w:rsidRPr="00F715D1" w:rsidRDefault="004C605E" w:rsidP="004C605E">
      <w:pPr>
        <w:pStyle w:val="Title"/>
        <w:tabs>
          <w:tab w:val="left" w:pos="1926"/>
          <w:tab w:val="center" w:pos="4513"/>
        </w:tabs>
        <w:jc w:val="left"/>
      </w:pPr>
      <w:r>
        <w:tab/>
      </w:r>
      <w:r>
        <w:tab/>
      </w:r>
      <w:r w:rsidRPr="00F715D1">
        <w:t>Public Summary Document</w:t>
      </w:r>
    </w:p>
    <w:p w14:paraId="2DF4332A" w14:textId="0CA7AA39" w:rsidR="004C605E" w:rsidRPr="00F715D1" w:rsidRDefault="004C605E" w:rsidP="004C605E">
      <w:pPr>
        <w:pStyle w:val="Subtitle"/>
      </w:pPr>
      <w:r w:rsidRPr="00F715D1">
        <w:t xml:space="preserve">Application No. </w:t>
      </w:r>
      <w:r>
        <w:t>1420.1</w:t>
      </w:r>
      <w:r w:rsidRPr="00F715D1">
        <w:t xml:space="preserve"> – </w:t>
      </w:r>
      <w:r>
        <w:rPr>
          <w:rFonts w:cs="Helvetica"/>
        </w:rPr>
        <w:t>Extracorporeal photopheresis for treatment of cutaneous T-cell lymphoma</w:t>
      </w:r>
    </w:p>
    <w:p w14:paraId="0C5BA967" w14:textId="77777777" w:rsidR="004C605E" w:rsidRPr="00F715D1" w:rsidRDefault="004C605E" w:rsidP="004C605E">
      <w:pPr>
        <w:tabs>
          <w:tab w:val="left" w:pos="3686"/>
        </w:tabs>
        <w:spacing w:after="240"/>
        <w:rPr>
          <w:rFonts w:ascii="Arial" w:hAnsi="Arial" w:cs="Arial"/>
          <w:b/>
          <w:szCs w:val="24"/>
        </w:rPr>
      </w:pPr>
      <w:r w:rsidRPr="00F715D1">
        <w:rPr>
          <w:rFonts w:ascii="Arial" w:hAnsi="Arial" w:cs="Arial"/>
          <w:b/>
          <w:szCs w:val="24"/>
        </w:rPr>
        <w:t>Applicant</w:t>
      </w:r>
      <w:r>
        <w:rPr>
          <w:rFonts w:ascii="Arial" w:hAnsi="Arial" w:cs="Arial"/>
          <w:b/>
          <w:szCs w:val="24"/>
        </w:rPr>
        <w:t>:</w:t>
      </w:r>
      <w:r>
        <w:rPr>
          <w:rFonts w:ascii="Arial" w:hAnsi="Arial" w:cs="Arial"/>
          <w:b/>
          <w:szCs w:val="24"/>
        </w:rPr>
        <w:tab/>
        <w:t>Mallinckrodt Pharmaceuticals</w:t>
      </w:r>
    </w:p>
    <w:p w14:paraId="337E9169" w14:textId="6CD6A1B3" w:rsidR="004C605E" w:rsidRPr="00F715D1" w:rsidRDefault="004C605E" w:rsidP="004C605E">
      <w:pPr>
        <w:tabs>
          <w:tab w:val="left" w:pos="3686"/>
        </w:tabs>
        <w:spacing w:after="240"/>
        <w:rPr>
          <w:rFonts w:ascii="Arial" w:hAnsi="Arial" w:cs="Arial"/>
          <w:b/>
          <w:szCs w:val="24"/>
        </w:rPr>
      </w:pPr>
      <w:r w:rsidRPr="00F715D1">
        <w:rPr>
          <w:rFonts w:ascii="Arial" w:hAnsi="Arial" w:cs="Arial"/>
          <w:b/>
          <w:szCs w:val="24"/>
        </w:rPr>
        <w:t>Date of MSAC consideration:</w:t>
      </w:r>
      <w:r w:rsidRPr="00F715D1">
        <w:rPr>
          <w:rFonts w:ascii="Arial" w:hAnsi="Arial" w:cs="Arial"/>
          <w:b/>
          <w:szCs w:val="24"/>
        </w:rPr>
        <w:tab/>
        <w:t xml:space="preserve">MSAC </w:t>
      </w:r>
      <w:r>
        <w:rPr>
          <w:rFonts w:ascii="Arial" w:hAnsi="Arial" w:cs="Arial"/>
          <w:b/>
          <w:szCs w:val="24"/>
        </w:rPr>
        <w:t>78</w:t>
      </w:r>
      <w:r w:rsidRPr="00F715D1">
        <w:rPr>
          <w:rFonts w:ascii="Arial" w:hAnsi="Arial" w:cs="Arial"/>
          <w:b/>
          <w:szCs w:val="24"/>
          <w:vertAlign w:val="superscript"/>
        </w:rPr>
        <w:t>th</w:t>
      </w:r>
      <w:r w:rsidRPr="00F715D1">
        <w:rPr>
          <w:rFonts w:ascii="Arial" w:hAnsi="Arial" w:cs="Arial"/>
          <w:b/>
          <w:szCs w:val="24"/>
        </w:rPr>
        <w:t xml:space="preserve"> Meeting, </w:t>
      </w:r>
      <w:r>
        <w:rPr>
          <w:rFonts w:ascii="Arial" w:hAnsi="Arial" w:cs="Arial"/>
          <w:b/>
          <w:szCs w:val="24"/>
        </w:rPr>
        <w:t>3 April 2020</w:t>
      </w:r>
    </w:p>
    <w:p w14:paraId="199D3D71" w14:textId="77777777" w:rsidR="004C605E" w:rsidRPr="00B03EAB" w:rsidRDefault="004C605E" w:rsidP="004C605E">
      <w:pPr>
        <w:spacing w:after="360"/>
        <w:rPr>
          <w:color w:val="0000FF"/>
          <w:szCs w:val="24"/>
          <w:u w:val="single"/>
        </w:rPr>
      </w:pPr>
      <w:r w:rsidRPr="00F715D1">
        <w:rPr>
          <w:szCs w:val="24"/>
        </w:rPr>
        <w:t>Context for decision: MSAC makes its advice in accordance wit</w:t>
      </w:r>
      <w:r>
        <w:rPr>
          <w:szCs w:val="24"/>
        </w:rPr>
        <w:t>h its Terms of Reference,</w:t>
      </w:r>
      <w:r w:rsidRPr="00F715D1">
        <w:rPr>
          <w:szCs w:val="24"/>
        </w:rPr>
        <w:t xml:space="preserve"> </w:t>
      </w:r>
      <w:hyperlink r:id="rId9" w:tooltip="Link to Medical Services Advisory Committee website" w:history="1">
        <w:r w:rsidRPr="00F715D1">
          <w:rPr>
            <w:rStyle w:val="Hyperlink"/>
            <w:szCs w:val="24"/>
          </w:rPr>
          <w:t>visit the MSAC website</w:t>
        </w:r>
      </w:hyperlink>
    </w:p>
    <w:p w14:paraId="404AD8CA" w14:textId="4CBF9392" w:rsidR="004C605E" w:rsidRPr="00F715D1" w:rsidRDefault="00571064" w:rsidP="004C605E">
      <w:pPr>
        <w:pStyle w:val="Heading1"/>
      </w:pPr>
      <w:r>
        <w:t>Purpose of application</w:t>
      </w:r>
    </w:p>
    <w:p w14:paraId="7B87C76C" w14:textId="11206E48" w:rsidR="004C605E" w:rsidRPr="0041184F" w:rsidRDefault="00CB5794" w:rsidP="00CB5794">
      <w:pPr>
        <w:rPr>
          <w:szCs w:val="24"/>
        </w:rPr>
      </w:pPr>
      <w:r>
        <w:t>A</w:t>
      </w:r>
      <w:r w:rsidR="00C15218">
        <w:t xml:space="preserve"> </w:t>
      </w:r>
      <w:r>
        <w:t xml:space="preserve">resubmission requesting Medicare Benefits Schedule (MBS) listing </w:t>
      </w:r>
      <w:r w:rsidRPr="00873447">
        <w:t>for integrated, closed system</w:t>
      </w:r>
      <w:r w:rsidR="009A27A0" w:rsidRPr="00873447">
        <w:t xml:space="preserve"> extracorporeal p</w:t>
      </w:r>
      <w:r w:rsidRPr="00873447">
        <w:t>hotopheresis (ECP)</w:t>
      </w:r>
      <w:r w:rsidRPr="007D4795">
        <w:t xml:space="preserve"> </w:t>
      </w:r>
      <w:r w:rsidRPr="00873447">
        <w:t>for patients with erythrodermic (stage T</w:t>
      </w:r>
      <w:r w:rsidRPr="00ED7A89">
        <w:rPr>
          <w:vertAlign w:val="subscript"/>
        </w:rPr>
        <w:t>4</w:t>
      </w:r>
      <w:r w:rsidRPr="00873447">
        <w:t xml:space="preserve"> </w:t>
      </w:r>
      <w:r w:rsidRPr="00756596">
        <w:rPr>
          <w:rFonts w:eastAsiaTheme="minorHAnsi"/>
        </w:rPr>
        <w:t>M</w:t>
      </w:r>
      <w:r w:rsidRPr="008B2A39">
        <w:rPr>
          <w:rFonts w:eastAsiaTheme="minorHAnsi"/>
          <w:vertAlign w:val="subscript"/>
        </w:rPr>
        <w:t>0</w:t>
      </w:r>
      <w:r w:rsidRPr="00873447">
        <w:t>) cutaneous T-cell lymphoma (CTCL) who are refractory to one or more systemic therapies</w:t>
      </w:r>
      <w:r>
        <w:t xml:space="preserve"> was </w:t>
      </w:r>
      <w:r w:rsidRPr="00873447">
        <w:t>received from</w:t>
      </w:r>
      <w:r>
        <w:t xml:space="preserve"> </w:t>
      </w:r>
      <w:r w:rsidRPr="00873447">
        <w:t>Mallinckrodt by the Department of Health</w:t>
      </w:r>
      <w:r>
        <w:t>.</w:t>
      </w:r>
    </w:p>
    <w:p w14:paraId="22FA73C5" w14:textId="77777777" w:rsidR="004C605E" w:rsidRPr="00F715D1" w:rsidRDefault="004C605E" w:rsidP="004C605E">
      <w:pPr>
        <w:pStyle w:val="Heading1"/>
      </w:pPr>
      <w:r w:rsidRPr="00F715D1">
        <w:t>MSAC’s advice to the Minister</w:t>
      </w:r>
    </w:p>
    <w:p w14:paraId="178DAE69" w14:textId="73C6A587" w:rsidR="004C605E" w:rsidRPr="0047146C" w:rsidRDefault="00242D8C" w:rsidP="004C605E">
      <w:pPr>
        <w:pStyle w:val="Default"/>
        <w:spacing w:after="240"/>
        <w:rPr>
          <w:color w:val="auto"/>
        </w:rPr>
      </w:pPr>
      <w:r w:rsidRPr="0047146C">
        <w:rPr>
          <w:color w:val="auto"/>
        </w:rPr>
        <w:t>After considering the strength of the available evidence in relation to the safety, clinical effectiveness and cost-effectiveness MSAC supported public funding of extracorporeal photopheresis in the treatment of cutaneous T-cell lymphoma. However, MSAC noted that the proposed fee for service included items which are not typically reimbursed under the MBS, and that the Department should negotiate these with the applicant.</w:t>
      </w:r>
    </w:p>
    <w:p w14:paraId="26C91039" w14:textId="632FA014" w:rsidR="009F4759" w:rsidRPr="0047146C" w:rsidRDefault="009F4759" w:rsidP="004C605E">
      <w:pPr>
        <w:pStyle w:val="Default"/>
        <w:spacing w:after="240"/>
        <w:rPr>
          <w:color w:val="auto"/>
        </w:rPr>
      </w:pPr>
      <w:r w:rsidRPr="0047146C">
        <w:rPr>
          <w:color w:val="auto"/>
        </w:rPr>
        <w:t>The MSAC-supported item descriptor is:</w:t>
      </w:r>
    </w:p>
    <w:p w14:paraId="51541C53" w14:textId="040D1124" w:rsidR="009F4759" w:rsidRPr="0047146C" w:rsidRDefault="009F4759" w:rsidP="003F095F">
      <w:pPr>
        <w:pStyle w:val="Default"/>
        <w:rPr>
          <w:i/>
          <w:color w:val="auto"/>
        </w:rPr>
      </w:pPr>
      <w:r w:rsidRPr="0047146C">
        <w:rPr>
          <w:i/>
          <w:color w:val="auto"/>
        </w:rPr>
        <w:t>E</w:t>
      </w:r>
      <w:r w:rsidR="00C112AF" w:rsidRPr="0047146C">
        <w:rPr>
          <w:i/>
          <w:color w:val="auto"/>
        </w:rPr>
        <w:t>xtracorporeal photopheresis (ECP) delivered with an integrated</w:t>
      </w:r>
      <w:r w:rsidR="00794859" w:rsidRPr="0047146C">
        <w:rPr>
          <w:i/>
          <w:color w:val="auto"/>
        </w:rPr>
        <w:t>, closed</w:t>
      </w:r>
      <w:r w:rsidR="00C112AF" w:rsidRPr="0047146C">
        <w:rPr>
          <w:i/>
          <w:color w:val="auto"/>
        </w:rPr>
        <w:t xml:space="preserve"> ECP system for the </w:t>
      </w:r>
      <w:r w:rsidRPr="0047146C">
        <w:rPr>
          <w:i/>
          <w:color w:val="auto"/>
        </w:rPr>
        <w:t>treatment of erythrodermic stage III-IVa T</w:t>
      </w:r>
      <w:r w:rsidRPr="0047146C">
        <w:rPr>
          <w:i/>
          <w:color w:val="auto"/>
          <w:vertAlign w:val="subscript"/>
        </w:rPr>
        <w:t>4</w:t>
      </w:r>
      <w:r w:rsidRPr="0047146C">
        <w:rPr>
          <w:i/>
          <w:color w:val="auto"/>
        </w:rPr>
        <w:t xml:space="preserve"> M</w:t>
      </w:r>
      <w:r w:rsidRPr="0047146C">
        <w:rPr>
          <w:i/>
          <w:color w:val="auto"/>
          <w:vertAlign w:val="subscript"/>
        </w:rPr>
        <w:t>0</w:t>
      </w:r>
      <w:r w:rsidRPr="0047146C">
        <w:rPr>
          <w:i/>
          <w:color w:val="auto"/>
        </w:rPr>
        <w:t xml:space="preserve"> cutaneous T-cell lymphoma (CTCL), if all the following criteria are met:</w:t>
      </w:r>
    </w:p>
    <w:p w14:paraId="0B9546F5" w14:textId="6608C24F" w:rsidR="009F4759" w:rsidRPr="0047146C" w:rsidRDefault="001E2295" w:rsidP="006C09B4">
      <w:pPr>
        <w:pStyle w:val="Default"/>
        <w:numPr>
          <w:ilvl w:val="0"/>
          <w:numId w:val="11"/>
        </w:numPr>
        <w:ind w:left="426" w:hanging="426"/>
        <w:rPr>
          <w:i/>
          <w:color w:val="auto"/>
        </w:rPr>
      </w:pPr>
      <w:r w:rsidRPr="0047146C">
        <w:rPr>
          <w:i/>
          <w:color w:val="auto"/>
        </w:rPr>
        <w:t xml:space="preserve">the </w:t>
      </w:r>
      <w:r w:rsidR="00684C4E" w:rsidRPr="0047146C">
        <w:rPr>
          <w:i/>
          <w:color w:val="auto"/>
        </w:rPr>
        <w:t>p</w:t>
      </w:r>
      <w:r w:rsidR="009F4759" w:rsidRPr="0047146C">
        <w:rPr>
          <w:i/>
          <w:color w:val="auto"/>
        </w:rPr>
        <w:t xml:space="preserve">atient must be aged 18 years </w:t>
      </w:r>
      <w:r w:rsidR="00684C4E" w:rsidRPr="0047146C">
        <w:rPr>
          <w:i/>
          <w:color w:val="auto"/>
        </w:rPr>
        <w:t>or</w:t>
      </w:r>
      <w:r w:rsidR="009F4759" w:rsidRPr="0047146C">
        <w:rPr>
          <w:i/>
          <w:color w:val="auto"/>
        </w:rPr>
        <w:t xml:space="preserve"> over</w:t>
      </w:r>
      <w:r w:rsidR="00684C4E" w:rsidRPr="0047146C">
        <w:rPr>
          <w:i/>
          <w:color w:val="auto"/>
        </w:rPr>
        <w:t>; and</w:t>
      </w:r>
    </w:p>
    <w:p w14:paraId="78CFE4B1" w14:textId="05C30187" w:rsidR="009F4759" w:rsidRPr="0047146C" w:rsidRDefault="001E2295" w:rsidP="006C09B4">
      <w:pPr>
        <w:pStyle w:val="Default"/>
        <w:numPr>
          <w:ilvl w:val="0"/>
          <w:numId w:val="11"/>
        </w:numPr>
        <w:ind w:left="426" w:hanging="426"/>
        <w:rPr>
          <w:i/>
          <w:color w:val="auto"/>
        </w:rPr>
      </w:pPr>
      <w:r w:rsidRPr="0047146C">
        <w:rPr>
          <w:i/>
          <w:color w:val="auto"/>
        </w:rPr>
        <w:t xml:space="preserve">the </w:t>
      </w:r>
      <w:r w:rsidR="00684C4E" w:rsidRPr="0047146C">
        <w:rPr>
          <w:i/>
          <w:color w:val="auto"/>
        </w:rPr>
        <w:t>p</w:t>
      </w:r>
      <w:r w:rsidR="009F4759" w:rsidRPr="0047146C">
        <w:rPr>
          <w:i/>
          <w:color w:val="auto"/>
        </w:rPr>
        <w:t xml:space="preserve">atient must </w:t>
      </w:r>
      <w:r w:rsidR="00413778" w:rsidRPr="0047146C">
        <w:rPr>
          <w:i/>
          <w:color w:val="auto"/>
        </w:rPr>
        <w:t xml:space="preserve">have received prior systemic treatment for this condition and experienced </w:t>
      </w:r>
      <w:r w:rsidR="008B7A30" w:rsidRPr="0047146C">
        <w:rPr>
          <w:i/>
          <w:color w:val="auto"/>
        </w:rPr>
        <w:t xml:space="preserve">either </w:t>
      </w:r>
      <w:r w:rsidR="00413778" w:rsidRPr="0047146C">
        <w:rPr>
          <w:i/>
          <w:color w:val="auto"/>
        </w:rPr>
        <w:t>disease progression or unacceptable toxicity while on this treatment</w:t>
      </w:r>
      <w:r w:rsidR="00684C4E" w:rsidRPr="0047146C">
        <w:rPr>
          <w:i/>
          <w:color w:val="auto"/>
        </w:rPr>
        <w:t>; and</w:t>
      </w:r>
    </w:p>
    <w:p w14:paraId="5A854346" w14:textId="45F63B7A" w:rsidR="009F4759" w:rsidRPr="0047146C" w:rsidRDefault="00C112AF" w:rsidP="006C09B4">
      <w:pPr>
        <w:pStyle w:val="Default"/>
        <w:numPr>
          <w:ilvl w:val="0"/>
          <w:numId w:val="11"/>
        </w:numPr>
        <w:ind w:left="426" w:hanging="426"/>
        <w:rPr>
          <w:i/>
          <w:color w:val="auto"/>
        </w:rPr>
      </w:pPr>
      <w:r w:rsidRPr="0047146C">
        <w:rPr>
          <w:i/>
          <w:color w:val="auto"/>
        </w:rPr>
        <w:t>t</w:t>
      </w:r>
      <w:r w:rsidR="00413778" w:rsidRPr="0047146C">
        <w:rPr>
          <w:i/>
          <w:color w:val="auto"/>
        </w:rPr>
        <w:t>he t</w:t>
      </w:r>
      <w:r w:rsidR="009F4759" w:rsidRPr="0047146C">
        <w:rPr>
          <w:i/>
          <w:color w:val="auto"/>
        </w:rPr>
        <w:t xml:space="preserve">reatment must be in combination with </w:t>
      </w:r>
      <w:r w:rsidR="00A329B5" w:rsidRPr="0047146C">
        <w:rPr>
          <w:i/>
        </w:rPr>
        <w:t xml:space="preserve">use of </w:t>
      </w:r>
      <w:r w:rsidR="00A329B5" w:rsidRPr="0047146C">
        <w:rPr>
          <w:i/>
          <w:iCs/>
        </w:rPr>
        <w:t>ex-vivo</w:t>
      </w:r>
      <w:r w:rsidR="00A329B5" w:rsidRPr="0047146C">
        <w:rPr>
          <w:i/>
        </w:rPr>
        <w:t xml:space="preserve"> </w:t>
      </w:r>
      <w:r w:rsidR="00742968" w:rsidRPr="0047146C">
        <w:rPr>
          <w:i/>
          <w:color w:val="auto"/>
        </w:rPr>
        <w:t xml:space="preserve">injectable </w:t>
      </w:r>
      <w:r w:rsidR="009F4759" w:rsidRPr="0047146C">
        <w:rPr>
          <w:i/>
          <w:color w:val="auto"/>
        </w:rPr>
        <w:t>methoxsalen</w:t>
      </w:r>
      <w:r w:rsidRPr="0047146C">
        <w:rPr>
          <w:i/>
          <w:color w:val="auto"/>
        </w:rPr>
        <w:t>; and</w:t>
      </w:r>
    </w:p>
    <w:p w14:paraId="4572C0B3" w14:textId="34360586" w:rsidR="009F4759" w:rsidRPr="0047146C" w:rsidRDefault="00C112AF" w:rsidP="006C09B4">
      <w:pPr>
        <w:pStyle w:val="Default"/>
        <w:numPr>
          <w:ilvl w:val="0"/>
          <w:numId w:val="11"/>
        </w:numPr>
        <w:spacing w:after="120"/>
        <w:ind w:left="426" w:hanging="426"/>
        <w:rPr>
          <w:i/>
          <w:color w:val="auto"/>
        </w:rPr>
      </w:pPr>
      <w:r w:rsidRPr="0047146C">
        <w:rPr>
          <w:i/>
          <w:color w:val="auto"/>
        </w:rPr>
        <w:t>t</w:t>
      </w:r>
      <w:r w:rsidR="00413778" w:rsidRPr="0047146C">
        <w:rPr>
          <w:i/>
          <w:color w:val="auto"/>
        </w:rPr>
        <w:t>he t</w:t>
      </w:r>
      <w:r w:rsidR="009F4759" w:rsidRPr="0047146C">
        <w:rPr>
          <w:i/>
          <w:color w:val="auto"/>
        </w:rPr>
        <w:t xml:space="preserve">reatment must be under </w:t>
      </w:r>
      <w:r w:rsidRPr="0047146C">
        <w:rPr>
          <w:i/>
          <w:color w:val="auto"/>
        </w:rPr>
        <w:t xml:space="preserve">the </w:t>
      </w:r>
      <w:r w:rsidR="009F4759" w:rsidRPr="0047146C">
        <w:rPr>
          <w:i/>
          <w:color w:val="auto"/>
        </w:rPr>
        <w:t xml:space="preserve">supervision of a </w:t>
      </w:r>
      <w:r w:rsidRPr="0047146C">
        <w:rPr>
          <w:i/>
          <w:color w:val="auto"/>
        </w:rPr>
        <w:t>specialist</w:t>
      </w:r>
      <w:r w:rsidR="009F4759" w:rsidRPr="0047146C">
        <w:rPr>
          <w:i/>
          <w:color w:val="auto"/>
        </w:rPr>
        <w:t xml:space="preserve"> haematologist.</w:t>
      </w:r>
    </w:p>
    <w:p w14:paraId="519A3DC2" w14:textId="20E4E461" w:rsidR="00181322" w:rsidRPr="0047146C" w:rsidRDefault="00C112AF" w:rsidP="006628CB">
      <w:pPr>
        <w:pStyle w:val="Default"/>
        <w:spacing w:after="120"/>
        <w:rPr>
          <w:i/>
          <w:color w:val="auto"/>
        </w:rPr>
      </w:pPr>
      <w:r w:rsidRPr="0047146C">
        <w:rPr>
          <w:i/>
          <w:color w:val="auto"/>
        </w:rPr>
        <w:t>Benefit is claimable once per cycle of ECP treatment, regardless of the number of consecutive days over which each cycle is performed.</w:t>
      </w:r>
      <w:r w:rsidR="00181322" w:rsidRPr="0047146C">
        <w:rPr>
          <w:i/>
        </w:rPr>
        <w:br w:type="page"/>
      </w:r>
    </w:p>
    <w:tbl>
      <w:tblPr>
        <w:tblStyle w:val="TableGrid"/>
        <w:tblW w:w="0" w:type="auto"/>
        <w:tblLook w:val="04A0" w:firstRow="1" w:lastRow="0" w:firstColumn="1" w:lastColumn="0" w:noHBand="0" w:noVBand="1"/>
        <w:tblCaption w:val="Consumer summary"/>
      </w:tblPr>
      <w:tblGrid>
        <w:gridCol w:w="9016"/>
      </w:tblGrid>
      <w:tr w:rsidR="004C605E" w:rsidRPr="0047146C" w14:paraId="1B1117E3" w14:textId="77777777" w:rsidTr="00181322">
        <w:trPr>
          <w:tblHeader/>
        </w:trPr>
        <w:tc>
          <w:tcPr>
            <w:tcW w:w="9016" w:type="dxa"/>
          </w:tcPr>
          <w:p w14:paraId="3168BF8C" w14:textId="737F1919" w:rsidR="004C605E" w:rsidRPr="0047146C" w:rsidRDefault="004C605E" w:rsidP="00BC52A8">
            <w:pPr>
              <w:pStyle w:val="Default"/>
              <w:spacing w:before="120" w:after="240"/>
              <w:rPr>
                <w:b/>
                <w:color w:val="auto"/>
                <w:sz w:val="24"/>
                <w:szCs w:val="24"/>
              </w:rPr>
            </w:pPr>
            <w:r w:rsidRPr="0047146C">
              <w:rPr>
                <w:b/>
                <w:color w:val="auto"/>
                <w:sz w:val="24"/>
                <w:szCs w:val="24"/>
              </w:rPr>
              <w:lastRenderedPageBreak/>
              <w:t>Consumer summary</w:t>
            </w:r>
          </w:p>
          <w:p w14:paraId="0B3C580F" w14:textId="77777777" w:rsidR="00C15218" w:rsidRPr="0047146C" w:rsidRDefault="00C15218" w:rsidP="00C15218">
            <w:pPr>
              <w:pStyle w:val="Default"/>
              <w:spacing w:before="120" w:after="240"/>
              <w:rPr>
                <w:color w:val="auto"/>
                <w:sz w:val="24"/>
                <w:szCs w:val="24"/>
              </w:rPr>
            </w:pPr>
            <w:r w:rsidRPr="0047146C">
              <w:rPr>
                <w:color w:val="auto"/>
                <w:sz w:val="24"/>
                <w:szCs w:val="24"/>
              </w:rPr>
              <w:t>Mallinckrodt Pharmaceuticals applied for public funding through the Medicare Benefits Schedule (MBS) for the use of extracorporeal photopheresis (ECP) to treat cutaneous T-cell lymphoma (CTCL).</w:t>
            </w:r>
          </w:p>
          <w:p w14:paraId="250AF63E" w14:textId="201F6089" w:rsidR="00C15218" w:rsidRPr="0047146C" w:rsidRDefault="00C15218" w:rsidP="00C15218">
            <w:pPr>
              <w:pStyle w:val="Default"/>
              <w:spacing w:before="120" w:after="240"/>
              <w:rPr>
                <w:color w:val="auto"/>
                <w:sz w:val="24"/>
                <w:szCs w:val="24"/>
              </w:rPr>
            </w:pPr>
            <w:r w:rsidRPr="0047146C">
              <w:rPr>
                <w:color w:val="auto"/>
                <w:sz w:val="24"/>
                <w:szCs w:val="24"/>
              </w:rPr>
              <w:t>CTCL is a rare type of cancer that affects T-cells (a type of white blood cell) and causes raised, rash-like or itchy patches of skin, skin lumps or ulcers. It is usually treated with chemotherapy (anticancer medicine) or immunotherapy (treatment that boosts the body’s own immune response against the</w:t>
            </w:r>
            <w:r w:rsidR="009F4759" w:rsidRPr="0047146C">
              <w:rPr>
                <w:color w:val="auto"/>
                <w:sz w:val="24"/>
                <w:szCs w:val="24"/>
              </w:rPr>
              <w:t xml:space="preserve"> cancer).</w:t>
            </w:r>
          </w:p>
          <w:p w14:paraId="3095643E" w14:textId="196A9324" w:rsidR="00C15218" w:rsidRPr="0047146C" w:rsidRDefault="00C15218" w:rsidP="00C15218">
            <w:pPr>
              <w:pStyle w:val="Default"/>
              <w:spacing w:before="120" w:after="240"/>
              <w:rPr>
                <w:color w:val="auto"/>
                <w:sz w:val="24"/>
                <w:szCs w:val="24"/>
              </w:rPr>
            </w:pPr>
            <w:r w:rsidRPr="0047146C">
              <w:rPr>
                <w:color w:val="auto"/>
                <w:sz w:val="24"/>
                <w:szCs w:val="24"/>
              </w:rPr>
              <w:t>ECP is a type of treatment that involves attaching a patient to a machine that removes some of their blood. The machine separates the white blood cells, and the red blood cells and plasma go back into the body. The white blood cells are mixed with a drug called methoxsalen, exposed to ultraviolet (UV) light, then put back into the p</w:t>
            </w:r>
            <w:r w:rsidR="009F4759" w:rsidRPr="0047146C">
              <w:rPr>
                <w:color w:val="auto"/>
                <w:sz w:val="24"/>
                <w:szCs w:val="24"/>
              </w:rPr>
              <w:t>atient</w:t>
            </w:r>
            <w:r w:rsidRPr="0047146C">
              <w:rPr>
                <w:color w:val="auto"/>
                <w:sz w:val="24"/>
                <w:szCs w:val="24"/>
              </w:rPr>
              <w:t>. ECP activates the p</w:t>
            </w:r>
            <w:r w:rsidR="009F4759" w:rsidRPr="0047146C">
              <w:rPr>
                <w:color w:val="auto"/>
                <w:sz w:val="24"/>
                <w:szCs w:val="24"/>
              </w:rPr>
              <w:t>atient</w:t>
            </w:r>
            <w:r w:rsidRPr="0047146C">
              <w:rPr>
                <w:color w:val="auto"/>
                <w:sz w:val="24"/>
                <w:szCs w:val="24"/>
              </w:rPr>
              <w:t>’s immune system to fight the cancer.</w:t>
            </w:r>
          </w:p>
          <w:p w14:paraId="6DF2B842" w14:textId="7A32B571" w:rsidR="00C15218" w:rsidRPr="0047146C" w:rsidRDefault="00C15218" w:rsidP="00C15218">
            <w:pPr>
              <w:pStyle w:val="Default"/>
              <w:spacing w:before="120" w:after="240"/>
              <w:rPr>
                <w:color w:val="auto"/>
                <w:sz w:val="24"/>
                <w:szCs w:val="24"/>
              </w:rPr>
            </w:pPr>
            <w:r w:rsidRPr="0047146C">
              <w:rPr>
                <w:color w:val="auto"/>
                <w:sz w:val="24"/>
                <w:szCs w:val="24"/>
              </w:rPr>
              <w:t>MSAC accepted that ECP is safe and has fewer side effects than other CTCL treatments. There was little evidence to directly compare ECP with other treatments in terms of how well it works, but MSAC considered that ECP is probably as effective as other treatments. This evidence is unlikely to improve because CTCL is a rare condition, which makes it difficult to study. MSAC discussed the proposed cost of ECP and asked for a more detailed breakdown of costs and explanation of why each component is included. MSAC accepted that ECP was</w:t>
            </w:r>
            <w:r w:rsidR="00066E9C" w:rsidRPr="0047146C">
              <w:rPr>
                <w:color w:val="auto"/>
                <w:sz w:val="24"/>
                <w:szCs w:val="24"/>
              </w:rPr>
              <w:t xml:space="preserve"> probably</w:t>
            </w:r>
            <w:r w:rsidRPr="0047146C">
              <w:rPr>
                <w:color w:val="auto"/>
                <w:sz w:val="24"/>
                <w:szCs w:val="24"/>
              </w:rPr>
              <w:t xml:space="preserve"> cost-effective, </w:t>
            </w:r>
            <w:r w:rsidR="00C53A38" w:rsidRPr="0047146C">
              <w:rPr>
                <w:color w:val="auto"/>
                <w:sz w:val="24"/>
                <w:szCs w:val="24"/>
              </w:rPr>
              <w:t>acknowledging the</w:t>
            </w:r>
            <w:r w:rsidRPr="0047146C">
              <w:rPr>
                <w:color w:val="auto"/>
                <w:sz w:val="24"/>
                <w:szCs w:val="24"/>
              </w:rPr>
              <w:t xml:space="preserve"> need for new treatments for CTCL and the small number of patients.</w:t>
            </w:r>
          </w:p>
          <w:p w14:paraId="021F14DD" w14:textId="656FAD64" w:rsidR="004C605E" w:rsidRPr="0047146C" w:rsidRDefault="004C605E" w:rsidP="00120CE2">
            <w:pPr>
              <w:pStyle w:val="Default"/>
              <w:spacing w:after="120"/>
              <w:rPr>
                <w:b/>
                <w:color w:val="auto"/>
                <w:sz w:val="24"/>
                <w:szCs w:val="24"/>
              </w:rPr>
            </w:pPr>
            <w:r w:rsidRPr="0047146C">
              <w:rPr>
                <w:b/>
                <w:color w:val="auto"/>
                <w:sz w:val="24"/>
                <w:szCs w:val="24"/>
              </w:rPr>
              <w:t xml:space="preserve">MSAC’s advice to the Commonwealth Minister </w:t>
            </w:r>
            <w:r w:rsidR="00CE28D1" w:rsidRPr="0047146C">
              <w:rPr>
                <w:b/>
                <w:color w:val="auto"/>
                <w:sz w:val="24"/>
                <w:szCs w:val="24"/>
              </w:rPr>
              <w:t>for</w:t>
            </w:r>
            <w:r w:rsidRPr="0047146C">
              <w:rPr>
                <w:b/>
                <w:color w:val="auto"/>
                <w:sz w:val="24"/>
                <w:szCs w:val="24"/>
              </w:rPr>
              <w:t xml:space="preserve"> Health</w:t>
            </w:r>
          </w:p>
          <w:p w14:paraId="1A8929B0" w14:textId="4AF093D2" w:rsidR="00120CE2" w:rsidRPr="0047146C" w:rsidRDefault="00120CE2" w:rsidP="00CE28D1">
            <w:pPr>
              <w:pStyle w:val="Default"/>
              <w:spacing w:after="240"/>
              <w:rPr>
                <w:color w:val="auto"/>
                <w:sz w:val="24"/>
                <w:szCs w:val="24"/>
              </w:rPr>
            </w:pPr>
            <w:r w:rsidRPr="0047146C">
              <w:rPr>
                <w:color w:val="auto"/>
                <w:sz w:val="24"/>
                <w:szCs w:val="24"/>
              </w:rPr>
              <w:t xml:space="preserve">MSAC supported MBS funding of ECP for CTCL. MSAC asked the Department to work with the applicant to review and negotiate the proposed </w:t>
            </w:r>
            <w:r w:rsidR="00CE28D1" w:rsidRPr="0047146C">
              <w:rPr>
                <w:color w:val="auto"/>
                <w:sz w:val="24"/>
                <w:szCs w:val="24"/>
              </w:rPr>
              <w:t xml:space="preserve">fee for </w:t>
            </w:r>
            <w:r w:rsidRPr="0047146C">
              <w:rPr>
                <w:color w:val="auto"/>
                <w:sz w:val="24"/>
                <w:szCs w:val="24"/>
              </w:rPr>
              <w:t>the service.</w:t>
            </w:r>
          </w:p>
        </w:tc>
      </w:tr>
    </w:tbl>
    <w:p w14:paraId="79CE15DC" w14:textId="09B7BCB4" w:rsidR="004C605E" w:rsidRPr="0047146C" w:rsidRDefault="004C605E" w:rsidP="004C605E">
      <w:pPr>
        <w:pStyle w:val="Heading1"/>
      </w:pPr>
      <w:r w:rsidRPr="0047146C">
        <w:t xml:space="preserve">Summary of consideration </w:t>
      </w:r>
      <w:r w:rsidR="00B22DA6" w:rsidRPr="0047146C">
        <w:t>and rationale for MSAC’s advice</w:t>
      </w:r>
    </w:p>
    <w:p w14:paraId="03B21269" w14:textId="61A9C353" w:rsidR="00120CE2" w:rsidRPr="0047146C" w:rsidRDefault="00120CE2" w:rsidP="00120CE2">
      <w:pPr>
        <w:spacing w:after="240"/>
        <w:rPr>
          <w:color w:val="000000"/>
        </w:rPr>
      </w:pPr>
      <w:r w:rsidRPr="0047146C">
        <w:rPr>
          <w:color w:val="000000"/>
        </w:rPr>
        <w:t xml:space="preserve">MSAC noted the codependent resubmission for extracorporeal photopheresis (ECP) for treatment of cutaneous T-cell lymphoma (CTCL). The application requests a Medicare Benefits Schedule (MBS) item to subsidise delivery of ECP treatment with an integrated closed system, and a Pharmaceutical Benefits Scheme (PBS) listing for methoxsalen (the substance used as part of the ECP service). MSAC noted the Pharmaceutical Benefits Advisory Committee (PBAC) deferred its recommendation on methoxsalen </w:t>
      </w:r>
      <w:r w:rsidR="00AF0CF8" w:rsidRPr="0047146C">
        <w:rPr>
          <w:color w:val="000000"/>
        </w:rPr>
        <w:t>follow</w:t>
      </w:r>
      <w:r w:rsidRPr="0047146C">
        <w:rPr>
          <w:color w:val="000000"/>
        </w:rPr>
        <w:t>in</w:t>
      </w:r>
      <w:r w:rsidR="00AF0CF8" w:rsidRPr="0047146C">
        <w:rPr>
          <w:color w:val="000000"/>
        </w:rPr>
        <w:t>g</w:t>
      </w:r>
      <w:r w:rsidRPr="0047146C">
        <w:rPr>
          <w:color w:val="000000"/>
        </w:rPr>
        <w:t xml:space="preserve"> the original submission in 2017 pending Therapeutic Goods Administration approval (which was granted in 2019) and MSAC support for ECP. MSAC also deferred its recommendation at that time and requested a revised economic model, inclusion of new comparators with accepted cost-effectiveness (vorinostat and brentuximab vedotin) and further justification of the proposed price.</w:t>
      </w:r>
    </w:p>
    <w:p w14:paraId="5078B356" w14:textId="77777777" w:rsidR="001939AE" w:rsidRPr="0047146C" w:rsidRDefault="001939AE" w:rsidP="001939AE">
      <w:pPr>
        <w:spacing w:after="240"/>
        <w:rPr>
          <w:color w:val="000000"/>
        </w:rPr>
      </w:pPr>
      <w:r w:rsidRPr="0047146C">
        <w:rPr>
          <w:color w:val="000000"/>
        </w:rPr>
        <w:t xml:space="preserve">MSAC noted the proposed MBS item descriptor had been revised to align with the revised PBS restriction for methoxsalen, and to limit to one fee per cycle of treatment. This limit would prevent double claiming if treatment is received over 2 days with an overnight stay. MSAC confirmed that treatment is intended to be delivered as an outpatient service, and overnight stay would only be required to manage any adverse events, if they arise. MSAC considered that limiting to once per cycle of treatment was appropriate. As suggested by ESC, MSAC discussed limiting the total number of cycles per patient per lifetime, but </w:t>
      </w:r>
      <w:r w:rsidRPr="0047146C">
        <w:rPr>
          <w:color w:val="000000"/>
        </w:rPr>
        <w:lastRenderedPageBreak/>
        <w:t>considered that, if the treatment continues to be effective for a patient, there should not be an upper limit to the number of cycles. In response to another suggestion by ESC, MSAC did not think it necessary to require accreditation of the centre or health professionals supervising or delivering the service.</w:t>
      </w:r>
    </w:p>
    <w:p w14:paraId="4184C4D5" w14:textId="77777777" w:rsidR="001939AE" w:rsidRPr="0047146C" w:rsidRDefault="001939AE" w:rsidP="001939AE">
      <w:pPr>
        <w:rPr>
          <w:color w:val="000000"/>
        </w:rPr>
      </w:pPr>
      <w:r w:rsidRPr="0047146C">
        <w:rPr>
          <w:color w:val="000000"/>
        </w:rPr>
        <w:t>For consistency, MSAC also supported appropriate alignment of the MBS item descriptor with the following aspects proposed for the methoxsalen PBS restrictions:</w:t>
      </w:r>
    </w:p>
    <w:p w14:paraId="1D7FEA03" w14:textId="77777777" w:rsidR="001939AE" w:rsidRPr="0047146C" w:rsidRDefault="001939AE" w:rsidP="001939AE">
      <w:pPr>
        <w:pStyle w:val="ListParagraph"/>
        <w:numPr>
          <w:ilvl w:val="0"/>
          <w:numId w:val="7"/>
        </w:numPr>
        <w:ind w:left="714" w:hanging="357"/>
        <w:rPr>
          <w:color w:val="000000"/>
        </w:rPr>
      </w:pPr>
      <w:r w:rsidRPr="0047146C">
        <w:rPr>
          <w:color w:val="000000"/>
        </w:rPr>
        <w:t>the criterion in the PBS restriction for continuing methoxsalen that “patient must demonstrate a response [defined as ‘a greater than or equal to 50% skin score response from baseline for at least 4 weeks, within the first six months of treatment’] to PBS-subsidised treatment with this drug for this condition”; and</w:t>
      </w:r>
    </w:p>
    <w:p w14:paraId="4F412545" w14:textId="77777777" w:rsidR="001939AE" w:rsidRPr="0047146C" w:rsidRDefault="001939AE" w:rsidP="001939AE">
      <w:pPr>
        <w:pStyle w:val="ListParagraph"/>
        <w:numPr>
          <w:ilvl w:val="0"/>
          <w:numId w:val="7"/>
        </w:numPr>
        <w:spacing w:after="240"/>
        <w:ind w:left="714" w:hanging="357"/>
        <w:rPr>
          <w:color w:val="000000"/>
        </w:rPr>
      </w:pPr>
      <w:r w:rsidRPr="0047146C">
        <w:rPr>
          <w:color w:val="000000"/>
        </w:rPr>
        <w:t>the criterion in the PBS restrictions for both initiating and continuing methoxsalen that “the treatment must be the sole PBS-subsidised therapy for this condition”.</w:t>
      </w:r>
    </w:p>
    <w:p w14:paraId="7681D874" w14:textId="7759286B" w:rsidR="00A146B8" w:rsidRPr="0047146C" w:rsidRDefault="00120CE2" w:rsidP="00A146B8">
      <w:pPr>
        <w:spacing w:after="240"/>
        <w:rPr>
          <w:i/>
          <w:szCs w:val="24"/>
        </w:rPr>
      </w:pPr>
      <w:r w:rsidRPr="0047146C">
        <w:rPr>
          <w:color w:val="000000"/>
        </w:rPr>
        <w:t xml:space="preserve">MSAC accepted the </w:t>
      </w:r>
      <w:r w:rsidR="00AF0CF8" w:rsidRPr="0047146C">
        <w:rPr>
          <w:color w:val="000000"/>
        </w:rPr>
        <w:t xml:space="preserve">residual </w:t>
      </w:r>
      <w:r w:rsidRPr="0047146C">
        <w:rPr>
          <w:color w:val="000000"/>
        </w:rPr>
        <w:t>high clinical need in patients with CTCL</w:t>
      </w:r>
      <w:r w:rsidR="00D476BE" w:rsidRPr="0047146C">
        <w:rPr>
          <w:color w:val="000000"/>
        </w:rPr>
        <w:t>, given that none of the currently available treatment options are considered curative</w:t>
      </w:r>
      <w:r w:rsidRPr="0047146C">
        <w:rPr>
          <w:color w:val="000000"/>
        </w:rPr>
        <w:t xml:space="preserve">. MSAC noted that ECP is currently performed </w:t>
      </w:r>
      <w:r w:rsidR="00775996" w:rsidRPr="0047146C">
        <w:rPr>
          <w:color w:val="000000"/>
        </w:rPr>
        <w:t xml:space="preserve">for CTCL </w:t>
      </w:r>
      <w:r w:rsidRPr="0047146C">
        <w:rPr>
          <w:color w:val="000000"/>
        </w:rPr>
        <w:t>in a single centre in Australia for a population of approximately 80 patients.</w:t>
      </w:r>
      <w:r w:rsidR="00A146B8" w:rsidRPr="0047146C">
        <w:rPr>
          <w:i/>
          <w:szCs w:val="24"/>
        </w:rPr>
        <w:t xml:space="preserve"> </w:t>
      </w:r>
      <w:r w:rsidR="00A146B8" w:rsidRPr="0047146C">
        <w:rPr>
          <w:szCs w:val="24"/>
        </w:rPr>
        <w:t xml:space="preserve">MSAC noted the prevalence of cutaneous T-cell lymphoma in Australia has remained </w:t>
      </w:r>
      <w:r w:rsidR="00AF0CF8" w:rsidRPr="0047146C">
        <w:rPr>
          <w:szCs w:val="24"/>
        </w:rPr>
        <w:t>stable</w:t>
      </w:r>
      <w:r w:rsidR="00A146B8" w:rsidRPr="0047146C">
        <w:rPr>
          <w:szCs w:val="24"/>
        </w:rPr>
        <w:t xml:space="preserve"> in the intervening period between the initial application and re-submission and that</w:t>
      </w:r>
      <w:r w:rsidR="00AF0CF8" w:rsidRPr="0047146C">
        <w:rPr>
          <w:szCs w:val="24"/>
        </w:rPr>
        <w:t>,</w:t>
      </w:r>
      <w:r w:rsidR="00A146B8" w:rsidRPr="0047146C">
        <w:rPr>
          <w:szCs w:val="24"/>
        </w:rPr>
        <w:t xml:space="preserve"> given the low incidence, the evidence base for comparing therapies to treat this condition is unlikely to substantially improve.</w:t>
      </w:r>
    </w:p>
    <w:p w14:paraId="7ADEC57B" w14:textId="169367AE" w:rsidR="00120CE2" w:rsidRPr="0047146C" w:rsidRDefault="00120CE2" w:rsidP="00120CE2">
      <w:pPr>
        <w:spacing w:after="240"/>
        <w:rPr>
          <w:color w:val="000000"/>
        </w:rPr>
      </w:pPr>
      <w:r w:rsidRPr="0047146C">
        <w:rPr>
          <w:color w:val="000000"/>
        </w:rPr>
        <w:t xml:space="preserve">MSAC noted that the </w:t>
      </w:r>
      <w:r w:rsidR="007566DC" w:rsidRPr="0047146C">
        <w:rPr>
          <w:color w:val="000000"/>
        </w:rPr>
        <w:t xml:space="preserve">nominated </w:t>
      </w:r>
      <w:r w:rsidRPr="0047146C">
        <w:rPr>
          <w:color w:val="000000"/>
        </w:rPr>
        <w:t xml:space="preserve">comparators had been revised </w:t>
      </w:r>
      <w:r w:rsidR="00AF0CF8" w:rsidRPr="0047146C">
        <w:rPr>
          <w:color w:val="000000"/>
        </w:rPr>
        <w:t xml:space="preserve">as requested </w:t>
      </w:r>
      <w:r w:rsidRPr="0047146C">
        <w:rPr>
          <w:color w:val="000000"/>
        </w:rPr>
        <w:t xml:space="preserve">to include vorinostat and brentuximab vedotin, and </w:t>
      </w:r>
      <w:r w:rsidR="00AF0CF8" w:rsidRPr="0047146C">
        <w:rPr>
          <w:color w:val="000000"/>
        </w:rPr>
        <w:t xml:space="preserve">to </w:t>
      </w:r>
      <w:r w:rsidRPr="0047146C">
        <w:rPr>
          <w:color w:val="000000"/>
        </w:rPr>
        <w:t>remove alemtuzumab (which is not PBS listed). Interferon</w:t>
      </w:r>
      <w:r w:rsidR="0007649E" w:rsidRPr="0047146C">
        <w:t>-α</w:t>
      </w:r>
      <w:r w:rsidRPr="0047146C">
        <w:rPr>
          <w:color w:val="000000"/>
        </w:rPr>
        <w:t xml:space="preserve"> remained as a comparator, as the applicant noted that peginterferon</w:t>
      </w:r>
      <w:r w:rsidR="00525F4F" w:rsidRPr="0047146C">
        <w:rPr>
          <w:szCs w:val="24"/>
          <w:lang w:eastAsia="en-US"/>
        </w:rPr>
        <w:t>-</w:t>
      </w:r>
      <w:r w:rsidR="00525F4F" w:rsidRPr="0047146C">
        <w:rPr>
          <w:szCs w:val="24"/>
        </w:rPr>
        <w:t>α</w:t>
      </w:r>
      <w:r w:rsidR="00525F4F" w:rsidRPr="0047146C">
        <w:rPr>
          <w:szCs w:val="24"/>
          <w:lang w:eastAsia="en-US"/>
        </w:rPr>
        <w:t>2a</w:t>
      </w:r>
      <w:r w:rsidRPr="0047146C">
        <w:rPr>
          <w:color w:val="000000"/>
        </w:rPr>
        <w:t xml:space="preserve"> is used in CTCL and is unrestricted on the PBS. T</w:t>
      </w:r>
      <w:r w:rsidR="007566DC" w:rsidRPr="0047146C">
        <w:rPr>
          <w:color w:val="000000"/>
        </w:rPr>
        <w:t>ogether with methotrexate, MSAC accepted t</w:t>
      </w:r>
      <w:r w:rsidRPr="0047146C">
        <w:rPr>
          <w:color w:val="000000"/>
        </w:rPr>
        <w:t>he</w:t>
      </w:r>
      <w:r w:rsidR="007566DC" w:rsidRPr="0047146C">
        <w:rPr>
          <w:color w:val="000000"/>
        </w:rPr>
        <w:t>se</w:t>
      </w:r>
      <w:r w:rsidRPr="0047146C">
        <w:rPr>
          <w:color w:val="000000"/>
        </w:rPr>
        <w:t xml:space="preserve"> comparators</w:t>
      </w:r>
      <w:r w:rsidR="00AF0CF8" w:rsidRPr="0047146C">
        <w:rPr>
          <w:color w:val="000000"/>
        </w:rPr>
        <w:t>.</w:t>
      </w:r>
    </w:p>
    <w:p w14:paraId="4F4AF000" w14:textId="4E9F337A" w:rsidR="00120CE2" w:rsidRPr="00120CE2" w:rsidRDefault="00120CE2" w:rsidP="00120CE2">
      <w:pPr>
        <w:spacing w:after="240"/>
        <w:rPr>
          <w:color w:val="000000"/>
        </w:rPr>
      </w:pPr>
      <w:r w:rsidRPr="0047146C">
        <w:rPr>
          <w:color w:val="000000"/>
        </w:rPr>
        <w:t xml:space="preserve">The clinical claims </w:t>
      </w:r>
      <w:r w:rsidR="001939AE" w:rsidRPr="0047146C">
        <w:rPr>
          <w:color w:val="000000"/>
        </w:rPr>
        <w:t xml:space="preserve">were </w:t>
      </w:r>
      <w:r w:rsidRPr="0047146C">
        <w:rPr>
          <w:color w:val="000000"/>
        </w:rPr>
        <w:t xml:space="preserve">that ECP has superior safety and at least non-inferior effectiveness compared with brentuximab vedotin and vorinostat. MSAC recalled that it had accepted the </w:t>
      </w:r>
      <w:r w:rsidR="007566DC" w:rsidRPr="0047146C">
        <w:rPr>
          <w:color w:val="000000"/>
        </w:rPr>
        <w:t xml:space="preserve">improved </w:t>
      </w:r>
      <w:r w:rsidRPr="0047146C">
        <w:rPr>
          <w:color w:val="000000"/>
        </w:rPr>
        <w:t xml:space="preserve">comparative safety of ECP </w:t>
      </w:r>
      <w:r w:rsidR="00D52127" w:rsidRPr="0047146C">
        <w:rPr>
          <w:color w:val="000000"/>
        </w:rPr>
        <w:t xml:space="preserve">over its </w:t>
      </w:r>
      <w:r w:rsidR="001939AE" w:rsidRPr="0047146C">
        <w:rPr>
          <w:color w:val="000000"/>
        </w:rPr>
        <w:t xml:space="preserve">accepted </w:t>
      </w:r>
      <w:r w:rsidR="00D52127" w:rsidRPr="0047146C">
        <w:rPr>
          <w:color w:val="000000"/>
        </w:rPr>
        <w:t>comparator</w:t>
      </w:r>
      <w:r w:rsidR="001939AE" w:rsidRPr="0047146C">
        <w:rPr>
          <w:color w:val="000000"/>
        </w:rPr>
        <w:t>s</w:t>
      </w:r>
      <w:r w:rsidR="00D52127" w:rsidRPr="0047146C">
        <w:rPr>
          <w:color w:val="000000"/>
        </w:rPr>
        <w:t xml:space="preserve"> </w:t>
      </w:r>
      <w:r w:rsidRPr="0047146C">
        <w:rPr>
          <w:color w:val="000000"/>
        </w:rPr>
        <w:t xml:space="preserve">in the original submission, and </w:t>
      </w:r>
      <w:r w:rsidR="00D52127" w:rsidRPr="0047146C">
        <w:rPr>
          <w:color w:val="000000"/>
        </w:rPr>
        <w:t>confirmed</w:t>
      </w:r>
      <w:r w:rsidRPr="0047146C">
        <w:rPr>
          <w:color w:val="000000"/>
        </w:rPr>
        <w:t xml:space="preserve"> that ECP is associated with fewer adverse events than </w:t>
      </w:r>
      <w:r w:rsidR="007566DC" w:rsidRPr="0047146C">
        <w:rPr>
          <w:color w:val="000000"/>
        </w:rPr>
        <w:t>its</w:t>
      </w:r>
      <w:r w:rsidRPr="0047146C">
        <w:rPr>
          <w:color w:val="000000"/>
        </w:rPr>
        <w:t xml:space="preserve"> comparators. Regarding comparative effectiveness, MSAC noted ESC’s advice that the included studies (mainly non-randomised studies of small populations) preclude direct comparisons</w:t>
      </w:r>
      <w:r w:rsidR="005636F0" w:rsidRPr="0047146C">
        <w:rPr>
          <w:color w:val="000000"/>
        </w:rPr>
        <w:t xml:space="preserve"> between the nominated pharmacological treatments and ECP</w:t>
      </w:r>
      <w:r w:rsidRPr="0047146C">
        <w:rPr>
          <w:color w:val="000000"/>
        </w:rPr>
        <w:t xml:space="preserve">, leading to continuing uncertainty about comparative effectiveness and safety. MSAC accepted ESC’s advice that ECP is still likely safer than, and at least as effective as, </w:t>
      </w:r>
      <w:r w:rsidR="007566DC" w:rsidRPr="0047146C">
        <w:rPr>
          <w:color w:val="000000"/>
        </w:rPr>
        <w:t xml:space="preserve">all four identified comparators </w:t>
      </w:r>
      <w:r w:rsidRPr="0047146C">
        <w:rPr>
          <w:color w:val="000000"/>
        </w:rPr>
        <w:t>for stage T4, M0 CTCL, and also noted that the evidence is unlikely to improve because this is a rare condition.</w:t>
      </w:r>
    </w:p>
    <w:p w14:paraId="7DB23C27" w14:textId="1DD9EFA6" w:rsidR="00120CE2" w:rsidRPr="0047146C" w:rsidRDefault="00120CE2" w:rsidP="00120CE2">
      <w:pPr>
        <w:spacing w:after="240"/>
        <w:rPr>
          <w:color w:val="000000"/>
        </w:rPr>
      </w:pPr>
      <w:r w:rsidRPr="00120CE2">
        <w:rPr>
          <w:color w:val="000000"/>
        </w:rPr>
        <w:t>MSAC discussed the proposed fee, noting that this covers personnel</w:t>
      </w:r>
      <w:r w:rsidR="00D476BE">
        <w:rPr>
          <w:color w:val="000000"/>
        </w:rPr>
        <w:t>,</w:t>
      </w:r>
      <w:r w:rsidR="00575D34">
        <w:rPr>
          <w:color w:val="000000"/>
        </w:rPr>
        <w:t xml:space="preserve"> </w:t>
      </w:r>
      <w:r w:rsidRPr="00120CE2">
        <w:rPr>
          <w:color w:val="000000"/>
        </w:rPr>
        <w:t>consumables</w:t>
      </w:r>
      <w:r w:rsidR="00D476BE">
        <w:rPr>
          <w:color w:val="000000"/>
        </w:rPr>
        <w:t xml:space="preserve"> and other</w:t>
      </w:r>
      <w:r w:rsidR="00A146B8">
        <w:rPr>
          <w:color w:val="000000"/>
        </w:rPr>
        <w:t xml:space="preserve"> costs</w:t>
      </w:r>
      <w:r w:rsidRPr="00120CE2">
        <w:rPr>
          <w:color w:val="000000"/>
        </w:rPr>
        <w:t xml:space="preserve">, but not </w:t>
      </w:r>
      <w:r w:rsidR="00575D34">
        <w:rPr>
          <w:color w:val="000000"/>
        </w:rPr>
        <w:t xml:space="preserve">any </w:t>
      </w:r>
      <w:r w:rsidRPr="00120CE2">
        <w:rPr>
          <w:color w:val="000000"/>
        </w:rPr>
        <w:t>capital cost</w:t>
      </w:r>
      <w:r w:rsidR="00D86989">
        <w:rPr>
          <w:color w:val="000000"/>
        </w:rPr>
        <w:t xml:space="preserve"> of the main device</w:t>
      </w:r>
      <w:r w:rsidRPr="00120CE2">
        <w:rPr>
          <w:color w:val="000000"/>
        </w:rPr>
        <w:t xml:space="preserve">. MSAC </w:t>
      </w:r>
      <w:r w:rsidR="005316FF">
        <w:rPr>
          <w:color w:val="000000"/>
        </w:rPr>
        <w:t>suspected</w:t>
      </w:r>
      <w:r w:rsidR="005316FF" w:rsidRPr="00120CE2">
        <w:rPr>
          <w:color w:val="000000"/>
        </w:rPr>
        <w:t xml:space="preserve"> </w:t>
      </w:r>
      <w:r w:rsidRPr="00120CE2">
        <w:rPr>
          <w:color w:val="000000"/>
        </w:rPr>
        <w:t xml:space="preserve">that the capital cost could be a limiting factor for implementation, </w:t>
      </w:r>
      <w:r w:rsidR="005316FF">
        <w:rPr>
          <w:color w:val="000000"/>
        </w:rPr>
        <w:t>noting</w:t>
      </w:r>
      <w:r w:rsidR="005316FF" w:rsidRPr="00120CE2">
        <w:rPr>
          <w:color w:val="000000"/>
        </w:rPr>
        <w:t xml:space="preserve"> </w:t>
      </w:r>
      <w:r w:rsidRPr="00120CE2">
        <w:rPr>
          <w:color w:val="000000"/>
        </w:rPr>
        <w:t xml:space="preserve">that </w:t>
      </w:r>
      <w:r w:rsidR="005316FF">
        <w:rPr>
          <w:color w:val="000000"/>
        </w:rPr>
        <w:t>few</w:t>
      </w:r>
      <w:r w:rsidRPr="00120CE2">
        <w:rPr>
          <w:color w:val="000000"/>
        </w:rPr>
        <w:t xml:space="preserve"> centre</w:t>
      </w:r>
      <w:r w:rsidR="005316FF">
        <w:rPr>
          <w:color w:val="000000"/>
        </w:rPr>
        <w:t>s</w:t>
      </w:r>
      <w:r w:rsidRPr="00120CE2">
        <w:rPr>
          <w:color w:val="000000"/>
        </w:rPr>
        <w:t xml:space="preserve"> currently provide this treatment</w:t>
      </w:r>
      <w:r w:rsidR="00775996">
        <w:rPr>
          <w:color w:val="000000"/>
        </w:rPr>
        <w:t xml:space="preserve"> for CTCL</w:t>
      </w:r>
      <w:r w:rsidR="005316FF">
        <w:rPr>
          <w:color w:val="000000"/>
        </w:rPr>
        <w:t xml:space="preserve"> or for</w:t>
      </w:r>
      <w:r w:rsidR="00D86989">
        <w:rPr>
          <w:color w:val="000000"/>
        </w:rPr>
        <w:t xml:space="preserve"> </w:t>
      </w:r>
      <w:r w:rsidR="00D476BE">
        <w:rPr>
          <w:color w:val="000000"/>
        </w:rPr>
        <w:t>graft-versus host disease</w:t>
      </w:r>
      <w:r w:rsidRPr="00120CE2">
        <w:rPr>
          <w:color w:val="000000"/>
        </w:rPr>
        <w:t>. MSAC noted the $</w:t>
      </w:r>
      <w:r w:rsidR="006B479E" w:rsidRPr="006B479E">
        <w:rPr>
          <w:b/>
          <w:color w:val="000000"/>
        </w:rPr>
        <w:t>redacted</w:t>
      </w:r>
      <w:r w:rsidR="006B479E">
        <w:rPr>
          <w:color w:val="000000"/>
        </w:rPr>
        <w:t xml:space="preserve"> </w:t>
      </w:r>
      <w:r w:rsidRPr="00120CE2">
        <w:rPr>
          <w:color w:val="000000"/>
        </w:rPr>
        <w:t xml:space="preserve">in the fee for consumables, which the </w:t>
      </w:r>
      <w:r w:rsidR="003A2D37">
        <w:rPr>
          <w:color w:val="000000"/>
        </w:rPr>
        <w:t xml:space="preserve">applicant’s </w:t>
      </w:r>
      <w:r w:rsidRPr="00120CE2">
        <w:rPr>
          <w:color w:val="000000"/>
        </w:rPr>
        <w:t xml:space="preserve">pre-MSAC response stated includes a disposable single-use kit, </w:t>
      </w:r>
      <w:r w:rsidRPr="00120CE2">
        <w:rPr>
          <w:color w:val="000000"/>
          <w:lang w:val="en-US"/>
        </w:rPr>
        <w:t>manufacture, transport, research, development, clinical training, support, education, scientific consultation, customer service and access to online platforms</w:t>
      </w:r>
      <w:r w:rsidRPr="0047146C">
        <w:rPr>
          <w:color w:val="000000"/>
          <w:lang w:val="en-US"/>
        </w:rPr>
        <w:t xml:space="preserve">. MSAC </w:t>
      </w:r>
      <w:r w:rsidR="00575D34" w:rsidRPr="0047146C">
        <w:rPr>
          <w:color w:val="000000"/>
          <w:lang w:val="en-US"/>
        </w:rPr>
        <w:t>advised</w:t>
      </w:r>
      <w:r w:rsidRPr="0047146C">
        <w:rPr>
          <w:color w:val="000000"/>
          <w:lang w:val="en-US"/>
        </w:rPr>
        <w:t xml:space="preserve"> that</w:t>
      </w:r>
      <w:r w:rsidR="00575D34" w:rsidRPr="0047146C">
        <w:rPr>
          <w:color w:val="000000"/>
          <w:lang w:val="en-US"/>
        </w:rPr>
        <w:t xml:space="preserve">, as </w:t>
      </w:r>
      <w:r w:rsidR="00972D2A" w:rsidRPr="0047146C">
        <w:rPr>
          <w:color w:val="000000"/>
          <w:lang w:val="en-US"/>
        </w:rPr>
        <w:t xml:space="preserve">not all </w:t>
      </w:r>
      <w:r w:rsidR="00575D34" w:rsidRPr="0047146C">
        <w:rPr>
          <w:color w:val="000000"/>
          <w:lang w:val="en-US"/>
        </w:rPr>
        <w:t>these cost</w:t>
      </w:r>
      <w:r w:rsidR="00410A24" w:rsidRPr="0047146C">
        <w:rPr>
          <w:color w:val="000000"/>
          <w:lang w:val="en-US"/>
        </w:rPr>
        <w:t xml:space="preserve"> input</w:t>
      </w:r>
      <w:r w:rsidR="00575D34" w:rsidRPr="0047146C">
        <w:rPr>
          <w:color w:val="000000"/>
          <w:lang w:val="en-US"/>
        </w:rPr>
        <w:t>s are ordinarily reimbursed by the MBS,</w:t>
      </w:r>
      <w:r w:rsidRPr="0047146C">
        <w:rPr>
          <w:color w:val="000000"/>
          <w:lang w:val="en-US"/>
        </w:rPr>
        <w:t xml:space="preserve"> the applicant </w:t>
      </w:r>
      <w:r w:rsidR="00972D2A" w:rsidRPr="0047146C">
        <w:rPr>
          <w:color w:val="000000"/>
          <w:lang w:val="en-US"/>
        </w:rPr>
        <w:t>should supply</w:t>
      </w:r>
      <w:r w:rsidRPr="0047146C">
        <w:rPr>
          <w:color w:val="000000"/>
          <w:lang w:val="en-US"/>
        </w:rPr>
        <w:t xml:space="preserve"> a detailed breakdown </w:t>
      </w:r>
      <w:r w:rsidR="00972D2A" w:rsidRPr="0047146C">
        <w:rPr>
          <w:color w:val="000000"/>
          <w:lang w:val="en-US"/>
        </w:rPr>
        <w:t xml:space="preserve">and justification </w:t>
      </w:r>
      <w:r w:rsidRPr="0047146C">
        <w:rPr>
          <w:color w:val="000000"/>
          <w:lang w:val="en-US"/>
        </w:rPr>
        <w:t xml:space="preserve">of </w:t>
      </w:r>
      <w:r w:rsidR="00972D2A" w:rsidRPr="0047146C">
        <w:rPr>
          <w:color w:val="000000"/>
          <w:lang w:val="en-US"/>
        </w:rPr>
        <w:t xml:space="preserve">each and all of </w:t>
      </w:r>
      <w:r w:rsidRPr="0047146C">
        <w:rPr>
          <w:color w:val="000000"/>
          <w:lang w:val="en-US"/>
        </w:rPr>
        <w:t xml:space="preserve">these </w:t>
      </w:r>
      <w:r w:rsidR="00410A24" w:rsidRPr="0047146C">
        <w:rPr>
          <w:color w:val="000000"/>
          <w:lang w:val="en-US"/>
        </w:rPr>
        <w:t>inputs</w:t>
      </w:r>
      <w:r w:rsidRPr="0047146C">
        <w:rPr>
          <w:color w:val="000000"/>
          <w:lang w:val="en-US"/>
        </w:rPr>
        <w:t xml:space="preserve">, </w:t>
      </w:r>
      <w:r w:rsidR="00972D2A" w:rsidRPr="0047146C">
        <w:rPr>
          <w:color w:val="000000"/>
          <w:lang w:val="en-US"/>
        </w:rPr>
        <w:t xml:space="preserve">to inform a </w:t>
      </w:r>
      <w:r w:rsidRPr="0047146C">
        <w:rPr>
          <w:color w:val="000000"/>
          <w:lang w:val="en-US"/>
        </w:rPr>
        <w:t>negotiat</w:t>
      </w:r>
      <w:r w:rsidR="00972D2A" w:rsidRPr="0047146C">
        <w:rPr>
          <w:color w:val="000000"/>
          <w:lang w:val="en-US"/>
        </w:rPr>
        <w:t>ion</w:t>
      </w:r>
      <w:r w:rsidRPr="0047146C">
        <w:rPr>
          <w:color w:val="000000"/>
          <w:lang w:val="en-US"/>
        </w:rPr>
        <w:t xml:space="preserve"> </w:t>
      </w:r>
      <w:r w:rsidR="00972D2A" w:rsidRPr="0047146C">
        <w:rPr>
          <w:color w:val="000000"/>
          <w:lang w:val="en-US"/>
        </w:rPr>
        <w:t xml:space="preserve">of the MBS fee </w:t>
      </w:r>
      <w:r w:rsidRPr="0047146C">
        <w:rPr>
          <w:color w:val="000000"/>
          <w:lang w:val="en-US"/>
        </w:rPr>
        <w:t xml:space="preserve">with the Department in consideration of the small number of providers for this service. </w:t>
      </w:r>
      <w:r w:rsidR="00413778" w:rsidRPr="0047146C">
        <w:rPr>
          <w:color w:val="000000"/>
          <w:lang w:val="en-US"/>
        </w:rPr>
        <w:t xml:space="preserve">Similarly, MSAC </w:t>
      </w:r>
      <w:r w:rsidRPr="0047146C">
        <w:rPr>
          <w:color w:val="000000"/>
          <w:lang w:val="en-US"/>
        </w:rPr>
        <w:t>also suggested that the PBAC may wish to negotiate the price of methoxsalen to lower the cost of the entire package.</w:t>
      </w:r>
    </w:p>
    <w:p w14:paraId="39BA91F0" w14:textId="6CDFF1EF" w:rsidR="00120CE2" w:rsidRPr="00120CE2" w:rsidRDefault="00120CE2" w:rsidP="00120CE2">
      <w:pPr>
        <w:spacing w:after="240"/>
        <w:rPr>
          <w:color w:val="000000"/>
        </w:rPr>
      </w:pPr>
      <w:r w:rsidRPr="0047146C">
        <w:rPr>
          <w:color w:val="000000"/>
        </w:rPr>
        <w:lastRenderedPageBreak/>
        <w:t xml:space="preserve">In the economic model, MSAC noted the applicant’s revisions to include multiple second-line agents with a 5-year time horizon, revised utilities and sensitivity analysis. MSAC noted the submission still had not included costs of treating adverse events. MSAC noted that the incremental cost-effectiveness ratio (ICER) is lower and more certain than in the original submission. MSAC also noted that the cost of brentuximab vedotin has a high impact on the ICER, and the applicant had included the </w:t>
      </w:r>
      <w:r w:rsidR="00972D2A" w:rsidRPr="0047146C">
        <w:rPr>
          <w:color w:val="000000"/>
        </w:rPr>
        <w:t>published</w:t>
      </w:r>
      <w:r w:rsidRPr="0047146C">
        <w:rPr>
          <w:color w:val="000000"/>
        </w:rPr>
        <w:t xml:space="preserve"> price of brentuximab vedotin, resulting in a</w:t>
      </w:r>
      <w:r w:rsidR="00D26B8B" w:rsidRPr="0047146C">
        <w:rPr>
          <w:color w:val="000000"/>
        </w:rPr>
        <w:t xml:space="preserve"> claim that ECP is dominant, that is, it would increase the number of </w:t>
      </w:r>
      <w:r w:rsidRPr="0047146C">
        <w:rPr>
          <w:color w:val="000000"/>
        </w:rPr>
        <w:t xml:space="preserve"> quality-adjusted life year</w:t>
      </w:r>
      <w:r w:rsidR="00D26B8B" w:rsidRPr="0047146C">
        <w:rPr>
          <w:color w:val="000000"/>
        </w:rPr>
        <w:t>s</w:t>
      </w:r>
      <w:r w:rsidRPr="0047146C">
        <w:rPr>
          <w:color w:val="000000"/>
        </w:rPr>
        <w:t xml:space="preserve"> (QALY</w:t>
      </w:r>
      <w:r w:rsidR="00D26B8B" w:rsidRPr="0047146C">
        <w:rPr>
          <w:color w:val="000000"/>
        </w:rPr>
        <w:t>s</w:t>
      </w:r>
      <w:r w:rsidRPr="0047146C">
        <w:rPr>
          <w:color w:val="000000"/>
        </w:rPr>
        <w:t>)</w:t>
      </w:r>
      <w:r w:rsidR="00D26B8B" w:rsidRPr="0047146C">
        <w:rPr>
          <w:color w:val="000000"/>
        </w:rPr>
        <w:t xml:space="preserve"> gained and would reduce overall costs</w:t>
      </w:r>
      <w:r w:rsidRPr="0047146C">
        <w:rPr>
          <w:color w:val="000000"/>
        </w:rPr>
        <w:t xml:space="preserve">. However, the </w:t>
      </w:r>
      <w:r w:rsidR="00972D2A" w:rsidRPr="0047146C">
        <w:rPr>
          <w:color w:val="000000"/>
        </w:rPr>
        <w:t>effective</w:t>
      </w:r>
      <w:r w:rsidRPr="0047146C">
        <w:rPr>
          <w:color w:val="000000"/>
        </w:rPr>
        <w:t xml:space="preserve"> price </w:t>
      </w:r>
      <w:r w:rsidR="00D26B8B" w:rsidRPr="0047146C">
        <w:rPr>
          <w:color w:val="000000"/>
        </w:rPr>
        <w:t xml:space="preserve">of brentuximab vedotin </w:t>
      </w:r>
      <w:r w:rsidRPr="0047146C">
        <w:rPr>
          <w:color w:val="000000"/>
        </w:rPr>
        <w:t xml:space="preserve">(which the applicant does not have access to) </w:t>
      </w:r>
      <w:r w:rsidRPr="006C5C73">
        <w:rPr>
          <w:color w:val="000000"/>
        </w:rPr>
        <w:t xml:space="preserve">is </w:t>
      </w:r>
      <w:r w:rsidR="006C5C73" w:rsidRPr="0004535E">
        <w:rPr>
          <w:b/>
          <w:color w:val="000000"/>
        </w:rPr>
        <w:t xml:space="preserve">redacted </w:t>
      </w:r>
      <w:bookmarkStart w:id="0" w:name="_GoBack"/>
      <w:bookmarkEnd w:id="0"/>
      <w:r w:rsidRPr="006C5C73">
        <w:rPr>
          <w:color w:val="000000"/>
        </w:rPr>
        <w:t>lower than</w:t>
      </w:r>
      <w:r w:rsidRPr="0047146C">
        <w:rPr>
          <w:color w:val="000000"/>
        </w:rPr>
        <w:t xml:space="preserve"> the </w:t>
      </w:r>
      <w:r w:rsidR="00D26B8B" w:rsidRPr="0047146C">
        <w:rPr>
          <w:color w:val="000000"/>
        </w:rPr>
        <w:t xml:space="preserve">published </w:t>
      </w:r>
      <w:r w:rsidRPr="0047146C">
        <w:rPr>
          <w:color w:val="000000"/>
        </w:rPr>
        <w:t xml:space="preserve">price; using the </w:t>
      </w:r>
      <w:r w:rsidR="00D26B8B" w:rsidRPr="0047146C">
        <w:rPr>
          <w:color w:val="000000"/>
        </w:rPr>
        <w:t>effective</w:t>
      </w:r>
      <w:r w:rsidRPr="0047146C">
        <w:rPr>
          <w:color w:val="000000"/>
        </w:rPr>
        <w:t xml:space="preserve"> price </w:t>
      </w:r>
      <w:r w:rsidR="00D26B8B" w:rsidRPr="0047146C">
        <w:rPr>
          <w:color w:val="000000"/>
        </w:rPr>
        <w:t xml:space="preserve">results in an </w:t>
      </w:r>
      <w:r w:rsidRPr="0047146C">
        <w:rPr>
          <w:color w:val="000000"/>
        </w:rPr>
        <w:t xml:space="preserve">ICER </w:t>
      </w:r>
      <w:r w:rsidR="00D26B8B" w:rsidRPr="0047146C">
        <w:rPr>
          <w:color w:val="000000"/>
        </w:rPr>
        <w:t xml:space="preserve">of </w:t>
      </w:r>
      <w:r w:rsidRPr="0047146C">
        <w:rPr>
          <w:color w:val="000000"/>
        </w:rPr>
        <w:t>$</w:t>
      </w:r>
      <w:r w:rsidR="0004535E" w:rsidRPr="0004535E">
        <w:rPr>
          <w:b/>
          <w:color w:val="000000"/>
        </w:rPr>
        <w:t>redacted</w:t>
      </w:r>
      <w:r w:rsidRPr="0004535E">
        <w:rPr>
          <w:b/>
          <w:color w:val="000000"/>
        </w:rPr>
        <w:t xml:space="preserve"> </w:t>
      </w:r>
      <w:r w:rsidRPr="0047146C">
        <w:rPr>
          <w:color w:val="000000"/>
        </w:rPr>
        <w:t xml:space="preserve">per QALY. MSAC advised that, </w:t>
      </w:r>
      <w:r w:rsidR="00066E9C" w:rsidRPr="0047146C">
        <w:rPr>
          <w:color w:val="000000"/>
        </w:rPr>
        <w:t>acknowledging</w:t>
      </w:r>
      <w:r w:rsidRPr="0047146C">
        <w:rPr>
          <w:color w:val="000000"/>
        </w:rPr>
        <w:t xml:space="preserve"> the small number of patients and high clinical need for this population, </w:t>
      </w:r>
      <w:r w:rsidR="00066E9C" w:rsidRPr="0047146C">
        <w:rPr>
          <w:color w:val="000000"/>
        </w:rPr>
        <w:t>ECP is probably cost-effective</w:t>
      </w:r>
      <w:r w:rsidRPr="0047146C">
        <w:rPr>
          <w:color w:val="000000"/>
        </w:rPr>
        <w:t>.</w:t>
      </w:r>
    </w:p>
    <w:p w14:paraId="457D8213" w14:textId="0CD8647D" w:rsidR="00120CE2" w:rsidRPr="00120CE2" w:rsidRDefault="00120CE2" w:rsidP="00120CE2">
      <w:pPr>
        <w:spacing w:after="240"/>
        <w:rPr>
          <w:color w:val="000000"/>
        </w:rPr>
      </w:pPr>
      <w:r w:rsidRPr="00120CE2">
        <w:rPr>
          <w:color w:val="000000"/>
        </w:rPr>
        <w:t>MSAC discussed the weighted proportional use of the comparators (46% methotrexate, 32% interferon</w:t>
      </w:r>
      <w:r w:rsidR="0007649E" w:rsidRPr="00182250">
        <w:t>-α</w:t>
      </w:r>
      <w:r w:rsidRPr="00120CE2">
        <w:rPr>
          <w:color w:val="000000"/>
        </w:rPr>
        <w:t>, 13% vorinostat, 9% brentuximab vedoti</w:t>
      </w:r>
      <w:r w:rsidR="002801E0">
        <w:rPr>
          <w:color w:val="000000"/>
        </w:rPr>
        <w:t xml:space="preserve">n), particularly the </w:t>
      </w:r>
      <w:r w:rsidR="002801E0" w:rsidRPr="00120CE2">
        <w:rPr>
          <w:color w:val="000000"/>
        </w:rPr>
        <w:t>split</w:t>
      </w:r>
      <w:r w:rsidR="002801E0">
        <w:rPr>
          <w:color w:val="000000"/>
        </w:rPr>
        <w:t xml:space="preserve"> between vorinostat and </w:t>
      </w:r>
      <w:r w:rsidRPr="00120CE2">
        <w:rPr>
          <w:color w:val="000000"/>
        </w:rPr>
        <w:t xml:space="preserve">brentuximab </w:t>
      </w:r>
      <w:r w:rsidR="002801E0" w:rsidRPr="00120CE2">
        <w:rPr>
          <w:color w:val="000000"/>
        </w:rPr>
        <w:t>vedotin</w:t>
      </w:r>
      <w:r w:rsidRPr="00120CE2">
        <w:rPr>
          <w:color w:val="000000"/>
        </w:rPr>
        <w:t>. The applicant’s pre-MSAC response noted that these proportions were based on PBS item reports at the time of submission (covering April 2019 to June 2019). Since then, data have become available to January 2020, which show an increase in weighted proportional use of brentuximab vedotin to 11%, and reduction in vorinostat to 11% (</w:t>
      </w:r>
      <w:r w:rsidR="002801E0">
        <w:rPr>
          <w:color w:val="000000"/>
        </w:rPr>
        <w:t xml:space="preserve">both </w:t>
      </w:r>
      <w:r w:rsidRPr="00120CE2">
        <w:rPr>
          <w:color w:val="000000"/>
        </w:rPr>
        <w:t xml:space="preserve">from April 2019 to January 2020). As such, the proportion of patients initiating brentuximab vedotin as a second-line treatment used in the weighted comparison in the submission (9%) is likely to be conservative. The Department confirmed that there had been a change in the proportional use of these treatments, and MSAC accepted that the </w:t>
      </w:r>
      <w:r w:rsidR="002801E0">
        <w:rPr>
          <w:color w:val="000000"/>
        </w:rPr>
        <w:t xml:space="preserve">initial </w:t>
      </w:r>
      <w:r w:rsidRPr="00120CE2">
        <w:rPr>
          <w:color w:val="000000"/>
        </w:rPr>
        <w:t>weighted proportion</w:t>
      </w:r>
      <w:r w:rsidR="002801E0">
        <w:rPr>
          <w:color w:val="000000"/>
        </w:rPr>
        <w:t>al use of the comparator</w:t>
      </w:r>
      <w:r w:rsidRPr="00120CE2">
        <w:rPr>
          <w:color w:val="000000"/>
        </w:rPr>
        <w:t>s w</w:t>
      </w:r>
      <w:r w:rsidR="002801E0">
        <w:rPr>
          <w:color w:val="000000"/>
        </w:rPr>
        <w:t>as acceptable</w:t>
      </w:r>
      <w:r w:rsidRPr="00120CE2">
        <w:rPr>
          <w:color w:val="000000"/>
        </w:rPr>
        <w:t>.</w:t>
      </w:r>
    </w:p>
    <w:p w14:paraId="7AF3DD3A" w14:textId="695E91EE" w:rsidR="00120CE2" w:rsidRPr="00120CE2" w:rsidRDefault="00120CE2" w:rsidP="00120CE2">
      <w:pPr>
        <w:spacing w:after="240"/>
        <w:rPr>
          <w:color w:val="000000"/>
        </w:rPr>
      </w:pPr>
      <w:r w:rsidRPr="00F5673B">
        <w:rPr>
          <w:color w:val="000000"/>
        </w:rPr>
        <w:t xml:space="preserve">MSAC </w:t>
      </w:r>
      <w:r w:rsidR="002801E0" w:rsidRPr="00F5673B">
        <w:rPr>
          <w:color w:val="000000"/>
        </w:rPr>
        <w:t xml:space="preserve">accepted </w:t>
      </w:r>
      <w:r w:rsidRPr="00F5673B">
        <w:rPr>
          <w:color w:val="000000"/>
        </w:rPr>
        <w:t xml:space="preserve">the </w:t>
      </w:r>
      <w:r w:rsidR="002801E0" w:rsidRPr="00F5673B">
        <w:rPr>
          <w:color w:val="000000"/>
        </w:rPr>
        <w:t xml:space="preserve">basis for the estimated </w:t>
      </w:r>
      <w:r w:rsidRPr="00F5673B">
        <w:rPr>
          <w:color w:val="000000"/>
        </w:rPr>
        <w:t>financial cost</w:t>
      </w:r>
      <w:r w:rsidR="002801E0" w:rsidRPr="00F5673B">
        <w:rPr>
          <w:color w:val="000000"/>
        </w:rPr>
        <w:t>s</w:t>
      </w:r>
      <w:r w:rsidRPr="00F5673B">
        <w:rPr>
          <w:color w:val="000000"/>
        </w:rPr>
        <w:t xml:space="preserve"> to the MBS over 5 years.</w:t>
      </w:r>
    </w:p>
    <w:p w14:paraId="5FCFB870" w14:textId="5A3C3729" w:rsidR="00242D8C" w:rsidRPr="00120CE2" w:rsidRDefault="00120CE2" w:rsidP="004C605E">
      <w:pPr>
        <w:spacing w:after="240"/>
        <w:rPr>
          <w:color w:val="000000"/>
        </w:rPr>
      </w:pPr>
      <w:r w:rsidRPr="00120CE2">
        <w:rPr>
          <w:color w:val="000000"/>
        </w:rPr>
        <w:t xml:space="preserve">MSAC accepted that equity of access for ECP is an issue, but that this would remain an issue whether ECP was listed on the MBS or not. MSAC recommended that the listing be reviewed in 2 years to monitor </w:t>
      </w:r>
      <w:r w:rsidR="003A2D37">
        <w:rPr>
          <w:color w:val="000000"/>
        </w:rPr>
        <w:t xml:space="preserve">for usage </w:t>
      </w:r>
      <w:r w:rsidR="00780622">
        <w:rPr>
          <w:color w:val="000000"/>
        </w:rPr>
        <w:t xml:space="preserve">beyond the </w:t>
      </w:r>
      <w:r w:rsidR="003A2D37">
        <w:rPr>
          <w:color w:val="000000"/>
        </w:rPr>
        <w:t>estimated volumes</w:t>
      </w:r>
      <w:r w:rsidRPr="00120CE2">
        <w:rPr>
          <w:color w:val="000000"/>
        </w:rPr>
        <w:t>.</w:t>
      </w:r>
    </w:p>
    <w:p w14:paraId="01016591" w14:textId="77777777" w:rsidR="004C605E" w:rsidRPr="00F715D1" w:rsidRDefault="004C605E" w:rsidP="004C605E">
      <w:pPr>
        <w:pStyle w:val="Heading1"/>
      </w:pPr>
      <w:r w:rsidRPr="00F715D1">
        <w:t>Background</w:t>
      </w:r>
    </w:p>
    <w:p w14:paraId="2DA21F61" w14:textId="672B844C" w:rsidR="006E4DE3" w:rsidRDefault="006E4DE3" w:rsidP="00B22DA6">
      <w:pPr>
        <w:spacing w:after="240"/>
      </w:pPr>
      <w:r>
        <w:t xml:space="preserve">This is the first resubmission </w:t>
      </w:r>
      <w:r w:rsidR="00DB7150" w:rsidRPr="00DB7150">
        <w:t xml:space="preserve">(applicant-developed assessment report; ADAR) </w:t>
      </w:r>
      <w:r>
        <w:t>of Application 1420.</w:t>
      </w:r>
    </w:p>
    <w:p w14:paraId="6F717C14" w14:textId="7C489111" w:rsidR="006E4DE3" w:rsidRPr="00DD63BA" w:rsidRDefault="006E4DE3" w:rsidP="006E4DE3">
      <w:pPr>
        <w:spacing w:after="240"/>
        <w:rPr>
          <w:szCs w:val="24"/>
        </w:rPr>
      </w:pPr>
      <w:r>
        <w:t xml:space="preserve">At </w:t>
      </w:r>
      <w:r w:rsidR="00B22DA6">
        <w:t>its</w:t>
      </w:r>
      <w:r>
        <w:t xml:space="preserve"> July 2017 meeting, MSAC </w:t>
      </w:r>
      <w:r w:rsidRPr="00DD63BA">
        <w:rPr>
          <w:szCs w:val="24"/>
        </w:rPr>
        <w:t>deferred its advice on public funding pending a revision of the economic model.</w:t>
      </w:r>
      <w:r w:rsidR="00120CE2">
        <w:rPr>
          <w:szCs w:val="24"/>
        </w:rPr>
        <w:t xml:space="preserve"> </w:t>
      </w:r>
      <w:r w:rsidRPr="00DD63BA">
        <w:rPr>
          <w:szCs w:val="24"/>
        </w:rPr>
        <w:t>MSAC accepted there was a high unmet clinical need and established clinical place for ECP. While MSAC noted that the condition was a rare disease and would have a limited budgetary impact, the evidence base was weak with a high and uncertain incremental cost-effectiveness ratio.</w:t>
      </w:r>
    </w:p>
    <w:p w14:paraId="6FB202EC" w14:textId="2BC4BBE6" w:rsidR="006E4DE3" w:rsidRPr="00DD63BA" w:rsidRDefault="006E4DE3" w:rsidP="006E4DE3">
      <w:pPr>
        <w:spacing w:after="240"/>
        <w:rPr>
          <w:szCs w:val="24"/>
        </w:rPr>
      </w:pPr>
      <w:r w:rsidRPr="00DD63BA">
        <w:rPr>
          <w:szCs w:val="24"/>
        </w:rPr>
        <w:t>MSAC noted that the PBS listing of vorinostat had substantially changed the treatment pathway for refractory erythrodermic CTCL and requested that the revised economic model only include comparators with accepted cost-effectiveness (methotrexate and vorinostat). MSAC also considered that there was a need to revisit the proposed MBS fee and align the MBS item descriptor an</w:t>
      </w:r>
      <w:r w:rsidR="00B22DA6">
        <w:rPr>
          <w:szCs w:val="24"/>
        </w:rPr>
        <w:t>d the proposed PBS restriction.</w:t>
      </w:r>
    </w:p>
    <w:p w14:paraId="1B271B16" w14:textId="0AA524A7" w:rsidR="006E4DE3" w:rsidRDefault="006E4DE3" w:rsidP="006E4DE3">
      <w:pPr>
        <w:spacing w:after="240"/>
        <w:rPr>
          <w:szCs w:val="24"/>
        </w:rPr>
      </w:pPr>
      <w:r w:rsidRPr="00DD63BA">
        <w:rPr>
          <w:szCs w:val="24"/>
        </w:rPr>
        <w:t>Any resubmission would need to be considered via ESC</w:t>
      </w:r>
      <w:r>
        <w:rPr>
          <w:szCs w:val="24"/>
        </w:rPr>
        <w:t xml:space="preserve"> (</w:t>
      </w:r>
      <w:hyperlink r:id="rId10" w:tooltip="Link to MSAC website page for application 1420" w:history="1">
        <w:r w:rsidRPr="00133341">
          <w:rPr>
            <w:rStyle w:val="Hyperlink"/>
            <w:szCs w:val="24"/>
          </w:rPr>
          <w:t>Public Summary Document [PSD] Application No. 1420</w:t>
        </w:r>
      </w:hyperlink>
      <w:r>
        <w:rPr>
          <w:szCs w:val="24"/>
        </w:rPr>
        <w:t>, 2017 p1).</w:t>
      </w:r>
    </w:p>
    <w:p w14:paraId="4646DE81" w14:textId="77777777" w:rsidR="006E4DE3" w:rsidRDefault="006E4DE3" w:rsidP="006E4DE3">
      <w:pPr>
        <w:spacing w:after="240"/>
        <w:rPr>
          <w:snapToGrid w:val="0"/>
        </w:rPr>
      </w:pPr>
      <w:r>
        <w:rPr>
          <w:szCs w:val="24"/>
        </w:rPr>
        <w:t xml:space="preserve">The commentary provided a </w:t>
      </w:r>
      <w:r>
        <w:rPr>
          <w:snapToGrid w:val="0"/>
        </w:rPr>
        <w:t>summary of outstanding matters of concern previously raised by MSAC in July 2017 and how the resubmission addressed those concerns (Table 1).</w:t>
      </w:r>
    </w:p>
    <w:p w14:paraId="27D2C797" w14:textId="77777777" w:rsidR="006E4DE3" w:rsidRPr="00181322" w:rsidRDefault="006E4DE3" w:rsidP="00181322">
      <w:pPr>
        <w:rPr>
          <w:rFonts w:ascii="Arial Narrow" w:hAnsi="Arial Narrow"/>
          <w:b/>
          <w:sz w:val="20"/>
        </w:rPr>
      </w:pPr>
      <w:bookmarkStart w:id="1" w:name="_Ref26364804"/>
      <w:r w:rsidRPr="00181322">
        <w:rPr>
          <w:rFonts w:ascii="Arial Narrow" w:hAnsi="Arial Narrow"/>
          <w:b/>
          <w:sz w:val="20"/>
        </w:rPr>
        <w:lastRenderedPageBreak/>
        <w:t xml:space="preserve">Table </w:t>
      </w:r>
      <w:bookmarkEnd w:id="1"/>
      <w:r w:rsidRPr="00181322">
        <w:rPr>
          <w:rFonts w:ascii="Arial Narrow" w:hAnsi="Arial Narrow"/>
          <w:b/>
          <w:sz w:val="20"/>
        </w:rPr>
        <w:t>1: Summary of outstanding matters of concern</w:t>
      </w:r>
    </w:p>
    <w:tbl>
      <w:tblPr>
        <w:tblStyle w:val="OPTUMTableNormal1"/>
        <w:tblW w:w="9067" w:type="dxa"/>
        <w:tblLook w:val="04A0" w:firstRow="1" w:lastRow="0" w:firstColumn="1" w:lastColumn="0" w:noHBand="0" w:noVBand="1"/>
        <w:tblCaption w:val="Table 1: Summary of outstanding matters of concern"/>
        <w:tblDescription w:val="Summary of outstanding matters of concern"/>
      </w:tblPr>
      <w:tblGrid>
        <w:gridCol w:w="1413"/>
        <w:gridCol w:w="3827"/>
        <w:gridCol w:w="3827"/>
      </w:tblGrid>
      <w:tr w:rsidR="006E4DE3" w:rsidRPr="00133341" w14:paraId="3F952814" w14:textId="77777777" w:rsidTr="002A72F7">
        <w:trPr>
          <w:cnfStyle w:val="100000000000" w:firstRow="1" w:lastRow="0" w:firstColumn="0" w:lastColumn="0" w:oddVBand="0" w:evenVBand="0" w:oddHBand="0" w:evenHBand="0" w:firstRowFirstColumn="0" w:firstRowLastColumn="0" w:lastRowFirstColumn="0" w:lastRowLastColumn="0"/>
          <w:cantSplit/>
          <w:tblHeader/>
        </w:trPr>
        <w:tc>
          <w:tcPr>
            <w:tcW w:w="1413" w:type="dxa"/>
          </w:tcPr>
          <w:p w14:paraId="5C3FC5B1" w14:textId="77777777" w:rsidR="006E4DE3" w:rsidRPr="00133341" w:rsidRDefault="006E4DE3" w:rsidP="00BC52A8">
            <w:pPr>
              <w:pStyle w:val="TableHeading9ptCent"/>
              <w:jc w:val="left"/>
              <w:rPr>
                <w:sz w:val="20"/>
              </w:rPr>
            </w:pPr>
            <w:r w:rsidRPr="00133341">
              <w:rPr>
                <w:sz w:val="20"/>
              </w:rPr>
              <w:t>Component</w:t>
            </w:r>
          </w:p>
        </w:tc>
        <w:tc>
          <w:tcPr>
            <w:tcW w:w="3827" w:type="dxa"/>
          </w:tcPr>
          <w:p w14:paraId="15900F57" w14:textId="77777777" w:rsidR="006E4DE3" w:rsidRPr="00133341" w:rsidRDefault="006E4DE3" w:rsidP="00BC52A8">
            <w:pPr>
              <w:pStyle w:val="TableHeading9ptCent"/>
              <w:jc w:val="left"/>
              <w:rPr>
                <w:sz w:val="20"/>
              </w:rPr>
            </w:pPr>
            <w:r w:rsidRPr="00133341">
              <w:rPr>
                <w:sz w:val="20"/>
              </w:rPr>
              <w:t xml:space="preserve">Matter of </w:t>
            </w:r>
            <w:r>
              <w:rPr>
                <w:sz w:val="20"/>
              </w:rPr>
              <w:t xml:space="preserve">MSAC </w:t>
            </w:r>
            <w:r w:rsidRPr="00133341">
              <w:rPr>
                <w:sz w:val="20"/>
              </w:rPr>
              <w:t>concern (July 2017)</w:t>
            </w:r>
          </w:p>
        </w:tc>
        <w:tc>
          <w:tcPr>
            <w:tcW w:w="3827" w:type="dxa"/>
          </w:tcPr>
          <w:p w14:paraId="52A92FA1" w14:textId="77777777" w:rsidR="006E4DE3" w:rsidRPr="00133341" w:rsidRDefault="006E4DE3" w:rsidP="00BC52A8">
            <w:pPr>
              <w:pStyle w:val="TableHeading9ptCent"/>
              <w:jc w:val="left"/>
              <w:rPr>
                <w:sz w:val="20"/>
              </w:rPr>
            </w:pPr>
            <w:r w:rsidRPr="00133341">
              <w:rPr>
                <w:sz w:val="20"/>
              </w:rPr>
              <w:t>How the resubmission addresses it</w:t>
            </w:r>
          </w:p>
        </w:tc>
      </w:tr>
      <w:tr w:rsidR="006E4DE3" w:rsidRPr="00133341" w14:paraId="742D5301" w14:textId="77777777" w:rsidTr="002A72F7">
        <w:trPr>
          <w:cantSplit/>
        </w:trPr>
        <w:tc>
          <w:tcPr>
            <w:tcW w:w="1413" w:type="dxa"/>
          </w:tcPr>
          <w:p w14:paraId="582F5304" w14:textId="77777777" w:rsidR="006E4DE3" w:rsidRPr="00133341" w:rsidRDefault="006E4DE3" w:rsidP="00BC52A8">
            <w:pPr>
              <w:rPr>
                <w:rFonts w:ascii="Arial Narrow" w:hAnsi="Arial Narrow"/>
                <w:sz w:val="20"/>
                <w:lang w:eastAsia="en-US"/>
              </w:rPr>
            </w:pPr>
            <w:r w:rsidRPr="00133341">
              <w:rPr>
                <w:rFonts w:ascii="Arial Narrow" w:hAnsi="Arial Narrow"/>
                <w:sz w:val="20"/>
                <w:lang w:eastAsia="en-US"/>
              </w:rPr>
              <w:t>Comparators</w:t>
            </w:r>
          </w:p>
        </w:tc>
        <w:tc>
          <w:tcPr>
            <w:tcW w:w="3827" w:type="dxa"/>
          </w:tcPr>
          <w:p w14:paraId="2A90B2CC" w14:textId="6BC28518" w:rsidR="006E4DE3" w:rsidRPr="00133341" w:rsidRDefault="006E4DE3" w:rsidP="00BC52A8">
            <w:pPr>
              <w:rPr>
                <w:rFonts w:ascii="Arial Narrow" w:hAnsi="Arial Narrow"/>
                <w:sz w:val="20"/>
                <w:lang w:eastAsia="en-US"/>
              </w:rPr>
            </w:pPr>
            <w:r w:rsidRPr="00133341">
              <w:rPr>
                <w:rFonts w:ascii="Arial Narrow" w:hAnsi="Arial Narrow"/>
                <w:sz w:val="20"/>
                <w:lang w:eastAsia="en-US"/>
              </w:rPr>
              <w:t>Alemtuzumab inappropriate; interferon</w:t>
            </w:r>
            <w:r w:rsidR="0007649E" w:rsidRPr="0007649E">
              <w:rPr>
                <w:rFonts w:ascii="Arial Narrow" w:hAnsi="Arial Narrow"/>
                <w:sz w:val="20"/>
              </w:rPr>
              <w:t>-α</w:t>
            </w:r>
            <w:r w:rsidRPr="00133341">
              <w:rPr>
                <w:rFonts w:ascii="Arial Narrow" w:hAnsi="Arial Narrow"/>
                <w:sz w:val="20"/>
                <w:lang w:eastAsia="en-US"/>
              </w:rPr>
              <w:t xml:space="preserve"> not acceptably cost-effective; vorinostat to be included (p3, 1420 PSD, July 2017).</w:t>
            </w:r>
          </w:p>
        </w:tc>
        <w:tc>
          <w:tcPr>
            <w:tcW w:w="3827" w:type="dxa"/>
          </w:tcPr>
          <w:p w14:paraId="0C27F6A2" w14:textId="37AFFA13" w:rsidR="006E4DE3" w:rsidRPr="00133341" w:rsidRDefault="006E4DE3" w:rsidP="00525F4F">
            <w:pPr>
              <w:rPr>
                <w:rFonts w:ascii="Arial Narrow" w:hAnsi="Arial Narrow"/>
                <w:sz w:val="20"/>
                <w:lang w:eastAsia="en-US"/>
              </w:rPr>
            </w:pPr>
            <w:r w:rsidRPr="00133341">
              <w:rPr>
                <w:rFonts w:ascii="Arial Narrow" w:hAnsi="Arial Narrow"/>
                <w:sz w:val="20"/>
                <w:lang w:eastAsia="en-US"/>
              </w:rPr>
              <w:t xml:space="preserve">Alemtuzumab removed; </w:t>
            </w:r>
            <w:r w:rsidR="004661D1">
              <w:rPr>
                <w:rFonts w:ascii="Arial Narrow" w:hAnsi="Arial Narrow"/>
                <w:sz w:val="20"/>
                <w:lang w:eastAsia="en-US"/>
              </w:rPr>
              <w:t>interferon</w:t>
            </w:r>
            <w:r w:rsidR="0007649E" w:rsidRPr="0007649E">
              <w:rPr>
                <w:rFonts w:ascii="Arial Narrow" w:hAnsi="Arial Narrow"/>
                <w:sz w:val="20"/>
              </w:rPr>
              <w:t>-α</w:t>
            </w:r>
            <w:r w:rsidR="004661D1">
              <w:rPr>
                <w:rFonts w:ascii="Arial Narrow" w:hAnsi="Arial Narrow"/>
                <w:sz w:val="20"/>
                <w:lang w:eastAsia="en-US"/>
              </w:rPr>
              <w:t xml:space="preserve"> retained (interferon</w:t>
            </w:r>
            <w:r w:rsidR="00571064">
              <w:rPr>
                <w:rFonts w:ascii="Arial Narrow" w:hAnsi="Arial Narrow"/>
                <w:sz w:val="20"/>
                <w:lang w:eastAsia="en-US"/>
              </w:rPr>
              <w:t>-</w:t>
            </w:r>
            <w:r w:rsidR="004661D1" w:rsidRPr="004661D1">
              <w:rPr>
                <w:rFonts w:ascii="Arial Narrow" w:hAnsi="Arial Narrow"/>
                <w:sz w:val="20"/>
              </w:rPr>
              <w:t>α</w:t>
            </w:r>
            <w:r w:rsidRPr="00133341">
              <w:rPr>
                <w:rFonts w:ascii="Arial Narrow" w:hAnsi="Arial Narrow"/>
                <w:sz w:val="20"/>
                <w:lang w:eastAsia="en-US"/>
              </w:rPr>
              <w:t>2a is TGA approved for CTCL</w:t>
            </w:r>
            <w:r w:rsidR="00525F4F">
              <w:rPr>
                <w:rFonts w:ascii="Arial Narrow" w:hAnsi="Arial Narrow"/>
                <w:sz w:val="20"/>
                <w:lang w:eastAsia="en-US"/>
              </w:rPr>
              <w:t>,</w:t>
            </w:r>
            <w:r w:rsidRPr="00133341">
              <w:rPr>
                <w:rFonts w:ascii="Arial Narrow" w:hAnsi="Arial Narrow"/>
                <w:i/>
                <w:sz w:val="20"/>
                <w:lang w:eastAsia="en-US"/>
              </w:rPr>
              <w:t xml:space="preserve"> but not subsidised on PBS</w:t>
            </w:r>
            <w:r w:rsidR="004661D1">
              <w:rPr>
                <w:rFonts w:ascii="Arial Narrow" w:hAnsi="Arial Narrow"/>
                <w:i/>
                <w:sz w:val="20"/>
                <w:lang w:eastAsia="en-US"/>
              </w:rPr>
              <w:t xml:space="preserve"> for CTCL</w:t>
            </w:r>
            <w:r w:rsidR="00525F4F">
              <w:rPr>
                <w:rFonts w:ascii="Arial Narrow" w:hAnsi="Arial Narrow"/>
                <w:i/>
                <w:sz w:val="20"/>
                <w:lang w:eastAsia="en-US"/>
              </w:rPr>
              <w:t>; peg</w:t>
            </w:r>
            <w:r w:rsidR="00525F4F">
              <w:t xml:space="preserve"> </w:t>
            </w:r>
            <w:r w:rsidR="00525F4F" w:rsidRPr="00525F4F">
              <w:rPr>
                <w:rFonts w:ascii="Arial Narrow" w:hAnsi="Arial Narrow"/>
                <w:i/>
                <w:sz w:val="20"/>
                <w:lang w:eastAsia="en-US"/>
              </w:rPr>
              <w:t>interferon-α2a</w:t>
            </w:r>
            <w:r w:rsidR="00525F4F">
              <w:rPr>
                <w:rFonts w:ascii="Arial Narrow" w:hAnsi="Arial Narrow"/>
                <w:i/>
                <w:sz w:val="20"/>
                <w:lang w:eastAsia="en-US"/>
              </w:rPr>
              <w:t xml:space="preserve"> is not TGA approved for CTCL, but is PBS-listed without restriction</w:t>
            </w:r>
            <w:r w:rsidRPr="00133341">
              <w:rPr>
                <w:rFonts w:ascii="Arial Narrow" w:hAnsi="Arial Narrow"/>
                <w:i/>
                <w:sz w:val="20"/>
                <w:lang w:eastAsia="en-US"/>
              </w:rPr>
              <w:t>)</w:t>
            </w:r>
            <w:r w:rsidRPr="00133341">
              <w:rPr>
                <w:rFonts w:ascii="Arial Narrow" w:hAnsi="Arial Narrow"/>
                <w:sz w:val="20"/>
                <w:lang w:eastAsia="en-US"/>
              </w:rPr>
              <w:t xml:space="preserve">; vorinostat </w:t>
            </w:r>
            <w:r w:rsidRPr="00133341">
              <w:rPr>
                <w:rFonts w:ascii="Arial Narrow" w:hAnsi="Arial Narrow"/>
                <w:i/>
                <w:sz w:val="20"/>
                <w:lang w:eastAsia="en-US"/>
              </w:rPr>
              <w:t xml:space="preserve">and brentuximab vedotin (for CD30 positive patients only) </w:t>
            </w:r>
            <w:r w:rsidRPr="00133341">
              <w:rPr>
                <w:rFonts w:ascii="Arial Narrow" w:hAnsi="Arial Narrow"/>
                <w:sz w:val="20"/>
                <w:lang w:eastAsia="en-US"/>
              </w:rPr>
              <w:t xml:space="preserve">included. </w:t>
            </w:r>
            <w:r w:rsidRPr="00133341">
              <w:rPr>
                <w:rFonts w:ascii="Arial Narrow" w:hAnsi="Arial Narrow"/>
                <w:i/>
                <w:sz w:val="20"/>
                <w:lang w:eastAsia="en-US"/>
              </w:rPr>
              <w:t>Inclusion of int</w:t>
            </w:r>
            <w:r w:rsidR="00B22DA6">
              <w:rPr>
                <w:rFonts w:ascii="Arial Narrow" w:hAnsi="Arial Narrow"/>
                <w:i/>
                <w:sz w:val="20"/>
                <w:lang w:eastAsia="en-US"/>
              </w:rPr>
              <w:t>erferon</w:t>
            </w:r>
            <w:r w:rsidR="0007649E" w:rsidRPr="0007649E">
              <w:rPr>
                <w:rFonts w:ascii="Arial Narrow" w:hAnsi="Arial Narrow"/>
                <w:i/>
                <w:sz w:val="20"/>
              </w:rPr>
              <w:t>-α</w:t>
            </w:r>
            <w:r w:rsidR="00B22DA6">
              <w:rPr>
                <w:rFonts w:ascii="Arial Narrow" w:hAnsi="Arial Narrow"/>
                <w:i/>
                <w:sz w:val="20"/>
                <w:lang w:eastAsia="en-US"/>
              </w:rPr>
              <w:t xml:space="preserve"> may not be appropriate.</w:t>
            </w:r>
          </w:p>
        </w:tc>
      </w:tr>
      <w:tr w:rsidR="006E4DE3" w:rsidRPr="00133341" w14:paraId="68DCE47F" w14:textId="77777777" w:rsidTr="002A72F7">
        <w:trPr>
          <w:cantSplit/>
        </w:trPr>
        <w:tc>
          <w:tcPr>
            <w:tcW w:w="1413" w:type="dxa"/>
          </w:tcPr>
          <w:p w14:paraId="09D64960" w14:textId="77777777" w:rsidR="006E4DE3" w:rsidRPr="00133341" w:rsidRDefault="006E4DE3" w:rsidP="00BC52A8">
            <w:pPr>
              <w:rPr>
                <w:rFonts w:ascii="Arial Narrow" w:hAnsi="Arial Narrow"/>
                <w:sz w:val="20"/>
                <w:lang w:eastAsia="en-US"/>
              </w:rPr>
            </w:pPr>
            <w:r w:rsidRPr="00133341">
              <w:rPr>
                <w:rFonts w:ascii="Arial Narrow" w:hAnsi="Arial Narrow"/>
                <w:sz w:val="20"/>
                <w:lang w:eastAsia="en-US"/>
              </w:rPr>
              <w:t>MBS descriptor and PBS restriction</w:t>
            </w:r>
          </w:p>
        </w:tc>
        <w:tc>
          <w:tcPr>
            <w:tcW w:w="3827" w:type="dxa"/>
          </w:tcPr>
          <w:p w14:paraId="7CC98CA9" w14:textId="77777777" w:rsidR="006E4DE3" w:rsidRPr="00133341" w:rsidRDefault="006E4DE3" w:rsidP="00BC52A8">
            <w:pPr>
              <w:rPr>
                <w:rFonts w:ascii="Arial Narrow" w:hAnsi="Arial Narrow"/>
                <w:sz w:val="20"/>
                <w:lang w:eastAsia="en-US"/>
              </w:rPr>
            </w:pPr>
            <w:r w:rsidRPr="00133341">
              <w:rPr>
                <w:rFonts w:ascii="Arial Narrow" w:hAnsi="Arial Narrow"/>
                <w:sz w:val="20"/>
                <w:lang w:eastAsia="en-US"/>
              </w:rPr>
              <w:t>Inconsistencies between proposed MBS descriptor and PBS restriction (p4, 1420 PSD, July 2017).</w:t>
            </w:r>
          </w:p>
          <w:p w14:paraId="640DE61E" w14:textId="77777777" w:rsidR="006E4DE3" w:rsidRPr="00133341" w:rsidRDefault="006E4DE3" w:rsidP="007D65A9">
            <w:pPr>
              <w:spacing w:before="240"/>
              <w:rPr>
                <w:rFonts w:ascii="Arial Narrow" w:hAnsi="Arial Narrow"/>
                <w:sz w:val="20"/>
                <w:lang w:eastAsia="en-US"/>
              </w:rPr>
            </w:pPr>
            <w:r w:rsidRPr="00133341">
              <w:rPr>
                <w:rFonts w:ascii="Arial Narrow" w:hAnsi="Arial Narrow"/>
                <w:sz w:val="20"/>
                <w:lang w:eastAsia="en-US"/>
              </w:rPr>
              <w:t>Revisit MBS fee by reducing or providing stronger justification for costs (particularly consumables) (p4 and p12, 1420 PSD, July 2017)</w:t>
            </w:r>
            <w:r w:rsidRPr="00133341">
              <w:rPr>
                <w:sz w:val="20"/>
                <w:lang w:eastAsia="en-US"/>
              </w:rPr>
              <w:t>.</w:t>
            </w:r>
          </w:p>
        </w:tc>
        <w:tc>
          <w:tcPr>
            <w:tcW w:w="3827" w:type="dxa"/>
          </w:tcPr>
          <w:p w14:paraId="0441EC5C" w14:textId="77777777" w:rsidR="006E4DE3" w:rsidRPr="00133341" w:rsidRDefault="006E4DE3" w:rsidP="00BC52A8">
            <w:pPr>
              <w:rPr>
                <w:rFonts w:ascii="Arial Narrow" w:hAnsi="Arial Narrow"/>
                <w:i/>
                <w:sz w:val="20"/>
                <w:lang w:eastAsia="en-US"/>
              </w:rPr>
            </w:pPr>
            <w:r w:rsidRPr="00133341">
              <w:rPr>
                <w:rFonts w:ascii="Arial Narrow" w:hAnsi="Arial Narrow"/>
                <w:sz w:val="20"/>
                <w:lang w:eastAsia="en-US"/>
              </w:rPr>
              <w:t>Updated to improve consistency.</w:t>
            </w:r>
            <w:r w:rsidRPr="00133341">
              <w:rPr>
                <w:rFonts w:ascii="Arial Narrow" w:hAnsi="Arial Narrow"/>
                <w:i/>
                <w:sz w:val="20"/>
                <w:lang w:eastAsia="en-US"/>
              </w:rPr>
              <w:t xml:space="preserve"> No statement included to limit consecutive day claiming.</w:t>
            </w:r>
          </w:p>
          <w:p w14:paraId="7B904611" w14:textId="77777777" w:rsidR="006E4DE3" w:rsidRPr="00133341" w:rsidRDefault="006E4DE3" w:rsidP="007D65A9">
            <w:pPr>
              <w:spacing w:before="240"/>
              <w:rPr>
                <w:rFonts w:ascii="Arial Narrow" w:hAnsi="Arial Narrow"/>
                <w:sz w:val="20"/>
                <w:lang w:eastAsia="en-US"/>
              </w:rPr>
            </w:pPr>
            <w:r w:rsidRPr="00133341">
              <w:rPr>
                <w:rFonts w:ascii="Arial Narrow" w:hAnsi="Arial Narrow"/>
                <w:i/>
                <w:sz w:val="20"/>
                <w:lang w:eastAsia="en-US"/>
              </w:rPr>
              <w:t>Not fully addressed.</w:t>
            </w:r>
          </w:p>
        </w:tc>
      </w:tr>
      <w:tr w:rsidR="006E4DE3" w:rsidRPr="00133341" w14:paraId="2DF62717" w14:textId="77777777" w:rsidTr="002A72F7">
        <w:trPr>
          <w:cantSplit/>
        </w:trPr>
        <w:tc>
          <w:tcPr>
            <w:tcW w:w="1413" w:type="dxa"/>
          </w:tcPr>
          <w:p w14:paraId="7D36D2BF" w14:textId="77777777" w:rsidR="006E4DE3" w:rsidRPr="00133341" w:rsidRDefault="006E4DE3" w:rsidP="00BC52A8">
            <w:pPr>
              <w:rPr>
                <w:rFonts w:ascii="Arial Narrow" w:hAnsi="Arial Narrow"/>
                <w:sz w:val="20"/>
                <w:lang w:eastAsia="en-US"/>
              </w:rPr>
            </w:pPr>
            <w:r w:rsidRPr="00133341">
              <w:rPr>
                <w:rFonts w:ascii="Arial Narrow" w:hAnsi="Arial Narrow"/>
                <w:sz w:val="20"/>
                <w:lang w:eastAsia="en-US"/>
              </w:rPr>
              <w:t>Primary evidence</w:t>
            </w:r>
          </w:p>
        </w:tc>
        <w:tc>
          <w:tcPr>
            <w:tcW w:w="3827" w:type="dxa"/>
          </w:tcPr>
          <w:p w14:paraId="3B3FD7D5" w14:textId="77777777" w:rsidR="006E4DE3" w:rsidRPr="00133341" w:rsidRDefault="006E4DE3" w:rsidP="00BC52A8">
            <w:pPr>
              <w:rPr>
                <w:rFonts w:ascii="Arial Narrow" w:hAnsi="Arial Narrow"/>
                <w:sz w:val="20"/>
                <w:lang w:eastAsia="en-US"/>
              </w:rPr>
            </w:pPr>
            <w:r w:rsidRPr="00133341">
              <w:rPr>
                <w:rFonts w:ascii="Arial Narrow" w:hAnsi="Arial Narrow"/>
                <w:sz w:val="20"/>
                <w:lang w:eastAsia="en-US"/>
              </w:rPr>
              <w:t>Hughes 2015 considered to have high heterogeneity and likely to be at high risk of bias (p2 and p10, 1420 PSD, July 2017).</w:t>
            </w:r>
          </w:p>
        </w:tc>
        <w:tc>
          <w:tcPr>
            <w:tcW w:w="3827" w:type="dxa"/>
          </w:tcPr>
          <w:p w14:paraId="1B47D654" w14:textId="5CAAC6B1" w:rsidR="006E4DE3" w:rsidRPr="00133341" w:rsidRDefault="006E4DE3" w:rsidP="00BC52A8">
            <w:pPr>
              <w:rPr>
                <w:rFonts w:ascii="Arial Narrow" w:hAnsi="Arial Narrow"/>
                <w:sz w:val="20"/>
                <w:lang w:eastAsia="en-US"/>
              </w:rPr>
            </w:pPr>
            <w:r w:rsidRPr="00133341">
              <w:rPr>
                <w:rFonts w:ascii="Arial Narrow" w:hAnsi="Arial Narrow"/>
                <w:sz w:val="20"/>
                <w:lang w:eastAsia="en-US"/>
              </w:rPr>
              <w:t xml:space="preserve">Updated analysis of Hughes cohort is presented in Gao </w:t>
            </w:r>
            <w:r w:rsidRPr="00133341">
              <w:rPr>
                <w:rFonts w:ascii="Arial Narrow" w:hAnsi="Arial Narrow"/>
                <w:i/>
                <w:sz w:val="20"/>
                <w:lang w:eastAsia="en-US"/>
              </w:rPr>
              <w:t xml:space="preserve">et al, </w:t>
            </w:r>
            <w:r w:rsidRPr="00133341">
              <w:rPr>
                <w:rFonts w:ascii="Arial Narrow" w:hAnsi="Arial Narrow"/>
                <w:sz w:val="20"/>
                <w:lang w:eastAsia="en-US"/>
              </w:rPr>
              <w:t xml:space="preserve">2019; </w:t>
            </w:r>
            <w:r w:rsidRPr="00133341">
              <w:rPr>
                <w:rFonts w:ascii="Arial Narrow" w:hAnsi="Arial Narrow"/>
                <w:i/>
                <w:sz w:val="20"/>
                <w:lang w:eastAsia="en-US"/>
              </w:rPr>
              <w:t>Limited reporting necessitated sourcing of data from TG</w:t>
            </w:r>
            <w:r>
              <w:rPr>
                <w:rFonts w:ascii="Arial Narrow" w:hAnsi="Arial Narrow"/>
                <w:i/>
                <w:sz w:val="20"/>
                <w:lang w:eastAsia="en-US"/>
              </w:rPr>
              <w:t>A report (Prince et al, 2019); l</w:t>
            </w:r>
            <w:r w:rsidRPr="00133341">
              <w:rPr>
                <w:rFonts w:ascii="Arial Narrow" w:hAnsi="Arial Narrow"/>
                <w:i/>
                <w:sz w:val="20"/>
                <w:lang w:eastAsia="en-US"/>
              </w:rPr>
              <w:t>ikely to be at high risk of bias</w:t>
            </w:r>
            <w:r w:rsidR="00B22DA6">
              <w:rPr>
                <w:rFonts w:ascii="Arial Narrow" w:hAnsi="Arial Narrow"/>
                <w:sz w:val="20"/>
                <w:lang w:eastAsia="en-US"/>
              </w:rPr>
              <w:t>.</w:t>
            </w:r>
          </w:p>
        </w:tc>
      </w:tr>
      <w:tr w:rsidR="006E4DE3" w:rsidRPr="00133341" w14:paraId="24F1B027" w14:textId="77777777" w:rsidTr="002A72F7">
        <w:trPr>
          <w:cantSplit/>
          <w:trHeight w:val="820"/>
        </w:trPr>
        <w:tc>
          <w:tcPr>
            <w:tcW w:w="1413" w:type="dxa"/>
          </w:tcPr>
          <w:p w14:paraId="57465746" w14:textId="77777777" w:rsidR="006E4DE3" w:rsidRPr="00133341" w:rsidRDefault="006E4DE3" w:rsidP="00BC52A8">
            <w:pPr>
              <w:rPr>
                <w:rFonts w:ascii="Arial Narrow" w:hAnsi="Arial Narrow"/>
                <w:sz w:val="20"/>
                <w:lang w:eastAsia="en-US"/>
              </w:rPr>
            </w:pPr>
            <w:r w:rsidRPr="00133341">
              <w:rPr>
                <w:rFonts w:ascii="Arial Narrow" w:hAnsi="Arial Narrow"/>
                <w:sz w:val="20"/>
                <w:lang w:eastAsia="en-US"/>
              </w:rPr>
              <w:t>Comparative efficacy</w:t>
            </w:r>
          </w:p>
        </w:tc>
        <w:tc>
          <w:tcPr>
            <w:tcW w:w="3827" w:type="dxa"/>
          </w:tcPr>
          <w:p w14:paraId="4949D7B5" w14:textId="0F47BC0A" w:rsidR="006E4DE3" w:rsidRPr="00133341" w:rsidRDefault="006E4DE3" w:rsidP="00BC52A8">
            <w:pPr>
              <w:rPr>
                <w:rFonts w:ascii="Arial Narrow" w:hAnsi="Arial Narrow"/>
                <w:sz w:val="20"/>
                <w:lang w:eastAsia="en-US"/>
              </w:rPr>
            </w:pPr>
            <w:r w:rsidRPr="00133341">
              <w:rPr>
                <w:rFonts w:ascii="Arial Narrow" w:hAnsi="Arial Narrow"/>
                <w:sz w:val="20"/>
                <w:lang w:eastAsia="en-US"/>
              </w:rPr>
              <w:t>No direct comparative data available on the survival (or clinical response) of ECP treatment in patients with CTCL (T</w:t>
            </w:r>
            <w:r w:rsidRPr="00133341">
              <w:rPr>
                <w:rFonts w:ascii="Arial Narrow" w:hAnsi="Arial Narrow"/>
                <w:sz w:val="20"/>
                <w:vertAlign w:val="subscript"/>
                <w:lang w:eastAsia="en-US"/>
              </w:rPr>
              <w:t>4</w:t>
            </w:r>
            <w:r w:rsidRPr="00133341">
              <w:rPr>
                <w:rFonts w:ascii="Arial Narrow" w:hAnsi="Arial Narrow"/>
                <w:sz w:val="20"/>
                <w:lang w:eastAsia="en-US"/>
              </w:rPr>
              <w:t>, M</w:t>
            </w:r>
            <w:r w:rsidRPr="00133341">
              <w:rPr>
                <w:rFonts w:ascii="Arial Narrow" w:hAnsi="Arial Narrow"/>
                <w:sz w:val="20"/>
                <w:vertAlign w:val="subscript"/>
                <w:lang w:eastAsia="en-US"/>
              </w:rPr>
              <w:t>0</w:t>
            </w:r>
            <w:r w:rsidRPr="00133341">
              <w:rPr>
                <w:rFonts w:ascii="Arial Narrow" w:hAnsi="Arial Narrow"/>
                <w:sz w:val="20"/>
                <w:lang w:eastAsia="en-US"/>
              </w:rPr>
              <w:t>) (p7, 1420 PSD, July 2017)</w:t>
            </w:r>
            <w:r w:rsidR="00B22DA6">
              <w:rPr>
                <w:rFonts w:ascii="Arial Narrow" w:hAnsi="Arial Narrow"/>
                <w:sz w:val="20"/>
                <w:lang w:eastAsia="en-US"/>
              </w:rPr>
              <w:t>.</w:t>
            </w:r>
          </w:p>
        </w:tc>
        <w:tc>
          <w:tcPr>
            <w:tcW w:w="3827" w:type="dxa"/>
          </w:tcPr>
          <w:p w14:paraId="626A5953" w14:textId="2724AF13" w:rsidR="006E4DE3" w:rsidRPr="00133341" w:rsidRDefault="008F219D" w:rsidP="00BF6B4E">
            <w:pPr>
              <w:rPr>
                <w:rFonts w:ascii="Arial Narrow" w:hAnsi="Arial Narrow"/>
                <w:sz w:val="20"/>
                <w:lang w:eastAsia="en-US"/>
              </w:rPr>
            </w:pPr>
            <w:r>
              <w:rPr>
                <w:rFonts w:ascii="Arial Narrow" w:hAnsi="Arial Narrow"/>
                <w:sz w:val="20"/>
                <w:lang w:eastAsia="en-US"/>
              </w:rPr>
              <w:t>Unchanged.</w:t>
            </w:r>
          </w:p>
        </w:tc>
      </w:tr>
      <w:tr w:rsidR="008F219D" w:rsidRPr="00133341" w14:paraId="1D2FF5A4" w14:textId="77777777" w:rsidTr="002A72F7">
        <w:trPr>
          <w:cantSplit/>
          <w:trHeight w:val="1708"/>
        </w:trPr>
        <w:tc>
          <w:tcPr>
            <w:tcW w:w="1413" w:type="dxa"/>
          </w:tcPr>
          <w:p w14:paraId="66FF8A54" w14:textId="77777777" w:rsidR="008F219D" w:rsidRPr="00133341" w:rsidRDefault="008F219D" w:rsidP="00BC52A8">
            <w:pPr>
              <w:rPr>
                <w:rFonts w:ascii="Arial Narrow" w:hAnsi="Arial Narrow"/>
                <w:sz w:val="20"/>
                <w:lang w:eastAsia="en-US"/>
              </w:rPr>
            </w:pPr>
          </w:p>
        </w:tc>
        <w:tc>
          <w:tcPr>
            <w:tcW w:w="3827" w:type="dxa"/>
          </w:tcPr>
          <w:p w14:paraId="746AA143" w14:textId="77777777" w:rsidR="008F219D" w:rsidRPr="00133341" w:rsidRDefault="008F219D" w:rsidP="008F219D">
            <w:pPr>
              <w:rPr>
                <w:rFonts w:ascii="Arial Narrow" w:hAnsi="Arial Narrow"/>
                <w:sz w:val="20"/>
                <w:lang w:eastAsia="en-US"/>
              </w:rPr>
            </w:pPr>
            <w:r w:rsidRPr="00133341">
              <w:rPr>
                <w:rFonts w:ascii="Arial Narrow" w:hAnsi="Arial Narrow"/>
                <w:iCs/>
                <w:sz w:val="20"/>
                <w:lang w:eastAsia="en-US"/>
              </w:rPr>
              <w:t>Limited applicability of the three single-arm studies to likely benefit of ECP for the requested listing – including the provision of concomitant systematic therapy, proportion of patients with SS, and methoxsalen formulation (oral vs extracorporeal)</w:t>
            </w:r>
            <w:r w:rsidRPr="00133341">
              <w:rPr>
                <w:rFonts w:ascii="Arial Narrow" w:hAnsi="Arial Narrow"/>
                <w:sz w:val="20"/>
                <w:lang w:eastAsia="en-US"/>
              </w:rPr>
              <w:t xml:space="preserve"> (p8, 1420 PSD, July 2017).</w:t>
            </w:r>
          </w:p>
        </w:tc>
        <w:tc>
          <w:tcPr>
            <w:tcW w:w="3827" w:type="dxa"/>
          </w:tcPr>
          <w:p w14:paraId="39B984FF" w14:textId="77777777" w:rsidR="008F219D" w:rsidRPr="00133341" w:rsidRDefault="008F219D" w:rsidP="008F219D">
            <w:pPr>
              <w:rPr>
                <w:rFonts w:ascii="Arial Narrow" w:hAnsi="Arial Narrow"/>
                <w:sz w:val="20"/>
                <w:lang w:eastAsia="en-US"/>
              </w:rPr>
            </w:pPr>
            <w:r w:rsidRPr="00133341">
              <w:rPr>
                <w:rFonts w:ascii="Arial Narrow" w:hAnsi="Arial Narrow"/>
                <w:i/>
                <w:iCs/>
                <w:sz w:val="20"/>
                <w:lang w:eastAsia="en-US"/>
              </w:rPr>
              <w:t xml:space="preserve">Same three single-arm studies in used to compare ECP response rates and survival in indirect treatment comparison with other studies using brentuximab vedotin and vorinostat. </w:t>
            </w:r>
            <w:r w:rsidRPr="00133341">
              <w:rPr>
                <w:rFonts w:ascii="Arial Narrow" w:hAnsi="Arial Narrow"/>
                <w:i/>
                <w:sz w:val="20"/>
                <w:lang w:eastAsia="en-US"/>
              </w:rPr>
              <w:t>Heterogeneity between baseline demographics, disease stage/severity, definitions of key response and survival outcomes limited interpretation of results.</w:t>
            </w:r>
          </w:p>
        </w:tc>
      </w:tr>
      <w:tr w:rsidR="006E4DE3" w:rsidRPr="00133341" w14:paraId="2BEDF27A" w14:textId="77777777" w:rsidTr="002A72F7">
        <w:trPr>
          <w:cantSplit/>
        </w:trPr>
        <w:tc>
          <w:tcPr>
            <w:tcW w:w="1413" w:type="dxa"/>
          </w:tcPr>
          <w:p w14:paraId="53EF6799" w14:textId="77777777" w:rsidR="006E4DE3" w:rsidRPr="00133341" w:rsidRDefault="006E4DE3" w:rsidP="00BC52A8">
            <w:pPr>
              <w:rPr>
                <w:rFonts w:ascii="Arial Narrow" w:hAnsi="Arial Narrow"/>
                <w:sz w:val="20"/>
                <w:lang w:eastAsia="en-US"/>
              </w:rPr>
            </w:pPr>
            <w:r w:rsidRPr="00133341">
              <w:rPr>
                <w:rFonts w:ascii="Arial Narrow" w:hAnsi="Arial Narrow"/>
                <w:sz w:val="20"/>
                <w:lang w:eastAsia="en-US"/>
              </w:rPr>
              <w:t>Comparative safety</w:t>
            </w:r>
          </w:p>
        </w:tc>
        <w:tc>
          <w:tcPr>
            <w:tcW w:w="3827" w:type="dxa"/>
          </w:tcPr>
          <w:p w14:paraId="22663C50" w14:textId="77777777" w:rsidR="006E4DE3" w:rsidRPr="00133341" w:rsidRDefault="006E4DE3" w:rsidP="00BC52A8">
            <w:pPr>
              <w:rPr>
                <w:rFonts w:ascii="Arial Narrow" w:hAnsi="Arial Narrow"/>
                <w:sz w:val="20"/>
                <w:lang w:eastAsia="en-US"/>
              </w:rPr>
            </w:pPr>
            <w:r w:rsidRPr="00133341">
              <w:rPr>
                <w:rFonts w:ascii="Arial Narrow" w:hAnsi="Arial Narrow"/>
                <w:sz w:val="20"/>
                <w:lang w:eastAsia="en-US"/>
              </w:rPr>
              <w:t>No comparative data on the safety of ECP in patients with refractory erythrodermic CTCL (p2, p10, 14</w:t>
            </w:r>
            <w:r>
              <w:rPr>
                <w:rFonts w:ascii="Arial Narrow" w:hAnsi="Arial Narrow"/>
                <w:sz w:val="20"/>
                <w:lang w:eastAsia="en-US"/>
              </w:rPr>
              <w:t>20 PSD, July 2017).</w:t>
            </w:r>
          </w:p>
        </w:tc>
        <w:tc>
          <w:tcPr>
            <w:tcW w:w="3827" w:type="dxa"/>
          </w:tcPr>
          <w:p w14:paraId="472499D6" w14:textId="1CF63E2C" w:rsidR="006E4DE3" w:rsidRPr="00133341" w:rsidRDefault="00BF6B4E" w:rsidP="00BC52A8">
            <w:pPr>
              <w:rPr>
                <w:rFonts w:ascii="Arial Narrow" w:hAnsi="Arial Narrow"/>
                <w:sz w:val="20"/>
                <w:lang w:eastAsia="en-US"/>
              </w:rPr>
            </w:pPr>
            <w:r>
              <w:rPr>
                <w:rFonts w:ascii="Arial Narrow" w:hAnsi="Arial Narrow"/>
                <w:sz w:val="20"/>
                <w:lang w:eastAsia="en-US"/>
              </w:rPr>
              <w:t>Unchanged.</w:t>
            </w:r>
          </w:p>
          <w:p w14:paraId="622E793D" w14:textId="77777777" w:rsidR="006E4DE3" w:rsidRPr="00133341" w:rsidRDefault="006E4DE3" w:rsidP="00BC52A8">
            <w:pPr>
              <w:rPr>
                <w:rFonts w:ascii="Arial Narrow" w:hAnsi="Arial Narrow"/>
                <w:sz w:val="20"/>
                <w:lang w:eastAsia="en-US"/>
              </w:rPr>
            </w:pPr>
            <w:r w:rsidRPr="00133341">
              <w:rPr>
                <w:rFonts w:ascii="Arial Narrow" w:hAnsi="Arial Narrow"/>
                <w:sz w:val="20"/>
                <w:lang w:eastAsia="en-US"/>
              </w:rPr>
              <w:t xml:space="preserve">Indirect comparison of </w:t>
            </w:r>
            <w:r>
              <w:rPr>
                <w:rFonts w:ascii="Arial Narrow" w:hAnsi="Arial Narrow"/>
                <w:sz w:val="20"/>
                <w:lang w:eastAsia="en-US"/>
              </w:rPr>
              <w:t>adverse event</w:t>
            </w:r>
            <w:r w:rsidRPr="00133341">
              <w:rPr>
                <w:rFonts w:ascii="Arial Narrow" w:hAnsi="Arial Narrow"/>
                <w:sz w:val="20"/>
                <w:lang w:eastAsia="en-US"/>
              </w:rPr>
              <w:t xml:space="preserve">s and discontinuation rates between ECP, brentuximab vedotin and vorinostat across separate studies. </w:t>
            </w:r>
            <w:r w:rsidRPr="00133341">
              <w:rPr>
                <w:rFonts w:ascii="Arial Narrow" w:hAnsi="Arial Narrow"/>
                <w:i/>
                <w:sz w:val="20"/>
                <w:lang w:eastAsia="en-US"/>
              </w:rPr>
              <w:t>It was difficult to interpret this indirect comparison due to heterogeneity in patient populations and limited information presented.</w:t>
            </w:r>
          </w:p>
        </w:tc>
      </w:tr>
      <w:tr w:rsidR="006E4DE3" w:rsidRPr="00133341" w14:paraId="0A07C9F2" w14:textId="77777777" w:rsidTr="002A72F7">
        <w:trPr>
          <w:cantSplit/>
        </w:trPr>
        <w:tc>
          <w:tcPr>
            <w:tcW w:w="1413" w:type="dxa"/>
          </w:tcPr>
          <w:p w14:paraId="627BF993" w14:textId="77777777" w:rsidR="006E4DE3" w:rsidRPr="00133341" w:rsidRDefault="006E4DE3" w:rsidP="00BC52A8">
            <w:pPr>
              <w:rPr>
                <w:rFonts w:ascii="Arial Narrow" w:hAnsi="Arial Narrow"/>
                <w:sz w:val="20"/>
                <w:lang w:eastAsia="en-US"/>
              </w:rPr>
            </w:pPr>
            <w:r w:rsidRPr="00133341">
              <w:rPr>
                <w:rFonts w:ascii="Arial Narrow" w:hAnsi="Arial Narrow"/>
                <w:sz w:val="20"/>
                <w:lang w:eastAsia="en-US"/>
              </w:rPr>
              <w:t>Circumstances of use</w:t>
            </w:r>
          </w:p>
        </w:tc>
        <w:tc>
          <w:tcPr>
            <w:tcW w:w="3827" w:type="dxa"/>
          </w:tcPr>
          <w:p w14:paraId="492272A4" w14:textId="64D554C8" w:rsidR="006E4DE3" w:rsidRPr="00133341" w:rsidRDefault="006E4DE3" w:rsidP="001C2405">
            <w:pPr>
              <w:spacing w:after="480"/>
              <w:rPr>
                <w:rFonts w:ascii="Arial Narrow" w:hAnsi="Arial Narrow"/>
                <w:sz w:val="20"/>
                <w:lang w:eastAsia="en-US"/>
              </w:rPr>
            </w:pPr>
            <w:r w:rsidRPr="00133341">
              <w:rPr>
                <w:rFonts w:ascii="Arial Narrow" w:hAnsi="Arial Narrow"/>
                <w:sz w:val="20"/>
                <w:lang w:eastAsia="en-US"/>
              </w:rPr>
              <w:t>ECP treatment regimen not well standardised</w:t>
            </w:r>
            <w:r w:rsidRPr="00133341">
              <w:rPr>
                <w:sz w:val="20"/>
                <w:lang w:eastAsia="en-US"/>
              </w:rPr>
              <w:t xml:space="preserve">; </w:t>
            </w:r>
            <w:r w:rsidRPr="00133341">
              <w:rPr>
                <w:rFonts w:ascii="Arial Narrow" w:hAnsi="Arial Narrow"/>
                <w:sz w:val="20"/>
                <w:lang w:eastAsia="en-US"/>
              </w:rPr>
              <w:t>The frequency and duration of treatment would impact on cost of providing the MBS service if payable per treatment session (p12, 1420 PSD, July 2017)</w:t>
            </w:r>
            <w:r w:rsidR="00B22DA6">
              <w:rPr>
                <w:rFonts w:ascii="Arial Narrow" w:hAnsi="Arial Narrow"/>
                <w:sz w:val="20"/>
                <w:lang w:eastAsia="en-US"/>
              </w:rPr>
              <w:t>.</w:t>
            </w:r>
          </w:p>
          <w:p w14:paraId="2CEE823E" w14:textId="7CE2EDDF" w:rsidR="006E4DE3" w:rsidRPr="00133341" w:rsidRDefault="006E4DE3" w:rsidP="001C2405">
            <w:pPr>
              <w:spacing w:after="240"/>
              <w:rPr>
                <w:rFonts w:ascii="Arial Narrow" w:hAnsi="Arial Narrow"/>
                <w:sz w:val="20"/>
                <w:lang w:eastAsia="en-US"/>
              </w:rPr>
            </w:pPr>
            <w:r w:rsidRPr="00133341">
              <w:rPr>
                <w:rFonts w:ascii="Arial Narrow" w:hAnsi="Arial Narrow"/>
                <w:sz w:val="20"/>
                <w:lang w:eastAsia="en-US"/>
              </w:rPr>
              <w:t>Co-administration of systemic therapies and impact on outcomes was not addressed.</w:t>
            </w:r>
          </w:p>
          <w:p w14:paraId="550741E4" w14:textId="1E98B9F1" w:rsidR="006E4DE3" w:rsidRPr="00133341" w:rsidRDefault="006E4DE3" w:rsidP="00BC52A8">
            <w:pPr>
              <w:rPr>
                <w:rFonts w:ascii="Arial Narrow" w:hAnsi="Arial Narrow"/>
                <w:sz w:val="20"/>
                <w:lang w:eastAsia="en-US"/>
              </w:rPr>
            </w:pPr>
            <w:r w:rsidRPr="00133341">
              <w:rPr>
                <w:rFonts w:ascii="Arial Narrow" w:hAnsi="Arial Narrow"/>
                <w:sz w:val="20"/>
                <w:lang w:eastAsia="en-US"/>
              </w:rPr>
              <w:t>Unclear whether primary study included use of oral methoxsalen</w:t>
            </w:r>
            <w:r w:rsidR="00B22DA6">
              <w:rPr>
                <w:rFonts w:ascii="Arial Narrow" w:hAnsi="Arial Narrow"/>
                <w:sz w:val="20"/>
                <w:lang w:eastAsia="en-US"/>
              </w:rPr>
              <w:t>.</w:t>
            </w:r>
          </w:p>
        </w:tc>
        <w:tc>
          <w:tcPr>
            <w:tcW w:w="3827" w:type="dxa"/>
          </w:tcPr>
          <w:p w14:paraId="7E6AAE5D" w14:textId="3D0F581C" w:rsidR="006E4DE3" w:rsidRPr="00133341" w:rsidRDefault="006E4DE3" w:rsidP="001C2405">
            <w:pPr>
              <w:spacing w:after="240"/>
              <w:rPr>
                <w:rFonts w:ascii="Arial Narrow" w:hAnsi="Arial Narrow"/>
                <w:i/>
                <w:sz w:val="20"/>
                <w:lang w:eastAsia="en-US"/>
              </w:rPr>
            </w:pPr>
            <w:r w:rsidRPr="00133341">
              <w:rPr>
                <w:rFonts w:ascii="Arial Narrow" w:hAnsi="Arial Narrow"/>
                <w:sz w:val="20"/>
                <w:lang w:eastAsia="en-US"/>
              </w:rPr>
              <w:t xml:space="preserve">Sensitivity analysis provided to account for more frequent regimen (Gao </w:t>
            </w:r>
            <w:r w:rsidR="00B22DA6">
              <w:rPr>
                <w:rFonts w:ascii="Arial Narrow" w:hAnsi="Arial Narrow"/>
                <w:sz w:val="20"/>
                <w:lang w:eastAsia="en-US"/>
              </w:rPr>
              <w:t xml:space="preserve">et al, 2019) in economic model. </w:t>
            </w:r>
            <w:r w:rsidRPr="00133341">
              <w:rPr>
                <w:rFonts w:ascii="Arial Narrow" w:hAnsi="Arial Narrow"/>
                <w:i/>
                <w:sz w:val="20"/>
                <w:lang w:eastAsia="en-US"/>
              </w:rPr>
              <w:t xml:space="preserve">Sensitivity analysis on financial implications shows costs may double using treatment regimen from Alfred </w:t>
            </w:r>
            <w:r w:rsidRPr="00133341">
              <w:rPr>
                <w:rFonts w:ascii="Arial Narrow" w:hAnsi="Arial Narrow"/>
                <w:sz w:val="20"/>
                <w:lang w:eastAsia="en-US"/>
              </w:rPr>
              <w:t xml:space="preserve">et al, </w:t>
            </w:r>
            <w:r w:rsidR="00B22DA6">
              <w:rPr>
                <w:rFonts w:ascii="Arial Narrow" w:hAnsi="Arial Narrow"/>
                <w:i/>
                <w:sz w:val="20"/>
                <w:lang w:eastAsia="en-US"/>
              </w:rPr>
              <w:t>2017.</w:t>
            </w:r>
          </w:p>
          <w:p w14:paraId="65BD7481" w14:textId="53693F37" w:rsidR="006E4DE3" w:rsidRPr="00133341" w:rsidRDefault="006E4DE3" w:rsidP="001C2405">
            <w:pPr>
              <w:spacing w:after="480"/>
              <w:rPr>
                <w:rFonts w:ascii="Arial Narrow" w:hAnsi="Arial Narrow"/>
                <w:i/>
                <w:sz w:val="20"/>
                <w:lang w:eastAsia="en-US"/>
              </w:rPr>
            </w:pPr>
            <w:r w:rsidRPr="00133341">
              <w:rPr>
                <w:rFonts w:ascii="Arial Narrow" w:hAnsi="Arial Narrow"/>
                <w:i/>
                <w:sz w:val="20"/>
                <w:lang w:eastAsia="en-US"/>
              </w:rPr>
              <w:t>Not considered/addressed</w:t>
            </w:r>
          </w:p>
          <w:p w14:paraId="302B5926" w14:textId="2DEF3DAA" w:rsidR="006E4DE3" w:rsidRPr="00133341" w:rsidRDefault="006E4DE3" w:rsidP="00BC52A8">
            <w:pPr>
              <w:rPr>
                <w:rFonts w:ascii="Arial Narrow" w:hAnsi="Arial Narrow"/>
                <w:i/>
                <w:sz w:val="20"/>
                <w:lang w:eastAsia="en-US"/>
              </w:rPr>
            </w:pPr>
            <w:r w:rsidRPr="00133341">
              <w:rPr>
                <w:rFonts w:ascii="Arial Narrow" w:hAnsi="Arial Narrow"/>
                <w:i/>
                <w:sz w:val="20"/>
                <w:lang w:eastAsia="en-US"/>
              </w:rPr>
              <w:t xml:space="preserve">Gao </w:t>
            </w:r>
            <w:r w:rsidRPr="00133341">
              <w:rPr>
                <w:rFonts w:ascii="Arial Narrow" w:hAnsi="Arial Narrow"/>
                <w:iCs/>
                <w:sz w:val="20"/>
                <w:lang w:eastAsia="en-US"/>
              </w:rPr>
              <w:t>et al,</w:t>
            </w:r>
            <w:r w:rsidRPr="00133341">
              <w:rPr>
                <w:rFonts w:ascii="Arial Narrow" w:hAnsi="Arial Narrow"/>
                <w:i/>
                <w:sz w:val="20"/>
                <w:lang w:eastAsia="en-US"/>
              </w:rPr>
              <w:t xml:space="preserve"> 2019 cohort likely included patients treated with oral methoxsalen, however this was</w:t>
            </w:r>
            <w:r w:rsidR="00B22DA6">
              <w:rPr>
                <w:rFonts w:ascii="Arial Narrow" w:hAnsi="Arial Narrow"/>
                <w:i/>
                <w:sz w:val="20"/>
                <w:lang w:eastAsia="en-US"/>
              </w:rPr>
              <w:t xml:space="preserve"> not reported. Remains unclear.</w:t>
            </w:r>
          </w:p>
        </w:tc>
      </w:tr>
      <w:tr w:rsidR="006E4DE3" w:rsidRPr="00133341" w14:paraId="02E62F9A" w14:textId="77777777" w:rsidTr="002A72F7">
        <w:trPr>
          <w:cantSplit/>
        </w:trPr>
        <w:tc>
          <w:tcPr>
            <w:tcW w:w="1413" w:type="dxa"/>
          </w:tcPr>
          <w:p w14:paraId="67DAF2CC" w14:textId="77777777" w:rsidR="006E4DE3" w:rsidRPr="00133341" w:rsidRDefault="006E4DE3" w:rsidP="00BC52A8">
            <w:pPr>
              <w:rPr>
                <w:rFonts w:ascii="Arial Narrow" w:hAnsi="Arial Narrow"/>
                <w:sz w:val="20"/>
                <w:lang w:eastAsia="en-US"/>
              </w:rPr>
            </w:pPr>
            <w:r w:rsidRPr="00133341">
              <w:rPr>
                <w:rFonts w:ascii="Arial Narrow" w:hAnsi="Arial Narrow"/>
                <w:sz w:val="20"/>
                <w:lang w:eastAsia="en-US"/>
              </w:rPr>
              <w:t>Trial population vs proposed MBS listing</w:t>
            </w:r>
          </w:p>
        </w:tc>
        <w:tc>
          <w:tcPr>
            <w:tcW w:w="3827" w:type="dxa"/>
          </w:tcPr>
          <w:p w14:paraId="55A16A8D" w14:textId="77777777" w:rsidR="006E4DE3" w:rsidRPr="00133341" w:rsidRDefault="006E4DE3" w:rsidP="00BC52A8">
            <w:pPr>
              <w:rPr>
                <w:rFonts w:ascii="Arial Narrow" w:hAnsi="Arial Narrow"/>
                <w:sz w:val="20"/>
                <w:lang w:eastAsia="en-US"/>
              </w:rPr>
            </w:pPr>
            <w:r w:rsidRPr="00133341">
              <w:rPr>
                <w:rFonts w:ascii="Arial Narrow" w:hAnsi="Arial Narrow"/>
                <w:sz w:val="20"/>
                <w:lang w:eastAsia="en-US"/>
              </w:rPr>
              <w:t>Differences in severity of disease across comparator treatment subgroups in Hughes 2015.</w:t>
            </w:r>
          </w:p>
        </w:tc>
        <w:tc>
          <w:tcPr>
            <w:tcW w:w="3827" w:type="dxa"/>
          </w:tcPr>
          <w:p w14:paraId="2C819963" w14:textId="013191C3" w:rsidR="006E4DE3" w:rsidRPr="00133341" w:rsidRDefault="006E4DE3" w:rsidP="00BC52A8">
            <w:pPr>
              <w:rPr>
                <w:rFonts w:ascii="Arial Narrow" w:hAnsi="Arial Narrow"/>
                <w:i/>
                <w:sz w:val="20"/>
                <w:lang w:eastAsia="en-US"/>
              </w:rPr>
            </w:pPr>
            <w:r w:rsidRPr="00133341">
              <w:rPr>
                <w:rFonts w:ascii="Arial Narrow" w:hAnsi="Arial Narrow"/>
                <w:i/>
                <w:sz w:val="20"/>
                <w:lang w:eastAsia="en-US"/>
              </w:rPr>
              <w:t>Not addressed.</w:t>
            </w:r>
          </w:p>
        </w:tc>
      </w:tr>
      <w:tr w:rsidR="008F219D" w:rsidRPr="00133341" w14:paraId="57D0F9E7" w14:textId="77777777" w:rsidTr="002A72F7">
        <w:trPr>
          <w:cantSplit/>
          <w:trHeight w:val="1237"/>
        </w:trPr>
        <w:tc>
          <w:tcPr>
            <w:tcW w:w="1413" w:type="dxa"/>
          </w:tcPr>
          <w:p w14:paraId="53BCE91B" w14:textId="77777777" w:rsidR="008F219D" w:rsidRPr="00133341" w:rsidRDefault="008F219D" w:rsidP="00BC52A8">
            <w:pPr>
              <w:rPr>
                <w:rFonts w:ascii="Arial Narrow" w:hAnsi="Arial Narrow"/>
                <w:sz w:val="20"/>
                <w:lang w:eastAsia="en-US"/>
              </w:rPr>
            </w:pPr>
            <w:r w:rsidRPr="00133341">
              <w:rPr>
                <w:rFonts w:ascii="Arial Narrow" w:hAnsi="Arial Narrow"/>
                <w:sz w:val="20"/>
                <w:lang w:eastAsia="en-US"/>
              </w:rPr>
              <w:lastRenderedPageBreak/>
              <w:t>Economic model</w:t>
            </w:r>
          </w:p>
        </w:tc>
        <w:tc>
          <w:tcPr>
            <w:tcW w:w="3827" w:type="dxa"/>
          </w:tcPr>
          <w:p w14:paraId="02DAF13F" w14:textId="6B9E029A" w:rsidR="008F219D" w:rsidRPr="00133341" w:rsidRDefault="008F219D" w:rsidP="00BC52A8">
            <w:pPr>
              <w:rPr>
                <w:rFonts w:ascii="Arial Narrow" w:hAnsi="Arial Narrow"/>
                <w:sz w:val="20"/>
                <w:lang w:eastAsia="en-US"/>
              </w:rPr>
            </w:pPr>
            <w:r w:rsidRPr="00133341">
              <w:rPr>
                <w:rFonts w:ascii="Arial Narrow" w:hAnsi="Arial Narrow"/>
                <w:sz w:val="20"/>
                <w:lang w:eastAsia="en-US"/>
              </w:rPr>
              <w:t>Overly simplistic structure and did not adequately capture cycling through multiple second line treatment options (p13, 1420 PSD, July 2017).</w:t>
            </w:r>
          </w:p>
        </w:tc>
        <w:tc>
          <w:tcPr>
            <w:tcW w:w="3827" w:type="dxa"/>
          </w:tcPr>
          <w:p w14:paraId="6E79F5A0" w14:textId="23112EF4" w:rsidR="008F219D" w:rsidRPr="002A72F7" w:rsidRDefault="008F219D" w:rsidP="00BC52A8">
            <w:pPr>
              <w:rPr>
                <w:rFonts w:ascii="Arial Narrow" w:hAnsi="Arial Narrow"/>
                <w:i/>
                <w:sz w:val="20"/>
                <w:lang w:eastAsia="en-US"/>
              </w:rPr>
            </w:pPr>
            <w:r w:rsidRPr="00133341">
              <w:rPr>
                <w:rFonts w:ascii="Arial Narrow" w:hAnsi="Arial Narrow"/>
                <w:sz w:val="20"/>
                <w:lang w:eastAsia="en-US"/>
              </w:rPr>
              <w:t xml:space="preserve">Revised model takes into account treatment cycling through multiple second-line treatments before progression to chemotherapy, </w:t>
            </w:r>
            <w:r w:rsidRPr="00133341">
              <w:rPr>
                <w:rFonts w:ascii="Arial Narrow" w:hAnsi="Arial Narrow"/>
                <w:i/>
                <w:sz w:val="20"/>
                <w:lang w:eastAsia="en-US"/>
              </w:rPr>
              <w:t>but did not consider disease health states as separate he</w:t>
            </w:r>
            <w:r w:rsidR="002A72F7">
              <w:rPr>
                <w:rFonts w:ascii="Arial Narrow" w:hAnsi="Arial Narrow"/>
                <w:i/>
                <w:sz w:val="20"/>
                <w:lang w:eastAsia="en-US"/>
              </w:rPr>
              <w:t>alth states in the model.</w:t>
            </w:r>
          </w:p>
        </w:tc>
      </w:tr>
      <w:tr w:rsidR="008F219D" w:rsidRPr="00133341" w14:paraId="6B899083" w14:textId="77777777" w:rsidTr="002A72F7">
        <w:trPr>
          <w:cantSplit/>
          <w:trHeight w:val="1721"/>
        </w:trPr>
        <w:tc>
          <w:tcPr>
            <w:tcW w:w="1413" w:type="dxa"/>
          </w:tcPr>
          <w:p w14:paraId="070FF9A6" w14:textId="77777777" w:rsidR="008F219D" w:rsidRPr="00133341" w:rsidRDefault="008F219D" w:rsidP="00BC52A8">
            <w:pPr>
              <w:rPr>
                <w:rFonts w:ascii="Arial Narrow" w:hAnsi="Arial Narrow"/>
                <w:sz w:val="20"/>
                <w:lang w:eastAsia="en-US"/>
              </w:rPr>
            </w:pPr>
          </w:p>
        </w:tc>
        <w:tc>
          <w:tcPr>
            <w:tcW w:w="3827" w:type="dxa"/>
          </w:tcPr>
          <w:p w14:paraId="292DD064" w14:textId="50DF267E" w:rsidR="008F219D" w:rsidRPr="00133341" w:rsidRDefault="008F219D" w:rsidP="00571064">
            <w:pPr>
              <w:rPr>
                <w:rFonts w:ascii="Arial Narrow" w:hAnsi="Arial Narrow"/>
                <w:sz w:val="20"/>
                <w:lang w:eastAsia="en-US"/>
              </w:rPr>
            </w:pPr>
            <w:r w:rsidRPr="00133341">
              <w:rPr>
                <w:rFonts w:ascii="Arial Narrow" w:hAnsi="Arial Narrow"/>
                <w:sz w:val="20"/>
                <w:lang w:eastAsia="en-US"/>
              </w:rPr>
              <w:t>Reconsider the application of utility and disutility weights in the model, with clear rational</w:t>
            </w:r>
            <w:r>
              <w:rPr>
                <w:rFonts w:ascii="Arial Narrow" w:hAnsi="Arial Narrow"/>
                <w:sz w:val="20"/>
                <w:lang w:eastAsia="en-US"/>
              </w:rPr>
              <w:t>e (p11-12, 1420 PSD, July 2017)</w:t>
            </w:r>
            <w:r w:rsidR="00B22DA6">
              <w:rPr>
                <w:rFonts w:ascii="Arial Narrow" w:hAnsi="Arial Narrow"/>
                <w:sz w:val="20"/>
                <w:lang w:eastAsia="en-US"/>
              </w:rPr>
              <w:t>.</w:t>
            </w:r>
          </w:p>
        </w:tc>
        <w:tc>
          <w:tcPr>
            <w:tcW w:w="3827" w:type="dxa"/>
          </w:tcPr>
          <w:p w14:paraId="69E75A8C" w14:textId="39F876B9" w:rsidR="008F219D" w:rsidRPr="002A72F7" w:rsidRDefault="008F219D" w:rsidP="00BC52A8">
            <w:pPr>
              <w:rPr>
                <w:rFonts w:ascii="Arial Narrow" w:hAnsi="Arial Narrow"/>
                <w:i/>
                <w:sz w:val="20"/>
                <w:lang w:eastAsia="en-US"/>
              </w:rPr>
            </w:pPr>
            <w:r w:rsidRPr="00133341">
              <w:rPr>
                <w:rFonts w:ascii="Arial Narrow" w:hAnsi="Arial Narrow"/>
                <w:sz w:val="20"/>
                <w:lang w:eastAsia="en-US"/>
              </w:rPr>
              <w:t xml:space="preserve">Separate utility values (based on response rates for each treatment) and disutility values (based on </w:t>
            </w:r>
            <w:r>
              <w:rPr>
                <w:rFonts w:ascii="Arial Narrow" w:hAnsi="Arial Narrow"/>
                <w:sz w:val="20"/>
                <w:lang w:eastAsia="en-US"/>
              </w:rPr>
              <w:t>adverse events</w:t>
            </w:r>
            <w:r w:rsidRPr="00133341">
              <w:rPr>
                <w:rFonts w:ascii="Arial Narrow" w:hAnsi="Arial Narrow"/>
                <w:sz w:val="20"/>
                <w:lang w:eastAsia="en-US"/>
              </w:rPr>
              <w:t xml:space="preserve"> experienced with each treatment) provided for most treatments. </w:t>
            </w:r>
            <w:r w:rsidRPr="00133341">
              <w:rPr>
                <w:rFonts w:ascii="Arial Narrow" w:hAnsi="Arial Narrow"/>
                <w:i/>
                <w:sz w:val="20"/>
                <w:lang w:eastAsia="en-US"/>
              </w:rPr>
              <w:t>Concerns remain over utilities/disutilities applied in the model</w:t>
            </w:r>
            <w:r w:rsidRPr="00133341">
              <w:rPr>
                <w:rFonts w:ascii="Arial Narrow" w:hAnsi="Arial Narrow"/>
                <w:sz w:val="20"/>
                <w:lang w:eastAsia="en-US"/>
              </w:rPr>
              <w:t xml:space="preserve"> </w:t>
            </w:r>
            <w:r w:rsidRPr="00133341">
              <w:rPr>
                <w:rFonts w:ascii="Arial Narrow" w:hAnsi="Arial Narrow"/>
                <w:i/>
                <w:sz w:val="20"/>
                <w:lang w:eastAsia="en-US"/>
              </w:rPr>
              <w:t>(</w:t>
            </w:r>
            <w:r w:rsidRPr="00133341">
              <w:rPr>
                <w:rFonts w:ascii="Arial Narrow" w:hAnsi="Arial Narrow"/>
                <w:sz w:val="20"/>
                <w:lang w:eastAsia="en-US"/>
              </w:rPr>
              <w:t>i.e.</w:t>
            </w:r>
            <w:r w:rsidRPr="00133341">
              <w:rPr>
                <w:rFonts w:ascii="Arial Narrow" w:hAnsi="Arial Narrow"/>
                <w:i/>
                <w:sz w:val="20"/>
                <w:lang w:eastAsia="en-US"/>
              </w:rPr>
              <w:t xml:space="preserve"> use of proxies, lack of utilities/disutilities</w:t>
            </w:r>
            <w:r w:rsidR="00B22DA6">
              <w:rPr>
                <w:rFonts w:ascii="Arial Narrow" w:hAnsi="Arial Narrow"/>
                <w:i/>
                <w:sz w:val="20"/>
                <w:lang w:eastAsia="en-US"/>
              </w:rPr>
              <w:t xml:space="preserve"> applied to some health states).</w:t>
            </w:r>
          </w:p>
        </w:tc>
      </w:tr>
      <w:tr w:rsidR="008F219D" w:rsidRPr="00133341" w14:paraId="40FBA0F7" w14:textId="77777777" w:rsidTr="002A72F7">
        <w:trPr>
          <w:cantSplit/>
          <w:trHeight w:val="1109"/>
        </w:trPr>
        <w:tc>
          <w:tcPr>
            <w:tcW w:w="1413" w:type="dxa"/>
          </w:tcPr>
          <w:p w14:paraId="1779E1C3" w14:textId="77777777" w:rsidR="008F219D" w:rsidRPr="00133341" w:rsidRDefault="008F219D" w:rsidP="00BC52A8">
            <w:pPr>
              <w:rPr>
                <w:rFonts w:ascii="Arial Narrow" w:hAnsi="Arial Narrow"/>
                <w:sz w:val="20"/>
                <w:lang w:eastAsia="en-US"/>
              </w:rPr>
            </w:pPr>
          </w:p>
        </w:tc>
        <w:tc>
          <w:tcPr>
            <w:tcW w:w="3827" w:type="dxa"/>
          </w:tcPr>
          <w:p w14:paraId="39D6A62B" w14:textId="77777777" w:rsidR="008F219D" w:rsidRPr="00133341" w:rsidRDefault="008F219D" w:rsidP="008F219D">
            <w:pPr>
              <w:rPr>
                <w:rFonts w:ascii="Arial Narrow" w:hAnsi="Arial Narrow"/>
                <w:sz w:val="20"/>
                <w:lang w:eastAsia="en-US"/>
              </w:rPr>
            </w:pPr>
            <w:r w:rsidRPr="00133341">
              <w:rPr>
                <w:rFonts w:ascii="Arial Narrow" w:hAnsi="Arial Narrow"/>
                <w:sz w:val="20"/>
                <w:lang w:eastAsia="en-US"/>
              </w:rPr>
              <w:t xml:space="preserve">Time horizon only captured costs for one year but </w:t>
            </w:r>
          </w:p>
          <w:p w14:paraId="7AB19F87" w14:textId="77777777" w:rsidR="008F219D" w:rsidRPr="00133341" w:rsidRDefault="008F219D" w:rsidP="008F219D">
            <w:pPr>
              <w:rPr>
                <w:rFonts w:ascii="Arial Narrow" w:hAnsi="Arial Narrow"/>
                <w:sz w:val="20"/>
                <w:lang w:eastAsia="en-US"/>
              </w:rPr>
            </w:pPr>
            <w:r w:rsidRPr="00133341">
              <w:rPr>
                <w:rFonts w:ascii="Arial Narrow" w:hAnsi="Arial Narrow"/>
                <w:sz w:val="20"/>
                <w:lang w:eastAsia="en-US"/>
              </w:rPr>
              <w:t xml:space="preserve">not subsequent </w:t>
            </w:r>
            <w:r>
              <w:rPr>
                <w:rFonts w:ascii="Arial Narrow" w:hAnsi="Arial Narrow"/>
                <w:sz w:val="20"/>
                <w:lang w:eastAsia="en-US"/>
              </w:rPr>
              <w:t>years (p3, 1420 PSD, July 2017)</w:t>
            </w:r>
          </w:p>
          <w:p w14:paraId="0B41EB11" w14:textId="77777777" w:rsidR="008F219D" w:rsidRPr="00133341" w:rsidRDefault="008F219D" w:rsidP="00BC52A8">
            <w:pPr>
              <w:rPr>
                <w:rFonts w:ascii="Arial Narrow" w:hAnsi="Arial Narrow"/>
                <w:sz w:val="20"/>
                <w:lang w:eastAsia="en-US"/>
              </w:rPr>
            </w:pPr>
          </w:p>
        </w:tc>
        <w:tc>
          <w:tcPr>
            <w:tcW w:w="3827" w:type="dxa"/>
          </w:tcPr>
          <w:p w14:paraId="0AF3AB34" w14:textId="4B420FB0" w:rsidR="008F219D" w:rsidRPr="00133341" w:rsidRDefault="008F219D" w:rsidP="00B22DA6">
            <w:pPr>
              <w:rPr>
                <w:rFonts w:ascii="Arial Narrow" w:hAnsi="Arial Narrow"/>
                <w:sz w:val="20"/>
                <w:lang w:eastAsia="en-US"/>
              </w:rPr>
            </w:pPr>
            <w:r w:rsidRPr="00133341">
              <w:rPr>
                <w:rFonts w:ascii="Arial Narrow" w:hAnsi="Arial Narrow"/>
                <w:sz w:val="20"/>
                <w:lang w:eastAsia="en-US"/>
              </w:rPr>
              <w:t>Revised model used a 5-year time horizon to account for treatment cycling through second-line options</w:t>
            </w:r>
            <w:r w:rsidRPr="00133341">
              <w:rPr>
                <w:rFonts w:ascii="Arial Narrow" w:hAnsi="Arial Narrow"/>
                <w:i/>
                <w:sz w:val="20"/>
                <w:lang w:eastAsia="en-US"/>
              </w:rPr>
              <w:t>. This time horizon was adequate to account for cycling through the treatments</w:t>
            </w:r>
            <w:r>
              <w:rPr>
                <w:rFonts w:ascii="Arial Narrow" w:hAnsi="Arial Narrow"/>
                <w:i/>
                <w:sz w:val="20"/>
                <w:lang w:eastAsia="en-US"/>
              </w:rPr>
              <w:t xml:space="preserve"> included in the revised model.</w:t>
            </w:r>
          </w:p>
        </w:tc>
      </w:tr>
      <w:tr w:rsidR="008F219D" w:rsidRPr="00133341" w14:paraId="422922D6" w14:textId="77777777" w:rsidTr="002A72F7">
        <w:trPr>
          <w:cantSplit/>
          <w:trHeight w:val="1155"/>
        </w:trPr>
        <w:tc>
          <w:tcPr>
            <w:tcW w:w="1413" w:type="dxa"/>
          </w:tcPr>
          <w:p w14:paraId="105AEA9E" w14:textId="77777777" w:rsidR="008F219D" w:rsidRPr="00133341" w:rsidRDefault="008F219D" w:rsidP="00BC52A8">
            <w:pPr>
              <w:rPr>
                <w:rFonts w:ascii="Arial Narrow" w:hAnsi="Arial Narrow"/>
                <w:sz w:val="20"/>
                <w:lang w:eastAsia="en-US"/>
              </w:rPr>
            </w:pPr>
          </w:p>
        </w:tc>
        <w:tc>
          <w:tcPr>
            <w:tcW w:w="3827" w:type="dxa"/>
          </w:tcPr>
          <w:p w14:paraId="68D1C82B" w14:textId="1E9E81F9" w:rsidR="008F219D" w:rsidRPr="00133341" w:rsidRDefault="008F219D" w:rsidP="001C2405">
            <w:pPr>
              <w:spacing w:after="240"/>
              <w:rPr>
                <w:rFonts w:ascii="Arial Narrow" w:hAnsi="Arial Narrow"/>
                <w:sz w:val="20"/>
                <w:lang w:eastAsia="en-US"/>
              </w:rPr>
            </w:pPr>
            <w:r w:rsidRPr="00133341">
              <w:rPr>
                <w:rFonts w:ascii="Arial Narrow" w:hAnsi="Arial Narrow"/>
                <w:sz w:val="20"/>
                <w:lang w:eastAsia="en-US"/>
              </w:rPr>
              <w:t>Incorrect use of fees and lack of consideration for capital cost of ECP machine, costs of monitoring and treating adverse events.</w:t>
            </w:r>
          </w:p>
          <w:p w14:paraId="52F8FC27" w14:textId="77777777" w:rsidR="008F219D" w:rsidRPr="00133341" w:rsidRDefault="008F219D" w:rsidP="008F219D">
            <w:pPr>
              <w:rPr>
                <w:rFonts w:ascii="Arial Narrow" w:hAnsi="Arial Narrow"/>
                <w:sz w:val="20"/>
                <w:lang w:eastAsia="en-US"/>
              </w:rPr>
            </w:pPr>
            <w:r w:rsidRPr="00133341">
              <w:rPr>
                <w:rFonts w:ascii="Arial Narrow" w:hAnsi="Arial Narrow"/>
                <w:sz w:val="20"/>
                <w:lang w:eastAsia="en-US"/>
              </w:rPr>
              <w:t>No sensitivity analysis provided.</w:t>
            </w:r>
          </w:p>
        </w:tc>
        <w:tc>
          <w:tcPr>
            <w:tcW w:w="3827" w:type="dxa"/>
          </w:tcPr>
          <w:p w14:paraId="31FBCDD7" w14:textId="308351A2" w:rsidR="008F219D" w:rsidRPr="00133341" w:rsidRDefault="008F219D" w:rsidP="001C2405">
            <w:pPr>
              <w:spacing w:after="240"/>
              <w:rPr>
                <w:rFonts w:ascii="Arial Narrow" w:hAnsi="Arial Narrow"/>
                <w:i/>
                <w:sz w:val="20"/>
                <w:lang w:eastAsia="en-US"/>
              </w:rPr>
            </w:pPr>
            <w:r w:rsidRPr="00133341">
              <w:rPr>
                <w:rFonts w:ascii="Arial Narrow" w:hAnsi="Arial Narrow"/>
                <w:i/>
                <w:sz w:val="20"/>
                <w:lang w:eastAsia="en-US"/>
              </w:rPr>
              <w:t>Correct fees used; some consideration of other costs but not all were considered in revised model (e.g. capital costs)</w:t>
            </w:r>
          </w:p>
          <w:p w14:paraId="2414846E" w14:textId="77777777" w:rsidR="008F219D" w:rsidRPr="00133341" w:rsidRDefault="008F219D" w:rsidP="008F219D">
            <w:pPr>
              <w:rPr>
                <w:rFonts w:ascii="Arial Narrow" w:hAnsi="Arial Narrow"/>
                <w:sz w:val="20"/>
                <w:lang w:eastAsia="en-US"/>
              </w:rPr>
            </w:pPr>
            <w:r w:rsidRPr="00133341">
              <w:rPr>
                <w:rFonts w:ascii="Arial Narrow" w:hAnsi="Arial Narrow"/>
                <w:i/>
                <w:sz w:val="20"/>
                <w:lang w:eastAsia="en-US"/>
              </w:rPr>
              <w:t>Multiple sensitivity analysis provided.</w:t>
            </w:r>
          </w:p>
        </w:tc>
      </w:tr>
    </w:tbl>
    <w:p w14:paraId="3F2A5265" w14:textId="77777777" w:rsidR="006E4DE3" w:rsidRDefault="006E4DE3" w:rsidP="006E4DE3">
      <w:pPr>
        <w:pStyle w:val="TableFooter"/>
      </w:pPr>
      <w:r>
        <w:t>Source: Table 3, pp11-12 of the commentary</w:t>
      </w:r>
    </w:p>
    <w:p w14:paraId="55A7C0AF" w14:textId="77777777" w:rsidR="006E4DE3" w:rsidRPr="00133341" w:rsidRDefault="006E4DE3" w:rsidP="006E4DE3">
      <w:pPr>
        <w:pStyle w:val="TableFooter"/>
        <w:spacing w:after="240"/>
      </w:pPr>
      <w:bookmarkStart w:id="2" w:name="_Hlk26685953"/>
      <w:r>
        <w:t xml:space="preserve">CTCL = cutaneous T-cell lymphoma; </w:t>
      </w:r>
      <w:r>
        <w:rPr>
          <w:lang w:val="en-US"/>
        </w:rPr>
        <w:t xml:space="preserve">ECP = extracorporeal photophoresis; </w:t>
      </w:r>
      <w:r w:rsidRPr="00227E2C">
        <w:t>MBS = Medicare Benefits Schedule</w:t>
      </w:r>
      <w:r>
        <w:t>;</w:t>
      </w:r>
      <w:r w:rsidRPr="00372783">
        <w:t xml:space="preserve"> </w:t>
      </w:r>
      <w:r>
        <w:t xml:space="preserve">MSAC = Medical Services Advisory Committee; PBS = Pharmaceutical Benefits Scheme; </w:t>
      </w:r>
      <w:r>
        <w:rPr>
          <w:lang w:val="en-US"/>
        </w:rPr>
        <w:t xml:space="preserve">PSD = public summary document; SS = </w:t>
      </w:r>
      <w:r w:rsidRPr="00B3754A">
        <w:t>Sézary Syndrome</w:t>
      </w:r>
      <w:r>
        <w:rPr>
          <w:lang w:val="en-US"/>
        </w:rPr>
        <w:t xml:space="preserve">; </w:t>
      </w:r>
      <w:r>
        <w:t>TGA = Therapeutic Goods Administration; vs = versus</w:t>
      </w:r>
      <w:bookmarkEnd w:id="2"/>
    </w:p>
    <w:p w14:paraId="1F97EB2B" w14:textId="77777777" w:rsidR="004C605E" w:rsidRPr="00F715D1" w:rsidRDefault="004C605E" w:rsidP="004C605E">
      <w:pPr>
        <w:pStyle w:val="Heading1"/>
      </w:pPr>
      <w:r w:rsidRPr="00F715D1">
        <w:t>Prerequisites to implementation of any funding advice</w:t>
      </w:r>
    </w:p>
    <w:p w14:paraId="2225922F" w14:textId="77777777" w:rsidR="006E4DE3" w:rsidRDefault="006E4DE3" w:rsidP="006E4DE3">
      <w:r>
        <w:t>The ADAR stated that the original TGA application (Application PM-2016-023228-1-4) for methoxsalen was withdrawn prior to consideration by the TGA Advisory Committee on Medicines (ACM) in September 2017. The TGA delegate cited several concerns with the original TGA application not previously identified by the TGA Clinical Evaluator in relation to the outcomes presented and comparative effectiveness of ECP with other available therapies (outlined in Module 2.5 Clinical Overview Attachment A). The TGA application was subsequently resubmitted and addressed some of the limitations identified including justification for clinical end points and presenting updated data from patients treated at the Victorian Comprehensive Cancer Clinic (VCCC). The application received a positive recommendation by the TGA delegate on 3 September 2019 (Delegates overview, Attachment A).</w:t>
      </w:r>
    </w:p>
    <w:p w14:paraId="48C23E35" w14:textId="21F68974" w:rsidR="006E4DE3" w:rsidRDefault="00120CE2" w:rsidP="00120CE2">
      <w:pPr>
        <w:spacing w:before="240" w:after="240"/>
      </w:pPr>
      <w:r>
        <w:t xml:space="preserve">The </w:t>
      </w:r>
      <w:r w:rsidR="00A329B5">
        <w:t xml:space="preserve">relevant part of the </w:t>
      </w:r>
      <w:r>
        <w:t>registered indication is:</w:t>
      </w:r>
    </w:p>
    <w:p w14:paraId="5430BE8F" w14:textId="3BB198EF" w:rsidR="006E4DE3" w:rsidRPr="00120CE2" w:rsidRDefault="006E4DE3" w:rsidP="00120CE2">
      <w:pPr>
        <w:ind w:left="720"/>
        <w:rPr>
          <w:sz w:val="22"/>
        </w:rPr>
      </w:pPr>
      <w:r w:rsidRPr="00645AC3">
        <w:rPr>
          <w:sz w:val="22"/>
        </w:rPr>
        <w:t>“UVADEX (methoxsalen) is indicated for use in conjunction with the THERAKOS C</w:t>
      </w:r>
      <w:r w:rsidR="00A329B5">
        <w:rPr>
          <w:sz w:val="22"/>
        </w:rPr>
        <w:t xml:space="preserve">ELLEX Photopheresis System for the … </w:t>
      </w:r>
      <w:r w:rsidRPr="00645AC3">
        <w:rPr>
          <w:sz w:val="22"/>
        </w:rPr>
        <w:t>palliative treatment of the skin manifestations of cutaneous T-cell lymphoma (CTCL) that is unresponsive to other forms of treatment.”</w:t>
      </w:r>
    </w:p>
    <w:p w14:paraId="6D0B5BB9" w14:textId="77777777" w:rsidR="006E4DE3" w:rsidRDefault="006E4DE3" w:rsidP="00120CE2">
      <w:pPr>
        <w:spacing w:before="240"/>
      </w:pPr>
      <w:r>
        <w:t>The commentary stated that the system registered on the Australian Register of Therapeutic Goods (ARTG) was the Cellex</w:t>
      </w:r>
      <w:r w:rsidRPr="00645AC3">
        <w:rPr>
          <w:vertAlign w:val="superscript"/>
        </w:rPr>
        <w:t>®</w:t>
      </w:r>
      <w:r>
        <w:rPr>
          <w:vertAlign w:val="superscript"/>
        </w:rPr>
        <w:t xml:space="preserve"> </w:t>
      </w:r>
      <w:r>
        <w:t>(ARTG numbers: 279305, 281849, and 279304).</w:t>
      </w:r>
    </w:p>
    <w:p w14:paraId="67CAB7FF" w14:textId="77777777" w:rsidR="004C605E" w:rsidRPr="00F715D1" w:rsidRDefault="004C605E" w:rsidP="004C605E">
      <w:pPr>
        <w:pStyle w:val="Heading1"/>
      </w:pPr>
      <w:r w:rsidRPr="00F715D1">
        <w:t>Proposal for public funding</w:t>
      </w:r>
    </w:p>
    <w:p w14:paraId="471BD643" w14:textId="19560C4B" w:rsidR="006E4DE3" w:rsidRDefault="00120CE2" w:rsidP="00120CE2">
      <w:pPr>
        <w:widowControl w:val="0"/>
        <w:spacing w:after="240"/>
      </w:pPr>
      <w:r>
        <w:t>The ADAR</w:t>
      </w:r>
      <w:r w:rsidR="006E4DE3">
        <w:t xml:space="preserve"> updated proposed item descriptor for ECP is shown in Table 2. The updated restriction incorporates the advice of MSAC to: ensure consistent wording with the proposed PBS restriction for methoxsalen; and specify that methoxsalen is used alongside ECP </w:t>
      </w:r>
      <w:r w:rsidR="006E4DE3">
        <w:lastRenderedPageBreak/>
        <w:t>treatment</w:t>
      </w:r>
      <w:r>
        <w:t xml:space="preserve"> (MSAC 1420 PSD, July 2017 p4).</w:t>
      </w:r>
    </w:p>
    <w:p w14:paraId="11F79140" w14:textId="77777777" w:rsidR="006E4DE3" w:rsidRPr="00181322" w:rsidRDefault="006E4DE3" w:rsidP="00181322">
      <w:pPr>
        <w:rPr>
          <w:rFonts w:ascii="Arial Narrow" w:hAnsi="Arial Narrow"/>
          <w:b/>
          <w:sz w:val="20"/>
        </w:rPr>
      </w:pPr>
      <w:bookmarkStart w:id="3" w:name="_Ref20904319"/>
      <w:bookmarkStart w:id="4" w:name="_Toc21082175"/>
      <w:r w:rsidRPr="00181322">
        <w:rPr>
          <w:rFonts w:ascii="Arial Narrow" w:hAnsi="Arial Narrow"/>
          <w:b/>
          <w:sz w:val="20"/>
        </w:rPr>
        <w:t xml:space="preserve">Table </w:t>
      </w:r>
      <w:bookmarkEnd w:id="3"/>
      <w:r w:rsidRPr="00181322">
        <w:rPr>
          <w:rFonts w:ascii="Arial Narrow" w:hAnsi="Arial Narrow"/>
          <w:b/>
          <w:sz w:val="20"/>
        </w:rPr>
        <w:t>2: The proposed MBS restriction for integrated, closed ECP systems for patients with CTCL</w:t>
      </w:r>
      <w:bookmarkEnd w:id="4"/>
      <w:r w:rsidRPr="00181322">
        <w:rPr>
          <w:rFonts w:ascii="Arial Narrow" w:hAnsi="Arial Narrow"/>
          <w:b/>
          <w:sz w:val="20"/>
        </w:rPr>
        <w:t xml:space="preserve"> (</w:t>
      </w:r>
      <w:r w:rsidRPr="00181322">
        <w:rPr>
          <w:rFonts w:ascii="Arial Narrow" w:hAnsi="Arial Narrow"/>
          <w:b/>
          <w:color w:val="FF0000"/>
          <w:sz w:val="20"/>
        </w:rPr>
        <w:t>in red includes the commentary’s minor editing</w:t>
      </w:r>
      <w:r w:rsidRPr="00181322">
        <w:rPr>
          <w:rFonts w:ascii="Arial Narrow" w:hAnsi="Arial Narrow"/>
          <w:b/>
          <w:sz w:val="20"/>
        </w:rPr>
        <w:t>)</w:t>
      </w:r>
    </w:p>
    <w:tbl>
      <w:tblPr>
        <w:tblStyle w:val="OPTUMTableNormal1"/>
        <w:tblW w:w="5000" w:type="pct"/>
        <w:tblLook w:val="04A0" w:firstRow="1" w:lastRow="0" w:firstColumn="1" w:lastColumn="0" w:noHBand="0" w:noVBand="1"/>
        <w:tblCaption w:val="TTable 2 The proposed MBS restriction for integrated, closed ECP systems for patients with CTCL"/>
        <w:tblDescription w:val="The proposed MBS restriction for integrated, closed ECP systems for patients with CTCL"/>
      </w:tblPr>
      <w:tblGrid>
        <w:gridCol w:w="9242"/>
      </w:tblGrid>
      <w:tr w:rsidR="006E4DE3" w:rsidRPr="00313D1A" w14:paraId="50275DB3" w14:textId="77777777" w:rsidTr="002A72F7">
        <w:trPr>
          <w:cnfStyle w:val="100000000000" w:firstRow="1" w:lastRow="0" w:firstColumn="0" w:lastColumn="0" w:oddVBand="0" w:evenVBand="0" w:oddHBand="0" w:evenHBand="0" w:firstRowFirstColumn="0" w:firstRowLastColumn="0" w:lastRowFirstColumn="0" w:lastRowLastColumn="0"/>
          <w:tblHeader/>
        </w:trPr>
        <w:tc>
          <w:tcPr>
            <w:tcW w:w="9178" w:type="dxa"/>
            <w:hideMark/>
          </w:tcPr>
          <w:p w14:paraId="618BED9C" w14:textId="77777777" w:rsidR="006E4DE3" w:rsidRPr="0069176D" w:rsidRDefault="006E4DE3" w:rsidP="00BC52A8">
            <w:pPr>
              <w:pStyle w:val="TableHeading"/>
              <w:rPr>
                <w:lang w:eastAsia="en-GB"/>
              </w:rPr>
            </w:pPr>
            <w:r w:rsidRPr="0069176D">
              <w:rPr>
                <w:lang w:eastAsia="en-GB"/>
              </w:rPr>
              <w:t>Category 3 – Therapeutic procedures</w:t>
            </w:r>
          </w:p>
        </w:tc>
      </w:tr>
      <w:tr w:rsidR="006E4DE3" w:rsidRPr="00313D1A" w14:paraId="49F3F952" w14:textId="77777777" w:rsidTr="002A72F7">
        <w:tc>
          <w:tcPr>
            <w:tcW w:w="9178" w:type="dxa"/>
          </w:tcPr>
          <w:p w14:paraId="408216DC" w14:textId="482EB8AA" w:rsidR="006E4DE3" w:rsidRPr="0069176D" w:rsidRDefault="006E4DE3" w:rsidP="001C2405">
            <w:pPr>
              <w:pStyle w:val="TableText10pt"/>
              <w:spacing w:after="240"/>
            </w:pPr>
            <w:r w:rsidRPr="0069176D">
              <w:t>MBS 38xxx</w:t>
            </w:r>
          </w:p>
          <w:p w14:paraId="625B9BD4" w14:textId="65B649B2" w:rsidR="006E4DE3" w:rsidRDefault="006E4DE3" w:rsidP="001C2405">
            <w:pPr>
              <w:pStyle w:val="TableText10pt"/>
              <w:spacing w:after="240"/>
            </w:pPr>
            <w:r w:rsidRPr="0069176D">
              <w:rPr>
                <w:caps/>
              </w:rPr>
              <w:t xml:space="preserve">integrated, closed- Extracorporeal Photopheresis systems </w:t>
            </w:r>
            <w:r w:rsidRPr="0069176D">
              <w:t xml:space="preserve">for the ECP treatment of erythrodermic </w:t>
            </w:r>
            <w:r w:rsidRPr="008A5A6E">
              <w:t>stage III-IVa</w:t>
            </w:r>
            <w:r w:rsidRPr="0069176D">
              <w:t xml:space="preserve"> T</w:t>
            </w:r>
            <w:r w:rsidRPr="0069176D">
              <w:rPr>
                <w:vertAlign w:val="subscript"/>
              </w:rPr>
              <w:t>4</w:t>
            </w:r>
            <w:r w:rsidRPr="0069176D">
              <w:t xml:space="preserve"> M</w:t>
            </w:r>
            <w:r w:rsidRPr="0069176D">
              <w:rPr>
                <w:vertAlign w:val="subscript"/>
              </w:rPr>
              <w:t>0</w:t>
            </w:r>
            <w:r w:rsidRPr="0069176D">
              <w:t xml:space="preserve"> cutaneous T-cell lymphoma </w:t>
            </w:r>
            <w:r>
              <w:t xml:space="preserve">(CTCL), </w:t>
            </w:r>
            <w:r w:rsidRPr="00C8576E">
              <w:rPr>
                <w:color w:val="FF0000"/>
              </w:rPr>
              <w:t>if all the following criteria are met</w:t>
            </w:r>
            <w:r>
              <w:t>:</w:t>
            </w:r>
          </w:p>
          <w:p w14:paraId="6F76048E" w14:textId="77777777" w:rsidR="006E4DE3" w:rsidRDefault="006E4DE3" w:rsidP="006E4DE3">
            <w:pPr>
              <w:pStyle w:val="TableText10pt"/>
              <w:numPr>
                <w:ilvl w:val="0"/>
                <w:numId w:val="6"/>
              </w:numPr>
            </w:pPr>
            <w:r w:rsidRPr="00113DAE">
              <w:t>Patient must be aged 18 years and over</w:t>
            </w:r>
          </w:p>
          <w:p w14:paraId="1D99B50C" w14:textId="77777777" w:rsidR="006E4DE3" w:rsidRDefault="006E4DE3" w:rsidP="006E4DE3">
            <w:pPr>
              <w:pStyle w:val="TableText10pt"/>
              <w:numPr>
                <w:ilvl w:val="0"/>
                <w:numId w:val="6"/>
              </w:numPr>
            </w:pPr>
            <w:r w:rsidRPr="001301F2">
              <w:t>Patient must be refractory to prior systemic treatment for this condition</w:t>
            </w:r>
            <w:r>
              <w:t>. A refractory patient is defined as having had disease recurrence while on treatment or experienced intolerance to or toxicity from treatment</w:t>
            </w:r>
          </w:p>
          <w:p w14:paraId="2CC351C5" w14:textId="77777777" w:rsidR="006E4DE3" w:rsidRDefault="006E4DE3" w:rsidP="006E4DE3">
            <w:pPr>
              <w:pStyle w:val="TableText10pt"/>
              <w:numPr>
                <w:ilvl w:val="0"/>
                <w:numId w:val="6"/>
              </w:numPr>
            </w:pPr>
            <w:r>
              <w:t>Treatment must be in combination with</w:t>
            </w:r>
            <w:r w:rsidRPr="00C8576E">
              <w:rPr>
                <w:color w:val="FF0000"/>
              </w:rPr>
              <w:t xml:space="preserve"> injectable </w:t>
            </w:r>
            <w:r w:rsidRPr="005B42AF">
              <w:t>methoxsalen</w:t>
            </w:r>
          </w:p>
          <w:p w14:paraId="09D3EE31" w14:textId="633B835C" w:rsidR="006E4DE3" w:rsidRDefault="006E4DE3" w:rsidP="001C2405">
            <w:pPr>
              <w:pStyle w:val="TableText10pt"/>
              <w:numPr>
                <w:ilvl w:val="0"/>
                <w:numId w:val="6"/>
              </w:numPr>
            </w:pPr>
            <w:r>
              <w:t xml:space="preserve">Treatment must be under supervision of a </w:t>
            </w:r>
            <w:r w:rsidRPr="00C8576E">
              <w:rPr>
                <w:color w:val="FF0000"/>
              </w:rPr>
              <w:t>consultant</w:t>
            </w:r>
            <w:r>
              <w:t xml:space="preserve"> haematologist</w:t>
            </w:r>
            <w:r w:rsidR="00571064">
              <w:t>.</w:t>
            </w:r>
          </w:p>
          <w:p w14:paraId="2A9078CE" w14:textId="6D6CFD0B" w:rsidR="006E4DE3" w:rsidRPr="0069176D" w:rsidRDefault="006E4DE3" w:rsidP="001C2405">
            <w:pPr>
              <w:pStyle w:val="TableText10pt"/>
              <w:spacing w:before="240" w:after="240"/>
            </w:pPr>
            <w:r>
              <w:t>Caution: Patient must not be pregnant or breastfeeding. Patients and their partners must each be using an effective form of contraception if of child-bearing age.</w:t>
            </w:r>
          </w:p>
          <w:p w14:paraId="0F11E00E" w14:textId="426B10DC" w:rsidR="006E4DE3" w:rsidRPr="0069176D" w:rsidRDefault="006E4DE3" w:rsidP="001C2405">
            <w:pPr>
              <w:pStyle w:val="TableText10pt"/>
              <w:spacing w:after="240"/>
            </w:pPr>
            <w:r w:rsidRPr="0069176D">
              <w:t>Treatment includes a specialist consultation and continuous monitoring with nurse attendance under the supervision of a consultant physician.</w:t>
            </w:r>
          </w:p>
          <w:p w14:paraId="3BCD3195" w14:textId="1FD93D53" w:rsidR="006E4DE3" w:rsidRPr="0069176D" w:rsidRDefault="006E4DE3" w:rsidP="006B479E">
            <w:pPr>
              <w:pStyle w:val="TableText10pt"/>
            </w:pPr>
            <w:r w:rsidRPr="0069176D">
              <w:t>Fee: $</w:t>
            </w:r>
            <w:r w:rsidR="006B479E" w:rsidRPr="006B479E">
              <w:rPr>
                <w:b/>
              </w:rPr>
              <w:t>redacted</w:t>
            </w:r>
            <w:r w:rsidRPr="0069176D">
              <w:t xml:space="preserve"> Benefit: 75% = $</w:t>
            </w:r>
            <w:r w:rsidR="006B479E" w:rsidRPr="006B479E">
              <w:rPr>
                <w:b/>
              </w:rPr>
              <w:t>redacted</w:t>
            </w:r>
            <w:r w:rsidR="006B479E" w:rsidRPr="0069176D" w:rsidDel="006B479E">
              <w:t xml:space="preserve"> </w:t>
            </w:r>
            <w:r w:rsidRPr="0069176D">
              <w:t>85% = $</w:t>
            </w:r>
            <w:r w:rsidR="006B479E" w:rsidRPr="006B479E">
              <w:rPr>
                <w:b/>
              </w:rPr>
              <w:t>redacted</w:t>
            </w:r>
          </w:p>
        </w:tc>
      </w:tr>
    </w:tbl>
    <w:p w14:paraId="2FB0909D" w14:textId="77777777" w:rsidR="006E4DE3" w:rsidRDefault="006E4DE3" w:rsidP="006E4DE3">
      <w:pPr>
        <w:pStyle w:val="Tablenotes"/>
        <w:spacing w:after="0"/>
      </w:pPr>
      <w:r w:rsidRPr="0069176D">
        <w:t xml:space="preserve">Source: </w:t>
      </w:r>
      <w:r>
        <w:t>Compiled from Table E2, p14 of ADAR; and Table 2, p10 of the commentary</w:t>
      </w:r>
    </w:p>
    <w:p w14:paraId="23A89800" w14:textId="77777777" w:rsidR="006E4DE3" w:rsidRPr="0069176D" w:rsidRDefault="006E4DE3" w:rsidP="006E4DE3">
      <w:pPr>
        <w:pStyle w:val="TFAbbrevs0"/>
        <w:spacing w:after="240"/>
        <w:rPr>
          <w:color w:val="auto"/>
        </w:rPr>
      </w:pPr>
      <w:r w:rsidRPr="0069176D">
        <w:rPr>
          <w:color w:val="auto"/>
        </w:rPr>
        <w:t xml:space="preserve">Abbreviations: </w:t>
      </w:r>
      <w:r>
        <w:rPr>
          <w:color w:val="auto"/>
        </w:rPr>
        <w:t>MBS = Medicare Benefits Schedule</w:t>
      </w:r>
    </w:p>
    <w:p w14:paraId="15DBFDFC" w14:textId="1389E8B6" w:rsidR="006E4DE3" w:rsidRDefault="006E4DE3" w:rsidP="006E4DE3">
      <w:pPr>
        <w:widowControl w:val="0"/>
      </w:pPr>
      <w:r>
        <w:t xml:space="preserve">The commentary stated that the </w:t>
      </w:r>
      <w:r w:rsidRPr="00B04B3D">
        <w:t xml:space="preserve">proposed MBS or PBS listings included in the resubmission do not limit the frequency and duration of use for ECP or methoxsalen, and therefore does not preclude claiming of treatment on consecutive days, which would be within recommendations of current ECP treatment guidelines (Alfred et al, 2017; Knobler et al, 2014). </w:t>
      </w:r>
      <w:r>
        <w:t>The commentary stated t</w:t>
      </w:r>
      <w:r w:rsidRPr="00B04B3D">
        <w:t xml:space="preserve">here is potential for ECP/methoxsalen </w:t>
      </w:r>
      <w:r>
        <w:t xml:space="preserve">to be used twice every two weeks. </w:t>
      </w:r>
      <w:r w:rsidRPr="00B04B3D">
        <w:t>While the resubmission notes that it is unlikely that clinicians will change their practice, this has potential to double the costs</w:t>
      </w:r>
      <w:r>
        <w:t xml:space="preserve"> to government over the first five</w:t>
      </w:r>
      <w:r w:rsidRPr="00B04B3D">
        <w:t xml:space="preserve"> years; further, funding of ECP is likely to encourage use of ECP in more patients, and they may refer to international guidance on treatment regimens. MSAC may wish to consider if a statement regarding limitations to the frequency of claiming is required within the proposed MBS item descriptor.</w:t>
      </w:r>
    </w:p>
    <w:p w14:paraId="6D3EC2D5" w14:textId="1D8504FA" w:rsidR="005E6795" w:rsidRDefault="00845240" w:rsidP="00120CE2">
      <w:pPr>
        <w:widowControl w:val="0"/>
        <w:spacing w:before="240"/>
      </w:pPr>
      <w:r>
        <w:t xml:space="preserve">The applicant’s </w:t>
      </w:r>
      <w:r w:rsidR="005E6795">
        <w:t xml:space="preserve">pre-MSAC response clarified that the proposed fee </w:t>
      </w:r>
      <w:r>
        <w:t>would cover</w:t>
      </w:r>
      <w:r w:rsidR="005E6795" w:rsidRPr="00B66B94">
        <w:t xml:space="preserve"> both personnel costs and the cost of the single-use kit</w:t>
      </w:r>
      <w:r w:rsidR="005E6795">
        <w:rPr>
          <w:rStyle w:val="FootnoteReference"/>
        </w:rPr>
        <w:footnoteReference w:id="1"/>
      </w:r>
      <w:r w:rsidR="005E6795">
        <w:t>:</w:t>
      </w:r>
    </w:p>
    <w:p w14:paraId="1BC561C3" w14:textId="77777777" w:rsidR="005E6795" w:rsidRDefault="005E6795" w:rsidP="005E6795">
      <w:pPr>
        <w:pStyle w:val="ListParagraph"/>
        <w:widowControl w:val="0"/>
        <w:numPr>
          <w:ilvl w:val="0"/>
          <w:numId w:val="9"/>
        </w:numPr>
      </w:pPr>
      <w:r>
        <w:t>Personnel costs: A specialist consultation ($44.35) as it is recommended that ECP is supervised by a haematologist and ECP service supervision ($164). The ECP procedure takes approximately three hours and should be delivered by specially trained, experienced nursing staff.</w:t>
      </w:r>
    </w:p>
    <w:p w14:paraId="7E443D65" w14:textId="6C124E20" w:rsidR="005E6795" w:rsidRDefault="005E6795" w:rsidP="005E6795">
      <w:pPr>
        <w:pStyle w:val="ListParagraph"/>
        <w:widowControl w:val="0"/>
        <w:numPr>
          <w:ilvl w:val="0"/>
          <w:numId w:val="9"/>
        </w:numPr>
      </w:pPr>
      <w:r>
        <w:t>Cost of consumables ($</w:t>
      </w:r>
      <w:r w:rsidR="006B479E" w:rsidRPr="006B479E">
        <w:rPr>
          <w:b/>
        </w:rPr>
        <w:t>redacted</w:t>
      </w:r>
      <w:r>
        <w:t>): The consumable for the ECP procedure is a disposable kit for single use with each procedure (i.e. a consumable). The disposable kit is necessary to perform each service and therefore is appropriate to include within the MBS item fee. The proposed cost of the kit is based on the following:</w:t>
      </w:r>
    </w:p>
    <w:p w14:paraId="1AF43771" w14:textId="77777777" w:rsidR="005E6795" w:rsidRDefault="005E6795" w:rsidP="005E6795">
      <w:pPr>
        <w:pStyle w:val="ListParagraph"/>
        <w:widowControl w:val="0"/>
        <w:numPr>
          <w:ilvl w:val="1"/>
          <w:numId w:val="9"/>
        </w:numPr>
      </w:pPr>
      <w:r>
        <w:t>Manufacture and transport of the kit</w:t>
      </w:r>
    </w:p>
    <w:p w14:paraId="25FFA552" w14:textId="77777777" w:rsidR="005E6795" w:rsidRDefault="005E6795" w:rsidP="005E6795">
      <w:pPr>
        <w:pStyle w:val="ListParagraph"/>
        <w:widowControl w:val="0"/>
        <w:numPr>
          <w:ilvl w:val="1"/>
          <w:numId w:val="9"/>
        </w:numPr>
      </w:pPr>
      <w:r>
        <w:lastRenderedPageBreak/>
        <w:t>Research and development costs of the ECP technology</w:t>
      </w:r>
    </w:p>
    <w:p w14:paraId="5B760843" w14:textId="77777777" w:rsidR="005E6795" w:rsidRDefault="005E6795" w:rsidP="005E6795">
      <w:pPr>
        <w:pStyle w:val="ListParagraph"/>
        <w:widowControl w:val="0"/>
        <w:numPr>
          <w:ilvl w:val="1"/>
          <w:numId w:val="9"/>
        </w:numPr>
      </w:pPr>
      <w:r>
        <w:t>Importantly, the cost of the kit also covers clinical training and support, education and scientific consultation, comprehensive customer service and access to online platforms as outlined below.</w:t>
      </w:r>
    </w:p>
    <w:p w14:paraId="7F0DBC97" w14:textId="0B01165C" w:rsidR="005E6795" w:rsidRDefault="005E6795" w:rsidP="00120CE2">
      <w:pPr>
        <w:widowControl w:val="0"/>
        <w:spacing w:before="240"/>
      </w:pPr>
      <w:r>
        <w:t>The applicant also stated that the proposed item fee does not include: the cost of other consumables (e.g. cannulas, etc.), as it is anticipated that these costs would be covered by current activity-based hospital funding; and capital costs of the ECP machine.</w:t>
      </w:r>
    </w:p>
    <w:p w14:paraId="33AB790D" w14:textId="77777777" w:rsidR="004C605E" w:rsidRPr="00F715D1" w:rsidRDefault="004C605E" w:rsidP="004C605E">
      <w:pPr>
        <w:pStyle w:val="Heading1"/>
      </w:pPr>
      <w:r w:rsidRPr="00F715D1">
        <w:t xml:space="preserve">Summary of </w:t>
      </w:r>
      <w:r>
        <w:t>public c</w:t>
      </w:r>
      <w:r w:rsidRPr="00F715D1">
        <w:t>onsultation</w:t>
      </w:r>
      <w:r>
        <w:t xml:space="preserve"> f</w:t>
      </w:r>
      <w:r w:rsidRPr="00F715D1">
        <w:t>eedback</w:t>
      </w:r>
      <w:r>
        <w:t>/c</w:t>
      </w:r>
      <w:r w:rsidRPr="00F715D1">
        <w:t>onsumer Issues</w:t>
      </w:r>
    </w:p>
    <w:p w14:paraId="41CD4C5D" w14:textId="77777777" w:rsidR="005E6795" w:rsidRDefault="005E6795" w:rsidP="005E6795">
      <w:r>
        <w:t>This remained unchanged; see PSD Application No. 1420 2017, p5 for further detail.</w:t>
      </w:r>
    </w:p>
    <w:p w14:paraId="760D6F70" w14:textId="77777777" w:rsidR="004C605E" w:rsidRPr="00F715D1" w:rsidRDefault="004C605E" w:rsidP="004C605E">
      <w:pPr>
        <w:pStyle w:val="Heading1"/>
      </w:pPr>
      <w:r w:rsidRPr="00F715D1">
        <w:t>Proposed intervention’s place in clinical management</w:t>
      </w:r>
    </w:p>
    <w:p w14:paraId="7425B5A1" w14:textId="31D58655" w:rsidR="00BC52A8" w:rsidRDefault="00BC52A8" w:rsidP="00120CE2">
      <w:pPr>
        <w:spacing w:after="240"/>
      </w:pPr>
      <w:r w:rsidRPr="003975D1">
        <w:t xml:space="preserve">The </w:t>
      </w:r>
      <w:r>
        <w:t xml:space="preserve">ADAR stated that the </w:t>
      </w:r>
      <w:r w:rsidRPr="003975D1">
        <w:t>proposed clinica</w:t>
      </w:r>
      <w:r>
        <w:t>l treatment algorithm (Figure 1</w:t>
      </w:r>
      <w:r w:rsidRPr="003975D1">
        <w:t xml:space="preserve">) </w:t>
      </w:r>
      <w:r>
        <w:t>was</w:t>
      </w:r>
      <w:r w:rsidRPr="003975D1">
        <w:t xml:space="preserve"> updated to include vorinostat and brentuximab vedotin as second- and third-line treatment options which is consistent with their PBS listings</w:t>
      </w:r>
      <w:r>
        <w:t>,</w:t>
      </w:r>
      <w:r w:rsidRPr="003975D1">
        <w:t xml:space="preserve"> and MSAC advice </w:t>
      </w:r>
      <w:r w:rsidR="00F81D3C">
        <w:t xml:space="preserve">from July </w:t>
      </w:r>
      <w:r w:rsidRPr="003975D1">
        <w:t>2017.</w:t>
      </w:r>
    </w:p>
    <w:p w14:paraId="65B5E1EA" w14:textId="694E86D9" w:rsidR="00BC52A8" w:rsidRPr="00181322" w:rsidRDefault="00BC52A8" w:rsidP="00181322">
      <w:pPr>
        <w:rPr>
          <w:rFonts w:ascii="Arial Narrow" w:hAnsi="Arial Narrow"/>
          <w:b/>
          <w:sz w:val="20"/>
        </w:rPr>
      </w:pPr>
      <w:bookmarkStart w:id="5" w:name="_Toc20994080"/>
      <w:r w:rsidRPr="00181322">
        <w:rPr>
          <w:rFonts w:ascii="Arial Narrow" w:hAnsi="Arial Narrow"/>
          <w:b/>
          <w:sz w:val="20"/>
        </w:rPr>
        <w:t>Figure 1</w:t>
      </w:r>
      <w:r w:rsidR="00B22DA6" w:rsidRPr="00181322">
        <w:rPr>
          <w:rFonts w:ascii="Arial Narrow" w:hAnsi="Arial Narrow"/>
          <w:b/>
          <w:sz w:val="20"/>
        </w:rPr>
        <w:t xml:space="preserve">: </w:t>
      </w:r>
      <w:r w:rsidRPr="00181322">
        <w:rPr>
          <w:rFonts w:ascii="Arial Narrow" w:hAnsi="Arial Narrow"/>
          <w:b/>
          <w:sz w:val="20"/>
        </w:rPr>
        <w:t>Proposed clinical management algorithm in T4 and M0 cutaneous T-cell lymphoma patients that are refractory to initial therapy</w:t>
      </w:r>
      <w:bookmarkEnd w:id="5"/>
    </w:p>
    <w:p w14:paraId="0DA8B4BD" w14:textId="77777777" w:rsidR="00BC52A8" w:rsidRPr="000C3246" w:rsidRDefault="00BC52A8" w:rsidP="00BC52A8">
      <w:pPr>
        <w:keepNext/>
      </w:pPr>
      <w:r>
        <w:rPr>
          <w:noProof/>
        </w:rPr>
        <w:drawing>
          <wp:inline distT="0" distB="0" distL="0" distR="0" wp14:anchorId="52EC1823" wp14:editId="4666C8C3">
            <wp:extent cx="5794589" cy="3168650"/>
            <wp:effectExtent l="0" t="0" r="0" b="0"/>
            <wp:docPr id="39" name="Picture 39" descr="ADARs proposed algorithm" title="Figure 1 Proposed clinical management algorithm in T4 and M0 cutaneous T-cell lymphoma patients that are refractory to initial therap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04682" cy="3174169"/>
                    </a:xfrm>
                    <a:prstGeom prst="rect">
                      <a:avLst/>
                    </a:prstGeom>
                    <a:noFill/>
                  </pic:spPr>
                </pic:pic>
              </a:graphicData>
            </a:graphic>
          </wp:inline>
        </w:drawing>
      </w:r>
    </w:p>
    <w:p w14:paraId="1C2A6B43" w14:textId="77777777" w:rsidR="00BC52A8" w:rsidRDefault="00BC52A8" w:rsidP="00BC52A8">
      <w:pPr>
        <w:pStyle w:val="Tablenotes"/>
      </w:pPr>
      <w:r>
        <w:t>Source: Figure E3, p20 of the ADAR</w:t>
      </w:r>
    </w:p>
    <w:p w14:paraId="2261B073" w14:textId="77777777" w:rsidR="00BC52A8" w:rsidRPr="000C3246" w:rsidRDefault="00BC52A8" w:rsidP="00BC52A8">
      <w:pPr>
        <w:pStyle w:val="Tablenotes"/>
        <w:spacing w:after="240"/>
      </w:pPr>
      <w:r>
        <w:t xml:space="preserve">Abbreviations: BV = brentuximab vedotin; ECP = extracorporeal photopheresis; TSEB = </w:t>
      </w:r>
      <w:r w:rsidRPr="00414F4C">
        <w:t>total skin electron beam therapy</w:t>
      </w:r>
    </w:p>
    <w:p w14:paraId="18BAEDB8" w14:textId="77777777" w:rsidR="00BC52A8" w:rsidRPr="00BC52A8" w:rsidRDefault="00BC52A8" w:rsidP="00BC52A8">
      <w:r>
        <w:t>The commentary stated that t</w:t>
      </w:r>
      <w:r w:rsidRPr="000264F1">
        <w:t xml:space="preserve">he </w:t>
      </w:r>
      <w:r>
        <w:t>re</w:t>
      </w:r>
      <w:r w:rsidRPr="000264F1">
        <w:t>submission did not consider ECP given in combination with another systematic therapy, which might occur where patients have achieved small but inadequate response to ECP monotherapy. Combination systematic therapies are recommended in the 2017 National Comprehensive Cancer Network (NCCN) guidelines for MF/SS.</w:t>
      </w:r>
    </w:p>
    <w:p w14:paraId="563E5953" w14:textId="1DF57A29" w:rsidR="004C605E" w:rsidRPr="00F715D1" w:rsidRDefault="00BF6B4E" w:rsidP="004C605E">
      <w:pPr>
        <w:pStyle w:val="Heading1"/>
      </w:pPr>
      <w:r>
        <w:t>Comparator</w:t>
      </w:r>
    </w:p>
    <w:p w14:paraId="30F5A8CF" w14:textId="35065EBB" w:rsidR="00BC52A8" w:rsidRDefault="00BC52A8" w:rsidP="00BC52A8">
      <w:r w:rsidRPr="00D4658F">
        <w:t xml:space="preserve">The </w:t>
      </w:r>
      <w:r>
        <w:t>re</w:t>
      </w:r>
      <w:r w:rsidRPr="00D4658F">
        <w:t>submission nominated second-line treatments methotrexate</w:t>
      </w:r>
      <w:r w:rsidR="00845240">
        <w:t xml:space="preserve"> (46%)</w:t>
      </w:r>
      <w:r w:rsidRPr="00D4658F">
        <w:t>, interferon</w:t>
      </w:r>
      <w:r w:rsidR="0007649E" w:rsidRPr="0007649E">
        <w:rPr>
          <w:szCs w:val="24"/>
        </w:rPr>
        <w:t>-α</w:t>
      </w:r>
      <w:r w:rsidR="00845240">
        <w:rPr>
          <w:szCs w:val="24"/>
        </w:rPr>
        <w:t xml:space="preserve"> (32%)</w:t>
      </w:r>
      <w:r w:rsidRPr="00D4658F">
        <w:t xml:space="preserve">, </w:t>
      </w:r>
      <w:r w:rsidR="00845240" w:rsidRPr="00D4658F">
        <w:t xml:space="preserve">vorinostat </w:t>
      </w:r>
      <w:r w:rsidR="00845240">
        <w:t xml:space="preserve">(13%) and </w:t>
      </w:r>
      <w:r w:rsidRPr="00D4658F">
        <w:t xml:space="preserve">brentuximab vedotin </w:t>
      </w:r>
      <w:r w:rsidR="00845240">
        <w:t xml:space="preserve">(9%) </w:t>
      </w:r>
      <w:r w:rsidRPr="00D4658F">
        <w:t xml:space="preserve">as comparators. The comparators had been revised since the July 2017 </w:t>
      </w:r>
      <w:r w:rsidR="00F81D3C">
        <w:t>MSAC consideration</w:t>
      </w:r>
      <w:r w:rsidRPr="00D4658F">
        <w:t xml:space="preserve">; including removal of alemtuzumab (as </w:t>
      </w:r>
      <w:r w:rsidRPr="00D4658F">
        <w:lastRenderedPageBreak/>
        <w:t xml:space="preserve">requested by MSAC), </w:t>
      </w:r>
      <w:r w:rsidR="003A2D37">
        <w:t xml:space="preserve">and </w:t>
      </w:r>
      <w:r w:rsidRPr="00D4658F">
        <w:t>addition of vorinostat (as requested by MSAC) and brentuximab vedotin (recently listed on PBS, for CD30-positive patients o</w:t>
      </w:r>
      <w:r>
        <w:t>nly given its mode of action).</w:t>
      </w:r>
    </w:p>
    <w:p w14:paraId="209A17FC" w14:textId="7B1E10A2" w:rsidR="00BC52A8" w:rsidRDefault="00BC52A8" w:rsidP="00120CE2">
      <w:pPr>
        <w:spacing w:before="240"/>
      </w:pPr>
      <w:r w:rsidRPr="00D4658F">
        <w:t>ESC previously noted interferon</w:t>
      </w:r>
      <w:r w:rsidR="00571064">
        <w:t>-</w:t>
      </w:r>
      <w:r w:rsidR="00525F4F">
        <w:t>α</w:t>
      </w:r>
      <w:r w:rsidRPr="00D4658F">
        <w:t>2b is not considered to have established cost-effectiveness for treatment of patients with CTCL in the Australian setting. While the resubmission noted it is TGA</w:t>
      </w:r>
      <w:r w:rsidR="00525F4F">
        <w:t xml:space="preserve"> </w:t>
      </w:r>
      <w:r w:rsidRPr="00D4658F">
        <w:t>approved for CTCL, it is not PBS listed for this indication; and in the absence of cost-effectiveness in the Australian setting, inclusion of interferon</w:t>
      </w:r>
      <w:r w:rsidR="0007649E" w:rsidRPr="0007649E">
        <w:rPr>
          <w:szCs w:val="24"/>
        </w:rPr>
        <w:t>-α</w:t>
      </w:r>
      <w:r w:rsidRPr="00D4658F">
        <w:t xml:space="preserve"> as a comparator in the resubmission may not be appropriate.</w:t>
      </w:r>
    </w:p>
    <w:p w14:paraId="1D4FAE78" w14:textId="4FC096E4" w:rsidR="00845240" w:rsidRDefault="00845240" w:rsidP="00120CE2">
      <w:pPr>
        <w:spacing w:before="240"/>
      </w:pPr>
      <w:r w:rsidRPr="00120CE2">
        <w:rPr>
          <w:color w:val="000000"/>
        </w:rPr>
        <w:t xml:space="preserve">The </w:t>
      </w:r>
      <w:r>
        <w:rPr>
          <w:color w:val="000000"/>
        </w:rPr>
        <w:t xml:space="preserve">applicant’s </w:t>
      </w:r>
      <w:r w:rsidRPr="00120CE2">
        <w:rPr>
          <w:color w:val="000000"/>
        </w:rPr>
        <w:t>pre-MSAC response noted that the</w:t>
      </w:r>
      <w:r>
        <w:rPr>
          <w:color w:val="000000"/>
        </w:rPr>
        <w:t xml:space="preserve"> estimated </w:t>
      </w:r>
      <w:r w:rsidRPr="00120CE2">
        <w:rPr>
          <w:color w:val="000000"/>
        </w:rPr>
        <w:t xml:space="preserve">proportions </w:t>
      </w:r>
      <w:r>
        <w:rPr>
          <w:color w:val="000000"/>
        </w:rPr>
        <w:t xml:space="preserve">for vorinostat and brentuximab vedotin </w:t>
      </w:r>
      <w:r w:rsidRPr="00120CE2">
        <w:rPr>
          <w:color w:val="000000"/>
        </w:rPr>
        <w:t xml:space="preserve">were based on PBS </w:t>
      </w:r>
      <w:r>
        <w:rPr>
          <w:color w:val="000000"/>
        </w:rPr>
        <w:t xml:space="preserve">utilisation data available </w:t>
      </w:r>
      <w:r w:rsidRPr="00120CE2">
        <w:rPr>
          <w:color w:val="000000"/>
        </w:rPr>
        <w:t xml:space="preserve">at the time of submission (covering April 2019 to June 2019). </w:t>
      </w:r>
      <w:r>
        <w:rPr>
          <w:color w:val="000000"/>
        </w:rPr>
        <w:t>Based on extending the</w:t>
      </w:r>
      <w:r w:rsidRPr="00120CE2">
        <w:rPr>
          <w:color w:val="000000"/>
        </w:rPr>
        <w:t xml:space="preserve"> </w:t>
      </w:r>
      <w:r>
        <w:rPr>
          <w:color w:val="000000"/>
        </w:rPr>
        <w:t xml:space="preserve">period of </w:t>
      </w:r>
      <w:r w:rsidRPr="00120CE2">
        <w:rPr>
          <w:color w:val="000000"/>
        </w:rPr>
        <w:t xml:space="preserve">data </w:t>
      </w:r>
      <w:r>
        <w:rPr>
          <w:color w:val="000000"/>
        </w:rPr>
        <w:t xml:space="preserve">from April 2019 </w:t>
      </w:r>
      <w:r w:rsidRPr="00120CE2">
        <w:rPr>
          <w:color w:val="000000"/>
        </w:rPr>
        <w:t xml:space="preserve">to January 2020, which </w:t>
      </w:r>
      <w:r>
        <w:rPr>
          <w:color w:val="000000"/>
        </w:rPr>
        <w:t xml:space="preserve">the </w:t>
      </w:r>
      <w:r w:rsidRPr="00120CE2">
        <w:rPr>
          <w:color w:val="000000"/>
        </w:rPr>
        <w:t>proportion</w:t>
      </w:r>
      <w:r>
        <w:rPr>
          <w:color w:val="000000"/>
        </w:rPr>
        <w:t xml:space="preserve"> of </w:t>
      </w:r>
      <w:r w:rsidRPr="00120CE2">
        <w:rPr>
          <w:color w:val="000000"/>
        </w:rPr>
        <w:t xml:space="preserve">use of brentuximab vedotin </w:t>
      </w:r>
      <w:r>
        <w:rPr>
          <w:color w:val="000000"/>
        </w:rPr>
        <w:t xml:space="preserve">would </w:t>
      </w:r>
      <w:r w:rsidRPr="00120CE2">
        <w:rPr>
          <w:color w:val="000000"/>
        </w:rPr>
        <w:t xml:space="preserve">increase to 11%, and </w:t>
      </w:r>
      <w:r>
        <w:rPr>
          <w:color w:val="000000"/>
        </w:rPr>
        <w:t xml:space="preserve">the </w:t>
      </w:r>
      <w:r w:rsidRPr="00120CE2">
        <w:rPr>
          <w:color w:val="000000"/>
        </w:rPr>
        <w:t>proportion</w:t>
      </w:r>
      <w:r>
        <w:rPr>
          <w:color w:val="000000"/>
        </w:rPr>
        <w:t xml:space="preserve"> of </w:t>
      </w:r>
      <w:r w:rsidRPr="00120CE2">
        <w:rPr>
          <w:color w:val="000000"/>
        </w:rPr>
        <w:t xml:space="preserve">use of vorinostat </w:t>
      </w:r>
      <w:r>
        <w:rPr>
          <w:color w:val="000000"/>
        </w:rPr>
        <w:t xml:space="preserve">would reduce </w:t>
      </w:r>
      <w:r w:rsidRPr="00120CE2">
        <w:rPr>
          <w:color w:val="000000"/>
        </w:rPr>
        <w:t>to 11%</w:t>
      </w:r>
      <w:r w:rsidR="003A2D37">
        <w:rPr>
          <w:color w:val="000000"/>
        </w:rPr>
        <w:t xml:space="preserve"> (see also Table 11)</w:t>
      </w:r>
      <w:r w:rsidRPr="00120CE2">
        <w:rPr>
          <w:color w:val="000000"/>
        </w:rPr>
        <w:t>.</w:t>
      </w:r>
    </w:p>
    <w:p w14:paraId="7EE18366" w14:textId="77777777" w:rsidR="004C605E" w:rsidRPr="00F715D1" w:rsidRDefault="004C605E" w:rsidP="004C605E">
      <w:pPr>
        <w:pStyle w:val="Heading1"/>
      </w:pPr>
      <w:r w:rsidRPr="00F715D1">
        <w:t>Comparative safety</w:t>
      </w:r>
    </w:p>
    <w:p w14:paraId="2C7AEAE6" w14:textId="77777777" w:rsidR="00BC52A8" w:rsidRDefault="00BC52A8" w:rsidP="00BC52A8">
      <w:r>
        <w:t>For primary evidence, the resubmission presented</w:t>
      </w:r>
      <w:r w:rsidRPr="0003453C">
        <w:t xml:space="preserve"> an updated analysis of the Victorian Comprehensive Cancer Centre (VCCC</w:t>
      </w:r>
      <w:r>
        <w:rPr>
          <w:rStyle w:val="FootnoteReference"/>
        </w:rPr>
        <w:footnoteReference w:id="2"/>
      </w:r>
      <w:r w:rsidRPr="0003453C">
        <w:t>) (Gao</w:t>
      </w:r>
      <w:r>
        <w:t xml:space="preserve"> et al.</w:t>
      </w:r>
      <w:r w:rsidRPr="0003453C">
        <w:t xml:space="preserve"> 2019) data previously presented to MSAC (Hughes</w:t>
      </w:r>
      <w:r>
        <w:t xml:space="preserve"> et al.</w:t>
      </w:r>
      <w:r w:rsidRPr="0003453C">
        <w:t xml:space="preserve"> 2015). </w:t>
      </w:r>
      <w:r>
        <w:t>The resubmission stated t</w:t>
      </w:r>
      <w:r w:rsidRPr="0003453C">
        <w:t>his updated</w:t>
      </w:r>
      <w:r>
        <w:t xml:space="preserve"> retrospective</w:t>
      </w:r>
      <w:r w:rsidRPr="0003453C">
        <w:t xml:space="preserve"> analysis is considered</w:t>
      </w:r>
      <w:r>
        <w:t xml:space="preserve"> to have high external validity, providing a </w:t>
      </w:r>
      <w:r w:rsidRPr="0003453C">
        <w:t>comprehensive analysis comparing</w:t>
      </w:r>
      <w:r>
        <w:t xml:space="preserve"> 65 patients with a diagnosis of MF or SS with blood involvement treated with</w:t>
      </w:r>
      <w:r w:rsidRPr="0003453C">
        <w:t xml:space="preserve"> ECP with ot</w:t>
      </w:r>
      <w:r>
        <w:t>her systemic treatment for CTCL over 21 years (1997 to January 2018)</w:t>
      </w:r>
      <w:r w:rsidRPr="0003453C">
        <w:t>.</w:t>
      </w:r>
      <w:r>
        <w:t xml:space="preserve"> However, the resubmission acknowledged the study has low internal validity.</w:t>
      </w:r>
    </w:p>
    <w:p w14:paraId="64C81393" w14:textId="5505EE2E" w:rsidR="00BC52A8" w:rsidRDefault="00BC52A8" w:rsidP="00120CE2">
      <w:pPr>
        <w:spacing w:before="240" w:after="240"/>
      </w:pPr>
      <w:r>
        <w:t>For supportive evidence for ECP, the resubmission included three other single-arm studies (Arulogun et al</w:t>
      </w:r>
      <w:r w:rsidR="00B22DA6">
        <w:t>.</w:t>
      </w:r>
      <w:r>
        <w:t xml:space="preserve"> </w:t>
      </w:r>
      <w:r w:rsidR="00B22DA6">
        <w:t xml:space="preserve">2008 </w:t>
      </w:r>
      <w:r>
        <w:t>[subpopulation with SS in VCCC database]; Knobler et al. 2012; Siakantaris et al.</w:t>
      </w:r>
      <w:r w:rsidRPr="00756BA2">
        <w:t xml:space="preserve"> 2012)</w:t>
      </w:r>
      <w:r>
        <w:t xml:space="preserve">, which were previously considered in the previous submission. However, the commentary highlighted that MSAC </w:t>
      </w:r>
      <w:r w:rsidRPr="00927A1E">
        <w:t>previously considered these studies to have several limitations regarding their applicability to estimating the likely benefit of ECP in the proposed population due to heterogeneity in study populations, the use of concomitant systemic therapy, and use of oral (not extracorporeal) methoxsalen (PSD</w:t>
      </w:r>
      <w:r>
        <w:t xml:space="preserve"> Application No. 1420 </w:t>
      </w:r>
      <w:r w:rsidRPr="00927A1E">
        <w:t>2017</w:t>
      </w:r>
      <w:r>
        <w:t>,</w:t>
      </w:r>
      <w:r w:rsidR="00B22DA6">
        <w:t xml:space="preserve"> </w:t>
      </w:r>
      <w:r w:rsidR="00120CE2">
        <w:t>p8).</w:t>
      </w:r>
    </w:p>
    <w:p w14:paraId="6AA3D02E" w14:textId="77777777" w:rsidR="00BC52A8" w:rsidRDefault="00BC52A8" w:rsidP="00BC52A8">
      <w:r>
        <w:t>Due to a lack of direct evidence comparing ECP to vorinostat and brentuximab vedotin in the primary study (Gao et al. 2019), the resubmission included a naïve indirect treatment comparison with additional comparator studies.</w:t>
      </w:r>
    </w:p>
    <w:p w14:paraId="3083CA4E" w14:textId="155873C8" w:rsidR="00BC52A8" w:rsidRDefault="00BC52A8" w:rsidP="00BA5C43">
      <w:pPr>
        <w:spacing w:before="240" w:after="240"/>
      </w:pPr>
      <w:r w:rsidRPr="00070416">
        <w:t xml:space="preserve">Comparator studies consisted of one </w:t>
      </w:r>
      <w:r>
        <w:t>randomised controlled trial (</w:t>
      </w:r>
      <w:r w:rsidRPr="00070416">
        <w:t>RCT</w:t>
      </w:r>
      <w:r>
        <w:t>) (Prince et al.</w:t>
      </w:r>
      <w:r w:rsidRPr="00070416">
        <w:t xml:space="preserve"> 2017) and two single-arm studie</w:t>
      </w:r>
      <w:r>
        <w:t>s (Duvic et al. 2015; Kim et al.</w:t>
      </w:r>
      <w:r w:rsidRPr="00070416">
        <w:t xml:space="preserve"> 2015) for brentuximab vedotin, and three single-arm stud</w:t>
      </w:r>
      <w:r>
        <w:t>ies for vorinostat (Duvic et al. 2009; Duvic et al. 2007; Olsen et al.</w:t>
      </w:r>
      <w:r w:rsidRPr="00070416">
        <w:t xml:space="preserve"> 2007)</w:t>
      </w:r>
      <w:r>
        <w:t xml:space="preserve">. </w:t>
      </w:r>
      <w:r w:rsidRPr="00070416">
        <w:t>Overall, the risk of bias in the studies was considered high</w:t>
      </w:r>
      <w:r>
        <w:t xml:space="preserve"> by the commentary</w:t>
      </w:r>
      <w:r w:rsidRPr="00070416">
        <w:t xml:space="preserve">, due to single-arm design (most studies), heterogeneity in patient and disease characteristics (including CTCL subtype, stage and severity, CD30-positive disease), small sample sizes and lack of blinding. However, this high risk of bias should be contextualised in terms of the rarity of this condition, noting its TGA orphan drug designation and the challenges involved in conducting </w:t>
      </w:r>
      <w:r>
        <w:t>RCTs</w:t>
      </w:r>
      <w:r w:rsidRPr="00070416">
        <w:t xml:space="preserve"> in patients with rare cancers.</w:t>
      </w:r>
    </w:p>
    <w:p w14:paraId="3085927D" w14:textId="0AE7FB57" w:rsidR="00BC52A8" w:rsidRDefault="00BC52A8" w:rsidP="00120CE2">
      <w:pPr>
        <w:spacing w:after="240"/>
      </w:pPr>
      <w:r>
        <w:t xml:space="preserve">The VCCC database </w:t>
      </w:r>
      <w:r w:rsidR="009138F2" w:rsidRPr="006B479E">
        <w:rPr>
          <w:b/>
        </w:rPr>
        <w:t>redacted</w:t>
      </w:r>
      <w:r w:rsidR="009138F2">
        <w:rPr>
          <w:b/>
        </w:rPr>
        <w:t xml:space="preserve">. </w:t>
      </w:r>
      <w:r>
        <w:t xml:space="preserve">From this, the resubmission considered ECP was </w:t>
      </w:r>
      <w:r w:rsidR="00BA5C43" w:rsidRPr="006B479E">
        <w:rPr>
          <w:b/>
        </w:rPr>
        <w:t>redacted</w:t>
      </w:r>
      <w:r w:rsidRPr="002C235C">
        <w:t>.</w:t>
      </w:r>
    </w:p>
    <w:p w14:paraId="20594A78" w14:textId="77777777" w:rsidR="007D65A9" w:rsidRDefault="00BC52A8" w:rsidP="00120CE2">
      <w:pPr>
        <w:spacing w:after="240"/>
        <w:rPr>
          <w:rFonts w:ascii="Arial Narrow" w:hAnsi="Arial Narrow"/>
          <w:b/>
          <w:sz w:val="20"/>
        </w:rPr>
      </w:pPr>
      <w:bookmarkStart w:id="6" w:name="_Ref18073546"/>
      <w:bookmarkStart w:id="7" w:name="_Toc21082253"/>
      <w:r w:rsidRPr="00181322">
        <w:rPr>
          <w:rFonts w:ascii="Arial Narrow" w:hAnsi="Arial Narrow"/>
          <w:b/>
          <w:sz w:val="20"/>
        </w:rPr>
        <w:t xml:space="preserve">Table </w:t>
      </w:r>
      <w:bookmarkEnd w:id="6"/>
      <w:r w:rsidRPr="00181322">
        <w:rPr>
          <w:rFonts w:ascii="Arial Narrow" w:hAnsi="Arial Narrow"/>
          <w:b/>
          <w:sz w:val="20"/>
        </w:rPr>
        <w:t xml:space="preserve">3: </w:t>
      </w:r>
      <w:r w:rsidR="009138F2">
        <w:rPr>
          <w:rFonts w:ascii="Arial Narrow" w:hAnsi="Arial Narrow"/>
          <w:b/>
          <w:sz w:val="20"/>
        </w:rPr>
        <w:t xml:space="preserve">redacted </w:t>
      </w:r>
      <w:bookmarkEnd w:id="7"/>
    </w:p>
    <w:p w14:paraId="7AE698A4" w14:textId="1C8AAAEC" w:rsidR="00BC52A8" w:rsidRDefault="00BC52A8" w:rsidP="00120CE2">
      <w:pPr>
        <w:spacing w:after="240"/>
      </w:pPr>
      <w:r>
        <w:lastRenderedPageBreak/>
        <w:t>The resubmission stated that</w:t>
      </w:r>
      <w:r w:rsidR="00F81D3C">
        <w:t>,</w:t>
      </w:r>
      <w:r>
        <w:t xml:space="preserve"> compared with ECP, adverse events (AEs) for vorinostat and brentuximab vedotin were considerably more common and resulted in a greater number of treatment discontinuations. For vorinostat, discontinuations due to AEs were between 9-19% (Table 4). Notably, vorinostat was associated with pulmonary embolism, deep vein thrombosis and thrombocytopenia. In addition to these events being associated with considerable mortality and morbidity risk, the PBAC was concerned about the potential implications in patients receiving subsequent treatment agents that induce thrombocytopenia (Vorinostat PBAC PSD </w:t>
      </w:r>
      <w:r w:rsidR="00120CE2">
        <w:t>November 2016, para 6.20).</w:t>
      </w:r>
    </w:p>
    <w:p w14:paraId="31C8BF51" w14:textId="588C4EDD" w:rsidR="00BC52A8" w:rsidRDefault="00BC52A8" w:rsidP="00120CE2">
      <w:pPr>
        <w:spacing w:after="240"/>
      </w:pPr>
      <w:r>
        <w:t>AEs with brentuximab vedotin were extremely common. Ninety-five percent of patients experienced an AE, 24% discontinued treatment due to an AE and 14% had a serious drug-related AE (see Table 4). The PBAC considered that brentuximab vedotin may have an inferior safety profile compared with methotrexate (Brentuximab vedotin P</w:t>
      </w:r>
      <w:r w:rsidR="00120CE2">
        <w:t>BAC PSD, July 2018, para 6.20).</w:t>
      </w:r>
    </w:p>
    <w:p w14:paraId="7D605852" w14:textId="77777777" w:rsidR="00BC52A8" w:rsidRPr="00181322" w:rsidRDefault="00BC52A8" w:rsidP="00181322">
      <w:pPr>
        <w:rPr>
          <w:rFonts w:ascii="Arial Narrow" w:hAnsi="Arial Narrow"/>
          <w:b/>
          <w:sz w:val="20"/>
        </w:rPr>
      </w:pPr>
      <w:bookmarkStart w:id="8" w:name="_Ref18075386"/>
      <w:bookmarkStart w:id="9" w:name="_Toc21082255"/>
      <w:r w:rsidRPr="00181322">
        <w:rPr>
          <w:rFonts w:ascii="Arial Narrow" w:hAnsi="Arial Narrow"/>
          <w:b/>
          <w:sz w:val="20"/>
        </w:rPr>
        <w:t>Table</w:t>
      </w:r>
      <w:bookmarkEnd w:id="8"/>
      <w:r w:rsidRPr="00181322">
        <w:rPr>
          <w:rFonts w:ascii="Arial Narrow" w:hAnsi="Arial Narrow"/>
          <w:b/>
          <w:sz w:val="20"/>
        </w:rPr>
        <w:t xml:space="preserve"> 4: Summary of key adverse events in the comparator studies</w:t>
      </w:r>
      <w:bookmarkEnd w:id="9"/>
    </w:p>
    <w:tbl>
      <w:tblPr>
        <w:tblStyle w:val="TableGrid1"/>
        <w:tblW w:w="0" w:type="auto"/>
        <w:tblCellMar>
          <w:left w:w="28" w:type="dxa"/>
          <w:right w:w="28" w:type="dxa"/>
        </w:tblCellMar>
        <w:tblLook w:val="04A0" w:firstRow="1" w:lastRow="0" w:firstColumn="1" w:lastColumn="0" w:noHBand="0" w:noVBand="1"/>
        <w:tblCaption w:val="Table 4  Summary of key adverse events in the comparator studies"/>
        <w:tblDescription w:val="Summary of Aes associated with brentuximab vedoting and vorinostat"/>
      </w:tblPr>
      <w:tblGrid>
        <w:gridCol w:w="3681"/>
        <w:gridCol w:w="2126"/>
        <w:gridCol w:w="1559"/>
        <w:gridCol w:w="1401"/>
        <w:gridCol w:w="249"/>
      </w:tblGrid>
      <w:tr w:rsidR="00BC52A8" w:rsidRPr="00DD623F" w14:paraId="5C7099A3" w14:textId="77777777" w:rsidTr="00CC66AE">
        <w:trPr>
          <w:cnfStyle w:val="100000000000" w:firstRow="1" w:lastRow="0" w:firstColumn="0" w:lastColumn="0" w:oddVBand="0" w:evenVBand="0" w:oddHBand="0" w:evenHBand="0" w:firstRowFirstColumn="0" w:firstRowLastColumn="0" w:lastRowFirstColumn="0" w:lastRowLastColumn="0"/>
          <w:tblHeader/>
        </w:trPr>
        <w:tc>
          <w:tcPr>
            <w:tcW w:w="3681" w:type="dxa"/>
          </w:tcPr>
          <w:p w14:paraId="74293015" w14:textId="77777777" w:rsidR="00BC52A8" w:rsidRPr="00DD623F" w:rsidRDefault="00BC52A8" w:rsidP="00BC52A8">
            <w:pPr>
              <w:pStyle w:val="TableText9ptcentered"/>
              <w:jc w:val="left"/>
              <w:rPr>
                <w:b/>
                <w:bCs/>
                <w:sz w:val="20"/>
              </w:rPr>
            </w:pPr>
            <w:r w:rsidRPr="00DD623F">
              <w:rPr>
                <w:b/>
                <w:bCs/>
                <w:sz w:val="20"/>
              </w:rPr>
              <w:t>Drug</w:t>
            </w:r>
          </w:p>
        </w:tc>
        <w:tc>
          <w:tcPr>
            <w:tcW w:w="2126" w:type="dxa"/>
          </w:tcPr>
          <w:p w14:paraId="6B267DDA" w14:textId="77777777" w:rsidR="00BC52A8" w:rsidRPr="00DD623F" w:rsidRDefault="00BC52A8" w:rsidP="00BC52A8">
            <w:pPr>
              <w:pStyle w:val="TableText9ptcentered"/>
              <w:rPr>
                <w:b/>
                <w:bCs/>
                <w:sz w:val="20"/>
              </w:rPr>
            </w:pPr>
            <w:r w:rsidRPr="00DD623F">
              <w:rPr>
                <w:b/>
                <w:bCs/>
                <w:sz w:val="20"/>
              </w:rPr>
              <w:t>Brentuximab</w:t>
            </w:r>
            <w:r>
              <w:rPr>
                <w:b/>
                <w:bCs/>
                <w:sz w:val="20"/>
              </w:rPr>
              <w:t xml:space="preserve"> vedotin</w:t>
            </w:r>
          </w:p>
        </w:tc>
        <w:tc>
          <w:tcPr>
            <w:tcW w:w="2960" w:type="dxa"/>
            <w:gridSpan w:val="2"/>
            <w:tcBorders>
              <w:right w:val="nil"/>
            </w:tcBorders>
          </w:tcPr>
          <w:p w14:paraId="3EB70783" w14:textId="77777777" w:rsidR="00BC52A8" w:rsidRPr="00DD623F" w:rsidRDefault="00BC52A8" w:rsidP="00BC52A8">
            <w:pPr>
              <w:pStyle w:val="TableText9ptcentered"/>
              <w:rPr>
                <w:b/>
                <w:bCs/>
                <w:sz w:val="20"/>
              </w:rPr>
            </w:pPr>
            <w:r w:rsidRPr="00DD623F">
              <w:rPr>
                <w:b/>
                <w:bCs/>
                <w:sz w:val="20"/>
              </w:rPr>
              <w:t>Vorinostat</w:t>
            </w:r>
          </w:p>
        </w:tc>
        <w:tc>
          <w:tcPr>
            <w:tcW w:w="249" w:type="dxa"/>
            <w:tcBorders>
              <w:left w:val="nil"/>
            </w:tcBorders>
          </w:tcPr>
          <w:p w14:paraId="0EA7F50D" w14:textId="77777777" w:rsidR="00BC52A8" w:rsidRPr="00DD623F" w:rsidRDefault="00BC52A8" w:rsidP="00BC52A8">
            <w:pPr>
              <w:pStyle w:val="TableText9ptcentered"/>
              <w:rPr>
                <w:sz w:val="20"/>
                <w:szCs w:val="10"/>
              </w:rPr>
            </w:pPr>
          </w:p>
        </w:tc>
      </w:tr>
      <w:tr w:rsidR="00BC52A8" w:rsidRPr="00DD623F" w14:paraId="32037A18" w14:textId="77777777" w:rsidTr="00BC52A8">
        <w:tc>
          <w:tcPr>
            <w:tcW w:w="3681" w:type="dxa"/>
          </w:tcPr>
          <w:p w14:paraId="66C2D89B" w14:textId="77777777" w:rsidR="00BC52A8" w:rsidRPr="00DD623F" w:rsidRDefault="00BC52A8" w:rsidP="00BC52A8">
            <w:pPr>
              <w:pStyle w:val="TableText9ptcentered"/>
              <w:jc w:val="left"/>
              <w:rPr>
                <w:sz w:val="20"/>
              </w:rPr>
            </w:pPr>
            <w:r>
              <w:rPr>
                <w:sz w:val="20"/>
              </w:rPr>
              <w:t>Study</w:t>
            </w:r>
          </w:p>
        </w:tc>
        <w:tc>
          <w:tcPr>
            <w:tcW w:w="2126" w:type="dxa"/>
          </w:tcPr>
          <w:p w14:paraId="5BFC9CB5" w14:textId="77777777" w:rsidR="00BC52A8" w:rsidRPr="00DD623F" w:rsidRDefault="00BC52A8" w:rsidP="00BC52A8">
            <w:pPr>
              <w:pStyle w:val="TableText9ptcentered"/>
              <w:rPr>
                <w:sz w:val="20"/>
              </w:rPr>
            </w:pPr>
            <w:r w:rsidRPr="00DD623F">
              <w:rPr>
                <w:sz w:val="20"/>
              </w:rPr>
              <w:t>Prince 2017</w:t>
            </w:r>
          </w:p>
          <w:p w14:paraId="0514A2E6" w14:textId="77777777" w:rsidR="00BC52A8" w:rsidRPr="00DD623F" w:rsidRDefault="00BC52A8" w:rsidP="00BC52A8">
            <w:pPr>
              <w:pStyle w:val="TableText9ptcentered"/>
              <w:rPr>
                <w:sz w:val="20"/>
              </w:rPr>
            </w:pPr>
            <w:r w:rsidRPr="00DD623F">
              <w:rPr>
                <w:sz w:val="20"/>
              </w:rPr>
              <w:t>n/N (%)</w:t>
            </w:r>
          </w:p>
        </w:tc>
        <w:tc>
          <w:tcPr>
            <w:tcW w:w="1559" w:type="dxa"/>
          </w:tcPr>
          <w:p w14:paraId="03BA0E8D" w14:textId="77777777" w:rsidR="00BC52A8" w:rsidRPr="00DD623F" w:rsidRDefault="00BC52A8" w:rsidP="00BC52A8">
            <w:pPr>
              <w:pStyle w:val="TableText9ptcentered"/>
              <w:rPr>
                <w:sz w:val="20"/>
              </w:rPr>
            </w:pPr>
            <w:r w:rsidRPr="00DD623F">
              <w:rPr>
                <w:sz w:val="20"/>
              </w:rPr>
              <w:t>Duvic 2007</w:t>
            </w:r>
          </w:p>
          <w:p w14:paraId="13CCE528" w14:textId="77777777" w:rsidR="00BC52A8" w:rsidRPr="00DD623F" w:rsidRDefault="00BC52A8" w:rsidP="00BC52A8">
            <w:pPr>
              <w:pStyle w:val="TableText9ptcentered"/>
              <w:rPr>
                <w:sz w:val="20"/>
              </w:rPr>
            </w:pPr>
            <w:r w:rsidRPr="00DD623F">
              <w:rPr>
                <w:sz w:val="20"/>
              </w:rPr>
              <w:t>n/N (%)</w:t>
            </w:r>
          </w:p>
        </w:tc>
        <w:tc>
          <w:tcPr>
            <w:tcW w:w="1650" w:type="dxa"/>
            <w:gridSpan w:val="2"/>
          </w:tcPr>
          <w:p w14:paraId="367FF045" w14:textId="77777777" w:rsidR="00BC52A8" w:rsidRPr="00DD623F" w:rsidRDefault="00BC52A8" w:rsidP="00BC52A8">
            <w:pPr>
              <w:pStyle w:val="TableText9ptcentered"/>
              <w:rPr>
                <w:sz w:val="20"/>
              </w:rPr>
            </w:pPr>
            <w:r w:rsidRPr="00DD623F">
              <w:rPr>
                <w:sz w:val="20"/>
              </w:rPr>
              <w:t>Olsen 2007</w:t>
            </w:r>
          </w:p>
          <w:p w14:paraId="65315E81" w14:textId="77777777" w:rsidR="00BC52A8" w:rsidRPr="00DD623F" w:rsidRDefault="00BC52A8" w:rsidP="00BC52A8">
            <w:pPr>
              <w:pStyle w:val="TableText9ptcentered"/>
              <w:rPr>
                <w:sz w:val="20"/>
              </w:rPr>
            </w:pPr>
            <w:r w:rsidRPr="00DD623F">
              <w:rPr>
                <w:sz w:val="20"/>
              </w:rPr>
              <w:t>n/N (%)</w:t>
            </w:r>
          </w:p>
        </w:tc>
      </w:tr>
      <w:tr w:rsidR="00BC52A8" w:rsidRPr="00DD623F" w14:paraId="0251F9F7" w14:textId="77777777" w:rsidTr="00BC52A8">
        <w:tc>
          <w:tcPr>
            <w:tcW w:w="3681" w:type="dxa"/>
          </w:tcPr>
          <w:p w14:paraId="4A6FAE87" w14:textId="77777777" w:rsidR="00BC52A8" w:rsidRPr="00DD623F" w:rsidRDefault="00BC52A8" w:rsidP="00BC52A8">
            <w:pPr>
              <w:pStyle w:val="TableText9ptcentered"/>
              <w:jc w:val="left"/>
              <w:rPr>
                <w:sz w:val="20"/>
              </w:rPr>
            </w:pPr>
            <w:r w:rsidRPr="00DD623F">
              <w:rPr>
                <w:sz w:val="20"/>
              </w:rPr>
              <w:t xml:space="preserve">Any </w:t>
            </w:r>
            <w:r>
              <w:rPr>
                <w:sz w:val="20"/>
              </w:rPr>
              <w:t>adverse event</w:t>
            </w:r>
          </w:p>
        </w:tc>
        <w:tc>
          <w:tcPr>
            <w:tcW w:w="2126" w:type="dxa"/>
          </w:tcPr>
          <w:p w14:paraId="398759A5" w14:textId="77777777" w:rsidR="00BC52A8" w:rsidRPr="00DD623F" w:rsidRDefault="00BC52A8" w:rsidP="00BC52A8">
            <w:pPr>
              <w:pStyle w:val="TableText9ptcentered"/>
              <w:rPr>
                <w:sz w:val="20"/>
              </w:rPr>
            </w:pPr>
            <w:r w:rsidRPr="00DD623F">
              <w:rPr>
                <w:sz w:val="20"/>
              </w:rPr>
              <w:t>63/66 (95%)</w:t>
            </w:r>
          </w:p>
        </w:tc>
        <w:tc>
          <w:tcPr>
            <w:tcW w:w="1559" w:type="dxa"/>
          </w:tcPr>
          <w:p w14:paraId="1886D84D" w14:textId="77777777" w:rsidR="00BC52A8" w:rsidRPr="00DD623F" w:rsidRDefault="00BC52A8" w:rsidP="00BC52A8">
            <w:pPr>
              <w:pStyle w:val="TableText9ptcentered"/>
              <w:rPr>
                <w:sz w:val="20"/>
              </w:rPr>
            </w:pPr>
            <w:r w:rsidRPr="00DD623F">
              <w:rPr>
                <w:sz w:val="20"/>
              </w:rPr>
              <w:t>NR</w:t>
            </w:r>
          </w:p>
        </w:tc>
        <w:tc>
          <w:tcPr>
            <w:tcW w:w="1650" w:type="dxa"/>
            <w:gridSpan w:val="2"/>
          </w:tcPr>
          <w:p w14:paraId="0824AEC9" w14:textId="77777777" w:rsidR="00BC52A8" w:rsidRPr="00DD623F" w:rsidRDefault="00BC52A8" w:rsidP="00BC52A8">
            <w:pPr>
              <w:pStyle w:val="TableText9ptcentered"/>
              <w:rPr>
                <w:sz w:val="20"/>
              </w:rPr>
            </w:pPr>
            <w:r w:rsidRPr="00DD623F">
              <w:rPr>
                <w:sz w:val="20"/>
              </w:rPr>
              <w:t>NR</w:t>
            </w:r>
          </w:p>
        </w:tc>
      </w:tr>
      <w:tr w:rsidR="00BC52A8" w:rsidRPr="00DD623F" w14:paraId="27D23F1C" w14:textId="77777777" w:rsidTr="00BC52A8">
        <w:tc>
          <w:tcPr>
            <w:tcW w:w="3681" w:type="dxa"/>
          </w:tcPr>
          <w:p w14:paraId="1DEF1AE6" w14:textId="77777777" w:rsidR="00BC52A8" w:rsidRPr="00DD623F" w:rsidRDefault="00BC52A8" w:rsidP="00BC52A8">
            <w:pPr>
              <w:pStyle w:val="TableText9ptcentered"/>
              <w:jc w:val="left"/>
              <w:rPr>
                <w:sz w:val="20"/>
              </w:rPr>
            </w:pPr>
            <w:r>
              <w:rPr>
                <w:sz w:val="20"/>
              </w:rPr>
              <w:t>Drug-related adverse event</w:t>
            </w:r>
          </w:p>
        </w:tc>
        <w:tc>
          <w:tcPr>
            <w:tcW w:w="2126" w:type="dxa"/>
          </w:tcPr>
          <w:p w14:paraId="78E7BCCD" w14:textId="77777777" w:rsidR="00BC52A8" w:rsidRPr="00DD623F" w:rsidRDefault="00BC52A8" w:rsidP="00BC52A8">
            <w:pPr>
              <w:pStyle w:val="TableText9ptcentered"/>
              <w:rPr>
                <w:sz w:val="20"/>
              </w:rPr>
            </w:pPr>
            <w:r w:rsidRPr="00DD623F">
              <w:rPr>
                <w:sz w:val="20"/>
              </w:rPr>
              <w:t>57/66 (86%)</w:t>
            </w:r>
          </w:p>
        </w:tc>
        <w:tc>
          <w:tcPr>
            <w:tcW w:w="1559" w:type="dxa"/>
          </w:tcPr>
          <w:p w14:paraId="6D42EDBF" w14:textId="77777777" w:rsidR="00BC52A8" w:rsidRPr="00DD623F" w:rsidRDefault="00BC52A8" w:rsidP="00BC52A8">
            <w:pPr>
              <w:pStyle w:val="TableText9ptcentered"/>
              <w:rPr>
                <w:sz w:val="20"/>
              </w:rPr>
            </w:pPr>
            <w:r w:rsidRPr="00DD623F">
              <w:rPr>
                <w:sz w:val="20"/>
              </w:rPr>
              <w:t>NR</w:t>
            </w:r>
          </w:p>
        </w:tc>
        <w:tc>
          <w:tcPr>
            <w:tcW w:w="1650" w:type="dxa"/>
            <w:gridSpan w:val="2"/>
          </w:tcPr>
          <w:p w14:paraId="3BA79A2B" w14:textId="77777777" w:rsidR="00BC52A8" w:rsidRPr="00DD623F" w:rsidRDefault="00BC52A8" w:rsidP="00BC52A8">
            <w:pPr>
              <w:pStyle w:val="TableText9ptcentered"/>
              <w:rPr>
                <w:sz w:val="20"/>
              </w:rPr>
            </w:pPr>
            <w:r w:rsidRPr="00DD623F">
              <w:rPr>
                <w:sz w:val="20"/>
              </w:rPr>
              <w:t>NR</w:t>
            </w:r>
          </w:p>
        </w:tc>
      </w:tr>
      <w:tr w:rsidR="00BC52A8" w:rsidRPr="00DD623F" w14:paraId="152502EF" w14:textId="77777777" w:rsidTr="00BC52A8">
        <w:tc>
          <w:tcPr>
            <w:tcW w:w="3681" w:type="dxa"/>
          </w:tcPr>
          <w:p w14:paraId="47CBE6B2" w14:textId="77777777" w:rsidR="00BC52A8" w:rsidRPr="00DD623F" w:rsidRDefault="00BC52A8" w:rsidP="00BC52A8">
            <w:pPr>
              <w:pStyle w:val="TableText9ptcentered"/>
              <w:jc w:val="left"/>
              <w:rPr>
                <w:sz w:val="20"/>
              </w:rPr>
            </w:pPr>
            <w:r>
              <w:rPr>
                <w:sz w:val="20"/>
              </w:rPr>
              <w:t>Drug-related serious adverse event</w:t>
            </w:r>
          </w:p>
        </w:tc>
        <w:tc>
          <w:tcPr>
            <w:tcW w:w="2126" w:type="dxa"/>
          </w:tcPr>
          <w:p w14:paraId="745E061D" w14:textId="77777777" w:rsidR="00BC52A8" w:rsidRPr="00DD623F" w:rsidRDefault="00BC52A8" w:rsidP="00BC52A8">
            <w:pPr>
              <w:pStyle w:val="TableText9ptcentered"/>
              <w:rPr>
                <w:sz w:val="20"/>
              </w:rPr>
            </w:pPr>
            <w:r w:rsidRPr="00DD623F">
              <w:rPr>
                <w:sz w:val="20"/>
              </w:rPr>
              <w:t>9/66 (14%)</w:t>
            </w:r>
          </w:p>
        </w:tc>
        <w:tc>
          <w:tcPr>
            <w:tcW w:w="1559" w:type="dxa"/>
          </w:tcPr>
          <w:p w14:paraId="561D835D" w14:textId="77777777" w:rsidR="00BC52A8" w:rsidRPr="00DD623F" w:rsidRDefault="00BC52A8" w:rsidP="00BC52A8">
            <w:pPr>
              <w:pStyle w:val="TableText9ptcentered"/>
              <w:rPr>
                <w:sz w:val="20"/>
              </w:rPr>
            </w:pPr>
            <w:r w:rsidRPr="00DD623F">
              <w:rPr>
                <w:sz w:val="20"/>
              </w:rPr>
              <w:t>NR</w:t>
            </w:r>
          </w:p>
        </w:tc>
        <w:tc>
          <w:tcPr>
            <w:tcW w:w="1650" w:type="dxa"/>
            <w:gridSpan w:val="2"/>
          </w:tcPr>
          <w:p w14:paraId="4545784D" w14:textId="77777777" w:rsidR="00BC52A8" w:rsidRPr="00DD623F" w:rsidRDefault="00BC52A8" w:rsidP="00BC52A8">
            <w:pPr>
              <w:pStyle w:val="TableText9ptcentered"/>
              <w:rPr>
                <w:sz w:val="20"/>
              </w:rPr>
            </w:pPr>
            <w:r w:rsidRPr="00DD623F">
              <w:rPr>
                <w:sz w:val="20"/>
              </w:rPr>
              <w:t>8/74 (11%)</w:t>
            </w:r>
          </w:p>
        </w:tc>
      </w:tr>
      <w:tr w:rsidR="00BC52A8" w:rsidRPr="00DD623F" w14:paraId="6ED8A8AD" w14:textId="77777777" w:rsidTr="00BC52A8">
        <w:tc>
          <w:tcPr>
            <w:tcW w:w="3681" w:type="dxa"/>
          </w:tcPr>
          <w:p w14:paraId="47EE3FF3" w14:textId="77777777" w:rsidR="00BC52A8" w:rsidRPr="00DD623F" w:rsidRDefault="00BC52A8" w:rsidP="00BC52A8">
            <w:pPr>
              <w:pStyle w:val="TableText9ptcentered"/>
              <w:jc w:val="left"/>
              <w:rPr>
                <w:sz w:val="20"/>
              </w:rPr>
            </w:pPr>
            <w:r w:rsidRPr="00DD623F">
              <w:rPr>
                <w:sz w:val="20"/>
              </w:rPr>
              <w:t>A</w:t>
            </w:r>
            <w:r>
              <w:rPr>
                <w:sz w:val="20"/>
              </w:rPr>
              <w:t>dverse event</w:t>
            </w:r>
            <w:r w:rsidRPr="00DD623F">
              <w:rPr>
                <w:sz w:val="20"/>
              </w:rPr>
              <w:t xml:space="preserve"> resulting in discontinuation</w:t>
            </w:r>
          </w:p>
        </w:tc>
        <w:tc>
          <w:tcPr>
            <w:tcW w:w="2126" w:type="dxa"/>
          </w:tcPr>
          <w:p w14:paraId="1A181ECD" w14:textId="77777777" w:rsidR="00BC52A8" w:rsidRPr="00DD623F" w:rsidRDefault="00BC52A8" w:rsidP="00BC52A8">
            <w:pPr>
              <w:pStyle w:val="TableText9ptcentered"/>
              <w:rPr>
                <w:sz w:val="20"/>
              </w:rPr>
            </w:pPr>
            <w:r w:rsidRPr="00DD623F">
              <w:rPr>
                <w:sz w:val="20"/>
              </w:rPr>
              <w:t>16/66 (24%)</w:t>
            </w:r>
            <w:r w:rsidRPr="00DD623F">
              <w:rPr>
                <w:sz w:val="20"/>
                <w:vertAlign w:val="superscript"/>
              </w:rPr>
              <w:t>ab</w:t>
            </w:r>
          </w:p>
        </w:tc>
        <w:tc>
          <w:tcPr>
            <w:tcW w:w="1559" w:type="dxa"/>
          </w:tcPr>
          <w:p w14:paraId="2A6269ED" w14:textId="77777777" w:rsidR="00BC52A8" w:rsidRPr="00DD623F" w:rsidRDefault="00BC52A8" w:rsidP="00BC52A8">
            <w:pPr>
              <w:pStyle w:val="TableText9ptcentered"/>
              <w:rPr>
                <w:sz w:val="20"/>
              </w:rPr>
            </w:pPr>
            <w:r w:rsidRPr="00DD623F">
              <w:rPr>
                <w:sz w:val="20"/>
              </w:rPr>
              <w:t>7/37 (19%)</w:t>
            </w:r>
          </w:p>
        </w:tc>
        <w:tc>
          <w:tcPr>
            <w:tcW w:w="1650" w:type="dxa"/>
            <w:gridSpan w:val="2"/>
          </w:tcPr>
          <w:p w14:paraId="1C867F91" w14:textId="77777777" w:rsidR="00BC52A8" w:rsidRPr="00DD623F" w:rsidRDefault="00BC52A8" w:rsidP="00BC52A8">
            <w:pPr>
              <w:pStyle w:val="TableText9ptcentered"/>
              <w:rPr>
                <w:sz w:val="20"/>
              </w:rPr>
            </w:pPr>
            <w:r w:rsidRPr="00DD623F">
              <w:rPr>
                <w:sz w:val="20"/>
              </w:rPr>
              <w:t>7/74 (9%)</w:t>
            </w:r>
          </w:p>
        </w:tc>
      </w:tr>
      <w:tr w:rsidR="00BC52A8" w:rsidRPr="00DD623F" w14:paraId="63630ABB" w14:textId="77777777" w:rsidTr="00BC52A8">
        <w:tc>
          <w:tcPr>
            <w:tcW w:w="3681" w:type="dxa"/>
          </w:tcPr>
          <w:p w14:paraId="08CBEE3C" w14:textId="77777777" w:rsidR="00BC52A8" w:rsidRPr="00DD623F" w:rsidRDefault="00BC52A8" w:rsidP="00BC52A8">
            <w:pPr>
              <w:pStyle w:val="TableText9ptcentered"/>
              <w:jc w:val="left"/>
              <w:rPr>
                <w:sz w:val="20"/>
              </w:rPr>
            </w:pPr>
            <w:r w:rsidRPr="00DD623F">
              <w:rPr>
                <w:sz w:val="20"/>
              </w:rPr>
              <w:t>On treatment deaths</w:t>
            </w:r>
          </w:p>
        </w:tc>
        <w:tc>
          <w:tcPr>
            <w:tcW w:w="2126" w:type="dxa"/>
          </w:tcPr>
          <w:p w14:paraId="127F312B" w14:textId="77777777" w:rsidR="00BC52A8" w:rsidRPr="00DD623F" w:rsidRDefault="00BC52A8" w:rsidP="00BC52A8">
            <w:pPr>
              <w:pStyle w:val="TableText9ptcentered"/>
              <w:rPr>
                <w:sz w:val="20"/>
              </w:rPr>
            </w:pPr>
            <w:r w:rsidRPr="00DD623F">
              <w:rPr>
                <w:sz w:val="20"/>
              </w:rPr>
              <w:t>4/66 (6%)</w:t>
            </w:r>
            <w:r w:rsidRPr="00DD623F">
              <w:rPr>
                <w:sz w:val="20"/>
                <w:vertAlign w:val="superscript"/>
              </w:rPr>
              <w:t>c</w:t>
            </w:r>
          </w:p>
        </w:tc>
        <w:tc>
          <w:tcPr>
            <w:tcW w:w="1559" w:type="dxa"/>
          </w:tcPr>
          <w:p w14:paraId="348DE908" w14:textId="77777777" w:rsidR="00BC52A8" w:rsidRPr="00DD623F" w:rsidRDefault="00BC52A8" w:rsidP="00BC52A8">
            <w:pPr>
              <w:pStyle w:val="TableText9ptcentered"/>
              <w:rPr>
                <w:sz w:val="20"/>
              </w:rPr>
            </w:pPr>
            <w:r w:rsidRPr="00DD623F">
              <w:rPr>
                <w:sz w:val="20"/>
              </w:rPr>
              <w:t>2/37 (5%)</w:t>
            </w:r>
            <w:r w:rsidRPr="00DD623F">
              <w:rPr>
                <w:sz w:val="20"/>
                <w:vertAlign w:val="superscript"/>
              </w:rPr>
              <w:t>e</w:t>
            </w:r>
          </w:p>
        </w:tc>
        <w:tc>
          <w:tcPr>
            <w:tcW w:w="1650" w:type="dxa"/>
            <w:gridSpan w:val="2"/>
          </w:tcPr>
          <w:p w14:paraId="4331AA67" w14:textId="77777777" w:rsidR="00BC52A8" w:rsidRPr="00DD623F" w:rsidRDefault="00BC52A8" w:rsidP="00BC52A8">
            <w:pPr>
              <w:pStyle w:val="TableText9ptcentered"/>
              <w:rPr>
                <w:sz w:val="20"/>
              </w:rPr>
            </w:pPr>
            <w:r w:rsidRPr="00DD623F">
              <w:rPr>
                <w:sz w:val="20"/>
              </w:rPr>
              <w:t>3/74 (4%)</w:t>
            </w:r>
            <w:r w:rsidRPr="00DD623F">
              <w:rPr>
                <w:sz w:val="20"/>
                <w:vertAlign w:val="superscript"/>
              </w:rPr>
              <w:t>d</w:t>
            </w:r>
          </w:p>
        </w:tc>
      </w:tr>
    </w:tbl>
    <w:p w14:paraId="699F958D" w14:textId="77777777" w:rsidR="00BC52A8" w:rsidRDefault="00BC52A8" w:rsidP="00BC52A8">
      <w:pPr>
        <w:pStyle w:val="Tablenotes"/>
        <w:spacing w:after="240"/>
      </w:pPr>
      <w:r>
        <w:t>Source: Prince 2017, Table S3, appendix page 19; Duvic 2007, in text page 35; Olsen 2007 in text page 3111</w:t>
      </w:r>
    </w:p>
    <w:p w14:paraId="28922A00" w14:textId="0E3BA869" w:rsidR="00BC52A8" w:rsidRDefault="00BC52A8" w:rsidP="00A329B5">
      <w:pPr>
        <w:spacing w:after="240"/>
      </w:pPr>
      <w:r w:rsidRPr="00182250">
        <w:t>The resubmission did not present any new evidence relating to the safety of interferon</w:t>
      </w:r>
      <w:r w:rsidR="0007649E" w:rsidRPr="0007649E">
        <w:rPr>
          <w:szCs w:val="24"/>
        </w:rPr>
        <w:t>-α</w:t>
      </w:r>
      <w:r w:rsidRPr="00182250">
        <w:t xml:space="preserve"> or methotrexate, as MSAC has previously accepted that ECP “appears to be associated with fewer adverse events than interferon-α2</w:t>
      </w:r>
      <w:r w:rsidR="00AF0CF8">
        <w:t>b …</w:t>
      </w:r>
      <w:r w:rsidRPr="00182250">
        <w:t xml:space="preserve"> and appears to have a similar safety profile to methotrexate. MSAC noted that most described adverse events from ECP and methoxsalen w</w:t>
      </w:r>
      <w:r>
        <w:t xml:space="preserve">ere mild and transient” (PSD Application No. 1420, </w:t>
      </w:r>
      <w:r w:rsidRPr="00182250">
        <w:t>2017</w:t>
      </w:r>
      <w:r>
        <w:t>, p2</w:t>
      </w:r>
      <w:r w:rsidRPr="00182250">
        <w:t>).</w:t>
      </w:r>
    </w:p>
    <w:p w14:paraId="0A6204C4" w14:textId="77777777" w:rsidR="004C605E" w:rsidRPr="00F715D1" w:rsidRDefault="004C605E" w:rsidP="004C605E">
      <w:pPr>
        <w:pStyle w:val="Heading1"/>
      </w:pPr>
      <w:r w:rsidRPr="00F715D1">
        <w:t>Comparative effectiveness</w:t>
      </w:r>
    </w:p>
    <w:p w14:paraId="371BBD5C" w14:textId="524A3BBD" w:rsidR="00BC52A8" w:rsidRDefault="00BC52A8" w:rsidP="00120CE2">
      <w:pPr>
        <w:spacing w:after="240"/>
      </w:pPr>
      <w:r>
        <w:t xml:space="preserve">The key clinical outcome reported in Gao et al. 2019 was time to next treatment (TTNT), which was considered to be a proxy for quality of life. The resubmission stated that the </w:t>
      </w:r>
      <w:r w:rsidRPr="002D6B9D">
        <w:t>median TTNT when EC</w:t>
      </w:r>
      <w:r>
        <w:t xml:space="preserve">P was used alone was 14 months; </w:t>
      </w:r>
      <w:r w:rsidRPr="002D6B9D">
        <w:t>sign</w:t>
      </w:r>
      <w:r>
        <w:t>ificantly greater than interferon</w:t>
      </w:r>
      <w:r w:rsidR="000D4965" w:rsidRPr="00182250">
        <w:t>-α</w:t>
      </w:r>
      <w:r>
        <w:t xml:space="preserve"> (8 </w:t>
      </w:r>
      <w:r w:rsidRPr="002D6B9D">
        <w:t>months, p = 0.0067), vorinostat (4 months, p &lt; 0.0011),</w:t>
      </w:r>
      <w:r>
        <w:t xml:space="preserve"> </w:t>
      </w:r>
      <w:r w:rsidRPr="002D6B9D">
        <w:t>antibody/</w:t>
      </w:r>
      <w:r w:rsidR="001C2405">
        <w:t xml:space="preserve"> </w:t>
      </w:r>
      <w:r w:rsidRPr="002D6B9D">
        <w:t>ADC/FT/bexarotene vedotin therapy (n = 20; 6.5 months, p = 0.028), chemotherapy (3 months, p &lt; 0.0001), and low-dose methotrexate (n = 35; 2.5 months, p&lt;0.0001</w:t>
      </w:r>
      <w:r>
        <w:t>). Compared to biological agents</w:t>
      </w:r>
      <w:r w:rsidRPr="002D6B9D">
        <w:t xml:space="preserve"> including brentuximab vedotin (n=1 of 20), TTNT was also </w:t>
      </w:r>
      <w:r>
        <w:t>considerably greater (n = 20, 7 </w:t>
      </w:r>
      <w:r w:rsidRPr="002D6B9D">
        <w:t xml:space="preserve">months, p-value not reported). Median overall time on treatment followed the same trend. ECP had the longest time on treatment compared to </w:t>
      </w:r>
      <w:r w:rsidR="000D4965">
        <w:t>interferon</w:t>
      </w:r>
      <w:r w:rsidRPr="002D6B9D">
        <w:t xml:space="preserve">-α (8 months), methotrexate (2.5 months), and vorinostat (4 months). </w:t>
      </w:r>
      <w:r>
        <w:t xml:space="preserve">However, the commentary noted TTNT </w:t>
      </w:r>
      <w:r w:rsidRPr="0095139D">
        <w:t>data for ECP was provided across multiple treatment li</w:t>
      </w:r>
      <w:r>
        <w:t xml:space="preserve">nes (e.g. lines 1-3 and above), including </w:t>
      </w:r>
      <w:r w:rsidRPr="0095139D">
        <w:t>patients who received ECP monotherapy and in combination systemic therapies as first</w:t>
      </w:r>
      <w:r>
        <w:t>-</w:t>
      </w:r>
      <w:r w:rsidRPr="0095139D">
        <w:t>line treatment, which are out</w:t>
      </w:r>
      <w:r w:rsidR="00120CE2">
        <w:t>side the requested ECP listing.</w:t>
      </w:r>
    </w:p>
    <w:p w14:paraId="748F9F55" w14:textId="68283AE1" w:rsidR="00D12971" w:rsidRPr="007D65A9" w:rsidRDefault="00BC52A8" w:rsidP="007D65A9">
      <w:pPr>
        <w:rPr>
          <w:rFonts w:ascii="Arial Narrow" w:hAnsi="Arial Narrow"/>
          <w:b/>
          <w:sz w:val="20"/>
        </w:rPr>
      </w:pPr>
      <w:bookmarkStart w:id="10" w:name="_Ref26364940"/>
      <w:r w:rsidRPr="00181322">
        <w:rPr>
          <w:rFonts w:ascii="Arial Narrow" w:hAnsi="Arial Narrow"/>
          <w:b/>
          <w:sz w:val="20"/>
        </w:rPr>
        <w:t xml:space="preserve">Table </w:t>
      </w:r>
      <w:bookmarkEnd w:id="10"/>
      <w:r w:rsidRPr="00181322">
        <w:rPr>
          <w:rFonts w:ascii="Arial Narrow" w:hAnsi="Arial Narrow"/>
          <w:b/>
          <w:sz w:val="20"/>
        </w:rPr>
        <w:t xml:space="preserve">5: </w:t>
      </w:r>
      <w:r w:rsidR="009138F2">
        <w:rPr>
          <w:rFonts w:ascii="Arial Narrow" w:hAnsi="Arial Narrow"/>
          <w:b/>
          <w:sz w:val="20"/>
        </w:rPr>
        <w:t xml:space="preserve">redacted </w:t>
      </w:r>
      <w:r w:rsidR="00D12971">
        <w:br w:type="page"/>
      </w:r>
    </w:p>
    <w:p w14:paraId="1CBFB4C2" w14:textId="2D320FA9" w:rsidR="00BC52A8" w:rsidRDefault="00BC52A8" w:rsidP="00BC52A8">
      <w:pPr>
        <w:rPr>
          <w:snapToGrid w:val="0"/>
        </w:rPr>
      </w:pPr>
      <w:r>
        <w:rPr>
          <w:snapToGrid w:val="0"/>
        </w:rPr>
        <w:lastRenderedPageBreak/>
        <w:t xml:space="preserve">Results for clinical response and survival outcomes are presented in Table 6. The </w:t>
      </w:r>
      <w:r w:rsidRPr="00AC08DE">
        <w:rPr>
          <w:snapToGrid w:val="0"/>
        </w:rPr>
        <w:t xml:space="preserve">results showed generally </w:t>
      </w:r>
      <w:r>
        <w:rPr>
          <w:snapToGrid w:val="0"/>
        </w:rPr>
        <w:t xml:space="preserve">that the overall response rate was </w:t>
      </w:r>
      <w:r w:rsidRPr="00AC08DE">
        <w:rPr>
          <w:snapToGrid w:val="0"/>
        </w:rPr>
        <w:t xml:space="preserve">similar between </w:t>
      </w:r>
      <w:r>
        <w:rPr>
          <w:snapToGrid w:val="0"/>
        </w:rPr>
        <w:t xml:space="preserve">those treated with </w:t>
      </w:r>
      <w:r w:rsidRPr="00AC08DE">
        <w:rPr>
          <w:snapToGrid w:val="0"/>
        </w:rPr>
        <w:t>ECP and brentuximab</w:t>
      </w:r>
      <w:r>
        <w:rPr>
          <w:snapToGrid w:val="0"/>
        </w:rPr>
        <w:t xml:space="preserve"> vedotin</w:t>
      </w:r>
      <w:r w:rsidRPr="00AC08DE">
        <w:rPr>
          <w:snapToGrid w:val="0"/>
        </w:rPr>
        <w:t>, and lower response rates</w:t>
      </w:r>
      <w:r>
        <w:rPr>
          <w:snapToGrid w:val="0"/>
        </w:rPr>
        <w:t xml:space="preserve"> were observed</w:t>
      </w:r>
      <w:r w:rsidRPr="00AC08DE">
        <w:rPr>
          <w:snapToGrid w:val="0"/>
        </w:rPr>
        <w:t xml:space="preserve"> </w:t>
      </w:r>
      <w:r>
        <w:rPr>
          <w:snapToGrid w:val="0"/>
        </w:rPr>
        <w:t>among</w:t>
      </w:r>
      <w:r w:rsidRPr="00AC08DE">
        <w:rPr>
          <w:snapToGrid w:val="0"/>
        </w:rPr>
        <w:t xml:space="preserve"> </w:t>
      </w:r>
      <w:r>
        <w:rPr>
          <w:snapToGrid w:val="0"/>
        </w:rPr>
        <w:t xml:space="preserve">the </w:t>
      </w:r>
      <w:r w:rsidRPr="00AC08DE">
        <w:rPr>
          <w:snapToGrid w:val="0"/>
        </w:rPr>
        <w:t>vorinostat studies. The resubmission noted that</w:t>
      </w:r>
      <w:r>
        <w:rPr>
          <w:snapToGrid w:val="0"/>
        </w:rPr>
        <w:t>:</w:t>
      </w:r>
    </w:p>
    <w:p w14:paraId="01863605" w14:textId="77777777" w:rsidR="00BC52A8" w:rsidRDefault="00BC52A8" w:rsidP="00BC52A8">
      <w:pPr>
        <w:pStyle w:val="ListParagraph"/>
        <w:numPr>
          <w:ilvl w:val="0"/>
          <w:numId w:val="7"/>
        </w:numPr>
        <w:ind w:left="714" w:hanging="357"/>
        <w:rPr>
          <w:snapToGrid w:val="0"/>
        </w:rPr>
      </w:pPr>
      <w:r w:rsidRPr="00AC08DE">
        <w:rPr>
          <w:snapToGrid w:val="0"/>
        </w:rPr>
        <w:t xml:space="preserve">median progression-free survival (PFS) was greater for ECP compared to brentuximab vedotin and vorinostat; however, the </w:t>
      </w:r>
      <w:r>
        <w:rPr>
          <w:snapToGrid w:val="0"/>
        </w:rPr>
        <w:t>c</w:t>
      </w:r>
      <w:r w:rsidRPr="00AC08DE">
        <w:rPr>
          <w:snapToGrid w:val="0"/>
        </w:rPr>
        <w:t>ommentary considered this has similar issues as TTNT, in that it can take up to 10 months to receive a response so PFS would include this pre-response tim</w:t>
      </w:r>
      <w:r>
        <w:rPr>
          <w:snapToGrid w:val="0"/>
        </w:rPr>
        <w:t xml:space="preserve">e); </w:t>
      </w:r>
      <w:r w:rsidRPr="00AC08DE">
        <w:rPr>
          <w:snapToGrid w:val="0"/>
        </w:rPr>
        <w:t>and</w:t>
      </w:r>
    </w:p>
    <w:p w14:paraId="007939DB" w14:textId="180345AC" w:rsidR="00BC52A8" w:rsidRPr="00120CE2" w:rsidRDefault="00BC52A8" w:rsidP="00BC52A8">
      <w:pPr>
        <w:pStyle w:val="ListParagraph"/>
        <w:numPr>
          <w:ilvl w:val="0"/>
          <w:numId w:val="7"/>
        </w:numPr>
        <w:ind w:left="714" w:hanging="357"/>
        <w:rPr>
          <w:snapToGrid w:val="0"/>
        </w:rPr>
      </w:pPr>
      <w:r w:rsidRPr="00AC08DE">
        <w:rPr>
          <w:snapToGrid w:val="0"/>
        </w:rPr>
        <w:t xml:space="preserve"> </w:t>
      </w:r>
      <w:r w:rsidRPr="00703634">
        <w:rPr>
          <w:snapToGrid w:val="0"/>
        </w:rPr>
        <w:t>brentuximab vedotin had superior OS (albeit reported in a phase II, unra</w:t>
      </w:r>
      <w:r>
        <w:rPr>
          <w:snapToGrid w:val="0"/>
        </w:rPr>
        <w:t>ndomised, single-centre trial).</w:t>
      </w:r>
    </w:p>
    <w:p w14:paraId="1F1E6976" w14:textId="18CD97A4" w:rsidR="00BC52A8" w:rsidRPr="001418F0" w:rsidRDefault="00BC52A8" w:rsidP="00120CE2">
      <w:pPr>
        <w:spacing w:before="240" w:after="240"/>
        <w:rPr>
          <w:snapToGrid w:val="0"/>
        </w:rPr>
      </w:pPr>
      <w:r>
        <w:rPr>
          <w:snapToGrid w:val="0"/>
        </w:rPr>
        <w:t>However, the commentary considered</w:t>
      </w:r>
      <w:r w:rsidRPr="00AC08DE">
        <w:rPr>
          <w:snapToGrid w:val="0"/>
        </w:rPr>
        <w:t xml:space="preserve"> it was difficult to compare response, PFS and </w:t>
      </w:r>
      <w:r>
        <w:rPr>
          <w:snapToGrid w:val="0"/>
        </w:rPr>
        <w:t>overall survival OS across studies</w:t>
      </w:r>
      <w:r w:rsidRPr="00AC08DE">
        <w:rPr>
          <w:snapToGrid w:val="0"/>
        </w:rPr>
        <w:t xml:space="preserve"> due to</w:t>
      </w:r>
      <w:r>
        <w:rPr>
          <w:snapToGrid w:val="0"/>
        </w:rPr>
        <w:t>:</w:t>
      </w:r>
      <w:r w:rsidRPr="00AC08DE">
        <w:rPr>
          <w:snapToGrid w:val="0"/>
        </w:rPr>
        <w:t xml:space="preserve"> heterogeneity in key patien</w:t>
      </w:r>
      <w:r>
        <w:rPr>
          <w:snapToGrid w:val="0"/>
        </w:rPr>
        <w:t xml:space="preserve">t baseline characteristics and prognostic factors (e.g. </w:t>
      </w:r>
      <w:r w:rsidRPr="00AC08DE">
        <w:rPr>
          <w:snapToGrid w:val="0"/>
        </w:rPr>
        <w:t>inclusion of LyP and pc-ALCL and requirement for CD30-positive disease in brentuximab</w:t>
      </w:r>
      <w:r>
        <w:rPr>
          <w:snapToGrid w:val="0"/>
        </w:rPr>
        <w:t xml:space="preserve"> vedotin studies);</w:t>
      </w:r>
      <w:r w:rsidRPr="00AC08DE">
        <w:rPr>
          <w:snapToGrid w:val="0"/>
        </w:rPr>
        <w:t xml:space="preserve"> </w:t>
      </w:r>
      <w:r>
        <w:rPr>
          <w:snapToGrid w:val="0"/>
        </w:rPr>
        <w:t xml:space="preserve">and </w:t>
      </w:r>
      <w:r w:rsidRPr="00AC08DE">
        <w:rPr>
          <w:snapToGrid w:val="0"/>
        </w:rPr>
        <w:t>heterogeneity in the outcome measures (</w:t>
      </w:r>
      <w:r>
        <w:rPr>
          <w:snapToGrid w:val="0"/>
        </w:rPr>
        <w:t xml:space="preserve">e.g. </w:t>
      </w:r>
      <w:r w:rsidRPr="00AC08DE">
        <w:rPr>
          <w:snapToGrid w:val="0"/>
        </w:rPr>
        <w:t>OS from the date of diagnosis rath</w:t>
      </w:r>
      <w:r>
        <w:rPr>
          <w:snapToGrid w:val="0"/>
        </w:rPr>
        <w:t xml:space="preserve">er than the date of first dose; PFS </w:t>
      </w:r>
      <w:r w:rsidRPr="00B148B8">
        <w:rPr>
          <w:i/>
          <w:snapToGrid w:val="0"/>
        </w:rPr>
        <w:t>vs.</w:t>
      </w:r>
      <w:r>
        <w:rPr>
          <w:snapToGrid w:val="0"/>
        </w:rPr>
        <w:t xml:space="preserve"> time to disease progression [</w:t>
      </w:r>
      <w:r w:rsidRPr="00AC08DE">
        <w:rPr>
          <w:snapToGrid w:val="0"/>
        </w:rPr>
        <w:t>TTP</w:t>
      </w:r>
      <w:r>
        <w:rPr>
          <w:snapToGrid w:val="0"/>
        </w:rPr>
        <w:t xml:space="preserve">] in place of PFS). However, the commentary stated </w:t>
      </w:r>
      <w:r w:rsidRPr="00265CFD">
        <w:rPr>
          <w:snapToGrid w:val="0"/>
        </w:rPr>
        <w:t>it should be noted that no therapies for CTCL have been demonstrated to have a survival benefit in isolation, and all long-term outcomes are confounded by multiple lines of treatment.</w:t>
      </w:r>
    </w:p>
    <w:p w14:paraId="6CC0998C" w14:textId="77777777" w:rsidR="00BC52A8" w:rsidRPr="00181322" w:rsidRDefault="00BC52A8" w:rsidP="00181322">
      <w:pPr>
        <w:rPr>
          <w:rFonts w:ascii="Arial Narrow" w:hAnsi="Arial Narrow"/>
          <w:b/>
          <w:sz w:val="20"/>
        </w:rPr>
      </w:pPr>
      <w:bookmarkStart w:id="11" w:name="_Ref26364985"/>
      <w:r w:rsidRPr="00181322">
        <w:rPr>
          <w:rFonts w:ascii="Arial Narrow" w:hAnsi="Arial Narrow"/>
          <w:b/>
          <w:sz w:val="20"/>
        </w:rPr>
        <w:t>Table</w:t>
      </w:r>
      <w:bookmarkEnd w:id="11"/>
      <w:r w:rsidRPr="00181322">
        <w:rPr>
          <w:rFonts w:ascii="Arial Narrow" w:hAnsi="Arial Narrow"/>
          <w:b/>
          <w:sz w:val="20"/>
        </w:rPr>
        <w:t xml:space="preserve"> 6: Results of naïve comparison of ECP, brentuximab vedotin and vorinostat: clinical response and survival</w:t>
      </w:r>
    </w:p>
    <w:tbl>
      <w:tblPr>
        <w:tblStyle w:val="TableGrid"/>
        <w:tblW w:w="5000" w:type="pct"/>
        <w:tblCellMar>
          <w:left w:w="28" w:type="dxa"/>
          <w:right w:w="28" w:type="dxa"/>
        </w:tblCellMar>
        <w:tblLook w:val="04A0" w:firstRow="1" w:lastRow="0" w:firstColumn="1" w:lastColumn="0" w:noHBand="0" w:noVBand="1"/>
        <w:tblCaption w:val="Table 7: Results of naïve comparison of ECP, brentuximab vedotin and vorinostat: clinical response and survival"/>
        <w:tblDescription w:val="Data shown for ECP, brentuximab vedotin and vorinostat including overall response rate, progression-free survival and overall survival"/>
      </w:tblPr>
      <w:tblGrid>
        <w:gridCol w:w="393"/>
        <w:gridCol w:w="936"/>
        <w:gridCol w:w="936"/>
        <w:gridCol w:w="936"/>
        <w:gridCol w:w="936"/>
        <w:gridCol w:w="936"/>
        <w:gridCol w:w="936"/>
        <w:gridCol w:w="935"/>
        <w:gridCol w:w="803"/>
        <w:gridCol w:w="668"/>
        <w:gridCol w:w="667"/>
      </w:tblGrid>
      <w:tr w:rsidR="00E67922" w:rsidRPr="002318F1" w14:paraId="0E65C5EA" w14:textId="77777777" w:rsidTr="00E67922">
        <w:trPr>
          <w:tblHeader/>
        </w:trPr>
        <w:tc>
          <w:tcPr>
            <w:tcW w:w="216" w:type="pct"/>
            <w:vMerge w:val="restart"/>
            <w:tcBorders>
              <w:right w:val="single" w:sz="4" w:space="0" w:color="auto"/>
            </w:tcBorders>
          </w:tcPr>
          <w:p w14:paraId="33CF8D37" w14:textId="0696189D" w:rsidR="00E67922" w:rsidRPr="00262973" w:rsidRDefault="00E67922" w:rsidP="00E67922">
            <w:pPr>
              <w:pStyle w:val="TableHeading9ptCent"/>
              <w:ind w:left="0"/>
              <w:jc w:val="both"/>
              <w:rPr>
                <w:szCs w:val="18"/>
              </w:rPr>
            </w:pPr>
          </w:p>
        </w:tc>
        <w:tc>
          <w:tcPr>
            <w:tcW w:w="515" w:type="pct"/>
            <w:tcBorders>
              <w:top w:val="single" w:sz="4" w:space="0" w:color="auto"/>
              <w:left w:val="single" w:sz="4" w:space="0" w:color="auto"/>
              <w:bottom w:val="single" w:sz="4" w:space="0" w:color="auto"/>
              <w:right w:val="nil"/>
            </w:tcBorders>
          </w:tcPr>
          <w:p w14:paraId="3C694C79" w14:textId="4C4EDE52" w:rsidR="00E67922" w:rsidRPr="002318F1" w:rsidRDefault="00E67922" w:rsidP="00E67922">
            <w:pPr>
              <w:pStyle w:val="TableHeading9ptCent"/>
              <w:rPr>
                <w:bCs/>
                <w:szCs w:val="18"/>
              </w:rPr>
            </w:pPr>
          </w:p>
        </w:tc>
        <w:tc>
          <w:tcPr>
            <w:tcW w:w="515" w:type="pct"/>
            <w:tcBorders>
              <w:top w:val="single" w:sz="4" w:space="0" w:color="auto"/>
              <w:left w:val="nil"/>
              <w:bottom w:val="single" w:sz="4" w:space="0" w:color="auto"/>
              <w:right w:val="nil"/>
            </w:tcBorders>
          </w:tcPr>
          <w:p w14:paraId="2EA7A177" w14:textId="2E025E58" w:rsidR="00E67922" w:rsidRPr="002318F1" w:rsidRDefault="00E67922" w:rsidP="00E67922">
            <w:pPr>
              <w:pStyle w:val="TableHeading9ptCent"/>
              <w:rPr>
                <w:szCs w:val="18"/>
              </w:rPr>
            </w:pPr>
            <w:r w:rsidRPr="002318F1">
              <w:rPr>
                <w:bCs/>
                <w:szCs w:val="18"/>
              </w:rPr>
              <w:t>ECP</w:t>
            </w:r>
          </w:p>
        </w:tc>
        <w:tc>
          <w:tcPr>
            <w:tcW w:w="515" w:type="pct"/>
            <w:tcBorders>
              <w:top w:val="single" w:sz="4" w:space="0" w:color="auto"/>
              <w:left w:val="nil"/>
              <w:bottom w:val="single" w:sz="4" w:space="0" w:color="auto"/>
              <w:right w:val="nil"/>
            </w:tcBorders>
          </w:tcPr>
          <w:p w14:paraId="6FEA0E18" w14:textId="2BEA17C2" w:rsidR="00E67922" w:rsidRPr="002318F1" w:rsidRDefault="00E67922" w:rsidP="00E67922">
            <w:pPr>
              <w:pStyle w:val="TableHeading9ptCent"/>
              <w:rPr>
                <w:szCs w:val="18"/>
              </w:rPr>
            </w:pPr>
            <w:r w:rsidRPr="002318F1">
              <w:rPr>
                <w:szCs w:val="18"/>
              </w:rPr>
              <w:t>n/N (%)</w:t>
            </w:r>
          </w:p>
        </w:tc>
        <w:tc>
          <w:tcPr>
            <w:tcW w:w="515" w:type="pct"/>
            <w:tcBorders>
              <w:top w:val="single" w:sz="4" w:space="0" w:color="auto"/>
              <w:left w:val="nil"/>
              <w:bottom w:val="single" w:sz="4" w:space="0" w:color="auto"/>
              <w:right w:val="single" w:sz="4" w:space="0" w:color="auto"/>
            </w:tcBorders>
          </w:tcPr>
          <w:p w14:paraId="012BB3F2" w14:textId="77777777" w:rsidR="00E67922" w:rsidRPr="002318F1" w:rsidRDefault="00E67922" w:rsidP="00E67922">
            <w:pPr>
              <w:pStyle w:val="TableHeading9ptCent"/>
              <w:rPr>
                <w:szCs w:val="18"/>
              </w:rPr>
            </w:pPr>
          </w:p>
        </w:tc>
        <w:tc>
          <w:tcPr>
            <w:tcW w:w="515" w:type="pct"/>
            <w:tcBorders>
              <w:top w:val="single" w:sz="4" w:space="0" w:color="auto"/>
              <w:left w:val="single" w:sz="4" w:space="0" w:color="auto"/>
              <w:bottom w:val="single" w:sz="4" w:space="0" w:color="auto"/>
              <w:right w:val="nil"/>
            </w:tcBorders>
          </w:tcPr>
          <w:p w14:paraId="04A2FCE5" w14:textId="77777777" w:rsidR="00E67922" w:rsidRPr="002318F1" w:rsidRDefault="00E67922" w:rsidP="00E67922">
            <w:pPr>
              <w:pStyle w:val="TableHeading9ptCent"/>
              <w:jc w:val="right"/>
              <w:rPr>
                <w:bCs/>
                <w:szCs w:val="18"/>
              </w:rPr>
            </w:pPr>
            <w:r w:rsidRPr="002318F1">
              <w:rPr>
                <w:bCs/>
                <w:szCs w:val="18"/>
              </w:rPr>
              <w:t>B</w:t>
            </w:r>
            <w:r>
              <w:rPr>
                <w:bCs/>
                <w:szCs w:val="18"/>
              </w:rPr>
              <w:t>V</w:t>
            </w:r>
          </w:p>
        </w:tc>
        <w:tc>
          <w:tcPr>
            <w:tcW w:w="515" w:type="pct"/>
            <w:tcBorders>
              <w:top w:val="single" w:sz="4" w:space="0" w:color="auto"/>
              <w:left w:val="nil"/>
              <w:bottom w:val="single" w:sz="4" w:space="0" w:color="auto"/>
              <w:right w:val="nil"/>
            </w:tcBorders>
          </w:tcPr>
          <w:p w14:paraId="7BCC9696" w14:textId="77777777" w:rsidR="00E67922" w:rsidRPr="002318F1" w:rsidRDefault="00E67922" w:rsidP="00E67922">
            <w:pPr>
              <w:pStyle w:val="TableHeading9ptCent"/>
              <w:rPr>
                <w:szCs w:val="18"/>
              </w:rPr>
            </w:pPr>
            <w:r w:rsidRPr="002318F1">
              <w:rPr>
                <w:szCs w:val="18"/>
              </w:rPr>
              <w:t>n/N (%)</w:t>
            </w:r>
          </w:p>
        </w:tc>
        <w:tc>
          <w:tcPr>
            <w:tcW w:w="515" w:type="pct"/>
            <w:tcBorders>
              <w:top w:val="single" w:sz="4" w:space="0" w:color="auto"/>
              <w:left w:val="nil"/>
              <w:bottom w:val="single" w:sz="4" w:space="0" w:color="auto"/>
              <w:right w:val="single" w:sz="4" w:space="0" w:color="auto"/>
            </w:tcBorders>
          </w:tcPr>
          <w:p w14:paraId="72B9E312" w14:textId="77777777" w:rsidR="00E67922" w:rsidRPr="002318F1" w:rsidRDefault="00E67922" w:rsidP="00E67922">
            <w:pPr>
              <w:pStyle w:val="TableHeading9ptCent"/>
              <w:rPr>
                <w:szCs w:val="18"/>
              </w:rPr>
            </w:pPr>
          </w:p>
        </w:tc>
        <w:tc>
          <w:tcPr>
            <w:tcW w:w="442" w:type="pct"/>
            <w:tcBorders>
              <w:top w:val="single" w:sz="4" w:space="0" w:color="auto"/>
              <w:left w:val="single" w:sz="4" w:space="0" w:color="auto"/>
              <w:bottom w:val="single" w:sz="4" w:space="0" w:color="auto"/>
              <w:right w:val="nil"/>
            </w:tcBorders>
          </w:tcPr>
          <w:p w14:paraId="60491DC0" w14:textId="77777777" w:rsidR="00E67922" w:rsidRPr="002318F1" w:rsidRDefault="00E67922" w:rsidP="00E67922">
            <w:pPr>
              <w:pStyle w:val="TableHeading9ptCent"/>
              <w:ind w:left="0"/>
              <w:jc w:val="left"/>
              <w:rPr>
                <w:bCs/>
                <w:szCs w:val="18"/>
              </w:rPr>
            </w:pPr>
            <w:r w:rsidRPr="002318F1">
              <w:rPr>
                <w:bCs/>
                <w:szCs w:val="18"/>
              </w:rPr>
              <w:t>Vorinostat</w:t>
            </w:r>
          </w:p>
        </w:tc>
        <w:tc>
          <w:tcPr>
            <w:tcW w:w="368" w:type="pct"/>
            <w:tcBorders>
              <w:top w:val="single" w:sz="4" w:space="0" w:color="auto"/>
              <w:left w:val="nil"/>
              <w:bottom w:val="single" w:sz="4" w:space="0" w:color="auto"/>
              <w:right w:val="nil"/>
            </w:tcBorders>
          </w:tcPr>
          <w:p w14:paraId="70074476" w14:textId="24CFB0B8" w:rsidR="00E67922" w:rsidRPr="002318F1" w:rsidRDefault="00E67922" w:rsidP="00E67922">
            <w:pPr>
              <w:pStyle w:val="TableHeading9ptCent"/>
              <w:jc w:val="right"/>
              <w:rPr>
                <w:szCs w:val="18"/>
              </w:rPr>
            </w:pPr>
            <w:r w:rsidRPr="002318F1">
              <w:rPr>
                <w:szCs w:val="18"/>
              </w:rPr>
              <w:t>n/N</w:t>
            </w:r>
          </w:p>
        </w:tc>
        <w:tc>
          <w:tcPr>
            <w:tcW w:w="367" w:type="pct"/>
            <w:tcBorders>
              <w:top w:val="single" w:sz="4" w:space="0" w:color="auto"/>
              <w:left w:val="nil"/>
              <w:bottom w:val="single" w:sz="4" w:space="0" w:color="auto"/>
              <w:right w:val="single" w:sz="4" w:space="0" w:color="auto"/>
            </w:tcBorders>
          </w:tcPr>
          <w:p w14:paraId="61DA4A6B" w14:textId="77777777" w:rsidR="00E67922" w:rsidRPr="002318F1" w:rsidRDefault="00E67922" w:rsidP="00E67922">
            <w:pPr>
              <w:pStyle w:val="TableHeading9ptCent"/>
              <w:jc w:val="left"/>
              <w:rPr>
                <w:szCs w:val="18"/>
              </w:rPr>
            </w:pPr>
            <w:r w:rsidRPr="002318F1">
              <w:rPr>
                <w:szCs w:val="18"/>
              </w:rPr>
              <w:t>(%)</w:t>
            </w:r>
          </w:p>
        </w:tc>
      </w:tr>
      <w:tr w:rsidR="00E67922" w:rsidRPr="002318F1" w14:paraId="01E3E2A9" w14:textId="77777777" w:rsidTr="00E67922">
        <w:tc>
          <w:tcPr>
            <w:tcW w:w="216" w:type="pct"/>
            <w:vMerge/>
          </w:tcPr>
          <w:p w14:paraId="716649B8" w14:textId="77777777" w:rsidR="00E67922" w:rsidRPr="002318F1" w:rsidRDefault="00E67922" w:rsidP="00E67922">
            <w:pPr>
              <w:pStyle w:val="TableHeading9ptCent"/>
              <w:rPr>
                <w:szCs w:val="18"/>
              </w:rPr>
            </w:pPr>
          </w:p>
        </w:tc>
        <w:tc>
          <w:tcPr>
            <w:tcW w:w="515" w:type="pct"/>
            <w:tcBorders>
              <w:top w:val="single" w:sz="4" w:space="0" w:color="auto"/>
            </w:tcBorders>
          </w:tcPr>
          <w:p w14:paraId="7C26FC05" w14:textId="7522B928" w:rsidR="00E67922" w:rsidRPr="002318F1" w:rsidRDefault="00E67922" w:rsidP="00E67922">
            <w:pPr>
              <w:pStyle w:val="TableHeading9ptCent"/>
              <w:ind w:left="0"/>
              <w:jc w:val="left"/>
              <w:rPr>
                <w:szCs w:val="18"/>
              </w:rPr>
            </w:pPr>
            <w:r w:rsidRPr="002318F1">
              <w:rPr>
                <w:szCs w:val="18"/>
              </w:rPr>
              <w:t xml:space="preserve">Gao </w:t>
            </w:r>
            <w:r w:rsidRPr="002318F1">
              <w:rPr>
                <w:i/>
                <w:szCs w:val="18"/>
              </w:rPr>
              <w:t xml:space="preserve">et al, </w:t>
            </w:r>
            <w:r>
              <w:rPr>
                <w:szCs w:val="18"/>
              </w:rPr>
              <w:t>2019</w:t>
            </w:r>
          </w:p>
        </w:tc>
        <w:tc>
          <w:tcPr>
            <w:tcW w:w="515" w:type="pct"/>
            <w:tcBorders>
              <w:top w:val="single" w:sz="4" w:space="0" w:color="auto"/>
            </w:tcBorders>
          </w:tcPr>
          <w:p w14:paraId="7E9F4678" w14:textId="77777777" w:rsidR="00E67922" w:rsidRPr="002318F1" w:rsidRDefault="00E67922" w:rsidP="00E67922">
            <w:pPr>
              <w:pStyle w:val="TableHeading9ptCent"/>
              <w:ind w:left="0"/>
              <w:jc w:val="left"/>
              <w:rPr>
                <w:szCs w:val="18"/>
              </w:rPr>
            </w:pPr>
            <w:r w:rsidRPr="002318F1">
              <w:rPr>
                <w:szCs w:val="18"/>
              </w:rPr>
              <w:t>Arulogun</w:t>
            </w:r>
            <w:r w:rsidRPr="002318F1">
              <w:rPr>
                <w:i/>
                <w:szCs w:val="18"/>
              </w:rPr>
              <w:t xml:space="preserve"> et al, </w:t>
            </w:r>
            <w:r w:rsidRPr="002318F1">
              <w:rPr>
                <w:szCs w:val="18"/>
              </w:rPr>
              <w:t>2008</w:t>
            </w:r>
          </w:p>
        </w:tc>
        <w:tc>
          <w:tcPr>
            <w:tcW w:w="515" w:type="pct"/>
            <w:tcBorders>
              <w:top w:val="single" w:sz="4" w:space="0" w:color="auto"/>
            </w:tcBorders>
          </w:tcPr>
          <w:p w14:paraId="3F5F7722" w14:textId="18A4D9E1" w:rsidR="00E67922" w:rsidRPr="002318F1" w:rsidRDefault="00E67922" w:rsidP="00E67922">
            <w:pPr>
              <w:pStyle w:val="TableHeading9ptCent"/>
              <w:ind w:left="0"/>
              <w:jc w:val="left"/>
              <w:rPr>
                <w:szCs w:val="18"/>
              </w:rPr>
            </w:pPr>
            <w:r w:rsidRPr="002318F1">
              <w:rPr>
                <w:szCs w:val="18"/>
              </w:rPr>
              <w:t>Knobler</w:t>
            </w:r>
            <w:r w:rsidRPr="002318F1">
              <w:rPr>
                <w:i/>
                <w:szCs w:val="18"/>
              </w:rPr>
              <w:t xml:space="preserve"> et al, </w:t>
            </w:r>
            <w:r w:rsidRPr="002318F1">
              <w:rPr>
                <w:szCs w:val="18"/>
              </w:rPr>
              <w:t>2012</w:t>
            </w:r>
          </w:p>
        </w:tc>
        <w:tc>
          <w:tcPr>
            <w:tcW w:w="515" w:type="pct"/>
            <w:tcBorders>
              <w:top w:val="single" w:sz="4" w:space="0" w:color="auto"/>
            </w:tcBorders>
          </w:tcPr>
          <w:p w14:paraId="4C6A31D6" w14:textId="77777777" w:rsidR="00E67922" w:rsidRPr="002318F1" w:rsidRDefault="00E67922" w:rsidP="00E67922">
            <w:pPr>
              <w:pStyle w:val="TableHeading9ptCent"/>
              <w:ind w:left="0"/>
              <w:jc w:val="left"/>
              <w:rPr>
                <w:szCs w:val="18"/>
              </w:rPr>
            </w:pPr>
            <w:r w:rsidRPr="002318F1">
              <w:rPr>
                <w:szCs w:val="18"/>
              </w:rPr>
              <w:t xml:space="preserve">Siakantaris </w:t>
            </w:r>
            <w:r w:rsidRPr="002318F1">
              <w:rPr>
                <w:i/>
                <w:szCs w:val="18"/>
              </w:rPr>
              <w:t xml:space="preserve">et al, </w:t>
            </w:r>
            <w:r w:rsidRPr="002318F1">
              <w:rPr>
                <w:szCs w:val="18"/>
              </w:rPr>
              <w:t>2012</w:t>
            </w:r>
          </w:p>
        </w:tc>
        <w:tc>
          <w:tcPr>
            <w:tcW w:w="515" w:type="pct"/>
            <w:tcBorders>
              <w:top w:val="single" w:sz="4" w:space="0" w:color="auto"/>
            </w:tcBorders>
          </w:tcPr>
          <w:p w14:paraId="2106BA75" w14:textId="77777777" w:rsidR="00E67922" w:rsidRPr="002318F1" w:rsidRDefault="00E67922" w:rsidP="00E67922">
            <w:pPr>
              <w:pStyle w:val="TableHeading9ptCent"/>
              <w:ind w:left="0"/>
              <w:jc w:val="left"/>
              <w:rPr>
                <w:szCs w:val="18"/>
              </w:rPr>
            </w:pPr>
            <w:r w:rsidRPr="002318F1">
              <w:rPr>
                <w:szCs w:val="18"/>
              </w:rPr>
              <w:t>Prince</w:t>
            </w:r>
            <w:r w:rsidRPr="002318F1">
              <w:rPr>
                <w:i/>
                <w:szCs w:val="18"/>
              </w:rPr>
              <w:t xml:space="preserve"> et al, </w:t>
            </w:r>
            <w:r w:rsidRPr="002318F1">
              <w:rPr>
                <w:szCs w:val="18"/>
              </w:rPr>
              <w:t xml:space="preserve"> 2017</w:t>
            </w:r>
          </w:p>
        </w:tc>
        <w:tc>
          <w:tcPr>
            <w:tcW w:w="515" w:type="pct"/>
            <w:tcBorders>
              <w:top w:val="single" w:sz="4" w:space="0" w:color="auto"/>
            </w:tcBorders>
          </w:tcPr>
          <w:p w14:paraId="1A2BDA92" w14:textId="77777777" w:rsidR="00E67922" w:rsidRPr="002318F1" w:rsidRDefault="00E67922" w:rsidP="00E67922">
            <w:pPr>
              <w:pStyle w:val="TableHeading9ptCent"/>
              <w:ind w:left="0"/>
              <w:jc w:val="left"/>
              <w:rPr>
                <w:szCs w:val="18"/>
              </w:rPr>
            </w:pPr>
            <w:r w:rsidRPr="002318F1">
              <w:rPr>
                <w:szCs w:val="18"/>
              </w:rPr>
              <w:t xml:space="preserve">Duvic </w:t>
            </w:r>
            <w:r w:rsidRPr="002318F1">
              <w:rPr>
                <w:i/>
                <w:szCs w:val="18"/>
              </w:rPr>
              <w:t xml:space="preserve">et al, </w:t>
            </w:r>
            <w:r w:rsidRPr="002318F1">
              <w:rPr>
                <w:szCs w:val="18"/>
              </w:rPr>
              <w:t>2015</w:t>
            </w:r>
          </w:p>
        </w:tc>
        <w:tc>
          <w:tcPr>
            <w:tcW w:w="515" w:type="pct"/>
            <w:tcBorders>
              <w:top w:val="single" w:sz="4" w:space="0" w:color="auto"/>
            </w:tcBorders>
          </w:tcPr>
          <w:p w14:paraId="1F6CD222" w14:textId="77777777" w:rsidR="00E67922" w:rsidRPr="002318F1" w:rsidRDefault="00E67922" w:rsidP="00E67922">
            <w:pPr>
              <w:pStyle w:val="TableHeading9ptCent"/>
              <w:ind w:left="0"/>
              <w:jc w:val="left"/>
              <w:rPr>
                <w:szCs w:val="18"/>
              </w:rPr>
            </w:pPr>
            <w:r w:rsidRPr="002318F1">
              <w:rPr>
                <w:szCs w:val="18"/>
              </w:rPr>
              <w:t xml:space="preserve">Kim </w:t>
            </w:r>
            <w:r w:rsidRPr="002318F1">
              <w:rPr>
                <w:i/>
                <w:szCs w:val="18"/>
              </w:rPr>
              <w:t xml:space="preserve">et al, </w:t>
            </w:r>
            <w:r w:rsidRPr="002318F1">
              <w:rPr>
                <w:szCs w:val="18"/>
              </w:rPr>
              <w:t>2015</w:t>
            </w:r>
          </w:p>
        </w:tc>
        <w:tc>
          <w:tcPr>
            <w:tcW w:w="442" w:type="pct"/>
            <w:tcBorders>
              <w:top w:val="single" w:sz="4" w:space="0" w:color="auto"/>
            </w:tcBorders>
          </w:tcPr>
          <w:p w14:paraId="2CC61395" w14:textId="77777777" w:rsidR="00E67922" w:rsidRPr="002318F1" w:rsidRDefault="00E67922" w:rsidP="00E67922">
            <w:pPr>
              <w:pStyle w:val="TableHeading9ptCent"/>
              <w:ind w:left="0"/>
              <w:jc w:val="left"/>
              <w:rPr>
                <w:szCs w:val="18"/>
              </w:rPr>
            </w:pPr>
            <w:r w:rsidRPr="002318F1">
              <w:rPr>
                <w:szCs w:val="18"/>
              </w:rPr>
              <w:t xml:space="preserve">Olsen </w:t>
            </w:r>
            <w:r w:rsidRPr="002318F1">
              <w:rPr>
                <w:i/>
                <w:szCs w:val="18"/>
              </w:rPr>
              <w:t xml:space="preserve">et al, </w:t>
            </w:r>
            <w:r w:rsidRPr="002318F1">
              <w:rPr>
                <w:szCs w:val="18"/>
              </w:rPr>
              <w:t>2007</w:t>
            </w:r>
          </w:p>
        </w:tc>
        <w:tc>
          <w:tcPr>
            <w:tcW w:w="368" w:type="pct"/>
            <w:tcBorders>
              <w:top w:val="single" w:sz="4" w:space="0" w:color="auto"/>
            </w:tcBorders>
          </w:tcPr>
          <w:p w14:paraId="45E9FB91" w14:textId="77777777" w:rsidR="00E67922" w:rsidRPr="002318F1" w:rsidRDefault="00E67922" w:rsidP="00E67922">
            <w:pPr>
              <w:pStyle w:val="TableHeading9ptCent"/>
              <w:ind w:left="0"/>
              <w:jc w:val="left"/>
              <w:rPr>
                <w:szCs w:val="18"/>
              </w:rPr>
            </w:pPr>
            <w:r w:rsidRPr="002318F1">
              <w:rPr>
                <w:szCs w:val="18"/>
              </w:rPr>
              <w:t xml:space="preserve">Duvic </w:t>
            </w:r>
            <w:r w:rsidRPr="002318F1">
              <w:rPr>
                <w:i/>
                <w:szCs w:val="18"/>
              </w:rPr>
              <w:t xml:space="preserve">et al, </w:t>
            </w:r>
            <w:r w:rsidRPr="002318F1">
              <w:rPr>
                <w:szCs w:val="18"/>
              </w:rPr>
              <w:t>2009</w:t>
            </w:r>
          </w:p>
        </w:tc>
        <w:tc>
          <w:tcPr>
            <w:tcW w:w="367" w:type="pct"/>
            <w:tcBorders>
              <w:top w:val="single" w:sz="4" w:space="0" w:color="auto"/>
            </w:tcBorders>
          </w:tcPr>
          <w:p w14:paraId="3C64CB9C" w14:textId="77777777" w:rsidR="00E67922" w:rsidRPr="002318F1" w:rsidRDefault="00E67922" w:rsidP="00E67922">
            <w:pPr>
              <w:pStyle w:val="TableHeading9ptCent"/>
              <w:ind w:left="0"/>
              <w:jc w:val="left"/>
              <w:rPr>
                <w:szCs w:val="18"/>
              </w:rPr>
            </w:pPr>
            <w:r w:rsidRPr="002318F1">
              <w:rPr>
                <w:szCs w:val="18"/>
              </w:rPr>
              <w:t xml:space="preserve">Duvic </w:t>
            </w:r>
            <w:r w:rsidRPr="002318F1">
              <w:rPr>
                <w:i/>
                <w:szCs w:val="18"/>
              </w:rPr>
              <w:t xml:space="preserve">et al, </w:t>
            </w:r>
            <w:r w:rsidRPr="002318F1">
              <w:rPr>
                <w:szCs w:val="18"/>
              </w:rPr>
              <w:t>2007</w:t>
            </w:r>
          </w:p>
        </w:tc>
      </w:tr>
      <w:tr w:rsidR="00E67922" w:rsidRPr="002318F1" w14:paraId="34C80FFF" w14:textId="77777777" w:rsidTr="00E67922">
        <w:tc>
          <w:tcPr>
            <w:tcW w:w="216" w:type="pct"/>
          </w:tcPr>
          <w:p w14:paraId="1E7B2FB5" w14:textId="77777777" w:rsidR="00E67922" w:rsidRPr="005E292E" w:rsidRDefault="00E67922" w:rsidP="00E67922">
            <w:pPr>
              <w:rPr>
                <w:rFonts w:ascii="Arial Narrow" w:hAnsi="Arial Narrow"/>
                <w:bCs/>
                <w:sz w:val="18"/>
                <w:szCs w:val="18"/>
              </w:rPr>
            </w:pPr>
            <w:r w:rsidRPr="005E292E">
              <w:rPr>
                <w:rFonts w:ascii="Arial Narrow" w:hAnsi="Arial Narrow"/>
                <w:bCs/>
                <w:sz w:val="18"/>
                <w:szCs w:val="18"/>
              </w:rPr>
              <w:t>ORR</w:t>
            </w:r>
          </w:p>
        </w:tc>
        <w:tc>
          <w:tcPr>
            <w:tcW w:w="515" w:type="pct"/>
          </w:tcPr>
          <w:p w14:paraId="76E20314" w14:textId="77777777" w:rsidR="00E67922" w:rsidRPr="002318F1" w:rsidRDefault="00E67922" w:rsidP="00E67922">
            <w:pPr>
              <w:rPr>
                <w:rFonts w:ascii="Arial Narrow" w:hAnsi="Arial Narrow"/>
                <w:sz w:val="18"/>
                <w:szCs w:val="18"/>
              </w:rPr>
            </w:pPr>
            <w:r>
              <w:rPr>
                <w:rFonts w:ascii="Arial Narrow" w:hAnsi="Arial Narrow"/>
                <w:sz w:val="18"/>
                <w:szCs w:val="18"/>
              </w:rPr>
              <w:t>NR</w:t>
            </w:r>
          </w:p>
        </w:tc>
        <w:tc>
          <w:tcPr>
            <w:tcW w:w="515" w:type="pct"/>
          </w:tcPr>
          <w:p w14:paraId="579CFC51" w14:textId="77777777" w:rsidR="00E67922" w:rsidRPr="002318F1" w:rsidRDefault="00E67922" w:rsidP="00E67922">
            <w:pPr>
              <w:rPr>
                <w:rFonts w:ascii="Arial Narrow" w:hAnsi="Arial Narrow"/>
                <w:sz w:val="18"/>
                <w:szCs w:val="18"/>
              </w:rPr>
            </w:pPr>
            <w:r w:rsidRPr="002318F1">
              <w:rPr>
                <w:rFonts w:ascii="Arial Narrow" w:hAnsi="Arial Narrow"/>
                <w:sz w:val="18"/>
                <w:szCs w:val="18"/>
              </w:rPr>
              <w:t>8/13 (62%)</w:t>
            </w:r>
            <w:r w:rsidRPr="002318F1">
              <w:rPr>
                <w:rFonts w:ascii="Arial Narrow" w:hAnsi="Arial Narrow"/>
                <w:sz w:val="18"/>
                <w:szCs w:val="18"/>
                <w:vertAlign w:val="superscript"/>
              </w:rPr>
              <w:t>a,b</w:t>
            </w:r>
          </w:p>
        </w:tc>
        <w:tc>
          <w:tcPr>
            <w:tcW w:w="515" w:type="pct"/>
          </w:tcPr>
          <w:p w14:paraId="3C88988D" w14:textId="77777777" w:rsidR="00E67922" w:rsidRPr="002318F1" w:rsidRDefault="00E67922" w:rsidP="00E67922">
            <w:pPr>
              <w:rPr>
                <w:rFonts w:ascii="Arial Narrow" w:hAnsi="Arial Narrow"/>
                <w:sz w:val="18"/>
                <w:szCs w:val="18"/>
              </w:rPr>
            </w:pPr>
            <w:r w:rsidRPr="002318F1">
              <w:rPr>
                <w:rFonts w:ascii="Arial Narrow" w:hAnsi="Arial Narrow"/>
                <w:sz w:val="18"/>
                <w:szCs w:val="18"/>
              </w:rPr>
              <w:t>29/39 (74%)</w:t>
            </w:r>
            <w:r w:rsidRPr="002318F1">
              <w:rPr>
                <w:rFonts w:ascii="Arial Narrow" w:hAnsi="Arial Narrow"/>
                <w:sz w:val="18"/>
                <w:szCs w:val="18"/>
                <w:vertAlign w:val="superscript"/>
              </w:rPr>
              <w:t>c</w:t>
            </w:r>
          </w:p>
        </w:tc>
        <w:tc>
          <w:tcPr>
            <w:tcW w:w="515" w:type="pct"/>
          </w:tcPr>
          <w:p w14:paraId="5F512CFE" w14:textId="77777777" w:rsidR="00E67922" w:rsidRPr="002318F1" w:rsidRDefault="00E67922" w:rsidP="00E67922">
            <w:pPr>
              <w:rPr>
                <w:rFonts w:ascii="Arial Narrow" w:hAnsi="Arial Narrow"/>
                <w:sz w:val="18"/>
                <w:szCs w:val="18"/>
              </w:rPr>
            </w:pPr>
            <w:r w:rsidRPr="002318F1">
              <w:rPr>
                <w:rFonts w:ascii="Arial Narrow" w:hAnsi="Arial Narrow"/>
                <w:sz w:val="18"/>
                <w:szCs w:val="18"/>
              </w:rPr>
              <w:t>11/18 (61%)</w:t>
            </w:r>
          </w:p>
        </w:tc>
        <w:tc>
          <w:tcPr>
            <w:tcW w:w="515" w:type="pct"/>
          </w:tcPr>
          <w:p w14:paraId="4837E8F6" w14:textId="77777777" w:rsidR="00E67922" w:rsidRPr="002318F1" w:rsidRDefault="00E67922" w:rsidP="00E67922">
            <w:pPr>
              <w:rPr>
                <w:rFonts w:ascii="Arial Narrow" w:hAnsi="Arial Narrow"/>
                <w:sz w:val="18"/>
                <w:szCs w:val="18"/>
              </w:rPr>
            </w:pPr>
            <w:r>
              <w:rPr>
                <w:rFonts w:ascii="Arial Narrow" w:hAnsi="Arial Narrow"/>
                <w:sz w:val="18"/>
                <w:szCs w:val="18"/>
              </w:rPr>
              <w:t xml:space="preserve">43/64 </w:t>
            </w:r>
            <w:r w:rsidRPr="002318F1">
              <w:rPr>
                <w:rFonts w:ascii="Arial Narrow" w:hAnsi="Arial Narrow"/>
                <w:sz w:val="18"/>
                <w:szCs w:val="18"/>
              </w:rPr>
              <w:t>(67%)</w:t>
            </w:r>
          </w:p>
        </w:tc>
        <w:tc>
          <w:tcPr>
            <w:tcW w:w="515" w:type="pct"/>
          </w:tcPr>
          <w:p w14:paraId="23F0F34B" w14:textId="77777777" w:rsidR="00E67922" w:rsidRPr="002318F1" w:rsidRDefault="00E67922" w:rsidP="00E67922">
            <w:pPr>
              <w:rPr>
                <w:rFonts w:ascii="Arial Narrow" w:hAnsi="Arial Narrow"/>
                <w:sz w:val="18"/>
                <w:szCs w:val="18"/>
              </w:rPr>
            </w:pPr>
            <w:r w:rsidRPr="002318F1">
              <w:rPr>
                <w:rFonts w:ascii="Arial Narrow" w:hAnsi="Arial Narrow"/>
                <w:sz w:val="18"/>
                <w:szCs w:val="18"/>
              </w:rPr>
              <w:t xml:space="preserve">All </w:t>
            </w:r>
            <w:r>
              <w:rPr>
                <w:rFonts w:ascii="Arial Narrow" w:hAnsi="Arial Narrow"/>
                <w:sz w:val="18"/>
                <w:szCs w:val="18"/>
              </w:rPr>
              <w:t xml:space="preserve">patients: 35/48 </w:t>
            </w:r>
            <w:r w:rsidRPr="002318F1">
              <w:rPr>
                <w:rFonts w:ascii="Arial Narrow" w:hAnsi="Arial Narrow"/>
                <w:sz w:val="18"/>
                <w:szCs w:val="18"/>
              </w:rPr>
              <w:t>(73%)</w:t>
            </w:r>
          </w:p>
          <w:p w14:paraId="6DB25A7C" w14:textId="77777777" w:rsidR="00E67922" w:rsidRPr="002318F1" w:rsidRDefault="00E67922" w:rsidP="00E67922">
            <w:pPr>
              <w:rPr>
                <w:rFonts w:ascii="Arial Narrow" w:hAnsi="Arial Narrow"/>
                <w:sz w:val="18"/>
                <w:szCs w:val="18"/>
              </w:rPr>
            </w:pPr>
            <w:r w:rsidRPr="002318F1">
              <w:rPr>
                <w:rFonts w:ascii="Arial Narrow" w:hAnsi="Arial Narrow"/>
                <w:sz w:val="18"/>
                <w:szCs w:val="18"/>
              </w:rPr>
              <w:t>All CTCL: 26/39 (67%)</w:t>
            </w:r>
          </w:p>
          <w:p w14:paraId="6E4649DF" w14:textId="77777777" w:rsidR="00E67922" w:rsidRPr="002318F1" w:rsidRDefault="00E67922" w:rsidP="00E67922">
            <w:pPr>
              <w:rPr>
                <w:rFonts w:ascii="Arial Narrow" w:hAnsi="Arial Narrow"/>
                <w:sz w:val="18"/>
                <w:szCs w:val="18"/>
              </w:rPr>
            </w:pPr>
            <w:r w:rsidRPr="002318F1">
              <w:rPr>
                <w:rFonts w:ascii="Arial Narrow" w:hAnsi="Arial Narrow"/>
                <w:sz w:val="18"/>
                <w:szCs w:val="18"/>
              </w:rPr>
              <w:t>MF only: 15/28 (54%)</w:t>
            </w:r>
          </w:p>
        </w:tc>
        <w:tc>
          <w:tcPr>
            <w:tcW w:w="515" w:type="pct"/>
          </w:tcPr>
          <w:p w14:paraId="198CCF8C" w14:textId="77777777" w:rsidR="00E67922" w:rsidRPr="002318F1" w:rsidRDefault="00E67922" w:rsidP="00E67922">
            <w:pPr>
              <w:rPr>
                <w:rFonts w:ascii="Arial Narrow" w:hAnsi="Arial Narrow"/>
                <w:sz w:val="18"/>
                <w:szCs w:val="18"/>
              </w:rPr>
            </w:pPr>
            <w:r w:rsidRPr="002318F1">
              <w:rPr>
                <w:rFonts w:ascii="Arial Narrow" w:hAnsi="Arial Narrow"/>
                <w:sz w:val="18"/>
                <w:szCs w:val="18"/>
              </w:rPr>
              <w:t>21/30 (70%)</w:t>
            </w:r>
          </w:p>
          <w:p w14:paraId="4A02F81D" w14:textId="77777777" w:rsidR="00E67922" w:rsidRPr="002318F1" w:rsidRDefault="00E67922" w:rsidP="00E67922">
            <w:pPr>
              <w:rPr>
                <w:rFonts w:ascii="Arial Narrow" w:hAnsi="Arial Narrow"/>
                <w:sz w:val="18"/>
                <w:szCs w:val="18"/>
              </w:rPr>
            </w:pPr>
            <w:r w:rsidRPr="002318F1">
              <w:rPr>
                <w:rFonts w:ascii="Arial Narrow" w:hAnsi="Arial Narrow"/>
                <w:sz w:val="18"/>
                <w:szCs w:val="18"/>
              </w:rPr>
              <w:t>Grade IV/SS: 4/10 (40%)</w:t>
            </w:r>
          </w:p>
        </w:tc>
        <w:tc>
          <w:tcPr>
            <w:tcW w:w="810" w:type="pct"/>
            <w:gridSpan w:val="2"/>
          </w:tcPr>
          <w:p w14:paraId="6EF54A99" w14:textId="77777777" w:rsidR="00E67922" w:rsidRPr="002318F1" w:rsidRDefault="00E67922" w:rsidP="00E67922">
            <w:pPr>
              <w:rPr>
                <w:rFonts w:ascii="Arial Narrow" w:hAnsi="Arial Narrow"/>
                <w:sz w:val="18"/>
                <w:szCs w:val="18"/>
              </w:rPr>
            </w:pPr>
            <w:r w:rsidRPr="002318F1">
              <w:rPr>
                <w:rFonts w:ascii="Arial Narrow" w:hAnsi="Arial Narrow"/>
                <w:sz w:val="18"/>
                <w:szCs w:val="18"/>
              </w:rPr>
              <w:t>22/74 (30%)</w:t>
            </w:r>
          </w:p>
        </w:tc>
        <w:tc>
          <w:tcPr>
            <w:tcW w:w="367" w:type="pct"/>
          </w:tcPr>
          <w:p w14:paraId="533BB628" w14:textId="77777777" w:rsidR="00E67922" w:rsidRPr="002318F1" w:rsidRDefault="00E67922" w:rsidP="00E67922">
            <w:pPr>
              <w:rPr>
                <w:rFonts w:ascii="Arial Narrow" w:hAnsi="Arial Narrow"/>
                <w:sz w:val="18"/>
                <w:szCs w:val="18"/>
              </w:rPr>
            </w:pPr>
            <w:r w:rsidRPr="002318F1">
              <w:rPr>
                <w:rFonts w:ascii="Arial Narrow" w:hAnsi="Arial Narrow"/>
                <w:sz w:val="18"/>
                <w:szCs w:val="18"/>
              </w:rPr>
              <w:t>8/33 (24%)</w:t>
            </w:r>
          </w:p>
        </w:tc>
      </w:tr>
      <w:tr w:rsidR="00E67922" w:rsidRPr="002318F1" w14:paraId="3A007EB4" w14:textId="77777777" w:rsidTr="00E67922">
        <w:tc>
          <w:tcPr>
            <w:tcW w:w="216" w:type="pct"/>
          </w:tcPr>
          <w:p w14:paraId="7A1A7FF3" w14:textId="77777777" w:rsidR="00E67922" w:rsidRPr="002318F1" w:rsidRDefault="00E67922" w:rsidP="00E67922">
            <w:pPr>
              <w:rPr>
                <w:rFonts w:ascii="Arial Narrow" w:hAnsi="Arial Narrow"/>
                <w:b/>
                <w:sz w:val="18"/>
                <w:szCs w:val="18"/>
              </w:rPr>
            </w:pPr>
            <w:r w:rsidRPr="002318F1">
              <w:rPr>
                <w:rFonts w:ascii="Arial Narrow" w:hAnsi="Arial Narrow"/>
                <w:sz w:val="18"/>
                <w:szCs w:val="18"/>
              </w:rPr>
              <w:t>PFS</w:t>
            </w:r>
          </w:p>
        </w:tc>
        <w:tc>
          <w:tcPr>
            <w:tcW w:w="515" w:type="pct"/>
          </w:tcPr>
          <w:p w14:paraId="65AB9712" w14:textId="77777777" w:rsidR="00E67922" w:rsidRPr="002318F1" w:rsidRDefault="00E67922" w:rsidP="00E67922">
            <w:pPr>
              <w:rPr>
                <w:rFonts w:ascii="Arial Narrow" w:hAnsi="Arial Narrow"/>
                <w:sz w:val="18"/>
                <w:szCs w:val="18"/>
              </w:rPr>
            </w:pPr>
            <w:r>
              <w:rPr>
                <w:rFonts w:ascii="Arial Narrow" w:hAnsi="Arial Narrow"/>
                <w:sz w:val="18"/>
                <w:szCs w:val="18"/>
              </w:rPr>
              <w:t>NR</w:t>
            </w:r>
          </w:p>
        </w:tc>
        <w:tc>
          <w:tcPr>
            <w:tcW w:w="515" w:type="pct"/>
          </w:tcPr>
          <w:p w14:paraId="02CF68E1" w14:textId="77777777" w:rsidR="00E67922" w:rsidRPr="002318F1" w:rsidRDefault="00E67922" w:rsidP="00E67922">
            <w:pPr>
              <w:rPr>
                <w:rFonts w:ascii="Arial Narrow" w:hAnsi="Arial Narrow"/>
                <w:sz w:val="18"/>
                <w:szCs w:val="18"/>
              </w:rPr>
            </w:pPr>
            <w:r w:rsidRPr="002318F1">
              <w:rPr>
                <w:rFonts w:ascii="Arial Narrow" w:hAnsi="Arial Narrow"/>
                <w:sz w:val="18"/>
                <w:szCs w:val="18"/>
              </w:rPr>
              <w:t>28 m</w:t>
            </w:r>
            <w:r>
              <w:rPr>
                <w:rFonts w:ascii="Arial Narrow" w:hAnsi="Arial Narrow"/>
                <w:sz w:val="18"/>
                <w:szCs w:val="18"/>
              </w:rPr>
              <w:t xml:space="preserve"> </w:t>
            </w:r>
            <w:r w:rsidRPr="002318F1">
              <w:rPr>
                <w:rFonts w:ascii="Arial Narrow" w:hAnsi="Arial Narrow"/>
                <w:sz w:val="18"/>
                <w:szCs w:val="18"/>
              </w:rPr>
              <w:t>(med)</w:t>
            </w:r>
          </w:p>
        </w:tc>
        <w:tc>
          <w:tcPr>
            <w:tcW w:w="515" w:type="pct"/>
          </w:tcPr>
          <w:p w14:paraId="69F74352" w14:textId="77777777" w:rsidR="00E67922" w:rsidRPr="002318F1" w:rsidRDefault="00E67922" w:rsidP="00E67922">
            <w:pPr>
              <w:rPr>
                <w:rFonts w:ascii="Arial Narrow" w:hAnsi="Arial Narrow"/>
                <w:sz w:val="18"/>
                <w:szCs w:val="18"/>
              </w:rPr>
            </w:pPr>
            <w:r>
              <w:rPr>
                <w:rFonts w:ascii="Arial Narrow" w:hAnsi="Arial Narrow"/>
                <w:sz w:val="18"/>
                <w:szCs w:val="18"/>
              </w:rPr>
              <w:t>NR</w:t>
            </w:r>
          </w:p>
        </w:tc>
        <w:tc>
          <w:tcPr>
            <w:tcW w:w="515" w:type="pct"/>
          </w:tcPr>
          <w:p w14:paraId="4DDE9AD9" w14:textId="77777777" w:rsidR="00E67922" w:rsidRPr="002318F1" w:rsidRDefault="00E67922" w:rsidP="00E67922">
            <w:pPr>
              <w:rPr>
                <w:rFonts w:ascii="Arial Narrow" w:hAnsi="Arial Narrow"/>
                <w:sz w:val="18"/>
                <w:szCs w:val="18"/>
              </w:rPr>
            </w:pPr>
            <w:r w:rsidRPr="002318F1">
              <w:rPr>
                <w:rFonts w:ascii="Arial Narrow" w:hAnsi="Arial Narrow"/>
                <w:sz w:val="18"/>
                <w:szCs w:val="18"/>
              </w:rPr>
              <w:t>28 m (med)</w:t>
            </w:r>
          </w:p>
        </w:tc>
        <w:tc>
          <w:tcPr>
            <w:tcW w:w="515" w:type="pct"/>
          </w:tcPr>
          <w:p w14:paraId="6FE7638D" w14:textId="77777777" w:rsidR="00E67922" w:rsidRPr="002318F1" w:rsidRDefault="00E67922" w:rsidP="00E67922">
            <w:pPr>
              <w:rPr>
                <w:rFonts w:ascii="Arial Narrow" w:hAnsi="Arial Narrow"/>
                <w:sz w:val="18"/>
                <w:szCs w:val="18"/>
              </w:rPr>
            </w:pPr>
            <w:r w:rsidRPr="002318F1">
              <w:rPr>
                <w:rFonts w:ascii="Arial Narrow" w:hAnsi="Arial Narrow"/>
                <w:sz w:val="18"/>
                <w:szCs w:val="18"/>
              </w:rPr>
              <w:t>16.7 m (med)</w:t>
            </w:r>
          </w:p>
        </w:tc>
        <w:tc>
          <w:tcPr>
            <w:tcW w:w="515" w:type="pct"/>
          </w:tcPr>
          <w:p w14:paraId="1AE30792" w14:textId="77777777" w:rsidR="00E67922" w:rsidRPr="002318F1" w:rsidRDefault="00E67922" w:rsidP="00E67922">
            <w:pPr>
              <w:rPr>
                <w:rFonts w:ascii="Arial Narrow" w:hAnsi="Arial Narrow"/>
                <w:sz w:val="18"/>
                <w:szCs w:val="18"/>
              </w:rPr>
            </w:pPr>
            <w:r>
              <w:rPr>
                <w:rFonts w:ascii="Arial Narrow" w:hAnsi="Arial Narrow"/>
                <w:sz w:val="18"/>
                <w:szCs w:val="18"/>
              </w:rPr>
              <w:t>13.2 m</w:t>
            </w:r>
            <w:r w:rsidRPr="002318F1">
              <w:rPr>
                <w:rFonts w:ascii="Arial Narrow" w:hAnsi="Arial Narrow"/>
                <w:sz w:val="18"/>
                <w:szCs w:val="18"/>
              </w:rPr>
              <w:t xml:space="preserve"> (med)</w:t>
            </w:r>
            <w:r w:rsidRPr="002318F1">
              <w:rPr>
                <w:rFonts w:ascii="Arial Narrow" w:hAnsi="Arial Narrow"/>
                <w:sz w:val="18"/>
                <w:szCs w:val="18"/>
                <w:vertAlign w:val="superscript"/>
              </w:rPr>
              <w:t>d</w:t>
            </w:r>
          </w:p>
        </w:tc>
        <w:tc>
          <w:tcPr>
            <w:tcW w:w="515" w:type="pct"/>
          </w:tcPr>
          <w:p w14:paraId="12A61C85" w14:textId="77777777" w:rsidR="00E67922" w:rsidRPr="002318F1" w:rsidRDefault="00E67922" w:rsidP="00E67922">
            <w:pPr>
              <w:rPr>
                <w:rFonts w:ascii="Arial Narrow" w:hAnsi="Arial Narrow"/>
                <w:sz w:val="18"/>
                <w:szCs w:val="18"/>
              </w:rPr>
            </w:pPr>
            <w:r>
              <w:rPr>
                <w:rFonts w:ascii="Arial Narrow" w:hAnsi="Arial Narrow"/>
                <w:sz w:val="18"/>
                <w:szCs w:val="18"/>
              </w:rPr>
              <w:t>6 m</w:t>
            </w:r>
            <w:r w:rsidRPr="002318F1">
              <w:rPr>
                <w:rFonts w:ascii="Arial Narrow" w:hAnsi="Arial Narrow"/>
                <w:sz w:val="18"/>
                <w:szCs w:val="18"/>
              </w:rPr>
              <w:t>: 79%</w:t>
            </w:r>
          </w:p>
          <w:p w14:paraId="09A0E1CD" w14:textId="77777777" w:rsidR="00E67922" w:rsidRPr="002318F1" w:rsidRDefault="00E67922" w:rsidP="00E67922">
            <w:pPr>
              <w:rPr>
                <w:rFonts w:ascii="Arial Narrow" w:hAnsi="Arial Narrow"/>
                <w:sz w:val="18"/>
                <w:szCs w:val="18"/>
              </w:rPr>
            </w:pPr>
            <w:r>
              <w:rPr>
                <w:rFonts w:ascii="Arial Narrow" w:hAnsi="Arial Narrow"/>
                <w:sz w:val="18"/>
                <w:szCs w:val="18"/>
              </w:rPr>
              <w:t>12 m</w:t>
            </w:r>
            <w:r w:rsidRPr="002318F1">
              <w:rPr>
                <w:rFonts w:ascii="Arial Narrow" w:hAnsi="Arial Narrow"/>
                <w:sz w:val="18"/>
                <w:szCs w:val="18"/>
              </w:rPr>
              <w:t>: (54%)</w:t>
            </w:r>
          </w:p>
        </w:tc>
        <w:tc>
          <w:tcPr>
            <w:tcW w:w="810" w:type="pct"/>
            <w:gridSpan w:val="2"/>
          </w:tcPr>
          <w:p w14:paraId="7C0333E2" w14:textId="77777777" w:rsidR="00E67922" w:rsidRPr="002318F1" w:rsidRDefault="00E67922" w:rsidP="00E67922">
            <w:pPr>
              <w:rPr>
                <w:rFonts w:ascii="Arial Narrow" w:hAnsi="Arial Narrow"/>
                <w:sz w:val="18"/>
                <w:szCs w:val="18"/>
              </w:rPr>
            </w:pPr>
            <w:r>
              <w:rPr>
                <w:rFonts w:ascii="Arial Narrow" w:hAnsi="Arial Narrow"/>
                <w:sz w:val="18"/>
                <w:szCs w:val="18"/>
              </w:rPr>
              <w:t>4.9 m (med</w:t>
            </w:r>
            <w:r w:rsidRPr="002318F1">
              <w:rPr>
                <w:rFonts w:ascii="Arial Narrow" w:hAnsi="Arial Narrow"/>
                <w:sz w:val="18"/>
                <w:szCs w:val="18"/>
              </w:rPr>
              <w:t xml:space="preserve"> TTP</w:t>
            </w:r>
            <w:r w:rsidRPr="002318F1">
              <w:rPr>
                <w:rFonts w:ascii="Arial Narrow" w:hAnsi="Arial Narrow"/>
                <w:sz w:val="18"/>
                <w:szCs w:val="18"/>
                <w:vertAlign w:val="superscript"/>
              </w:rPr>
              <w:t>e</w:t>
            </w:r>
            <w:r w:rsidRPr="002318F1">
              <w:rPr>
                <w:rFonts w:ascii="Arial Narrow" w:hAnsi="Arial Narrow"/>
                <w:sz w:val="18"/>
                <w:szCs w:val="18"/>
              </w:rPr>
              <w:t>)</w:t>
            </w:r>
          </w:p>
        </w:tc>
        <w:tc>
          <w:tcPr>
            <w:tcW w:w="367" w:type="pct"/>
          </w:tcPr>
          <w:p w14:paraId="21EA7112" w14:textId="77777777" w:rsidR="00E67922" w:rsidRPr="00174833" w:rsidRDefault="00E67922" w:rsidP="00E67922">
            <w:pPr>
              <w:rPr>
                <w:rFonts w:ascii="Arial Narrow" w:hAnsi="Arial Narrow"/>
                <w:sz w:val="18"/>
                <w:szCs w:val="18"/>
              </w:rPr>
            </w:pPr>
            <w:r>
              <w:rPr>
                <w:rFonts w:ascii="Arial Narrow" w:hAnsi="Arial Narrow"/>
                <w:sz w:val="18"/>
                <w:szCs w:val="18"/>
              </w:rPr>
              <w:t xml:space="preserve">12.1 w (med </w:t>
            </w:r>
            <w:r w:rsidRPr="002318F1">
              <w:rPr>
                <w:rFonts w:ascii="Arial Narrow" w:hAnsi="Arial Narrow"/>
                <w:sz w:val="18"/>
                <w:szCs w:val="18"/>
              </w:rPr>
              <w:t>TTP</w:t>
            </w:r>
            <w:r w:rsidRPr="002318F1">
              <w:rPr>
                <w:rFonts w:ascii="Arial Narrow" w:hAnsi="Arial Narrow"/>
                <w:sz w:val="18"/>
                <w:szCs w:val="18"/>
                <w:vertAlign w:val="superscript"/>
              </w:rPr>
              <w:t>e</w:t>
            </w:r>
            <w:r>
              <w:rPr>
                <w:rFonts w:ascii="Arial Narrow" w:hAnsi="Arial Narrow"/>
                <w:sz w:val="18"/>
                <w:szCs w:val="18"/>
              </w:rPr>
              <w:t>)</w:t>
            </w:r>
          </w:p>
        </w:tc>
      </w:tr>
      <w:tr w:rsidR="00E67922" w:rsidRPr="002318F1" w14:paraId="1B7D923D" w14:textId="77777777" w:rsidTr="00E67922">
        <w:tc>
          <w:tcPr>
            <w:tcW w:w="216" w:type="pct"/>
          </w:tcPr>
          <w:p w14:paraId="40099DF3" w14:textId="77777777" w:rsidR="00E67922" w:rsidRPr="002318F1" w:rsidRDefault="00E67922" w:rsidP="00E67922">
            <w:pPr>
              <w:rPr>
                <w:rFonts w:ascii="Arial Narrow" w:hAnsi="Arial Narrow"/>
                <w:b/>
                <w:sz w:val="18"/>
                <w:szCs w:val="18"/>
              </w:rPr>
            </w:pPr>
            <w:r w:rsidRPr="002318F1">
              <w:rPr>
                <w:rFonts w:ascii="Arial Narrow" w:hAnsi="Arial Narrow"/>
                <w:sz w:val="18"/>
                <w:szCs w:val="18"/>
              </w:rPr>
              <w:t>OS</w:t>
            </w:r>
          </w:p>
        </w:tc>
        <w:tc>
          <w:tcPr>
            <w:tcW w:w="515" w:type="pct"/>
          </w:tcPr>
          <w:p w14:paraId="4BFD55F5" w14:textId="77777777" w:rsidR="00E67922" w:rsidRPr="002318F1" w:rsidRDefault="00E67922" w:rsidP="00E67922">
            <w:pPr>
              <w:rPr>
                <w:rFonts w:ascii="Arial Narrow" w:hAnsi="Arial Narrow"/>
                <w:sz w:val="18"/>
                <w:szCs w:val="18"/>
              </w:rPr>
            </w:pPr>
            <w:r>
              <w:rPr>
                <w:rFonts w:ascii="Arial Narrow" w:hAnsi="Arial Narrow"/>
                <w:sz w:val="18"/>
                <w:szCs w:val="18"/>
              </w:rPr>
              <w:t>80 or 120 m</w:t>
            </w:r>
            <w:r w:rsidRPr="002318F1">
              <w:rPr>
                <w:rFonts w:ascii="Arial Narrow" w:hAnsi="Arial Narrow"/>
                <w:sz w:val="18"/>
                <w:szCs w:val="18"/>
                <w:vertAlign w:val="superscript"/>
              </w:rPr>
              <w:t>f</w:t>
            </w:r>
          </w:p>
        </w:tc>
        <w:tc>
          <w:tcPr>
            <w:tcW w:w="515" w:type="pct"/>
          </w:tcPr>
          <w:p w14:paraId="50D77A4F" w14:textId="77777777" w:rsidR="00E67922" w:rsidRPr="002318F1" w:rsidRDefault="00E67922" w:rsidP="00E67922">
            <w:pPr>
              <w:jc w:val="center"/>
              <w:rPr>
                <w:rFonts w:ascii="Arial Narrow" w:hAnsi="Arial Narrow"/>
                <w:sz w:val="18"/>
                <w:szCs w:val="18"/>
              </w:rPr>
            </w:pPr>
            <w:r>
              <w:rPr>
                <w:rFonts w:ascii="Arial Narrow" w:hAnsi="Arial Narrow"/>
                <w:sz w:val="18"/>
                <w:szCs w:val="18"/>
              </w:rPr>
              <w:t>NR</w:t>
            </w:r>
          </w:p>
        </w:tc>
        <w:tc>
          <w:tcPr>
            <w:tcW w:w="515" w:type="pct"/>
          </w:tcPr>
          <w:p w14:paraId="757C0E86" w14:textId="1EA006FC" w:rsidR="00E67922" w:rsidRPr="002318F1" w:rsidRDefault="00E67922" w:rsidP="00E67922">
            <w:pPr>
              <w:jc w:val="center"/>
              <w:rPr>
                <w:rFonts w:ascii="Arial Narrow" w:hAnsi="Arial Narrow"/>
                <w:sz w:val="18"/>
                <w:szCs w:val="18"/>
              </w:rPr>
            </w:pPr>
            <w:r>
              <w:rPr>
                <w:rFonts w:ascii="Arial Narrow" w:hAnsi="Arial Narrow"/>
                <w:sz w:val="18"/>
                <w:szCs w:val="18"/>
              </w:rPr>
              <w:t>NR</w:t>
            </w:r>
          </w:p>
        </w:tc>
        <w:tc>
          <w:tcPr>
            <w:tcW w:w="515" w:type="pct"/>
          </w:tcPr>
          <w:p w14:paraId="3346251D" w14:textId="7C38C025" w:rsidR="00E67922" w:rsidRPr="002318F1" w:rsidRDefault="00E67922" w:rsidP="00E67922">
            <w:pPr>
              <w:jc w:val="center"/>
              <w:rPr>
                <w:rFonts w:ascii="Arial Narrow" w:hAnsi="Arial Narrow"/>
                <w:sz w:val="18"/>
                <w:szCs w:val="18"/>
              </w:rPr>
            </w:pPr>
            <w:r>
              <w:rPr>
                <w:rFonts w:ascii="Arial Narrow" w:hAnsi="Arial Narrow"/>
                <w:sz w:val="18"/>
                <w:szCs w:val="18"/>
              </w:rPr>
              <w:t>NR</w:t>
            </w:r>
          </w:p>
        </w:tc>
        <w:tc>
          <w:tcPr>
            <w:tcW w:w="515" w:type="pct"/>
          </w:tcPr>
          <w:p w14:paraId="250A9BE2" w14:textId="28303A0A" w:rsidR="00E67922" w:rsidRPr="002318F1" w:rsidRDefault="00E67922" w:rsidP="00E67922">
            <w:pPr>
              <w:jc w:val="center"/>
              <w:rPr>
                <w:rFonts w:ascii="Arial Narrow" w:hAnsi="Arial Narrow"/>
                <w:sz w:val="18"/>
                <w:szCs w:val="18"/>
              </w:rPr>
            </w:pPr>
            <w:r>
              <w:rPr>
                <w:rFonts w:ascii="Arial Narrow" w:hAnsi="Arial Narrow"/>
                <w:sz w:val="18"/>
                <w:szCs w:val="18"/>
              </w:rPr>
              <w:t>NR</w:t>
            </w:r>
          </w:p>
        </w:tc>
        <w:tc>
          <w:tcPr>
            <w:tcW w:w="515" w:type="pct"/>
          </w:tcPr>
          <w:p w14:paraId="230AF87B" w14:textId="77777777" w:rsidR="00E67922" w:rsidRPr="002318F1" w:rsidRDefault="00E67922" w:rsidP="00E67922">
            <w:pPr>
              <w:jc w:val="center"/>
              <w:rPr>
                <w:rFonts w:ascii="Arial Narrow" w:hAnsi="Arial Narrow"/>
                <w:sz w:val="18"/>
                <w:szCs w:val="18"/>
              </w:rPr>
            </w:pPr>
            <w:r>
              <w:rPr>
                <w:rFonts w:ascii="Arial Narrow" w:hAnsi="Arial Narrow"/>
                <w:sz w:val="18"/>
                <w:szCs w:val="18"/>
              </w:rPr>
              <w:t>176 m</w:t>
            </w:r>
            <w:r w:rsidRPr="002318F1">
              <w:rPr>
                <w:rFonts w:ascii="Arial Narrow" w:hAnsi="Arial Narrow"/>
                <w:sz w:val="18"/>
                <w:szCs w:val="18"/>
                <w:vertAlign w:val="superscript"/>
              </w:rPr>
              <w:t>g</w:t>
            </w:r>
          </w:p>
        </w:tc>
        <w:tc>
          <w:tcPr>
            <w:tcW w:w="515" w:type="pct"/>
          </w:tcPr>
          <w:p w14:paraId="76EB562E" w14:textId="5D2F4901" w:rsidR="00E67922" w:rsidRPr="002318F1" w:rsidRDefault="00E67922" w:rsidP="00E67922">
            <w:pPr>
              <w:jc w:val="center"/>
              <w:rPr>
                <w:rFonts w:ascii="Arial Narrow" w:hAnsi="Arial Narrow"/>
                <w:sz w:val="18"/>
                <w:szCs w:val="18"/>
              </w:rPr>
            </w:pPr>
            <w:r>
              <w:rPr>
                <w:rFonts w:ascii="Arial Narrow" w:hAnsi="Arial Narrow"/>
                <w:sz w:val="18"/>
                <w:szCs w:val="18"/>
              </w:rPr>
              <w:t>NR</w:t>
            </w:r>
          </w:p>
        </w:tc>
        <w:tc>
          <w:tcPr>
            <w:tcW w:w="810" w:type="pct"/>
            <w:gridSpan w:val="2"/>
          </w:tcPr>
          <w:p w14:paraId="3D561833" w14:textId="7A108E1E" w:rsidR="00E67922" w:rsidRPr="002318F1" w:rsidRDefault="00E67922" w:rsidP="00E67922">
            <w:pPr>
              <w:jc w:val="center"/>
              <w:rPr>
                <w:rFonts w:ascii="Arial Narrow" w:hAnsi="Arial Narrow"/>
                <w:sz w:val="18"/>
                <w:szCs w:val="18"/>
              </w:rPr>
            </w:pPr>
            <w:r>
              <w:rPr>
                <w:rFonts w:ascii="Arial Narrow" w:hAnsi="Arial Narrow"/>
                <w:sz w:val="18"/>
                <w:szCs w:val="18"/>
              </w:rPr>
              <w:t>NR</w:t>
            </w:r>
          </w:p>
        </w:tc>
        <w:tc>
          <w:tcPr>
            <w:tcW w:w="367" w:type="pct"/>
          </w:tcPr>
          <w:p w14:paraId="2AEB2F2D" w14:textId="6828FE2C" w:rsidR="00E67922" w:rsidRPr="002318F1" w:rsidRDefault="00E67922" w:rsidP="00E67922">
            <w:pPr>
              <w:jc w:val="center"/>
              <w:rPr>
                <w:rFonts w:ascii="Arial Narrow" w:hAnsi="Arial Narrow"/>
                <w:sz w:val="18"/>
                <w:szCs w:val="18"/>
              </w:rPr>
            </w:pPr>
            <w:r>
              <w:rPr>
                <w:rFonts w:ascii="Arial Narrow" w:hAnsi="Arial Narrow"/>
                <w:sz w:val="18"/>
                <w:szCs w:val="18"/>
              </w:rPr>
              <w:t>NR</w:t>
            </w:r>
          </w:p>
        </w:tc>
      </w:tr>
    </w:tbl>
    <w:p w14:paraId="3B5FED2D" w14:textId="77777777" w:rsidR="00BC52A8" w:rsidRDefault="00BC52A8" w:rsidP="00BC52A8">
      <w:pPr>
        <w:pStyle w:val="TableFooter"/>
        <w:rPr>
          <w:rFonts w:eastAsia="Calibri"/>
        </w:rPr>
      </w:pPr>
      <w:r>
        <w:rPr>
          <w:rFonts w:eastAsia="Calibri"/>
        </w:rPr>
        <w:t>Source: Table 56, p127 and Table 58, p128 and Table 60, p129 and</w:t>
      </w:r>
      <w:r w:rsidRPr="000C6F75">
        <w:rPr>
          <w:rFonts w:eastAsia="Calibri"/>
        </w:rPr>
        <w:t xml:space="preserve"> </w:t>
      </w:r>
      <w:r>
        <w:rPr>
          <w:rFonts w:eastAsia="Calibri"/>
        </w:rPr>
        <w:t>Table 63, p131 and Table 65, p134 of the resu</w:t>
      </w:r>
      <w:r w:rsidRPr="003E307D">
        <w:rPr>
          <w:rFonts w:eastAsia="Calibri"/>
          <w:szCs w:val="18"/>
        </w:rPr>
        <w:t>bmission</w:t>
      </w:r>
    </w:p>
    <w:p w14:paraId="6A1AA7F8" w14:textId="77777777" w:rsidR="00BC52A8" w:rsidRDefault="00BC52A8" w:rsidP="00BC52A8">
      <w:pPr>
        <w:pStyle w:val="TableFooter"/>
        <w:rPr>
          <w:rFonts w:eastAsia="Calibri"/>
        </w:rPr>
      </w:pPr>
      <w:r>
        <w:rPr>
          <w:rFonts w:eastAsia="Calibri"/>
        </w:rPr>
        <w:t xml:space="preserve">BV = brentuximab vedotin; </w:t>
      </w:r>
      <w:r w:rsidRPr="001E2252">
        <w:rPr>
          <w:rFonts w:eastAsia="Calibri"/>
        </w:rPr>
        <w:t>CTCL</w:t>
      </w:r>
      <w:r>
        <w:rPr>
          <w:rFonts w:eastAsia="Calibri"/>
        </w:rPr>
        <w:t xml:space="preserve"> =</w:t>
      </w:r>
      <w:r w:rsidRPr="001E2252">
        <w:rPr>
          <w:rFonts w:eastAsia="Calibri"/>
        </w:rPr>
        <w:t xml:space="preserve"> cutaneous T-cell lymphoma; </w:t>
      </w:r>
      <w:r>
        <w:rPr>
          <w:rFonts w:eastAsia="Calibri"/>
        </w:rPr>
        <w:t xml:space="preserve">m = months; med = median; </w:t>
      </w:r>
      <w:r w:rsidRPr="001E2252">
        <w:rPr>
          <w:rFonts w:eastAsia="Calibri"/>
        </w:rPr>
        <w:t>MF</w:t>
      </w:r>
      <w:r>
        <w:rPr>
          <w:rFonts w:eastAsia="Calibri"/>
        </w:rPr>
        <w:t xml:space="preserve"> = </w:t>
      </w:r>
      <w:r w:rsidRPr="001E2252">
        <w:rPr>
          <w:rFonts w:eastAsia="Calibri"/>
        </w:rPr>
        <w:t>mycosis fungoides</w:t>
      </w:r>
      <w:r>
        <w:rPr>
          <w:rFonts w:eastAsia="Calibri"/>
        </w:rPr>
        <w:t>;</w:t>
      </w:r>
      <w:r w:rsidRPr="001E2252">
        <w:rPr>
          <w:rFonts w:eastAsia="Calibri"/>
        </w:rPr>
        <w:t xml:space="preserve"> </w:t>
      </w:r>
      <w:r>
        <w:rPr>
          <w:rFonts w:eastAsia="Calibri"/>
        </w:rPr>
        <w:t>NR = not reported;</w:t>
      </w:r>
      <w:r w:rsidRPr="001E2252">
        <w:rPr>
          <w:rFonts w:eastAsia="Calibri"/>
        </w:rPr>
        <w:t xml:space="preserve"> ORR</w:t>
      </w:r>
      <w:r>
        <w:rPr>
          <w:rFonts w:eastAsia="Calibri"/>
        </w:rPr>
        <w:t xml:space="preserve"> = </w:t>
      </w:r>
      <w:r w:rsidRPr="001E2252">
        <w:rPr>
          <w:rFonts w:eastAsia="Calibri"/>
        </w:rPr>
        <w:t>overall response rate;</w:t>
      </w:r>
      <w:r>
        <w:rPr>
          <w:rFonts w:eastAsia="Calibri"/>
        </w:rPr>
        <w:t xml:space="preserve"> </w:t>
      </w:r>
      <w:r>
        <w:t xml:space="preserve">SS = </w:t>
      </w:r>
      <w:r w:rsidRPr="00F4493B">
        <w:t>Sézary Syndrome</w:t>
      </w:r>
      <w:r>
        <w:t xml:space="preserve">; </w:t>
      </w:r>
      <w:r w:rsidRPr="003E307D">
        <w:rPr>
          <w:rFonts w:eastAsia="Calibri"/>
          <w:szCs w:val="18"/>
        </w:rPr>
        <w:t>TTP</w:t>
      </w:r>
      <w:r>
        <w:rPr>
          <w:rFonts w:eastAsia="Calibri"/>
          <w:szCs w:val="18"/>
        </w:rPr>
        <w:t xml:space="preserve"> =</w:t>
      </w:r>
      <w:r w:rsidRPr="003E307D">
        <w:rPr>
          <w:rFonts w:eastAsia="Calibri"/>
          <w:szCs w:val="18"/>
        </w:rPr>
        <w:t xml:space="preserve"> time to disease progression</w:t>
      </w:r>
      <w:r>
        <w:rPr>
          <w:rFonts w:eastAsia="Calibri"/>
          <w:szCs w:val="18"/>
        </w:rPr>
        <w:t>; w = weeks</w:t>
      </w:r>
    </w:p>
    <w:p w14:paraId="1BAAC005" w14:textId="77777777" w:rsidR="00BC52A8" w:rsidRDefault="00BC52A8" w:rsidP="00BC52A8">
      <w:pPr>
        <w:pStyle w:val="TableFooter"/>
      </w:pPr>
      <w:r>
        <w:rPr>
          <w:vertAlign w:val="superscript"/>
        </w:rPr>
        <w:t>a</w:t>
      </w:r>
      <w:r w:rsidRPr="00777523">
        <w:rPr>
          <w:vertAlign w:val="superscript"/>
        </w:rPr>
        <w:t xml:space="preserve"> </w:t>
      </w:r>
      <w:r w:rsidRPr="00777523">
        <w:t>Of the patients that responded (complete and partial), 88% were on concomitant systematic treatments</w:t>
      </w:r>
    </w:p>
    <w:p w14:paraId="00953B04" w14:textId="77777777" w:rsidR="00BC52A8" w:rsidRDefault="00BC52A8" w:rsidP="00BC52A8">
      <w:pPr>
        <w:pStyle w:val="TableFooter"/>
      </w:pPr>
      <w:r>
        <w:rPr>
          <w:vertAlign w:val="superscript"/>
        </w:rPr>
        <w:t xml:space="preserve">b </w:t>
      </w:r>
      <w:r w:rsidRPr="00E220FE">
        <w:t>100%</w:t>
      </w:r>
      <w:r>
        <w:t xml:space="preserve"> of patients had SS</w:t>
      </w:r>
    </w:p>
    <w:p w14:paraId="7805A898" w14:textId="77777777" w:rsidR="00BC52A8" w:rsidRPr="000B3131" w:rsidRDefault="00BC52A8" w:rsidP="00BC52A8">
      <w:pPr>
        <w:pStyle w:val="TableFooter"/>
        <w:rPr>
          <w:vertAlign w:val="superscript"/>
        </w:rPr>
      </w:pPr>
      <w:r>
        <w:rPr>
          <w:vertAlign w:val="superscript"/>
        </w:rPr>
        <w:t xml:space="preserve">c </w:t>
      </w:r>
      <w:r>
        <w:t xml:space="preserve">ORR for Knobler </w:t>
      </w:r>
      <w:r w:rsidRPr="000666C0">
        <w:rPr>
          <w:i/>
          <w:szCs w:val="18"/>
        </w:rPr>
        <w:t xml:space="preserve">et al, </w:t>
      </w:r>
      <w:r>
        <w:t xml:space="preserve">2012 includes </w:t>
      </w:r>
      <w:r w:rsidRPr="0008717C">
        <w:t>n</w:t>
      </w:r>
      <w:r>
        <w:t>ear-complete response (defined as ≥90% skin response for at least 4 weeks duration) rather than complete (100%) response</w:t>
      </w:r>
    </w:p>
    <w:p w14:paraId="0C21CC81" w14:textId="77777777" w:rsidR="00BC52A8" w:rsidRPr="005F7850" w:rsidRDefault="00BC52A8" w:rsidP="00BC52A8">
      <w:pPr>
        <w:pStyle w:val="TableFooter"/>
        <w:rPr>
          <w:rFonts w:eastAsia="Calibri"/>
          <w:szCs w:val="18"/>
        </w:rPr>
      </w:pPr>
      <w:r>
        <w:rPr>
          <w:rFonts w:eastAsia="Calibri"/>
          <w:szCs w:val="18"/>
          <w:vertAlign w:val="superscript"/>
        </w:rPr>
        <w:t xml:space="preserve">d </w:t>
      </w:r>
      <w:r w:rsidRPr="005F7850">
        <w:rPr>
          <w:rFonts w:eastAsia="Calibri"/>
          <w:szCs w:val="18"/>
        </w:rPr>
        <w:t>Includes whole cohort of patients</w:t>
      </w:r>
      <w:r>
        <w:rPr>
          <w:rFonts w:eastAsia="Calibri"/>
          <w:szCs w:val="18"/>
        </w:rPr>
        <w:t xml:space="preserve">, as </w:t>
      </w:r>
      <w:r w:rsidRPr="005F7850">
        <w:rPr>
          <w:rFonts w:eastAsia="Calibri"/>
          <w:szCs w:val="18"/>
        </w:rPr>
        <w:t>subgroup analysis for patients with CTCL only was not presented</w:t>
      </w:r>
      <w:r>
        <w:rPr>
          <w:rFonts w:eastAsia="Calibri"/>
          <w:szCs w:val="18"/>
        </w:rPr>
        <w:t xml:space="preserve"> in Duvic </w:t>
      </w:r>
      <w:r w:rsidRPr="000666C0">
        <w:rPr>
          <w:i/>
          <w:szCs w:val="18"/>
        </w:rPr>
        <w:t xml:space="preserve">et al, </w:t>
      </w:r>
      <w:r>
        <w:rPr>
          <w:rFonts w:eastAsia="Calibri"/>
          <w:szCs w:val="18"/>
        </w:rPr>
        <w:t>2015</w:t>
      </w:r>
      <w:r w:rsidRPr="005F7850">
        <w:rPr>
          <w:rFonts w:eastAsia="Calibri"/>
          <w:szCs w:val="18"/>
        </w:rPr>
        <w:t>.</w:t>
      </w:r>
    </w:p>
    <w:p w14:paraId="07AF247E" w14:textId="77777777" w:rsidR="00BC52A8" w:rsidRPr="00107005" w:rsidRDefault="00BC52A8" w:rsidP="00BC52A8">
      <w:pPr>
        <w:pStyle w:val="TableFooter"/>
        <w:rPr>
          <w:rFonts w:eastAsia="Calibri"/>
          <w:szCs w:val="18"/>
        </w:rPr>
      </w:pPr>
      <w:r>
        <w:rPr>
          <w:rFonts w:eastAsia="Calibri"/>
          <w:szCs w:val="18"/>
          <w:vertAlign w:val="superscript"/>
        </w:rPr>
        <w:t xml:space="preserve">e </w:t>
      </w:r>
      <w:r w:rsidRPr="006F43C7">
        <w:rPr>
          <w:rFonts w:eastAsia="Calibri"/>
          <w:szCs w:val="18"/>
        </w:rPr>
        <w:t xml:space="preserve">PFS was not reported in any of the vorinostat trials, however, did report time to disease progression (TTP) defined as time from start of treatment until date of progressed disease. </w:t>
      </w:r>
      <w:r>
        <w:rPr>
          <w:rFonts w:eastAsia="Calibri"/>
          <w:szCs w:val="18"/>
        </w:rPr>
        <w:t xml:space="preserve">The resubmission considered </w:t>
      </w:r>
      <w:r w:rsidRPr="006F43C7">
        <w:rPr>
          <w:rFonts w:eastAsia="Calibri"/>
          <w:szCs w:val="18"/>
        </w:rPr>
        <w:t xml:space="preserve">TTP </w:t>
      </w:r>
      <w:r>
        <w:rPr>
          <w:rFonts w:eastAsia="Calibri"/>
          <w:szCs w:val="18"/>
        </w:rPr>
        <w:t>a</w:t>
      </w:r>
      <w:r w:rsidRPr="006F43C7">
        <w:rPr>
          <w:rFonts w:eastAsia="Calibri"/>
          <w:szCs w:val="18"/>
        </w:rPr>
        <w:t xml:space="preserve">s a near equivalent measure </w:t>
      </w:r>
      <w:r>
        <w:rPr>
          <w:rFonts w:eastAsia="Calibri"/>
          <w:szCs w:val="18"/>
        </w:rPr>
        <w:t>to</w:t>
      </w:r>
      <w:r w:rsidRPr="006F43C7">
        <w:rPr>
          <w:rFonts w:eastAsia="Calibri"/>
          <w:szCs w:val="18"/>
        </w:rPr>
        <w:t xml:space="preserve"> PFS</w:t>
      </w:r>
      <w:r>
        <w:rPr>
          <w:rFonts w:eastAsia="Calibri"/>
          <w:szCs w:val="18"/>
        </w:rPr>
        <w:t>,</w:t>
      </w:r>
      <w:r w:rsidRPr="006F43C7">
        <w:rPr>
          <w:rFonts w:eastAsia="Calibri"/>
          <w:szCs w:val="18"/>
        </w:rPr>
        <w:t xml:space="preserve"> however </w:t>
      </w:r>
      <w:r>
        <w:rPr>
          <w:rFonts w:eastAsia="Calibri"/>
          <w:szCs w:val="18"/>
        </w:rPr>
        <w:t xml:space="preserve">it </w:t>
      </w:r>
      <w:r w:rsidRPr="006F43C7">
        <w:rPr>
          <w:rFonts w:eastAsia="Calibri"/>
          <w:szCs w:val="18"/>
        </w:rPr>
        <w:t>does not count patients who die from other causes</w:t>
      </w:r>
    </w:p>
    <w:p w14:paraId="6517AF04" w14:textId="77777777" w:rsidR="00BC52A8" w:rsidRDefault="00BC52A8" w:rsidP="00BC52A8">
      <w:pPr>
        <w:pStyle w:val="TableFooter"/>
        <w:rPr>
          <w:rFonts w:eastAsia="Calibri"/>
          <w:szCs w:val="18"/>
        </w:rPr>
      </w:pPr>
      <w:r>
        <w:rPr>
          <w:rFonts w:eastAsia="Calibri"/>
          <w:szCs w:val="18"/>
          <w:vertAlign w:val="superscript"/>
        </w:rPr>
        <w:t>f</w:t>
      </w:r>
      <w:r w:rsidRPr="003E307D">
        <w:rPr>
          <w:szCs w:val="18"/>
        </w:rPr>
        <w:t xml:space="preserve"> </w:t>
      </w:r>
      <w:r>
        <w:rPr>
          <w:szCs w:val="18"/>
        </w:rPr>
        <w:t>Gao</w:t>
      </w:r>
      <w:r w:rsidRPr="000666C0">
        <w:rPr>
          <w:i/>
          <w:szCs w:val="18"/>
        </w:rPr>
        <w:t xml:space="preserve"> et al, 2019</w:t>
      </w:r>
      <w:r>
        <w:rPr>
          <w:szCs w:val="18"/>
        </w:rPr>
        <w:t xml:space="preserve"> </w:t>
      </w:r>
      <w:r w:rsidRPr="003E307D">
        <w:rPr>
          <w:szCs w:val="18"/>
        </w:rPr>
        <w:t>reported OS f</w:t>
      </w:r>
      <w:r w:rsidRPr="003E307D">
        <w:rPr>
          <w:rFonts w:eastAsia="Calibri"/>
          <w:szCs w:val="18"/>
        </w:rPr>
        <w:t xml:space="preserve">rom first treatment (80 months) and </w:t>
      </w:r>
      <w:r>
        <w:rPr>
          <w:rFonts w:eastAsia="Calibri"/>
          <w:szCs w:val="18"/>
        </w:rPr>
        <w:t xml:space="preserve">OS </w:t>
      </w:r>
      <w:r w:rsidRPr="003E307D">
        <w:rPr>
          <w:rFonts w:eastAsia="Calibri"/>
          <w:szCs w:val="18"/>
        </w:rPr>
        <w:t>from diagnosis (120 months)</w:t>
      </w:r>
    </w:p>
    <w:p w14:paraId="58A223F6" w14:textId="77777777" w:rsidR="00BC52A8" w:rsidRPr="001E2252" w:rsidRDefault="00BC52A8" w:rsidP="00BC52A8">
      <w:pPr>
        <w:pStyle w:val="TableFooter"/>
        <w:spacing w:after="240"/>
        <w:rPr>
          <w:rFonts w:eastAsia="Calibri"/>
          <w:szCs w:val="18"/>
        </w:rPr>
      </w:pPr>
      <w:r>
        <w:rPr>
          <w:rFonts w:eastAsia="Calibri"/>
          <w:szCs w:val="18"/>
          <w:vertAlign w:val="superscript"/>
        </w:rPr>
        <w:t>g</w:t>
      </w:r>
      <w:r>
        <w:rPr>
          <w:rFonts w:eastAsia="Calibri"/>
          <w:szCs w:val="18"/>
        </w:rPr>
        <w:t xml:space="preserve"> Duvic </w:t>
      </w:r>
      <w:r w:rsidRPr="000666C0">
        <w:rPr>
          <w:i/>
          <w:szCs w:val="18"/>
        </w:rPr>
        <w:t xml:space="preserve">et al, </w:t>
      </w:r>
      <w:r>
        <w:rPr>
          <w:rFonts w:eastAsia="Calibri"/>
          <w:szCs w:val="18"/>
        </w:rPr>
        <w:t>2015 reported OS from first dose was not reached, and OS from diagnosis as 176 months (14.7) years</w:t>
      </w:r>
    </w:p>
    <w:p w14:paraId="4991A977" w14:textId="5EA061CB" w:rsidR="00BC52A8" w:rsidRPr="00E67922" w:rsidRDefault="00BC52A8" w:rsidP="00E67922">
      <w:pPr>
        <w:spacing w:after="240"/>
        <w:rPr>
          <w:szCs w:val="24"/>
        </w:rPr>
      </w:pPr>
      <w:r>
        <w:rPr>
          <w:snapToGrid w:val="0"/>
        </w:rPr>
        <w:t>The commentary also considered t</w:t>
      </w:r>
      <w:r w:rsidRPr="00AC08DE">
        <w:rPr>
          <w:snapToGrid w:val="0"/>
        </w:rPr>
        <w:t xml:space="preserve">here is potential use for ECP in patients with relapsed/refractory CTCL who received brentuximab vedotin and subsequently lose expression of CD30 (Goyal et al, 2019), rendering them unable to receive either repeat treatment with brentuximab </w:t>
      </w:r>
      <w:r w:rsidR="00AE6A42">
        <w:rPr>
          <w:snapToGrid w:val="0"/>
        </w:rPr>
        <w:t xml:space="preserve">vedotin </w:t>
      </w:r>
      <w:r w:rsidRPr="00AC08DE">
        <w:rPr>
          <w:snapToGrid w:val="0"/>
        </w:rPr>
        <w:t>or experimental anti-CD30 treatments, including chimeric antigen receptor T cell (CAR-T) therapies directed against CD30.</w:t>
      </w:r>
    </w:p>
    <w:p w14:paraId="741F035C" w14:textId="77777777" w:rsidR="004C605E" w:rsidRDefault="004C605E" w:rsidP="00E67922">
      <w:pPr>
        <w:tabs>
          <w:tab w:val="left" w:pos="720"/>
          <w:tab w:val="left" w:pos="1140"/>
        </w:tabs>
        <w:rPr>
          <w:b/>
          <w:szCs w:val="24"/>
        </w:rPr>
      </w:pPr>
      <w:r>
        <w:rPr>
          <w:b/>
          <w:szCs w:val="24"/>
        </w:rPr>
        <w:t>Clinical c</w:t>
      </w:r>
      <w:r w:rsidRPr="00F37B9C">
        <w:rPr>
          <w:b/>
          <w:szCs w:val="24"/>
        </w:rPr>
        <w:t>laim</w:t>
      </w:r>
    </w:p>
    <w:p w14:paraId="64D0C50C" w14:textId="77777777" w:rsidR="00BC52A8" w:rsidRDefault="00BC52A8" w:rsidP="00120CE2">
      <w:pPr>
        <w:spacing w:before="120"/>
      </w:pPr>
      <w:r w:rsidRPr="00AC08DE">
        <w:t xml:space="preserve">On the basis of the benefits and harms reported in the evidence base, the resubmission proposed that ECP has at least non-inferior efficacy and superior safety compared to </w:t>
      </w:r>
      <w:r w:rsidRPr="00AC08DE">
        <w:lastRenderedPageBreak/>
        <w:t>vorinostat or brentuximab vedotin for the treatment of re</w:t>
      </w:r>
      <w:r>
        <w:t>fractory erythrodermic (Stage T</w:t>
      </w:r>
      <w:r>
        <w:rPr>
          <w:vertAlign w:val="subscript"/>
        </w:rPr>
        <w:t>4</w:t>
      </w:r>
      <w:r>
        <w:t xml:space="preserve"> M</w:t>
      </w:r>
      <w:r>
        <w:rPr>
          <w:vertAlign w:val="subscript"/>
        </w:rPr>
        <w:t>0</w:t>
      </w:r>
      <w:r w:rsidRPr="00AC08DE">
        <w:t>) CTCL.</w:t>
      </w:r>
    </w:p>
    <w:p w14:paraId="38245B77" w14:textId="77777777" w:rsidR="00BC52A8" w:rsidRDefault="00BC52A8" w:rsidP="00BC52A8">
      <w:pPr>
        <w:pStyle w:val="Heading2"/>
      </w:pPr>
      <w:r>
        <w:t>Translation issues</w:t>
      </w:r>
    </w:p>
    <w:p w14:paraId="5231BDFF" w14:textId="1530AD87" w:rsidR="00BC52A8" w:rsidRDefault="00BC52A8" w:rsidP="00120CE2">
      <w:pPr>
        <w:spacing w:after="240"/>
      </w:pPr>
      <w:r>
        <w:t>The commentary summarised th</w:t>
      </w:r>
      <w:r w:rsidR="00120CE2">
        <w:t>e translation issues (Table 7).</w:t>
      </w:r>
    </w:p>
    <w:p w14:paraId="5952C9BC" w14:textId="77777777" w:rsidR="00BC52A8" w:rsidRPr="002A72F7" w:rsidRDefault="00BC52A8" w:rsidP="002A72F7">
      <w:pPr>
        <w:rPr>
          <w:rFonts w:ascii="Arial Narrow" w:hAnsi="Arial Narrow"/>
          <w:b/>
          <w:sz w:val="20"/>
        </w:rPr>
      </w:pPr>
      <w:bookmarkStart w:id="12" w:name="_Ref25517275"/>
      <w:bookmarkStart w:id="13" w:name="_Ref25517269"/>
      <w:r w:rsidRPr="002A72F7">
        <w:rPr>
          <w:rFonts w:ascii="Arial Narrow" w:hAnsi="Arial Narrow"/>
          <w:b/>
          <w:sz w:val="20"/>
        </w:rPr>
        <w:t>Table</w:t>
      </w:r>
      <w:bookmarkEnd w:id="12"/>
      <w:r w:rsidRPr="002A72F7">
        <w:rPr>
          <w:rFonts w:ascii="Arial Narrow" w:hAnsi="Arial Narrow"/>
          <w:b/>
          <w:sz w:val="20"/>
        </w:rPr>
        <w:t xml:space="preserve"> 7: Summary of results of pre-modelling studies and their uses in the economic evaluation</w:t>
      </w:r>
      <w:bookmarkEnd w:id="13"/>
    </w:p>
    <w:tbl>
      <w:tblPr>
        <w:tblStyle w:val="OPTUMTableNormal1"/>
        <w:tblW w:w="5000" w:type="pct"/>
        <w:tblLook w:val="01E0" w:firstRow="1" w:lastRow="1" w:firstColumn="1" w:lastColumn="1" w:noHBand="0" w:noVBand="0"/>
        <w:tblCaption w:val="Results of the premodelling studies and how they were used in the economic evaluation"/>
        <w:tblDescription w:val="An overview of how results of premodelling studies were applied to the model"/>
      </w:tblPr>
      <w:tblGrid>
        <w:gridCol w:w="2118"/>
        <w:gridCol w:w="3024"/>
        <w:gridCol w:w="4100"/>
      </w:tblGrid>
      <w:tr w:rsidR="00BC52A8" w:rsidRPr="0066715B" w14:paraId="5014605F" w14:textId="77777777" w:rsidTr="002A72F7">
        <w:trPr>
          <w:cnfStyle w:val="100000000000" w:firstRow="1" w:lastRow="0" w:firstColumn="0" w:lastColumn="0" w:oddVBand="0" w:evenVBand="0" w:oddHBand="0" w:evenHBand="0" w:firstRowFirstColumn="0" w:firstRowLastColumn="0" w:lastRowFirstColumn="0" w:lastRowLastColumn="0"/>
          <w:tblHeader/>
        </w:trPr>
        <w:tc>
          <w:tcPr>
            <w:tcW w:w="1146" w:type="pct"/>
          </w:tcPr>
          <w:p w14:paraId="581212ED" w14:textId="77777777" w:rsidR="00BC52A8" w:rsidRPr="0066715B" w:rsidRDefault="00BC52A8" w:rsidP="00BC52A8">
            <w:pPr>
              <w:pStyle w:val="TableHeading9ptCent"/>
              <w:ind w:left="0"/>
              <w:rPr>
                <w:sz w:val="20"/>
              </w:rPr>
            </w:pPr>
            <w:r w:rsidRPr="0066715B">
              <w:rPr>
                <w:sz w:val="20"/>
              </w:rPr>
              <w:t>Premodelling study</w:t>
            </w:r>
          </w:p>
        </w:tc>
        <w:tc>
          <w:tcPr>
            <w:tcW w:w="1636" w:type="pct"/>
          </w:tcPr>
          <w:p w14:paraId="486D01F0" w14:textId="77777777" w:rsidR="00BC52A8" w:rsidRPr="0066715B" w:rsidRDefault="00BC52A8" w:rsidP="00BC52A8">
            <w:pPr>
              <w:pStyle w:val="TableHeading9ptCent"/>
              <w:ind w:left="0"/>
              <w:rPr>
                <w:sz w:val="20"/>
              </w:rPr>
            </w:pPr>
            <w:r w:rsidRPr="0066715B">
              <w:rPr>
                <w:sz w:val="20"/>
              </w:rPr>
              <w:t>Results</w:t>
            </w:r>
          </w:p>
        </w:tc>
        <w:tc>
          <w:tcPr>
            <w:tcW w:w="2218" w:type="pct"/>
          </w:tcPr>
          <w:p w14:paraId="18F026FC" w14:textId="01869010" w:rsidR="00BC52A8" w:rsidRPr="0066715B" w:rsidRDefault="00BC52A8" w:rsidP="00E67922">
            <w:pPr>
              <w:pStyle w:val="TableHeading9ptCent"/>
              <w:ind w:left="0"/>
              <w:rPr>
                <w:sz w:val="20"/>
              </w:rPr>
            </w:pPr>
            <w:r w:rsidRPr="0066715B">
              <w:rPr>
                <w:sz w:val="20"/>
              </w:rPr>
              <w:t xml:space="preserve">Use in </w:t>
            </w:r>
            <w:r w:rsidR="00E67922">
              <w:rPr>
                <w:sz w:val="20"/>
              </w:rPr>
              <w:t>economic evaluation</w:t>
            </w:r>
          </w:p>
        </w:tc>
      </w:tr>
      <w:tr w:rsidR="00BC52A8" w:rsidRPr="0066715B" w14:paraId="4FB92447" w14:textId="77777777" w:rsidTr="002A72F7">
        <w:tc>
          <w:tcPr>
            <w:tcW w:w="1146" w:type="pct"/>
          </w:tcPr>
          <w:p w14:paraId="38C1F9A6" w14:textId="750E8046" w:rsidR="00BC52A8" w:rsidRPr="0066715B" w:rsidRDefault="00845240" w:rsidP="00BC52A8">
            <w:pPr>
              <w:pStyle w:val="Tabletext1"/>
              <w:ind w:left="0"/>
              <w:rPr>
                <w:i/>
              </w:rPr>
            </w:pPr>
            <w:r>
              <w:t>Applicability</w:t>
            </w:r>
          </w:p>
        </w:tc>
        <w:tc>
          <w:tcPr>
            <w:tcW w:w="1636" w:type="pct"/>
          </w:tcPr>
          <w:p w14:paraId="049326AE" w14:textId="77777777" w:rsidR="00BC52A8" w:rsidRPr="0066715B" w:rsidRDefault="00BC52A8" w:rsidP="00BC52A8">
            <w:pPr>
              <w:pStyle w:val="Tabletext1"/>
              <w:ind w:left="0"/>
              <w:rPr>
                <w:i/>
              </w:rPr>
            </w:pPr>
          </w:p>
        </w:tc>
        <w:tc>
          <w:tcPr>
            <w:tcW w:w="2218" w:type="pct"/>
          </w:tcPr>
          <w:p w14:paraId="1C3F9EBB" w14:textId="77777777" w:rsidR="00BC52A8" w:rsidRPr="0066715B" w:rsidRDefault="00BC52A8" w:rsidP="00BC52A8">
            <w:pPr>
              <w:pStyle w:val="Tabletext1"/>
              <w:ind w:left="0"/>
              <w:rPr>
                <w:i/>
              </w:rPr>
            </w:pPr>
          </w:p>
        </w:tc>
      </w:tr>
      <w:tr w:rsidR="00BC52A8" w:rsidRPr="0066715B" w14:paraId="5A90E167" w14:textId="77777777" w:rsidTr="002A72F7">
        <w:tc>
          <w:tcPr>
            <w:tcW w:w="1146" w:type="pct"/>
          </w:tcPr>
          <w:p w14:paraId="0CB1A86A" w14:textId="77777777" w:rsidR="00BC52A8" w:rsidRPr="0066715B" w:rsidRDefault="00BC52A8" w:rsidP="00BC52A8">
            <w:pPr>
              <w:pStyle w:val="Tabletext1"/>
              <w:ind w:left="0"/>
              <w:rPr>
                <w:i/>
              </w:rPr>
            </w:pPr>
            <w:r w:rsidRPr="0066715B">
              <w:rPr>
                <w:i/>
              </w:rPr>
              <w:t>Clinical trial data</w:t>
            </w:r>
          </w:p>
        </w:tc>
        <w:tc>
          <w:tcPr>
            <w:tcW w:w="1636" w:type="pct"/>
          </w:tcPr>
          <w:p w14:paraId="16969E36" w14:textId="77777777" w:rsidR="00BC52A8" w:rsidRPr="0066715B" w:rsidRDefault="00BC52A8" w:rsidP="00BC52A8">
            <w:pPr>
              <w:pStyle w:val="Tabletext1"/>
              <w:ind w:left="0"/>
              <w:rPr>
                <w:i/>
              </w:rPr>
            </w:pPr>
          </w:p>
        </w:tc>
        <w:tc>
          <w:tcPr>
            <w:tcW w:w="2218" w:type="pct"/>
          </w:tcPr>
          <w:p w14:paraId="2B403DD5" w14:textId="77777777" w:rsidR="00BC52A8" w:rsidRPr="0066715B" w:rsidRDefault="00BC52A8" w:rsidP="00BC52A8">
            <w:pPr>
              <w:pStyle w:val="Tabletext1"/>
              <w:ind w:left="0"/>
              <w:rPr>
                <w:i/>
              </w:rPr>
            </w:pPr>
          </w:p>
        </w:tc>
      </w:tr>
      <w:tr w:rsidR="00BC52A8" w:rsidRPr="0066715B" w14:paraId="05C628C9" w14:textId="77777777" w:rsidTr="007D65A9">
        <w:trPr>
          <w:trHeight w:val="3174"/>
        </w:trPr>
        <w:tc>
          <w:tcPr>
            <w:tcW w:w="1146" w:type="pct"/>
          </w:tcPr>
          <w:p w14:paraId="03242222" w14:textId="77777777" w:rsidR="00BC52A8" w:rsidRPr="0066715B" w:rsidRDefault="00BC52A8" w:rsidP="00BC52A8">
            <w:pPr>
              <w:pStyle w:val="Tabletext1"/>
              <w:ind w:left="0"/>
              <w:rPr>
                <w:i/>
              </w:rPr>
            </w:pPr>
            <w:r w:rsidRPr="0066715B">
              <w:rPr>
                <w:i/>
              </w:rPr>
              <w:t>Comparability</w:t>
            </w:r>
            <w:r>
              <w:rPr>
                <w:i/>
              </w:rPr>
              <w:t xml:space="preserve"> of trial population vs</w:t>
            </w:r>
            <w:r w:rsidRPr="0066715B">
              <w:rPr>
                <w:i/>
              </w:rPr>
              <w:t xml:space="preserve"> MBS/PBS listing</w:t>
            </w:r>
          </w:p>
        </w:tc>
        <w:tc>
          <w:tcPr>
            <w:tcW w:w="1636" w:type="pct"/>
          </w:tcPr>
          <w:p w14:paraId="1C3E338B" w14:textId="6C534D19" w:rsidR="00BC52A8" w:rsidRPr="0066715B" w:rsidRDefault="00E67922" w:rsidP="00BC52A8">
            <w:pPr>
              <w:pStyle w:val="Tabletext1"/>
              <w:ind w:left="0"/>
              <w:rPr>
                <w:rFonts w:cs="Arial"/>
                <w:i/>
                <w:u w:val="single"/>
                <w:lang w:val="en-GB" w:eastAsia="en-US"/>
              </w:rPr>
            </w:pPr>
            <w:r>
              <w:rPr>
                <w:rFonts w:cs="Arial"/>
                <w:i/>
                <w:u w:val="single"/>
                <w:lang w:val="en-GB" w:eastAsia="en-US"/>
              </w:rPr>
              <w:t>The VCCC database</w:t>
            </w:r>
          </w:p>
          <w:p w14:paraId="194C1007" w14:textId="77777777" w:rsidR="00BC52A8" w:rsidRPr="0066715B" w:rsidRDefault="00BC52A8" w:rsidP="00BC52A8">
            <w:pPr>
              <w:pStyle w:val="Tabletext1"/>
              <w:ind w:left="0"/>
              <w:rPr>
                <w:rFonts w:cs="Arial"/>
                <w:i/>
                <w:lang w:val="en-GB" w:eastAsia="en-US"/>
              </w:rPr>
            </w:pPr>
            <w:r w:rsidRPr="0066715B">
              <w:rPr>
                <w:rFonts w:cs="Arial"/>
                <w:i/>
                <w:lang w:val="en-GB" w:eastAsia="en-US"/>
              </w:rPr>
              <w:t>Cohort: T</w:t>
            </w:r>
            <w:r w:rsidRPr="0066715B">
              <w:rPr>
                <w:rFonts w:cs="Arial"/>
                <w:i/>
                <w:vertAlign w:val="subscript"/>
                <w:lang w:val="en-GB" w:eastAsia="en-US"/>
              </w:rPr>
              <w:t xml:space="preserve">4 </w:t>
            </w:r>
            <w:r w:rsidRPr="0066715B">
              <w:rPr>
                <w:rFonts w:cs="Arial"/>
                <w:i/>
                <w:lang w:val="en-GB" w:eastAsia="en-US"/>
              </w:rPr>
              <w:t xml:space="preserve">= 91%, </w:t>
            </w:r>
            <w:r w:rsidRPr="0066715B">
              <w:rPr>
                <w:rFonts w:cs="Arial"/>
                <w:i/>
                <w:vertAlign w:val="subscript"/>
                <w:lang w:val="en-GB" w:eastAsia="en-US"/>
              </w:rPr>
              <w:t xml:space="preserve"> </w:t>
            </w:r>
            <w:r w:rsidRPr="0066715B">
              <w:rPr>
                <w:rFonts w:cs="Arial"/>
                <w:i/>
                <w:lang w:val="en-GB" w:eastAsia="en-US"/>
              </w:rPr>
              <w:t>M</w:t>
            </w:r>
            <w:r w:rsidRPr="0066715B">
              <w:rPr>
                <w:rFonts w:cs="Arial"/>
                <w:i/>
                <w:vertAlign w:val="subscript"/>
                <w:lang w:val="en-GB" w:eastAsia="en-US"/>
              </w:rPr>
              <w:t xml:space="preserve">0 </w:t>
            </w:r>
            <w:r w:rsidRPr="0066715B">
              <w:rPr>
                <w:rFonts w:cs="Arial"/>
                <w:i/>
                <w:lang w:val="en-GB" w:eastAsia="en-US"/>
              </w:rPr>
              <w:t>= 97%</w:t>
            </w:r>
          </w:p>
          <w:p w14:paraId="160F8D53" w14:textId="77777777" w:rsidR="00BC52A8" w:rsidRPr="0066715B" w:rsidRDefault="00BC52A8" w:rsidP="00BC52A8">
            <w:pPr>
              <w:pStyle w:val="Tabletext1"/>
              <w:ind w:left="0"/>
              <w:rPr>
                <w:rFonts w:cs="Arial"/>
                <w:i/>
                <w:lang w:val="en-GB" w:eastAsia="en-US"/>
              </w:rPr>
            </w:pPr>
            <w:r w:rsidRPr="0066715B">
              <w:rPr>
                <w:rFonts w:cs="Arial"/>
                <w:i/>
                <w:lang w:val="en-GB" w:eastAsia="en-US"/>
              </w:rPr>
              <w:t>Stage III or IVa = 86%</w:t>
            </w:r>
          </w:p>
          <w:p w14:paraId="6DAD6624" w14:textId="1A34D15E" w:rsidR="00BC52A8" w:rsidRPr="0066715B" w:rsidRDefault="00BC52A8" w:rsidP="00BC52A8">
            <w:pPr>
              <w:pStyle w:val="Tabletext1"/>
              <w:ind w:left="0"/>
              <w:rPr>
                <w:i/>
                <w:lang w:val="en-GB"/>
              </w:rPr>
            </w:pPr>
            <w:r w:rsidRPr="0066715B">
              <w:rPr>
                <w:i/>
              </w:rPr>
              <w:t>Stage T</w:t>
            </w:r>
            <w:r w:rsidRPr="0066715B">
              <w:rPr>
                <w:i/>
                <w:vertAlign w:val="subscript"/>
              </w:rPr>
              <w:t>4</w:t>
            </w:r>
            <w:r w:rsidRPr="0066715B">
              <w:rPr>
                <w:i/>
              </w:rPr>
              <w:t>M</w:t>
            </w:r>
            <w:r w:rsidRPr="0066715B">
              <w:rPr>
                <w:i/>
                <w:vertAlign w:val="subscript"/>
              </w:rPr>
              <w:t>0</w:t>
            </w:r>
            <w:r w:rsidRPr="0066715B">
              <w:rPr>
                <w:i/>
              </w:rPr>
              <w:t xml:space="preserve"> per treatment group = unknown</w:t>
            </w:r>
          </w:p>
          <w:p w14:paraId="30346DBD" w14:textId="77777777" w:rsidR="00BC52A8" w:rsidRPr="0066715B" w:rsidRDefault="00BC52A8" w:rsidP="00BC52A8">
            <w:pPr>
              <w:pStyle w:val="Tabletext1"/>
              <w:ind w:left="0"/>
              <w:rPr>
                <w:rFonts w:cs="Arial"/>
                <w:i/>
                <w:lang w:val="en-GB" w:eastAsia="en-US"/>
              </w:rPr>
            </w:pPr>
            <w:r w:rsidRPr="0066715B">
              <w:rPr>
                <w:rFonts w:cs="Arial"/>
                <w:i/>
                <w:lang w:val="en-GB" w:eastAsia="en-US"/>
              </w:rPr>
              <w:t>46% had prior use of systemic therapies</w:t>
            </w:r>
          </w:p>
          <w:p w14:paraId="727F7C5D" w14:textId="71B854CB" w:rsidR="00BC52A8" w:rsidRPr="0066715B" w:rsidRDefault="00BC52A8" w:rsidP="007D65A9">
            <w:pPr>
              <w:pStyle w:val="Tabletext1"/>
              <w:spacing w:before="240"/>
              <w:ind w:left="0"/>
              <w:rPr>
                <w:i/>
                <w:u w:val="single"/>
              </w:rPr>
            </w:pPr>
            <w:r w:rsidRPr="0066715B">
              <w:rPr>
                <w:i/>
                <w:u w:val="single"/>
              </w:rPr>
              <w:t>Arulogan et al, 2008</w:t>
            </w:r>
          </w:p>
          <w:p w14:paraId="1FD2F6E5" w14:textId="77777777" w:rsidR="00BC52A8" w:rsidRPr="0066715B" w:rsidRDefault="00BC52A8" w:rsidP="00BC52A8">
            <w:pPr>
              <w:pStyle w:val="Tabletext1"/>
              <w:ind w:left="0"/>
              <w:rPr>
                <w:i/>
              </w:rPr>
            </w:pPr>
            <w:r w:rsidRPr="0066715B">
              <w:rPr>
                <w:i/>
              </w:rPr>
              <w:t>Cohort: SS only</w:t>
            </w:r>
          </w:p>
          <w:p w14:paraId="3E97EED3" w14:textId="10C7C00F" w:rsidR="00BC52A8" w:rsidRPr="0066715B" w:rsidRDefault="00BC52A8" w:rsidP="00E67922">
            <w:pPr>
              <w:pStyle w:val="Tabletext1"/>
              <w:ind w:left="0"/>
            </w:pPr>
            <w:r w:rsidRPr="0066715B">
              <w:rPr>
                <w:i/>
              </w:rPr>
              <w:t>Stage/severity: Not reported</w:t>
            </w:r>
          </w:p>
        </w:tc>
        <w:tc>
          <w:tcPr>
            <w:tcW w:w="2218" w:type="pct"/>
          </w:tcPr>
          <w:p w14:paraId="65B1EBCB" w14:textId="144790BD" w:rsidR="00BC52A8" w:rsidRPr="0066715B" w:rsidRDefault="00BC52A8" w:rsidP="00BC52A8">
            <w:pPr>
              <w:pStyle w:val="Tabletext1"/>
              <w:ind w:left="0"/>
              <w:rPr>
                <w:i/>
              </w:rPr>
            </w:pPr>
            <w:r w:rsidRPr="0066715B">
              <w:rPr>
                <w:i/>
              </w:rPr>
              <w:t>Individual monotherapy TTNT data for ECP and each treatment applied as transition probability</w:t>
            </w:r>
            <w:r w:rsidR="00E67922">
              <w:rPr>
                <w:i/>
              </w:rPr>
              <w:t xml:space="preserve"> and time in each health state.</w:t>
            </w:r>
          </w:p>
          <w:p w14:paraId="75AFAE19" w14:textId="77777777" w:rsidR="00BC52A8" w:rsidRPr="0066715B" w:rsidRDefault="00BC52A8" w:rsidP="00BC52A8">
            <w:pPr>
              <w:pStyle w:val="Tabletext1"/>
              <w:ind w:left="0"/>
              <w:rPr>
                <w:i/>
              </w:rPr>
            </w:pPr>
            <w:r w:rsidRPr="0066715B">
              <w:rPr>
                <w:i/>
              </w:rPr>
              <w:t>For ECP: A large proportion of the total cohort received ECP first-line (46%); only 3% of patients received ECP monotherapy at line 2.</w:t>
            </w:r>
          </w:p>
          <w:p w14:paraId="6FB6EFBD" w14:textId="1CCD73A4" w:rsidR="00BC52A8" w:rsidRPr="0066715B" w:rsidRDefault="00BC52A8" w:rsidP="00BC52A8">
            <w:pPr>
              <w:pStyle w:val="Tabletext1"/>
              <w:ind w:left="0"/>
              <w:rPr>
                <w:i/>
              </w:rPr>
            </w:pPr>
            <w:r w:rsidRPr="0066715B">
              <w:rPr>
                <w:i/>
              </w:rPr>
              <w:t>For comparators: Disease severity unclear in each tr</w:t>
            </w:r>
            <w:r w:rsidR="00E67922">
              <w:rPr>
                <w:i/>
              </w:rPr>
              <w:t>eatment group.</w:t>
            </w:r>
          </w:p>
          <w:p w14:paraId="2DB14C3A" w14:textId="77777777" w:rsidR="00BC52A8" w:rsidRPr="0066715B" w:rsidRDefault="00BC52A8" w:rsidP="007D65A9">
            <w:pPr>
              <w:pStyle w:val="Tabletext1"/>
              <w:spacing w:before="240" w:after="240"/>
              <w:ind w:left="0"/>
              <w:rPr>
                <w:i/>
              </w:rPr>
            </w:pPr>
            <w:r w:rsidRPr="0066715B">
              <w:rPr>
                <w:i/>
              </w:rPr>
              <w:t>ECP response rates applied to ECP utilities within model. Only 23% of patients received ECP monotherapy and 77% of patients in this cohort received ECP in combination with another therapy.</w:t>
            </w:r>
          </w:p>
        </w:tc>
      </w:tr>
      <w:tr w:rsidR="00BC52A8" w:rsidRPr="0066715B" w14:paraId="371ACE61" w14:textId="77777777" w:rsidTr="007D65A9">
        <w:trPr>
          <w:trHeight w:val="1082"/>
        </w:trPr>
        <w:tc>
          <w:tcPr>
            <w:tcW w:w="1146" w:type="pct"/>
          </w:tcPr>
          <w:p w14:paraId="1E176716" w14:textId="77777777" w:rsidR="00BC52A8" w:rsidRPr="0066715B" w:rsidRDefault="00BC52A8" w:rsidP="00BC52A8">
            <w:pPr>
              <w:pStyle w:val="Tabletext1"/>
              <w:ind w:left="0"/>
              <w:rPr>
                <w:i/>
                <w:color w:val="808080" w:themeColor="background1" w:themeShade="80"/>
              </w:rPr>
            </w:pPr>
            <w:r w:rsidRPr="0066715B">
              <w:rPr>
                <w:i/>
                <w:color w:val="808080" w:themeColor="background1" w:themeShade="80"/>
              </w:rPr>
              <w:t>Circumstances of use</w:t>
            </w:r>
          </w:p>
          <w:p w14:paraId="02DA7616" w14:textId="77777777" w:rsidR="00BC52A8" w:rsidRPr="0066715B" w:rsidRDefault="00BC52A8" w:rsidP="00BC52A8">
            <w:pPr>
              <w:pStyle w:val="Tabletext1"/>
              <w:ind w:left="0"/>
              <w:rPr>
                <w:i/>
              </w:rPr>
            </w:pPr>
            <w:r w:rsidRPr="0066715B">
              <w:rPr>
                <w:i/>
                <w:color w:val="808080" w:themeColor="background1" w:themeShade="80"/>
              </w:rPr>
              <w:t xml:space="preserve"> ECP regimen</w:t>
            </w:r>
          </w:p>
        </w:tc>
        <w:tc>
          <w:tcPr>
            <w:tcW w:w="1636" w:type="pct"/>
          </w:tcPr>
          <w:p w14:paraId="11F0DB39" w14:textId="77777777" w:rsidR="00BC52A8" w:rsidRPr="0066715B" w:rsidRDefault="00BC52A8" w:rsidP="00BC52A8">
            <w:pPr>
              <w:pStyle w:val="Tabletext1"/>
              <w:ind w:left="0"/>
              <w:rPr>
                <w:i/>
                <w:color w:val="808080" w:themeColor="background1" w:themeShade="80"/>
              </w:rPr>
            </w:pPr>
            <w:r w:rsidRPr="0066715B">
              <w:rPr>
                <w:i/>
                <w:color w:val="808080" w:themeColor="background1" w:themeShade="80"/>
              </w:rPr>
              <w:t>ECP use in Australian practice:</w:t>
            </w:r>
          </w:p>
          <w:p w14:paraId="6016DA25" w14:textId="77777777" w:rsidR="00BC52A8" w:rsidRPr="0066715B" w:rsidRDefault="00BC52A8" w:rsidP="00BC52A8">
            <w:pPr>
              <w:pStyle w:val="Tabletext1"/>
              <w:ind w:left="0"/>
              <w:rPr>
                <w:i/>
                <w:color w:val="808080" w:themeColor="background1" w:themeShade="80"/>
              </w:rPr>
            </w:pPr>
            <w:r w:rsidRPr="0066715B">
              <w:rPr>
                <w:i/>
                <w:color w:val="808080" w:themeColor="background1" w:themeShade="80"/>
              </w:rPr>
              <w:t>Once weekly for 6 weeks</w:t>
            </w:r>
          </w:p>
          <w:p w14:paraId="67BBB660" w14:textId="77777777" w:rsidR="00BC52A8" w:rsidRPr="0066715B" w:rsidRDefault="00BC52A8" w:rsidP="00BC52A8">
            <w:pPr>
              <w:pStyle w:val="Tabletext1"/>
              <w:ind w:left="0"/>
              <w:rPr>
                <w:i/>
                <w:color w:val="808080" w:themeColor="background1" w:themeShade="80"/>
              </w:rPr>
            </w:pPr>
            <w:r w:rsidRPr="0066715B">
              <w:rPr>
                <w:i/>
                <w:color w:val="808080" w:themeColor="background1" w:themeShade="80"/>
              </w:rPr>
              <w:t>Fortnightly for 6 sessions</w:t>
            </w:r>
          </w:p>
          <w:p w14:paraId="27506129" w14:textId="77777777" w:rsidR="00BC52A8" w:rsidRPr="0066715B" w:rsidRDefault="00BC52A8" w:rsidP="00BC52A8">
            <w:pPr>
              <w:pStyle w:val="Tabletext1"/>
              <w:ind w:left="0"/>
              <w:rPr>
                <w:i/>
              </w:rPr>
            </w:pPr>
            <w:r w:rsidRPr="0066715B">
              <w:rPr>
                <w:i/>
                <w:color w:val="808080" w:themeColor="background1" w:themeShade="80"/>
              </w:rPr>
              <w:t xml:space="preserve">Monthly thereafter </w:t>
            </w:r>
          </w:p>
        </w:tc>
        <w:tc>
          <w:tcPr>
            <w:tcW w:w="2218" w:type="pct"/>
          </w:tcPr>
          <w:p w14:paraId="51AC2508" w14:textId="77777777" w:rsidR="00BC52A8" w:rsidRPr="0066715B" w:rsidRDefault="00BC52A8" w:rsidP="00BC52A8">
            <w:pPr>
              <w:pStyle w:val="Tabletext1"/>
              <w:ind w:left="0"/>
              <w:rPr>
                <w:i/>
              </w:rPr>
            </w:pPr>
            <w:r w:rsidRPr="0066715B">
              <w:rPr>
                <w:i/>
              </w:rPr>
              <w:t>Not used. ECP regimen applied in model:</w:t>
            </w:r>
          </w:p>
          <w:p w14:paraId="54157427" w14:textId="77777777" w:rsidR="00BC52A8" w:rsidRPr="0066715B" w:rsidRDefault="00BC52A8" w:rsidP="00BC52A8">
            <w:pPr>
              <w:pStyle w:val="Tabletext1"/>
              <w:ind w:left="0"/>
              <w:rPr>
                <w:i/>
              </w:rPr>
            </w:pPr>
            <w:r w:rsidRPr="0066715B">
              <w:rPr>
                <w:i/>
              </w:rPr>
              <w:t>2 sessions/month for 6 months</w:t>
            </w:r>
          </w:p>
          <w:p w14:paraId="5615EA9C" w14:textId="6A59888C" w:rsidR="00BC52A8" w:rsidRPr="0066715B" w:rsidRDefault="00E67922" w:rsidP="00BC52A8">
            <w:pPr>
              <w:pStyle w:val="Tabletext1"/>
              <w:ind w:left="0"/>
              <w:rPr>
                <w:i/>
              </w:rPr>
            </w:pPr>
            <w:r>
              <w:rPr>
                <w:i/>
              </w:rPr>
              <w:t>Every 6 weeks thereafter</w:t>
            </w:r>
          </w:p>
          <w:p w14:paraId="21D658D6" w14:textId="77777777" w:rsidR="00BC52A8" w:rsidRPr="0066715B" w:rsidRDefault="00BC52A8" w:rsidP="00D12971">
            <w:pPr>
              <w:pStyle w:val="Tabletext1"/>
              <w:spacing w:after="240"/>
              <w:ind w:left="0"/>
              <w:rPr>
                <w:i/>
              </w:rPr>
            </w:pPr>
            <w:r w:rsidRPr="0066715B">
              <w:rPr>
                <w:i/>
              </w:rPr>
              <w:t>SA: Australian regimen from Gao</w:t>
            </w:r>
            <w:r w:rsidRPr="0066715B">
              <w:rPr>
                <w:iCs/>
              </w:rPr>
              <w:t xml:space="preserve"> et al, </w:t>
            </w:r>
            <w:r w:rsidRPr="0066715B">
              <w:rPr>
                <w:i/>
              </w:rPr>
              <w:t>2019</w:t>
            </w:r>
          </w:p>
        </w:tc>
      </w:tr>
      <w:tr w:rsidR="00BC52A8" w:rsidRPr="0066715B" w14:paraId="502AF8EA" w14:textId="77777777" w:rsidTr="002A72F7">
        <w:tc>
          <w:tcPr>
            <w:tcW w:w="1146" w:type="pct"/>
          </w:tcPr>
          <w:p w14:paraId="1A6C2167" w14:textId="77777777" w:rsidR="00BC52A8" w:rsidRPr="0066715B" w:rsidRDefault="00BC52A8" w:rsidP="00BC52A8">
            <w:pPr>
              <w:pStyle w:val="Tabletext1"/>
              <w:ind w:left="0"/>
              <w:rPr>
                <w:i/>
              </w:rPr>
            </w:pPr>
            <w:r w:rsidRPr="0066715B">
              <w:rPr>
                <w:i/>
              </w:rPr>
              <w:t>Co-administered therapies</w:t>
            </w:r>
          </w:p>
        </w:tc>
        <w:tc>
          <w:tcPr>
            <w:tcW w:w="1636" w:type="pct"/>
          </w:tcPr>
          <w:p w14:paraId="414A2ECE" w14:textId="77777777" w:rsidR="00BC52A8" w:rsidRPr="0066715B" w:rsidRDefault="00BC52A8" w:rsidP="00BC52A8">
            <w:pPr>
              <w:pStyle w:val="Tabletext1"/>
              <w:ind w:left="0"/>
              <w:rPr>
                <w:i/>
              </w:rPr>
            </w:pPr>
            <w:r w:rsidRPr="0066715B">
              <w:rPr>
                <w:i/>
              </w:rPr>
              <w:t xml:space="preserve">77% of patients in Arulogun </w:t>
            </w:r>
            <w:r w:rsidRPr="0066715B">
              <w:rPr>
                <w:iCs/>
              </w:rPr>
              <w:t>et al,</w:t>
            </w:r>
            <w:r w:rsidRPr="0066715B">
              <w:rPr>
                <w:i/>
                <w:iCs/>
              </w:rPr>
              <w:t xml:space="preserve"> </w:t>
            </w:r>
            <w:r w:rsidRPr="0066715B">
              <w:rPr>
                <w:i/>
              </w:rPr>
              <w:t>2008  used co-administered therapies</w:t>
            </w:r>
          </w:p>
        </w:tc>
        <w:tc>
          <w:tcPr>
            <w:tcW w:w="2218" w:type="pct"/>
          </w:tcPr>
          <w:p w14:paraId="55F26C20" w14:textId="77777777" w:rsidR="00BC52A8" w:rsidRPr="0066715B" w:rsidRDefault="00BC52A8" w:rsidP="00D12971">
            <w:pPr>
              <w:pStyle w:val="Tabletext1"/>
              <w:spacing w:after="240"/>
              <w:ind w:left="0"/>
              <w:rPr>
                <w:i/>
              </w:rPr>
            </w:pPr>
            <w:r w:rsidRPr="0066715B">
              <w:rPr>
                <w:i/>
              </w:rPr>
              <w:t xml:space="preserve">The </w:t>
            </w:r>
            <w:r>
              <w:rPr>
                <w:i/>
              </w:rPr>
              <w:t>re</w:t>
            </w:r>
            <w:r w:rsidRPr="0066715B">
              <w:rPr>
                <w:i/>
              </w:rPr>
              <w:t xml:space="preserve">submission did not </w:t>
            </w:r>
            <w:r w:rsidRPr="0066715B">
              <w:rPr>
                <w:rFonts w:eastAsiaTheme="minorHAnsi"/>
                <w:i/>
                <w:lang w:eastAsia="en-US"/>
              </w:rPr>
              <w:t>address whether the use of co</w:t>
            </w:r>
            <w:r w:rsidRPr="0066715B">
              <w:rPr>
                <w:rFonts w:eastAsiaTheme="minorHAnsi"/>
                <w:i/>
                <w:lang w:eastAsia="en-US"/>
              </w:rPr>
              <w:noBreakHyphen/>
              <w:t>administered systemic therapies improved treatment outcomes.</w:t>
            </w:r>
          </w:p>
        </w:tc>
      </w:tr>
      <w:tr w:rsidR="00BC52A8" w:rsidRPr="0066715B" w14:paraId="0114945A" w14:textId="77777777" w:rsidTr="002A72F7">
        <w:tc>
          <w:tcPr>
            <w:tcW w:w="1146" w:type="pct"/>
          </w:tcPr>
          <w:p w14:paraId="1B9C1B6D" w14:textId="77777777" w:rsidR="00BC52A8" w:rsidRPr="0066715B" w:rsidRDefault="00BC52A8" w:rsidP="00BC52A8">
            <w:pPr>
              <w:pStyle w:val="Tabletext1"/>
              <w:ind w:left="0"/>
              <w:rPr>
                <w:i/>
              </w:rPr>
            </w:pPr>
            <w:r w:rsidRPr="0066715B">
              <w:rPr>
                <w:i/>
              </w:rPr>
              <w:t>Usual therapy for CTCL</w:t>
            </w:r>
          </w:p>
        </w:tc>
        <w:tc>
          <w:tcPr>
            <w:tcW w:w="1636" w:type="pct"/>
          </w:tcPr>
          <w:p w14:paraId="4ED4E616" w14:textId="77777777" w:rsidR="00BC52A8" w:rsidRPr="0066715B" w:rsidRDefault="00BC52A8" w:rsidP="00BC52A8">
            <w:pPr>
              <w:pStyle w:val="Tabletext1"/>
              <w:ind w:left="0"/>
              <w:rPr>
                <w:i/>
              </w:rPr>
            </w:pPr>
          </w:p>
        </w:tc>
        <w:tc>
          <w:tcPr>
            <w:tcW w:w="2218" w:type="pct"/>
          </w:tcPr>
          <w:p w14:paraId="588BAA64" w14:textId="77777777" w:rsidR="00BC52A8" w:rsidRPr="0066715B" w:rsidRDefault="00BC52A8" w:rsidP="00BC52A8">
            <w:pPr>
              <w:pStyle w:val="Tabletext1"/>
              <w:ind w:left="0"/>
              <w:rPr>
                <w:i/>
              </w:rPr>
            </w:pPr>
          </w:p>
        </w:tc>
      </w:tr>
      <w:tr w:rsidR="00BC52A8" w:rsidRPr="0066715B" w14:paraId="2A75819A" w14:textId="77777777" w:rsidTr="002A72F7">
        <w:tc>
          <w:tcPr>
            <w:tcW w:w="1146" w:type="pct"/>
          </w:tcPr>
          <w:p w14:paraId="0D8BE1E4" w14:textId="77777777" w:rsidR="00BC52A8" w:rsidRPr="0066715B" w:rsidRDefault="00BC52A8" w:rsidP="00BC52A8">
            <w:pPr>
              <w:pStyle w:val="Tabletext1"/>
              <w:ind w:left="0"/>
              <w:rPr>
                <w:i/>
                <w:color w:val="808080" w:themeColor="background1" w:themeShade="80"/>
              </w:rPr>
            </w:pPr>
            <w:r w:rsidRPr="0066715B">
              <w:rPr>
                <w:i/>
                <w:color w:val="808080" w:themeColor="background1" w:themeShade="80"/>
              </w:rPr>
              <w:t>2</w:t>
            </w:r>
            <w:r w:rsidRPr="0066715B">
              <w:rPr>
                <w:i/>
                <w:color w:val="808080" w:themeColor="background1" w:themeShade="80"/>
                <w:vertAlign w:val="superscript"/>
              </w:rPr>
              <w:t>nd</w:t>
            </w:r>
            <w:r w:rsidRPr="0066715B">
              <w:rPr>
                <w:i/>
                <w:color w:val="808080" w:themeColor="background1" w:themeShade="80"/>
              </w:rPr>
              <w:t xml:space="preserve"> line</w:t>
            </w:r>
          </w:p>
        </w:tc>
        <w:tc>
          <w:tcPr>
            <w:tcW w:w="1636" w:type="pct"/>
          </w:tcPr>
          <w:p w14:paraId="4A65AD36" w14:textId="77777777" w:rsidR="00BC52A8" w:rsidRPr="0066715B" w:rsidRDefault="00BC52A8" w:rsidP="00BC52A8">
            <w:pPr>
              <w:pStyle w:val="Tabletext1"/>
              <w:ind w:left="0"/>
              <w:rPr>
                <w:color w:val="808080" w:themeColor="background1" w:themeShade="80"/>
              </w:rPr>
            </w:pPr>
            <w:r w:rsidRPr="0066715B">
              <w:rPr>
                <w:color w:val="808080" w:themeColor="background1" w:themeShade="80"/>
              </w:rPr>
              <w:t xml:space="preserve">Australian survey (n-20) utilisation: </w:t>
            </w:r>
          </w:p>
          <w:p w14:paraId="39B2DD9A" w14:textId="77777777" w:rsidR="00BC52A8" w:rsidRPr="0066715B" w:rsidRDefault="00BC52A8" w:rsidP="00BC52A8">
            <w:pPr>
              <w:pStyle w:val="Tabletext1"/>
              <w:ind w:left="0"/>
              <w:rPr>
                <w:color w:val="808080" w:themeColor="background1" w:themeShade="80"/>
                <w:u w:val="single"/>
                <w:vertAlign w:val="superscript"/>
              </w:rPr>
            </w:pPr>
            <w:r w:rsidRPr="0066715B">
              <w:rPr>
                <w:color w:val="808080" w:themeColor="background1" w:themeShade="80"/>
                <w:u w:val="single"/>
              </w:rPr>
              <w:t xml:space="preserve">Weighted utilisation </w:t>
            </w:r>
            <w:r w:rsidRPr="0066715B">
              <w:rPr>
                <w:color w:val="808080" w:themeColor="background1" w:themeShade="80"/>
                <w:u w:val="single"/>
                <w:vertAlign w:val="superscript"/>
              </w:rPr>
              <w:t>b</w:t>
            </w:r>
          </w:p>
          <w:p w14:paraId="1DEC2B2C" w14:textId="77777777" w:rsidR="00BC52A8" w:rsidRPr="0066715B" w:rsidRDefault="00BC52A8" w:rsidP="00BC52A8">
            <w:pPr>
              <w:pStyle w:val="Tabletext1"/>
              <w:ind w:left="0"/>
              <w:rPr>
                <w:color w:val="808080" w:themeColor="background1" w:themeShade="80"/>
              </w:rPr>
            </w:pPr>
            <w:r w:rsidRPr="0066715B">
              <w:rPr>
                <w:color w:val="808080" w:themeColor="background1" w:themeShade="80"/>
              </w:rPr>
              <w:t>Methotrexate = 46%</w:t>
            </w:r>
          </w:p>
          <w:p w14:paraId="084102BE" w14:textId="77777777" w:rsidR="00BC52A8" w:rsidRPr="0066715B" w:rsidRDefault="00BC52A8" w:rsidP="00BC52A8">
            <w:pPr>
              <w:pStyle w:val="Tabletext1"/>
              <w:ind w:left="0"/>
              <w:rPr>
                <w:color w:val="808080" w:themeColor="background1" w:themeShade="80"/>
              </w:rPr>
            </w:pPr>
            <w:r w:rsidRPr="0066715B">
              <w:rPr>
                <w:color w:val="808080" w:themeColor="background1" w:themeShade="80"/>
              </w:rPr>
              <w:t>Interferon-α = 32%</w:t>
            </w:r>
          </w:p>
          <w:p w14:paraId="4112D8A3" w14:textId="77777777" w:rsidR="00BC52A8" w:rsidRPr="0066715B" w:rsidRDefault="00BC52A8" w:rsidP="00D12971">
            <w:pPr>
              <w:pStyle w:val="Tabletext1"/>
              <w:spacing w:after="240"/>
              <w:ind w:left="0"/>
              <w:rPr>
                <w:color w:val="808080" w:themeColor="background1" w:themeShade="80"/>
              </w:rPr>
            </w:pPr>
            <w:r w:rsidRPr="0066715B">
              <w:rPr>
                <w:strike/>
                <w:color w:val="808080" w:themeColor="background1" w:themeShade="80"/>
              </w:rPr>
              <w:t xml:space="preserve">Alemtuzumab = 22% </w:t>
            </w:r>
            <w:r w:rsidRPr="0066715B">
              <w:rPr>
                <w:i/>
              </w:rPr>
              <w:t xml:space="preserve">(Alemtuzumab removed as </w:t>
            </w:r>
            <w:r>
              <w:rPr>
                <w:i/>
              </w:rPr>
              <w:t xml:space="preserve">a </w:t>
            </w:r>
            <w:r w:rsidRPr="0066715B">
              <w:rPr>
                <w:i/>
              </w:rPr>
              <w:t xml:space="preserve">comparator in </w:t>
            </w:r>
            <w:r>
              <w:rPr>
                <w:i/>
              </w:rPr>
              <w:t xml:space="preserve">the </w:t>
            </w:r>
            <w:r w:rsidRPr="0066715B">
              <w:rPr>
                <w:i/>
              </w:rPr>
              <w:t>resubmission; its proportion reassigned to brentuximab vedotin and vorinostat, based on PBS prescriptions in Apr-Jun 2019</w:t>
            </w:r>
            <w:r w:rsidRPr="0066715B">
              <w:t>)</w:t>
            </w:r>
          </w:p>
        </w:tc>
        <w:tc>
          <w:tcPr>
            <w:tcW w:w="2218" w:type="pct"/>
          </w:tcPr>
          <w:p w14:paraId="0B0DC61A" w14:textId="5B081FA9" w:rsidR="00BC52A8" w:rsidRPr="0066715B" w:rsidRDefault="00BC52A8" w:rsidP="00E67922">
            <w:pPr>
              <w:pStyle w:val="Tabletext1"/>
              <w:ind w:left="0"/>
              <w:rPr>
                <w:i/>
                <w:color w:val="44546A" w:themeColor="text2"/>
              </w:rPr>
            </w:pPr>
            <w:r w:rsidRPr="0066715B">
              <w:rPr>
                <w:i/>
              </w:rPr>
              <w:t>Base case: Weighting applied to 5-year CUA to generate a weighted ICER.</w:t>
            </w:r>
          </w:p>
        </w:tc>
      </w:tr>
      <w:tr w:rsidR="00BC52A8" w:rsidRPr="0066715B" w14:paraId="16E08904" w14:textId="77777777" w:rsidTr="002A72F7">
        <w:tc>
          <w:tcPr>
            <w:tcW w:w="1146" w:type="pct"/>
          </w:tcPr>
          <w:p w14:paraId="78F9C696" w14:textId="77777777" w:rsidR="00BC52A8" w:rsidRPr="0066715B" w:rsidDel="003A6889" w:rsidRDefault="00BC52A8" w:rsidP="00BC52A8">
            <w:pPr>
              <w:pStyle w:val="Tabletext1"/>
              <w:ind w:left="0"/>
              <w:rPr>
                <w:i/>
                <w:color w:val="808080" w:themeColor="background1" w:themeShade="80"/>
              </w:rPr>
            </w:pPr>
            <w:r w:rsidRPr="0066715B">
              <w:rPr>
                <w:i/>
                <w:color w:val="808080" w:themeColor="background1" w:themeShade="80"/>
              </w:rPr>
              <w:t xml:space="preserve">TTNT as surrogate for progression free survival </w:t>
            </w:r>
            <w:r w:rsidRPr="0066715B">
              <w:rPr>
                <w:i/>
                <w:color w:val="000000" w:themeColor="text1"/>
              </w:rPr>
              <w:t>and QOL measure</w:t>
            </w:r>
          </w:p>
        </w:tc>
        <w:tc>
          <w:tcPr>
            <w:tcW w:w="1636" w:type="pct"/>
          </w:tcPr>
          <w:p w14:paraId="214459F0" w14:textId="77777777" w:rsidR="00BC52A8" w:rsidRPr="0066715B" w:rsidRDefault="00BC52A8" w:rsidP="00BC52A8">
            <w:pPr>
              <w:pStyle w:val="Tabletext1"/>
              <w:ind w:left="0"/>
              <w:rPr>
                <w:i/>
                <w:color w:val="808080" w:themeColor="background1" w:themeShade="80"/>
              </w:rPr>
            </w:pPr>
            <w:r w:rsidRPr="0066715B">
              <w:rPr>
                <w:i/>
                <w:color w:val="808080" w:themeColor="background1" w:themeShade="80"/>
              </w:rPr>
              <w:t>Decision to switch therapy is based on clinical basis. Methods used to assess skin response were not provided in Hughes et al, 2015.</w:t>
            </w:r>
          </w:p>
          <w:p w14:paraId="307A6DEA" w14:textId="77777777" w:rsidR="00BC52A8" w:rsidRPr="0066715B" w:rsidRDefault="00BC52A8" w:rsidP="007D65A9">
            <w:pPr>
              <w:pStyle w:val="Tabletext1"/>
              <w:spacing w:before="240"/>
              <w:ind w:left="0"/>
              <w:rPr>
                <w:i/>
                <w:color w:val="808080" w:themeColor="background1" w:themeShade="80"/>
              </w:rPr>
            </w:pPr>
            <w:r w:rsidRPr="0066715B">
              <w:t xml:space="preserve">TTNT can be used as a measure of treatment effectiveness and durability of response, indirectly effects QOL. </w:t>
            </w:r>
          </w:p>
        </w:tc>
        <w:tc>
          <w:tcPr>
            <w:tcW w:w="2218" w:type="pct"/>
          </w:tcPr>
          <w:p w14:paraId="63D772E9" w14:textId="77777777" w:rsidR="00BC52A8" w:rsidRPr="0066715B" w:rsidRDefault="00BC52A8" w:rsidP="00BC52A8">
            <w:pPr>
              <w:pStyle w:val="Tabletext1"/>
              <w:ind w:left="0"/>
              <w:rPr>
                <w:i/>
                <w:color w:val="808080" w:themeColor="background1" w:themeShade="80"/>
              </w:rPr>
            </w:pPr>
            <w:r w:rsidRPr="0066715B">
              <w:rPr>
                <w:i/>
                <w:color w:val="808080" w:themeColor="background1" w:themeShade="80"/>
              </w:rPr>
              <w:t>The results of TTNT might not be applicable to the proposed population for ECP in Australia, due to continuing treatment with methoxsalen is based on skin response.</w:t>
            </w:r>
          </w:p>
          <w:p w14:paraId="181FCBF7" w14:textId="5F1F4568" w:rsidR="00BC52A8" w:rsidRPr="0066715B" w:rsidRDefault="00BC52A8" w:rsidP="007D65A9">
            <w:pPr>
              <w:pStyle w:val="Tabletext1"/>
              <w:spacing w:before="240" w:after="840"/>
              <w:ind w:left="0"/>
              <w:rPr>
                <w:i/>
                <w:color w:val="808080" w:themeColor="background1" w:themeShade="80"/>
              </w:rPr>
            </w:pPr>
            <w:r w:rsidRPr="0066715B">
              <w:rPr>
                <w:i/>
                <w:color w:val="000000" w:themeColor="text1"/>
              </w:rPr>
              <w:t>Transition probabilities and time in each health state. Approach consistent with advice from MSAC in July 2017</w:t>
            </w:r>
            <w:r w:rsidR="00F81D3C">
              <w:rPr>
                <w:i/>
                <w:color w:val="000000" w:themeColor="text1"/>
              </w:rPr>
              <w:t>.</w:t>
            </w:r>
          </w:p>
        </w:tc>
      </w:tr>
      <w:tr w:rsidR="00BC52A8" w:rsidRPr="0066715B" w14:paraId="75F74C95" w14:textId="77777777" w:rsidTr="002A72F7">
        <w:tc>
          <w:tcPr>
            <w:tcW w:w="1146" w:type="pct"/>
          </w:tcPr>
          <w:p w14:paraId="3EF52077" w14:textId="77777777" w:rsidR="00BC52A8" w:rsidRPr="0066715B" w:rsidRDefault="00BC52A8" w:rsidP="00BC52A8">
            <w:pPr>
              <w:pStyle w:val="Tabletext1"/>
              <w:ind w:left="0"/>
            </w:pPr>
            <w:r w:rsidRPr="0066715B">
              <w:lastRenderedPageBreak/>
              <w:t xml:space="preserve">Transformation </w:t>
            </w:r>
          </w:p>
        </w:tc>
        <w:tc>
          <w:tcPr>
            <w:tcW w:w="1636" w:type="pct"/>
          </w:tcPr>
          <w:p w14:paraId="5CEB500B" w14:textId="77777777" w:rsidR="00BC52A8" w:rsidRPr="0066715B" w:rsidRDefault="00BC52A8" w:rsidP="00BC52A8">
            <w:pPr>
              <w:pStyle w:val="Tabletext1"/>
              <w:ind w:left="0"/>
            </w:pPr>
          </w:p>
        </w:tc>
        <w:tc>
          <w:tcPr>
            <w:tcW w:w="2218" w:type="pct"/>
          </w:tcPr>
          <w:p w14:paraId="4A6A9588" w14:textId="77777777" w:rsidR="00BC52A8" w:rsidRPr="0066715B" w:rsidRDefault="00BC52A8" w:rsidP="00BC52A8">
            <w:pPr>
              <w:pStyle w:val="Tabletext1"/>
              <w:ind w:left="0"/>
            </w:pPr>
          </w:p>
        </w:tc>
      </w:tr>
      <w:tr w:rsidR="00BC52A8" w:rsidRPr="0066715B" w14:paraId="03160EA0" w14:textId="77777777" w:rsidTr="002A72F7">
        <w:trPr>
          <w:trHeight w:val="2394"/>
        </w:trPr>
        <w:tc>
          <w:tcPr>
            <w:tcW w:w="1146" w:type="pct"/>
          </w:tcPr>
          <w:p w14:paraId="1AAB0A45" w14:textId="5FCD5716" w:rsidR="00BC52A8" w:rsidRPr="0066715B" w:rsidRDefault="00BC52A8" w:rsidP="00E67922">
            <w:pPr>
              <w:pStyle w:val="Tabletext1"/>
              <w:ind w:left="0"/>
              <w:rPr>
                <w:color w:val="808080" w:themeColor="background1" w:themeShade="80"/>
              </w:rPr>
            </w:pPr>
            <w:r w:rsidRPr="0066715B">
              <w:rPr>
                <w:color w:val="808080" w:themeColor="background1" w:themeShade="80"/>
              </w:rPr>
              <w:t>Util</w:t>
            </w:r>
            <w:r w:rsidR="008F219D">
              <w:rPr>
                <w:color w:val="808080" w:themeColor="background1" w:themeShade="80"/>
              </w:rPr>
              <w:t>ity values for disease severity</w:t>
            </w:r>
          </w:p>
        </w:tc>
        <w:tc>
          <w:tcPr>
            <w:tcW w:w="1636" w:type="pct"/>
          </w:tcPr>
          <w:p w14:paraId="2EB5A653" w14:textId="77777777" w:rsidR="00BC52A8" w:rsidRPr="0066715B" w:rsidRDefault="00BC52A8" w:rsidP="00BC52A8">
            <w:pPr>
              <w:pStyle w:val="Tabletext1"/>
              <w:ind w:left="0"/>
              <w:rPr>
                <w:color w:val="808080" w:themeColor="background1" w:themeShade="80"/>
              </w:rPr>
            </w:pPr>
            <w:r w:rsidRPr="0066715B">
              <w:rPr>
                <w:color w:val="808080" w:themeColor="background1" w:themeShade="80"/>
              </w:rPr>
              <w:t>Literature review performed. Values based on:</w:t>
            </w:r>
          </w:p>
          <w:p w14:paraId="09BA8CE8" w14:textId="77777777" w:rsidR="00BC52A8" w:rsidRPr="0066715B" w:rsidRDefault="00BC52A8" w:rsidP="00BC52A8">
            <w:pPr>
              <w:pStyle w:val="Tabletext1"/>
              <w:ind w:left="0"/>
              <w:rPr>
                <w:color w:val="808080" w:themeColor="background1" w:themeShade="80"/>
              </w:rPr>
            </w:pPr>
            <w:r w:rsidRPr="0066715B">
              <w:rPr>
                <w:color w:val="808080" w:themeColor="background1" w:themeShade="80"/>
              </w:rPr>
              <w:t xml:space="preserve">Psoriasis utilities (TTO and SG) </w:t>
            </w:r>
            <w:r w:rsidRPr="0066715B">
              <w:rPr>
                <w:i/>
              </w:rPr>
              <w:t>(further justification provided for mapping psoriasis severity utilities to CTCL)</w:t>
            </w:r>
          </w:p>
          <w:p w14:paraId="5759317C" w14:textId="01086A63" w:rsidR="00BC52A8" w:rsidRPr="0066715B" w:rsidRDefault="00BC52A8" w:rsidP="00E67922">
            <w:pPr>
              <w:pStyle w:val="Tabletext1"/>
              <w:ind w:left="0"/>
              <w:rPr>
                <w:color w:val="808080" w:themeColor="background1" w:themeShade="80"/>
              </w:rPr>
            </w:pPr>
            <w:r w:rsidRPr="0066715B">
              <w:rPr>
                <w:color w:val="808080" w:themeColor="background1" w:themeShade="80"/>
              </w:rPr>
              <w:t xml:space="preserve">Weighted response rates </w:t>
            </w:r>
            <w:r w:rsidRPr="0066715B">
              <w:rPr>
                <w:color w:val="808080" w:themeColor="background1" w:themeShade="80"/>
                <w:vertAlign w:val="superscript"/>
              </w:rPr>
              <w:t>c</w:t>
            </w:r>
            <w:r w:rsidRPr="0066715B">
              <w:rPr>
                <w:color w:val="808080" w:themeColor="background1" w:themeShade="80"/>
              </w:rPr>
              <w:t xml:space="preserve"> </w:t>
            </w:r>
            <w:r w:rsidRPr="0066715B">
              <w:rPr>
                <w:i/>
              </w:rPr>
              <w:t>(now calculated individually for each treatment based on response rates, as below)</w:t>
            </w:r>
          </w:p>
        </w:tc>
        <w:tc>
          <w:tcPr>
            <w:tcW w:w="2218" w:type="pct"/>
          </w:tcPr>
          <w:p w14:paraId="13CC458E" w14:textId="77777777" w:rsidR="00BC52A8" w:rsidRPr="0066715B" w:rsidRDefault="00BC52A8" w:rsidP="00BC52A8">
            <w:pPr>
              <w:pStyle w:val="Tabletext1"/>
              <w:ind w:left="0"/>
              <w:rPr>
                <w:i/>
              </w:rPr>
            </w:pPr>
            <w:r w:rsidRPr="0066715B">
              <w:rPr>
                <w:i/>
              </w:rPr>
              <w:t>Utilities: base case (TTO)</w:t>
            </w:r>
          </w:p>
          <w:p w14:paraId="583E8500" w14:textId="4CA99092" w:rsidR="00BC52A8" w:rsidRPr="0066715B" w:rsidRDefault="00BC52A8" w:rsidP="00D12971">
            <w:pPr>
              <w:pStyle w:val="Tabletext1"/>
              <w:spacing w:after="240"/>
              <w:ind w:left="0"/>
              <w:rPr>
                <w:i/>
              </w:rPr>
            </w:pPr>
            <w:r w:rsidRPr="0066715B">
              <w:rPr>
                <w:i/>
              </w:rPr>
              <w:t xml:space="preserve">ECP = 0.73 (0.06 monthly); </w:t>
            </w:r>
            <w:r w:rsidR="000D4965" w:rsidRPr="0066715B">
              <w:rPr>
                <w:i/>
              </w:rPr>
              <w:t>vorinostat = 0.65 (0.05 monthly); brentuximab vedotin = 0.73 (0.06 monthly); interferon</w:t>
            </w:r>
            <w:r w:rsidR="000D4965" w:rsidRPr="000D4965">
              <w:rPr>
                <w:i/>
              </w:rPr>
              <w:t>-α</w:t>
            </w:r>
            <w:r w:rsidR="000D4965" w:rsidRPr="0066715B">
              <w:rPr>
                <w:i/>
              </w:rPr>
              <w:t xml:space="preserve"> = 0.70 (0.06 monthly); me</w:t>
            </w:r>
            <w:r w:rsidRPr="0066715B">
              <w:rPr>
                <w:i/>
              </w:rPr>
              <w:t>thotrexate = 0.62 (0.05 monthly).</w:t>
            </w:r>
          </w:p>
          <w:p w14:paraId="71812930" w14:textId="407334C0" w:rsidR="00BC52A8" w:rsidRPr="0066715B" w:rsidRDefault="00BC52A8" w:rsidP="00D12971">
            <w:pPr>
              <w:pStyle w:val="Tabletext1"/>
              <w:spacing w:after="240"/>
              <w:ind w:left="0"/>
            </w:pPr>
            <w:r w:rsidRPr="0066715B">
              <w:rPr>
                <w:i/>
              </w:rPr>
              <w:t>Use of psoriasis health state utilities accepted by MSAC in July 2017. Psoriasis has similar disease manifestations, response rates associated with similar QOL vs CTCL.</w:t>
            </w:r>
          </w:p>
        </w:tc>
      </w:tr>
      <w:tr w:rsidR="008F219D" w:rsidRPr="0066715B" w14:paraId="71207A8F" w14:textId="77777777" w:rsidTr="00D12971">
        <w:trPr>
          <w:trHeight w:val="1705"/>
        </w:trPr>
        <w:tc>
          <w:tcPr>
            <w:tcW w:w="1146" w:type="pct"/>
          </w:tcPr>
          <w:p w14:paraId="003BD118" w14:textId="77777777" w:rsidR="008F219D" w:rsidRPr="0066715B" w:rsidRDefault="008F219D" w:rsidP="008F219D">
            <w:pPr>
              <w:pStyle w:val="Tabletext1"/>
              <w:ind w:left="0"/>
              <w:rPr>
                <w:color w:val="808080" w:themeColor="background1" w:themeShade="80"/>
              </w:rPr>
            </w:pPr>
          </w:p>
          <w:p w14:paraId="1F925E1B" w14:textId="6C51370D" w:rsidR="008F219D" w:rsidRPr="0066715B" w:rsidRDefault="008F219D" w:rsidP="00E67922">
            <w:pPr>
              <w:pStyle w:val="Tabletext1"/>
              <w:spacing w:before="120"/>
              <w:ind w:left="0"/>
              <w:rPr>
                <w:color w:val="808080" w:themeColor="background1" w:themeShade="80"/>
              </w:rPr>
            </w:pPr>
            <w:r w:rsidRPr="0066715B">
              <w:rPr>
                <w:i/>
              </w:rPr>
              <w:t>Finding appropriate ut</w:t>
            </w:r>
            <w:r>
              <w:rPr>
                <w:i/>
              </w:rPr>
              <w:t>ility values for each treatment</w:t>
            </w:r>
          </w:p>
        </w:tc>
        <w:tc>
          <w:tcPr>
            <w:tcW w:w="1636" w:type="pct"/>
          </w:tcPr>
          <w:p w14:paraId="5AE8D1B0" w14:textId="5B383FF3" w:rsidR="008F219D" w:rsidRPr="0066715B" w:rsidRDefault="008F219D" w:rsidP="00D12971">
            <w:pPr>
              <w:pStyle w:val="Tabletext1"/>
              <w:spacing w:before="0" w:after="240"/>
              <w:ind w:left="0"/>
              <w:rPr>
                <w:i/>
              </w:rPr>
            </w:pPr>
            <w:r w:rsidRPr="0066715B">
              <w:rPr>
                <w:i/>
              </w:rPr>
              <w:t>Now presented using response rates (CR, PR, NR) for each treatment.</w:t>
            </w:r>
          </w:p>
          <w:p w14:paraId="30C1408E" w14:textId="77777777" w:rsidR="008F219D" w:rsidRPr="0066715B" w:rsidRDefault="008F219D" w:rsidP="008F219D">
            <w:pPr>
              <w:pStyle w:val="Tabletext1"/>
              <w:ind w:left="0"/>
              <w:rPr>
                <w:color w:val="808080" w:themeColor="background1" w:themeShade="80"/>
              </w:rPr>
            </w:pPr>
            <w:r w:rsidRPr="0066715B">
              <w:rPr>
                <w:i/>
              </w:rPr>
              <w:t>Disutility assigned to each treatment based on selected AEs</w:t>
            </w:r>
          </w:p>
        </w:tc>
        <w:tc>
          <w:tcPr>
            <w:tcW w:w="2218" w:type="pct"/>
          </w:tcPr>
          <w:p w14:paraId="00D6457B" w14:textId="7B9AD8C8" w:rsidR="008F219D" w:rsidRPr="0066715B" w:rsidRDefault="008F219D" w:rsidP="00D12971">
            <w:pPr>
              <w:pStyle w:val="Tabletext1"/>
              <w:spacing w:before="0"/>
              <w:ind w:left="0"/>
              <w:rPr>
                <w:i/>
              </w:rPr>
            </w:pPr>
            <w:r w:rsidRPr="0066715B">
              <w:rPr>
                <w:i/>
              </w:rPr>
              <w:t>Concerns regarding utilities assigned to interferon</w:t>
            </w:r>
            <w:r w:rsidR="000D4965" w:rsidRPr="000D4965">
              <w:rPr>
                <w:i/>
              </w:rPr>
              <w:t>-α</w:t>
            </w:r>
            <w:r w:rsidRPr="000D4965">
              <w:rPr>
                <w:i/>
              </w:rPr>
              <w:t>, methotrexate; disutilities applied to interferon</w:t>
            </w:r>
            <w:r w:rsidR="000D4965" w:rsidRPr="000D4965">
              <w:rPr>
                <w:i/>
              </w:rPr>
              <w:t>-α</w:t>
            </w:r>
            <w:r w:rsidRPr="0066715B">
              <w:rPr>
                <w:i/>
              </w:rPr>
              <w:t>, vorinostat and methotrexate.</w:t>
            </w:r>
          </w:p>
          <w:p w14:paraId="37343482" w14:textId="77777777" w:rsidR="008F219D" w:rsidRPr="0066715B" w:rsidRDefault="008F219D" w:rsidP="008F219D">
            <w:pPr>
              <w:pStyle w:val="Tabletext1"/>
              <w:ind w:left="0"/>
              <w:rPr>
                <w:i/>
              </w:rPr>
            </w:pPr>
            <w:r w:rsidRPr="0066715B">
              <w:rPr>
                <w:i/>
              </w:rPr>
              <w:t>No disutility applied to ECP (not appropriate)</w:t>
            </w:r>
          </w:p>
          <w:p w14:paraId="68CF3B3D" w14:textId="77777777" w:rsidR="008F219D" w:rsidRPr="0066715B" w:rsidRDefault="008F219D" w:rsidP="00D12971">
            <w:pPr>
              <w:pStyle w:val="Tabletext1"/>
              <w:spacing w:after="240"/>
              <w:ind w:left="0"/>
              <w:rPr>
                <w:i/>
              </w:rPr>
            </w:pPr>
            <w:r w:rsidRPr="0066715B">
              <w:rPr>
                <w:i/>
              </w:rPr>
              <w:t>No utility or disutility applied to gemcitabine or no treatment (assigned value for severe psoriasis = 0.59 (0.05 monthly). This was not appropriate.</w:t>
            </w:r>
          </w:p>
        </w:tc>
      </w:tr>
      <w:tr w:rsidR="00BC52A8" w:rsidRPr="0066715B" w14:paraId="45A6FB60" w14:textId="77777777" w:rsidTr="002A72F7">
        <w:tc>
          <w:tcPr>
            <w:tcW w:w="1146" w:type="pct"/>
          </w:tcPr>
          <w:p w14:paraId="060AB345" w14:textId="77777777" w:rsidR="00BC52A8" w:rsidRPr="0066715B" w:rsidRDefault="00BC52A8" w:rsidP="00BC52A8">
            <w:pPr>
              <w:pStyle w:val="Tabletext1"/>
              <w:ind w:left="0"/>
              <w:rPr>
                <w:i/>
              </w:rPr>
            </w:pPr>
            <w:r w:rsidRPr="0066715B">
              <w:rPr>
                <w:i/>
              </w:rPr>
              <w:t>Other costs associated with treatment</w:t>
            </w:r>
          </w:p>
        </w:tc>
        <w:tc>
          <w:tcPr>
            <w:tcW w:w="1636" w:type="pct"/>
          </w:tcPr>
          <w:p w14:paraId="638C0028" w14:textId="77777777" w:rsidR="00BC52A8" w:rsidRPr="0066715B" w:rsidRDefault="00BC52A8" w:rsidP="00BC52A8">
            <w:pPr>
              <w:pStyle w:val="Tabletext1"/>
              <w:ind w:left="0"/>
              <w:rPr>
                <w:i/>
              </w:rPr>
            </w:pPr>
            <w:r w:rsidRPr="0066715B">
              <w:rPr>
                <w:i/>
              </w:rPr>
              <w:t>ECP: venous access</w:t>
            </w:r>
          </w:p>
        </w:tc>
        <w:tc>
          <w:tcPr>
            <w:tcW w:w="2218" w:type="pct"/>
          </w:tcPr>
          <w:p w14:paraId="0CEEF12D" w14:textId="77777777" w:rsidR="00BC52A8" w:rsidRPr="0066715B" w:rsidRDefault="00BC52A8" w:rsidP="00D12971">
            <w:pPr>
              <w:pStyle w:val="Tabletext1"/>
              <w:spacing w:after="240"/>
              <w:ind w:left="0"/>
              <w:rPr>
                <w:i/>
              </w:rPr>
            </w:pPr>
            <w:r w:rsidRPr="0066715B">
              <w:rPr>
                <w:i/>
              </w:rPr>
              <w:t>Not included. Expert opinion stated most patients treated with ECP would require venous catheter.</w:t>
            </w:r>
          </w:p>
        </w:tc>
      </w:tr>
    </w:tbl>
    <w:p w14:paraId="32067C46" w14:textId="77777777" w:rsidR="00BC52A8" w:rsidRDefault="00BC52A8" w:rsidP="00BC52A8">
      <w:pPr>
        <w:pStyle w:val="TableFooter"/>
      </w:pPr>
      <w:r>
        <w:t>Source: Table 81, p161 and pp149-161 of the resubmission</w:t>
      </w:r>
    </w:p>
    <w:p w14:paraId="3DDA6092" w14:textId="397A2329" w:rsidR="00BC52A8" w:rsidRPr="00BC52A8" w:rsidRDefault="00BC52A8" w:rsidP="00BC52A8">
      <w:pPr>
        <w:pStyle w:val="TableFooter"/>
        <w:rPr>
          <w:color w:val="808080" w:themeColor="background1" w:themeShade="80"/>
        </w:rPr>
      </w:pPr>
      <w:r>
        <w:t xml:space="preserve">CR = complete response; CUA = cost utility analysis; ECP = extracorporeal photopheresis; HDACi = </w:t>
      </w:r>
      <w:r w:rsidRPr="001A74A9">
        <w:t>Histone deacetylase inhibitor</w:t>
      </w:r>
      <w:r>
        <w:t xml:space="preserve">; ICER = incremental cost effectiveness ratio; KM = Kaplan Meier; LOCF = last observation carried forward; MBS = Medicare Benefits Schedule; NR = no response; Pts = patients; PR = partial response; PBS = Pharmaceutical Benefits Scheme; QOL = quality of life; SA = sensitivity analysis; SG = standard gamble; SS = </w:t>
      </w:r>
      <w:r w:rsidRPr="00F4493B">
        <w:t>Sézary Syndrome</w:t>
      </w:r>
      <w:r>
        <w:t xml:space="preserve">; TSEB = total skin electron beam; TTNT = time to next treatment; TTO = time trade-off; Tx = treatment; </w:t>
      </w:r>
      <w:r w:rsidRPr="00EA23B2">
        <w:t>vs = versus</w:t>
      </w:r>
      <w:r>
        <w:t xml:space="preserve">; VCCC = </w:t>
      </w:r>
      <w:r w:rsidRPr="005B5A11">
        <w:t>Victorian Comprehensive Cancer Clinic</w:t>
      </w:r>
      <w:r>
        <w:t>;</w:t>
      </w:r>
      <w:r w:rsidRPr="005B5A11">
        <w:t xml:space="preserve"> </w:t>
      </w:r>
      <w:r>
        <w:t>Yr = year;</w:t>
      </w:r>
      <w:r w:rsidRPr="00E81898">
        <w:rPr>
          <w:color w:val="808080" w:themeColor="background1" w:themeShade="80"/>
        </w:rPr>
        <w:t xml:space="preserve"> </w:t>
      </w:r>
      <w:r w:rsidRPr="00EA64A5">
        <w:rPr>
          <w:color w:val="808080" w:themeColor="background1" w:themeShade="80"/>
        </w:rPr>
        <w:t xml:space="preserve">Grey text = presented in </w:t>
      </w:r>
      <w:r w:rsidR="00F81D3C">
        <w:rPr>
          <w:color w:val="808080" w:themeColor="background1" w:themeShade="80"/>
        </w:rPr>
        <w:t xml:space="preserve">submission to </w:t>
      </w:r>
      <w:r w:rsidRPr="00EA64A5">
        <w:rPr>
          <w:color w:val="808080" w:themeColor="background1" w:themeShade="80"/>
        </w:rPr>
        <w:t xml:space="preserve">July 2017 </w:t>
      </w:r>
      <w:r w:rsidR="00F81D3C">
        <w:rPr>
          <w:color w:val="808080" w:themeColor="background1" w:themeShade="80"/>
        </w:rPr>
        <w:t>MSAC</w:t>
      </w:r>
    </w:p>
    <w:p w14:paraId="7DB7A464" w14:textId="77777777" w:rsidR="004C605E" w:rsidRPr="00F715D1" w:rsidRDefault="004C605E" w:rsidP="004C605E">
      <w:pPr>
        <w:pStyle w:val="Heading1"/>
      </w:pPr>
      <w:r w:rsidRPr="00F715D1">
        <w:t>Economic evaluation</w:t>
      </w:r>
    </w:p>
    <w:p w14:paraId="7A6E488B" w14:textId="2A4697CF" w:rsidR="00E67922" w:rsidRDefault="00BC52A8" w:rsidP="00120CE2">
      <w:pPr>
        <w:spacing w:after="240"/>
      </w:pPr>
      <w:r>
        <w:t>Brentuximab vedotin has a special pricing arrangement, and all analyses presented in this section are based on the published price of brentuximab vedotin. An alternative analysis using the effectiv</w:t>
      </w:r>
      <w:r w:rsidR="00B11950">
        <w:t>e price of brentuximab vedotin wa</w:t>
      </w:r>
      <w:r>
        <w:t>s presented in the Committee in Confidence section, which shifted the result from domi</w:t>
      </w:r>
      <w:r w:rsidR="00120CE2">
        <w:t>nant to a moderately high ICER.</w:t>
      </w:r>
    </w:p>
    <w:p w14:paraId="0CD9E5F1" w14:textId="00B4958F" w:rsidR="002A72F7" w:rsidRPr="002A72F7" w:rsidRDefault="00BC52A8" w:rsidP="002A72F7">
      <w:pPr>
        <w:spacing w:after="240"/>
        <w:rPr>
          <w:iCs/>
        </w:rPr>
      </w:pPr>
      <w:r>
        <w:t xml:space="preserve">The stepped economic evaluation is summarised in Table 8; the base case is a cost-utility analysis (Step 3) now modelled over a five year time horizon to allow patients to cycle through multiple lines of therapy </w:t>
      </w:r>
      <w:r w:rsidRPr="00CE46C7">
        <w:t>(including methotrexate, interferon</w:t>
      </w:r>
      <w:r w:rsidR="000D4965" w:rsidRPr="00182250">
        <w:t>-α</w:t>
      </w:r>
      <w:r w:rsidRPr="00CE46C7">
        <w:t>, vorinostat and brentuximab vedotin)</w:t>
      </w:r>
      <w:r>
        <w:t>,</w:t>
      </w:r>
      <w:r w:rsidRPr="00CE46C7">
        <w:t xml:space="preserve"> before switching to chemotherapy</w:t>
      </w:r>
      <w:r>
        <w:t>.</w:t>
      </w:r>
      <w:bookmarkStart w:id="14" w:name="_Ref26365017"/>
      <w:r w:rsidR="002A72F7">
        <w:rPr>
          <w:rFonts w:ascii="Arial Narrow" w:hAnsi="Arial Narrow"/>
          <w:b/>
          <w:sz w:val="20"/>
        </w:rPr>
        <w:br w:type="page"/>
      </w:r>
    </w:p>
    <w:p w14:paraId="3F3B8925" w14:textId="7B47CEEA" w:rsidR="00BC52A8" w:rsidRPr="002A72F7" w:rsidRDefault="00BC52A8" w:rsidP="002A72F7">
      <w:pPr>
        <w:rPr>
          <w:rFonts w:ascii="Arial Narrow" w:hAnsi="Arial Narrow"/>
          <w:b/>
          <w:sz w:val="20"/>
        </w:rPr>
      </w:pPr>
      <w:r w:rsidRPr="002A72F7">
        <w:rPr>
          <w:rFonts w:ascii="Arial Narrow" w:hAnsi="Arial Narrow"/>
          <w:b/>
          <w:sz w:val="20"/>
        </w:rPr>
        <w:lastRenderedPageBreak/>
        <w:t>Table</w:t>
      </w:r>
      <w:bookmarkEnd w:id="14"/>
      <w:r w:rsidRPr="002A72F7">
        <w:rPr>
          <w:rFonts w:ascii="Arial Narrow" w:hAnsi="Arial Narrow"/>
          <w:b/>
          <w:sz w:val="20"/>
        </w:rPr>
        <w:t xml:space="preserve"> 8: Summary of the economic evaluation</w:t>
      </w:r>
    </w:p>
    <w:tbl>
      <w:tblPr>
        <w:tblStyle w:val="OPTUMTableNormal1"/>
        <w:tblW w:w="5000" w:type="pct"/>
        <w:tblLook w:val="01E0" w:firstRow="1" w:lastRow="1" w:firstColumn="1" w:lastColumn="1" w:noHBand="0" w:noVBand="0"/>
        <w:tblCaption w:val="Summary of the stepped economic evaluation "/>
        <w:tblDescription w:val="Description of the resubmission's 3-stepped economic evaluation"/>
      </w:tblPr>
      <w:tblGrid>
        <w:gridCol w:w="2426"/>
        <w:gridCol w:w="2272"/>
        <w:gridCol w:w="2272"/>
        <w:gridCol w:w="2272"/>
      </w:tblGrid>
      <w:tr w:rsidR="00BC52A8" w:rsidRPr="0066715B" w14:paraId="133FA9D8" w14:textId="77777777" w:rsidTr="002A72F7">
        <w:trPr>
          <w:cnfStyle w:val="100000000000" w:firstRow="1" w:lastRow="0" w:firstColumn="0" w:lastColumn="0" w:oddVBand="0" w:evenVBand="0" w:oddHBand="0" w:evenHBand="0" w:firstRowFirstColumn="0" w:firstRowLastColumn="0" w:lastRowFirstColumn="0" w:lastRowLastColumn="0"/>
          <w:trHeight w:val="20"/>
          <w:tblHeader/>
        </w:trPr>
        <w:tc>
          <w:tcPr>
            <w:tcW w:w="1313" w:type="pct"/>
          </w:tcPr>
          <w:p w14:paraId="6A0914A0" w14:textId="77777777" w:rsidR="00BC52A8" w:rsidRPr="0066715B" w:rsidRDefault="00BC52A8" w:rsidP="00BC52A8">
            <w:pPr>
              <w:pStyle w:val="TableHeading9ptCent"/>
              <w:keepNext w:val="0"/>
              <w:widowControl w:val="0"/>
              <w:rPr>
                <w:sz w:val="20"/>
              </w:rPr>
            </w:pPr>
          </w:p>
        </w:tc>
        <w:tc>
          <w:tcPr>
            <w:tcW w:w="1229" w:type="pct"/>
          </w:tcPr>
          <w:p w14:paraId="79692333" w14:textId="77777777" w:rsidR="00BC52A8" w:rsidRPr="0066715B" w:rsidRDefault="00BC52A8" w:rsidP="00BC52A8">
            <w:pPr>
              <w:pStyle w:val="TableHeading9ptCent"/>
              <w:keepNext w:val="0"/>
              <w:widowControl w:val="0"/>
              <w:rPr>
                <w:rFonts w:eastAsiaTheme="minorHAnsi" w:cstheme="minorBidi"/>
                <w:sz w:val="20"/>
              </w:rPr>
            </w:pPr>
            <w:r w:rsidRPr="0066715B">
              <w:rPr>
                <w:rFonts w:eastAsiaTheme="minorHAnsi" w:cstheme="minorBidi"/>
                <w:sz w:val="20"/>
              </w:rPr>
              <w:t>Step 1</w:t>
            </w:r>
          </w:p>
        </w:tc>
        <w:tc>
          <w:tcPr>
            <w:tcW w:w="1229" w:type="pct"/>
          </w:tcPr>
          <w:p w14:paraId="51785D01" w14:textId="77777777" w:rsidR="00BC52A8" w:rsidRPr="0066715B" w:rsidRDefault="00BC52A8" w:rsidP="00BC52A8">
            <w:pPr>
              <w:pStyle w:val="TableHeading9ptCent"/>
              <w:keepNext w:val="0"/>
              <w:widowControl w:val="0"/>
              <w:rPr>
                <w:rFonts w:eastAsiaTheme="minorHAnsi" w:cstheme="minorBidi"/>
                <w:sz w:val="20"/>
              </w:rPr>
            </w:pPr>
            <w:r>
              <w:rPr>
                <w:rFonts w:eastAsiaTheme="minorHAnsi" w:cstheme="minorBidi"/>
                <w:sz w:val="20"/>
              </w:rPr>
              <w:t>Step 2</w:t>
            </w:r>
          </w:p>
        </w:tc>
        <w:tc>
          <w:tcPr>
            <w:tcW w:w="1229" w:type="pct"/>
          </w:tcPr>
          <w:p w14:paraId="1194C469" w14:textId="77777777" w:rsidR="00BC52A8" w:rsidRPr="0066715B" w:rsidRDefault="00BC52A8" w:rsidP="00BC52A8">
            <w:pPr>
              <w:pStyle w:val="TableHeading9ptCent"/>
              <w:keepNext w:val="0"/>
              <w:widowControl w:val="0"/>
              <w:rPr>
                <w:rFonts w:eastAsiaTheme="minorHAnsi" w:cstheme="minorBidi"/>
                <w:sz w:val="20"/>
              </w:rPr>
            </w:pPr>
            <w:r>
              <w:rPr>
                <w:rFonts w:eastAsiaTheme="minorHAnsi" w:cstheme="minorBidi"/>
                <w:sz w:val="20"/>
              </w:rPr>
              <w:t>Step 3</w:t>
            </w:r>
          </w:p>
        </w:tc>
      </w:tr>
      <w:tr w:rsidR="00BC52A8" w:rsidRPr="0066715B" w14:paraId="79A8E46F" w14:textId="77777777" w:rsidTr="002A72F7">
        <w:trPr>
          <w:trHeight w:val="20"/>
        </w:trPr>
        <w:tc>
          <w:tcPr>
            <w:tcW w:w="1313" w:type="pct"/>
          </w:tcPr>
          <w:p w14:paraId="0C6371B4" w14:textId="77777777" w:rsidR="00BC52A8" w:rsidRPr="0066715B" w:rsidRDefault="00BC52A8" w:rsidP="00BC52A8">
            <w:pPr>
              <w:widowControl w:val="0"/>
              <w:spacing w:after="40"/>
              <w:rPr>
                <w:rFonts w:ascii="Arial Narrow" w:hAnsi="Arial Narrow"/>
                <w:b/>
                <w:sz w:val="20"/>
              </w:rPr>
            </w:pPr>
            <w:r w:rsidRPr="0066715B">
              <w:rPr>
                <w:rFonts w:ascii="Arial Narrow" w:hAnsi="Arial Narrow"/>
                <w:b/>
                <w:sz w:val="20"/>
              </w:rPr>
              <w:t>Perspective</w:t>
            </w:r>
          </w:p>
        </w:tc>
        <w:tc>
          <w:tcPr>
            <w:tcW w:w="1229" w:type="pct"/>
          </w:tcPr>
          <w:p w14:paraId="5E0DBCA3" w14:textId="77777777" w:rsidR="00BC52A8" w:rsidRPr="0066715B" w:rsidRDefault="00BC52A8" w:rsidP="00BC52A8">
            <w:pPr>
              <w:widowControl w:val="0"/>
              <w:rPr>
                <w:rFonts w:ascii="Arial Narrow" w:eastAsia="Calibri" w:hAnsi="Arial Narrow"/>
                <w:sz w:val="20"/>
                <w:lang w:eastAsia="en-US"/>
              </w:rPr>
            </w:pPr>
            <w:r w:rsidRPr="0066715B">
              <w:rPr>
                <w:rFonts w:ascii="Arial Narrow" w:hAnsi="Arial Narrow"/>
                <w:sz w:val="20"/>
              </w:rPr>
              <w:t>Australian Government</w:t>
            </w:r>
          </w:p>
        </w:tc>
        <w:tc>
          <w:tcPr>
            <w:tcW w:w="1229" w:type="pct"/>
          </w:tcPr>
          <w:p w14:paraId="500AA689" w14:textId="77777777" w:rsidR="00BC52A8" w:rsidRPr="0066715B" w:rsidRDefault="00BC52A8" w:rsidP="00BC52A8">
            <w:pPr>
              <w:widowControl w:val="0"/>
              <w:rPr>
                <w:rFonts w:ascii="Arial Narrow" w:eastAsia="Calibri" w:hAnsi="Arial Narrow"/>
                <w:sz w:val="20"/>
                <w:lang w:eastAsia="en-US"/>
              </w:rPr>
            </w:pPr>
            <w:r w:rsidRPr="0066715B">
              <w:rPr>
                <w:rFonts w:ascii="Arial Narrow" w:hAnsi="Arial Narrow"/>
                <w:sz w:val="20"/>
              </w:rPr>
              <w:t>Australian Government</w:t>
            </w:r>
          </w:p>
        </w:tc>
        <w:tc>
          <w:tcPr>
            <w:tcW w:w="1229" w:type="pct"/>
          </w:tcPr>
          <w:p w14:paraId="43A3B022" w14:textId="77777777" w:rsidR="00BC52A8" w:rsidRPr="0066715B" w:rsidRDefault="00BC52A8" w:rsidP="00BC52A8">
            <w:pPr>
              <w:widowControl w:val="0"/>
              <w:rPr>
                <w:rFonts w:ascii="Arial Narrow" w:eastAsia="Calibri" w:hAnsi="Arial Narrow"/>
                <w:sz w:val="20"/>
                <w:lang w:eastAsia="en-US"/>
              </w:rPr>
            </w:pPr>
            <w:r w:rsidRPr="0066715B">
              <w:rPr>
                <w:rFonts w:ascii="Arial Narrow" w:hAnsi="Arial Narrow"/>
                <w:sz w:val="20"/>
              </w:rPr>
              <w:t>Australian Government</w:t>
            </w:r>
          </w:p>
        </w:tc>
      </w:tr>
      <w:tr w:rsidR="00BC52A8" w:rsidRPr="0066715B" w14:paraId="349B2620" w14:textId="77777777" w:rsidTr="002A72F7">
        <w:trPr>
          <w:trHeight w:val="792"/>
        </w:trPr>
        <w:tc>
          <w:tcPr>
            <w:tcW w:w="1313" w:type="pct"/>
          </w:tcPr>
          <w:p w14:paraId="5F507F97" w14:textId="77777777" w:rsidR="00BC52A8" w:rsidRPr="0066715B" w:rsidRDefault="00BC52A8" w:rsidP="00BC52A8">
            <w:pPr>
              <w:widowControl w:val="0"/>
              <w:spacing w:after="40"/>
              <w:rPr>
                <w:rFonts w:ascii="Arial Narrow" w:hAnsi="Arial Narrow"/>
                <w:b/>
                <w:sz w:val="20"/>
              </w:rPr>
            </w:pPr>
            <w:r w:rsidRPr="0066715B">
              <w:rPr>
                <w:rFonts w:ascii="Arial Narrow" w:hAnsi="Arial Narrow"/>
                <w:b/>
                <w:sz w:val="20"/>
              </w:rPr>
              <w:t>Comparators</w:t>
            </w:r>
          </w:p>
        </w:tc>
        <w:tc>
          <w:tcPr>
            <w:tcW w:w="1229" w:type="pct"/>
          </w:tcPr>
          <w:p w14:paraId="2E3BBB11" w14:textId="77777777" w:rsidR="00BC52A8" w:rsidRPr="0066715B" w:rsidRDefault="00BC52A8" w:rsidP="00BC52A8">
            <w:pPr>
              <w:pStyle w:val="Tabletext33resub"/>
              <w:keepNext w:val="0"/>
              <w:widowControl w:val="0"/>
              <w:tabs>
                <w:tab w:val="clear" w:pos="19"/>
              </w:tabs>
              <w:ind w:left="0"/>
              <w:jc w:val="left"/>
              <w:rPr>
                <w:sz w:val="20"/>
                <w:szCs w:val="20"/>
              </w:rPr>
            </w:pPr>
            <w:r w:rsidRPr="0066715B">
              <w:rPr>
                <w:sz w:val="20"/>
                <w:szCs w:val="20"/>
              </w:rPr>
              <w:t>Methotrexate</w:t>
            </w:r>
          </w:p>
          <w:p w14:paraId="448454A4" w14:textId="764C813B" w:rsidR="00BC52A8" w:rsidRPr="0066715B" w:rsidRDefault="00BC52A8" w:rsidP="00BC52A8">
            <w:pPr>
              <w:pStyle w:val="Tabletext33resub"/>
              <w:keepNext w:val="0"/>
              <w:widowControl w:val="0"/>
              <w:tabs>
                <w:tab w:val="clear" w:pos="19"/>
              </w:tabs>
              <w:ind w:left="0"/>
              <w:jc w:val="left"/>
              <w:rPr>
                <w:sz w:val="20"/>
                <w:szCs w:val="20"/>
              </w:rPr>
            </w:pPr>
            <w:r w:rsidRPr="0066715B">
              <w:rPr>
                <w:sz w:val="20"/>
                <w:szCs w:val="20"/>
              </w:rPr>
              <w:t>Interferon</w:t>
            </w:r>
            <w:r w:rsidR="000D4965" w:rsidRPr="000D4965">
              <w:rPr>
                <w:sz w:val="20"/>
                <w:szCs w:val="20"/>
              </w:rPr>
              <w:t>-α</w:t>
            </w:r>
          </w:p>
          <w:p w14:paraId="23AFECC6" w14:textId="77777777" w:rsidR="00BC52A8" w:rsidRPr="0066715B" w:rsidRDefault="00BC52A8" w:rsidP="00BC52A8">
            <w:pPr>
              <w:pStyle w:val="Tabletext33resub"/>
              <w:keepNext w:val="0"/>
              <w:widowControl w:val="0"/>
              <w:tabs>
                <w:tab w:val="clear" w:pos="19"/>
              </w:tabs>
              <w:ind w:left="0"/>
              <w:jc w:val="left"/>
              <w:rPr>
                <w:sz w:val="20"/>
                <w:szCs w:val="20"/>
              </w:rPr>
            </w:pPr>
            <w:r w:rsidRPr="0066715B">
              <w:rPr>
                <w:sz w:val="20"/>
                <w:szCs w:val="20"/>
              </w:rPr>
              <w:t>Vorinostat</w:t>
            </w:r>
          </w:p>
          <w:p w14:paraId="2F1B2F90" w14:textId="77777777" w:rsidR="00BC52A8" w:rsidRPr="0066715B" w:rsidRDefault="00BC52A8" w:rsidP="00BC52A8">
            <w:pPr>
              <w:widowControl w:val="0"/>
              <w:rPr>
                <w:rFonts w:ascii="Arial Narrow" w:eastAsia="Calibri" w:hAnsi="Arial Narrow"/>
                <w:sz w:val="20"/>
                <w:lang w:eastAsia="en-US"/>
              </w:rPr>
            </w:pPr>
            <w:r w:rsidRPr="0066715B">
              <w:rPr>
                <w:rFonts w:ascii="Arial Narrow" w:hAnsi="Arial Narrow"/>
                <w:sz w:val="20"/>
              </w:rPr>
              <w:t>Bren</w:t>
            </w:r>
            <w:r>
              <w:rPr>
                <w:rFonts w:ascii="Arial Narrow" w:hAnsi="Arial Narrow"/>
                <w:sz w:val="20"/>
              </w:rPr>
              <w:t>tuximab v</w:t>
            </w:r>
            <w:r w:rsidRPr="0066715B">
              <w:rPr>
                <w:rFonts w:ascii="Arial Narrow" w:hAnsi="Arial Narrow"/>
                <w:sz w:val="20"/>
              </w:rPr>
              <w:t>edotin</w:t>
            </w:r>
          </w:p>
        </w:tc>
        <w:tc>
          <w:tcPr>
            <w:tcW w:w="1229" w:type="pct"/>
          </w:tcPr>
          <w:p w14:paraId="40FC73AA" w14:textId="77777777" w:rsidR="00BC52A8" w:rsidRPr="0066715B" w:rsidRDefault="00BC52A8" w:rsidP="00BC52A8">
            <w:pPr>
              <w:pStyle w:val="Tabletext33resub"/>
              <w:keepNext w:val="0"/>
              <w:widowControl w:val="0"/>
              <w:tabs>
                <w:tab w:val="clear" w:pos="19"/>
              </w:tabs>
              <w:ind w:left="0"/>
              <w:jc w:val="left"/>
              <w:rPr>
                <w:sz w:val="20"/>
                <w:szCs w:val="20"/>
              </w:rPr>
            </w:pPr>
            <w:r w:rsidRPr="0066715B">
              <w:rPr>
                <w:sz w:val="20"/>
                <w:szCs w:val="20"/>
              </w:rPr>
              <w:t>Methotrexate</w:t>
            </w:r>
          </w:p>
          <w:p w14:paraId="2FEE1E1F" w14:textId="58C09C1A" w:rsidR="00BC52A8" w:rsidRPr="0066715B" w:rsidRDefault="00BC52A8" w:rsidP="00BC52A8">
            <w:pPr>
              <w:pStyle w:val="Tabletext33resub"/>
              <w:keepNext w:val="0"/>
              <w:widowControl w:val="0"/>
              <w:tabs>
                <w:tab w:val="clear" w:pos="19"/>
              </w:tabs>
              <w:ind w:left="0"/>
              <w:jc w:val="left"/>
              <w:rPr>
                <w:sz w:val="20"/>
                <w:szCs w:val="20"/>
              </w:rPr>
            </w:pPr>
            <w:r w:rsidRPr="0066715B">
              <w:rPr>
                <w:sz w:val="20"/>
                <w:szCs w:val="20"/>
              </w:rPr>
              <w:t>Interferon</w:t>
            </w:r>
            <w:r w:rsidR="000D4965" w:rsidRPr="000D4965">
              <w:rPr>
                <w:sz w:val="20"/>
                <w:szCs w:val="20"/>
              </w:rPr>
              <w:t>-α</w:t>
            </w:r>
          </w:p>
          <w:p w14:paraId="5D064B2D" w14:textId="77777777" w:rsidR="00BC52A8" w:rsidRPr="0066715B" w:rsidRDefault="00BC52A8" w:rsidP="00BC52A8">
            <w:pPr>
              <w:pStyle w:val="Tabletext33resub"/>
              <w:keepNext w:val="0"/>
              <w:widowControl w:val="0"/>
              <w:tabs>
                <w:tab w:val="clear" w:pos="19"/>
              </w:tabs>
              <w:ind w:left="0"/>
              <w:jc w:val="left"/>
              <w:rPr>
                <w:sz w:val="20"/>
                <w:szCs w:val="20"/>
              </w:rPr>
            </w:pPr>
            <w:r w:rsidRPr="0066715B">
              <w:rPr>
                <w:sz w:val="20"/>
                <w:szCs w:val="20"/>
              </w:rPr>
              <w:t>Vorinostat</w:t>
            </w:r>
          </w:p>
          <w:p w14:paraId="557ED4DD" w14:textId="77777777" w:rsidR="00BC52A8" w:rsidRPr="0066715B" w:rsidRDefault="00BC52A8" w:rsidP="00BC52A8">
            <w:pPr>
              <w:widowControl w:val="0"/>
              <w:rPr>
                <w:rFonts w:ascii="Arial Narrow" w:eastAsia="Calibri" w:hAnsi="Arial Narrow"/>
                <w:sz w:val="20"/>
                <w:lang w:eastAsia="en-US"/>
              </w:rPr>
            </w:pPr>
            <w:r>
              <w:rPr>
                <w:rFonts w:ascii="Arial Narrow" w:hAnsi="Arial Narrow"/>
                <w:sz w:val="20"/>
              </w:rPr>
              <w:t>Brentuximab v</w:t>
            </w:r>
            <w:r w:rsidRPr="0066715B">
              <w:rPr>
                <w:rFonts w:ascii="Arial Narrow" w:hAnsi="Arial Narrow"/>
                <w:sz w:val="20"/>
              </w:rPr>
              <w:t>edotin</w:t>
            </w:r>
          </w:p>
        </w:tc>
        <w:tc>
          <w:tcPr>
            <w:tcW w:w="1229" w:type="pct"/>
          </w:tcPr>
          <w:p w14:paraId="7DB9021D" w14:textId="77777777" w:rsidR="00BC52A8" w:rsidRPr="0066715B" w:rsidRDefault="00BC52A8" w:rsidP="00BC52A8">
            <w:pPr>
              <w:pStyle w:val="Tabletext33resub"/>
              <w:keepNext w:val="0"/>
              <w:widowControl w:val="0"/>
              <w:tabs>
                <w:tab w:val="clear" w:pos="19"/>
              </w:tabs>
              <w:ind w:left="0"/>
              <w:jc w:val="left"/>
              <w:rPr>
                <w:sz w:val="20"/>
                <w:szCs w:val="20"/>
              </w:rPr>
            </w:pPr>
            <w:r w:rsidRPr="0066715B">
              <w:rPr>
                <w:sz w:val="20"/>
                <w:szCs w:val="20"/>
              </w:rPr>
              <w:t>Methotrexate</w:t>
            </w:r>
          </w:p>
          <w:p w14:paraId="3D931EF4" w14:textId="346E22FB" w:rsidR="00BC52A8" w:rsidRPr="0066715B" w:rsidRDefault="00BC52A8" w:rsidP="00BC52A8">
            <w:pPr>
              <w:pStyle w:val="Tabletext33resub"/>
              <w:keepNext w:val="0"/>
              <w:widowControl w:val="0"/>
              <w:tabs>
                <w:tab w:val="clear" w:pos="19"/>
              </w:tabs>
              <w:ind w:left="0"/>
              <w:jc w:val="left"/>
              <w:rPr>
                <w:sz w:val="20"/>
                <w:szCs w:val="20"/>
              </w:rPr>
            </w:pPr>
            <w:r w:rsidRPr="0066715B">
              <w:rPr>
                <w:sz w:val="20"/>
                <w:szCs w:val="20"/>
              </w:rPr>
              <w:t>Interferon</w:t>
            </w:r>
            <w:r w:rsidR="000D4965" w:rsidRPr="000D4965">
              <w:rPr>
                <w:sz w:val="20"/>
                <w:szCs w:val="20"/>
              </w:rPr>
              <w:t>-α</w:t>
            </w:r>
          </w:p>
          <w:p w14:paraId="50173967" w14:textId="77777777" w:rsidR="00BC52A8" w:rsidRPr="0066715B" w:rsidRDefault="00BC52A8" w:rsidP="00BC52A8">
            <w:pPr>
              <w:pStyle w:val="Tabletext33resub"/>
              <w:keepNext w:val="0"/>
              <w:widowControl w:val="0"/>
              <w:tabs>
                <w:tab w:val="clear" w:pos="19"/>
              </w:tabs>
              <w:ind w:left="0"/>
              <w:jc w:val="left"/>
              <w:rPr>
                <w:sz w:val="20"/>
                <w:szCs w:val="20"/>
              </w:rPr>
            </w:pPr>
            <w:r w:rsidRPr="0066715B">
              <w:rPr>
                <w:sz w:val="20"/>
                <w:szCs w:val="20"/>
              </w:rPr>
              <w:t>Vorinostat</w:t>
            </w:r>
          </w:p>
          <w:p w14:paraId="2601F831" w14:textId="77777777" w:rsidR="00BC52A8" w:rsidRPr="0066715B" w:rsidRDefault="00BC52A8" w:rsidP="00BC52A8">
            <w:pPr>
              <w:widowControl w:val="0"/>
              <w:rPr>
                <w:rFonts w:ascii="Arial Narrow" w:eastAsia="Calibri" w:hAnsi="Arial Narrow"/>
                <w:sz w:val="20"/>
                <w:lang w:eastAsia="en-US"/>
              </w:rPr>
            </w:pPr>
            <w:r>
              <w:rPr>
                <w:rFonts w:ascii="Arial Narrow" w:hAnsi="Arial Narrow"/>
                <w:sz w:val="20"/>
              </w:rPr>
              <w:t>Brentuximab v</w:t>
            </w:r>
            <w:r w:rsidRPr="0066715B">
              <w:rPr>
                <w:rFonts w:ascii="Arial Narrow" w:hAnsi="Arial Narrow"/>
                <w:sz w:val="20"/>
              </w:rPr>
              <w:t>edotin</w:t>
            </w:r>
          </w:p>
        </w:tc>
      </w:tr>
      <w:tr w:rsidR="00BC52A8" w:rsidRPr="0066715B" w14:paraId="3F53B041" w14:textId="77777777" w:rsidTr="002A72F7">
        <w:trPr>
          <w:trHeight w:val="20"/>
        </w:trPr>
        <w:tc>
          <w:tcPr>
            <w:tcW w:w="1313" w:type="pct"/>
          </w:tcPr>
          <w:p w14:paraId="3F12678D" w14:textId="77777777" w:rsidR="00BC52A8" w:rsidRPr="0066715B" w:rsidRDefault="00BC52A8" w:rsidP="00BC52A8">
            <w:pPr>
              <w:widowControl w:val="0"/>
              <w:spacing w:after="40"/>
              <w:rPr>
                <w:rFonts w:ascii="Arial Narrow" w:hAnsi="Arial Narrow"/>
                <w:b/>
                <w:sz w:val="20"/>
              </w:rPr>
            </w:pPr>
            <w:r w:rsidRPr="0066715B">
              <w:rPr>
                <w:rFonts w:ascii="Arial Narrow" w:hAnsi="Arial Narrow"/>
                <w:b/>
                <w:sz w:val="20"/>
              </w:rPr>
              <w:t>Type of economic evaluation</w:t>
            </w:r>
          </w:p>
        </w:tc>
        <w:tc>
          <w:tcPr>
            <w:tcW w:w="1229" w:type="pct"/>
          </w:tcPr>
          <w:p w14:paraId="401B6277" w14:textId="77777777" w:rsidR="00BC52A8" w:rsidRPr="0066715B" w:rsidRDefault="00BC52A8" w:rsidP="00BC52A8">
            <w:pPr>
              <w:widowControl w:val="0"/>
              <w:rPr>
                <w:rFonts w:ascii="Arial Narrow" w:eastAsia="Calibri" w:hAnsi="Arial Narrow"/>
                <w:sz w:val="20"/>
                <w:lang w:eastAsia="en-US"/>
              </w:rPr>
            </w:pPr>
            <w:r w:rsidRPr="0066715B">
              <w:rPr>
                <w:rFonts w:ascii="Arial Narrow" w:hAnsi="Arial Narrow"/>
                <w:sz w:val="20"/>
              </w:rPr>
              <w:t>Cost per responder</w:t>
            </w:r>
          </w:p>
        </w:tc>
        <w:tc>
          <w:tcPr>
            <w:tcW w:w="1229" w:type="pct"/>
          </w:tcPr>
          <w:p w14:paraId="759D4BB0" w14:textId="77777777" w:rsidR="00BC52A8" w:rsidRPr="0066715B" w:rsidRDefault="00BC52A8" w:rsidP="00BC52A8">
            <w:pPr>
              <w:widowControl w:val="0"/>
              <w:rPr>
                <w:rFonts w:ascii="Arial Narrow" w:eastAsia="Calibri" w:hAnsi="Arial Narrow"/>
                <w:sz w:val="20"/>
                <w:lang w:eastAsia="en-US"/>
              </w:rPr>
            </w:pPr>
            <w:r w:rsidRPr="0066715B">
              <w:rPr>
                <w:rFonts w:ascii="Arial Narrow" w:hAnsi="Arial Narrow"/>
                <w:sz w:val="20"/>
              </w:rPr>
              <w:t>Cost-utility analysis</w:t>
            </w:r>
          </w:p>
        </w:tc>
        <w:tc>
          <w:tcPr>
            <w:tcW w:w="1229" w:type="pct"/>
          </w:tcPr>
          <w:p w14:paraId="2E6DA4B0" w14:textId="77777777" w:rsidR="00BC52A8" w:rsidRPr="0066715B" w:rsidRDefault="00BC52A8" w:rsidP="00BC52A8">
            <w:pPr>
              <w:widowControl w:val="0"/>
              <w:rPr>
                <w:rFonts w:ascii="Arial Narrow" w:eastAsia="Calibri" w:hAnsi="Arial Narrow"/>
                <w:sz w:val="20"/>
                <w:lang w:eastAsia="en-US"/>
              </w:rPr>
            </w:pPr>
            <w:r w:rsidRPr="0066715B">
              <w:rPr>
                <w:rFonts w:ascii="Arial Narrow" w:hAnsi="Arial Narrow"/>
                <w:sz w:val="20"/>
              </w:rPr>
              <w:t>Cost-utility analysis</w:t>
            </w:r>
          </w:p>
        </w:tc>
      </w:tr>
      <w:tr w:rsidR="00BC52A8" w:rsidRPr="0066715B" w14:paraId="7FEEA118" w14:textId="77777777" w:rsidTr="002A72F7">
        <w:trPr>
          <w:trHeight w:val="20"/>
        </w:trPr>
        <w:tc>
          <w:tcPr>
            <w:tcW w:w="1313" w:type="pct"/>
          </w:tcPr>
          <w:p w14:paraId="089D8FEC" w14:textId="77777777" w:rsidR="00BC52A8" w:rsidRPr="0066715B" w:rsidRDefault="00BC52A8" w:rsidP="00BC52A8">
            <w:pPr>
              <w:widowControl w:val="0"/>
              <w:spacing w:after="40"/>
              <w:rPr>
                <w:rFonts w:ascii="Arial Narrow" w:hAnsi="Arial Narrow"/>
                <w:b/>
                <w:sz w:val="20"/>
              </w:rPr>
            </w:pPr>
            <w:r w:rsidRPr="0066715B">
              <w:rPr>
                <w:rFonts w:ascii="Arial Narrow" w:hAnsi="Arial Narrow"/>
                <w:b/>
                <w:sz w:val="20"/>
              </w:rPr>
              <w:t>Key sources of evidence</w:t>
            </w:r>
          </w:p>
        </w:tc>
        <w:tc>
          <w:tcPr>
            <w:tcW w:w="1229" w:type="pct"/>
          </w:tcPr>
          <w:p w14:paraId="1FA71033" w14:textId="66AD0C9C" w:rsidR="00BC52A8" w:rsidRPr="0066715B" w:rsidRDefault="00BC52A8" w:rsidP="00E440B9">
            <w:pPr>
              <w:widowControl w:val="0"/>
              <w:rPr>
                <w:rFonts w:ascii="Arial Narrow" w:eastAsia="Calibri" w:hAnsi="Arial Narrow"/>
                <w:sz w:val="20"/>
                <w:lang w:eastAsia="en-US"/>
              </w:rPr>
            </w:pPr>
            <w:r w:rsidRPr="0066715B">
              <w:rPr>
                <w:rFonts w:ascii="Arial Narrow" w:hAnsi="Arial Narrow"/>
                <w:sz w:val="20"/>
              </w:rPr>
              <w:t>Responder analysis</w:t>
            </w:r>
          </w:p>
        </w:tc>
        <w:tc>
          <w:tcPr>
            <w:tcW w:w="1229" w:type="pct"/>
          </w:tcPr>
          <w:p w14:paraId="67254898" w14:textId="1EC7A01E" w:rsidR="00BC52A8" w:rsidRPr="0066715B" w:rsidRDefault="00BC52A8" w:rsidP="00E440B9">
            <w:pPr>
              <w:widowControl w:val="0"/>
              <w:rPr>
                <w:rFonts w:ascii="Arial Narrow" w:eastAsia="Calibri" w:hAnsi="Arial Narrow"/>
                <w:sz w:val="20"/>
                <w:lang w:eastAsia="en-US"/>
              </w:rPr>
            </w:pPr>
            <w:r>
              <w:rPr>
                <w:rFonts w:ascii="Arial Narrow" w:hAnsi="Arial Narrow"/>
                <w:sz w:val="20"/>
              </w:rPr>
              <w:t>TTNT analysis</w:t>
            </w:r>
          </w:p>
        </w:tc>
        <w:tc>
          <w:tcPr>
            <w:tcW w:w="1229" w:type="pct"/>
          </w:tcPr>
          <w:p w14:paraId="1C5EE7C8" w14:textId="11F2B92B" w:rsidR="00BC52A8" w:rsidRPr="0066715B" w:rsidRDefault="00BC52A8" w:rsidP="00E440B9">
            <w:pPr>
              <w:widowControl w:val="0"/>
              <w:rPr>
                <w:rFonts w:ascii="Arial Narrow" w:eastAsia="Calibri" w:hAnsi="Arial Narrow"/>
                <w:sz w:val="20"/>
                <w:lang w:eastAsia="en-US"/>
              </w:rPr>
            </w:pPr>
            <w:r w:rsidRPr="0066715B">
              <w:rPr>
                <w:rFonts w:ascii="Arial Narrow" w:hAnsi="Arial Narrow"/>
                <w:sz w:val="20"/>
              </w:rPr>
              <w:t>TTNT analysis</w:t>
            </w:r>
          </w:p>
        </w:tc>
      </w:tr>
      <w:tr w:rsidR="00BC52A8" w:rsidRPr="0066715B" w14:paraId="017D2665" w14:textId="77777777" w:rsidTr="002A72F7">
        <w:trPr>
          <w:trHeight w:val="20"/>
        </w:trPr>
        <w:tc>
          <w:tcPr>
            <w:tcW w:w="1313" w:type="pct"/>
            <w:hideMark/>
          </w:tcPr>
          <w:p w14:paraId="00A713D4" w14:textId="77777777" w:rsidR="00BC52A8" w:rsidRPr="0066715B" w:rsidRDefault="00BC52A8" w:rsidP="00BC52A8">
            <w:pPr>
              <w:widowControl w:val="0"/>
              <w:spacing w:after="40"/>
              <w:rPr>
                <w:rFonts w:ascii="Arial Narrow" w:hAnsi="Arial Narrow"/>
                <w:b/>
                <w:sz w:val="20"/>
              </w:rPr>
            </w:pPr>
            <w:r w:rsidRPr="0066715B">
              <w:rPr>
                <w:rFonts w:ascii="Arial Narrow" w:hAnsi="Arial Narrow"/>
                <w:b/>
                <w:sz w:val="20"/>
              </w:rPr>
              <w:t>Time horizon</w:t>
            </w:r>
          </w:p>
        </w:tc>
        <w:tc>
          <w:tcPr>
            <w:tcW w:w="1229" w:type="pct"/>
          </w:tcPr>
          <w:p w14:paraId="24B0541B" w14:textId="77777777" w:rsidR="00BC52A8" w:rsidRPr="0066715B" w:rsidRDefault="00BC52A8" w:rsidP="00BC52A8">
            <w:pPr>
              <w:widowControl w:val="0"/>
              <w:rPr>
                <w:rFonts w:ascii="Arial Narrow" w:eastAsia="Calibri" w:hAnsi="Arial Narrow"/>
                <w:sz w:val="20"/>
                <w:lang w:eastAsia="en-US"/>
              </w:rPr>
            </w:pPr>
            <w:r w:rsidRPr="0066715B">
              <w:rPr>
                <w:rFonts w:ascii="Arial Narrow" w:hAnsi="Arial Narrow"/>
                <w:sz w:val="20"/>
              </w:rPr>
              <w:t>6 months</w:t>
            </w:r>
          </w:p>
        </w:tc>
        <w:tc>
          <w:tcPr>
            <w:tcW w:w="1229" w:type="pct"/>
          </w:tcPr>
          <w:p w14:paraId="1B974A1B" w14:textId="77777777" w:rsidR="00BC52A8" w:rsidRPr="0066715B" w:rsidRDefault="00BC52A8" w:rsidP="00BC52A8">
            <w:pPr>
              <w:widowControl w:val="0"/>
              <w:rPr>
                <w:rFonts w:ascii="Arial Narrow" w:eastAsia="Calibri" w:hAnsi="Arial Narrow"/>
                <w:sz w:val="20"/>
                <w:lang w:eastAsia="en-US"/>
              </w:rPr>
            </w:pPr>
            <w:r w:rsidRPr="0066715B">
              <w:rPr>
                <w:rFonts w:ascii="Arial Narrow" w:hAnsi="Arial Narrow"/>
                <w:sz w:val="20"/>
              </w:rPr>
              <w:t>6 months</w:t>
            </w:r>
          </w:p>
        </w:tc>
        <w:tc>
          <w:tcPr>
            <w:tcW w:w="1229" w:type="pct"/>
          </w:tcPr>
          <w:p w14:paraId="1602B8ED" w14:textId="77777777" w:rsidR="00BC52A8" w:rsidRPr="0066715B" w:rsidRDefault="00BC52A8" w:rsidP="00BC52A8">
            <w:pPr>
              <w:widowControl w:val="0"/>
              <w:rPr>
                <w:rFonts w:ascii="Arial Narrow" w:eastAsia="Calibri" w:hAnsi="Arial Narrow"/>
                <w:sz w:val="20"/>
                <w:lang w:eastAsia="en-US"/>
              </w:rPr>
            </w:pPr>
            <w:r w:rsidRPr="0066715B">
              <w:rPr>
                <w:rFonts w:ascii="Arial Narrow" w:hAnsi="Arial Narrow"/>
                <w:sz w:val="20"/>
              </w:rPr>
              <w:t>5 years</w:t>
            </w:r>
          </w:p>
        </w:tc>
      </w:tr>
      <w:tr w:rsidR="00BC52A8" w:rsidRPr="0066715B" w14:paraId="3B586766" w14:textId="77777777" w:rsidTr="002A72F7">
        <w:trPr>
          <w:trHeight w:val="20"/>
        </w:trPr>
        <w:tc>
          <w:tcPr>
            <w:tcW w:w="1313" w:type="pct"/>
            <w:hideMark/>
          </w:tcPr>
          <w:p w14:paraId="393694B2" w14:textId="77777777" w:rsidR="00BC52A8" w:rsidRPr="0066715B" w:rsidRDefault="00BC52A8" w:rsidP="00BC52A8">
            <w:pPr>
              <w:widowControl w:val="0"/>
              <w:spacing w:after="40"/>
              <w:rPr>
                <w:rFonts w:ascii="Arial Narrow" w:hAnsi="Arial Narrow"/>
                <w:b/>
                <w:sz w:val="20"/>
              </w:rPr>
            </w:pPr>
            <w:r w:rsidRPr="0066715B">
              <w:rPr>
                <w:rFonts w:ascii="Arial Narrow" w:hAnsi="Arial Narrow"/>
                <w:b/>
                <w:sz w:val="20"/>
              </w:rPr>
              <w:t>Outcomes</w:t>
            </w:r>
          </w:p>
        </w:tc>
        <w:tc>
          <w:tcPr>
            <w:tcW w:w="1229" w:type="pct"/>
          </w:tcPr>
          <w:p w14:paraId="7DF341FF" w14:textId="77777777" w:rsidR="00BC52A8" w:rsidRPr="0066715B" w:rsidRDefault="00BC52A8" w:rsidP="00BC52A8">
            <w:pPr>
              <w:widowControl w:val="0"/>
              <w:rPr>
                <w:rFonts w:ascii="Arial Narrow" w:eastAsia="Calibri" w:hAnsi="Arial Narrow"/>
                <w:sz w:val="20"/>
                <w:lang w:eastAsia="en-US"/>
              </w:rPr>
            </w:pPr>
            <w:r w:rsidRPr="0066715B">
              <w:rPr>
                <w:rFonts w:ascii="Arial Narrow" w:hAnsi="Arial Narrow"/>
                <w:sz w:val="20"/>
              </w:rPr>
              <w:t>Responder</w:t>
            </w:r>
          </w:p>
        </w:tc>
        <w:tc>
          <w:tcPr>
            <w:tcW w:w="1229" w:type="pct"/>
          </w:tcPr>
          <w:p w14:paraId="7837D2B6" w14:textId="77777777" w:rsidR="00BC52A8" w:rsidRPr="0066715B" w:rsidRDefault="00BC52A8" w:rsidP="00BC52A8">
            <w:pPr>
              <w:widowControl w:val="0"/>
              <w:rPr>
                <w:rFonts w:ascii="Arial Narrow" w:eastAsia="Calibri" w:hAnsi="Arial Narrow"/>
                <w:sz w:val="20"/>
                <w:lang w:eastAsia="en-US"/>
              </w:rPr>
            </w:pPr>
            <w:r w:rsidRPr="0066715B">
              <w:rPr>
                <w:rFonts w:ascii="Arial Narrow" w:hAnsi="Arial Narrow"/>
                <w:sz w:val="20"/>
              </w:rPr>
              <w:t>QALYs</w:t>
            </w:r>
          </w:p>
        </w:tc>
        <w:tc>
          <w:tcPr>
            <w:tcW w:w="1229" w:type="pct"/>
          </w:tcPr>
          <w:p w14:paraId="109B92B8" w14:textId="77777777" w:rsidR="00BC52A8" w:rsidRPr="0066715B" w:rsidRDefault="00BC52A8" w:rsidP="00BC52A8">
            <w:pPr>
              <w:widowControl w:val="0"/>
              <w:rPr>
                <w:rFonts w:ascii="Arial Narrow" w:eastAsia="Calibri" w:hAnsi="Arial Narrow"/>
                <w:sz w:val="20"/>
                <w:lang w:eastAsia="en-US"/>
              </w:rPr>
            </w:pPr>
            <w:r w:rsidRPr="0066715B">
              <w:rPr>
                <w:rFonts w:ascii="Arial Narrow" w:hAnsi="Arial Narrow"/>
                <w:sz w:val="20"/>
              </w:rPr>
              <w:t>QALYs</w:t>
            </w:r>
          </w:p>
        </w:tc>
      </w:tr>
      <w:tr w:rsidR="00BC52A8" w:rsidRPr="0066715B" w14:paraId="2DDF081B" w14:textId="77777777" w:rsidTr="002A72F7">
        <w:trPr>
          <w:trHeight w:val="20"/>
        </w:trPr>
        <w:tc>
          <w:tcPr>
            <w:tcW w:w="1313" w:type="pct"/>
            <w:hideMark/>
          </w:tcPr>
          <w:p w14:paraId="498383A1" w14:textId="0D979E45" w:rsidR="00BC52A8" w:rsidRPr="0066715B" w:rsidRDefault="00BC52A8" w:rsidP="00176B1A">
            <w:pPr>
              <w:widowControl w:val="0"/>
              <w:spacing w:after="40"/>
              <w:rPr>
                <w:rFonts w:ascii="Arial Narrow" w:hAnsi="Arial Narrow"/>
                <w:b/>
                <w:sz w:val="20"/>
              </w:rPr>
            </w:pPr>
            <w:r w:rsidRPr="0066715B">
              <w:rPr>
                <w:rFonts w:ascii="Arial Narrow" w:hAnsi="Arial Narrow"/>
                <w:b/>
                <w:sz w:val="20"/>
              </w:rPr>
              <w:t>Methods used to generate results</w:t>
            </w:r>
          </w:p>
        </w:tc>
        <w:tc>
          <w:tcPr>
            <w:tcW w:w="1229" w:type="pct"/>
          </w:tcPr>
          <w:p w14:paraId="555D8D94" w14:textId="77777777" w:rsidR="00BC52A8" w:rsidRPr="0066715B" w:rsidRDefault="00BC52A8" w:rsidP="00BC52A8">
            <w:pPr>
              <w:widowControl w:val="0"/>
              <w:rPr>
                <w:rFonts w:ascii="Arial Narrow" w:eastAsia="Calibri" w:hAnsi="Arial Narrow"/>
                <w:sz w:val="20"/>
                <w:lang w:eastAsia="en-US"/>
              </w:rPr>
            </w:pPr>
            <w:r w:rsidRPr="0066715B">
              <w:rPr>
                <w:rFonts w:ascii="Arial Narrow" w:hAnsi="Arial Narrow"/>
                <w:sz w:val="20"/>
              </w:rPr>
              <w:t>Markov model</w:t>
            </w:r>
          </w:p>
        </w:tc>
        <w:tc>
          <w:tcPr>
            <w:tcW w:w="1229" w:type="pct"/>
          </w:tcPr>
          <w:p w14:paraId="010D5BA8" w14:textId="77777777" w:rsidR="00BC52A8" w:rsidRPr="0066715B" w:rsidRDefault="00BC52A8" w:rsidP="00BC52A8">
            <w:pPr>
              <w:widowControl w:val="0"/>
              <w:rPr>
                <w:rFonts w:ascii="Arial Narrow" w:eastAsia="Calibri" w:hAnsi="Arial Narrow"/>
                <w:sz w:val="20"/>
                <w:lang w:eastAsia="en-US"/>
              </w:rPr>
            </w:pPr>
            <w:r w:rsidRPr="0066715B">
              <w:rPr>
                <w:rFonts w:ascii="Arial Narrow" w:hAnsi="Arial Narrow"/>
                <w:sz w:val="20"/>
              </w:rPr>
              <w:t>Markov model</w:t>
            </w:r>
          </w:p>
        </w:tc>
        <w:tc>
          <w:tcPr>
            <w:tcW w:w="1229" w:type="pct"/>
          </w:tcPr>
          <w:p w14:paraId="7881FD4A" w14:textId="77777777" w:rsidR="00BC52A8" w:rsidRPr="0066715B" w:rsidRDefault="00BC52A8" w:rsidP="00BC52A8">
            <w:pPr>
              <w:widowControl w:val="0"/>
              <w:rPr>
                <w:rFonts w:ascii="Arial Narrow" w:eastAsia="Calibri" w:hAnsi="Arial Narrow"/>
                <w:sz w:val="20"/>
                <w:lang w:eastAsia="en-US"/>
              </w:rPr>
            </w:pPr>
            <w:r w:rsidRPr="0066715B">
              <w:rPr>
                <w:rFonts w:ascii="Arial Narrow" w:hAnsi="Arial Narrow"/>
                <w:sz w:val="20"/>
              </w:rPr>
              <w:t>Markov model</w:t>
            </w:r>
          </w:p>
        </w:tc>
      </w:tr>
      <w:tr w:rsidR="00BC52A8" w:rsidRPr="0066715B" w14:paraId="5EDCF0C3" w14:textId="77777777" w:rsidTr="002A72F7">
        <w:trPr>
          <w:trHeight w:val="20"/>
        </w:trPr>
        <w:tc>
          <w:tcPr>
            <w:tcW w:w="1313" w:type="pct"/>
          </w:tcPr>
          <w:p w14:paraId="6046BB5D" w14:textId="77777777" w:rsidR="00BC52A8" w:rsidRPr="0066715B" w:rsidRDefault="00BC52A8" w:rsidP="00BC52A8">
            <w:pPr>
              <w:widowControl w:val="0"/>
              <w:spacing w:after="40"/>
              <w:rPr>
                <w:rFonts w:ascii="Arial Narrow" w:hAnsi="Arial Narrow"/>
                <w:b/>
                <w:sz w:val="20"/>
              </w:rPr>
            </w:pPr>
            <w:r w:rsidRPr="0066715B">
              <w:rPr>
                <w:rFonts w:ascii="Arial Narrow" w:hAnsi="Arial Narrow"/>
                <w:b/>
                <w:sz w:val="20"/>
              </w:rPr>
              <w:t>Health states</w:t>
            </w:r>
          </w:p>
        </w:tc>
        <w:tc>
          <w:tcPr>
            <w:tcW w:w="1229" w:type="pct"/>
          </w:tcPr>
          <w:p w14:paraId="148ECA89" w14:textId="77777777" w:rsidR="00BC52A8" w:rsidRPr="0066715B" w:rsidRDefault="00BC52A8" w:rsidP="00BC52A8">
            <w:pPr>
              <w:widowControl w:val="0"/>
              <w:rPr>
                <w:rFonts w:ascii="Arial Narrow" w:eastAsia="Calibri" w:hAnsi="Arial Narrow"/>
                <w:sz w:val="20"/>
                <w:lang w:eastAsia="en-US"/>
              </w:rPr>
            </w:pPr>
            <w:r w:rsidRPr="0066715B">
              <w:rPr>
                <w:rFonts w:ascii="Arial Narrow" w:hAnsi="Arial Narrow"/>
                <w:sz w:val="20"/>
              </w:rPr>
              <w:t>Complete, partial and non-responder</w:t>
            </w:r>
          </w:p>
        </w:tc>
        <w:tc>
          <w:tcPr>
            <w:tcW w:w="1229" w:type="pct"/>
          </w:tcPr>
          <w:p w14:paraId="44FCA4E3" w14:textId="77777777" w:rsidR="00BC52A8" w:rsidRPr="000D4965" w:rsidRDefault="00BC52A8" w:rsidP="00BC52A8">
            <w:pPr>
              <w:pStyle w:val="Tabletext33resub"/>
              <w:keepNext w:val="0"/>
              <w:widowControl w:val="0"/>
              <w:tabs>
                <w:tab w:val="clear" w:pos="19"/>
              </w:tabs>
              <w:ind w:left="0"/>
              <w:jc w:val="left"/>
              <w:rPr>
                <w:sz w:val="20"/>
                <w:szCs w:val="20"/>
              </w:rPr>
            </w:pPr>
            <w:r w:rsidRPr="000D4965">
              <w:rPr>
                <w:sz w:val="20"/>
                <w:szCs w:val="20"/>
              </w:rPr>
              <w:t>ECP</w:t>
            </w:r>
          </w:p>
          <w:p w14:paraId="2B4E7E5E" w14:textId="77777777" w:rsidR="00BC52A8" w:rsidRPr="000D4965" w:rsidRDefault="00BC52A8" w:rsidP="00BC52A8">
            <w:pPr>
              <w:pStyle w:val="Tabletext33resub"/>
              <w:keepNext w:val="0"/>
              <w:widowControl w:val="0"/>
              <w:tabs>
                <w:tab w:val="clear" w:pos="19"/>
              </w:tabs>
              <w:ind w:left="0"/>
              <w:jc w:val="left"/>
              <w:rPr>
                <w:sz w:val="20"/>
                <w:szCs w:val="20"/>
              </w:rPr>
            </w:pPr>
            <w:r w:rsidRPr="000D4965">
              <w:rPr>
                <w:sz w:val="20"/>
                <w:szCs w:val="20"/>
              </w:rPr>
              <w:t>Methotrexate</w:t>
            </w:r>
          </w:p>
          <w:p w14:paraId="7D52B72F" w14:textId="30CF9482" w:rsidR="00BC52A8" w:rsidRPr="000D4965" w:rsidRDefault="00BC52A8" w:rsidP="00BC52A8">
            <w:pPr>
              <w:pStyle w:val="Tabletext33resub"/>
              <w:keepNext w:val="0"/>
              <w:widowControl w:val="0"/>
              <w:tabs>
                <w:tab w:val="clear" w:pos="19"/>
              </w:tabs>
              <w:ind w:left="0"/>
              <w:jc w:val="left"/>
              <w:rPr>
                <w:sz w:val="20"/>
                <w:szCs w:val="20"/>
              </w:rPr>
            </w:pPr>
            <w:r w:rsidRPr="000D4965">
              <w:rPr>
                <w:sz w:val="20"/>
                <w:szCs w:val="20"/>
              </w:rPr>
              <w:t>Interferon</w:t>
            </w:r>
            <w:r w:rsidR="000D4965" w:rsidRPr="000D4965">
              <w:rPr>
                <w:sz w:val="20"/>
                <w:szCs w:val="20"/>
              </w:rPr>
              <w:t>-α</w:t>
            </w:r>
          </w:p>
          <w:p w14:paraId="694A7A83" w14:textId="77777777" w:rsidR="00BC52A8" w:rsidRPr="000D4965" w:rsidRDefault="00BC52A8" w:rsidP="00BC52A8">
            <w:pPr>
              <w:pStyle w:val="Tabletext33resub"/>
              <w:keepNext w:val="0"/>
              <w:widowControl w:val="0"/>
              <w:tabs>
                <w:tab w:val="clear" w:pos="19"/>
              </w:tabs>
              <w:ind w:left="0"/>
              <w:jc w:val="left"/>
              <w:rPr>
                <w:sz w:val="20"/>
                <w:szCs w:val="20"/>
              </w:rPr>
            </w:pPr>
            <w:r w:rsidRPr="000D4965">
              <w:rPr>
                <w:sz w:val="20"/>
                <w:szCs w:val="20"/>
              </w:rPr>
              <w:t>Vorinostat</w:t>
            </w:r>
          </w:p>
          <w:p w14:paraId="694AD7EB" w14:textId="77777777" w:rsidR="00BC52A8" w:rsidRPr="000D4965" w:rsidRDefault="00BC52A8" w:rsidP="00BC52A8">
            <w:pPr>
              <w:pStyle w:val="Tabletext33resub"/>
              <w:keepNext w:val="0"/>
              <w:widowControl w:val="0"/>
              <w:tabs>
                <w:tab w:val="clear" w:pos="19"/>
              </w:tabs>
              <w:ind w:left="0"/>
              <w:jc w:val="left"/>
              <w:rPr>
                <w:sz w:val="20"/>
                <w:szCs w:val="20"/>
              </w:rPr>
            </w:pPr>
            <w:r w:rsidRPr="000D4965">
              <w:rPr>
                <w:sz w:val="20"/>
                <w:szCs w:val="20"/>
              </w:rPr>
              <w:t>Brentuximab vedotin</w:t>
            </w:r>
          </w:p>
          <w:p w14:paraId="774A3486" w14:textId="77777777" w:rsidR="00BC52A8" w:rsidRPr="000D4965" w:rsidRDefault="00BC52A8" w:rsidP="00BC52A8">
            <w:pPr>
              <w:widowControl w:val="0"/>
              <w:rPr>
                <w:rFonts w:ascii="Arial Narrow" w:eastAsia="Calibri" w:hAnsi="Arial Narrow"/>
                <w:sz w:val="20"/>
                <w:lang w:eastAsia="en-US"/>
              </w:rPr>
            </w:pPr>
            <w:r w:rsidRPr="000D4965">
              <w:rPr>
                <w:rFonts w:ascii="Arial Narrow" w:hAnsi="Arial Narrow"/>
                <w:sz w:val="20"/>
              </w:rPr>
              <w:t>Dead</w:t>
            </w:r>
          </w:p>
        </w:tc>
        <w:tc>
          <w:tcPr>
            <w:tcW w:w="1229" w:type="pct"/>
          </w:tcPr>
          <w:p w14:paraId="74CDF6EE" w14:textId="77777777" w:rsidR="00BC52A8" w:rsidRPr="000D4965" w:rsidRDefault="00BC52A8" w:rsidP="00BC52A8">
            <w:pPr>
              <w:pStyle w:val="Tabletext33resub"/>
              <w:keepNext w:val="0"/>
              <w:widowControl w:val="0"/>
              <w:tabs>
                <w:tab w:val="clear" w:pos="19"/>
              </w:tabs>
              <w:ind w:left="0"/>
              <w:jc w:val="left"/>
              <w:rPr>
                <w:sz w:val="20"/>
                <w:szCs w:val="20"/>
              </w:rPr>
            </w:pPr>
            <w:r w:rsidRPr="000D4965">
              <w:rPr>
                <w:sz w:val="20"/>
                <w:szCs w:val="20"/>
              </w:rPr>
              <w:t>ECP</w:t>
            </w:r>
          </w:p>
          <w:p w14:paraId="1C870B37" w14:textId="77777777" w:rsidR="00BC52A8" w:rsidRPr="000D4965" w:rsidRDefault="00BC52A8" w:rsidP="00BC52A8">
            <w:pPr>
              <w:pStyle w:val="Tabletext33resub"/>
              <w:keepNext w:val="0"/>
              <w:widowControl w:val="0"/>
              <w:tabs>
                <w:tab w:val="clear" w:pos="19"/>
              </w:tabs>
              <w:ind w:left="0"/>
              <w:jc w:val="left"/>
              <w:rPr>
                <w:sz w:val="20"/>
                <w:szCs w:val="20"/>
              </w:rPr>
            </w:pPr>
            <w:r w:rsidRPr="000D4965">
              <w:rPr>
                <w:sz w:val="20"/>
                <w:szCs w:val="20"/>
              </w:rPr>
              <w:t>Methotrexate</w:t>
            </w:r>
          </w:p>
          <w:p w14:paraId="03C5EF1D" w14:textId="0DA32D42" w:rsidR="00BC52A8" w:rsidRPr="000D4965" w:rsidRDefault="00BC52A8" w:rsidP="00BC52A8">
            <w:pPr>
              <w:pStyle w:val="Tabletext33resub"/>
              <w:keepNext w:val="0"/>
              <w:widowControl w:val="0"/>
              <w:tabs>
                <w:tab w:val="clear" w:pos="19"/>
              </w:tabs>
              <w:ind w:left="0"/>
              <w:jc w:val="left"/>
              <w:rPr>
                <w:sz w:val="20"/>
                <w:szCs w:val="20"/>
              </w:rPr>
            </w:pPr>
            <w:r w:rsidRPr="000D4965">
              <w:rPr>
                <w:sz w:val="20"/>
                <w:szCs w:val="20"/>
              </w:rPr>
              <w:t>Interferon</w:t>
            </w:r>
            <w:r w:rsidR="000D4965" w:rsidRPr="000D4965">
              <w:rPr>
                <w:sz w:val="20"/>
                <w:szCs w:val="20"/>
              </w:rPr>
              <w:t>-α</w:t>
            </w:r>
          </w:p>
          <w:p w14:paraId="5B72CC81" w14:textId="77777777" w:rsidR="00BC52A8" w:rsidRPr="000D4965" w:rsidRDefault="00BC52A8" w:rsidP="00BC52A8">
            <w:pPr>
              <w:pStyle w:val="Tabletext33resub"/>
              <w:keepNext w:val="0"/>
              <w:widowControl w:val="0"/>
              <w:tabs>
                <w:tab w:val="clear" w:pos="19"/>
              </w:tabs>
              <w:ind w:left="0"/>
              <w:jc w:val="left"/>
              <w:rPr>
                <w:sz w:val="20"/>
                <w:szCs w:val="20"/>
              </w:rPr>
            </w:pPr>
            <w:r w:rsidRPr="000D4965">
              <w:rPr>
                <w:sz w:val="20"/>
                <w:szCs w:val="20"/>
              </w:rPr>
              <w:t>Vorinostat</w:t>
            </w:r>
          </w:p>
          <w:p w14:paraId="5E1C47B4" w14:textId="77777777" w:rsidR="00BC52A8" w:rsidRPr="000D4965" w:rsidRDefault="00BC52A8" w:rsidP="00BC52A8">
            <w:pPr>
              <w:pStyle w:val="Tabletext33resub"/>
              <w:keepNext w:val="0"/>
              <w:widowControl w:val="0"/>
              <w:tabs>
                <w:tab w:val="clear" w:pos="19"/>
              </w:tabs>
              <w:ind w:left="0"/>
              <w:jc w:val="left"/>
              <w:rPr>
                <w:sz w:val="20"/>
                <w:szCs w:val="20"/>
              </w:rPr>
            </w:pPr>
            <w:r w:rsidRPr="000D4965">
              <w:rPr>
                <w:sz w:val="20"/>
                <w:szCs w:val="20"/>
              </w:rPr>
              <w:t>Brentuximab vedotin</w:t>
            </w:r>
          </w:p>
          <w:p w14:paraId="7DF7B23B" w14:textId="77777777" w:rsidR="00BC52A8" w:rsidRPr="000D4965" w:rsidRDefault="00BC52A8" w:rsidP="00BC52A8">
            <w:pPr>
              <w:pStyle w:val="Tabletext33resub"/>
              <w:keepNext w:val="0"/>
              <w:widowControl w:val="0"/>
              <w:tabs>
                <w:tab w:val="clear" w:pos="19"/>
              </w:tabs>
              <w:ind w:left="0"/>
              <w:jc w:val="left"/>
              <w:rPr>
                <w:sz w:val="20"/>
                <w:szCs w:val="20"/>
              </w:rPr>
            </w:pPr>
            <w:r w:rsidRPr="000D4965">
              <w:rPr>
                <w:sz w:val="20"/>
                <w:szCs w:val="20"/>
              </w:rPr>
              <w:t>Chemotherapy</w:t>
            </w:r>
          </w:p>
          <w:p w14:paraId="227D8C94" w14:textId="77777777" w:rsidR="00BC52A8" w:rsidRPr="000D4965" w:rsidRDefault="00BC52A8" w:rsidP="00BC52A8">
            <w:pPr>
              <w:pStyle w:val="Tabletext33resub"/>
              <w:keepNext w:val="0"/>
              <w:widowControl w:val="0"/>
              <w:tabs>
                <w:tab w:val="clear" w:pos="19"/>
              </w:tabs>
              <w:ind w:left="0"/>
              <w:jc w:val="left"/>
              <w:rPr>
                <w:sz w:val="20"/>
                <w:szCs w:val="20"/>
              </w:rPr>
            </w:pPr>
            <w:r w:rsidRPr="000D4965">
              <w:rPr>
                <w:sz w:val="20"/>
                <w:szCs w:val="20"/>
              </w:rPr>
              <w:t>No treatment</w:t>
            </w:r>
          </w:p>
          <w:p w14:paraId="4586C914" w14:textId="77777777" w:rsidR="00BC52A8" w:rsidRPr="000D4965" w:rsidRDefault="00BC52A8" w:rsidP="00BC52A8">
            <w:pPr>
              <w:widowControl w:val="0"/>
              <w:rPr>
                <w:rFonts w:ascii="Arial Narrow" w:eastAsia="Calibri" w:hAnsi="Arial Narrow"/>
                <w:sz w:val="20"/>
                <w:lang w:eastAsia="en-US"/>
              </w:rPr>
            </w:pPr>
            <w:r w:rsidRPr="000D4965">
              <w:rPr>
                <w:rFonts w:ascii="Arial Narrow" w:hAnsi="Arial Narrow"/>
                <w:sz w:val="20"/>
              </w:rPr>
              <w:t>Dead</w:t>
            </w:r>
          </w:p>
        </w:tc>
      </w:tr>
      <w:tr w:rsidR="00BC52A8" w:rsidRPr="0066715B" w14:paraId="1FC27BB5" w14:textId="77777777" w:rsidTr="002A72F7">
        <w:trPr>
          <w:trHeight w:val="20"/>
        </w:trPr>
        <w:tc>
          <w:tcPr>
            <w:tcW w:w="1313" w:type="pct"/>
            <w:hideMark/>
          </w:tcPr>
          <w:p w14:paraId="5D0D4347" w14:textId="77777777" w:rsidR="00BC52A8" w:rsidRPr="0066715B" w:rsidRDefault="00BC52A8" w:rsidP="00BC52A8">
            <w:pPr>
              <w:widowControl w:val="0"/>
              <w:spacing w:after="40"/>
              <w:rPr>
                <w:rFonts w:ascii="Arial Narrow" w:hAnsi="Arial Narrow"/>
                <w:b/>
                <w:sz w:val="20"/>
              </w:rPr>
            </w:pPr>
            <w:r w:rsidRPr="0066715B">
              <w:rPr>
                <w:rFonts w:ascii="Arial Narrow" w:hAnsi="Arial Narrow"/>
                <w:b/>
                <w:sz w:val="20"/>
              </w:rPr>
              <w:t>Cycle length</w:t>
            </w:r>
          </w:p>
        </w:tc>
        <w:tc>
          <w:tcPr>
            <w:tcW w:w="1229" w:type="pct"/>
          </w:tcPr>
          <w:p w14:paraId="60DADDD9" w14:textId="77777777" w:rsidR="00BC52A8" w:rsidRPr="0066715B" w:rsidRDefault="00BC52A8" w:rsidP="00BC52A8">
            <w:pPr>
              <w:widowControl w:val="0"/>
              <w:rPr>
                <w:rFonts w:ascii="Arial Narrow" w:eastAsia="Calibri" w:hAnsi="Arial Narrow"/>
                <w:sz w:val="20"/>
                <w:lang w:eastAsia="en-US"/>
              </w:rPr>
            </w:pPr>
            <w:r w:rsidRPr="0066715B">
              <w:rPr>
                <w:rFonts w:ascii="Arial Narrow" w:hAnsi="Arial Narrow"/>
                <w:sz w:val="20"/>
              </w:rPr>
              <w:t>Not applicable</w:t>
            </w:r>
          </w:p>
        </w:tc>
        <w:tc>
          <w:tcPr>
            <w:tcW w:w="1229" w:type="pct"/>
          </w:tcPr>
          <w:p w14:paraId="477DAC9E" w14:textId="77777777" w:rsidR="00BC52A8" w:rsidRPr="0066715B" w:rsidRDefault="00BC52A8" w:rsidP="00BC52A8">
            <w:pPr>
              <w:widowControl w:val="0"/>
              <w:rPr>
                <w:rFonts w:ascii="Arial Narrow" w:eastAsia="Calibri" w:hAnsi="Arial Narrow"/>
                <w:sz w:val="20"/>
                <w:lang w:eastAsia="en-US"/>
              </w:rPr>
            </w:pPr>
            <w:r w:rsidRPr="0066715B">
              <w:rPr>
                <w:rFonts w:ascii="Arial Narrow" w:hAnsi="Arial Narrow"/>
                <w:sz w:val="20"/>
              </w:rPr>
              <w:t>1 month</w:t>
            </w:r>
          </w:p>
        </w:tc>
        <w:tc>
          <w:tcPr>
            <w:tcW w:w="1229" w:type="pct"/>
          </w:tcPr>
          <w:p w14:paraId="3B53FA9F" w14:textId="77777777" w:rsidR="00BC52A8" w:rsidRPr="0066715B" w:rsidRDefault="00BC52A8" w:rsidP="00BC52A8">
            <w:pPr>
              <w:widowControl w:val="0"/>
              <w:rPr>
                <w:rFonts w:ascii="Arial Narrow" w:eastAsia="Calibri" w:hAnsi="Arial Narrow"/>
                <w:sz w:val="20"/>
                <w:lang w:eastAsia="en-US"/>
              </w:rPr>
            </w:pPr>
            <w:r w:rsidRPr="0066715B">
              <w:rPr>
                <w:rFonts w:ascii="Arial Narrow" w:hAnsi="Arial Narrow"/>
                <w:sz w:val="20"/>
              </w:rPr>
              <w:t>1 month</w:t>
            </w:r>
          </w:p>
        </w:tc>
      </w:tr>
      <w:tr w:rsidR="002801E0" w:rsidRPr="0066715B" w14:paraId="3D7A0FBD" w14:textId="77777777" w:rsidTr="002A72F7">
        <w:trPr>
          <w:trHeight w:val="20"/>
        </w:trPr>
        <w:tc>
          <w:tcPr>
            <w:tcW w:w="1313" w:type="pct"/>
            <w:hideMark/>
          </w:tcPr>
          <w:p w14:paraId="03108F59" w14:textId="77777777" w:rsidR="002801E0" w:rsidRPr="0066715B" w:rsidRDefault="002801E0" w:rsidP="002801E0">
            <w:pPr>
              <w:widowControl w:val="0"/>
              <w:spacing w:after="40"/>
              <w:rPr>
                <w:rFonts w:ascii="Arial Narrow" w:hAnsi="Arial Narrow"/>
                <w:b/>
                <w:sz w:val="20"/>
              </w:rPr>
            </w:pPr>
            <w:r w:rsidRPr="0066715B">
              <w:rPr>
                <w:rFonts w:ascii="Arial Narrow" w:hAnsi="Arial Narrow"/>
                <w:b/>
                <w:sz w:val="20"/>
              </w:rPr>
              <w:t>Discount rate</w:t>
            </w:r>
          </w:p>
        </w:tc>
        <w:tc>
          <w:tcPr>
            <w:tcW w:w="1229" w:type="pct"/>
          </w:tcPr>
          <w:p w14:paraId="2D57EC7A" w14:textId="52127AB8" w:rsidR="002801E0" w:rsidRPr="0066715B" w:rsidRDefault="002801E0" w:rsidP="002801E0">
            <w:pPr>
              <w:widowControl w:val="0"/>
              <w:rPr>
                <w:rFonts w:ascii="Arial Narrow" w:eastAsia="Calibri" w:hAnsi="Arial Narrow"/>
                <w:sz w:val="20"/>
                <w:lang w:eastAsia="en-US"/>
              </w:rPr>
            </w:pPr>
            <w:r w:rsidRPr="0066715B">
              <w:rPr>
                <w:rFonts w:ascii="Arial Narrow" w:hAnsi="Arial Narrow"/>
                <w:sz w:val="20"/>
              </w:rPr>
              <w:t>Not applicable</w:t>
            </w:r>
          </w:p>
        </w:tc>
        <w:tc>
          <w:tcPr>
            <w:tcW w:w="1229" w:type="pct"/>
          </w:tcPr>
          <w:p w14:paraId="2117BF12" w14:textId="518C6395" w:rsidR="002801E0" w:rsidRPr="0066715B" w:rsidRDefault="002801E0" w:rsidP="002801E0">
            <w:pPr>
              <w:widowControl w:val="0"/>
              <w:rPr>
                <w:rFonts w:ascii="Arial Narrow" w:eastAsia="Calibri" w:hAnsi="Arial Narrow"/>
                <w:sz w:val="20"/>
                <w:lang w:eastAsia="en-US"/>
              </w:rPr>
            </w:pPr>
            <w:r w:rsidRPr="0066715B">
              <w:rPr>
                <w:rFonts w:ascii="Arial Narrow" w:hAnsi="Arial Narrow"/>
                <w:sz w:val="20"/>
              </w:rPr>
              <w:t>Not applicable</w:t>
            </w:r>
          </w:p>
        </w:tc>
        <w:tc>
          <w:tcPr>
            <w:tcW w:w="1229" w:type="pct"/>
          </w:tcPr>
          <w:p w14:paraId="2709C93E" w14:textId="77777777" w:rsidR="002801E0" w:rsidRPr="0066715B" w:rsidRDefault="002801E0" w:rsidP="002801E0">
            <w:pPr>
              <w:widowControl w:val="0"/>
              <w:rPr>
                <w:rFonts w:ascii="Arial Narrow" w:eastAsia="Calibri" w:hAnsi="Arial Narrow"/>
                <w:sz w:val="20"/>
                <w:lang w:eastAsia="en-US"/>
              </w:rPr>
            </w:pPr>
            <w:r w:rsidRPr="0066715B">
              <w:rPr>
                <w:rFonts w:ascii="Arial Narrow" w:hAnsi="Arial Narrow"/>
                <w:sz w:val="20"/>
              </w:rPr>
              <w:t>5% per annum costs and QALYs</w:t>
            </w:r>
          </w:p>
        </w:tc>
      </w:tr>
    </w:tbl>
    <w:p w14:paraId="0EBA92B1" w14:textId="77777777" w:rsidR="00BC52A8" w:rsidRPr="009E6D57" w:rsidRDefault="00BC52A8" w:rsidP="00BC52A8">
      <w:pPr>
        <w:pStyle w:val="TableFooter"/>
        <w:rPr>
          <w:i/>
        </w:rPr>
      </w:pPr>
      <w:r w:rsidRPr="009E6D57">
        <w:t xml:space="preserve">Source: Table </w:t>
      </w:r>
      <w:r>
        <w:t>84</w:t>
      </w:r>
      <w:r w:rsidRPr="009E6D57">
        <w:t>, p</w:t>
      </w:r>
      <w:r>
        <w:t>165</w:t>
      </w:r>
      <w:r w:rsidRPr="009E6D57">
        <w:t xml:space="preserve"> of the </w:t>
      </w:r>
      <w:r>
        <w:t>re</w:t>
      </w:r>
      <w:r w:rsidRPr="009E6D57">
        <w:t>submission</w:t>
      </w:r>
    </w:p>
    <w:p w14:paraId="269A394A" w14:textId="77777777" w:rsidR="00BC52A8" w:rsidRDefault="00BC52A8" w:rsidP="00BC52A8">
      <w:pPr>
        <w:pStyle w:val="TableFooter"/>
      </w:pPr>
      <w:r w:rsidRPr="009E6D57">
        <w:t>ECP</w:t>
      </w:r>
      <w:r>
        <w:t xml:space="preserve"> =</w:t>
      </w:r>
      <w:r w:rsidRPr="009E6D57">
        <w:t xml:space="preserve"> extracorporeal photopheresis; QALY</w:t>
      </w:r>
      <w:r>
        <w:t xml:space="preserve"> =</w:t>
      </w:r>
      <w:r w:rsidRPr="009E6D57">
        <w:t xml:space="preserve"> quality-adjusted life year; TTNT</w:t>
      </w:r>
      <w:r>
        <w:t xml:space="preserve"> =</w:t>
      </w:r>
      <w:r w:rsidRPr="009E6D57">
        <w:t xml:space="preserve"> time to next treatment</w:t>
      </w:r>
    </w:p>
    <w:p w14:paraId="6F029DDF" w14:textId="3263088E" w:rsidR="002A72F7" w:rsidRPr="002A72F7" w:rsidRDefault="00BC52A8" w:rsidP="002A72F7">
      <w:pPr>
        <w:spacing w:before="240" w:after="240"/>
      </w:pPr>
      <w:r>
        <w:t>For the base case (Step 3)</w:t>
      </w:r>
      <w:r w:rsidRPr="00200365">
        <w:t>, including ECP as a second-line treatment option for CTCL dominated over other</w:t>
      </w:r>
      <w:r>
        <w:t xml:space="preserve"> treatment strategies, including the weighted comparator (46% methotrexate; 32% interferon</w:t>
      </w:r>
      <w:r w:rsidR="000D4965" w:rsidRPr="00182250">
        <w:t>-α</w:t>
      </w:r>
      <w:r>
        <w:t>; 13% vorinostat; and 9% brentux</w:t>
      </w:r>
      <w:r w:rsidR="00120CE2">
        <w:t>imab vedotin) (Table 9).</w:t>
      </w:r>
      <w:bookmarkStart w:id="15" w:name="_Ref20904527"/>
      <w:bookmarkStart w:id="16" w:name="_Toc21082184"/>
      <w:r w:rsidR="002A72F7">
        <w:rPr>
          <w:rFonts w:ascii="Arial Narrow" w:hAnsi="Arial Narrow"/>
          <w:b/>
          <w:sz w:val="20"/>
        </w:rPr>
        <w:br w:type="page"/>
      </w:r>
    </w:p>
    <w:p w14:paraId="19F4ED82" w14:textId="413A274D" w:rsidR="00BC52A8" w:rsidRPr="002A72F7" w:rsidRDefault="00BC52A8" w:rsidP="002A72F7">
      <w:pPr>
        <w:rPr>
          <w:rFonts w:ascii="Arial Narrow" w:hAnsi="Arial Narrow"/>
          <w:b/>
          <w:sz w:val="20"/>
        </w:rPr>
      </w:pPr>
      <w:r w:rsidRPr="002A72F7">
        <w:rPr>
          <w:rFonts w:ascii="Arial Narrow" w:hAnsi="Arial Narrow"/>
          <w:b/>
          <w:sz w:val="20"/>
        </w:rPr>
        <w:lastRenderedPageBreak/>
        <w:t xml:space="preserve">Table </w:t>
      </w:r>
      <w:bookmarkEnd w:id="15"/>
      <w:r w:rsidRPr="002A72F7">
        <w:rPr>
          <w:rFonts w:ascii="Arial Narrow" w:hAnsi="Arial Narrow"/>
          <w:b/>
          <w:sz w:val="20"/>
        </w:rPr>
        <w:t>9: Incremental costs and effectiveness</w:t>
      </w:r>
      <w:bookmarkEnd w:id="16"/>
    </w:p>
    <w:tbl>
      <w:tblPr>
        <w:tblStyle w:val="TableGrid1"/>
        <w:tblW w:w="9072" w:type="dxa"/>
        <w:tblLayout w:type="fixed"/>
        <w:tblCellMar>
          <w:left w:w="28" w:type="dxa"/>
          <w:right w:w="28" w:type="dxa"/>
        </w:tblCellMar>
        <w:tblLook w:val="04A0" w:firstRow="1" w:lastRow="0" w:firstColumn="1" w:lastColumn="0" w:noHBand="0" w:noVBand="1"/>
        <w:tblCaption w:val="Incremental costs and effectiveness"/>
        <w:tblDescription w:val="This table provides a description of the results of the economic evaluation. This includes detail on the cost, incremental cost, effectiveness, incremental effectiveness and incremental cost effectiveness ratio for both the intervention and comparator in the economic model."/>
      </w:tblPr>
      <w:tblGrid>
        <w:gridCol w:w="2409"/>
        <w:gridCol w:w="1326"/>
        <w:gridCol w:w="796"/>
        <w:gridCol w:w="284"/>
        <w:gridCol w:w="245"/>
        <w:gridCol w:w="180"/>
        <w:gridCol w:w="142"/>
        <w:gridCol w:w="283"/>
        <w:gridCol w:w="142"/>
        <w:gridCol w:w="284"/>
        <w:gridCol w:w="294"/>
        <w:gridCol w:w="1326"/>
        <w:gridCol w:w="1361"/>
      </w:tblGrid>
      <w:tr w:rsidR="00BC52A8" w:rsidRPr="00200365" w14:paraId="7ED93BD9" w14:textId="77777777" w:rsidTr="00BC52A8">
        <w:trPr>
          <w:cnfStyle w:val="100000000000" w:firstRow="1" w:lastRow="0" w:firstColumn="0" w:lastColumn="0" w:oddVBand="0" w:evenVBand="0" w:oddHBand="0" w:evenHBand="0" w:firstRowFirstColumn="0" w:firstRowLastColumn="0" w:lastRowFirstColumn="0" w:lastRowLastColumn="0"/>
          <w:tblHeader/>
        </w:trPr>
        <w:tc>
          <w:tcPr>
            <w:tcW w:w="2409" w:type="dxa"/>
            <w:tcBorders>
              <w:bottom w:val="single" w:sz="4" w:space="0" w:color="auto"/>
            </w:tcBorders>
          </w:tcPr>
          <w:p w14:paraId="64484168" w14:textId="77777777" w:rsidR="00BC52A8" w:rsidRPr="00200365" w:rsidRDefault="00BC52A8" w:rsidP="00BC52A8">
            <w:pPr>
              <w:keepNext/>
              <w:spacing w:after="40"/>
              <w:jc w:val="both"/>
              <w:rPr>
                <w:rFonts w:ascii="Arial Narrow" w:hAnsi="Arial Narrow"/>
                <w:b/>
              </w:rPr>
            </w:pPr>
          </w:p>
        </w:tc>
        <w:tc>
          <w:tcPr>
            <w:tcW w:w="1326" w:type="dxa"/>
          </w:tcPr>
          <w:p w14:paraId="430220ED" w14:textId="77777777" w:rsidR="00BC52A8" w:rsidRPr="00200365" w:rsidRDefault="00BC52A8" w:rsidP="00BC52A8">
            <w:pPr>
              <w:keepNext/>
              <w:spacing w:after="40"/>
              <w:jc w:val="center"/>
              <w:rPr>
                <w:rFonts w:ascii="Arial Narrow" w:hAnsi="Arial Narrow"/>
                <w:b/>
              </w:rPr>
            </w:pPr>
            <w:r w:rsidRPr="00200365">
              <w:rPr>
                <w:rFonts w:ascii="Arial Narrow" w:hAnsi="Arial Narrow"/>
                <w:b/>
              </w:rPr>
              <w:t>Cost</w:t>
            </w:r>
          </w:p>
        </w:tc>
        <w:tc>
          <w:tcPr>
            <w:tcW w:w="1325" w:type="dxa"/>
            <w:gridSpan w:val="3"/>
          </w:tcPr>
          <w:p w14:paraId="43B5FE63" w14:textId="77777777" w:rsidR="00BC52A8" w:rsidRPr="00200365" w:rsidRDefault="00BC52A8" w:rsidP="00BC52A8">
            <w:pPr>
              <w:keepNext/>
              <w:spacing w:after="40"/>
              <w:jc w:val="center"/>
              <w:rPr>
                <w:rFonts w:ascii="Arial Narrow" w:hAnsi="Arial Narrow"/>
                <w:b/>
              </w:rPr>
            </w:pPr>
            <w:r w:rsidRPr="00200365">
              <w:rPr>
                <w:rFonts w:ascii="Arial Narrow" w:hAnsi="Arial Narrow"/>
                <w:b/>
              </w:rPr>
              <w:t>Incremental cost</w:t>
            </w:r>
          </w:p>
        </w:tc>
        <w:tc>
          <w:tcPr>
            <w:tcW w:w="1325" w:type="dxa"/>
            <w:gridSpan w:val="6"/>
          </w:tcPr>
          <w:p w14:paraId="37ECF116" w14:textId="7F8C03FD" w:rsidR="00BC52A8" w:rsidRPr="00200365" w:rsidRDefault="00BC52A8" w:rsidP="00176B1A">
            <w:pPr>
              <w:keepNext/>
              <w:spacing w:after="40"/>
              <w:jc w:val="center"/>
              <w:rPr>
                <w:rFonts w:ascii="Arial Narrow" w:hAnsi="Arial Narrow"/>
                <w:b/>
              </w:rPr>
            </w:pPr>
            <w:r w:rsidRPr="00200365">
              <w:rPr>
                <w:rFonts w:ascii="Arial Narrow" w:hAnsi="Arial Narrow"/>
                <w:b/>
              </w:rPr>
              <w:t>Effectiveness</w:t>
            </w:r>
          </w:p>
        </w:tc>
        <w:tc>
          <w:tcPr>
            <w:tcW w:w="1326" w:type="dxa"/>
          </w:tcPr>
          <w:p w14:paraId="17E999A8" w14:textId="77777777" w:rsidR="00BC52A8" w:rsidRPr="00200365" w:rsidRDefault="00BC52A8" w:rsidP="00BC52A8">
            <w:pPr>
              <w:keepNext/>
              <w:spacing w:after="40"/>
              <w:jc w:val="center"/>
              <w:rPr>
                <w:rFonts w:ascii="Arial Narrow" w:hAnsi="Arial Narrow"/>
                <w:b/>
              </w:rPr>
            </w:pPr>
            <w:r w:rsidRPr="00200365">
              <w:rPr>
                <w:rFonts w:ascii="Arial Narrow" w:hAnsi="Arial Narrow"/>
                <w:b/>
              </w:rPr>
              <w:t>Incremental effectiveness</w:t>
            </w:r>
          </w:p>
        </w:tc>
        <w:tc>
          <w:tcPr>
            <w:tcW w:w="1361" w:type="dxa"/>
          </w:tcPr>
          <w:p w14:paraId="77B89280" w14:textId="77777777" w:rsidR="00BC52A8" w:rsidRPr="00200365" w:rsidRDefault="00BC52A8" w:rsidP="00BC52A8">
            <w:pPr>
              <w:keepNext/>
              <w:spacing w:after="40"/>
              <w:jc w:val="center"/>
              <w:rPr>
                <w:rFonts w:ascii="Arial Narrow" w:hAnsi="Arial Narrow"/>
                <w:b/>
              </w:rPr>
            </w:pPr>
            <w:r w:rsidRPr="00200365">
              <w:rPr>
                <w:rFonts w:ascii="Arial Narrow" w:hAnsi="Arial Narrow"/>
                <w:b/>
              </w:rPr>
              <w:t>ICER</w:t>
            </w:r>
          </w:p>
        </w:tc>
      </w:tr>
      <w:tr w:rsidR="00BC52A8" w:rsidRPr="00200365" w14:paraId="12F2793F" w14:textId="77777777" w:rsidTr="00BC52A8">
        <w:tc>
          <w:tcPr>
            <w:tcW w:w="4531" w:type="dxa"/>
            <w:gridSpan w:val="3"/>
            <w:tcBorders>
              <w:right w:val="nil"/>
            </w:tcBorders>
          </w:tcPr>
          <w:p w14:paraId="6ED9DDB4" w14:textId="45445349" w:rsidR="00BC52A8" w:rsidRPr="00200365" w:rsidRDefault="002801E0" w:rsidP="00BC52A8">
            <w:pPr>
              <w:pStyle w:val="TableTextLeft"/>
              <w:keepNext w:val="0"/>
              <w:widowControl w:val="0"/>
              <w:rPr>
                <w:b/>
                <w:szCs w:val="20"/>
              </w:rPr>
            </w:pPr>
            <w:r>
              <w:rPr>
                <w:i/>
                <w:szCs w:val="20"/>
              </w:rPr>
              <w:t>Step 1 (cost per responder – 6-</w:t>
            </w:r>
            <w:r w:rsidR="00BC52A8" w:rsidRPr="00200365">
              <w:rPr>
                <w:i/>
                <w:szCs w:val="20"/>
              </w:rPr>
              <w:t>month time horizon)</w:t>
            </w:r>
          </w:p>
        </w:tc>
        <w:tc>
          <w:tcPr>
            <w:tcW w:w="284" w:type="dxa"/>
            <w:tcBorders>
              <w:left w:val="nil"/>
              <w:right w:val="nil"/>
            </w:tcBorders>
          </w:tcPr>
          <w:p w14:paraId="371B358E" w14:textId="77777777" w:rsidR="00BC52A8" w:rsidRPr="00200365" w:rsidRDefault="00BC52A8" w:rsidP="00BC52A8">
            <w:pPr>
              <w:pStyle w:val="TableTextcenter"/>
              <w:keepNext w:val="0"/>
              <w:widowControl w:val="0"/>
            </w:pPr>
          </w:p>
        </w:tc>
        <w:tc>
          <w:tcPr>
            <w:tcW w:w="245" w:type="dxa"/>
            <w:tcBorders>
              <w:left w:val="nil"/>
              <w:bottom w:val="single" w:sz="4" w:space="0" w:color="auto"/>
              <w:right w:val="nil"/>
            </w:tcBorders>
          </w:tcPr>
          <w:p w14:paraId="29E26978" w14:textId="77777777" w:rsidR="00BC52A8" w:rsidRPr="00200365" w:rsidRDefault="00BC52A8" w:rsidP="00BC52A8">
            <w:pPr>
              <w:pStyle w:val="TableTextcenter"/>
              <w:keepNext w:val="0"/>
              <w:widowControl w:val="0"/>
            </w:pPr>
          </w:p>
        </w:tc>
        <w:tc>
          <w:tcPr>
            <w:tcW w:w="1325" w:type="dxa"/>
            <w:gridSpan w:val="6"/>
            <w:tcBorders>
              <w:left w:val="nil"/>
              <w:right w:val="nil"/>
            </w:tcBorders>
          </w:tcPr>
          <w:p w14:paraId="6DF4F51C" w14:textId="77777777" w:rsidR="00BC52A8" w:rsidRPr="00200365" w:rsidRDefault="00BC52A8" w:rsidP="00BC52A8">
            <w:pPr>
              <w:pStyle w:val="TableTextcenter"/>
              <w:keepNext w:val="0"/>
              <w:widowControl w:val="0"/>
            </w:pPr>
          </w:p>
        </w:tc>
        <w:tc>
          <w:tcPr>
            <w:tcW w:w="1326" w:type="dxa"/>
            <w:tcBorders>
              <w:left w:val="nil"/>
              <w:bottom w:val="single" w:sz="4" w:space="0" w:color="auto"/>
              <w:right w:val="nil"/>
            </w:tcBorders>
          </w:tcPr>
          <w:p w14:paraId="696C2F2D" w14:textId="77777777" w:rsidR="00BC52A8" w:rsidRPr="00200365" w:rsidRDefault="00BC52A8" w:rsidP="00BC52A8">
            <w:pPr>
              <w:pStyle w:val="TableTextcenter"/>
              <w:keepNext w:val="0"/>
              <w:widowControl w:val="0"/>
            </w:pPr>
          </w:p>
        </w:tc>
        <w:tc>
          <w:tcPr>
            <w:tcW w:w="1361" w:type="dxa"/>
            <w:tcBorders>
              <w:left w:val="nil"/>
              <w:bottom w:val="single" w:sz="4" w:space="0" w:color="auto"/>
            </w:tcBorders>
          </w:tcPr>
          <w:p w14:paraId="765AC2DC" w14:textId="77777777" w:rsidR="00BC52A8" w:rsidRPr="00200365" w:rsidRDefault="00BC52A8" w:rsidP="00BC52A8">
            <w:pPr>
              <w:pStyle w:val="TableTextcenter"/>
              <w:keepNext w:val="0"/>
              <w:widowControl w:val="0"/>
            </w:pPr>
          </w:p>
        </w:tc>
      </w:tr>
      <w:tr w:rsidR="00BC52A8" w:rsidRPr="00200365" w14:paraId="474AA4B8" w14:textId="77777777" w:rsidTr="00BC52A8">
        <w:tc>
          <w:tcPr>
            <w:tcW w:w="2409" w:type="dxa"/>
          </w:tcPr>
          <w:p w14:paraId="7B221B28" w14:textId="77777777" w:rsidR="00BC52A8" w:rsidRPr="00200365" w:rsidRDefault="00BC52A8" w:rsidP="00BC52A8">
            <w:pPr>
              <w:widowControl w:val="0"/>
              <w:spacing w:after="40"/>
              <w:jc w:val="both"/>
            </w:pPr>
            <w:r w:rsidRPr="00200365">
              <w:t>ECP</w:t>
            </w:r>
          </w:p>
        </w:tc>
        <w:tc>
          <w:tcPr>
            <w:tcW w:w="1326" w:type="dxa"/>
          </w:tcPr>
          <w:p w14:paraId="6678D35A" w14:textId="77777777" w:rsidR="00BC52A8" w:rsidRPr="00200365" w:rsidRDefault="00BC52A8" w:rsidP="00BC52A8">
            <w:pPr>
              <w:pStyle w:val="TableText9ptcentered"/>
              <w:keepNext w:val="0"/>
              <w:widowControl w:val="0"/>
              <w:rPr>
                <w:sz w:val="20"/>
              </w:rPr>
            </w:pPr>
            <w:r w:rsidRPr="00200365">
              <w:rPr>
                <w:sz w:val="20"/>
              </w:rPr>
              <w:t>$25,087.29</w:t>
            </w:r>
          </w:p>
        </w:tc>
        <w:tc>
          <w:tcPr>
            <w:tcW w:w="1325" w:type="dxa"/>
            <w:gridSpan w:val="3"/>
            <w:tcBorders>
              <w:top w:val="single" w:sz="4" w:space="0" w:color="auto"/>
              <w:bottom w:val="single" w:sz="4" w:space="0" w:color="auto"/>
            </w:tcBorders>
          </w:tcPr>
          <w:p w14:paraId="44510D6B" w14:textId="77777777" w:rsidR="00BC52A8" w:rsidRPr="00200365" w:rsidRDefault="00BC52A8" w:rsidP="00BC52A8">
            <w:pPr>
              <w:pStyle w:val="TableText9ptcentered"/>
              <w:keepNext w:val="0"/>
              <w:widowControl w:val="0"/>
              <w:rPr>
                <w:sz w:val="20"/>
              </w:rPr>
            </w:pPr>
            <w:r w:rsidRPr="00200365">
              <w:rPr>
                <w:sz w:val="20"/>
              </w:rPr>
              <w:t>-</w:t>
            </w:r>
          </w:p>
        </w:tc>
        <w:tc>
          <w:tcPr>
            <w:tcW w:w="1325" w:type="dxa"/>
            <w:gridSpan w:val="6"/>
          </w:tcPr>
          <w:p w14:paraId="747CA705" w14:textId="77777777" w:rsidR="00BC52A8" w:rsidRPr="00200365" w:rsidRDefault="00BC52A8" w:rsidP="00BC52A8">
            <w:pPr>
              <w:pStyle w:val="TableText9ptcentered"/>
              <w:keepNext w:val="0"/>
              <w:widowControl w:val="0"/>
              <w:rPr>
                <w:sz w:val="20"/>
              </w:rPr>
            </w:pPr>
            <w:r w:rsidRPr="00200365">
              <w:rPr>
                <w:sz w:val="20"/>
              </w:rPr>
              <w:t>62%</w:t>
            </w:r>
          </w:p>
        </w:tc>
        <w:tc>
          <w:tcPr>
            <w:tcW w:w="1326" w:type="dxa"/>
            <w:tcBorders>
              <w:top w:val="single" w:sz="4" w:space="0" w:color="auto"/>
              <w:bottom w:val="single" w:sz="4" w:space="0" w:color="auto"/>
            </w:tcBorders>
          </w:tcPr>
          <w:p w14:paraId="6D207342" w14:textId="77777777" w:rsidR="00BC52A8" w:rsidRPr="00200365" w:rsidRDefault="00BC52A8" w:rsidP="00BC52A8">
            <w:pPr>
              <w:pStyle w:val="TableText9ptcentered"/>
              <w:keepNext w:val="0"/>
              <w:widowControl w:val="0"/>
              <w:rPr>
                <w:sz w:val="20"/>
              </w:rPr>
            </w:pPr>
            <w:r w:rsidRPr="00200365">
              <w:rPr>
                <w:sz w:val="20"/>
              </w:rPr>
              <w:t>-</w:t>
            </w:r>
          </w:p>
        </w:tc>
        <w:tc>
          <w:tcPr>
            <w:tcW w:w="1361" w:type="dxa"/>
            <w:tcBorders>
              <w:top w:val="single" w:sz="4" w:space="0" w:color="auto"/>
              <w:bottom w:val="single" w:sz="4" w:space="0" w:color="auto"/>
            </w:tcBorders>
          </w:tcPr>
          <w:p w14:paraId="10F2A257" w14:textId="77777777" w:rsidR="00BC52A8" w:rsidRPr="00200365" w:rsidRDefault="00BC52A8" w:rsidP="00BC52A8">
            <w:pPr>
              <w:pStyle w:val="TableText9ptcentered"/>
              <w:keepNext w:val="0"/>
              <w:widowControl w:val="0"/>
              <w:rPr>
                <w:sz w:val="20"/>
              </w:rPr>
            </w:pPr>
            <w:r w:rsidRPr="00200365">
              <w:rPr>
                <w:sz w:val="20"/>
              </w:rPr>
              <w:t>-</w:t>
            </w:r>
          </w:p>
        </w:tc>
      </w:tr>
      <w:tr w:rsidR="00BC52A8" w:rsidRPr="00200365" w14:paraId="7C52FD21" w14:textId="77777777" w:rsidTr="00BC52A8">
        <w:tc>
          <w:tcPr>
            <w:tcW w:w="2409" w:type="dxa"/>
          </w:tcPr>
          <w:p w14:paraId="159DFAC4" w14:textId="77777777" w:rsidR="00BC52A8" w:rsidRPr="00200365" w:rsidRDefault="00BC52A8" w:rsidP="00BC52A8">
            <w:pPr>
              <w:widowControl w:val="0"/>
              <w:spacing w:after="40"/>
              <w:jc w:val="both"/>
            </w:pPr>
            <w:r w:rsidRPr="00200365">
              <w:t>Methotrexate</w:t>
            </w:r>
          </w:p>
        </w:tc>
        <w:tc>
          <w:tcPr>
            <w:tcW w:w="1326" w:type="dxa"/>
          </w:tcPr>
          <w:p w14:paraId="68A9F576" w14:textId="77777777" w:rsidR="00BC52A8" w:rsidRPr="00200365" w:rsidRDefault="00BC52A8" w:rsidP="00BC52A8">
            <w:pPr>
              <w:pStyle w:val="TableText9ptcentered"/>
              <w:keepNext w:val="0"/>
              <w:widowControl w:val="0"/>
              <w:rPr>
                <w:sz w:val="20"/>
              </w:rPr>
            </w:pPr>
            <w:r w:rsidRPr="00200365">
              <w:rPr>
                <w:sz w:val="20"/>
              </w:rPr>
              <w:t>$74.02</w:t>
            </w:r>
          </w:p>
        </w:tc>
        <w:tc>
          <w:tcPr>
            <w:tcW w:w="1325" w:type="dxa"/>
            <w:gridSpan w:val="3"/>
            <w:tcBorders>
              <w:top w:val="single" w:sz="4" w:space="0" w:color="auto"/>
              <w:bottom w:val="single" w:sz="4" w:space="0" w:color="auto"/>
            </w:tcBorders>
          </w:tcPr>
          <w:p w14:paraId="5B3A9BEA" w14:textId="77777777" w:rsidR="00BC52A8" w:rsidRPr="00200365" w:rsidRDefault="00BC52A8" w:rsidP="00BC52A8">
            <w:pPr>
              <w:pStyle w:val="TableText9ptcentered"/>
              <w:keepNext w:val="0"/>
              <w:widowControl w:val="0"/>
              <w:rPr>
                <w:sz w:val="20"/>
              </w:rPr>
            </w:pPr>
            <w:r w:rsidRPr="00200365">
              <w:rPr>
                <w:sz w:val="20"/>
              </w:rPr>
              <w:t>$25,013.27</w:t>
            </w:r>
          </w:p>
        </w:tc>
        <w:tc>
          <w:tcPr>
            <w:tcW w:w="1325" w:type="dxa"/>
            <w:gridSpan w:val="6"/>
          </w:tcPr>
          <w:p w14:paraId="727C36FF" w14:textId="77777777" w:rsidR="00BC52A8" w:rsidRPr="00200365" w:rsidRDefault="00BC52A8" w:rsidP="00BC52A8">
            <w:pPr>
              <w:pStyle w:val="TableText9ptcentered"/>
              <w:keepNext w:val="0"/>
              <w:widowControl w:val="0"/>
              <w:rPr>
                <w:sz w:val="20"/>
              </w:rPr>
            </w:pPr>
            <w:r w:rsidRPr="00200365">
              <w:rPr>
                <w:sz w:val="20"/>
              </w:rPr>
              <w:t>16%</w:t>
            </w:r>
          </w:p>
        </w:tc>
        <w:tc>
          <w:tcPr>
            <w:tcW w:w="1326" w:type="dxa"/>
            <w:tcBorders>
              <w:top w:val="single" w:sz="4" w:space="0" w:color="auto"/>
              <w:bottom w:val="single" w:sz="4" w:space="0" w:color="auto"/>
            </w:tcBorders>
          </w:tcPr>
          <w:p w14:paraId="2256D06C" w14:textId="77777777" w:rsidR="00BC52A8" w:rsidRPr="00200365" w:rsidRDefault="00BC52A8" w:rsidP="00BC52A8">
            <w:pPr>
              <w:pStyle w:val="TableText9ptcentered"/>
              <w:keepNext w:val="0"/>
              <w:widowControl w:val="0"/>
              <w:rPr>
                <w:sz w:val="20"/>
              </w:rPr>
            </w:pPr>
            <w:r w:rsidRPr="00200365">
              <w:rPr>
                <w:sz w:val="20"/>
              </w:rPr>
              <w:t>45%</w:t>
            </w:r>
          </w:p>
        </w:tc>
        <w:tc>
          <w:tcPr>
            <w:tcW w:w="1361" w:type="dxa"/>
            <w:tcBorders>
              <w:top w:val="single" w:sz="4" w:space="0" w:color="auto"/>
              <w:bottom w:val="single" w:sz="4" w:space="0" w:color="auto"/>
            </w:tcBorders>
          </w:tcPr>
          <w:p w14:paraId="77867568" w14:textId="77777777" w:rsidR="00BC52A8" w:rsidRPr="00200365" w:rsidRDefault="00BC52A8" w:rsidP="00BC52A8">
            <w:pPr>
              <w:pStyle w:val="TableText9ptcentered"/>
              <w:keepNext w:val="0"/>
              <w:widowControl w:val="0"/>
              <w:rPr>
                <w:sz w:val="20"/>
              </w:rPr>
            </w:pPr>
            <w:r w:rsidRPr="00200365">
              <w:rPr>
                <w:sz w:val="20"/>
              </w:rPr>
              <w:t>$55,324.49</w:t>
            </w:r>
          </w:p>
        </w:tc>
      </w:tr>
      <w:tr w:rsidR="00BC52A8" w:rsidRPr="00200365" w14:paraId="21488CD3" w14:textId="77777777" w:rsidTr="00BC52A8">
        <w:tc>
          <w:tcPr>
            <w:tcW w:w="2409" w:type="dxa"/>
          </w:tcPr>
          <w:p w14:paraId="16C5DFFD" w14:textId="1A4BD79F" w:rsidR="00BC52A8" w:rsidRPr="00200365" w:rsidRDefault="00BC52A8" w:rsidP="00BC52A8">
            <w:pPr>
              <w:widowControl w:val="0"/>
              <w:spacing w:after="40"/>
              <w:jc w:val="both"/>
            </w:pPr>
            <w:r w:rsidRPr="00200365">
              <w:t>Interferon</w:t>
            </w:r>
            <w:r w:rsidR="000D4965" w:rsidRPr="00182250">
              <w:t>-α</w:t>
            </w:r>
          </w:p>
        </w:tc>
        <w:tc>
          <w:tcPr>
            <w:tcW w:w="1326" w:type="dxa"/>
          </w:tcPr>
          <w:p w14:paraId="402EB045" w14:textId="77777777" w:rsidR="00BC52A8" w:rsidRPr="00200365" w:rsidRDefault="00BC52A8" w:rsidP="00BC52A8">
            <w:pPr>
              <w:pStyle w:val="TableText9ptcentered"/>
              <w:keepNext w:val="0"/>
              <w:widowControl w:val="0"/>
              <w:rPr>
                <w:sz w:val="20"/>
              </w:rPr>
            </w:pPr>
            <w:r w:rsidRPr="00200365">
              <w:rPr>
                <w:sz w:val="20"/>
              </w:rPr>
              <w:t>$6,924.96</w:t>
            </w:r>
          </w:p>
        </w:tc>
        <w:tc>
          <w:tcPr>
            <w:tcW w:w="1325" w:type="dxa"/>
            <w:gridSpan w:val="3"/>
            <w:tcBorders>
              <w:top w:val="single" w:sz="4" w:space="0" w:color="auto"/>
              <w:bottom w:val="single" w:sz="4" w:space="0" w:color="auto"/>
            </w:tcBorders>
          </w:tcPr>
          <w:p w14:paraId="5A2D2C38" w14:textId="77777777" w:rsidR="00BC52A8" w:rsidRPr="00200365" w:rsidRDefault="00BC52A8" w:rsidP="00BC52A8">
            <w:pPr>
              <w:pStyle w:val="TableText9ptcentered"/>
              <w:keepNext w:val="0"/>
              <w:widowControl w:val="0"/>
              <w:rPr>
                <w:sz w:val="20"/>
              </w:rPr>
            </w:pPr>
            <w:r w:rsidRPr="00200365">
              <w:rPr>
                <w:sz w:val="20"/>
              </w:rPr>
              <w:t>$18,162.33</w:t>
            </w:r>
          </w:p>
        </w:tc>
        <w:tc>
          <w:tcPr>
            <w:tcW w:w="1325" w:type="dxa"/>
            <w:gridSpan w:val="6"/>
          </w:tcPr>
          <w:p w14:paraId="1206426E" w14:textId="77777777" w:rsidR="00BC52A8" w:rsidRPr="00200365" w:rsidRDefault="00BC52A8" w:rsidP="00BC52A8">
            <w:pPr>
              <w:pStyle w:val="TableText9ptcentered"/>
              <w:keepNext w:val="0"/>
              <w:widowControl w:val="0"/>
              <w:rPr>
                <w:sz w:val="20"/>
              </w:rPr>
            </w:pPr>
            <w:r w:rsidRPr="00200365">
              <w:rPr>
                <w:sz w:val="20"/>
              </w:rPr>
              <w:t>53%</w:t>
            </w:r>
          </w:p>
        </w:tc>
        <w:tc>
          <w:tcPr>
            <w:tcW w:w="1326" w:type="dxa"/>
            <w:tcBorders>
              <w:top w:val="single" w:sz="4" w:space="0" w:color="auto"/>
              <w:bottom w:val="single" w:sz="4" w:space="0" w:color="auto"/>
            </w:tcBorders>
          </w:tcPr>
          <w:p w14:paraId="152F2086" w14:textId="77777777" w:rsidR="00BC52A8" w:rsidRPr="00200365" w:rsidRDefault="00BC52A8" w:rsidP="00BC52A8">
            <w:pPr>
              <w:pStyle w:val="TableText9ptcentered"/>
              <w:keepNext w:val="0"/>
              <w:widowControl w:val="0"/>
              <w:rPr>
                <w:sz w:val="20"/>
              </w:rPr>
            </w:pPr>
            <w:r w:rsidRPr="00200365">
              <w:rPr>
                <w:sz w:val="20"/>
              </w:rPr>
              <w:t>8%</w:t>
            </w:r>
          </w:p>
        </w:tc>
        <w:tc>
          <w:tcPr>
            <w:tcW w:w="1361" w:type="dxa"/>
            <w:tcBorders>
              <w:top w:val="single" w:sz="4" w:space="0" w:color="auto"/>
              <w:bottom w:val="single" w:sz="4" w:space="0" w:color="auto"/>
            </w:tcBorders>
          </w:tcPr>
          <w:p w14:paraId="4BFF6EC0" w14:textId="77777777" w:rsidR="00BC52A8" w:rsidRPr="00200365" w:rsidRDefault="00BC52A8" w:rsidP="00BC52A8">
            <w:pPr>
              <w:pStyle w:val="TableText9ptcentered"/>
              <w:keepNext w:val="0"/>
              <w:widowControl w:val="0"/>
              <w:rPr>
                <w:sz w:val="20"/>
              </w:rPr>
            </w:pPr>
            <w:r w:rsidRPr="00200365">
              <w:rPr>
                <w:sz w:val="20"/>
              </w:rPr>
              <w:t>$215,232.68</w:t>
            </w:r>
          </w:p>
        </w:tc>
      </w:tr>
      <w:tr w:rsidR="00BC52A8" w:rsidRPr="00200365" w14:paraId="276403CB" w14:textId="77777777" w:rsidTr="00BC52A8">
        <w:tc>
          <w:tcPr>
            <w:tcW w:w="2409" w:type="dxa"/>
          </w:tcPr>
          <w:p w14:paraId="774F42A8" w14:textId="77777777" w:rsidR="00BC52A8" w:rsidRPr="00200365" w:rsidRDefault="00BC52A8" w:rsidP="00BC52A8">
            <w:pPr>
              <w:widowControl w:val="0"/>
              <w:spacing w:after="40"/>
              <w:jc w:val="both"/>
            </w:pPr>
            <w:r w:rsidRPr="00200365">
              <w:t>Vorinostat</w:t>
            </w:r>
          </w:p>
        </w:tc>
        <w:tc>
          <w:tcPr>
            <w:tcW w:w="1326" w:type="dxa"/>
          </w:tcPr>
          <w:p w14:paraId="36BD163A" w14:textId="77777777" w:rsidR="00BC52A8" w:rsidRPr="00200365" w:rsidRDefault="00BC52A8" w:rsidP="00BC52A8">
            <w:pPr>
              <w:pStyle w:val="TableText9ptcentered"/>
              <w:keepNext w:val="0"/>
              <w:widowControl w:val="0"/>
              <w:rPr>
                <w:sz w:val="20"/>
              </w:rPr>
            </w:pPr>
            <w:r w:rsidRPr="00200365">
              <w:rPr>
                <w:sz w:val="20"/>
              </w:rPr>
              <w:t>$23,843.56</w:t>
            </w:r>
          </w:p>
        </w:tc>
        <w:tc>
          <w:tcPr>
            <w:tcW w:w="1325" w:type="dxa"/>
            <w:gridSpan w:val="3"/>
            <w:tcBorders>
              <w:top w:val="single" w:sz="4" w:space="0" w:color="auto"/>
              <w:bottom w:val="single" w:sz="4" w:space="0" w:color="auto"/>
            </w:tcBorders>
          </w:tcPr>
          <w:p w14:paraId="0F0A77D4" w14:textId="77777777" w:rsidR="00BC52A8" w:rsidRPr="00200365" w:rsidRDefault="00BC52A8" w:rsidP="00BC52A8">
            <w:pPr>
              <w:pStyle w:val="TableText9ptcentered"/>
              <w:keepNext w:val="0"/>
              <w:widowControl w:val="0"/>
              <w:rPr>
                <w:sz w:val="20"/>
              </w:rPr>
            </w:pPr>
            <w:r w:rsidRPr="00200365">
              <w:rPr>
                <w:sz w:val="20"/>
              </w:rPr>
              <w:t>$1,243.73</w:t>
            </w:r>
          </w:p>
        </w:tc>
        <w:tc>
          <w:tcPr>
            <w:tcW w:w="1325" w:type="dxa"/>
            <w:gridSpan w:val="6"/>
          </w:tcPr>
          <w:p w14:paraId="1FA3C1CE" w14:textId="77777777" w:rsidR="00BC52A8" w:rsidRPr="00200365" w:rsidRDefault="00BC52A8" w:rsidP="00BC52A8">
            <w:pPr>
              <w:pStyle w:val="TableText9ptcentered"/>
              <w:keepNext w:val="0"/>
              <w:widowControl w:val="0"/>
              <w:rPr>
                <w:sz w:val="20"/>
              </w:rPr>
            </w:pPr>
            <w:r w:rsidRPr="00200365">
              <w:rPr>
                <w:sz w:val="20"/>
              </w:rPr>
              <w:t>30%</w:t>
            </w:r>
          </w:p>
        </w:tc>
        <w:tc>
          <w:tcPr>
            <w:tcW w:w="1326" w:type="dxa"/>
            <w:tcBorders>
              <w:top w:val="single" w:sz="4" w:space="0" w:color="auto"/>
              <w:bottom w:val="single" w:sz="4" w:space="0" w:color="auto"/>
            </w:tcBorders>
          </w:tcPr>
          <w:p w14:paraId="684EC1BE" w14:textId="77777777" w:rsidR="00BC52A8" w:rsidRPr="00200365" w:rsidRDefault="00BC52A8" w:rsidP="00BC52A8">
            <w:pPr>
              <w:pStyle w:val="TableText9ptcentered"/>
              <w:keepNext w:val="0"/>
              <w:widowControl w:val="0"/>
              <w:rPr>
                <w:sz w:val="20"/>
              </w:rPr>
            </w:pPr>
            <w:r w:rsidRPr="00200365">
              <w:rPr>
                <w:sz w:val="20"/>
              </w:rPr>
              <w:t>32%</w:t>
            </w:r>
          </w:p>
        </w:tc>
        <w:tc>
          <w:tcPr>
            <w:tcW w:w="1361" w:type="dxa"/>
            <w:tcBorders>
              <w:top w:val="single" w:sz="4" w:space="0" w:color="auto"/>
              <w:bottom w:val="single" w:sz="4" w:space="0" w:color="auto"/>
            </w:tcBorders>
          </w:tcPr>
          <w:p w14:paraId="306B81EC" w14:textId="77777777" w:rsidR="00BC52A8" w:rsidRPr="00200365" w:rsidRDefault="00BC52A8" w:rsidP="00BC52A8">
            <w:pPr>
              <w:pStyle w:val="TableText9ptcentered"/>
              <w:keepNext w:val="0"/>
              <w:widowControl w:val="0"/>
              <w:rPr>
                <w:sz w:val="20"/>
              </w:rPr>
            </w:pPr>
            <w:r w:rsidRPr="00200365">
              <w:rPr>
                <w:sz w:val="20"/>
              </w:rPr>
              <w:t>$3,910.02</w:t>
            </w:r>
          </w:p>
        </w:tc>
      </w:tr>
      <w:tr w:rsidR="00BC52A8" w:rsidRPr="00200365" w14:paraId="1E47EBB1" w14:textId="77777777" w:rsidTr="00BC52A8">
        <w:tc>
          <w:tcPr>
            <w:tcW w:w="2409" w:type="dxa"/>
          </w:tcPr>
          <w:p w14:paraId="42F23A0B" w14:textId="77777777" w:rsidR="00BC52A8" w:rsidRPr="00200365" w:rsidRDefault="00BC52A8" w:rsidP="00BC52A8">
            <w:pPr>
              <w:widowControl w:val="0"/>
              <w:spacing w:after="40"/>
              <w:jc w:val="both"/>
            </w:pPr>
            <w:r w:rsidRPr="00200365">
              <w:t>Brentuximab vedotin</w:t>
            </w:r>
          </w:p>
        </w:tc>
        <w:tc>
          <w:tcPr>
            <w:tcW w:w="1326" w:type="dxa"/>
          </w:tcPr>
          <w:p w14:paraId="61A993C8" w14:textId="77777777" w:rsidR="00BC52A8" w:rsidRPr="00200365" w:rsidRDefault="00BC52A8" w:rsidP="00BC52A8">
            <w:pPr>
              <w:pStyle w:val="TableText9ptcentered"/>
              <w:keepNext w:val="0"/>
              <w:widowControl w:val="0"/>
              <w:rPr>
                <w:sz w:val="20"/>
              </w:rPr>
            </w:pPr>
            <w:r w:rsidRPr="00200365">
              <w:rPr>
                <w:sz w:val="20"/>
              </w:rPr>
              <w:t>$109,048.53</w:t>
            </w:r>
          </w:p>
        </w:tc>
        <w:tc>
          <w:tcPr>
            <w:tcW w:w="1325" w:type="dxa"/>
            <w:gridSpan w:val="3"/>
            <w:tcBorders>
              <w:top w:val="single" w:sz="4" w:space="0" w:color="auto"/>
              <w:bottom w:val="single" w:sz="4" w:space="0" w:color="auto"/>
            </w:tcBorders>
          </w:tcPr>
          <w:p w14:paraId="41974D0D" w14:textId="77777777" w:rsidR="00BC52A8" w:rsidRPr="00200365" w:rsidRDefault="00BC52A8" w:rsidP="00BC52A8">
            <w:pPr>
              <w:pStyle w:val="TableText9ptcentered"/>
              <w:keepNext w:val="0"/>
              <w:widowControl w:val="0"/>
              <w:rPr>
                <w:sz w:val="20"/>
              </w:rPr>
            </w:pPr>
            <w:r w:rsidRPr="00200365">
              <w:rPr>
                <w:sz w:val="20"/>
              </w:rPr>
              <w:t>-$83,961.24</w:t>
            </w:r>
          </w:p>
        </w:tc>
        <w:tc>
          <w:tcPr>
            <w:tcW w:w="1325" w:type="dxa"/>
            <w:gridSpan w:val="6"/>
          </w:tcPr>
          <w:p w14:paraId="6473CD0D" w14:textId="77777777" w:rsidR="00BC52A8" w:rsidRPr="00200365" w:rsidRDefault="00BC52A8" w:rsidP="00BC52A8">
            <w:pPr>
              <w:pStyle w:val="TableText9ptcentered"/>
              <w:keepNext w:val="0"/>
              <w:widowControl w:val="0"/>
              <w:rPr>
                <w:sz w:val="20"/>
              </w:rPr>
            </w:pPr>
            <w:r w:rsidRPr="00200365">
              <w:rPr>
                <w:sz w:val="20"/>
              </w:rPr>
              <w:t>40%</w:t>
            </w:r>
          </w:p>
        </w:tc>
        <w:tc>
          <w:tcPr>
            <w:tcW w:w="1326" w:type="dxa"/>
            <w:tcBorders>
              <w:top w:val="single" w:sz="4" w:space="0" w:color="auto"/>
              <w:bottom w:val="single" w:sz="4" w:space="0" w:color="auto"/>
            </w:tcBorders>
          </w:tcPr>
          <w:p w14:paraId="498E6A0D" w14:textId="77777777" w:rsidR="00BC52A8" w:rsidRPr="00200365" w:rsidRDefault="00BC52A8" w:rsidP="00BC52A8">
            <w:pPr>
              <w:pStyle w:val="TableText9ptcentered"/>
              <w:keepNext w:val="0"/>
              <w:widowControl w:val="0"/>
              <w:rPr>
                <w:sz w:val="20"/>
              </w:rPr>
            </w:pPr>
            <w:r w:rsidRPr="00200365">
              <w:rPr>
                <w:sz w:val="20"/>
              </w:rPr>
              <w:t>22%</w:t>
            </w:r>
          </w:p>
        </w:tc>
        <w:tc>
          <w:tcPr>
            <w:tcW w:w="1361" w:type="dxa"/>
            <w:tcBorders>
              <w:top w:val="single" w:sz="4" w:space="0" w:color="auto"/>
              <w:bottom w:val="single" w:sz="4" w:space="0" w:color="auto"/>
            </w:tcBorders>
          </w:tcPr>
          <w:p w14:paraId="77875800" w14:textId="77777777" w:rsidR="00BC52A8" w:rsidRPr="00200365" w:rsidRDefault="00BC52A8" w:rsidP="00BC52A8">
            <w:pPr>
              <w:pStyle w:val="TableText9ptcentered"/>
              <w:keepNext w:val="0"/>
              <w:widowControl w:val="0"/>
              <w:rPr>
                <w:sz w:val="20"/>
              </w:rPr>
            </w:pPr>
            <w:r w:rsidRPr="00200365">
              <w:rPr>
                <w:sz w:val="20"/>
              </w:rPr>
              <w:t>Dominant</w:t>
            </w:r>
          </w:p>
        </w:tc>
      </w:tr>
      <w:tr w:rsidR="00BC52A8" w:rsidRPr="00200365" w14:paraId="1A8DA505" w14:textId="77777777" w:rsidTr="00BC52A8">
        <w:tc>
          <w:tcPr>
            <w:tcW w:w="5382" w:type="dxa"/>
            <w:gridSpan w:val="7"/>
            <w:tcBorders>
              <w:right w:val="nil"/>
            </w:tcBorders>
          </w:tcPr>
          <w:p w14:paraId="4829AA29" w14:textId="2D7C8C3C" w:rsidR="00BC52A8" w:rsidRPr="00200365" w:rsidRDefault="00BC52A8" w:rsidP="00BC52A8">
            <w:pPr>
              <w:pStyle w:val="TableTextLeft"/>
              <w:keepNext w:val="0"/>
              <w:widowControl w:val="0"/>
              <w:rPr>
                <w:b/>
                <w:szCs w:val="20"/>
              </w:rPr>
            </w:pPr>
            <w:r w:rsidRPr="00200365">
              <w:rPr>
                <w:i/>
                <w:szCs w:val="20"/>
              </w:rPr>
              <w:t xml:space="preserve">Step 2 (cost per </w:t>
            </w:r>
            <w:r w:rsidR="002801E0">
              <w:rPr>
                <w:i/>
                <w:szCs w:val="20"/>
              </w:rPr>
              <w:t>QALY – no treatment cycling – 6-</w:t>
            </w:r>
            <w:r w:rsidRPr="00200365">
              <w:rPr>
                <w:i/>
                <w:szCs w:val="20"/>
              </w:rPr>
              <w:t>month time horizon)</w:t>
            </w:r>
          </w:p>
        </w:tc>
        <w:tc>
          <w:tcPr>
            <w:tcW w:w="283" w:type="dxa"/>
            <w:tcBorders>
              <w:left w:val="nil"/>
              <w:right w:val="nil"/>
            </w:tcBorders>
          </w:tcPr>
          <w:p w14:paraId="0171BDF7" w14:textId="77777777" w:rsidR="00BC52A8" w:rsidRPr="00200365" w:rsidRDefault="00BC52A8" w:rsidP="00BC52A8">
            <w:pPr>
              <w:pStyle w:val="TableTextcenter"/>
              <w:keepNext w:val="0"/>
              <w:widowControl w:val="0"/>
            </w:pPr>
          </w:p>
        </w:tc>
        <w:tc>
          <w:tcPr>
            <w:tcW w:w="426" w:type="dxa"/>
            <w:gridSpan w:val="2"/>
            <w:tcBorders>
              <w:top w:val="single" w:sz="4" w:space="0" w:color="auto"/>
              <w:left w:val="nil"/>
              <w:bottom w:val="single" w:sz="4" w:space="0" w:color="auto"/>
              <w:right w:val="nil"/>
            </w:tcBorders>
          </w:tcPr>
          <w:p w14:paraId="039162C2" w14:textId="77777777" w:rsidR="00BC52A8" w:rsidRPr="00200365" w:rsidRDefault="00BC52A8" w:rsidP="00BC52A8">
            <w:pPr>
              <w:pStyle w:val="TableTextcenter"/>
              <w:keepNext w:val="0"/>
              <w:widowControl w:val="0"/>
            </w:pPr>
          </w:p>
        </w:tc>
        <w:tc>
          <w:tcPr>
            <w:tcW w:w="294" w:type="dxa"/>
            <w:tcBorders>
              <w:left w:val="nil"/>
              <w:right w:val="nil"/>
            </w:tcBorders>
          </w:tcPr>
          <w:p w14:paraId="7B865E87" w14:textId="77777777" w:rsidR="00BC52A8" w:rsidRPr="00200365" w:rsidRDefault="00BC52A8" w:rsidP="00BC52A8">
            <w:pPr>
              <w:pStyle w:val="TableTextcenter"/>
              <w:keepNext w:val="0"/>
              <w:widowControl w:val="0"/>
            </w:pPr>
          </w:p>
        </w:tc>
        <w:tc>
          <w:tcPr>
            <w:tcW w:w="1326" w:type="dxa"/>
            <w:tcBorders>
              <w:top w:val="single" w:sz="4" w:space="0" w:color="auto"/>
              <w:left w:val="nil"/>
              <w:bottom w:val="single" w:sz="4" w:space="0" w:color="auto"/>
              <w:right w:val="nil"/>
            </w:tcBorders>
          </w:tcPr>
          <w:p w14:paraId="6CE55344" w14:textId="77777777" w:rsidR="00BC52A8" w:rsidRPr="00200365" w:rsidRDefault="00BC52A8" w:rsidP="00BC52A8">
            <w:pPr>
              <w:pStyle w:val="TableTextcenter"/>
              <w:keepNext w:val="0"/>
              <w:widowControl w:val="0"/>
            </w:pPr>
          </w:p>
        </w:tc>
        <w:tc>
          <w:tcPr>
            <w:tcW w:w="1361" w:type="dxa"/>
            <w:tcBorders>
              <w:top w:val="single" w:sz="4" w:space="0" w:color="auto"/>
              <w:left w:val="nil"/>
              <w:bottom w:val="single" w:sz="4" w:space="0" w:color="auto"/>
            </w:tcBorders>
          </w:tcPr>
          <w:p w14:paraId="34B839C9" w14:textId="77777777" w:rsidR="00BC52A8" w:rsidRPr="00200365" w:rsidRDefault="00BC52A8" w:rsidP="00BC52A8">
            <w:pPr>
              <w:pStyle w:val="TableTextcenter"/>
              <w:keepNext w:val="0"/>
              <w:widowControl w:val="0"/>
            </w:pPr>
          </w:p>
        </w:tc>
      </w:tr>
      <w:tr w:rsidR="00BC52A8" w:rsidRPr="00200365" w14:paraId="57953FEE" w14:textId="77777777" w:rsidTr="00BC52A8">
        <w:tc>
          <w:tcPr>
            <w:tcW w:w="2409" w:type="dxa"/>
          </w:tcPr>
          <w:p w14:paraId="470071DB" w14:textId="77777777" w:rsidR="00BC52A8" w:rsidRPr="00200365" w:rsidRDefault="00BC52A8" w:rsidP="00BC52A8">
            <w:pPr>
              <w:widowControl w:val="0"/>
              <w:spacing w:after="40"/>
              <w:jc w:val="both"/>
            </w:pPr>
            <w:r w:rsidRPr="00200365">
              <w:t>ECP</w:t>
            </w:r>
          </w:p>
        </w:tc>
        <w:tc>
          <w:tcPr>
            <w:tcW w:w="1326" w:type="dxa"/>
          </w:tcPr>
          <w:p w14:paraId="771CAB82" w14:textId="77777777" w:rsidR="00BC52A8" w:rsidRPr="00200365" w:rsidRDefault="00BC52A8" w:rsidP="00BC52A8">
            <w:pPr>
              <w:pStyle w:val="TableText9ptcentered"/>
              <w:keepNext w:val="0"/>
              <w:widowControl w:val="0"/>
              <w:rPr>
                <w:sz w:val="20"/>
              </w:rPr>
            </w:pPr>
            <w:r w:rsidRPr="00200365">
              <w:rPr>
                <w:sz w:val="20"/>
              </w:rPr>
              <w:t>$25,087.29</w:t>
            </w:r>
          </w:p>
        </w:tc>
        <w:tc>
          <w:tcPr>
            <w:tcW w:w="1325" w:type="dxa"/>
            <w:gridSpan w:val="3"/>
            <w:tcBorders>
              <w:top w:val="single" w:sz="4" w:space="0" w:color="auto"/>
              <w:bottom w:val="single" w:sz="4" w:space="0" w:color="auto"/>
            </w:tcBorders>
          </w:tcPr>
          <w:p w14:paraId="21EC88F9" w14:textId="77777777" w:rsidR="00BC52A8" w:rsidRPr="00200365" w:rsidRDefault="00BC52A8" w:rsidP="00BC52A8">
            <w:pPr>
              <w:pStyle w:val="TableText9ptcentered"/>
              <w:keepNext w:val="0"/>
              <w:widowControl w:val="0"/>
              <w:rPr>
                <w:sz w:val="20"/>
              </w:rPr>
            </w:pPr>
            <w:r w:rsidRPr="00200365">
              <w:rPr>
                <w:sz w:val="20"/>
              </w:rPr>
              <w:t>-</w:t>
            </w:r>
          </w:p>
        </w:tc>
        <w:tc>
          <w:tcPr>
            <w:tcW w:w="1325" w:type="dxa"/>
            <w:gridSpan w:val="6"/>
          </w:tcPr>
          <w:p w14:paraId="0A4F7DEB" w14:textId="77777777" w:rsidR="00BC52A8" w:rsidRPr="00200365" w:rsidRDefault="00BC52A8" w:rsidP="00BC52A8">
            <w:pPr>
              <w:pStyle w:val="TableText9ptcentered"/>
              <w:keepNext w:val="0"/>
              <w:widowControl w:val="0"/>
              <w:rPr>
                <w:sz w:val="20"/>
              </w:rPr>
            </w:pPr>
            <w:r w:rsidRPr="00200365">
              <w:rPr>
                <w:sz w:val="20"/>
              </w:rPr>
              <w:t>0.37</w:t>
            </w:r>
          </w:p>
        </w:tc>
        <w:tc>
          <w:tcPr>
            <w:tcW w:w="1326" w:type="dxa"/>
            <w:tcBorders>
              <w:top w:val="single" w:sz="4" w:space="0" w:color="auto"/>
              <w:bottom w:val="single" w:sz="4" w:space="0" w:color="auto"/>
            </w:tcBorders>
          </w:tcPr>
          <w:p w14:paraId="269E6276" w14:textId="77777777" w:rsidR="00BC52A8" w:rsidRPr="00200365" w:rsidRDefault="00BC52A8" w:rsidP="00BC52A8">
            <w:pPr>
              <w:pStyle w:val="TableText9ptcentered"/>
              <w:keepNext w:val="0"/>
              <w:widowControl w:val="0"/>
              <w:rPr>
                <w:sz w:val="20"/>
              </w:rPr>
            </w:pPr>
            <w:r w:rsidRPr="00200365">
              <w:rPr>
                <w:sz w:val="20"/>
              </w:rPr>
              <w:t>-</w:t>
            </w:r>
          </w:p>
        </w:tc>
        <w:tc>
          <w:tcPr>
            <w:tcW w:w="1361" w:type="dxa"/>
            <w:tcBorders>
              <w:top w:val="single" w:sz="4" w:space="0" w:color="auto"/>
              <w:bottom w:val="single" w:sz="4" w:space="0" w:color="auto"/>
            </w:tcBorders>
          </w:tcPr>
          <w:p w14:paraId="2534044A" w14:textId="77777777" w:rsidR="00BC52A8" w:rsidRPr="00200365" w:rsidRDefault="00BC52A8" w:rsidP="00BC52A8">
            <w:pPr>
              <w:pStyle w:val="TableText9ptcentered"/>
              <w:keepNext w:val="0"/>
              <w:widowControl w:val="0"/>
              <w:rPr>
                <w:sz w:val="20"/>
              </w:rPr>
            </w:pPr>
            <w:r w:rsidRPr="00200365">
              <w:rPr>
                <w:sz w:val="20"/>
              </w:rPr>
              <w:t>-</w:t>
            </w:r>
          </w:p>
        </w:tc>
      </w:tr>
      <w:tr w:rsidR="00BC52A8" w:rsidRPr="00200365" w14:paraId="29B5DE57" w14:textId="77777777" w:rsidTr="00BC52A8">
        <w:tc>
          <w:tcPr>
            <w:tcW w:w="2409" w:type="dxa"/>
          </w:tcPr>
          <w:p w14:paraId="13C27E62" w14:textId="77777777" w:rsidR="00BC52A8" w:rsidRPr="00200365" w:rsidRDefault="00BC52A8" w:rsidP="00BC52A8">
            <w:pPr>
              <w:widowControl w:val="0"/>
              <w:spacing w:after="40"/>
              <w:jc w:val="both"/>
            </w:pPr>
            <w:r w:rsidRPr="00200365">
              <w:t>Methotrexate</w:t>
            </w:r>
          </w:p>
        </w:tc>
        <w:tc>
          <w:tcPr>
            <w:tcW w:w="1326" w:type="dxa"/>
          </w:tcPr>
          <w:p w14:paraId="27771ED0" w14:textId="77777777" w:rsidR="00BC52A8" w:rsidRPr="00200365" w:rsidRDefault="00BC52A8" w:rsidP="00BC52A8">
            <w:pPr>
              <w:pStyle w:val="TableText9ptcentered"/>
              <w:keepNext w:val="0"/>
              <w:widowControl w:val="0"/>
              <w:rPr>
                <w:sz w:val="20"/>
              </w:rPr>
            </w:pPr>
            <w:r w:rsidRPr="00200365">
              <w:rPr>
                <w:sz w:val="20"/>
              </w:rPr>
              <w:t>$74.02</w:t>
            </w:r>
          </w:p>
        </w:tc>
        <w:tc>
          <w:tcPr>
            <w:tcW w:w="1325" w:type="dxa"/>
            <w:gridSpan w:val="3"/>
            <w:tcBorders>
              <w:top w:val="single" w:sz="4" w:space="0" w:color="auto"/>
              <w:bottom w:val="single" w:sz="4" w:space="0" w:color="auto"/>
            </w:tcBorders>
          </w:tcPr>
          <w:p w14:paraId="1FE5E7A8" w14:textId="77777777" w:rsidR="00BC52A8" w:rsidRPr="00200365" w:rsidRDefault="00BC52A8" w:rsidP="00BC52A8">
            <w:pPr>
              <w:pStyle w:val="TableText9ptcentered"/>
              <w:keepNext w:val="0"/>
              <w:widowControl w:val="0"/>
              <w:rPr>
                <w:sz w:val="20"/>
              </w:rPr>
            </w:pPr>
            <w:r w:rsidRPr="00200365">
              <w:rPr>
                <w:sz w:val="20"/>
              </w:rPr>
              <w:t>$25,013.27</w:t>
            </w:r>
          </w:p>
        </w:tc>
        <w:tc>
          <w:tcPr>
            <w:tcW w:w="1325" w:type="dxa"/>
            <w:gridSpan w:val="6"/>
          </w:tcPr>
          <w:p w14:paraId="51F4E68E" w14:textId="77777777" w:rsidR="00BC52A8" w:rsidRPr="00200365" w:rsidRDefault="00BC52A8" w:rsidP="00BC52A8">
            <w:pPr>
              <w:pStyle w:val="TableText9ptcentered"/>
              <w:keepNext w:val="0"/>
              <w:widowControl w:val="0"/>
              <w:rPr>
                <w:sz w:val="20"/>
              </w:rPr>
            </w:pPr>
            <w:r w:rsidRPr="00200365">
              <w:rPr>
                <w:sz w:val="20"/>
              </w:rPr>
              <w:t>0.26</w:t>
            </w:r>
          </w:p>
        </w:tc>
        <w:tc>
          <w:tcPr>
            <w:tcW w:w="1326" w:type="dxa"/>
            <w:tcBorders>
              <w:top w:val="single" w:sz="4" w:space="0" w:color="auto"/>
              <w:bottom w:val="single" w:sz="4" w:space="0" w:color="auto"/>
            </w:tcBorders>
          </w:tcPr>
          <w:p w14:paraId="3B3DBD36" w14:textId="77777777" w:rsidR="00BC52A8" w:rsidRPr="00200365" w:rsidRDefault="00BC52A8" w:rsidP="00BC52A8">
            <w:pPr>
              <w:pStyle w:val="TableText9ptcentered"/>
              <w:keepNext w:val="0"/>
              <w:widowControl w:val="0"/>
              <w:rPr>
                <w:sz w:val="20"/>
              </w:rPr>
            </w:pPr>
            <w:r w:rsidRPr="00200365">
              <w:rPr>
                <w:sz w:val="20"/>
              </w:rPr>
              <w:t>0.11</w:t>
            </w:r>
          </w:p>
        </w:tc>
        <w:tc>
          <w:tcPr>
            <w:tcW w:w="1361" w:type="dxa"/>
            <w:tcBorders>
              <w:top w:val="single" w:sz="4" w:space="0" w:color="auto"/>
              <w:bottom w:val="single" w:sz="4" w:space="0" w:color="auto"/>
            </w:tcBorders>
          </w:tcPr>
          <w:p w14:paraId="4A90A279" w14:textId="77777777" w:rsidR="00BC52A8" w:rsidRPr="00200365" w:rsidRDefault="00BC52A8" w:rsidP="00BC52A8">
            <w:pPr>
              <w:pStyle w:val="TableText9ptcentered"/>
              <w:keepNext w:val="0"/>
              <w:widowControl w:val="0"/>
              <w:rPr>
                <w:sz w:val="20"/>
              </w:rPr>
            </w:pPr>
            <w:r w:rsidRPr="00200365">
              <w:rPr>
                <w:sz w:val="20"/>
              </w:rPr>
              <w:t>$233,061.36</w:t>
            </w:r>
          </w:p>
        </w:tc>
      </w:tr>
      <w:tr w:rsidR="00BC52A8" w:rsidRPr="00200365" w14:paraId="56AEB6AB" w14:textId="77777777" w:rsidTr="00BC52A8">
        <w:tc>
          <w:tcPr>
            <w:tcW w:w="2409" w:type="dxa"/>
          </w:tcPr>
          <w:p w14:paraId="411F760A" w14:textId="3F3FCB1E" w:rsidR="00BC52A8" w:rsidRPr="00200365" w:rsidRDefault="00BC52A8" w:rsidP="00BC52A8">
            <w:pPr>
              <w:widowControl w:val="0"/>
              <w:spacing w:after="40"/>
              <w:jc w:val="both"/>
            </w:pPr>
            <w:r w:rsidRPr="00200365">
              <w:t>Interferon</w:t>
            </w:r>
            <w:r w:rsidR="0007649E" w:rsidRPr="00182250">
              <w:t>-α</w:t>
            </w:r>
          </w:p>
        </w:tc>
        <w:tc>
          <w:tcPr>
            <w:tcW w:w="1326" w:type="dxa"/>
          </w:tcPr>
          <w:p w14:paraId="6F002D94" w14:textId="77777777" w:rsidR="00BC52A8" w:rsidRPr="00200365" w:rsidRDefault="00BC52A8" w:rsidP="00BC52A8">
            <w:pPr>
              <w:pStyle w:val="TableText9ptcentered"/>
              <w:keepNext w:val="0"/>
              <w:widowControl w:val="0"/>
              <w:rPr>
                <w:sz w:val="20"/>
              </w:rPr>
            </w:pPr>
            <w:r w:rsidRPr="00200365">
              <w:rPr>
                <w:sz w:val="20"/>
              </w:rPr>
              <w:t>$6,924.96</w:t>
            </w:r>
          </w:p>
        </w:tc>
        <w:tc>
          <w:tcPr>
            <w:tcW w:w="1325" w:type="dxa"/>
            <w:gridSpan w:val="3"/>
            <w:tcBorders>
              <w:top w:val="single" w:sz="4" w:space="0" w:color="auto"/>
              <w:bottom w:val="single" w:sz="4" w:space="0" w:color="auto"/>
            </w:tcBorders>
          </w:tcPr>
          <w:p w14:paraId="74E17FB2" w14:textId="77777777" w:rsidR="00BC52A8" w:rsidRPr="00200365" w:rsidRDefault="00BC52A8" w:rsidP="00BC52A8">
            <w:pPr>
              <w:pStyle w:val="TableText9ptcentered"/>
              <w:keepNext w:val="0"/>
              <w:widowControl w:val="0"/>
              <w:rPr>
                <w:sz w:val="20"/>
              </w:rPr>
            </w:pPr>
            <w:r w:rsidRPr="00200365">
              <w:rPr>
                <w:sz w:val="20"/>
              </w:rPr>
              <w:t>$18,162.33</w:t>
            </w:r>
          </w:p>
        </w:tc>
        <w:tc>
          <w:tcPr>
            <w:tcW w:w="1325" w:type="dxa"/>
            <w:gridSpan w:val="6"/>
          </w:tcPr>
          <w:p w14:paraId="09ECD677" w14:textId="77777777" w:rsidR="00BC52A8" w:rsidRPr="00200365" w:rsidRDefault="00BC52A8" w:rsidP="00BC52A8">
            <w:pPr>
              <w:pStyle w:val="TableText9ptcentered"/>
              <w:keepNext w:val="0"/>
              <w:widowControl w:val="0"/>
              <w:rPr>
                <w:sz w:val="20"/>
              </w:rPr>
            </w:pPr>
            <w:r w:rsidRPr="00200365">
              <w:rPr>
                <w:sz w:val="20"/>
              </w:rPr>
              <w:t>0.25</w:t>
            </w:r>
          </w:p>
        </w:tc>
        <w:tc>
          <w:tcPr>
            <w:tcW w:w="1326" w:type="dxa"/>
            <w:tcBorders>
              <w:top w:val="single" w:sz="4" w:space="0" w:color="auto"/>
              <w:bottom w:val="single" w:sz="4" w:space="0" w:color="auto"/>
            </w:tcBorders>
          </w:tcPr>
          <w:p w14:paraId="5DEC3E03" w14:textId="77777777" w:rsidR="00BC52A8" w:rsidRPr="00200365" w:rsidRDefault="00BC52A8" w:rsidP="00BC52A8">
            <w:pPr>
              <w:pStyle w:val="TableText9ptcentered"/>
              <w:keepNext w:val="0"/>
              <w:widowControl w:val="0"/>
              <w:rPr>
                <w:sz w:val="20"/>
              </w:rPr>
            </w:pPr>
            <w:r w:rsidRPr="00200365">
              <w:rPr>
                <w:sz w:val="20"/>
              </w:rPr>
              <w:t>0.12</w:t>
            </w:r>
          </w:p>
        </w:tc>
        <w:tc>
          <w:tcPr>
            <w:tcW w:w="1361" w:type="dxa"/>
            <w:tcBorders>
              <w:top w:val="single" w:sz="4" w:space="0" w:color="auto"/>
              <w:bottom w:val="single" w:sz="4" w:space="0" w:color="auto"/>
            </w:tcBorders>
          </w:tcPr>
          <w:p w14:paraId="4B13EE6D" w14:textId="77777777" w:rsidR="00BC52A8" w:rsidRPr="00200365" w:rsidRDefault="00BC52A8" w:rsidP="00BC52A8">
            <w:pPr>
              <w:pStyle w:val="TableText9ptcentered"/>
              <w:keepNext w:val="0"/>
              <w:widowControl w:val="0"/>
              <w:rPr>
                <w:sz w:val="20"/>
              </w:rPr>
            </w:pPr>
            <w:r w:rsidRPr="00200365">
              <w:rPr>
                <w:sz w:val="20"/>
              </w:rPr>
              <w:t>$152,320.32</w:t>
            </w:r>
          </w:p>
        </w:tc>
      </w:tr>
      <w:tr w:rsidR="00BC52A8" w:rsidRPr="00200365" w14:paraId="7366ABE7" w14:textId="77777777" w:rsidTr="00BC52A8">
        <w:tc>
          <w:tcPr>
            <w:tcW w:w="2409" w:type="dxa"/>
          </w:tcPr>
          <w:p w14:paraId="07A2AD9E" w14:textId="77777777" w:rsidR="00BC52A8" w:rsidRPr="00200365" w:rsidRDefault="00BC52A8" w:rsidP="00BC52A8">
            <w:pPr>
              <w:widowControl w:val="0"/>
              <w:spacing w:after="40"/>
              <w:jc w:val="both"/>
            </w:pPr>
            <w:r w:rsidRPr="00200365">
              <w:t>Vorinostat</w:t>
            </w:r>
          </w:p>
        </w:tc>
        <w:tc>
          <w:tcPr>
            <w:tcW w:w="1326" w:type="dxa"/>
          </w:tcPr>
          <w:p w14:paraId="06EB44AB" w14:textId="77777777" w:rsidR="00BC52A8" w:rsidRPr="00200365" w:rsidRDefault="00BC52A8" w:rsidP="00BC52A8">
            <w:pPr>
              <w:pStyle w:val="TableText9ptcentered"/>
              <w:keepNext w:val="0"/>
              <w:widowControl w:val="0"/>
              <w:rPr>
                <w:sz w:val="20"/>
              </w:rPr>
            </w:pPr>
            <w:r w:rsidRPr="00200365">
              <w:rPr>
                <w:sz w:val="20"/>
              </w:rPr>
              <w:t>$23,843.56</w:t>
            </w:r>
          </w:p>
        </w:tc>
        <w:tc>
          <w:tcPr>
            <w:tcW w:w="1325" w:type="dxa"/>
            <w:gridSpan w:val="3"/>
            <w:tcBorders>
              <w:top w:val="single" w:sz="4" w:space="0" w:color="auto"/>
              <w:bottom w:val="single" w:sz="4" w:space="0" w:color="auto"/>
            </w:tcBorders>
          </w:tcPr>
          <w:p w14:paraId="0AB6056D" w14:textId="77777777" w:rsidR="00BC52A8" w:rsidRPr="00200365" w:rsidRDefault="00BC52A8" w:rsidP="00BC52A8">
            <w:pPr>
              <w:pStyle w:val="TableText9ptcentered"/>
              <w:keepNext w:val="0"/>
              <w:widowControl w:val="0"/>
              <w:rPr>
                <w:sz w:val="20"/>
              </w:rPr>
            </w:pPr>
            <w:r w:rsidRPr="00200365">
              <w:rPr>
                <w:sz w:val="20"/>
              </w:rPr>
              <w:t>$1,243.73</w:t>
            </w:r>
          </w:p>
        </w:tc>
        <w:tc>
          <w:tcPr>
            <w:tcW w:w="1325" w:type="dxa"/>
            <w:gridSpan w:val="6"/>
          </w:tcPr>
          <w:p w14:paraId="03FAEE02" w14:textId="77777777" w:rsidR="00BC52A8" w:rsidRPr="00200365" w:rsidRDefault="00BC52A8" w:rsidP="00BC52A8">
            <w:pPr>
              <w:pStyle w:val="TableText9ptcentered"/>
              <w:keepNext w:val="0"/>
              <w:widowControl w:val="0"/>
              <w:rPr>
                <w:sz w:val="20"/>
              </w:rPr>
            </w:pPr>
            <w:r w:rsidRPr="00200365">
              <w:rPr>
                <w:sz w:val="20"/>
              </w:rPr>
              <w:t>0.28</w:t>
            </w:r>
          </w:p>
        </w:tc>
        <w:tc>
          <w:tcPr>
            <w:tcW w:w="1326" w:type="dxa"/>
            <w:tcBorders>
              <w:top w:val="single" w:sz="4" w:space="0" w:color="auto"/>
              <w:bottom w:val="single" w:sz="4" w:space="0" w:color="auto"/>
            </w:tcBorders>
          </w:tcPr>
          <w:p w14:paraId="4C897A2C" w14:textId="77777777" w:rsidR="00BC52A8" w:rsidRPr="00200365" w:rsidRDefault="00BC52A8" w:rsidP="00BC52A8">
            <w:pPr>
              <w:pStyle w:val="TableText9ptcentered"/>
              <w:keepNext w:val="0"/>
              <w:widowControl w:val="0"/>
              <w:rPr>
                <w:sz w:val="20"/>
              </w:rPr>
            </w:pPr>
            <w:r w:rsidRPr="00200365">
              <w:rPr>
                <w:sz w:val="20"/>
              </w:rPr>
              <w:t>0.09</w:t>
            </w:r>
          </w:p>
        </w:tc>
        <w:tc>
          <w:tcPr>
            <w:tcW w:w="1361" w:type="dxa"/>
            <w:tcBorders>
              <w:top w:val="single" w:sz="4" w:space="0" w:color="auto"/>
              <w:bottom w:val="single" w:sz="4" w:space="0" w:color="auto"/>
            </w:tcBorders>
          </w:tcPr>
          <w:p w14:paraId="5120D3B5" w14:textId="77777777" w:rsidR="00BC52A8" w:rsidRPr="00200365" w:rsidRDefault="00BC52A8" w:rsidP="00BC52A8">
            <w:pPr>
              <w:pStyle w:val="TableText9ptcentered"/>
              <w:keepNext w:val="0"/>
              <w:widowControl w:val="0"/>
              <w:rPr>
                <w:sz w:val="20"/>
              </w:rPr>
            </w:pPr>
            <w:r w:rsidRPr="00200365">
              <w:rPr>
                <w:sz w:val="20"/>
              </w:rPr>
              <w:t>$14,536.16</w:t>
            </w:r>
          </w:p>
        </w:tc>
      </w:tr>
      <w:tr w:rsidR="00BC52A8" w:rsidRPr="00200365" w14:paraId="2F8F842C" w14:textId="77777777" w:rsidTr="00BC52A8">
        <w:tc>
          <w:tcPr>
            <w:tcW w:w="2409" w:type="dxa"/>
          </w:tcPr>
          <w:p w14:paraId="44DDC55D" w14:textId="77777777" w:rsidR="00BC52A8" w:rsidRPr="00200365" w:rsidRDefault="00BC52A8" w:rsidP="00BC52A8">
            <w:pPr>
              <w:widowControl w:val="0"/>
              <w:spacing w:after="40"/>
              <w:jc w:val="both"/>
            </w:pPr>
            <w:r w:rsidRPr="00200365">
              <w:t>Brentuximab vedotin</w:t>
            </w:r>
          </w:p>
        </w:tc>
        <w:tc>
          <w:tcPr>
            <w:tcW w:w="1326" w:type="dxa"/>
          </w:tcPr>
          <w:p w14:paraId="0AE951C9" w14:textId="77777777" w:rsidR="00BC52A8" w:rsidRPr="00200365" w:rsidRDefault="00BC52A8" w:rsidP="00BC52A8">
            <w:pPr>
              <w:pStyle w:val="TableText9ptcentered"/>
              <w:keepNext w:val="0"/>
              <w:widowControl w:val="0"/>
              <w:rPr>
                <w:sz w:val="20"/>
              </w:rPr>
            </w:pPr>
            <w:r w:rsidRPr="00200365">
              <w:rPr>
                <w:sz w:val="20"/>
              </w:rPr>
              <w:t>$109,048.53</w:t>
            </w:r>
          </w:p>
        </w:tc>
        <w:tc>
          <w:tcPr>
            <w:tcW w:w="1325" w:type="dxa"/>
            <w:gridSpan w:val="3"/>
            <w:tcBorders>
              <w:top w:val="single" w:sz="4" w:space="0" w:color="auto"/>
              <w:bottom w:val="single" w:sz="4" w:space="0" w:color="auto"/>
            </w:tcBorders>
          </w:tcPr>
          <w:p w14:paraId="33F34D0F" w14:textId="77777777" w:rsidR="00BC52A8" w:rsidRPr="00200365" w:rsidRDefault="00BC52A8" w:rsidP="00BC52A8">
            <w:pPr>
              <w:pStyle w:val="TableText9ptcentered"/>
              <w:keepNext w:val="0"/>
              <w:widowControl w:val="0"/>
              <w:rPr>
                <w:sz w:val="20"/>
              </w:rPr>
            </w:pPr>
            <w:r w:rsidRPr="00200365">
              <w:rPr>
                <w:sz w:val="20"/>
              </w:rPr>
              <w:t>-$83,961.24</w:t>
            </w:r>
          </w:p>
        </w:tc>
        <w:tc>
          <w:tcPr>
            <w:tcW w:w="1325" w:type="dxa"/>
            <w:gridSpan w:val="6"/>
          </w:tcPr>
          <w:p w14:paraId="17E00567" w14:textId="77777777" w:rsidR="00BC52A8" w:rsidRPr="00200365" w:rsidRDefault="00BC52A8" w:rsidP="00BC52A8">
            <w:pPr>
              <w:pStyle w:val="TableText9ptcentered"/>
              <w:keepNext w:val="0"/>
              <w:widowControl w:val="0"/>
              <w:rPr>
                <w:sz w:val="20"/>
              </w:rPr>
            </w:pPr>
            <w:r w:rsidRPr="00200365">
              <w:rPr>
                <w:sz w:val="20"/>
              </w:rPr>
              <w:t>0.26</w:t>
            </w:r>
          </w:p>
        </w:tc>
        <w:tc>
          <w:tcPr>
            <w:tcW w:w="1326" w:type="dxa"/>
            <w:tcBorders>
              <w:top w:val="single" w:sz="4" w:space="0" w:color="auto"/>
              <w:bottom w:val="single" w:sz="4" w:space="0" w:color="auto"/>
            </w:tcBorders>
          </w:tcPr>
          <w:p w14:paraId="083C08CD" w14:textId="77777777" w:rsidR="00BC52A8" w:rsidRPr="00200365" w:rsidRDefault="00BC52A8" w:rsidP="00BC52A8">
            <w:pPr>
              <w:pStyle w:val="TableText9ptcentered"/>
              <w:keepNext w:val="0"/>
              <w:widowControl w:val="0"/>
              <w:rPr>
                <w:sz w:val="20"/>
              </w:rPr>
            </w:pPr>
            <w:r w:rsidRPr="00200365">
              <w:rPr>
                <w:sz w:val="20"/>
              </w:rPr>
              <w:t>0.11</w:t>
            </w:r>
          </w:p>
        </w:tc>
        <w:tc>
          <w:tcPr>
            <w:tcW w:w="1361" w:type="dxa"/>
            <w:tcBorders>
              <w:top w:val="single" w:sz="4" w:space="0" w:color="auto"/>
              <w:bottom w:val="single" w:sz="4" w:space="0" w:color="auto"/>
            </w:tcBorders>
          </w:tcPr>
          <w:p w14:paraId="022A65C9" w14:textId="77777777" w:rsidR="00BC52A8" w:rsidRPr="00200365" w:rsidRDefault="00BC52A8" w:rsidP="00BC52A8">
            <w:pPr>
              <w:pStyle w:val="TableText9ptcentered"/>
              <w:keepNext w:val="0"/>
              <w:widowControl w:val="0"/>
              <w:rPr>
                <w:sz w:val="20"/>
              </w:rPr>
            </w:pPr>
            <w:r w:rsidRPr="00200365">
              <w:rPr>
                <w:sz w:val="20"/>
              </w:rPr>
              <w:t>Dominant</w:t>
            </w:r>
          </w:p>
        </w:tc>
      </w:tr>
      <w:tr w:rsidR="00BC52A8" w:rsidRPr="00200365" w14:paraId="16F97869" w14:textId="77777777" w:rsidTr="00BC52A8">
        <w:tc>
          <w:tcPr>
            <w:tcW w:w="5240" w:type="dxa"/>
            <w:gridSpan w:val="6"/>
            <w:tcBorders>
              <w:right w:val="nil"/>
            </w:tcBorders>
          </w:tcPr>
          <w:p w14:paraId="2FCE4FA6" w14:textId="77777777" w:rsidR="00BC52A8" w:rsidRPr="00200365" w:rsidRDefault="00BC52A8" w:rsidP="00BC52A8">
            <w:pPr>
              <w:pStyle w:val="TableTextLeft"/>
              <w:keepNext w:val="0"/>
              <w:widowControl w:val="0"/>
              <w:rPr>
                <w:b/>
                <w:szCs w:val="20"/>
              </w:rPr>
            </w:pPr>
            <w:r w:rsidRPr="00200365">
              <w:rPr>
                <w:i/>
                <w:szCs w:val="20"/>
              </w:rPr>
              <w:t>Step 3 (cost per QALY – cycling of treatments, 5-year time horizon)</w:t>
            </w:r>
          </w:p>
        </w:tc>
        <w:tc>
          <w:tcPr>
            <w:tcW w:w="567" w:type="dxa"/>
            <w:gridSpan w:val="3"/>
            <w:tcBorders>
              <w:left w:val="nil"/>
              <w:right w:val="nil"/>
            </w:tcBorders>
          </w:tcPr>
          <w:p w14:paraId="18D25E9C" w14:textId="77777777" w:rsidR="00BC52A8" w:rsidRPr="00200365" w:rsidRDefault="00BC52A8" w:rsidP="00BC52A8">
            <w:pPr>
              <w:pStyle w:val="TableTextcenter"/>
              <w:keepNext w:val="0"/>
              <w:widowControl w:val="0"/>
            </w:pPr>
          </w:p>
        </w:tc>
        <w:tc>
          <w:tcPr>
            <w:tcW w:w="284" w:type="dxa"/>
            <w:tcBorders>
              <w:top w:val="single" w:sz="4" w:space="0" w:color="auto"/>
              <w:left w:val="nil"/>
              <w:bottom w:val="single" w:sz="4" w:space="0" w:color="auto"/>
              <w:right w:val="nil"/>
            </w:tcBorders>
          </w:tcPr>
          <w:p w14:paraId="59844F34" w14:textId="77777777" w:rsidR="00BC52A8" w:rsidRPr="00200365" w:rsidRDefault="00BC52A8" w:rsidP="00BC52A8">
            <w:pPr>
              <w:pStyle w:val="TableTextcenter"/>
              <w:keepNext w:val="0"/>
              <w:widowControl w:val="0"/>
            </w:pPr>
          </w:p>
        </w:tc>
        <w:tc>
          <w:tcPr>
            <w:tcW w:w="294" w:type="dxa"/>
            <w:tcBorders>
              <w:left w:val="nil"/>
              <w:bottom w:val="single" w:sz="4" w:space="0" w:color="auto"/>
              <w:right w:val="nil"/>
            </w:tcBorders>
          </w:tcPr>
          <w:p w14:paraId="43DF5123" w14:textId="77777777" w:rsidR="00BC52A8" w:rsidRPr="00200365" w:rsidRDefault="00BC52A8" w:rsidP="00BC52A8">
            <w:pPr>
              <w:pStyle w:val="TableTextcenter"/>
              <w:keepNext w:val="0"/>
              <w:widowControl w:val="0"/>
            </w:pPr>
          </w:p>
        </w:tc>
        <w:tc>
          <w:tcPr>
            <w:tcW w:w="1326" w:type="dxa"/>
            <w:tcBorders>
              <w:top w:val="single" w:sz="4" w:space="0" w:color="auto"/>
              <w:left w:val="nil"/>
              <w:bottom w:val="single" w:sz="4" w:space="0" w:color="auto"/>
              <w:right w:val="nil"/>
            </w:tcBorders>
          </w:tcPr>
          <w:p w14:paraId="69387DFC" w14:textId="77777777" w:rsidR="00BC52A8" w:rsidRPr="00200365" w:rsidRDefault="00BC52A8" w:rsidP="00BC52A8">
            <w:pPr>
              <w:pStyle w:val="TableTextcenter"/>
              <w:keepNext w:val="0"/>
              <w:widowControl w:val="0"/>
            </w:pPr>
          </w:p>
        </w:tc>
        <w:tc>
          <w:tcPr>
            <w:tcW w:w="1361" w:type="dxa"/>
            <w:tcBorders>
              <w:top w:val="single" w:sz="4" w:space="0" w:color="auto"/>
              <w:left w:val="nil"/>
              <w:bottom w:val="single" w:sz="4" w:space="0" w:color="auto"/>
            </w:tcBorders>
          </w:tcPr>
          <w:p w14:paraId="37461752" w14:textId="77777777" w:rsidR="00BC52A8" w:rsidRPr="00200365" w:rsidRDefault="00BC52A8" w:rsidP="00BC52A8">
            <w:pPr>
              <w:pStyle w:val="TableTextcenter"/>
              <w:keepNext w:val="0"/>
              <w:widowControl w:val="0"/>
            </w:pPr>
          </w:p>
        </w:tc>
      </w:tr>
      <w:tr w:rsidR="00BC52A8" w:rsidRPr="00200365" w14:paraId="0E742DF0" w14:textId="77777777" w:rsidTr="00BC52A8">
        <w:tc>
          <w:tcPr>
            <w:tcW w:w="2409" w:type="dxa"/>
          </w:tcPr>
          <w:p w14:paraId="7B8D22E4" w14:textId="77777777" w:rsidR="00BC52A8" w:rsidRPr="00200365" w:rsidRDefault="00BC52A8" w:rsidP="00BC52A8">
            <w:pPr>
              <w:widowControl w:val="0"/>
              <w:spacing w:after="40"/>
              <w:jc w:val="both"/>
            </w:pPr>
            <w:r w:rsidRPr="00200365">
              <w:t>ECP</w:t>
            </w:r>
          </w:p>
        </w:tc>
        <w:tc>
          <w:tcPr>
            <w:tcW w:w="1326" w:type="dxa"/>
          </w:tcPr>
          <w:p w14:paraId="7080815B" w14:textId="77777777" w:rsidR="00BC52A8" w:rsidRPr="00200365" w:rsidRDefault="00BC52A8" w:rsidP="00BC52A8">
            <w:pPr>
              <w:pStyle w:val="TableTextcenter"/>
              <w:keepNext w:val="0"/>
              <w:widowControl w:val="0"/>
            </w:pPr>
            <w:r w:rsidRPr="00200365">
              <w:t>$145,514.36</w:t>
            </w:r>
          </w:p>
        </w:tc>
        <w:tc>
          <w:tcPr>
            <w:tcW w:w="1325" w:type="dxa"/>
            <w:gridSpan w:val="3"/>
            <w:tcBorders>
              <w:top w:val="single" w:sz="4" w:space="0" w:color="auto"/>
              <w:bottom w:val="single" w:sz="4" w:space="0" w:color="auto"/>
            </w:tcBorders>
          </w:tcPr>
          <w:p w14:paraId="0CEF7C12" w14:textId="77777777" w:rsidR="00BC52A8" w:rsidRPr="00200365" w:rsidRDefault="00BC52A8" w:rsidP="00BC52A8">
            <w:pPr>
              <w:pStyle w:val="TableTextcenter"/>
              <w:keepNext w:val="0"/>
              <w:widowControl w:val="0"/>
            </w:pPr>
            <w:r w:rsidRPr="00200365">
              <w:t>-</w:t>
            </w:r>
          </w:p>
        </w:tc>
        <w:tc>
          <w:tcPr>
            <w:tcW w:w="1325" w:type="dxa"/>
            <w:gridSpan w:val="6"/>
            <w:tcBorders>
              <w:top w:val="single" w:sz="4" w:space="0" w:color="auto"/>
              <w:bottom w:val="single" w:sz="4" w:space="0" w:color="auto"/>
            </w:tcBorders>
          </w:tcPr>
          <w:p w14:paraId="5A776354" w14:textId="77777777" w:rsidR="00BC52A8" w:rsidRPr="00200365" w:rsidRDefault="00BC52A8" w:rsidP="00BC52A8">
            <w:pPr>
              <w:pStyle w:val="TableTextcenter"/>
              <w:keepNext w:val="0"/>
              <w:widowControl w:val="0"/>
            </w:pPr>
            <w:r w:rsidRPr="00200365">
              <w:t>2.33</w:t>
            </w:r>
          </w:p>
        </w:tc>
        <w:tc>
          <w:tcPr>
            <w:tcW w:w="1326" w:type="dxa"/>
            <w:tcBorders>
              <w:top w:val="single" w:sz="4" w:space="0" w:color="auto"/>
              <w:bottom w:val="single" w:sz="4" w:space="0" w:color="auto"/>
            </w:tcBorders>
          </w:tcPr>
          <w:p w14:paraId="312A6E79" w14:textId="77777777" w:rsidR="00BC52A8" w:rsidRPr="00200365" w:rsidRDefault="00BC52A8" w:rsidP="00BC52A8">
            <w:pPr>
              <w:pStyle w:val="TableTextcenter"/>
              <w:keepNext w:val="0"/>
              <w:widowControl w:val="0"/>
            </w:pPr>
            <w:r w:rsidRPr="00200365">
              <w:t>-</w:t>
            </w:r>
          </w:p>
        </w:tc>
        <w:tc>
          <w:tcPr>
            <w:tcW w:w="1361" w:type="dxa"/>
            <w:tcBorders>
              <w:top w:val="single" w:sz="4" w:space="0" w:color="auto"/>
              <w:bottom w:val="single" w:sz="4" w:space="0" w:color="auto"/>
            </w:tcBorders>
          </w:tcPr>
          <w:p w14:paraId="43DCF372" w14:textId="77777777" w:rsidR="00BC52A8" w:rsidRPr="00200365" w:rsidRDefault="00BC52A8" w:rsidP="00BC52A8">
            <w:pPr>
              <w:pStyle w:val="TableTextcenter"/>
              <w:keepNext w:val="0"/>
              <w:widowControl w:val="0"/>
            </w:pPr>
            <w:r w:rsidRPr="00200365">
              <w:t>-</w:t>
            </w:r>
          </w:p>
        </w:tc>
      </w:tr>
      <w:tr w:rsidR="00BC52A8" w:rsidRPr="00200365" w14:paraId="63EAB546" w14:textId="77777777" w:rsidTr="00BC52A8">
        <w:tc>
          <w:tcPr>
            <w:tcW w:w="2409" w:type="dxa"/>
          </w:tcPr>
          <w:p w14:paraId="1A131BA5" w14:textId="77777777" w:rsidR="00BC52A8" w:rsidRPr="00200365" w:rsidRDefault="00BC52A8" w:rsidP="00BC52A8">
            <w:pPr>
              <w:widowControl w:val="0"/>
              <w:spacing w:after="40"/>
              <w:jc w:val="both"/>
            </w:pPr>
            <w:r w:rsidRPr="00200365">
              <w:t>Methotrexate</w:t>
            </w:r>
          </w:p>
        </w:tc>
        <w:tc>
          <w:tcPr>
            <w:tcW w:w="1326" w:type="dxa"/>
          </w:tcPr>
          <w:p w14:paraId="6A18390B" w14:textId="77777777" w:rsidR="00BC52A8" w:rsidRPr="00200365" w:rsidRDefault="00BC52A8" w:rsidP="00BC52A8">
            <w:pPr>
              <w:pStyle w:val="TableTextcenter"/>
              <w:keepNext w:val="0"/>
              <w:widowControl w:val="0"/>
            </w:pPr>
            <w:r w:rsidRPr="00200365">
              <w:t>$166,738.81</w:t>
            </w:r>
          </w:p>
        </w:tc>
        <w:tc>
          <w:tcPr>
            <w:tcW w:w="1325" w:type="dxa"/>
            <w:gridSpan w:val="3"/>
            <w:tcBorders>
              <w:top w:val="single" w:sz="4" w:space="0" w:color="auto"/>
              <w:bottom w:val="single" w:sz="4" w:space="0" w:color="auto"/>
            </w:tcBorders>
          </w:tcPr>
          <w:p w14:paraId="3E514C5D" w14:textId="77777777" w:rsidR="00BC52A8" w:rsidRPr="00200365" w:rsidRDefault="00BC52A8" w:rsidP="00BC52A8">
            <w:pPr>
              <w:pStyle w:val="TableTextcenter"/>
              <w:keepNext w:val="0"/>
              <w:widowControl w:val="0"/>
            </w:pPr>
            <w:r w:rsidRPr="00200365">
              <w:t>-$21,224.45</w:t>
            </w:r>
          </w:p>
        </w:tc>
        <w:tc>
          <w:tcPr>
            <w:tcW w:w="1325" w:type="dxa"/>
            <w:gridSpan w:val="6"/>
            <w:tcBorders>
              <w:top w:val="single" w:sz="4" w:space="0" w:color="auto"/>
            </w:tcBorders>
          </w:tcPr>
          <w:p w14:paraId="4FEB5ECE" w14:textId="77777777" w:rsidR="00BC52A8" w:rsidRPr="00200365" w:rsidRDefault="00BC52A8" w:rsidP="00BC52A8">
            <w:pPr>
              <w:pStyle w:val="TableTextcenter"/>
              <w:keepNext w:val="0"/>
              <w:widowControl w:val="0"/>
            </w:pPr>
            <w:r w:rsidRPr="00200365">
              <w:t>2.12</w:t>
            </w:r>
          </w:p>
        </w:tc>
        <w:tc>
          <w:tcPr>
            <w:tcW w:w="1326" w:type="dxa"/>
            <w:tcBorders>
              <w:top w:val="single" w:sz="4" w:space="0" w:color="auto"/>
              <w:bottom w:val="single" w:sz="4" w:space="0" w:color="auto"/>
            </w:tcBorders>
          </w:tcPr>
          <w:p w14:paraId="13A0E892" w14:textId="77777777" w:rsidR="00BC52A8" w:rsidRPr="00200365" w:rsidRDefault="00BC52A8" w:rsidP="00BC52A8">
            <w:pPr>
              <w:pStyle w:val="TableTextcenter"/>
              <w:keepNext w:val="0"/>
              <w:widowControl w:val="0"/>
            </w:pPr>
            <w:r w:rsidRPr="00200365">
              <w:t>0.21</w:t>
            </w:r>
          </w:p>
        </w:tc>
        <w:tc>
          <w:tcPr>
            <w:tcW w:w="1361" w:type="dxa"/>
            <w:tcBorders>
              <w:top w:val="single" w:sz="4" w:space="0" w:color="auto"/>
              <w:bottom w:val="single" w:sz="4" w:space="0" w:color="auto"/>
            </w:tcBorders>
          </w:tcPr>
          <w:p w14:paraId="1F06D373" w14:textId="77777777" w:rsidR="00BC52A8" w:rsidRPr="00200365" w:rsidRDefault="00BC52A8" w:rsidP="00BC52A8">
            <w:pPr>
              <w:pStyle w:val="TableTextcenter"/>
              <w:keepNext w:val="0"/>
              <w:widowControl w:val="0"/>
            </w:pPr>
            <w:r w:rsidRPr="00200365">
              <w:t>Dominant</w:t>
            </w:r>
          </w:p>
        </w:tc>
      </w:tr>
      <w:tr w:rsidR="00BC52A8" w:rsidRPr="00200365" w14:paraId="5D6635E7" w14:textId="77777777" w:rsidTr="00BC52A8">
        <w:tc>
          <w:tcPr>
            <w:tcW w:w="2409" w:type="dxa"/>
          </w:tcPr>
          <w:p w14:paraId="3E3917BF" w14:textId="7A3F746A" w:rsidR="00BC52A8" w:rsidRPr="00200365" w:rsidRDefault="00BC52A8" w:rsidP="00BC52A8">
            <w:pPr>
              <w:widowControl w:val="0"/>
              <w:spacing w:after="40"/>
              <w:jc w:val="both"/>
            </w:pPr>
            <w:r w:rsidRPr="00200365">
              <w:t>Interferon</w:t>
            </w:r>
            <w:r w:rsidR="0007649E" w:rsidRPr="00182250">
              <w:t>-α</w:t>
            </w:r>
          </w:p>
        </w:tc>
        <w:tc>
          <w:tcPr>
            <w:tcW w:w="1326" w:type="dxa"/>
          </w:tcPr>
          <w:p w14:paraId="2F50C1A5" w14:textId="77777777" w:rsidR="00BC52A8" w:rsidRPr="00200365" w:rsidRDefault="00BC52A8" w:rsidP="00BC52A8">
            <w:pPr>
              <w:pStyle w:val="TableTextcenter"/>
              <w:keepNext w:val="0"/>
              <w:widowControl w:val="0"/>
            </w:pPr>
            <w:r w:rsidRPr="00200365">
              <w:t>$183,484.99</w:t>
            </w:r>
          </w:p>
        </w:tc>
        <w:tc>
          <w:tcPr>
            <w:tcW w:w="1325" w:type="dxa"/>
            <w:gridSpan w:val="3"/>
            <w:tcBorders>
              <w:top w:val="nil"/>
              <w:bottom w:val="single" w:sz="4" w:space="0" w:color="auto"/>
            </w:tcBorders>
          </w:tcPr>
          <w:p w14:paraId="4821A6D1" w14:textId="77777777" w:rsidR="00BC52A8" w:rsidRPr="00200365" w:rsidRDefault="00BC52A8" w:rsidP="00BC52A8">
            <w:pPr>
              <w:pStyle w:val="TableTextcenter"/>
              <w:keepNext w:val="0"/>
              <w:widowControl w:val="0"/>
            </w:pPr>
            <w:r w:rsidRPr="00200365">
              <w:t>-$37,970.64</w:t>
            </w:r>
          </w:p>
        </w:tc>
        <w:tc>
          <w:tcPr>
            <w:tcW w:w="1325" w:type="dxa"/>
            <w:gridSpan w:val="6"/>
          </w:tcPr>
          <w:p w14:paraId="4E096B87" w14:textId="77777777" w:rsidR="00BC52A8" w:rsidRPr="00200365" w:rsidRDefault="00BC52A8" w:rsidP="00BC52A8">
            <w:pPr>
              <w:pStyle w:val="TableTextcenter"/>
              <w:keepNext w:val="0"/>
              <w:widowControl w:val="0"/>
            </w:pPr>
            <w:r w:rsidRPr="00200365">
              <w:t>2.14</w:t>
            </w:r>
          </w:p>
        </w:tc>
        <w:tc>
          <w:tcPr>
            <w:tcW w:w="1326" w:type="dxa"/>
            <w:tcBorders>
              <w:top w:val="nil"/>
              <w:bottom w:val="single" w:sz="4" w:space="0" w:color="auto"/>
            </w:tcBorders>
          </w:tcPr>
          <w:p w14:paraId="5A6EFE72" w14:textId="77777777" w:rsidR="00BC52A8" w:rsidRPr="00200365" w:rsidRDefault="00BC52A8" w:rsidP="00BC52A8">
            <w:pPr>
              <w:pStyle w:val="TableTextcenter"/>
              <w:keepNext w:val="0"/>
              <w:widowControl w:val="0"/>
            </w:pPr>
            <w:r w:rsidRPr="00200365">
              <w:t>0.20</w:t>
            </w:r>
          </w:p>
        </w:tc>
        <w:tc>
          <w:tcPr>
            <w:tcW w:w="1361" w:type="dxa"/>
            <w:tcBorders>
              <w:top w:val="nil"/>
              <w:bottom w:val="single" w:sz="4" w:space="0" w:color="auto"/>
            </w:tcBorders>
          </w:tcPr>
          <w:p w14:paraId="6F244489" w14:textId="77777777" w:rsidR="00BC52A8" w:rsidRPr="00200365" w:rsidRDefault="00BC52A8" w:rsidP="00BC52A8">
            <w:pPr>
              <w:pStyle w:val="TableTextcenter"/>
              <w:keepNext w:val="0"/>
              <w:widowControl w:val="0"/>
            </w:pPr>
            <w:r w:rsidRPr="00200365">
              <w:t>Dominant</w:t>
            </w:r>
          </w:p>
        </w:tc>
      </w:tr>
      <w:tr w:rsidR="00BC52A8" w:rsidRPr="00200365" w14:paraId="2388B95F" w14:textId="77777777" w:rsidTr="00BC52A8">
        <w:tc>
          <w:tcPr>
            <w:tcW w:w="2409" w:type="dxa"/>
          </w:tcPr>
          <w:p w14:paraId="352EBBC1" w14:textId="77777777" w:rsidR="00BC52A8" w:rsidRPr="00200365" w:rsidRDefault="00BC52A8" w:rsidP="00BC52A8">
            <w:pPr>
              <w:widowControl w:val="0"/>
              <w:spacing w:after="40"/>
              <w:jc w:val="both"/>
            </w:pPr>
            <w:r w:rsidRPr="00200365">
              <w:t>Vorinostat</w:t>
            </w:r>
          </w:p>
        </w:tc>
        <w:tc>
          <w:tcPr>
            <w:tcW w:w="1326" w:type="dxa"/>
          </w:tcPr>
          <w:p w14:paraId="5CE5B6F9" w14:textId="77777777" w:rsidR="00BC52A8" w:rsidRPr="00200365" w:rsidRDefault="00BC52A8" w:rsidP="00BC52A8">
            <w:pPr>
              <w:pStyle w:val="TableTextcenter"/>
              <w:keepNext w:val="0"/>
              <w:widowControl w:val="0"/>
            </w:pPr>
            <w:r w:rsidRPr="00200365">
              <w:t>$181,277.88</w:t>
            </w:r>
          </w:p>
        </w:tc>
        <w:tc>
          <w:tcPr>
            <w:tcW w:w="1325" w:type="dxa"/>
            <w:gridSpan w:val="3"/>
            <w:tcBorders>
              <w:top w:val="nil"/>
              <w:bottom w:val="single" w:sz="4" w:space="0" w:color="auto"/>
            </w:tcBorders>
          </w:tcPr>
          <w:p w14:paraId="73A962D1" w14:textId="77777777" w:rsidR="00BC52A8" w:rsidRPr="00200365" w:rsidRDefault="00BC52A8" w:rsidP="00BC52A8">
            <w:pPr>
              <w:pStyle w:val="TableTextcenter"/>
              <w:keepNext w:val="0"/>
              <w:widowControl w:val="0"/>
            </w:pPr>
            <w:r w:rsidRPr="00200365">
              <w:t>-$35,763.52</w:t>
            </w:r>
          </w:p>
        </w:tc>
        <w:tc>
          <w:tcPr>
            <w:tcW w:w="1325" w:type="dxa"/>
            <w:gridSpan w:val="6"/>
          </w:tcPr>
          <w:p w14:paraId="4440EF80" w14:textId="77777777" w:rsidR="00BC52A8" w:rsidRPr="00200365" w:rsidRDefault="00BC52A8" w:rsidP="00BC52A8">
            <w:pPr>
              <w:pStyle w:val="TableTextcenter"/>
              <w:keepNext w:val="0"/>
              <w:widowControl w:val="0"/>
            </w:pPr>
            <w:r w:rsidRPr="00200365">
              <w:t>2.14</w:t>
            </w:r>
          </w:p>
        </w:tc>
        <w:tc>
          <w:tcPr>
            <w:tcW w:w="1326" w:type="dxa"/>
            <w:tcBorders>
              <w:top w:val="nil"/>
              <w:bottom w:val="single" w:sz="4" w:space="0" w:color="auto"/>
            </w:tcBorders>
          </w:tcPr>
          <w:p w14:paraId="0A30D9D8" w14:textId="77777777" w:rsidR="00BC52A8" w:rsidRPr="00200365" w:rsidRDefault="00BC52A8" w:rsidP="00BC52A8">
            <w:pPr>
              <w:pStyle w:val="TableTextcenter"/>
              <w:keepNext w:val="0"/>
              <w:widowControl w:val="0"/>
            </w:pPr>
            <w:r w:rsidRPr="00200365">
              <w:t>0.20</w:t>
            </w:r>
          </w:p>
        </w:tc>
        <w:tc>
          <w:tcPr>
            <w:tcW w:w="1361" w:type="dxa"/>
            <w:tcBorders>
              <w:top w:val="nil"/>
              <w:bottom w:val="single" w:sz="4" w:space="0" w:color="auto"/>
            </w:tcBorders>
          </w:tcPr>
          <w:p w14:paraId="0F21ECDE" w14:textId="77777777" w:rsidR="00BC52A8" w:rsidRPr="00200365" w:rsidRDefault="00BC52A8" w:rsidP="00BC52A8">
            <w:pPr>
              <w:pStyle w:val="TableTextcenter"/>
              <w:keepNext w:val="0"/>
              <w:widowControl w:val="0"/>
            </w:pPr>
            <w:r w:rsidRPr="00200365">
              <w:t>Dominant</w:t>
            </w:r>
          </w:p>
        </w:tc>
      </w:tr>
      <w:tr w:rsidR="00BC52A8" w:rsidRPr="00200365" w14:paraId="2A061CA7" w14:textId="77777777" w:rsidTr="00BC52A8">
        <w:tc>
          <w:tcPr>
            <w:tcW w:w="2409" w:type="dxa"/>
          </w:tcPr>
          <w:p w14:paraId="4F3C383E" w14:textId="77777777" w:rsidR="00BC52A8" w:rsidRPr="00200365" w:rsidRDefault="00BC52A8" w:rsidP="00BC52A8">
            <w:pPr>
              <w:widowControl w:val="0"/>
              <w:spacing w:after="40"/>
              <w:jc w:val="both"/>
            </w:pPr>
            <w:r w:rsidRPr="00200365">
              <w:t>Brentuximab vedotin</w:t>
            </w:r>
          </w:p>
        </w:tc>
        <w:tc>
          <w:tcPr>
            <w:tcW w:w="1326" w:type="dxa"/>
            <w:tcBorders>
              <w:bottom w:val="single" w:sz="4" w:space="0" w:color="auto"/>
            </w:tcBorders>
          </w:tcPr>
          <w:p w14:paraId="54468E58" w14:textId="77777777" w:rsidR="00BC52A8" w:rsidRPr="00200365" w:rsidRDefault="00BC52A8" w:rsidP="00BC52A8">
            <w:pPr>
              <w:pStyle w:val="TableTextcenter"/>
              <w:keepNext w:val="0"/>
              <w:widowControl w:val="0"/>
            </w:pPr>
            <w:r w:rsidRPr="00200365">
              <w:t>$268,057.48</w:t>
            </w:r>
          </w:p>
        </w:tc>
        <w:tc>
          <w:tcPr>
            <w:tcW w:w="1325" w:type="dxa"/>
            <w:gridSpan w:val="3"/>
            <w:tcBorders>
              <w:top w:val="nil"/>
              <w:bottom w:val="single" w:sz="4" w:space="0" w:color="auto"/>
            </w:tcBorders>
          </w:tcPr>
          <w:p w14:paraId="31CFAE6C" w14:textId="77777777" w:rsidR="00BC52A8" w:rsidRPr="00200365" w:rsidRDefault="00BC52A8" w:rsidP="00BC52A8">
            <w:pPr>
              <w:pStyle w:val="TableTextcenter"/>
              <w:keepNext w:val="0"/>
              <w:widowControl w:val="0"/>
            </w:pPr>
            <w:r w:rsidRPr="00200365">
              <w:t>-$122,543.12</w:t>
            </w:r>
          </w:p>
        </w:tc>
        <w:tc>
          <w:tcPr>
            <w:tcW w:w="1325" w:type="dxa"/>
            <w:gridSpan w:val="6"/>
            <w:tcBorders>
              <w:bottom w:val="single" w:sz="4" w:space="0" w:color="auto"/>
            </w:tcBorders>
          </w:tcPr>
          <w:p w14:paraId="076320A8" w14:textId="77777777" w:rsidR="00BC52A8" w:rsidRPr="00200365" w:rsidRDefault="00BC52A8" w:rsidP="00BC52A8">
            <w:pPr>
              <w:pStyle w:val="TableTextcenter"/>
              <w:keepNext w:val="0"/>
              <w:widowControl w:val="0"/>
            </w:pPr>
            <w:r w:rsidRPr="00200365">
              <w:t>2.13</w:t>
            </w:r>
          </w:p>
        </w:tc>
        <w:tc>
          <w:tcPr>
            <w:tcW w:w="1326" w:type="dxa"/>
            <w:tcBorders>
              <w:top w:val="nil"/>
              <w:bottom w:val="single" w:sz="4" w:space="0" w:color="auto"/>
            </w:tcBorders>
          </w:tcPr>
          <w:p w14:paraId="00E88216" w14:textId="77777777" w:rsidR="00BC52A8" w:rsidRPr="00200365" w:rsidRDefault="00BC52A8" w:rsidP="00BC52A8">
            <w:pPr>
              <w:pStyle w:val="TableTextcenter"/>
              <w:keepNext w:val="0"/>
              <w:widowControl w:val="0"/>
            </w:pPr>
            <w:r w:rsidRPr="00200365">
              <w:t>0.20</w:t>
            </w:r>
          </w:p>
        </w:tc>
        <w:tc>
          <w:tcPr>
            <w:tcW w:w="1361" w:type="dxa"/>
            <w:tcBorders>
              <w:top w:val="nil"/>
              <w:bottom w:val="single" w:sz="4" w:space="0" w:color="auto"/>
            </w:tcBorders>
          </w:tcPr>
          <w:p w14:paraId="72D32A2E" w14:textId="77777777" w:rsidR="00BC52A8" w:rsidRPr="00200365" w:rsidRDefault="00BC52A8" w:rsidP="00BC52A8">
            <w:pPr>
              <w:pStyle w:val="TableTextcenter"/>
              <w:keepNext w:val="0"/>
              <w:widowControl w:val="0"/>
            </w:pPr>
            <w:r w:rsidRPr="00200365">
              <w:t>Dominant</w:t>
            </w:r>
          </w:p>
        </w:tc>
      </w:tr>
      <w:tr w:rsidR="00BC52A8" w:rsidRPr="00200365" w14:paraId="03D7F221" w14:textId="77777777" w:rsidTr="00BC52A8">
        <w:tc>
          <w:tcPr>
            <w:tcW w:w="2409" w:type="dxa"/>
          </w:tcPr>
          <w:p w14:paraId="4785EDF0" w14:textId="77777777" w:rsidR="00BC52A8" w:rsidRPr="00200365" w:rsidRDefault="00BC52A8" w:rsidP="00BC52A8">
            <w:pPr>
              <w:widowControl w:val="0"/>
              <w:spacing w:after="40"/>
              <w:jc w:val="both"/>
            </w:pPr>
            <w:r w:rsidRPr="00200365">
              <w:t>Weighted comparator</w:t>
            </w:r>
          </w:p>
        </w:tc>
        <w:tc>
          <w:tcPr>
            <w:tcW w:w="1326" w:type="dxa"/>
            <w:tcBorders>
              <w:top w:val="single" w:sz="4" w:space="0" w:color="auto"/>
            </w:tcBorders>
          </w:tcPr>
          <w:p w14:paraId="7805DDA9" w14:textId="77777777" w:rsidR="00BC52A8" w:rsidRPr="00200365" w:rsidRDefault="00BC52A8" w:rsidP="00BC52A8">
            <w:pPr>
              <w:pStyle w:val="TableTextcenter"/>
              <w:keepNext w:val="0"/>
              <w:widowControl w:val="0"/>
            </w:pPr>
            <w:r w:rsidRPr="00200365">
              <w:t>$183,106.35</w:t>
            </w:r>
          </w:p>
        </w:tc>
        <w:tc>
          <w:tcPr>
            <w:tcW w:w="1325" w:type="dxa"/>
            <w:gridSpan w:val="3"/>
            <w:tcBorders>
              <w:top w:val="single" w:sz="4" w:space="0" w:color="auto"/>
              <w:bottom w:val="single" w:sz="4" w:space="0" w:color="auto"/>
            </w:tcBorders>
          </w:tcPr>
          <w:p w14:paraId="1415958E" w14:textId="77777777" w:rsidR="00BC52A8" w:rsidRPr="00200365" w:rsidRDefault="00BC52A8" w:rsidP="00BC52A8">
            <w:pPr>
              <w:pStyle w:val="TableTextcenter"/>
              <w:keepNext w:val="0"/>
              <w:widowControl w:val="0"/>
            </w:pPr>
            <w:r w:rsidRPr="00200365">
              <w:t>-$37,591.99</w:t>
            </w:r>
          </w:p>
        </w:tc>
        <w:tc>
          <w:tcPr>
            <w:tcW w:w="1325" w:type="dxa"/>
            <w:gridSpan w:val="6"/>
            <w:tcBorders>
              <w:top w:val="single" w:sz="4" w:space="0" w:color="auto"/>
            </w:tcBorders>
          </w:tcPr>
          <w:p w14:paraId="1B17377D" w14:textId="77777777" w:rsidR="00BC52A8" w:rsidRPr="00200365" w:rsidRDefault="00BC52A8" w:rsidP="00BC52A8">
            <w:pPr>
              <w:pStyle w:val="TableTextcenter"/>
              <w:keepNext w:val="0"/>
              <w:widowControl w:val="0"/>
            </w:pPr>
            <w:r w:rsidRPr="00200365">
              <w:t>2.13</w:t>
            </w:r>
          </w:p>
        </w:tc>
        <w:tc>
          <w:tcPr>
            <w:tcW w:w="1326" w:type="dxa"/>
            <w:tcBorders>
              <w:top w:val="single" w:sz="4" w:space="0" w:color="auto"/>
              <w:bottom w:val="single" w:sz="4" w:space="0" w:color="auto"/>
            </w:tcBorders>
          </w:tcPr>
          <w:p w14:paraId="64B87426" w14:textId="77777777" w:rsidR="00BC52A8" w:rsidRPr="00200365" w:rsidRDefault="00BC52A8" w:rsidP="00BC52A8">
            <w:pPr>
              <w:pStyle w:val="TableTextcenter"/>
              <w:keepNext w:val="0"/>
              <w:widowControl w:val="0"/>
            </w:pPr>
            <w:r w:rsidRPr="00200365">
              <w:t>0.20</w:t>
            </w:r>
          </w:p>
        </w:tc>
        <w:tc>
          <w:tcPr>
            <w:tcW w:w="1361" w:type="dxa"/>
            <w:tcBorders>
              <w:top w:val="single" w:sz="4" w:space="0" w:color="auto"/>
              <w:bottom w:val="single" w:sz="4" w:space="0" w:color="auto"/>
            </w:tcBorders>
          </w:tcPr>
          <w:p w14:paraId="134CC96C" w14:textId="77777777" w:rsidR="00BC52A8" w:rsidRPr="00200365" w:rsidRDefault="00BC52A8" w:rsidP="00BC52A8">
            <w:pPr>
              <w:pStyle w:val="TableTextcenter"/>
              <w:keepNext w:val="0"/>
              <w:widowControl w:val="0"/>
            </w:pPr>
            <w:r w:rsidRPr="00200365">
              <w:t>Dominant</w:t>
            </w:r>
          </w:p>
        </w:tc>
      </w:tr>
    </w:tbl>
    <w:p w14:paraId="0E7090D1" w14:textId="77777777" w:rsidR="00BC52A8" w:rsidRDefault="00BC52A8" w:rsidP="00BC52A8">
      <w:pPr>
        <w:pStyle w:val="Tablenotes"/>
      </w:pPr>
      <w:r>
        <w:t>Source: Stepped analyses sheet, CTCL_ECP model calculations.xlsx workbook</w:t>
      </w:r>
    </w:p>
    <w:p w14:paraId="0F705794" w14:textId="2BAB1DB4" w:rsidR="00BC52A8" w:rsidRDefault="00BC52A8" w:rsidP="00BC52A8">
      <w:pPr>
        <w:pStyle w:val="Tablenotes"/>
        <w:spacing w:after="240"/>
      </w:pPr>
      <w:r>
        <w:t xml:space="preserve">Abbreviations: </w:t>
      </w:r>
      <w:r w:rsidR="002801E0" w:rsidRPr="00EE578D">
        <w:t>ECP</w:t>
      </w:r>
      <w:r w:rsidR="002801E0">
        <w:t xml:space="preserve"> =</w:t>
      </w:r>
      <w:r w:rsidR="002801E0" w:rsidRPr="00EE578D">
        <w:t xml:space="preserve"> extracorporeal photopheresis; </w:t>
      </w:r>
      <w:r w:rsidRPr="00183E4D">
        <w:t>ICER</w:t>
      </w:r>
      <w:r>
        <w:t xml:space="preserve"> =</w:t>
      </w:r>
      <w:r w:rsidRPr="00183E4D">
        <w:t xml:space="preserve"> incremental cost</w:t>
      </w:r>
      <w:r>
        <w:t>-</w:t>
      </w:r>
      <w:r w:rsidRPr="00183E4D">
        <w:t>effectiveness ratio</w:t>
      </w:r>
      <w:r>
        <w:t>; QALY = quality-adjusted life year</w:t>
      </w:r>
    </w:p>
    <w:p w14:paraId="1CE7A494" w14:textId="1057F997" w:rsidR="00BC52A8" w:rsidRDefault="00BC52A8" w:rsidP="00120CE2">
      <w:pPr>
        <w:spacing w:after="240"/>
      </w:pPr>
      <w:r>
        <w:t xml:space="preserve">The resubmission stated the dominance </w:t>
      </w:r>
      <w:r w:rsidRPr="00200365">
        <w:t>occurred as ECP displaced expensive pharmaceutical therapies (i.e. a greater proportion of patients avoided subsequent treatment with the high-cost treatment options vorinostat and brentuximab vedotin). In addition, ECP is associated with an incremental quality-adjusted life year (QALY)</w:t>
      </w:r>
      <w:r>
        <w:t xml:space="preserve"> gain of between 0.20 and 0.21 due to </w:t>
      </w:r>
      <w:r w:rsidRPr="00200365">
        <w:t xml:space="preserve">ECP </w:t>
      </w:r>
      <w:r w:rsidR="00D02FC6">
        <w:t>being</w:t>
      </w:r>
      <w:r w:rsidR="00D02FC6" w:rsidRPr="00200365">
        <w:t xml:space="preserve"> </w:t>
      </w:r>
      <w:r w:rsidRPr="00200365">
        <w:t xml:space="preserve">associated with a longer TTNT compared with comparator treatments. </w:t>
      </w:r>
      <w:r>
        <w:t>Thus, the resubmission considered it</w:t>
      </w:r>
      <w:r w:rsidRPr="00200365">
        <w:t xml:space="preserve"> is reasonable that patients treated with ECP can better tolerate treatment, remain in the ECP health state for a longer period and have a higher quality of life compared with comparator treatments.</w:t>
      </w:r>
    </w:p>
    <w:p w14:paraId="7F70BA96" w14:textId="30644835" w:rsidR="002A72F7" w:rsidRPr="002A72F7" w:rsidRDefault="00BC52A8" w:rsidP="002A72F7">
      <w:pPr>
        <w:spacing w:after="240"/>
      </w:pPr>
      <w:r>
        <w:t xml:space="preserve">Using the weighted comparator for the base case, the resubmission’s sensitivity analyses indicated that most analyses were low impact and ECP remained the dominant strategy. However, the commentary stated the key driver of the dominance of ECP in the resubmission’s </w:t>
      </w:r>
      <w:r w:rsidRPr="00220CA2">
        <w:t>sensitivity</w:t>
      </w:r>
      <w:r>
        <w:t xml:space="preserve"> analyses</w:t>
      </w:r>
      <w:r w:rsidRPr="00220CA2">
        <w:t xml:space="preserve"> </w:t>
      </w:r>
      <w:r>
        <w:t xml:space="preserve">was the cost of brentuximab vedotin, which was based on the published </w:t>
      </w:r>
      <w:r w:rsidRPr="00220CA2">
        <w:t>price of brentuximab vedotin. The</w:t>
      </w:r>
      <w:r>
        <w:t xml:space="preserve"> commentary stated that the</w:t>
      </w:r>
      <w:r w:rsidRPr="00220CA2">
        <w:t xml:space="preserve"> modelled results were also sensitive to use of a two consecutive-day treatment regimen (as per Alfred et al, 2017) which had a high impact on the ICER, with results indicating methotrexate wa</w:t>
      </w:r>
      <w:r>
        <w:t xml:space="preserve">s more cost effective than ECP (Table 10). However, in </w:t>
      </w:r>
      <w:r w:rsidR="00120CE2">
        <w:t xml:space="preserve">the </w:t>
      </w:r>
      <w:r>
        <w:t>pre-ESC response, the applicant</w:t>
      </w:r>
      <w:r w:rsidRPr="001B3348">
        <w:t xml:space="preserve"> </w:t>
      </w:r>
      <w:r>
        <w:t>stated that doubling the dosage regimen is not reflective of Australian or international practice an</w:t>
      </w:r>
      <w:r w:rsidR="00120CE2">
        <w:t>d this assumption is incorrect.</w:t>
      </w:r>
      <w:bookmarkStart w:id="17" w:name="_Ref26383921"/>
      <w:r w:rsidR="002A72F7">
        <w:rPr>
          <w:rFonts w:ascii="Arial Narrow" w:hAnsi="Arial Narrow"/>
          <w:b/>
          <w:sz w:val="20"/>
        </w:rPr>
        <w:br w:type="page"/>
      </w:r>
    </w:p>
    <w:p w14:paraId="0DAA3DA6" w14:textId="642F2379" w:rsidR="00BC52A8" w:rsidRPr="00181322" w:rsidRDefault="00BC52A8" w:rsidP="00181322">
      <w:pPr>
        <w:rPr>
          <w:rFonts w:ascii="Arial Narrow" w:hAnsi="Arial Narrow"/>
          <w:b/>
          <w:sz w:val="20"/>
        </w:rPr>
      </w:pPr>
      <w:r w:rsidRPr="00181322">
        <w:rPr>
          <w:rFonts w:ascii="Arial Narrow" w:hAnsi="Arial Narrow"/>
          <w:b/>
          <w:sz w:val="20"/>
        </w:rPr>
        <w:lastRenderedPageBreak/>
        <w:t>Table</w:t>
      </w:r>
      <w:bookmarkEnd w:id="17"/>
      <w:r w:rsidRPr="00181322">
        <w:rPr>
          <w:rFonts w:ascii="Arial Narrow" w:hAnsi="Arial Narrow"/>
          <w:b/>
          <w:sz w:val="20"/>
        </w:rPr>
        <w:t xml:space="preserve"> 10: Key results of sensitivity analysis (italicised represents the commentary’s additional sensitivity analyses)</w:t>
      </w:r>
    </w:p>
    <w:tbl>
      <w:tblPr>
        <w:tblStyle w:val="OPTUMTableNormal1"/>
        <w:tblW w:w="0" w:type="auto"/>
        <w:tblLayout w:type="fixed"/>
        <w:tblCellMar>
          <w:left w:w="28" w:type="dxa"/>
          <w:right w:w="28" w:type="dxa"/>
        </w:tblCellMar>
        <w:tblLook w:val="04A0" w:firstRow="1" w:lastRow="0" w:firstColumn="1" w:lastColumn="0" w:noHBand="0" w:noVBand="1"/>
        <w:tblCaption w:val="Table 10: Key results of sensitivity analysis (italicised represents Commentary’s additional sensitivity analyses)"/>
        <w:tblDescription w:val="For each sensitivity analysis, the incremental costs, effectiveness and impact are presented for each scenario."/>
      </w:tblPr>
      <w:tblGrid>
        <w:gridCol w:w="3539"/>
        <w:gridCol w:w="1418"/>
        <w:gridCol w:w="1276"/>
        <w:gridCol w:w="1275"/>
        <w:gridCol w:w="1650"/>
      </w:tblGrid>
      <w:tr w:rsidR="00BC52A8" w:rsidRPr="00EE578D" w14:paraId="7C6ED66F" w14:textId="77777777" w:rsidTr="00CC66AE">
        <w:trPr>
          <w:cnfStyle w:val="100000000000" w:firstRow="1" w:lastRow="0" w:firstColumn="0" w:lastColumn="0" w:oddVBand="0" w:evenVBand="0" w:oddHBand="0" w:evenHBand="0" w:firstRowFirstColumn="0" w:firstRowLastColumn="0" w:lastRowFirstColumn="0" w:lastRowLastColumn="0"/>
          <w:trHeight w:val="315"/>
          <w:tblHeader/>
        </w:trPr>
        <w:tc>
          <w:tcPr>
            <w:tcW w:w="3539" w:type="dxa"/>
            <w:noWrap/>
            <w:hideMark/>
          </w:tcPr>
          <w:p w14:paraId="570BD3C8" w14:textId="77777777" w:rsidR="00BC52A8" w:rsidRPr="00EE578D" w:rsidRDefault="00BC52A8" w:rsidP="00BC52A8">
            <w:pPr>
              <w:pStyle w:val="TableHeading9ptCent"/>
              <w:ind w:left="0"/>
              <w:jc w:val="left"/>
            </w:pPr>
            <w:r w:rsidRPr="00EE578D">
              <w:t>Description</w:t>
            </w:r>
          </w:p>
        </w:tc>
        <w:tc>
          <w:tcPr>
            <w:tcW w:w="1418" w:type="dxa"/>
            <w:noWrap/>
            <w:hideMark/>
          </w:tcPr>
          <w:p w14:paraId="7BC88E9F" w14:textId="77777777" w:rsidR="00BC52A8" w:rsidRPr="00EE578D" w:rsidRDefault="00BC52A8" w:rsidP="00BC52A8">
            <w:pPr>
              <w:pStyle w:val="TableHeading9ptCent"/>
              <w:ind w:left="0"/>
            </w:pPr>
            <w:r w:rsidRPr="00EE578D">
              <w:t>Incremental cost</w:t>
            </w:r>
          </w:p>
        </w:tc>
        <w:tc>
          <w:tcPr>
            <w:tcW w:w="1276" w:type="dxa"/>
            <w:noWrap/>
            <w:hideMark/>
          </w:tcPr>
          <w:p w14:paraId="58146A56" w14:textId="77777777" w:rsidR="00BC52A8" w:rsidRPr="00EE578D" w:rsidRDefault="00BC52A8" w:rsidP="00BC52A8">
            <w:pPr>
              <w:pStyle w:val="TableHeading9ptCent"/>
              <w:ind w:left="0"/>
            </w:pPr>
            <w:r w:rsidRPr="00EE578D">
              <w:t>Incremental QALY</w:t>
            </w:r>
          </w:p>
        </w:tc>
        <w:tc>
          <w:tcPr>
            <w:tcW w:w="1275" w:type="dxa"/>
            <w:noWrap/>
            <w:hideMark/>
          </w:tcPr>
          <w:p w14:paraId="224059C2" w14:textId="67C01C0F" w:rsidR="00BC52A8" w:rsidRPr="00EE578D" w:rsidRDefault="00BC52A8" w:rsidP="00BC52A8">
            <w:pPr>
              <w:pStyle w:val="TableHeading9ptCent"/>
              <w:ind w:left="0"/>
            </w:pPr>
            <w:r w:rsidRPr="00EE578D">
              <w:t>ICER</w:t>
            </w:r>
            <w:r w:rsidR="00AE6A42">
              <w:t>/QALY</w:t>
            </w:r>
          </w:p>
        </w:tc>
        <w:tc>
          <w:tcPr>
            <w:tcW w:w="1650" w:type="dxa"/>
            <w:noWrap/>
            <w:hideMark/>
          </w:tcPr>
          <w:p w14:paraId="19C02C43" w14:textId="77777777" w:rsidR="00BC52A8" w:rsidRPr="00EE578D" w:rsidRDefault="00BC52A8" w:rsidP="00BC52A8">
            <w:pPr>
              <w:pStyle w:val="TableHeading9ptCent"/>
              <w:ind w:left="0"/>
            </w:pPr>
            <w:r w:rsidRPr="00EE578D">
              <w:t>Impact</w:t>
            </w:r>
          </w:p>
        </w:tc>
      </w:tr>
      <w:tr w:rsidR="00BC52A8" w:rsidRPr="00EE578D" w14:paraId="0828B8A9" w14:textId="77777777" w:rsidTr="00BC52A8">
        <w:trPr>
          <w:trHeight w:val="315"/>
        </w:trPr>
        <w:tc>
          <w:tcPr>
            <w:tcW w:w="3539" w:type="dxa"/>
            <w:noWrap/>
            <w:hideMark/>
          </w:tcPr>
          <w:p w14:paraId="43256732" w14:textId="21D6B6C8" w:rsidR="00BC52A8" w:rsidRPr="0066715B" w:rsidRDefault="003623D3" w:rsidP="00BC52A8">
            <w:pPr>
              <w:spacing w:before="20" w:after="20"/>
              <w:ind w:right="113"/>
              <w:rPr>
                <w:rFonts w:ascii="Arial Narrow" w:eastAsia="Calibri" w:hAnsi="Arial Narrow" w:cs="Calibri"/>
                <w:b/>
                <w:szCs w:val="16"/>
              </w:rPr>
            </w:pPr>
            <w:r>
              <w:rPr>
                <w:rFonts w:ascii="Arial Narrow" w:eastAsia="Calibri" w:hAnsi="Arial Narrow" w:cs="Calibri"/>
                <w:b/>
                <w:szCs w:val="16"/>
              </w:rPr>
              <w:t>1. Base case</w:t>
            </w:r>
          </w:p>
        </w:tc>
        <w:tc>
          <w:tcPr>
            <w:tcW w:w="1418" w:type="dxa"/>
            <w:noWrap/>
            <w:hideMark/>
          </w:tcPr>
          <w:p w14:paraId="0CF4C135" w14:textId="77777777" w:rsidR="00BC52A8" w:rsidRPr="0066715B" w:rsidRDefault="00BC52A8" w:rsidP="00BC52A8">
            <w:pPr>
              <w:spacing w:after="40"/>
              <w:jc w:val="center"/>
              <w:rPr>
                <w:rFonts w:ascii="Arial Narrow" w:eastAsia="Calibri" w:hAnsi="Arial Narrow" w:cs="Calibri"/>
                <w:b/>
                <w:szCs w:val="18"/>
              </w:rPr>
            </w:pPr>
            <w:r w:rsidRPr="0066715B">
              <w:rPr>
                <w:rFonts w:ascii="Arial Narrow" w:eastAsia="Calibri" w:hAnsi="Arial Narrow" w:cs="Calibri"/>
                <w:b/>
                <w:szCs w:val="18"/>
              </w:rPr>
              <w:t>-$37,591.99</w:t>
            </w:r>
            <w:r w:rsidRPr="0066715B">
              <w:rPr>
                <w:rFonts w:ascii="Arial Narrow" w:eastAsia="Calibri" w:hAnsi="Arial Narrow" w:cs="Calibri"/>
                <w:b/>
                <w:i/>
                <w:szCs w:val="18"/>
              </w:rPr>
              <w:t xml:space="preserve"> </w:t>
            </w:r>
          </w:p>
        </w:tc>
        <w:tc>
          <w:tcPr>
            <w:tcW w:w="1276" w:type="dxa"/>
            <w:noWrap/>
            <w:hideMark/>
          </w:tcPr>
          <w:p w14:paraId="24A4D224" w14:textId="77777777" w:rsidR="00BC52A8" w:rsidRPr="0066715B" w:rsidRDefault="00BC52A8" w:rsidP="00BC52A8">
            <w:pPr>
              <w:spacing w:after="40"/>
              <w:jc w:val="center"/>
              <w:rPr>
                <w:rFonts w:ascii="Arial Narrow" w:eastAsia="Calibri" w:hAnsi="Arial Narrow" w:cs="Calibri"/>
                <w:b/>
                <w:szCs w:val="18"/>
              </w:rPr>
            </w:pPr>
            <w:r w:rsidRPr="0066715B">
              <w:rPr>
                <w:rFonts w:ascii="Arial Narrow" w:eastAsia="Calibri" w:hAnsi="Arial Narrow" w:cs="Calibri"/>
                <w:b/>
                <w:szCs w:val="18"/>
              </w:rPr>
              <w:t>0.20</w:t>
            </w:r>
          </w:p>
        </w:tc>
        <w:tc>
          <w:tcPr>
            <w:tcW w:w="1275" w:type="dxa"/>
            <w:noWrap/>
            <w:hideMark/>
          </w:tcPr>
          <w:p w14:paraId="621E7848" w14:textId="77777777" w:rsidR="00BC52A8" w:rsidRPr="0066715B" w:rsidRDefault="00BC52A8" w:rsidP="00BC52A8">
            <w:pPr>
              <w:spacing w:after="40"/>
              <w:jc w:val="center"/>
              <w:rPr>
                <w:rFonts w:ascii="Arial Narrow" w:eastAsia="Calibri" w:hAnsi="Arial Narrow" w:cs="Calibri"/>
                <w:b/>
                <w:szCs w:val="18"/>
              </w:rPr>
            </w:pPr>
            <w:r w:rsidRPr="0066715B">
              <w:rPr>
                <w:rFonts w:ascii="Arial Narrow" w:eastAsia="Calibri" w:hAnsi="Arial Narrow" w:cs="Calibri"/>
                <w:b/>
                <w:szCs w:val="18"/>
              </w:rPr>
              <w:t>Dominant</w:t>
            </w:r>
          </w:p>
        </w:tc>
        <w:tc>
          <w:tcPr>
            <w:tcW w:w="1650" w:type="dxa"/>
            <w:noWrap/>
            <w:hideMark/>
          </w:tcPr>
          <w:p w14:paraId="45F94DC1" w14:textId="77777777" w:rsidR="00BC52A8" w:rsidRPr="0066715B" w:rsidRDefault="00BC52A8" w:rsidP="00BC52A8">
            <w:pPr>
              <w:spacing w:after="40"/>
              <w:jc w:val="center"/>
              <w:rPr>
                <w:rFonts w:ascii="Arial Narrow" w:eastAsia="Calibri" w:hAnsi="Arial Narrow" w:cs="Calibri"/>
                <w:b/>
                <w:szCs w:val="18"/>
              </w:rPr>
            </w:pPr>
            <w:r w:rsidRPr="0066715B">
              <w:rPr>
                <w:rFonts w:ascii="Arial Narrow" w:eastAsia="Calibri" w:hAnsi="Arial Narrow" w:cs="Calibri"/>
                <w:b/>
                <w:szCs w:val="18"/>
              </w:rPr>
              <w:t>-</w:t>
            </w:r>
          </w:p>
        </w:tc>
      </w:tr>
      <w:tr w:rsidR="00BC52A8" w:rsidRPr="00EE578D" w14:paraId="54E8E119" w14:textId="77777777" w:rsidTr="00BC52A8">
        <w:trPr>
          <w:trHeight w:val="315"/>
        </w:trPr>
        <w:tc>
          <w:tcPr>
            <w:tcW w:w="3539" w:type="dxa"/>
            <w:noWrap/>
            <w:hideMark/>
          </w:tcPr>
          <w:p w14:paraId="1D40F32E" w14:textId="11210433" w:rsidR="00BC52A8" w:rsidRPr="00EE578D" w:rsidRDefault="00BC52A8" w:rsidP="00BC52A8">
            <w:pPr>
              <w:spacing w:before="20" w:after="20"/>
              <w:ind w:right="113"/>
              <w:rPr>
                <w:rFonts w:ascii="Arial Narrow" w:eastAsia="Calibri" w:hAnsi="Arial Narrow" w:cs="Calibri"/>
                <w:szCs w:val="16"/>
              </w:rPr>
            </w:pPr>
            <w:r>
              <w:rPr>
                <w:rFonts w:ascii="Arial Narrow" w:eastAsia="Calibri" w:hAnsi="Arial Narrow" w:cs="Calibri"/>
                <w:szCs w:val="16"/>
              </w:rPr>
              <w:t xml:space="preserve">2. </w:t>
            </w:r>
            <w:r w:rsidRPr="00EE578D">
              <w:rPr>
                <w:rFonts w:ascii="Arial Narrow" w:eastAsia="Calibri" w:hAnsi="Arial Narrow" w:cs="Calibri"/>
                <w:szCs w:val="16"/>
              </w:rPr>
              <w:t>Discount rate 3.5%</w:t>
            </w:r>
          </w:p>
        </w:tc>
        <w:tc>
          <w:tcPr>
            <w:tcW w:w="1418" w:type="dxa"/>
            <w:noWrap/>
            <w:hideMark/>
          </w:tcPr>
          <w:p w14:paraId="5FBDDFA2" w14:textId="77777777" w:rsidR="00BC52A8" w:rsidRPr="00EE578D" w:rsidRDefault="00BC52A8" w:rsidP="00BC52A8">
            <w:pPr>
              <w:spacing w:after="40"/>
              <w:jc w:val="center"/>
              <w:rPr>
                <w:rFonts w:ascii="Arial Narrow" w:eastAsia="Calibri" w:hAnsi="Arial Narrow" w:cs="Calibri"/>
                <w:szCs w:val="18"/>
              </w:rPr>
            </w:pPr>
            <w:r w:rsidRPr="00EE578D">
              <w:rPr>
                <w:rFonts w:ascii="Arial Narrow" w:eastAsia="Calibri" w:hAnsi="Arial Narrow" w:cs="Calibri"/>
                <w:szCs w:val="18"/>
              </w:rPr>
              <w:t>-$37,892.89</w:t>
            </w:r>
            <w:r>
              <w:rPr>
                <w:rFonts w:ascii="Arial Narrow" w:eastAsia="Calibri" w:hAnsi="Arial Narrow" w:cs="Calibri"/>
                <w:szCs w:val="18"/>
              </w:rPr>
              <w:t xml:space="preserve"> </w:t>
            </w:r>
          </w:p>
        </w:tc>
        <w:tc>
          <w:tcPr>
            <w:tcW w:w="1276" w:type="dxa"/>
            <w:noWrap/>
            <w:hideMark/>
          </w:tcPr>
          <w:p w14:paraId="12394556" w14:textId="77777777" w:rsidR="00BC52A8" w:rsidRPr="00EE578D" w:rsidRDefault="00BC52A8" w:rsidP="00BC52A8">
            <w:pPr>
              <w:spacing w:after="40"/>
              <w:jc w:val="center"/>
              <w:rPr>
                <w:rFonts w:ascii="Arial Narrow" w:eastAsia="Calibri" w:hAnsi="Arial Narrow" w:cs="Calibri"/>
                <w:szCs w:val="18"/>
              </w:rPr>
            </w:pPr>
            <w:r w:rsidRPr="00EE578D">
              <w:rPr>
                <w:rFonts w:ascii="Arial Narrow" w:eastAsia="Calibri" w:hAnsi="Arial Narrow" w:cs="Calibri"/>
                <w:szCs w:val="18"/>
              </w:rPr>
              <w:t>0.21</w:t>
            </w:r>
          </w:p>
        </w:tc>
        <w:tc>
          <w:tcPr>
            <w:tcW w:w="1275" w:type="dxa"/>
            <w:noWrap/>
            <w:hideMark/>
          </w:tcPr>
          <w:p w14:paraId="3A25B4E8" w14:textId="77777777" w:rsidR="00BC52A8" w:rsidRPr="00A93B72" w:rsidRDefault="00BC52A8" w:rsidP="00BC52A8">
            <w:pPr>
              <w:spacing w:after="40"/>
              <w:jc w:val="center"/>
              <w:rPr>
                <w:rFonts w:ascii="Arial Narrow" w:eastAsia="Calibri" w:hAnsi="Arial Narrow" w:cs="Calibri"/>
                <w:szCs w:val="18"/>
              </w:rPr>
            </w:pPr>
            <w:r w:rsidRPr="00A93B72">
              <w:rPr>
                <w:rFonts w:ascii="Arial Narrow" w:eastAsia="Calibri" w:hAnsi="Arial Narrow" w:cs="Calibri"/>
                <w:szCs w:val="18"/>
              </w:rPr>
              <w:t>Dominant</w:t>
            </w:r>
          </w:p>
        </w:tc>
        <w:tc>
          <w:tcPr>
            <w:tcW w:w="1650" w:type="dxa"/>
            <w:noWrap/>
            <w:hideMark/>
          </w:tcPr>
          <w:p w14:paraId="5399F8C1" w14:textId="77777777" w:rsidR="00BC52A8" w:rsidRPr="00A93B72" w:rsidRDefault="00BC52A8" w:rsidP="00BC52A8">
            <w:pPr>
              <w:spacing w:after="40"/>
              <w:jc w:val="center"/>
              <w:rPr>
                <w:rFonts w:ascii="Arial Narrow" w:eastAsia="Calibri" w:hAnsi="Arial Narrow" w:cs="Calibri"/>
                <w:szCs w:val="18"/>
              </w:rPr>
            </w:pPr>
            <w:r w:rsidRPr="00A93B72">
              <w:rPr>
                <w:rFonts w:ascii="Arial Narrow" w:eastAsia="Calibri" w:hAnsi="Arial Narrow" w:cs="Calibri"/>
                <w:szCs w:val="18"/>
              </w:rPr>
              <w:t xml:space="preserve">Low impact - favours </w:t>
            </w:r>
            <w:r w:rsidRPr="00DA20E7">
              <w:rPr>
                <w:rFonts w:ascii="Arial Narrow" w:eastAsia="Calibri" w:hAnsi="Arial Narrow" w:cs="Calibri"/>
                <w:szCs w:val="18"/>
              </w:rPr>
              <w:t>comparator</w:t>
            </w:r>
          </w:p>
        </w:tc>
      </w:tr>
      <w:tr w:rsidR="00BC52A8" w:rsidRPr="00EE578D" w14:paraId="1C127B90" w14:textId="77777777" w:rsidTr="00BC52A8">
        <w:trPr>
          <w:trHeight w:val="315"/>
        </w:trPr>
        <w:tc>
          <w:tcPr>
            <w:tcW w:w="3539" w:type="dxa"/>
            <w:noWrap/>
            <w:hideMark/>
          </w:tcPr>
          <w:p w14:paraId="051065E2" w14:textId="77777777" w:rsidR="00BC52A8" w:rsidRPr="00EE578D" w:rsidRDefault="00BC52A8" w:rsidP="00BC52A8">
            <w:pPr>
              <w:spacing w:before="20" w:after="20"/>
              <w:ind w:right="113"/>
              <w:rPr>
                <w:rFonts w:ascii="Arial Narrow" w:eastAsia="Calibri" w:hAnsi="Arial Narrow" w:cs="Calibri"/>
                <w:szCs w:val="16"/>
              </w:rPr>
            </w:pPr>
            <w:r>
              <w:rPr>
                <w:rFonts w:ascii="Arial Narrow" w:eastAsia="Calibri" w:hAnsi="Arial Narrow" w:cs="Calibri"/>
                <w:szCs w:val="16"/>
              </w:rPr>
              <w:t xml:space="preserve">3. The VCCC database </w:t>
            </w:r>
            <w:r w:rsidRPr="00EE578D">
              <w:rPr>
                <w:rFonts w:ascii="Arial Narrow" w:eastAsia="Calibri" w:hAnsi="Arial Narrow" w:cs="Calibri"/>
                <w:szCs w:val="16"/>
              </w:rPr>
              <w:t>ECP treatment regimen</w:t>
            </w:r>
          </w:p>
        </w:tc>
        <w:tc>
          <w:tcPr>
            <w:tcW w:w="1418" w:type="dxa"/>
            <w:noWrap/>
            <w:hideMark/>
          </w:tcPr>
          <w:p w14:paraId="612154DC" w14:textId="77777777" w:rsidR="00BC52A8" w:rsidRPr="00EE578D" w:rsidRDefault="00BC52A8" w:rsidP="00BC52A8">
            <w:pPr>
              <w:spacing w:after="40"/>
              <w:jc w:val="center"/>
              <w:rPr>
                <w:rFonts w:ascii="Arial Narrow" w:eastAsia="Calibri" w:hAnsi="Arial Narrow" w:cs="Calibri"/>
                <w:szCs w:val="18"/>
              </w:rPr>
            </w:pPr>
            <w:r w:rsidRPr="00EE578D">
              <w:rPr>
                <w:rFonts w:ascii="Arial Narrow" w:eastAsia="Calibri" w:hAnsi="Arial Narrow" w:cs="Calibri"/>
                <w:szCs w:val="18"/>
              </w:rPr>
              <w:t>-$31,642.42</w:t>
            </w:r>
            <w:r>
              <w:rPr>
                <w:rFonts w:ascii="Arial Narrow" w:eastAsia="Calibri" w:hAnsi="Arial Narrow" w:cs="Calibri"/>
                <w:szCs w:val="18"/>
              </w:rPr>
              <w:t xml:space="preserve"> </w:t>
            </w:r>
          </w:p>
        </w:tc>
        <w:tc>
          <w:tcPr>
            <w:tcW w:w="1276" w:type="dxa"/>
            <w:noWrap/>
            <w:hideMark/>
          </w:tcPr>
          <w:p w14:paraId="56C159E2" w14:textId="77777777" w:rsidR="00BC52A8" w:rsidRPr="00EE578D" w:rsidRDefault="00BC52A8" w:rsidP="00BC52A8">
            <w:pPr>
              <w:spacing w:after="40"/>
              <w:jc w:val="center"/>
              <w:rPr>
                <w:rFonts w:ascii="Arial Narrow" w:eastAsia="Calibri" w:hAnsi="Arial Narrow" w:cs="Calibri"/>
                <w:szCs w:val="18"/>
              </w:rPr>
            </w:pPr>
            <w:r w:rsidRPr="00EE578D">
              <w:rPr>
                <w:rFonts w:ascii="Arial Narrow" w:eastAsia="Calibri" w:hAnsi="Arial Narrow" w:cs="Calibri"/>
                <w:szCs w:val="18"/>
              </w:rPr>
              <w:t>0.20</w:t>
            </w:r>
          </w:p>
        </w:tc>
        <w:tc>
          <w:tcPr>
            <w:tcW w:w="1275" w:type="dxa"/>
            <w:noWrap/>
            <w:hideMark/>
          </w:tcPr>
          <w:p w14:paraId="52A20466" w14:textId="77777777" w:rsidR="00BC52A8" w:rsidRPr="00EE578D" w:rsidRDefault="00BC52A8" w:rsidP="00BC52A8">
            <w:pPr>
              <w:spacing w:after="40"/>
              <w:jc w:val="center"/>
              <w:rPr>
                <w:rFonts w:ascii="Arial Narrow" w:eastAsia="Calibri" w:hAnsi="Arial Narrow" w:cs="Calibri"/>
                <w:szCs w:val="18"/>
              </w:rPr>
            </w:pPr>
            <w:r w:rsidRPr="00EE578D">
              <w:rPr>
                <w:rFonts w:ascii="Arial Narrow" w:eastAsia="Calibri" w:hAnsi="Arial Narrow" w:cs="Calibri"/>
                <w:szCs w:val="18"/>
              </w:rPr>
              <w:t>Dominant</w:t>
            </w:r>
          </w:p>
        </w:tc>
        <w:tc>
          <w:tcPr>
            <w:tcW w:w="1650" w:type="dxa"/>
            <w:noWrap/>
            <w:hideMark/>
          </w:tcPr>
          <w:p w14:paraId="2C8F99F8" w14:textId="77777777" w:rsidR="00BC52A8" w:rsidRPr="00DA20E7" w:rsidRDefault="00BC52A8" w:rsidP="00BC52A8">
            <w:pPr>
              <w:spacing w:after="40"/>
              <w:jc w:val="center"/>
              <w:rPr>
                <w:rFonts w:ascii="Arial Narrow" w:eastAsia="Calibri" w:hAnsi="Arial Narrow" w:cs="Calibri"/>
                <w:szCs w:val="18"/>
                <w:highlight w:val="yellow"/>
              </w:rPr>
            </w:pPr>
            <w:r w:rsidRPr="00A93B72">
              <w:rPr>
                <w:rFonts w:ascii="Arial Narrow" w:eastAsia="Calibri" w:hAnsi="Arial Narrow" w:cs="Calibri"/>
                <w:szCs w:val="18"/>
              </w:rPr>
              <w:t xml:space="preserve">Low impact - favours </w:t>
            </w:r>
            <w:r w:rsidRPr="00DA20E7">
              <w:rPr>
                <w:rFonts w:ascii="Arial Narrow" w:eastAsia="Calibri" w:hAnsi="Arial Narrow" w:cs="Calibri"/>
                <w:szCs w:val="18"/>
              </w:rPr>
              <w:t>ECP</w:t>
            </w:r>
          </w:p>
        </w:tc>
      </w:tr>
      <w:tr w:rsidR="00BC52A8" w:rsidRPr="00EE578D" w14:paraId="764AEB09" w14:textId="77777777" w:rsidTr="00BC52A8">
        <w:trPr>
          <w:trHeight w:val="300"/>
        </w:trPr>
        <w:tc>
          <w:tcPr>
            <w:tcW w:w="3539" w:type="dxa"/>
            <w:noWrap/>
            <w:hideMark/>
          </w:tcPr>
          <w:p w14:paraId="0C1B0D32" w14:textId="42A9B643" w:rsidR="00BC52A8" w:rsidRPr="00EE578D" w:rsidRDefault="00BC52A8" w:rsidP="00BC52A8">
            <w:pPr>
              <w:spacing w:before="20" w:after="20"/>
              <w:ind w:right="113"/>
              <w:rPr>
                <w:rFonts w:ascii="Arial Narrow" w:eastAsia="Calibri" w:hAnsi="Arial Narrow" w:cs="Calibri"/>
                <w:szCs w:val="16"/>
              </w:rPr>
            </w:pPr>
            <w:r>
              <w:rPr>
                <w:rFonts w:ascii="Arial Narrow" w:eastAsia="Calibri" w:hAnsi="Arial Narrow" w:cs="Calibri"/>
                <w:szCs w:val="16"/>
              </w:rPr>
              <w:t xml:space="preserve">4. </w:t>
            </w:r>
            <w:r w:rsidRPr="00EE578D">
              <w:rPr>
                <w:rFonts w:ascii="Arial Narrow" w:eastAsia="Calibri" w:hAnsi="Arial Narrow" w:cs="Calibri"/>
                <w:szCs w:val="16"/>
              </w:rPr>
              <w:t>Assume no disutility associated with treatment</w:t>
            </w:r>
          </w:p>
        </w:tc>
        <w:tc>
          <w:tcPr>
            <w:tcW w:w="1418" w:type="dxa"/>
            <w:noWrap/>
            <w:hideMark/>
          </w:tcPr>
          <w:p w14:paraId="04D5EE64" w14:textId="77777777" w:rsidR="00BC52A8" w:rsidRPr="00EE578D" w:rsidRDefault="00BC52A8" w:rsidP="00BC52A8">
            <w:pPr>
              <w:spacing w:after="40"/>
              <w:jc w:val="center"/>
              <w:rPr>
                <w:rFonts w:ascii="Arial Narrow" w:eastAsia="Calibri" w:hAnsi="Arial Narrow" w:cs="Calibri"/>
                <w:szCs w:val="18"/>
              </w:rPr>
            </w:pPr>
            <w:r w:rsidRPr="00EE578D">
              <w:rPr>
                <w:rFonts w:ascii="Arial Narrow" w:eastAsia="Calibri" w:hAnsi="Arial Narrow" w:cs="Calibri"/>
                <w:szCs w:val="18"/>
              </w:rPr>
              <w:t>-$37,591.99</w:t>
            </w:r>
            <w:r w:rsidRPr="00EE578D">
              <w:rPr>
                <w:rFonts w:ascii="Arial Narrow" w:eastAsia="Calibri" w:hAnsi="Arial Narrow" w:cs="Calibri"/>
                <w:szCs w:val="18"/>
                <w:vertAlign w:val="superscript"/>
              </w:rPr>
              <w:t xml:space="preserve"> </w:t>
            </w:r>
          </w:p>
        </w:tc>
        <w:tc>
          <w:tcPr>
            <w:tcW w:w="1276" w:type="dxa"/>
            <w:noWrap/>
            <w:hideMark/>
          </w:tcPr>
          <w:p w14:paraId="1E2720C9" w14:textId="77777777" w:rsidR="00BC52A8" w:rsidRPr="00EE578D" w:rsidRDefault="00BC52A8" w:rsidP="00BC52A8">
            <w:pPr>
              <w:spacing w:after="40"/>
              <w:jc w:val="center"/>
              <w:rPr>
                <w:rFonts w:ascii="Arial Narrow" w:eastAsia="Calibri" w:hAnsi="Arial Narrow" w:cs="Calibri"/>
                <w:szCs w:val="18"/>
              </w:rPr>
            </w:pPr>
            <w:r w:rsidRPr="00EE578D">
              <w:rPr>
                <w:rFonts w:ascii="Arial Narrow" w:eastAsia="Calibri" w:hAnsi="Arial Narrow" w:cs="Calibri"/>
                <w:szCs w:val="18"/>
              </w:rPr>
              <w:t>0.17</w:t>
            </w:r>
          </w:p>
        </w:tc>
        <w:tc>
          <w:tcPr>
            <w:tcW w:w="1275" w:type="dxa"/>
            <w:noWrap/>
            <w:hideMark/>
          </w:tcPr>
          <w:p w14:paraId="5E218A2C" w14:textId="77777777" w:rsidR="00BC52A8" w:rsidRPr="00EE578D" w:rsidRDefault="00BC52A8" w:rsidP="00BC52A8">
            <w:pPr>
              <w:spacing w:after="40"/>
              <w:jc w:val="center"/>
              <w:rPr>
                <w:rFonts w:ascii="Arial Narrow" w:eastAsia="Calibri" w:hAnsi="Arial Narrow" w:cs="Calibri"/>
                <w:szCs w:val="18"/>
              </w:rPr>
            </w:pPr>
            <w:r w:rsidRPr="00EE578D">
              <w:rPr>
                <w:rFonts w:ascii="Arial Narrow" w:eastAsia="Calibri" w:hAnsi="Arial Narrow" w:cs="Calibri"/>
                <w:szCs w:val="18"/>
              </w:rPr>
              <w:t>Dominant</w:t>
            </w:r>
          </w:p>
        </w:tc>
        <w:tc>
          <w:tcPr>
            <w:tcW w:w="1650" w:type="dxa"/>
            <w:noWrap/>
            <w:hideMark/>
          </w:tcPr>
          <w:p w14:paraId="47BE9AF1" w14:textId="77777777" w:rsidR="00BC52A8" w:rsidRPr="00DA20E7" w:rsidRDefault="00BC52A8" w:rsidP="00BC52A8">
            <w:pPr>
              <w:spacing w:after="40"/>
              <w:jc w:val="center"/>
              <w:rPr>
                <w:rFonts w:ascii="Arial Narrow" w:eastAsia="Calibri" w:hAnsi="Arial Narrow" w:cs="Calibri"/>
                <w:szCs w:val="18"/>
                <w:highlight w:val="yellow"/>
              </w:rPr>
            </w:pPr>
            <w:r w:rsidRPr="00A93B72">
              <w:rPr>
                <w:rFonts w:ascii="Arial Narrow" w:eastAsia="Calibri" w:hAnsi="Arial Narrow" w:cs="Calibri"/>
                <w:szCs w:val="18"/>
              </w:rPr>
              <w:t>Low impact - favours ECP</w:t>
            </w:r>
          </w:p>
        </w:tc>
      </w:tr>
      <w:tr w:rsidR="00BC52A8" w:rsidRPr="00EE578D" w14:paraId="1B81AD6A" w14:textId="77777777" w:rsidTr="00BC52A8">
        <w:trPr>
          <w:trHeight w:val="300"/>
        </w:trPr>
        <w:tc>
          <w:tcPr>
            <w:tcW w:w="3539" w:type="dxa"/>
            <w:noWrap/>
            <w:hideMark/>
          </w:tcPr>
          <w:p w14:paraId="3327B028" w14:textId="70B31029" w:rsidR="00BC52A8" w:rsidRPr="00EE578D" w:rsidRDefault="00BC52A8" w:rsidP="00AE6A42">
            <w:pPr>
              <w:spacing w:before="20" w:after="20"/>
              <w:ind w:right="113"/>
              <w:rPr>
                <w:rFonts w:ascii="Arial Narrow" w:eastAsia="Calibri" w:hAnsi="Arial Narrow" w:cs="Calibri"/>
                <w:szCs w:val="16"/>
              </w:rPr>
            </w:pPr>
            <w:r>
              <w:rPr>
                <w:rFonts w:ascii="Arial Narrow" w:eastAsia="Calibri" w:hAnsi="Arial Narrow" w:cs="Calibri"/>
                <w:szCs w:val="16"/>
              </w:rPr>
              <w:t xml:space="preserve">5. </w:t>
            </w:r>
            <w:r w:rsidRPr="00EE578D">
              <w:rPr>
                <w:rFonts w:ascii="Arial Narrow" w:eastAsia="Calibri" w:hAnsi="Arial Narrow" w:cs="Calibri"/>
                <w:szCs w:val="16"/>
              </w:rPr>
              <w:t xml:space="preserve">Use vorinostat TTNT for </w:t>
            </w:r>
            <w:r w:rsidR="00AE6A42">
              <w:rPr>
                <w:rFonts w:ascii="Arial Narrow" w:eastAsia="Calibri" w:hAnsi="Arial Narrow" w:cs="Calibri"/>
                <w:szCs w:val="16"/>
              </w:rPr>
              <w:t>brentuximab vedotin</w:t>
            </w:r>
          </w:p>
        </w:tc>
        <w:tc>
          <w:tcPr>
            <w:tcW w:w="1418" w:type="dxa"/>
            <w:noWrap/>
            <w:hideMark/>
          </w:tcPr>
          <w:p w14:paraId="149DB9FD" w14:textId="77777777" w:rsidR="00BC52A8" w:rsidRPr="00EE578D" w:rsidRDefault="00BC52A8" w:rsidP="00BC52A8">
            <w:pPr>
              <w:spacing w:after="40"/>
              <w:jc w:val="center"/>
              <w:rPr>
                <w:rFonts w:ascii="Arial Narrow" w:eastAsia="Calibri" w:hAnsi="Arial Narrow" w:cs="Calibri"/>
                <w:szCs w:val="18"/>
              </w:rPr>
            </w:pPr>
            <w:r w:rsidRPr="00EE578D">
              <w:rPr>
                <w:rFonts w:ascii="Arial Narrow" w:eastAsia="Calibri" w:hAnsi="Arial Narrow" w:cs="Calibri"/>
                <w:szCs w:val="18"/>
              </w:rPr>
              <w:t>-$27,506.72</w:t>
            </w:r>
            <w:r w:rsidRPr="00EE578D">
              <w:rPr>
                <w:rFonts w:ascii="Arial Narrow" w:eastAsia="Calibri" w:hAnsi="Arial Narrow" w:cs="Calibri"/>
                <w:szCs w:val="18"/>
                <w:vertAlign w:val="superscript"/>
              </w:rPr>
              <w:t xml:space="preserve"> </w:t>
            </w:r>
          </w:p>
        </w:tc>
        <w:tc>
          <w:tcPr>
            <w:tcW w:w="1276" w:type="dxa"/>
            <w:noWrap/>
            <w:hideMark/>
          </w:tcPr>
          <w:p w14:paraId="01F4CF05" w14:textId="77777777" w:rsidR="00BC52A8" w:rsidRPr="00EE578D" w:rsidRDefault="00BC52A8" w:rsidP="00BC52A8">
            <w:pPr>
              <w:spacing w:after="40"/>
              <w:jc w:val="center"/>
              <w:rPr>
                <w:rFonts w:ascii="Arial Narrow" w:eastAsia="Calibri" w:hAnsi="Arial Narrow" w:cs="Calibri"/>
                <w:szCs w:val="18"/>
              </w:rPr>
            </w:pPr>
            <w:r w:rsidRPr="00EE578D">
              <w:rPr>
                <w:rFonts w:ascii="Arial Narrow" w:eastAsia="Calibri" w:hAnsi="Arial Narrow" w:cs="Calibri"/>
                <w:szCs w:val="18"/>
              </w:rPr>
              <w:t>0.21</w:t>
            </w:r>
          </w:p>
        </w:tc>
        <w:tc>
          <w:tcPr>
            <w:tcW w:w="1275" w:type="dxa"/>
            <w:noWrap/>
            <w:hideMark/>
          </w:tcPr>
          <w:p w14:paraId="27B69775" w14:textId="77777777" w:rsidR="00BC52A8" w:rsidRPr="00A93B72" w:rsidRDefault="00BC52A8" w:rsidP="00BC52A8">
            <w:pPr>
              <w:spacing w:after="40"/>
              <w:jc w:val="center"/>
              <w:rPr>
                <w:rFonts w:ascii="Arial Narrow" w:eastAsia="Calibri" w:hAnsi="Arial Narrow" w:cs="Calibri"/>
                <w:szCs w:val="18"/>
              </w:rPr>
            </w:pPr>
            <w:r w:rsidRPr="00A93B72">
              <w:rPr>
                <w:rFonts w:ascii="Arial Narrow" w:eastAsia="Calibri" w:hAnsi="Arial Narrow" w:cs="Calibri"/>
                <w:szCs w:val="18"/>
              </w:rPr>
              <w:t>Dominant</w:t>
            </w:r>
          </w:p>
        </w:tc>
        <w:tc>
          <w:tcPr>
            <w:tcW w:w="1650" w:type="dxa"/>
            <w:noWrap/>
            <w:hideMark/>
          </w:tcPr>
          <w:p w14:paraId="22DD3687" w14:textId="77777777" w:rsidR="00BC52A8" w:rsidRPr="00A93B72" w:rsidRDefault="00BC52A8" w:rsidP="00BC52A8">
            <w:pPr>
              <w:spacing w:after="40"/>
              <w:jc w:val="center"/>
              <w:rPr>
                <w:rFonts w:ascii="Arial Narrow" w:eastAsia="Calibri" w:hAnsi="Arial Narrow" w:cs="Calibri"/>
                <w:szCs w:val="18"/>
              </w:rPr>
            </w:pPr>
            <w:r w:rsidRPr="00A93B72">
              <w:rPr>
                <w:rFonts w:ascii="Arial Narrow" w:eastAsia="Calibri" w:hAnsi="Arial Narrow" w:cs="Calibri"/>
                <w:szCs w:val="18"/>
              </w:rPr>
              <w:t>Low impact - favours ECP</w:t>
            </w:r>
          </w:p>
        </w:tc>
      </w:tr>
      <w:tr w:rsidR="00BC52A8" w:rsidRPr="00EE578D" w14:paraId="2B54550B" w14:textId="77777777" w:rsidTr="00BC52A8">
        <w:trPr>
          <w:trHeight w:val="300"/>
        </w:trPr>
        <w:tc>
          <w:tcPr>
            <w:tcW w:w="3539" w:type="dxa"/>
            <w:noWrap/>
            <w:hideMark/>
          </w:tcPr>
          <w:p w14:paraId="58E68337" w14:textId="3D001FD8" w:rsidR="00BC52A8" w:rsidRPr="00EE578D" w:rsidRDefault="00BC52A8" w:rsidP="00BC52A8">
            <w:pPr>
              <w:spacing w:before="20" w:after="20"/>
              <w:ind w:right="113"/>
              <w:rPr>
                <w:rFonts w:ascii="Arial Narrow" w:eastAsia="Calibri" w:hAnsi="Arial Narrow" w:cs="Calibri"/>
                <w:szCs w:val="16"/>
              </w:rPr>
            </w:pPr>
            <w:r>
              <w:rPr>
                <w:rFonts w:ascii="Arial Narrow" w:eastAsia="Calibri" w:hAnsi="Arial Narrow" w:cs="Calibri"/>
                <w:szCs w:val="16"/>
              </w:rPr>
              <w:t xml:space="preserve">6. </w:t>
            </w:r>
            <w:r w:rsidRPr="00EE578D">
              <w:rPr>
                <w:rFonts w:ascii="Arial Narrow" w:eastAsia="Calibri" w:hAnsi="Arial Narrow" w:cs="Calibri"/>
                <w:szCs w:val="16"/>
              </w:rPr>
              <w:t xml:space="preserve">Monthly cost of brentuximab </w:t>
            </w:r>
            <w:r w:rsidR="00AE6A42">
              <w:rPr>
                <w:rFonts w:ascii="Arial Narrow" w:eastAsia="Calibri" w:hAnsi="Arial Narrow" w:cs="Calibri"/>
                <w:szCs w:val="16"/>
              </w:rPr>
              <w:t xml:space="preserve">vedotin </w:t>
            </w:r>
            <w:r w:rsidRPr="00EE578D">
              <w:rPr>
                <w:rFonts w:ascii="Arial Narrow" w:eastAsia="Calibri" w:hAnsi="Arial Narrow" w:cs="Calibri"/>
                <w:szCs w:val="16"/>
              </w:rPr>
              <w:t>discounted by 50%</w:t>
            </w:r>
          </w:p>
        </w:tc>
        <w:tc>
          <w:tcPr>
            <w:tcW w:w="1418" w:type="dxa"/>
            <w:noWrap/>
            <w:hideMark/>
          </w:tcPr>
          <w:p w14:paraId="1E44A84E" w14:textId="77777777" w:rsidR="00BC52A8" w:rsidRPr="00EE578D" w:rsidRDefault="00BC52A8" w:rsidP="00BC52A8">
            <w:pPr>
              <w:spacing w:after="40"/>
              <w:jc w:val="center"/>
              <w:rPr>
                <w:rFonts w:ascii="Arial Narrow" w:eastAsia="Calibri" w:hAnsi="Arial Narrow" w:cs="Calibri"/>
                <w:szCs w:val="18"/>
              </w:rPr>
            </w:pPr>
            <w:r w:rsidRPr="00EE578D">
              <w:rPr>
                <w:rFonts w:ascii="Arial Narrow" w:eastAsia="Calibri" w:hAnsi="Arial Narrow" w:cs="Calibri"/>
                <w:szCs w:val="18"/>
              </w:rPr>
              <w:t>-$3,644.89</w:t>
            </w:r>
            <w:r w:rsidRPr="00EE578D">
              <w:rPr>
                <w:rFonts w:ascii="Arial Narrow" w:eastAsia="Calibri" w:hAnsi="Arial Narrow" w:cs="Calibri"/>
                <w:szCs w:val="18"/>
                <w:vertAlign w:val="superscript"/>
              </w:rPr>
              <w:t xml:space="preserve"> </w:t>
            </w:r>
          </w:p>
        </w:tc>
        <w:tc>
          <w:tcPr>
            <w:tcW w:w="1276" w:type="dxa"/>
            <w:noWrap/>
            <w:hideMark/>
          </w:tcPr>
          <w:p w14:paraId="4AF96B36" w14:textId="77777777" w:rsidR="00BC52A8" w:rsidRPr="00EE578D" w:rsidRDefault="00BC52A8" w:rsidP="00BC52A8">
            <w:pPr>
              <w:spacing w:after="40"/>
              <w:jc w:val="center"/>
              <w:rPr>
                <w:rFonts w:ascii="Arial Narrow" w:eastAsia="Calibri" w:hAnsi="Arial Narrow" w:cs="Calibri"/>
                <w:szCs w:val="18"/>
              </w:rPr>
            </w:pPr>
            <w:r w:rsidRPr="00EE578D">
              <w:rPr>
                <w:rFonts w:ascii="Arial Narrow" w:eastAsia="Calibri" w:hAnsi="Arial Narrow" w:cs="Calibri"/>
                <w:szCs w:val="18"/>
              </w:rPr>
              <w:t>0.20</w:t>
            </w:r>
          </w:p>
        </w:tc>
        <w:tc>
          <w:tcPr>
            <w:tcW w:w="1275" w:type="dxa"/>
            <w:noWrap/>
            <w:hideMark/>
          </w:tcPr>
          <w:p w14:paraId="5D92DD44" w14:textId="77777777" w:rsidR="00BC52A8" w:rsidRPr="00EE578D" w:rsidRDefault="00BC52A8" w:rsidP="00BC52A8">
            <w:pPr>
              <w:spacing w:after="40"/>
              <w:jc w:val="center"/>
              <w:rPr>
                <w:rFonts w:ascii="Arial Narrow" w:eastAsia="Calibri" w:hAnsi="Arial Narrow" w:cs="Calibri"/>
                <w:szCs w:val="18"/>
              </w:rPr>
            </w:pPr>
            <w:r w:rsidRPr="00EE578D">
              <w:rPr>
                <w:rFonts w:ascii="Arial Narrow" w:eastAsia="Calibri" w:hAnsi="Arial Narrow" w:cs="Calibri"/>
                <w:szCs w:val="18"/>
              </w:rPr>
              <w:t>Dominant</w:t>
            </w:r>
          </w:p>
        </w:tc>
        <w:tc>
          <w:tcPr>
            <w:tcW w:w="1650" w:type="dxa"/>
            <w:noWrap/>
            <w:hideMark/>
          </w:tcPr>
          <w:p w14:paraId="663F740F" w14:textId="77777777" w:rsidR="00BC52A8" w:rsidRPr="00DA20E7" w:rsidRDefault="00BC52A8" w:rsidP="00BC52A8">
            <w:pPr>
              <w:spacing w:after="40"/>
              <w:jc w:val="center"/>
              <w:rPr>
                <w:rFonts w:ascii="Arial Narrow" w:eastAsia="Calibri" w:hAnsi="Arial Narrow" w:cs="Calibri"/>
                <w:szCs w:val="18"/>
                <w:highlight w:val="yellow"/>
              </w:rPr>
            </w:pPr>
            <w:r w:rsidRPr="00A93B72">
              <w:rPr>
                <w:rFonts w:ascii="Arial Narrow" w:eastAsia="Calibri" w:hAnsi="Arial Narrow" w:cs="Calibri"/>
                <w:szCs w:val="18"/>
              </w:rPr>
              <w:t>Moderate impact - favours ECP</w:t>
            </w:r>
          </w:p>
        </w:tc>
      </w:tr>
      <w:tr w:rsidR="00BC52A8" w:rsidRPr="00EE578D" w14:paraId="10FD1570" w14:textId="77777777" w:rsidTr="00BC52A8">
        <w:trPr>
          <w:trHeight w:val="300"/>
        </w:trPr>
        <w:tc>
          <w:tcPr>
            <w:tcW w:w="3539" w:type="dxa"/>
            <w:noWrap/>
          </w:tcPr>
          <w:p w14:paraId="5D4F488F" w14:textId="77777777" w:rsidR="00BC52A8" w:rsidRPr="00D80854" w:rsidRDefault="00BC52A8" w:rsidP="00BC52A8">
            <w:pPr>
              <w:spacing w:before="0" w:after="20"/>
              <w:ind w:right="113"/>
              <w:rPr>
                <w:rFonts w:ascii="Arial Narrow" w:eastAsia="Calibri" w:hAnsi="Arial Narrow" w:cs="Calibri"/>
                <w:i/>
                <w:szCs w:val="16"/>
              </w:rPr>
            </w:pPr>
            <w:r>
              <w:rPr>
                <w:rFonts w:ascii="Arial Narrow" w:eastAsia="Calibri" w:hAnsi="Arial Narrow" w:cs="Calibri"/>
                <w:i/>
                <w:szCs w:val="16"/>
              </w:rPr>
              <w:t xml:space="preserve">7. </w:t>
            </w:r>
            <w:r w:rsidRPr="00D80854">
              <w:rPr>
                <w:rFonts w:ascii="Arial Narrow" w:eastAsia="Calibri" w:hAnsi="Arial Narrow" w:cs="Calibri"/>
                <w:i/>
                <w:szCs w:val="16"/>
              </w:rPr>
              <w:t>ECP regimen</w:t>
            </w:r>
            <w:r>
              <w:rPr>
                <w:rFonts w:ascii="Arial Narrow" w:eastAsia="Calibri" w:hAnsi="Arial Narrow" w:cs="Calibri"/>
                <w:i/>
                <w:szCs w:val="16"/>
              </w:rPr>
              <w:t xml:space="preserve">: </w:t>
            </w:r>
            <w:r w:rsidRPr="00D80854">
              <w:rPr>
                <w:rFonts w:ascii="Arial Narrow" w:eastAsia="Calibri" w:hAnsi="Arial Narrow" w:cs="Calibri"/>
                <w:i/>
                <w:szCs w:val="16"/>
              </w:rPr>
              <w:t xml:space="preserve">2 consecutive episodes of ECP per treatment </w:t>
            </w:r>
            <w:r>
              <w:rPr>
                <w:rFonts w:ascii="Arial Narrow" w:eastAsia="Calibri" w:hAnsi="Arial Narrow" w:cs="Calibri"/>
                <w:i/>
                <w:szCs w:val="16"/>
              </w:rPr>
              <w:t>(Alfred 2017)</w:t>
            </w:r>
            <w:r>
              <w:rPr>
                <w:rFonts w:ascii="Arial Narrow" w:eastAsia="Calibri" w:hAnsi="Arial Narrow" w:cs="Calibri"/>
                <w:i/>
                <w:szCs w:val="16"/>
                <w:vertAlign w:val="superscript"/>
              </w:rPr>
              <w:t>a</w:t>
            </w:r>
            <w:r>
              <w:rPr>
                <w:rFonts w:ascii="Arial Narrow" w:eastAsia="Calibri" w:hAnsi="Arial Narrow" w:cs="Calibri"/>
                <w:i/>
                <w:szCs w:val="16"/>
              </w:rPr>
              <w:t xml:space="preserve"> - </w:t>
            </w:r>
            <w:r w:rsidRPr="00791F87">
              <w:rPr>
                <w:rFonts w:ascii="Arial Narrow" w:eastAsia="Calibri" w:hAnsi="Arial Narrow" w:cs="Calibri"/>
                <w:b/>
                <w:i/>
                <w:szCs w:val="16"/>
              </w:rPr>
              <w:t>methotrexate becomes most cost-effective</w:t>
            </w:r>
          </w:p>
        </w:tc>
        <w:tc>
          <w:tcPr>
            <w:tcW w:w="1418" w:type="dxa"/>
            <w:noWrap/>
          </w:tcPr>
          <w:p w14:paraId="459F6D51" w14:textId="77777777" w:rsidR="00BC52A8" w:rsidRPr="00D80854" w:rsidRDefault="00BC52A8" w:rsidP="00BC52A8">
            <w:pPr>
              <w:spacing w:before="0" w:after="20"/>
              <w:jc w:val="center"/>
              <w:rPr>
                <w:rFonts w:ascii="Arial Narrow" w:eastAsia="Calibri" w:hAnsi="Arial Narrow" w:cs="Calibri"/>
                <w:i/>
                <w:szCs w:val="18"/>
              </w:rPr>
            </w:pPr>
            <w:r w:rsidRPr="00D80854">
              <w:rPr>
                <w:rFonts w:ascii="Arial Narrow" w:eastAsia="Calibri" w:hAnsi="Arial Narrow" w:cs="Calibri"/>
                <w:i/>
                <w:szCs w:val="18"/>
              </w:rPr>
              <w:t>$42,870.73</w:t>
            </w:r>
          </w:p>
        </w:tc>
        <w:tc>
          <w:tcPr>
            <w:tcW w:w="1276" w:type="dxa"/>
            <w:noWrap/>
          </w:tcPr>
          <w:p w14:paraId="10318E53" w14:textId="77777777" w:rsidR="00BC52A8" w:rsidRPr="00D80854" w:rsidRDefault="00BC52A8" w:rsidP="00BC52A8">
            <w:pPr>
              <w:spacing w:before="0" w:after="20"/>
              <w:jc w:val="center"/>
              <w:rPr>
                <w:rFonts w:ascii="Arial Narrow" w:eastAsia="Calibri" w:hAnsi="Arial Narrow" w:cs="Calibri"/>
                <w:i/>
                <w:szCs w:val="18"/>
              </w:rPr>
            </w:pPr>
            <w:r w:rsidRPr="00D80854">
              <w:rPr>
                <w:rFonts w:ascii="Arial Narrow" w:eastAsia="Calibri" w:hAnsi="Arial Narrow" w:cs="Calibri"/>
                <w:i/>
                <w:szCs w:val="18"/>
              </w:rPr>
              <w:t>0.20</w:t>
            </w:r>
          </w:p>
        </w:tc>
        <w:tc>
          <w:tcPr>
            <w:tcW w:w="1275" w:type="dxa"/>
            <w:noWrap/>
          </w:tcPr>
          <w:p w14:paraId="582DCE15" w14:textId="77777777" w:rsidR="00BC52A8" w:rsidRPr="00D80854" w:rsidRDefault="00BC52A8" w:rsidP="00BC52A8">
            <w:pPr>
              <w:spacing w:after="20"/>
              <w:jc w:val="center"/>
              <w:rPr>
                <w:rFonts w:ascii="Arial Narrow" w:eastAsia="Calibri" w:hAnsi="Arial Narrow" w:cs="Calibri"/>
                <w:i/>
                <w:szCs w:val="18"/>
              </w:rPr>
            </w:pPr>
            <w:r w:rsidRPr="001F6272">
              <w:rPr>
                <w:rFonts w:ascii="Arial Narrow" w:eastAsia="Calibri" w:hAnsi="Arial Narrow" w:cs="Calibri"/>
                <w:i/>
                <w:szCs w:val="18"/>
              </w:rPr>
              <w:t>$209,376.28</w:t>
            </w:r>
          </w:p>
        </w:tc>
        <w:tc>
          <w:tcPr>
            <w:tcW w:w="1650" w:type="dxa"/>
            <w:noWrap/>
          </w:tcPr>
          <w:p w14:paraId="7047E3DA" w14:textId="77777777" w:rsidR="00BC52A8" w:rsidRPr="00DA20E7" w:rsidRDefault="00BC52A8" w:rsidP="00BC52A8">
            <w:pPr>
              <w:spacing w:after="20"/>
              <w:jc w:val="center"/>
              <w:rPr>
                <w:rFonts w:ascii="Arial Narrow" w:eastAsia="Calibri" w:hAnsi="Arial Narrow" w:cs="Calibri"/>
                <w:i/>
                <w:szCs w:val="18"/>
                <w:highlight w:val="yellow"/>
              </w:rPr>
            </w:pPr>
            <w:r w:rsidRPr="00A93B72">
              <w:rPr>
                <w:rFonts w:ascii="Arial Narrow" w:eastAsia="Calibri" w:hAnsi="Arial Narrow" w:cs="Calibri"/>
                <w:b/>
                <w:szCs w:val="18"/>
              </w:rPr>
              <w:t>High impact</w:t>
            </w:r>
            <w:r w:rsidRPr="00A93B72">
              <w:rPr>
                <w:rFonts w:ascii="Arial Narrow" w:eastAsia="Calibri" w:hAnsi="Arial Narrow" w:cs="Calibri"/>
                <w:szCs w:val="18"/>
              </w:rPr>
              <w:t xml:space="preserve"> – favours ECP</w:t>
            </w:r>
          </w:p>
        </w:tc>
      </w:tr>
      <w:tr w:rsidR="00BC52A8" w:rsidRPr="00EE578D" w14:paraId="0B42EF60" w14:textId="77777777" w:rsidTr="00BC52A8">
        <w:trPr>
          <w:trHeight w:val="300"/>
        </w:trPr>
        <w:tc>
          <w:tcPr>
            <w:tcW w:w="3539" w:type="dxa"/>
            <w:noWrap/>
          </w:tcPr>
          <w:p w14:paraId="582C2B40" w14:textId="77777777" w:rsidR="00BC52A8" w:rsidRPr="00D80854" w:rsidRDefault="00BC52A8" w:rsidP="00BC52A8">
            <w:pPr>
              <w:spacing w:after="20"/>
              <w:ind w:right="113"/>
              <w:rPr>
                <w:rFonts w:ascii="Arial Narrow" w:eastAsia="Calibri" w:hAnsi="Arial Narrow" w:cs="Calibri"/>
                <w:i/>
                <w:szCs w:val="16"/>
              </w:rPr>
            </w:pPr>
            <w:r>
              <w:rPr>
                <w:rFonts w:ascii="Arial Narrow" w:eastAsia="Calibri" w:hAnsi="Arial Narrow" w:cs="Calibri"/>
                <w:i/>
                <w:szCs w:val="16"/>
              </w:rPr>
              <w:t xml:space="preserve">8. Combining #6, #10, #12 - </w:t>
            </w:r>
            <w:r w:rsidRPr="00791F87">
              <w:rPr>
                <w:rFonts w:ascii="Arial Narrow" w:eastAsia="Calibri" w:hAnsi="Arial Narrow" w:cs="Calibri"/>
                <w:b/>
                <w:i/>
                <w:szCs w:val="16"/>
              </w:rPr>
              <w:t>methotrexate becomes most cost-effective</w:t>
            </w:r>
          </w:p>
        </w:tc>
        <w:tc>
          <w:tcPr>
            <w:tcW w:w="1418" w:type="dxa"/>
            <w:noWrap/>
          </w:tcPr>
          <w:p w14:paraId="31840D9E" w14:textId="77777777" w:rsidR="00BC52A8" w:rsidRPr="00D80854" w:rsidRDefault="00BC52A8" w:rsidP="00BC52A8">
            <w:pPr>
              <w:spacing w:after="20"/>
              <w:jc w:val="center"/>
              <w:rPr>
                <w:rFonts w:ascii="Arial Narrow" w:eastAsia="Calibri" w:hAnsi="Arial Narrow" w:cs="Calibri"/>
                <w:i/>
                <w:szCs w:val="18"/>
              </w:rPr>
            </w:pPr>
            <w:r>
              <w:rPr>
                <w:rFonts w:ascii="Arial Narrow" w:eastAsia="Calibri" w:hAnsi="Arial Narrow" w:cs="Calibri"/>
                <w:i/>
                <w:szCs w:val="18"/>
              </w:rPr>
              <w:t>-$3,644.88</w:t>
            </w:r>
          </w:p>
        </w:tc>
        <w:tc>
          <w:tcPr>
            <w:tcW w:w="1276" w:type="dxa"/>
            <w:noWrap/>
          </w:tcPr>
          <w:p w14:paraId="320B384C" w14:textId="77777777" w:rsidR="00BC52A8" w:rsidRPr="00D80854" w:rsidRDefault="00BC52A8" w:rsidP="00BC52A8">
            <w:pPr>
              <w:spacing w:after="20"/>
              <w:jc w:val="center"/>
              <w:rPr>
                <w:rFonts w:ascii="Arial Narrow" w:eastAsia="Calibri" w:hAnsi="Arial Narrow" w:cs="Calibri"/>
                <w:i/>
                <w:szCs w:val="18"/>
              </w:rPr>
            </w:pPr>
            <w:r>
              <w:rPr>
                <w:rFonts w:ascii="Arial Narrow" w:eastAsia="Calibri" w:hAnsi="Arial Narrow" w:cs="Calibri"/>
                <w:i/>
                <w:szCs w:val="18"/>
              </w:rPr>
              <w:t>0.01</w:t>
            </w:r>
          </w:p>
        </w:tc>
        <w:tc>
          <w:tcPr>
            <w:tcW w:w="1275" w:type="dxa"/>
            <w:noWrap/>
          </w:tcPr>
          <w:p w14:paraId="737B838A" w14:textId="77777777" w:rsidR="00BC52A8" w:rsidRPr="00D80854" w:rsidRDefault="00BC52A8" w:rsidP="00BC52A8">
            <w:pPr>
              <w:spacing w:after="20"/>
              <w:jc w:val="center"/>
              <w:rPr>
                <w:rFonts w:ascii="Arial Narrow" w:eastAsia="Calibri" w:hAnsi="Arial Narrow" w:cs="Calibri"/>
                <w:i/>
                <w:szCs w:val="18"/>
              </w:rPr>
            </w:pPr>
            <w:r>
              <w:rPr>
                <w:rFonts w:ascii="Arial Narrow" w:eastAsia="Calibri" w:hAnsi="Arial Narrow" w:cs="Calibri"/>
                <w:i/>
                <w:szCs w:val="18"/>
              </w:rPr>
              <w:t>Dominant</w:t>
            </w:r>
          </w:p>
        </w:tc>
        <w:tc>
          <w:tcPr>
            <w:tcW w:w="1650" w:type="dxa"/>
            <w:noWrap/>
          </w:tcPr>
          <w:p w14:paraId="64722D5B" w14:textId="77777777" w:rsidR="00BC52A8" w:rsidRPr="00DA20E7" w:rsidRDefault="00BC52A8" w:rsidP="00BC52A8">
            <w:pPr>
              <w:spacing w:after="20"/>
              <w:jc w:val="center"/>
              <w:rPr>
                <w:rFonts w:ascii="Arial Narrow" w:eastAsia="Calibri" w:hAnsi="Arial Narrow" w:cs="Calibri"/>
                <w:i/>
                <w:szCs w:val="18"/>
                <w:highlight w:val="yellow"/>
              </w:rPr>
            </w:pPr>
            <w:r w:rsidRPr="00A93B72">
              <w:rPr>
                <w:rFonts w:ascii="Arial Narrow" w:eastAsia="Calibri" w:hAnsi="Arial Narrow" w:cs="Calibri"/>
                <w:i/>
                <w:szCs w:val="18"/>
              </w:rPr>
              <w:t xml:space="preserve">Moderate impact – favours </w:t>
            </w:r>
            <w:r w:rsidRPr="00A93B72">
              <w:rPr>
                <w:rFonts w:ascii="Arial Narrow" w:eastAsia="Calibri" w:hAnsi="Arial Narrow" w:cs="Calibri"/>
                <w:szCs w:val="18"/>
              </w:rPr>
              <w:t>ECP</w:t>
            </w:r>
          </w:p>
        </w:tc>
      </w:tr>
      <w:tr w:rsidR="00BC52A8" w:rsidRPr="00EE578D" w14:paraId="73320038" w14:textId="77777777" w:rsidTr="00BC52A8">
        <w:trPr>
          <w:trHeight w:val="300"/>
        </w:trPr>
        <w:tc>
          <w:tcPr>
            <w:tcW w:w="3539" w:type="dxa"/>
            <w:noWrap/>
          </w:tcPr>
          <w:p w14:paraId="21E5FE42" w14:textId="77777777" w:rsidR="00BC52A8" w:rsidRPr="00D80854" w:rsidRDefault="00BC52A8" w:rsidP="00BC52A8">
            <w:pPr>
              <w:spacing w:after="20"/>
              <w:ind w:right="113"/>
              <w:rPr>
                <w:rFonts w:ascii="Arial Narrow" w:eastAsia="Calibri" w:hAnsi="Arial Narrow" w:cs="Calibri"/>
                <w:i/>
                <w:szCs w:val="16"/>
              </w:rPr>
            </w:pPr>
            <w:r>
              <w:rPr>
                <w:rFonts w:ascii="Arial Narrow" w:eastAsia="Calibri" w:hAnsi="Arial Narrow" w:cs="Calibri"/>
                <w:i/>
                <w:szCs w:val="16"/>
              </w:rPr>
              <w:t xml:space="preserve">9. Combining #6, #10, #11, #12 - </w:t>
            </w:r>
            <w:r w:rsidRPr="00791F87">
              <w:rPr>
                <w:rFonts w:ascii="Arial Narrow" w:eastAsia="Calibri" w:hAnsi="Arial Narrow" w:cs="Calibri"/>
                <w:b/>
                <w:i/>
                <w:szCs w:val="16"/>
              </w:rPr>
              <w:t>methotrexate becomes most cost-effective</w:t>
            </w:r>
          </w:p>
        </w:tc>
        <w:tc>
          <w:tcPr>
            <w:tcW w:w="1418" w:type="dxa"/>
            <w:noWrap/>
          </w:tcPr>
          <w:p w14:paraId="0F57EF4A" w14:textId="77777777" w:rsidR="00BC52A8" w:rsidRPr="00D80854" w:rsidRDefault="00BC52A8" w:rsidP="00BC52A8">
            <w:pPr>
              <w:spacing w:after="20"/>
              <w:jc w:val="center"/>
              <w:rPr>
                <w:rFonts w:ascii="Arial Narrow" w:eastAsia="Calibri" w:hAnsi="Arial Narrow" w:cs="Calibri"/>
                <w:i/>
                <w:szCs w:val="18"/>
              </w:rPr>
            </w:pPr>
            <w:r>
              <w:rPr>
                <w:rFonts w:ascii="Arial Narrow" w:eastAsia="Calibri" w:hAnsi="Arial Narrow" w:cs="Calibri"/>
                <w:i/>
                <w:szCs w:val="18"/>
              </w:rPr>
              <w:t>-$1,263.16</w:t>
            </w:r>
          </w:p>
        </w:tc>
        <w:tc>
          <w:tcPr>
            <w:tcW w:w="1276" w:type="dxa"/>
            <w:noWrap/>
          </w:tcPr>
          <w:p w14:paraId="3B839E09" w14:textId="77777777" w:rsidR="00BC52A8" w:rsidRPr="00D80854" w:rsidRDefault="00BC52A8" w:rsidP="00BC52A8">
            <w:pPr>
              <w:spacing w:after="20"/>
              <w:jc w:val="center"/>
              <w:rPr>
                <w:rFonts w:ascii="Arial Narrow" w:eastAsia="Calibri" w:hAnsi="Arial Narrow" w:cs="Calibri"/>
                <w:i/>
                <w:szCs w:val="18"/>
              </w:rPr>
            </w:pPr>
            <w:r>
              <w:rPr>
                <w:rFonts w:ascii="Arial Narrow" w:eastAsia="Calibri" w:hAnsi="Arial Narrow" w:cs="Calibri"/>
                <w:i/>
                <w:szCs w:val="18"/>
              </w:rPr>
              <w:t>0.01</w:t>
            </w:r>
          </w:p>
        </w:tc>
        <w:tc>
          <w:tcPr>
            <w:tcW w:w="1275" w:type="dxa"/>
            <w:noWrap/>
          </w:tcPr>
          <w:p w14:paraId="435282EE" w14:textId="77777777" w:rsidR="00BC52A8" w:rsidRPr="00D80854" w:rsidRDefault="00BC52A8" w:rsidP="00BC52A8">
            <w:pPr>
              <w:spacing w:after="20"/>
              <w:jc w:val="center"/>
              <w:rPr>
                <w:rFonts w:ascii="Arial Narrow" w:eastAsia="Calibri" w:hAnsi="Arial Narrow" w:cs="Calibri"/>
                <w:i/>
                <w:szCs w:val="18"/>
              </w:rPr>
            </w:pPr>
            <w:r>
              <w:rPr>
                <w:rFonts w:ascii="Arial Narrow" w:eastAsia="Calibri" w:hAnsi="Arial Narrow" w:cs="Calibri"/>
                <w:i/>
                <w:szCs w:val="18"/>
              </w:rPr>
              <w:t>Dominant</w:t>
            </w:r>
          </w:p>
        </w:tc>
        <w:tc>
          <w:tcPr>
            <w:tcW w:w="1650" w:type="dxa"/>
            <w:noWrap/>
          </w:tcPr>
          <w:p w14:paraId="4F75BF20" w14:textId="77777777" w:rsidR="00BC52A8" w:rsidRPr="00DA20E7" w:rsidRDefault="00BC52A8" w:rsidP="00BC52A8">
            <w:pPr>
              <w:spacing w:after="20"/>
              <w:jc w:val="center"/>
              <w:rPr>
                <w:rFonts w:ascii="Arial Narrow" w:eastAsia="Calibri" w:hAnsi="Arial Narrow" w:cs="Calibri"/>
                <w:i/>
                <w:szCs w:val="18"/>
                <w:highlight w:val="yellow"/>
              </w:rPr>
            </w:pPr>
            <w:r w:rsidRPr="00A93B72">
              <w:rPr>
                <w:rFonts w:ascii="Arial Narrow" w:eastAsia="Calibri" w:hAnsi="Arial Narrow" w:cs="Calibri"/>
                <w:i/>
                <w:szCs w:val="18"/>
              </w:rPr>
              <w:t xml:space="preserve">Moderate impact – favours </w:t>
            </w:r>
            <w:r w:rsidRPr="00A93B72">
              <w:rPr>
                <w:rFonts w:ascii="Arial Narrow" w:eastAsia="Calibri" w:hAnsi="Arial Narrow" w:cs="Calibri"/>
                <w:szCs w:val="18"/>
              </w:rPr>
              <w:t>ECP</w:t>
            </w:r>
          </w:p>
        </w:tc>
      </w:tr>
      <w:tr w:rsidR="00BC52A8" w:rsidRPr="00EE578D" w14:paraId="460BCEA8" w14:textId="77777777" w:rsidTr="00BC52A8">
        <w:trPr>
          <w:trHeight w:val="300"/>
        </w:trPr>
        <w:tc>
          <w:tcPr>
            <w:tcW w:w="3539" w:type="dxa"/>
            <w:noWrap/>
          </w:tcPr>
          <w:p w14:paraId="603F5D20" w14:textId="77777777" w:rsidR="00BC52A8" w:rsidRPr="00D80854" w:rsidRDefault="00BC52A8" w:rsidP="00BC52A8">
            <w:pPr>
              <w:spacing w:before="20" w:after="20"/>
              <w:ind w:right="113"/>
              <w:rPr>
                <w:rFonts w:ascii="Arial Narrow" w:eastAsia="Calibri" w:hAnsi="Arial Narrow" w:cs="Calibri"/>
                <w:i/>
                <w:szCs w:val="16"/>
              </w:rPr>
            </w:pPr>
            <w:r>
              <w:rPr>
                <w:rFonts w:ascii="Arial Narrow" w:eastAsia="Calibri" w:hAnsi="Arial Narrow" w:cs="Calibri"/>
                <w:i/>
                <w:szCs w:val="16"/>
              </w:rPr>
              <w:t xml:space="preserve">10. </w:t>
            </w:r>
            <w:r w:rsidRPr="00D80854">
              <w:rPr>
                <w:rFonts w:ascii="Arial Narrow" w:eastAsia="Calibri" w:hAnsi="Arial Narrow" w:cs="Calibri"/>
                <w:i/>
                <w:szCs w:val="16"/>
              </w:rPr>
              <w:t>ECP utility adjusted</w:t>
            </w:r>
            <w:r>
              <w:rPr>
                <w:rFonts w:ascii="Arial Narrow" w:eastAsia="Calibri" w:hAnsi="Arial Narrow" w:cs="Calibri"/>
                <w:i/>
                <w:szCs w:val="16"/>
              </w:rPr>
              <w:t xml:space="preserve"> for median time to response (10 months)</w:t>
            </w:r>
            <w:r w:rsidRPr="00791F87">
              <w:rPr>
                <w:rFonts w:ascii="Arial Narrow" w:eastAsia="Calibri" w:hAnsi="Arial Narrow" w:cs="Calibri"/>
                <w:i/>
                <w:szCs w:val="16"/>
              </w:rPr>
              <w:t xml:space="preserve"> </w:t>
            </w:r>
            <w:r>
              <w:rPr>
                <w:rFonts w:ascii="Arial Narrow" w:eastAsia="Calibri" w:hAnsi="Arial Narrow" w:cs="Calibri"/>
                <w:i/>
                <w:szCs w:val="16"/>
                <w:vertAlign w:val="superscript"/>
              </w:rPr>
              <w:t>b</w:t>
            </w:r>
          </w:p>
        </w:tc>
        <w:tc>
          <w:tcPr>
            <w:tcW w:w="1418" w:type="dxa"/>
            <w:noWrap/>
          </w:tcPr>
          <w:p w14:paraId="79E48D55" w14:textId="77777777" w:rsidR="00BC52A8" w:rsidRPr="00D80854" w:rsidRDefault="00BC52A8" w:rsidP="00BC52A8">
            <w:pPr>
              <w:spacing w:after="40"/>
              <w:jc w:val="center"/>
              <w:rPr>
                <w:rFonts w:ascii="Arial Narrow" w:eastAsia="Calibri" w:hAnsi="Arial Narrow" w:cs="Calibri"/>
                <w:i/>
                <w:szCs w:val="18"/>
              </w:rPr>
            </w:pPr>
            <w:r w:rsidRPr="00D80854">
              <w:rPr>
                <w:rFonts w:ascii="Arial Narrow" w:eastAsia="Calibri" w:hAnsi="Arial Narrow" w:cs="Calibri"/>
                <w:i/>
                <w:szCs w:val="18"/>
              </w:rPr>
              <w:t>-$37,591.99</w:t>
            </w:r>
          </w:p>
        </w:tc>
        <w:tc>
          <w:tcPr>
            <w:tcW w:w="1276" w:type="dxa"/>
            <w:noWrap/>
          </w:tcPr>
          <w:p w14:paraId="500EE79F" w14:textId="77777777" w:rsidR="00BC52A8" w:rsidRPr="00D80854" w:rsidRDefault="00BC52A8" w:rsidP="00BC52A8">
            <w:pPr>
              <w:spacing w:after="40"/>
              <w:jc w:val="center"/>
              <w:rPr>
                <w:rFonts w:ascii="Arial Narrow" w:eastAsia="Calibri" w:hAnsi="Arial Narrow" w:cs="Calibri"/>
                <w:i/>
                <w:szCs w:val="18"/>
              </w:rPr>
            </w:pPr>
            <w:r w:rsidRPr="00D80854">
              <w:rPr>
                <w:rFonts w:ascii="Arial Narrow" w:eastAsia="Calibri" w:hAnsi="Arial Narrow" w:cs="Calibri"/>
                <w:i/>
                <w:szCs w:val="18"/>
              </w:rPr>
              <w:t>0.015</w:t>
            </w:r>
          </w:p>
        </w:tc>
        <w:tc>
          <w:tcPr>
            <w:tcW w:w="1275" w:type="dxa"/>
            <w:noWrap/>
          </w:tcPr>
          <w:p w14:paraId="66D88E69" w14:textId="77777777" w:rsidR="00BC52A8" w:rsidRPr="00DA20E7" w:rsidRDefault="00BC52A8" w:rsidP="00BC52A8">
            <w:pPr>
              <w:spacing w:after="40"/>
              <w:jc w:val="center"/>
              <w:rPr>
                <w:rFonts w:ascii="Arial Narrow" w:eastAsia="Calibri" w:hAnsi="Arial Narrow" w:cs="Calibri"/>
                <w:i/>
                <w:szCs w:val="18"/>
              </w:rPr>
            </w:pPr>
            <w:r w:rsidRPr="00A93B72">
              <w:rPr>
                <w:rFonts w:ascii="Arial Narrow" w:eastAsia="Calibri" w:hAnsi="Arial Narrow" w:cs="Calibri"/>
                <w:i/>
                <w:szCs w:val="18"/>
              </w:rPr>
              <w:t>Dominant</w:t>
            </w:r>
          </w:p>
        </w:tc>
        <w:tc>
          <w:tcPr>
            <w:tcW w:w="1650" w:type="dxa"/>
            <w:noWrap/>
          </w:tcPr>
          <w:p w14:paraId="1CDC2F35" w14:textId="77777777" w:rsidR="00BC52A8" w:rsidRPr="00A93B72" w:rsidRDefault="00BC52A8" w:rsidP="00BC52A8">
            <w:pPr>
              <w:spacing w:after="40"/>
              <w:jc w:val="center"/>
              <w:rPr>
                <w:rFonts w:ascii="Arial Narrow" w:eastAsia="Calibri" w:hAnsi="Arial Narrow" w:cs="Calibri"/>
                <w:i/>
                <w:szCs w:val="18"/>
              </w:rPr>
            </w:pPr>
            <w:r w:rsidRPr="00A93B72">
              <w:rPr>
                <w:rFonts w:ascii="Arial Narrow" w:eastAsia="Calibri" w:hAnsi="Arial Narrow" w:cs="Calibri"/>
                <w:i/>
                <w:szCs w:val="18"/>
              </w:rPr>
              <w:t xml:space="preserve">Low impact - favours </w:t>
            </w:r>
            <w:r w:rsidRPr="00A93B72">
              <w:rPr>
                <w:rFonts w:ascii="Arial Narrow" w:eastAsia="Calibri" w:hAnsi="Arial Narrow" w:cs="Calibri"/>
                <w:szCs w:val="18"/>
              </w:rPr>
              <w:t>ECP</w:t>
            </w:r>
          </w:p>
        </w:tc>
      </w:tr>
      <w:tr w:rsidR="00BC52A8" w:rsidRPr="00EE578D" w14:paraId="1F34A729" w14:textId="77777777" w:rsidTr="00BC52A8">
        <w:trPr>
          <w:trHeight w:val="300"/>
        </w:trPr>
        <w:tc>
          <w:tcPr>
            <w:tcW w:w="3539" w:type="dxa"/>
            <w:noWrap/>
          </w:tcPr>
          <w:p w14:paraId="4E03EB08" w14:textId="77777777" w:rsidR="00BC52A8" w:rsidRPr="00D80854" w:rsidRDefault="00BC52A8" w:rsidP="00BC52A8">
            <w:pPr>
              <w:spacing w:before="20" w:after="20"/>
              <w:ind w:right="113"/>
              <w:rPr>
                <w:rFonts w:ascii="Arial Narrow" w:eastAsia="Calibri" w:hAnsi="Arial Narrow" w:cs="Calibri"/>
                <w:i/>
                <w:szCs w:val="16"/>
              </w:rPr>
            </w:pPr>
            <w:r>
              <w:rPr>
                <w:rFonts w:ascii="Arial Narrow" w:eastAsia="Calibri" w:hAnsi="Arial Narrow" w:cs="Calibri"/>
                <w:i/>
                <w:szCs w:val="16"/>
              </w:rPr>
              <w:t xml:space="preserve">11. </w:t>
            </w:r>
            <w:r w:rsidRPr="00D80854">
              <w:rPr>
                <w:rFonts w:ascii="Arial Narrow" w:eastAsia="Calibri" w:hAnsi="Arial Narrow" w:cs="Calibri"/>
                <w:i/>
                <w:szCs w:val="16"/>
              </w:rPr>
              <w:t>ECP cost adjusted to include capital cost of machine</w:t>
            </w:r>
            <w:r>
              <w:rPr>
                <w:rFonts w:ascii="Arial Narrow" w:eastAsia="Calibri" w:hAnsi="Arial Narrow" w:cs="Calibri"/>
                <w:i/>
                <w:szCs w:val="16"/>
              </w:rPr>
              <w:t xml:space="preserve"> (per patient, applied once) </w:t>
            </w:r>
            <w:r>
              <w:rPr>
                <w:rFonts w:ascii="Arial Narrow" w:eastAsia="Calibri" w:hAnsi="Arial Narrow" w:cs="Calibri"/>
                <w:i/>
                <w:szCs w:val="16"/>
                <w:vertAlign w:val="superscript"/>
              </w:rPr>
              <w:t>c</w:t>
            </w:r>
          </w:p>
        </w:tc>
        <w:tc>
          <w:tcPr>
            <w:tcW w:w="1418" w:type="dxa"/>
            <w:noWrap/>
          </w:tcPr>
          <w:p w14:paraId="075C703F" w14:textId="77777777" w:rsidR="00BC52A8" w:rsidRPr="00EE578D" w:rsidRDefault="00BC52A8" w:rsidP="00BC52A8">
            <w:pPr>
              <w:spacing w:after="40"/>
              <w:jc w:val="center"/>
              <w:rPr>
                <w:rFonts w:ascii="Arial Narrow" w:eastAsia="Calibri" w:hAnsi="Arial Narrow" w:cs="Calibri"/>
                <w:szCs w:val="18"/>
              </w:rPr>
            </w:pPr>
            <w:r>
              <w:rPr>
                <w:rFonts w:ascii="Arial Narrow" w:eastAsia="Calibri" w:hAnsi="Arial Narrow" w:cs="Calibri"/>
                <w:szCs w:val="18"/>
              </w:rPr>
              <w:t>-$35,551.18</w:t>
            </w:r>
          </w:p>
        </w:tc>
        <w:tc>
          <w:tcPr>
            <w:tcW w:w="1276" w:type="dxa"/>
            <w:noWrap/>
          </w:tcPr>
          <w:p w14:paraId="004AC84E" w14:textId="77777777" w:rsidR="00BC52A8" w:rsidRPr="00EE578D" w:rsidRDefault="00BC52A8" w:rsidP="00BC52A8">
            <w:pPr>
              <w:spacing w:after="40"/>
              <w:jc w:val="center"/>
              <w:rPr>
                <w:rFonts w:ascii="Arial Narrow" w:eastAsia="Calibri" w:hAnsi="Arial Narrow" w:cs="Calibri"/>
                <w:szCs w:val="18"/>
              </w:rPr>
            </w:pPr>
            <w:r>
              <w:rPr>
                <w:rFonts w:ascii="Arial Narrow" w:eastAsia="Calibri" w:hAnsi="Arial Narrow" w:cs="Calibri"/>
                <w:szCs w:val="18"/>
              </w:rPr>
              <w:t>0.20</w:t>
            </w:r>
          </w:p>
        </w:tc>
        <w:tc>
          <w:tcPr>
            <w:tcW w:w="1275" w:type="dxa"/>
            <w:noWrap/>
          </w:tcPr>
          <w:p w14:paraId="4FF2FA47" w14:textId="77777777" w:rsidR="00BC52A8" w:rsidRPr="00957E63" w:rsidRDefault="00BC52A8" w:rsidP="00BC52A8">
            <w:pPr>
              <w:spacing w:after="40"/>
              <w:jc w:val="center"/>
              <w:rPr>
                <w:rFonts w:ascii="Arial Narrow" w:eastAsia="Calibri" w:hAnsi="Arial Narrow" w:cs="Calibri"/>
                <w:i/>
                <w:szCs w:val="18"/>
              </w:rPr>
            </w:pPr>
            <w:r w:rsidRPr="00957E63">
              <w:rPr>
                <w:rFonts w:ascii="Arial Narrow" w:eastAsia="Calibri" w:hAnsi="Arial Narrow" w:cs="Calibri"/>
                <w:i/>
                <w:szCs w:val="18"/>
              </w:rPr>
              <w:t>Dominant</w:t>
            </w:r>
          </w:p>
        </w:tc>
        <w:tc>
          <w:tcPr>
            <w:tcW w:w="1650" w:type="dxa"/>
            <w:noWrap/>
          </w:tcPr>
          <w:p w14:paraId="37785A80" w14:textId="77777777" w:rsidR="00BC52A8" w:rsidRPr="00A93B72" w:rsidRDefault="00BC52A8" w:rsidP="00BC52A8">
            <w:pPr>
              <w:spacing w:after="40"/>
              <w:jc w:val="center"/>
              <w:rPr>
                <w:rFonts w:ascii="Arial Narrow" w:eastAsia="Calibri" w:hAnsi="Arial Narrow" w:cs="Calibri"/>
                <w:i/>
                <w:szCs w:val="18"/>
              </w:rPr>
            </w:pPr>
            <w:r w:rsidRPr="00A93B72">
              <w:rPr>
                <w:rFonts w:ascii="Arial Narrow" w:eastAsia="Calibri" w:hAnsi="Arial Narrow" w:cs="Calibri"/>
                <w:i/>
                <w:szCs w:val="18"/>
              </w:rPr>
              <w:t xml:space="preserve">Low impact – favours </w:t>
            </w:r>
            <w:r w:rsidRPr="00A93B72">
              <w:rPr>
                <w:rFonts w:ascii="Arial Narrow" w:eastAsia="Calibri" w:hAnsi="Arial Narrow" w:cs="Calibri"/>
                <w:szCs w:val="18"/>
              </w:rPr>
              <w:t>ECP</w:t>
            </w:r>
          </w:p>
        </w:tc>
      </w:tr>
      <w:tr w:rsidR="00BC52A8" w:rsidRPr="00EE578D" w14:paraId="1DD2CEAB" w14:textId="77777777" w:rsidTr="00BC52A8">
        <w:trPr>
          <w:trHeight w:val="300"/>
        </w:trPr>
        <w:tc>
          <w:tcPr>
            <w:tcW w:w="3539" w:type="dxa"/>
            <w:noWrap/>
          </w:tcPr>
          <w:p w14:paraId="41FD8E63" w14:textId="58DF0C02" w:rsidR="00BC52A8" w:rsidRPr="00D80854" w:rsidRDefault="00BC52A8" w:rsidP="00AE6A42">
            <w:pPr>
              <w:spacing w:before="20" w:after="20"/>
              <w:ind w:right="113"/>
              <w:rPr>
                <w:rFonts w:ascii="Arial Narrow" w:eastAsia="Calibri" w:hAnsi="Arial Narrow" w:cs="Calibri"/>
                <w:i/>
                <w:szCs w:val="16"/>
              </w:rPr>
            </w:pPr>
            <w:r>
              <w:rPr>
                <w:rFonts w:ascii="Arial Narrow" w:eastAsia="Calibri" w:hAnsi="Arial Narrow" w:cs="Calibri"/>
                <w:i/>
                <w:szCs w:val="16"/>
              </w:rPr>
              <w:t xml:space="preserve">12. </w:t>
            </w:r>
            <w:r w:rsidRPr="00D80854">
              <w:rPr>
                <w:rFonts w:ascii="Arial Narrow" w:eastAsia="Calibri" w:hAnsi="Arial Narrow" w:cs="Calibri"/>
                <w:i/>
                <w:szCs w:val="16"/>
              </w:rPr>
              <w:t>ECP disutility applied (</w:t>
            </w:r>
            <w:r w:rsidR="00AE6A42">
              <w:rPr>
                <w:rFonts w:ascii="Arial Narrow" w:eastAsia="Calibri" w:hAnsi="Arial Narrow" w:cs="Calibri"/>
                <w:i/>
                <w:szCs w:val="16"/>
              </w:rPr>
              <w:t>for pulmonary embolism</w:t>
            </w:r>
            <w:r w:rsidRPr="00D80854">
              <w:rPr>
                <w:rFonts w:ascii="Arial Narrow" w:eastAsia="Calibri" w:hAnsi="Arial Narrow" w:cs="Calibri"/>
                <w:i/>
                <w:szCs w:val="16"/>
              </w:rPr>
              <w:t xml:space="preserve">, </w:t>
            </w:r>
            <w:r>
              <w:rPr>
                <w:rFonts w:ascii="Arial Narrow" w:eastAsia="Calibri" w:hAnsi="Arial Narrow" w:cs="Calibri"/>
                <w:i/>
                <w:szCs w:val="16"/>
              </w:rPr>
              <w:t>applied for one month</w:t>
            </w:r>
            <w:r w:rsidRPr="00D80854">
              <w:rPr>
                <w:rFonts w:ascii="Arial Narrow" w:eastAsia="Calibri" w:hAnsi="Arial Narrow" w:cs="Calibri"/>
                <w:i/>
                <w:szCs w:val="16"/>
              </w:rPr>
              <w:t>)</w:t>
            </w:r>
            <w:r>
              <w:rPr>
                <w:rFonts w:ascii="Arial Narrow" w:eastAsia="Calibri" w:hAnsi="Arial Narrow" w:cs="Calibri"/>
                <w:i/>
                <w:szCs w:val="16"/>
              </w:rPr>
              <w:t xml:space="preserve"> </w:t>
            </w:r>
            <w:r>
              <w:rPr>
                <w:rFonts w:ascii="Arial Narrow" w:eastAsia="Calibri" w:hAnsi="Arial Narrow" w:cs="Calibri"/>
                <w:i/>
                <w:szCs w:val="16"/>
                <w:vertAlign w:val="superscript"/>
              </w:rPr>
              <w:t>d</w:t>
            </w:r>
          </w:p>
        </w:tc>
        <w:tc>
          <w:tcPr>
            <w:tcW w:w="1418" w:type="dxa"/>
            <w:noWrap/>
          </w:tcPr>
          <w:p w14:paraId="374C322C" w14:textId="77777777" w:rsidR="00BC52A8" w:rsidRPr="00D80854" w:rsidRDefault="00BC52A8" w:rsidP="00BC52A8">
            <w:pPr>
              <w:spacing w:after="40"/>
              <w:jc w:val="center"/>
              <w:rPr>
                <w:rFonts w:ascii="Arial Narrow" w:eastAsia="Calibri" w:hAnsi="Arial Narrow" w:cs="Calibri"/>
                <w:i/>
                <w:szCs w:val="18"/>
              </w:rPr>
            </w:pPr>
            <w:r w:rsidRPr="00D80854">
              <w:rPr>
                <w:rFonts w:ascii="Arial Narrow" w:eastAsia="Calibri" w:hAnsi="Arial Narrow" w:cs="Calibri"/>
                <w:i/>
                <w:szCs w:val="18"/>
              </w:rPr>
              <w:t>-$37,591.99</w:t>
            </w:r>
          </w:p>
        </w:tc>
        <w:tc>
          <w:tcPr>
            <w:tcW w:w="1276" w:type="dxa"/>
            <w:noWrap/>
          </w:tcPr>
          <w:p w14:paraId="012DA365" w14:textId="77777777" w:rsidR="00BC52A8" w:rsidRPr="00D80854" w:rsidRDefault="00BC52A8" w:rsidP="00BC52A8">
            <w:pPr>
              <w:spacing w:after="40"/>
              <w:jc w:val="center"/>
              <w:rPr>
                <w:rFonts w:ascii="Arial Narrow" w:eastAsia="Calibri" w:hAnsi="Arial Narrow" w:cs="Calibri"/>
                <w:i/>
                <w:szCs w:val="18"/>
              </w:rPr>
            </w:pPr>
            <w:r w:rsidRPr="00D80854">
              <w:rPr>
                <w:rFonts w:ascii="Arial Narrow" w:eastAsia="Calibri" w:hAnsi="Arial Narrow" w:cs="Calibri"/>
                <w:i/>
                <w:szCs w:val="18"/>
              </w:rPr>
              <w:t>0.20</w:t>
            </w:r>
          </w:p>
        </w:tc>
        <w:tc>
          <w:tcPr>
            <w:tcW w:w="1275" w:type="dxa"/>
            <w:noWrap/>
          </w:tcPr>
          <w:p w14:paraId="4EE21243" w14:textId="77777777" w:rsidR="00BC52A8" w:rsidRPr="00D80854" w:rsidRDefault="00BC52A8" w:rsidP="00BC52A8">
            <w:pPr>
              <w:spacing w:after="40"/>
              <w:jc w:val="center"/>
              <w:rPr>
                <w:rFonts w:ascii="Arial Narrow" w:eastAsia="Calibri" w:hAnsi="Arial Narrow" w:cs="Calibri"/>
                <w:i/>
                <w:szCs w:val="18"/>
              </w:rPr>
            </w:pPr>
            <w:r>
              <w:rPr>
                <w:rFonts w:ascii="Arial Narrow" w:eastAsia="Calibri" w:hAnsi="Arial Narrow" w:cs="Calibri"/>
                <w:i/>
                <w:szCs w:val="18"/>
              </w:rPr>
              <w:t>Dominant</w:t>
            </w:r>
          </w:p>
        </w:tc>
        <w:tc>
          <w:tcPr>
            <w:tcW w:w="1650" w:type="dxa"/>
            <w:noWrap/>
          </w:tcPr>
          <w:p w14:paraId="51E37380" w14:textId="77777777" w:rsidR="00BC52A8" w:rsidRPr="00A93B72" w:rsidRDefault="00BC52A8" w:rsidP="00BC52A8">
            <w:pPr>
              <w:spacing w:after="40"/>
              <w:jc w:val="center"/>
              <w:rPr>
                <w:rFonts w:ascii="Arial Narrow" w:eastAsia="Calibri" w:hAnsi="Arial Narrow" w:cs="Calibri"/>
                <w:i/>
                <w:szCs w:val="18"/>
              </w:rPr>
            </w:pPr>
            <w:r w:rsidRPr="00A93B72">
              <w:rPr>
                <w:rFonts w:ascii="Arial Narrow" w:eastAsia="Calibri" w:hAnsi="Arial Narrow" w:cs="Calibri"/>
                <w:i/>
                <w:szCs w:val="18"/>
              </w:rPr>
              <w:t xml:space="preserve">Low impact – favours </w:t>
            </w:r>
            <w:r w:rsidRPr="00A93B72">
              <w:rPr>
                <w:rFonts w:ascii="Arial Narrow" w:eastAsia="Calibri" w:hAnsi="Arial Narrow" w:cs="Calibri"/>
                <w:szCs w:val="18"/>
              </w:rPr>
              <w:t>ECP</w:t>
            </w:r>
          </w:p>
        </w:tc>
      </w:tr>
      <w:tr w:rsidR="00BC52A8" w:rsidRPr="00EE578D" w14:paraId="165DF619" w14:textId="77777777" w:rsidTr="00BC52A8">
        <w:trPr>
          <w:trHeight w:val="300"/>
        </w:trPr>
        <w:tc>
          <w:tcPr>
            <w:tcW w:w="3539" w:type="dxa"/>
            <w:noWrap/>
          </w:tcPr>
          <w:p w14:paraId="3B4F2F71" w14:textId="77777777" w:rsidR="00BC52A8" w:rsidRDefault="00BC52A8" w:rsidP="00BC52A8">
            <w:pPr>
              <w:spacing w:before="20" w:after="20"/>
              <w:ind w:right="113"/>
              <w:rPr>
                <w:rFonts w:ascii="Arial Narrow" w:eastAsia="Calibri" w:hAnsi="Arial Narrow" w:cs="Calibri"/>
                <w:i/>
                <w:szCs w:val="16"/>
              </w:rPr>
            </w:pPr>
            <w:r>
              <w:rPr>
                <w:rFonts w:ascii="Arial Narrow" w:eastAsia="Calibri" w:hAnsi="Arial Narrow" w:cs="Calibri"/>
                <w:i/>
                <w:szCs w:val="16"/>
              </w:rPr>
              <w:t xml:space="preserve">13. Proportion of CD30+ patients reduced to 20% (base case = 80%) – </w:t>
            </w:r>
            <w:r w:rsidRPr="00DA20E7">
              <w:rPr>
                <w:rFonts w:ascii="Arial Narrow" w:eastAsia="Calibri" w:hAnsi="Arial Narrow" w:cs="Calibri"/>
                <w:b/>
                <w:i/>
                <w:szCs w:val="16"/>
              </w:rPr>
              <w:t>methotrexate becomes most cost-effective</w:t>
            </w:r>
          </w:p>
        </w:tc>
        <w:tc>
          <w:tcPr>
            <w:tcW w:w="1418" w:type="dxa"/>
            <w:noWrap/>
          </w:tcPr>
          <w:p w14:paraId="67DBDA2A" w14:textId="77777777" w:rsidR="00BC52A8" w:rsidRPr="00D80854" w:rsidRDefault="00BC52A8" w:rsidP="00BC52A8">
            <w:pPr>
              <w:spacing w:after="40"/>
              <w:jc w:val="center"/>
              <w:rPr>
                <w:rFonts w:ascii="Arial Narrow" w:eastAsia="Calibri" w:hAnsi="Arial Narrow" w:cs="Calibri"/>
                <w:i/>
                <w:szCs w:val="18"/>
              </w:rPr>
            </w:pPr>
            <w:r>
              <w:rPr>
                <w:rFonts w:ascii="Arial Narrow" w:eastAsia="Calibri" w:hAnsi="Arial Narrow" w:cs="Calibri"/>
                <w:i/>
                <w:szCs w:val="18"/>
              </w:rPr>
              <w:t>-$2,274.33</w:t>
            </w:r>
          </w:p>
        </w:tc>
        <w:tc>
          <w:tcPr>
            <w:tcW w:w="1276" w:type="dxa"/>
            <w:noWrap/>
          </w:tcPr>
          <w:p w14:paraId="784D6E79" w14:textId="77777777" w:rsidR="00BC52A8" w:rsidRPr="00D80854" w:rsidRDefault="00BC52A8" w:rsidP="00BC52A8">
            <w:pPr>
              <w:spacing w:after="40"/>
              <w:jc w:val="center"/>
              <w:rPr>
                <w:rFonts w:ascii="Arial Narrow" w:eastAsia="Calibri" w:hAnsi="Arial Narrow" w:cs="Calibri"/>
                <w:i/>
                <w:szCs w:val="18"/>
              </w:rPr>
            </w:pPr>
            <w:r>
              <w:rPr>
                <w:rFonts w:ascii="Arial Narrow" w:eastAsia="Calibri" w:hAnsi="Arial Narrow" w:cs="Calibri"/>
                <w:i/>
                <w:szCs w:val="18"/>
              </w:rPr>
              <w:t>0.21</w:t>
            </w:r>
          </w:p>
        </w:tc>
        <w:tc>
          <w:tcPr>
            <w:tcW w:w="1275" w:type="dxa"/>
            <w:noWrap/>
          </w:tcPr>
          <w:p w14:paraId="4D940367" w14:textId="77777777" w:rsidR="00BC52A8" w:rsidRDefault="00BC52A8" w:rsidP="00BC52A8">
            <w:pPr>
              <w:spacing w:after="40"/>
              <w:jc w:val="center"/>
              <w:rPr>
                <w:rFonts w:ascii="Arial Narrow" w:eastAsia="Calibri" w:hAnsi="Arial Narrow" w:cs="Calibri"/>
                <w:i/>
                <w:szCs w:val="18"/>
              </w:rPr>
            </w:pPr>
            <w:r>
              <w:rPr>
                <w:rFonts w:ascii="Arial Narrow" w:eastAsia="Calibri" w:hAnsi="Arial Narrow" w:cs="Calibri"/>
                <w:i/>
                <w:szCs w:val="18"/>
              </w:rPr>
              <w:t>Dominant</w:t>
            </w:r>
          </w:p>
        </w:tc>
        <w:tc>
          <w:tcPr>
            <w:tcW w:w="1650" w:type="dxa"/>
            <w:noWrap/>
          </w:tcPr>
          <w:p w14:paraId="4253728A" w14:textId="77777777" w:rsidR="00BC52A8" w:rsidRPr="00A93B72" w:rsidRDefault="00BC52A8" w:rsidP="00BC52A8">
            <w:pPr>
              <w:spacing w:after="40"/>
              <w:jc w:val="center"/>
              <w:rPr>
                <w:rFonts w:ascii="Arial Narrow" w:eastAsia="Calibri" w:hAnsi="Arial Narrow" w:cs="Calibri"/>
                <w:i/>
                <w:szCs w:val="18"/>
              </w:rPr>
            </w:pPr>
            <w:r w:rsidRPr="00A93B72">
              <w:rPr>
                <w:rFonts w:ascii="Arial Narrow" w:eastAsia="Calibri" w:hAnsi="Arial Narrow" w:cs="Calibri"/>
                <w:i/>
                <w:szCs w:val="18"/>
              </w:rPr>
              <w:t xml:space="preserve">Moderate impact – favours </w:t>
            </w:r>
            <w:r w:rsidRPr="00A93B72">
              <w:rPr>
                <w:rFonts w:ascii="Arial Narrow" w:eastAsia="Calibri" w:hAnsi="Arial Narrow" w:cs="Calibri"/>
                <w:szCs w:val="18"/>
              </w:rPr>
              <w:t>ECP</w:t>
            </w:r>
          </w:p>
        </w:tc>
      </w:tr>
    </w:tbl>
    <w:p w14:paraId="2DB6C804" w14:textId="2ABEAB82" w:rsidR="00BC52A8" w:rsidRPr="00EE578D" w:rsidRDefault="00BC52A8" w:rsidP="00BC52A8">
      <w:pPr>
        <w:pStyle w:val="TableFooter"/>
        <w:rPr>
          <w:rFonts w:eastAsia="Calibri"/>
        </w:rPr>
      </w:pPr>
      <w:r w:rsidRPr="00EE578D">
        <w:rPr>
          <w:rFonts w:eastAsia="Calibri"/>
        </w:rPr>
        <w:t>ECP</w:t>
      </w:r>
      <w:r>
        <w:rPr>
          <w:rFonts w:eastAsia="Calibri"/>
        </w:rPr>
        <w:t xml:space="preserve"> =</w:t>
      </w:r>
      <w:r w:rsidRPr="00EE578D">
        <w:rPr>
          <w:rFonts w:eastAsia="Calibri"/>
        </w:rPr>
        <w:t xml:space="preserve"> extracorporeal photopheresis; ICER</w:t>
      </w:r>
      <w:r>
        <w:rPr>
          <w:rFonts w:eastAsia="Calibri"/>
        </w:rPr>
        <w:t xml:space="preserve"> =</w:t>
      </w:r>
      <w:r w:rsidRPr="00EE578D">
        <w:rPr>
          <w:rFonts w:eastAsia="Calibri"/>
        </w:rPr>
        <w:t xml:space="preserve"> incremental cost-effectiveness ratio</w:t>
      </w:r>
      <w:r>
        <w:rPr>
          <w:rFonts w:eastAsia="Calibri"/>
        </w:rPr>
        <w:t xml:space="preserve">; </w:t>
      </w:r>
      <w:r>
        <w:t>QALY = quality-adjusted life year;</w:t>
      </w:r>
      <w:r w:rsidRPr="00EE578D">
        <w:rPr>
          <w:rFonts w:eastAsia="Calibri"/>
        </w:rPr>
        <w:t xml:space="preserve"> TTNT</w:t>
      </w:r>
      <w:r>
        <w:rPr>
          <w:rFonts w:eastAsia="Calibri"/>
        </w:rPr>
        <w:t xml:space="preserve"> =</w:t>
      </w:r>
      <w:r w:rsidRPr="00EE578D">
        <w:rPr>
          <w:rFonts w:eastAsia="Calibri"/>
        </w:rPr>
        <w:t xml:space="preserve"> time to next treatment</w:t>
      </w:r>
      <w:r>
        <w:rPr>
          <w:rFonts w:eastAsia="Calibri"/>
        </w:rPr>
        <w:t xml:space="preserve">; </w:t>
      </w:r>
      <w:r>
        <w:t xml:space="preserve">VCCC = </w:t>
      </w:r>
      <w:r w:rsidRPr="005B5A11">
        <w:t>Victorian Comprehensive Cancer Clinic</w:t>
      </w:r>
    </w:p>
    <w:p w14:paraId="58241E5D" w14:textId="1A9237B6" w:rsidR="00BC52A8" w:rsidRDefault="00BC52A8" w:rsidP="00BC52A8">
      <w:pPr>
        <w:pStyle w:val="TableFooter"/>
        <w:rPr>
          <w:rFonts w:eastAsia="Calibri"/>
          <w:i/>
        </w:rPr>
      </w:pPr>
      <w:r w:rsidRPr="00EE578D">
        <w:rPr>
          <w:rFonts w:eastAsia="Calibri"/>
        </w:rPr>
        <w:t xml:space="preserve">Source: </w:t>
      </w:r>
      <w:r>
        <w:rPr>
          <w:rFonts w:eastAsia="Calibri"/>
        </w:rPr>
        <w:t xml:space="preserve">Table 118, p199 of the resubmission; </w:t>
      </w:r>
      <w:r w:rsidRPr="00EE578D">
        <w:rPr>
          <w:rFonts w:eastAsia="Calibri"/>
        </w:rPr>
        <w:t>CTCL_ECP model calculations.xlsx workbook</w:t>
      </w:r>
      <w:r>
        <w:rPr>
          <w:rFonts w:eastAsia="Calibri"/>
        </w:rPr>
        <w:t xml:space="preserve">; </w:t>
      </w:r>
      <w:r w:rsidRPr="00EE578D">
        <w:rPr>
          <w:rFonts w:eastAsia="Calibri"/>
          <w:i/>
        </w:rPr>
        <w:t>a</w:t>
      </w:r>
      <w:r w:rsidR="00EA4493">
        <w:rPr>
          <w:rFonts w:eastAsia="Calibri"/>
          <w:i/>
        </w:rPr>
        <w:t>nd added during the evaluation.</w:t>
      </w:r>
    </w:p>
    <w:p w14:paraId="2F904F47" w14:textId="79ADAEB3" w:rsidR="00BC52A8" w:rsidRPr="00EE578D" w:rsidRDefault="00BC52A8" w:rsidP="00BC52A8">
      <w:pPr>
        <w:pStyle w:val="TableFooter"/>
        <w:rPr>
          <w:rFonts w:eastAsia="Calibri"/>
        </w:rPr>
      </w:pPr>
      <w:r w:rsidRPr="00DD6468">
        <w:rPr>
          <w:rFonts w:eastAsia="Calibri"/>
          <w:vertAlign w:val="superscript"/>
        </w:rPr>
        <w:t>a</w:t>
      </w:r>
      <w:r>
        <w:rPr>
          <w:rFonts w:eastAsia="Calibri"/>
        </w:rPr>
        <w:t xml:space="preserve"> Monthly cost of ECP adjusted to account for 2-consecutive day regimen as per Alfred </w:t>
      </w:r>
      <w:r w:rsidRPr="007E1B21">
        <w:rPr>
          <w:rFonts w:cs="Times New Roman"/>
          <w:i/>
          <w:color w:val="000000"/>
          <w:szCs w:val="18"/>
        </w:rPr>
        <w:t xml:space="preserve">et al, </w:t>
      </w:r>
      <w:r>
        <w:rPr>
          <w:rFonts w:eastAsia="Calibri"/>
        </w:rPr>
        <w:t xml:space="preserve">2017 (consisting of two episodes of ECP treatment every 2-4 weeks (average = 3 weeks; which is 2.89 sessions per month) and continuing on same frequency for those with complete, partial or minimal response resulted </w:t>
      </w:r>
      <w:r w:rsidR="00EA4493">
        <w:rPr>
          <w:rFonts w:eastAsia="Calibri"/>
        </w:rPr>
        <w:t>in a monthly cost of $</w:t>
      </w:r>
      <w:r w:rsidR="00C63650" w:rsidRPr="00C63650">
        <w:rPr>
          <w:rFonts w:eastAsia="Calibri"/>
          <w:b/>
        </w:rPr>
        <w:t>redacted</w:t>
      </w:r>
      <w:r w:rsidR="00EA4493">
        <w:rPr>
          <w:rFonts w:eastAsia="Calibri"/>
        </w:rPr>
        <w:t>.</w:t>
      </w:r>
    </w:p>
    <w:p w14:paraId="4E3E3487" w14:textId="77777777" w:rsidR="00BC52A8" w:rsidRDefault="00BC52A8" w:rsidP="00BC52A8">
      <w:pPr>
        <w:pStyle w:val="TableFooter"/>
        <w:rPr>
          <w:rFonts w:eastAsia="Calibri"/>
        </w:rPr>
      </w:pPr>
      <w:r>
        <w:rPr>
          <w:rFonts w:eastAsia="Calibri"/>
          <w:vertAlign w:val="superscript"/>
        </w:rPr>
        <w:t>b</w:t>
      </w:r>
      <w:r>
        <w:rPr>
          <w:rFonts w:eastAsia="Calibri"/>
        </w:rPr>
        <w:t xml:space="preserve"> ECP utility recalculated to account for 10 month median time to response for ECP in </w:t>
      </w:r>
      <w:r w:rsidRPr="007E1B21">
        <w:rPr>
          <w:rFonts w:eastAsia="Calibri"/>
        </w:rPr>
        <w:t xml:space="preserve">Arulogan </w:t>
      </w:r>
      <w:r w:rsidRPr="007E1B21">
        <w:rPr>
          <w:rFonts w:eastAsia="Calibri"/>
          <w:i/>
        </w:rPr>
        <w:t xml:space="preserve">et al, </w:t>
      </w:r>
      <w:r w:rsidRPr="007E1B21">
        <w:rPr>
          <w:rFonts w:eastAsia="Calibri"/>
        </w:rPr>
        <w:t>2008</w:t>
      </w:r>
      <w:r>
        <w:rPr>
          <w:rFonts w:eastAsia="Calibri"/>
        </w:rPr>
        <w:t>; Non-responder utility (0.59) applied for 10/12 months (0.83 of a year) plus the original ECP utility (0.73) accounting for CR/PR/NR applied for remaining 2/12 months (0.17 of a year) = 0.613 (yearly utility); applied to model per month (0.613/12 = 0.051).</w:t>
      </w:r>
    </w:p>
    <w:p w14:paraId="437201CC" w14:textId="121F05D4" w:rsidR="00BC52A8" w:rsidRDefault="00BC52A8" w:rsidP="00BC52A8">
      <w:pPr>
        <w:pStyle w:val="TableFooter"/>
        <w:rPr>
          <w:rFonts w:eastAsia="Calibri"/>
        </w:rPr>
      </w:pPr>
      <w:r>
        <w:rPr>
          <w:rFonts w:eastAsia="Calibri"/>
          <w:vertAlign w:val="superscript"/>
        </w:rPr>
        <w:t>c</w:t>
      </w:r>
      <w:r>
        <w:rPr>
          <w:rFonts w:eastAsia="Calibri"/>
        </w:rPr>
        <w:t xml:space="preserve"> ECP monthly cost recalculated to include capital cost of ECP machine (additional cost of $</w:t>
      </w:r>
      <w:r w:rsidR="00C63650" w:rsidRPr="00C63650">
        <w:rPr>
          <w:rFonts w:eastAsia="Calibri"/>
          <w:b/>
        </w:rPr>
        <w:t>redacted</w:t>
      </w:r>
      <w:r w:rsidR="00C63650" w:rsidDel="00C63650">
        <w:rPr>
          <w:rFonts w:eastAsia="Calibri"/>
        </w:rPr>
        <w:t xml:space="preserve"> </w:t>
      </w:r>
      <w:r>
        <w:rPr>
          <w:rFonts w:eastAsia="Calibri"/>
        </w:rPr>
        <w:t>per patient, added as a one-off cost in the first cycle of treatment)</w:t>
      </w:r>
    </w:p>
    <w:p w14:paraId="07BBD863" w14:textId="0DB3CDCF" w:rsidR="00BC52A8" w:rsidRDefault="00BC52A8" w:rsidP="00BC52A8">
      <w:pPr>
        <w:pStyle w:val="TableFooter"/>
        <w:spacing w:after="240"/>
        <w:rPr>
          <w:rFonts w:eastAsia="Calibri"/>
        </w:rPr>
      </w:pPr>
      <w:r>
        <w:rPr>
          <w:rFonts w:eastAsia="Calibri"/>
          <w:vertAlign w:val="superscript"/>
        </w:rPr>
        <w:t>d</w:t>
      </w:r>
      <w:r>
        <w:rPr>
          <w:rFonts w:eastAsia="Calibri"/>
        </w:rPr>
        <w:t xml:space="preserve"> ECP disutility adjusted to account for incidence of pulmonary embolism in VCCC cohort, following </w:t>
      </w:r>
      <w:r w:rsidRPr="002D44FC">
        <w:rPr>
          <w:rFonts w:eastAsia="Calibri"/>
        </w:rPr>
        <w:t xml:space="preserve">TGA warning regarding use of </w:t>
      </w:r>
      <w:r>
        <w:rPr>
          <w:rFonts w:eastAsia="Calibri"/>
        </w:rPr>
        <w:t xml:space="preserve">Therakos Cellex </w:t>
      </w:r>
      <w:r w:rsidRPr="002D44FC">
        <w:rPr>
          <w:rFonts w:eastAsia="Calibri"/>
        </w:rPr>
        <w:t xml:space="preserve">ECP </w:t>
      </w:r>
      <w:r>
        <w:rPr>
          <w:rFonts w:eastAsia="Calibri"/>
        </w:rPr>
        <w:t xml:space="preserve">device </w:t>
      </w:r>
      <w:r w:rsidRPr="002D44FC">
        <w:rPr>
          <w:rFonts w:eastAsia="Calibri"/>
        </w:rPr>
        <w:t>and the risk of thromboembolism</w:t>
      </w:r>
      <w:r>
        <w:rPr>
          <w:rFonts w:eastAsia="Calibri"/>
        </w:rPr>
        <w:t xml:space="preserve"> in </w:t>
      </w:r>
      <w:r w:rsidRPr="002D44FC">
        <w:rPr>
          <w:rFonts w:eastAsia="Calibri"/>
        </w:rPr>
        <w:t>February 2018</w:t>
      </w:r>
      <w:r>
        <w:rPr>
          <w:rFonts w:eastAsia="Calibri"/>
        </w:rPr>
        <w:t xml:space="preserve"> (see </w:t>
      </w:r>
      <w:r w:rsidRPr="002D44FC">
        <w:rPr>
          <w:rFonts w:eastAsia="Calibri"/>
        </w:rPr>
        <w:t>Section B</w:t>
      </w:r>
      <w:r>
        <w:rPr>
          <w:rFonts w:eastAsia="Calibri"/>
        </w:rPr>
        <w:t>.</w:t>
      </w:r>
      <w:r w:rsidRPr="002D44FC">
        <w:rPr>
          <w:rFonts w:eastAsia="Calibri"/>
        </w:rPr>
        <w:t>7</w:t>
      </w:r>
      <w:r>
        <w:rPr>
          <w:rFonts w:eastAsia="Calibri"/>
        </w:rPr>
        <w:t>)</w:t>
      </w:r>
      <w:r w:rsidRPr="002D44FC">
        <w:rPr>
          <w:rFonts w:eastAsia="Calibri"/>
        </w:rPr>
        <w:t>.</w:t>
      </w:r>
      <w:r>
        <w:rPr>
          <w:rFonts w:eastAsia="Calibri"/>
        </w:rPr>
        <w:t xml:space="preserve"> Based on data in the resubmission, the incidence of PE on treatment with Therakos Cellex was 2.2% (1 patient experienced PE on treatment, out of a total of 46 patients treated with this device, as per Table 7, p11 in Prince </w:t>
      </w:r>
      <w:r w:rsidRPr="007E1B21">
        <w:rPr>
          <w:rFonts w:cs="Times New Roman"/>
          <w:i/>
          <w:color w:val="000000"/>
          <w:szCs w:val="18"/>
        </w:rPr>
        <w:t xml:space="preserve">et al, </w:t>
      </w:r>
      <w:r>
        <w:rPr>
          <w:rFonts w:eastAsia="Calibri"/>
        </w:rPr>
        <w:t xml:space="preserve">2019). Combined with the PE disutility sourced from DeJong </w:t>
      </w:r>
      <w:r w:rsidRPr="007E1B21">
        <w:rPr>
          <w:rFonts w:cs="Times New Roman"/>
          <w:i/>
          <w:color w:val="000000"/>
          <w:szCs w:val="18"/>
        </w:rPr>
        <w:t xml:space="preserve">et al, </w:t>
      </w:r>
      <w:r>
        <w:rPr>
          <w:rFonts w:eastAsia="Calibri"/>
        </w:rPr>
        <w:t>2017 (-0.32), provides a disutility of -0.007 over 1 year and 0.001 per month; applied for the first cycle of treatment only.</w:t>
      </w:r>
    </w:p>
    <w:p w14:paraId="58E82F6E" w14:textId="5B3E83EE" w:rsidR="002A72F7" w:rsidRPr="002A72F7" w:rsidRDefault="003A2D37" w:rsidP="002A72F7">
      <w:pPr>
        <w:spacing w:after="240"/>
      </w:pPr>
      <w:r>
        <w:rPr>
          <w:rFonts w:eastAsia="Calibri"/>
        </w:rPr>
        <w:t>T</w:t>
      </w:r>
      <w:r w:rsidR="00120CE2">
        <w:rPr>
          <w:rFonts w:eastAsia="Calibri"/>
        </w:rPr>
        <w:t>he</w:t>
      </w:r>
      <w:r w:rsidR="00266239">
        <w:rPr>
          <w:rFonts w:eastAsia="Calibri"/>
        </w:rPr>
        <w:t xml:space="preserve"> </w:t>
      </w:r>
      <w:r>
        <w:rPr>
          <w:rFonts w:eastAsia="Calibri"/>
        </w:rPr>
        <w:t xml:space="preserve">applicant’s </w:t>
      </w:r>
      <w:r w:rsidR="00266239">
        <w:rPr>
          <w:rFonts w:eastAsia="Calibri"/>
        </w:rPr>
        <w:t xml:space="preserve">pre-MSAC response provided updated PBS prescribing data (April 2019- January 2020) for the </w:t>
      </w:r>
      <w:r w:rsidR="00266239">
        <w:t xml:space="preserve">proportional use of vorinostat and brentuximab vedotin, indicating </w:t>
      </w:r>
      <w:r w:rsidR="00266239" w:rsidRPr="006865BC">
        <w:t xml:space="preserve">the proportion of patients initiating brentuximab vedotin as a second-line treatment used in the weighted comparison presented in the </w:t>
      </w:r>
      <w:r w:rsidR="00F81D3C">
        <w:t>re</w:t>
      </w:r>
      <w:r>
        <w:t>submission of 9% i</w:t>
      </w:r>
      <w:r w:rsidR="00266239" w:rsidRPr="006865BC">
        <w:t>s likely conservative</w:t>
      </w:r>
      <w:r w:rsidR="00266239">
        <w:t xml:space="preserve"> (Table</w:t>
      </w:r>
      <w:r w:rsidR="00120CE2">
        <w:t xml:space="preserve"> 11).</w:t>
      </w:r>
      <w:bookmarkStart w:id="18" w:name="_Ref35419808"/>
      <w:r w:rsidR="002A72F7">
        <w:rPr>
          <w:rFonts w:ascii="Arial Narrow" w:hAnsi="Arial Narrow"/>
          <w:b/>
          <w:sz w:val="20"/>
        </w:rPr>
        <w:br w:type="page"/>
      </w:r>
    </w:p>
    <w:p w14:paraId="6A336208" w14:textId="362C3489" w:rsidR="00266239" w:rsidRPr="00181322" w:rsidRDefault="00266239" w:rsidP="00181322">
      <w:pPr>
        <w:rPr>
          <w:rFonts w:ascii="Arial Narrow" w:hAnsi="Arial Narrow"/>
          <w:b/>
          <w:sz w:val="20"/>
        </w:rPr>
      </w:pPr>
      <w:r w:rsidRPr="00181322">
        <w:rPr>
          <w:rFonts w:ascii="Arial Narrow" w:hAnsi="Arial Narrow"/>
          <w:b/>
          <w:sz w:val="20"/>
        </w:rPr>
        <w:lastRenderedPageBreak/>
        <w:t xml:space="preserve">Table </w:t>
      </w:r>
      <w:bookmarkEnd w:id="18"/>
      <w:r w:rsidRPr="00181322">
        <w:rPr>
          <w:rFonts w:ascii="Arial Narrow" w:hAnsi="Arial Narrow"/>
          <w:b/>
          <w:sz w:val="20"/>
        </w:rPr>
        <w:t>11</w:t>
      </w:r>
      <w:r w:rsidR="00B22DA6" w:rsidRPr="00181322">
        <w:rPr>
          <w:rFonts w:ascii="Arial Narrow" w:hAnsi="Arial Narrow"/>
          <w:b/>
          <w:sz w:val="20"/>
        </w:rPr>
        <w:t xml:space="preserve">: </w:t>
      </w:r>
      <w:r w:rsidRPr="00181322">
        <w:rPr>
          <w:rFonts w:ascii="Arial Narrow" w:hAnsi="Arial Narrow"/>
          <w:b/>
          <w:sz w:val="20"/>
        </w:rPr>
        <w:t xml:space="preserve">Updated proportional utilisation of vorinostat and brentuximab vedotin from April 2019 to January 2020, provided in </w:t>
      </w:r>
      <w:r w:rsidR="003A2D37" w:rsidRPr="00181322">
        <w:rPr>
          <w:rFonts w:ascii="Arial Narrow" w:hAnsi="Arial Narrow"/>
          <w:b/>
          <w:sz w:val="20"/>
        </w:rPr>
        <w:t xml:space="preserve">the applicant’s </w:t>
      </w:r>
      <w:r w:rsidRPr="00181322">
        <w:rPr>
          <w:rFonts w:ascii="Arial Narrow" w:hAnsi="Arial Narrow"/>
          <w:b/>
          <w:sz w:val="20"/>
        </w:rPr>
        <w:t>pre-MSAC response</w:t>
      </w:r>
    </w:p>
    <w:tbl>
      <w:tblPr>
        <w:tblStyle w:val="OPTUMTableNormal1"/>
        <w:tblW w:w="4999" w:type="pct"/>
        <w:tblLook w:val="04A0" w:firstRow="1" w:lastRow="0" w:firstColumn="1" w:lastColumn="0" w:noHBand="0" w:noVBand="1"/>
        <w:tblDescription w:val="Updated proportional utilisation of vorinostat and brentuximab vedotin from April 2019 to January 2020, provided in the applicant’s pre-MSAC response"/>
      </w:tblPr>
      <w:tblGrid>
        <w:gridCol w:w="2177"/>
        <w:gridCol w:w="1377"/>
        <w:gridCol w:w="1759"/>
        <w:gridCol w:w="824"/>
        <w:gridCol w:w="1242"/>
        <w:gridCol w:w="558"/>
        <w:gridCol w:w="1303"/>
      </w:tblGrid>
      <w:tr w:rsidR="00266239" w14:paraId="621B9E90" w14:textId="77777777" w:rsidTr="002A72F7">
        <w:trPr>
          <w:cnfStyle w:val="100000000000" w:firstRow="1" w:lastRow="0" w:firstColumn="0" w:lastColumn="0" w:oddVBand="0" w:evenVBand="0" w:oddHBand="0" w:evenHBand="0" w:firstRowFirstColumn="0" w:firstRowLastColumn="0" w:lastRowFirstColumn="0" w:lastRowLastColumn="0"/>
          <w:trHeight w:val="300"/>
          <w:tblHeader/>
        </w:trPr>
        <w:tc>
          <w:tcPr>
            <w:tcW w:w="1178" w:type="pct"/>
            <w:noWrap/>
            <w:hideMark/>
          </w:tcPr>
          <w:p w14:paraId="5044AF96" w14:textId="77777777" w:rsidR="00266239" w:rsidRPr="003B157C" w:rsidRDefault="00266239" w:rsidP="003623D3">
            <w:pPr>
              <w:pStyle w:val="Tabletext1"/>
              <w:ind w:left="32"/>
              <w:rPr>
                <w:b/>
                <w:bCs/>
              </w:rPr>
            </w:pPr>
            <w:r w:rsidRPr="003B157C">
              <w:rPr>
                <w:b/>
                <w:bCs/>
              </w:rPr>
              <w:t>Prescribing period</w:t>
            </w:r>
          </w:p>
        </w:tc>
        <w:tc>
          <w:tcPr>
            <w:tcW w:w="745" w:type="pct"/>
            <w:hideMark/>
          </w:tcPr>
          <w:p w14:paraId="7610EFCC" w14:textId="161735CE" w:rsidR="00266239" w:rsidRPr="003B157C" w:rsidRDefault="003A2D37" w:rsidP="003A2D37">
            <w:pPr>
              <w:pStyle w:val="Tabletext1"/>
              <w:ind w:left="72"/>
              <w:rPr>
                <w:b/>
                <w:bCs/>
              </w:rPr>
            </w:pPr>
            <w:r>
              <w:rPr>
                <w:b/>
                <w:bCs/>
              </w:rPr>
              <w:t>Medicine</w:t>
            </w:r>
          </w:p>
        </w:tc>
        <w:tc>
          <w:tcPr>
            <w:tcW w:w="952" w:type="pct"/>
            <w:hideMark/>
          </w:tcPr>
          <w:p w14:paraId="02CC4AF1" w14:textId="39D6BBAE" w:rsidR="00266239" w:rsidRPr="003B157C" w:rsidRDefault="00266239" w:rsidP="003623D3">
            <w:pPr>
              <w:pStyle w:val="Tabletext1"/>
              <w:ind w:left="76"/>
              <w:rPr>
                <w:b/>
                <w:bCs/>
              </w:rPr>
            </w:pPr>
            <w:r w:rsidRPr="003B157C">
              <w:rPr>
                <w:b/>
                <w:bCs/>
              </w:rPr>
              <w:t>PBS item</w:t>
            </w:r>
            <w:r w:rsidR="003A2D37">
              <w:rPr>
                <w:b/>
                <w:bCs/>
              </w:rPr>
              <w:t>s</w:t>
            </w:r>
          </w:p>
        </w:tc>
        <w:tc>
          <w:tcPr>
            <w:tcW w:w="446" w:type="pct"/>
            <w:noWrap/>
            <w:hideMark/>
          </w:tcPr>
          <w:p w14:paraId="7263AD54" w14:textId="77777777" w:rsidR="00266239" w:rsidRPr="003B157C" w:rsidRDefault="00266239" w:rsidP="00BF6B4E">
            <w:pPr>
              <w:pStyle w:val="Tabletext1"/>
              <w:ind w:left="32"/>
              <w:rPr>
                <w:b/>
                <w:bCs/>
              </w:rPr>
            </w:pPr>
            <w:r w:rsidRPr="003B157C">
              <w:rPr>
                <w:b/>
                <w:bCs/>
              </w:rPr>
              <w:t>Scripts</w:t>
            </w:r>
          </w:p>
        </w:tc>
        <w:tc>
          <w:tcPr>
            <w:tcW w:w="672" w:type="pct"/>
            <w:noWrap/>
            <w:hideMark/>
          </w:tcPr>
          <w:p w14:paraId="74FD6F0B" w14:textId="4C6BD770" w:rsidR="00266239" w:rsidRPr="003B157C" w:rsidRDefault="00266239" w:rsidP="00BF6B4E">
            <w:pPr>
              <w:pStyle w:val="Tabletext1"/>
              <w:ind w:left="20"/>
              <w:rPr>
                <w:b/>
                <w:bCs/>
              </w:rPr>
            </w:pPr>
            <w:r w:rsidRPr="003B157C">
              <w:rPr>
                <w:b/>
                <w:bCs/>
              </w:rPr>
              <w:t xml:space="preserve">Total </w:t>
            </w:r>
            <w:r w:rsidR="003623D3" w:rsidRPr="003B157C">
              <w:rPr>
                <w:b/>
                <w:bCs/>
              </w:rPr>
              <w:t>s</w:t>
            </w:r>
            <w:r w:rsidRPr="003B157C">
              <w:rPr>
                <w:b/>
                <w:bCs/>
              </w:rPr>
              <w:t>cripts</w:t>
            </w:r>
          </w:p>
        </w:tc>
        <w:tc>
          <w:tcPr>
            <w:tcW w:w="302" w:type="pct"/>
            <w:noWrap/>
            <w:hideMark/>
          </w:tcPr>
          <w:p w14:paraId="3999EFC2" w14:textId="77777777" w:rsidR="00266239" w:rsidRPr="003B157C" w:rsidRDefault="00266239" w:rsidP="003623D3">
            <w:pPr>
              <w:pStyle w:val="Tabletext1"/>
              <w:ind w:left="0"/>
              <w:rPr>
                <w:b/>
                <w:bCs/>
              </w:rPr>
            </w:pPr>
            <w:r w:rsidRPr="003B157C">
              <w:rPr>
                <w:b/>
                <w:bCs/>
              </w:rPr>
              <w:t>%</w:t>
            </w:r>
          </w:p>
        </w:tc>
        <w:tc>
          <w:tcPr>
            <w:tcW w:w="705" w:type="pct"/>
            <w:noWrap/>
            <w:hideMark/>
          </w:tcPr>
          <w:p w14:paraId="618FBB91" w14:textId="77777777" w:rsidR="00266239" w:rsidRPr="003B157C" w:rsidRDefault="00266239" w:rsidP="00BF6B4E">
            <w:pPr>
              <w:pStyle w:val="Tabletext1"/>
              <w:ind w:left="57"/>
              <w:rPr>
                <w:b/>
                <w:bCs/>
                <w:vertAlign w:val="superscript"/>
              </w:rPr>
            </w:pPr>
            <w:r w:rsidRPr="003B157C">
              <w:rPr>
                <w:b/>
                <w:bCs/>
              </w:rPr>
              <w:t xml:space="preserve">Adjusted % </w:t>
            </w:r>
            <w:r w:rsidRPr="003B157C">
              <w:rPr>
                <w:b/>
                <w:bCs/>
                <w:vertAlign w:val="superscript"/>
              </w:rPr>
              <w:t>a</w:t>
            </w:r>
          </w:p>
        </w:tc>
      </w:tr>
      <w:tr w:rsidR="00266239" w14:paraId="6833E774" w14:textId="77777777" w:rsidTr="002A72F7">
        <w:trPr>
          <w:trHeight w:val="300"/>
        </w:trPr>
        <w:tc>
          <w:tcPr>
            <w:tcW w:w="1178" w:type="pct"/>
            <w:vMerge w:val="restart"/>
            <w:noWrap/>
            <w:hideMark/>
          </w:tcPr>
          <w:p w14:paraId="589EE1F0" w14:textId="77777777" w:rsidR="00266239" w:rsidRDefault="00266239" w:rsidP="003A2D37">
            <w:pPr>
              <w:pStyle w:val="Tabletext1"/>
              <w:ind w:left="0"/>
            </w:pPr>
            <w:r>
              <w:t>April 2019</w:t>
            </w:r>
            <w:r>
              <w:softHyphen/>
              <w:t>–June 2019</w:t>
            </w:r>
          </w:p>
        </w:tc>
        <w:tc>
          <w:tcPr>
            <w:tcW w:w="745" w:type="pct"/>
            <w:hideMark/>
          </w:tcPr>
          <w:p w14:paraId="624E960B" w14:textId="77777777" w:rsidR="00266239" w:rsidRDefault="00266239" w:rsidP="003623D3">
            <w:pPr>
              <w:pStyle w:val="Tabletext1"/>
              <w:ind w:left="72"/>
            </w:pPr>
            <w:r>
              <w:t>Vorinostat</w:t>
            </w:r>
          </w:p>
        </w:tc>
        <w:tc>
          <w:tcPr>
            <w:tcW w:w="952" w:type="pct"/>
            <w:hideMark/>
          </w:tcPr>
          <w:p w14:paraId="7BDF0660" w14:textId="77777777" w:rsidR="00266239" w:rsidRDefault="00266239" w:rsidP="003623D3">
            <w:pPr>
              <w:pStyle w:val="Tabletext1"/>
              <w:ind w:left="76"/>
              <w:jc w:val="left"/>
            </w:pPr>
            <w:r>
              <w:t>11138F, 11141J</w:t>
            </w:r>
          </w:p>
        </w:tc>
        <w:tc>
          <w:tcPr>
            <w:tcW w:w="446" w:type="pct"/>
            <w:noWrap/>
            <w:hideMark/>
          </w:tcPr>
          <w:p w14:paraId="36047DAC" w14:textId="77777777" w:rsidR="00266239" w:rsidRDefault="00266239" w:rsidP="00BF6B4E">
            <w:pPr>
              <w:pStyle w:val="Tabletext1"/>
            </w:pPr>
            <w:r>
              <w:t>39</w:t>
            </w:r>
          </w:p>
        </w:tc>
        <w:tc>
          <w:tcPr>
            <w:tcW w:w="672" w:type="pct"/>
            <w:vMerge w:val="restart"/>
            <w:noWrap/>
            <w:hideMark/>
          </w:tcPr>
          <w:p w14:paraId="6555FF6E" w14:textId="77777777" w:rsidR="00266239" w:rsidRDefault="00266239" w:rsidP="00BF6B4E">
            <w:pPr>
              <w:pStyle w:val="Tabletext1"/>
            </w:pPr>
            <w:r>
              <w:t>67</w:t>
            </w:r>
          </w:p>
        </w:tc>
        <w:tc>
          <w:tcPr>
            <w:tcW w:w="302" w:type="pct"/>
            <w:noWrap/>
            <w:hideMark/>
          </w:tcPr>
          <w:p w14:paraId="2F3517E6" w14:textId="77777777" w:rsidR="00266239" w:rsidRDefault="00266239" w:rsidP="003623D3">
            <w:pPr>
              <w:pStyle w:val="Tabletext1"/>
              <w:ind w:left="0"/>
            </w:pPr>
            <w:r>
              <w:t>58%</w:t>
            </w:r>
          </w:p>
        </w:tc>
        <w:tc>
          <w:tcPr>
            <w:tcW w:w="705" w:type="pct"/>
            <w:noWrap/>
            <w:hideMark/>
          </w:tcPr>
          <w:p w14:paraId="22E28C7A" w14:textId="77777777" w:rsidR="00266239" w:rsidRDefault="00266239" w:rsidP="00BF6B4E">
            <w:pPr>
              <w:pStyle w:val="Tabletext1"/>
            </w:pPr>
            <w:r>
              <w:t>13%</w:t>
            </w:r>
          </w:p>
        </w:tc>
      </w:tr>
      <w:tr w:rsidR="00266239" w14:paraId="4AB3A8CD" w14:textId="77777777" w:rsidTr="002A72F7">
        <w:trPr>
          <w:trHeight w:val="300"/>
        </w:trPr>
        <w:tc>
          <w:tcPr>
            <w:tcW w:w="1178" w:type="pct"/>
            <w:vMerge/>
            <w:hideMark/>
          </w:tcPr>
          <w:p w14:paraId="2A4343C1" w14:textId="77777777" w:rsidR="00266239" w:rsidRDefault="00266239" w:rsidP="003A2D37">
            <w:pPr>
              <w:pStyle w:val="Tabletext1"/>
              <w:ind w:left="0"/>
              <w:rPr>
                <w:lang w:val="en-US"/>
              </w:rPr>
            </w:pPr>
          </w:p>
        </w:tc>
        <w:tc>
          <w:tcPr>
            <w:tcW w:w="745" w:type="pct"/>
            <w:hideMark/>
          </w:tcPr>
          <w:p w14:paraId="718B0B31" w14:textId="4E0BA1DD" w:rsidR="00266239" w:rsidRDefault="00266239" w:rsidP="003A2D37">
            <w:pPr>
              <w:pStyle w:val="Tabletext1"/>
              <w:ind w:left="72"/>
            </w:pPr>
            <w:r>
              <w:t>B</w:t>
            </w:r>
            <w:r w:rsidR="003A2D37">
              <w:t>rentuximab vedotin</w:t>
            </w:r>
          </w:p>
        </w:tc>
        <w:tc>
          <w:tcPr>
            <w:tcW w:w="952" w:type="pct"/>
            <w:hideMark/>
          </w:tcPr>
          <w:p w14:paraId="7E394CF6" w14:textId="77777777" w:rsidR="00266239" w:rsidRDefault="00266239" w:rsidP="003623D3">
            <w:pPr>
              <w:pStyle w:val="Tabletext1"/>
              <w:ind w:left="76"/>
              <w:jc w:val="left"/>
            </w:pPr>
            <w:r>
              <w:t>11651F, 11660Q, 11661R, 11664X</w:t>
            </w:r>
          </w:p>
        </w:tc>
        <w:tc>
          <w:tcPr>
            <w:tcW w:w="446" w:type="pct"/>
            <w:noWrap/>
            <w:hideMark/>
          </w:tcPr>
          <w:p w14:paraId="774A6470" w14:textId="77777777" w:rsidR="00266239" w:rsidRDefault="00266239" w:rsidP="00BF6B4E">
            <w:pPr>
              <w:pStyle w:val="Tabletext1"/>
            </w:pPr>
            <w:r>
              <w:t>28</w:t>
            </w:r>
          </w:p>
        </w:tc>
        <w:tc>
          <w:tcPr>
            <w:tcW w:w="0" w:type="auto"/>
            <w:vMerge/>
            <w:hideMark/>
          </w:tcPr>
          <w:p w14:paraId="7BFC0C41" w14:textId="77777777" w:rsidR="00266239" w:rsidRDefault="00266239" w:rsidP="00BF6B4E">
            <w:pPr>
              <w:pStyle w:val="Tabletext1"/>
              <w:rPr>
                <w:lang w:val="en-US"/>
              </w:rPr>
            </w:pPr>
          </w:p>
        </w:tc>
        <w:tc>
          <w:tcPr>
            <w:tcW w:w="302" w:type="pct"/>
            <w:noWrap/>
            <w:hideMark/>
          </w:tcPr>
          <w:p w14:paraId="0F6F054A" w14:textId="77777777" w:rsidR="00266239" w:rsidRDefault="00266239" w:rsidP="003623D3">
            <w:pPr>
              <w:pStyle w:val="Tabletext1"/>
              <w:ind w:left="0"/>
            </w:pPr>
            <w:r>
              <w:t>42%</w:t>
            </w:r>
          </w:p>
        </w:tc>
        <w:tc>
          <w:tcPr>
            <w:tcW w:w="705" w:type="pct"/>
            <w:noWrap/>
            <w:hideMark/>
          </w:tcPr>
          <w:p w14:paraId="312A9C1C" w14:textId="77777777" w:rsidR="00266239" w:rsidRDefault="00266239" w:rsidP="00BF6B4E">
            <w:pPr>
              <w:pStyle w:val="Tabletext1"/>
            </w:pPr>
            <w:r>
              <w:t>9%</w:t>
            </w:r>
          </w:p>
        </w:tc>
      </w:tr>
      <w:tr w:rsidR="00266239" w14:paraId="7EFE171C" w14:textId="77777777" w:rsidTr="002A72F7">
        <w:trPr>
          <w:trHeight w:val="300"/>
        </w:trPr>
        <w:tc>
          <w:tcPr>
            <w:tcW w:w="1178" w:type="pct"/>
            <w:vMerge w:val="restart"/>
            <w:noWrap/>
            <w:hideMark/>
          </w:tcPr>
          <w:p w14:paraId="695F9703" w14:textId="77777777" w:rsidR="00266239" w:rsidRDefault="00266239" w:rsidP="003A2D37">
            <w:pPr>
              <w:pStyle w:val="Tabletext1"/>
              <w:ind w:left="0"/>
            </w:pPr>
            <w:r>
              <w:t>April 2019</w:t>
            </w:r>
            <w:r>
              <w:softHyphen/>
              <w:t>–January 2020</w:t>
            </w:r>
          </w:p>
        </w:tc>
        <w:tc>
          <w:tcPr>
            <w:tcW w:w="745" w:type="pct"/>
            <w:hideMark/>
          </w:tcPr>
          <w:p w14:paraId="1331466E" w14:textId="77777777" w:rsidR="00266239" w:rsidRDefault="00266239" w:rsidP="003623D3">
            <w:pPr>
              <w:pStyle w:val="Tabletext1"/>
              <w:ind w:left="72"/>
            </w:pPr>
            <w:r>
              <w:t>Vorinostat</w:t>
            </w:r>
          </w:p>
        </w:tc>
        <w:tc>
          <w:tcPr>
            <w:tcW w:w="952" w:type="pct"/>
            <w:hideMark/>
          </w:tcPr>
          <w:p w14:paraId="6467927F" w14:textId="77777777" w:rsidR="00266239" w:rsidRDefault="00266239" w:rsidP="003623D3">
            <w:pPr>
              <w:pStyle w:val="Tabletext1"/>
              <w:ind w:left="76"/>
              <w:jc w:val="left"/>
            </w:pPr>
            <w:r>
              <w:t>11138F, 11141J</w:t>
            </w:r>
          </w:p>
        </w:tc>
        <w:tc>
          <w:tcPr>
            <w:tcW w:w="446" w:type="pct"/>
            <w:noWrap/>
            <w:hideMark/>
          </w:tcPr>
          <w:p w14:paraId="746BF63D" w14:textId="77777777" w:rsidR="00266239" w:rsidRDefault="00266239" w:rsidP="00BF6B4E">
            <w:pPr>
              <w:pStyle w:val="Tabletext1"/>
            </w:pPr>
            <w:r>
              <w:t>128</w:t>
            </w:r>
          </w:p>
        </w:tc>
        <w:tc>
          <w:tcPr>
            <w:tcW w:w="672" w:type="pct"/>
            <w:vMerge w:val="restart"/>
            <w:noWrap/>
            <w:hideMark/>
          </w:tcPr>
          <w:p w14:paraId="6CD275C6" w14:textId="77777777" w:rsidR="00266239" w:rsidRDefault="00266239" w:rsidP="00BF6B4E">
            <w:pPr>
              <w:pStyle w:val="Tabletext1"/>
            </w:pPr>
            <w:r>
              <w:t>267</w:t>
            </w:r>
          </w:p>
        </w:tc>
        <w:tc>
          <w:tcPr>
            <w:tcW w:w="302" w:type="pct"/>
            <w:noWrap/>
            <w:hideMark/>
          </w:tcPr>
          <w:p w14:paraId="60FD1142" w14:textId="77777777" w:rsidR="00266239" w:rsidRDefault="00266239" w:rsidP="003623D3">
            <w:pPr>
              <w:pStyle w:val="Tabletext1"/>
              <w:ind w:left="0"/>
            </w:pPr>
            <w:r>
              <w:t>48%</w:t>
            </w:r>
          </w:p>
        </w:tc>
        <w:tc>
          <w:tcPr>
            <w:tcW w:w="705" w:type="pct"/>
            <w:noWrap/>
            <w:hideMark/>
          </w:tcPr>
          <w:p w14:paraId="678BF335" w14:textId="77777777" w:rsidR="00266239" w:rsidRDefault="00266239" w:rsidP="00BF6B4E">
            <w:pPr>
              <w:pStyle w:val="Tabletext1"/>
            </w:pPr>
            <w:r>
              <w:t>11%</w:t>
            </w:r>
          </w:p>
        </w:tc>
      </w:tr>
      <w:tr w:rsidR="003A2D37" w14:paraId="07DC6468" w14:textId="77777777" w:rsidTr="002A72F7">
        <w:trPr>
          <w:trHeight w:val="300"/>
        </w:trPr>
        <w:tc>
          <w:tcPr>
            <w:tcW w:w="1178" w:type="pct"/>
            <w:vMerge/>
            <w:hideMark/>
          </w:tcPr>
          <w:p w14:paraId="74C98BB9" w14:textId="77777777" w:rsidR="003A2D37" w:rsidRDefault="003A2D37" w:rsidP="003A2D37">
            <w:pPr>
              <w:pStyle w:val="Tabletext1"/>
              <w:rPr>
                <w:lang w:val="en-US"/>
              </w:rPr>
            </w:pPr>
          </w:p>
        </w:tc>
        <w:tc>
          <w:tcPr>
            <w:tcW w:w="745" w:type="pct"/>
            <w:hideMark/>
          </w:tcPr>
          <w:p w14:paraId="73023077" w14:textId="681FFA18" w:rsidR="003A2D37" w:rsidRDefault="003A2D37" w:rsidP="003A2D37">
            <w:pPr>
              <w:pStyle w:val="Tabletext1"/>
              <w:ind w:left="72"/>
            </w:pPr>
            <w:r>
              <w:t>Brentuximab vedotin</w:t>
            </w:r>
          </w:p>
        </w:tc>
        <w:tc>
          <w:tcPr>
            <w:tcW w:w="952" w:type="pct"/>
            <w:hideMark/>
          </w:tcPr>
          <w:p w14:paraId="360A339A" w14:textId="77777777" w:rsidR="003A2D37" w:rsidRDefault="003A2D37" w:rsidP="003A2D37">
            <w:pPr>
              <w:pStyle w:val="Tabletext1"/>
              <w:ind w:left="76"/>
              <w:jc w:val="left"/>
            </w:pPr>
            <w:r>
              <w:t>11651F, 11660Q, 11661R, 11664X</w:t>
            </w:r>
          </w:p>
        </w:tc>
        <w:tc>
          <w:tcPr>
            <w:tcW w:w="446" w:type="pct"/>
            <w:noWrap/>
            <w:hideMark/>
          </w:tcPr>
          <w:p w14:paraId="406A63DA" w14:textId="77777777" w:rsidR="003A2D37" w:rsidRDefault="003A2D37" w:rsidP="003A2D37">
            <w:pPr>
              <w:pStyle w:val="Tabletext1"/>
            </w:pPr>
            <w:r>
              <w:t>139</w:t>
            </w:r>
          </w:p>
        </w:tc>
        <w:tc>
          <w:tcPr>
            <w:tcW w:w="0" w:type="auto"/>
            <w:vMerge/>
            <w:hideMark/>
          </w:tcPr>
          <w:p w14:paraId="4C8571EB" w14:textId="77777777" w:rsidR="003A2D37" w:rsidRDefault="003A2D37" w:rsidP="003A2D37">
            <w:pPr>
              <w:pStyle w:val="Tabletext1"/>
              <w:rPr>
                <w:lang w:val="en-US"/>
              </w:rPr>
            </w:pPr>
          </w:p>
        </w:tc>
        <w:tc>
          <w:tcPr>
            <w:tcW w:w="302" w:type="pct"/>
            <w:noWrap/>
            <w:hideMark/>
          </w:tcPr>
          <w:p w14:paraId="36702867" w14:textId="77777777" w:rsidR="003A2D37" w:rsidRDefault="003A2D37" w:rsidP="003A2D37">
            <w:pPr>
              <w:pStyle w:val="Tabletext1"/>
              <w:ind w:left="0"/>
            </w:pPr>
            <w:r>
              <w:t>52%</w:t>
            </w:r>
          </w:p>
        </w:tc>
        <w:tc>
          <w:tcPr>
            <w:tcW w:w="705" w:type="pct"/>
            <w:noWrap/>
            <w:hideMark/>
          </w:tcPr>
          <w:p w14:paraId="07CABDB4" w14:textId="77777777" w:rsidR="003A2D37" w:rsidRDefault="003A2D37" w:rsidP="003A2D37">
            <w:pPr>
              <w:pStyle w:val="Tabletext1"/>
            </w:pPr>
            <w:r>
              <w:t>11%</w:t>
            </w:r>
          </w:p>
        </w:tc>
      </w:tr>
    </w:tbl>
    <w:p w14:paraId="2D049E3C" w14:textId="77777777" w:rsidR="00266239" w:rsidRDefault="00266239" w:rsidP="00266239">
      <w:pPr>
        <w:pStyle w:val="Tablenotes"/>
      </w:pPr>
      <w:r>
        <w:t>Source: Table 1, p3 of pre-MSAC response</w:t>
      </w:r>
    </w:p>
    <w:p w14:paraId="25371CF8" w14:textId="69CEAE10" w:rsidR="00266239" w:rsidRPr="003623D3" w:rsidRDefault="00266239" w:rsidP="00266239">
      <w:pPr>
        <w:pStyle w:val="Tablenotes"/>
        <w:rPr>
          <w:rFonts w:ascii="Calibri" w:eastAsia="Times New Roman" w:hAnsi="Calibri" w:cs="Tahoma"/>
          <w:lang w:eastAsia="en-AU"/>
        </w:rPr>
      </w:pPr>
      <w:r w:rsidRPr="003623D3">
        <w:rPr>
          <w:bCs/>
          <w:vertAlign w:val="superscript"/>
        </w:rPr>
        <w:t>a</w:t>
      </w:r>
      <w:r>
        <w:t xml:space="preserve"> adjusted for brentuximab vedotin and vorinostat having a total second-line treatment market share of 22%</w:t>
      </w:r>
    </w:p>
    <w:p w14:paraId="4C69094F" w14:textId="77777777" w:rsidR="004C605E" w:rsidRPr="00F715D1" w:rsidRDefault="004C605E" w:rsidP="004C605E">
      <w:pPr>
        <w:pStyle w:val="Heading1"/>
      </w:pPr>
      <w:r w:rsidRPr="00F715D1">
        <w:t>Financial/budgetary impacts</w:t>
      </w:r>
    </w:p>
    <w:p w14:paraId="5D878A1D" w14:textId="412FE6A8" w:rsidR="00BC52A8" w:rsidRDefault="00BC52A8" w:rsidP="00120CE2">
      <w:pPr>
        <w:spacing w:after="240"/>
      </w:pPr>
      <w:r w:rsidRPr="006D0048">
        <w:t>An epidemiological approach was used to estimate the financial implications of listing ECP and methoxsalen on the MBS and PBS</w:t>
      </w:r>
      <w:r>
        <w:t>/RPBS, respectively (Table 1</w:t>
      </w:r>
      <w:r w:rsidR="00266239">
        <w:t>2</w:t>
      </w:r>
      <w:r>
        <w:t>).</w:t>
      </w:r>
    </w:p>
    <w:p w14:paraId="33CA7040" w14:textId="3AB29F42" w:rsidR="00BC52A8" w:rsidRPr="002A72F7" w:rsidRDefault="00BC52A8" w:rsidP="002A72F7">
      <w:pPr>
        <w:rPr>
          <w:rFonts w:ascii="Arial Narrow" w:hAnsi="Arial Narrow"/>
          <w:b/>
          <w:sz w:val="20"/>
        </w:rPr>
      </w:pPr>
      <w:bookmarkStart w:id="19" w:name="_Ref26365116"/>
      <w:r w:rsidRPr="002A72F7">
        <w:rPr>
          <w:rFonts w:ascii="Arial Narrow" w:hAnsi="Arial Narrow"/>
          <w:b/>
          <w:sz w:val="20"/>
        </w:rPr>
        <w:t>Table</w:t>
      </w:r>
      <w:bookmarkEnd w:id="19"/>
      <w:r w:rsidRPr="002A72F7">
        <w:rPr>
          <w:rFonts w:ascii="Arial Narrow" w:hAnsi="Arial Narrow"/>
          <w:b/>
          <w:sz w:val="20"/>
        </w:rPr>
        <w:t xml:space="preserve"> 1</w:t>
      </w:r>
      <w:r w:rsidR="00266239" w:rsidRPr="002A72F7">
        <w:rPr>
          <w:rFonts w:ascii="Arial Narrow" w:hAnsi="Arial Narrow"/>
          <w:b/>
          <w:sz w:val="20"/>
        </w:rPr>
        <w:t>2</w:t>
      </w:r>
      <w:r w:rsidRPr="002A72F7">
        <w:rPr>
          <w:rFonts w:ascii="Arial Narrow" w:hAnsi="Arial Narrow"/>
          <w:b/>
          <w:sz w:val="20"/>
        </w:rPr>
        <w:t>: Estimated use and financial implications</w:t>
      </w:r>
    </w:p>
    <w:tbl>
      <w:tblPr>
        <w:tblStyle w:val="OPTUMTableNormal1"/>
        <w:tblW w:w="4877" w:type="pct"/>
        <w:tblLook w:val="04A0" w:firstRow="1" w:lastRow="0" w:firstColumn="1" w:lastColumn="0" w:noHBand="0" w:noVBand="1"/>
        <w:tblCaption w:val="Table 11: Estimated use and financial implications"/>
        <w:tblDescription w:val="This table provides a summary of the financial impact of the proposed new medical service and drug over the next five years."/>
      </w:tblPr>
      <w:tblGrid>
        <w:gridCol w:w="2483"/>
        <w:gridCol w:w="1307"/>
        <w:gridCol w:w="1307"/>
        <w:gridCol w:w="1307"/>
        <w:gridCol w:w="1307"/>
        <w:gridCol w:w="1304"/>
      </w:tblGrid>
      <w:tr w:rsidR="00C63650" w:rsidRPr="005E292E" w14:paraId="3647283F" w14:textId="77777777" w:rsidTr="002A72F7">
        <w:trPr>
          <w:cnfStyle w:val="100000000000" w:firstRow="1" w:lastRow="0" w:firstColumn="0" w:lastColumn="0" w:oddVBand="0" w:evenVBand="0" w:oddHBand="0" w:evenHBand="0" w:firstRowFirstColumn="0" w:firstRowLastColumn="0" w:lastRowFirstColumn="0" w:lastRowLastColumn="0"/>
          <w:trHeight w:val="300"/>
          <w:tblHeader/>
        </w:trPr>
        <w:tc>
          <w:tcPr>
            <w:tcW w:w="1377" w:type="pct"/>
          </w:tcPr>
          <w:p w14:paraId="7841086F" w14:textId="77777777" w:rsidR="00BC52A8" w:rsidRPr="002C50D7" w:rsidRDefault="00BC52A8" w:rsidP="00BC52A8">
            <w:pPr>
              <w:keepNext/>
              <w:tabs>
                <w:tab w:val="left" w:pos="851"/>
              </w:tabs>
              <w:spacing w:after="40"/>
              <w:ind w:left="851" w:hanging="851"/>
              <w:rPr>
                <w:rFonts w:ascii="Arial Narrow" w:hAnsi="Arial Narrow"/>
                <w:b/>
                <w:sz w:val="20"/>
              </w:rPr>
            </w:pPr>
            <w:r w:rsidRPr="002C50D7">
              <w:rPr>
                <w:rFonts w:ascii="Arial Narrow" w:hAnsi="Arial Narrow"/>
                <w:b/>
                <w:color w:val="FFFFFF" w:themeColor="background1"/>
                <w:sz w:val="20"/>
              </w:rPr>
              <w:t>-</w:t>
            </w:r>
          </w:p>
        </w:tc>
        <w:tc>
          <w:tcPr>
            <w:tcW w:w="725" w:type="pct"/>
          </w:tcPr>
          <w:p w14:paraId="71ED8B93" w14:textId="77777777" w:rsidR="00BC52A8" w:rsidRPr="002C50D7" w:rsidRDefault="00BC52A8" w:rsidP="00BC52A8">
            <w:pPr>
              <w:pStyle w:val="TableHeading9ptCent"/>
              <w:rPr>
                <w:sz w:val="20"/>
              </w:rPr>
            </w:pPr>
            <w:r w:rsidRPr="002C50D7">
              <w:rPr>
                <w:sz w:val="20"/>
              </w:rPr>
              <w:t>2020</w:t>
            </w:r>
          </w:p>
        </w:tc>
        <w:tc>
          <w:tcPr>
            <w:tcW w:w="725" w:type="pct"/>
          </w:tcPr>
          <w:p w14:paraId="41106CFB" w14:textId="77777777" w:rsidR="00BC52A8" w:rsidRPr="002C50D7" w:rsidRDefault="00BC52A8" w:rsidP="00BC52A8">
            <w:pPr>
              <w:pStyle w:val="TableHeading9ptCent"/>
              <w:rPr>
                <w:sz w:val="20"/>
              </w:rPr>
            </w:pPr>
            <w:r w:rsidRPr="002C50D7">
              <w:rPr>
                <w:sz w:val="20"/>
              </w:rPr>
              <w:t>2021</w:t>
            </w:r>
          </w:p>
        </w:tc>
        <w:tc>
          <w:tcPr>
            <w:tcW w:w="725" w:type="pct"/>
          </w:tcPr>
          <w:p w14:paraId="2E31A649" w14:textId="77777777" w:rsidR="00BC52A8" w:rsidRPr="002C50D7" w:rsidRDefault="00BC52A8" w:rsidP="00BC52A8">
            <w:pPr>
              <w:pStyle w:val="TableHeading9ptCent"/>
              <w:rPr>
                <w:sz w:val="20"/>
              </w:rPr>
            </w:pPr>
            <w:r w:rsidRPr="002C50D7">
              <w:rPr>
                <w:sz w:val="20"/>
              </w:rPr>
              <w:t>2022</w:t>
            </w:r>
          </w:p>
        </w:tc>
        <w:tc>
          <w:tcPr>
            <w:tcW w:w="725" w:type="pct"/>
          </w:tcPr>
          <w:p w14:paraId="41C514D6" w14:textId="77777777" w:rsidR="00BC52A8" w:rsidRPr="002C50D7" w:rsidRDefault="00BC52A8" w:rsidP="00BC52A8">
            <w:pPr>
              <w:pStyle w:val="TableHeading9ptCent"/>
              <w:rPr>
                <w:sz w:val="20"/>
              </w:rPr>
            </w:pPr>
            <w:r w:rsidRPr="002C50D7">
              <w:rPr>
                <w:sz w:val="20"/>
              </w:rPr>
              <w:t>2023</w:t>
            </w:r>
          </w:p>
        </w:tc>
        <w:tc>
          <w:tcPr>
            <w:tcW w:w="723" w:type="pct"/>
          </w:tcPr>
          <w:p w14:paraId="40BD392C" w14:textId="77777777" w:rsidR="00BC52A8" w:rsidRPr="002C50D7" w:rsidRDefault="00BC52A8" w:rsidP="00BC52A8">
            <w:pPr>
              <w:pStyle w:val="TableHeading9ptCent"/>
              <w:rPr>
                <w:sz w:val="20"/>
              </w:rPr>
            </w:pPr>
            <w:r w:rsidRPr="002C50D7">
              <w:rPr>
                <w:sz w:val="20"/>
              </w:rPr>
              <w:t>2024</w:t>
            </w:r>
          </w:p>
        </w:tc>
      </w:tr>
      <w:tr w:rsidR="00C63650" w:rsidRPr="005E292E" w14:paraId="096B4F42" w14:textId="77777777" w:rsidTr="002A72F7">
        <w:trPr>
          <w:trHeight w:val="300"/>
        </w:trPr>
        <w:tc>
          <w:tcPr>
            <w:tcW w:w="1377" w:type="pct"/>
          </w:tcPr>
          <w:p w14:paraId="62DFDBDD" w14:textId="77777777" w:rsidR="00BC52A8" w:rsidRPr="002C50D7" w:rsidRDefault="00BC52A8" w:rsidP="00BC52A8">
            <w:pPr>
              <w:widowControl w:val="0"/>
              <w:tabs>
                <w:tab w:val="left" w:pos="851"/>
              </w:tabs>
              <w:spacing w:after="40"/>
              <w:rPr>
                <w:rFonts w:ascii="Arial Narrow" w:hAnsi="Arial Narrow"/>
                <w:b/>
                <w:sz w:val="20"/>
              </w:rPr>
            </w:pPr>
            <w:r w:rsidRPr="002C50D7">
              <w:rPr>
                <w:rFonts w:ascii="Arial Narrow" w:hAnsi="Arial Narrow"/>
                <w:b/>
                <w:sz w:val="20"/>
              </w:rPr>
              <w:t>ECP</w:t>
            </w:r>
          </w:p>
        </w:tc>
        <w:tc>
          <w:tcPr>
            <w:tcW w:w="725" w:type="pct"/>
          </w:tcPr>
          <w:p w14:paraId="4102AB77" w14:textId="77777777" w:rsidR="00BC52A8" w:rsidRPr="002C50D7" w:rsidRDefault="00BC52A8" w:rsidP="00BC52A8">
            <w:pPr>
              <w:widowControl w:val="0"/>
              <w:spacing w:after="40"/>
              <w:jc w:val="right"/>
              <w:rPr>
                <w:rFonts w:ascii="Arial Narrow" w:hAnsi="Arial Narrow"/>
                <w:b/>
                <w:color w:val="FFFFFF" w:themeColor="background1"/>
                <w:sz w:val="20"/>
              </w:rPr>
            </w:pPr>
            <w:r w:rsidRPr="002C50D7">
              <w:rPr>
                <w:rFonts w:ascii="Arial Narrow" w:hAnsi="Arial Narrow"/>
                <w:b/>
                <w:color w:val="FFFFFF" w:themeColor="background1"/>
                <w:sz w:val="20"/>
              </w:rPr>
              <w:t>-</w:t>
            </w:r>
          </w:p>
        </w:tc>
        <w:tc>
          <w:tcPr>
            <w:tcW w:w="725" w:type="pct"/>
          </w:tcPr>
          <w:p w14:paraId="1E78C993" w14:textId="77777777" w:rsidR="00BC52A8" w:rsidRPr="002C50D7" w:rsidRDefault="00BC52A8" w:rsidP="00BC52A8">
            <w:pPr>
              <w:widowControl w:val="0"/>
              <w:spacing w:after="40"/>
              <w:jc w:val="right"/>
              <w:rPr>
                <w:rFonts w:ascii="Arial Narrow" w:hAnsi="Arial Narrow"/>
                <w:b/>
                <w:color w:val="FFFFFF" w:themeColor="background1"/>
                <w:sz w:val="20"/>
              </w:rPr>
            </w:pPr>
            <w:r w:rsidRPr="002C50D7">
              <w:rPr>
                <w:rFonts w:ascii="Arial Narrow" w:hAnsi="Arial Narrow"/>
                <w:b/>
                <w:color w:val="FFFFFF" w:themeColor="background1"/>
                <w:sz w:val="20"/>
              </w:rPr>
              <w:t>-</w:t>
            </w:r>
          </w:p>
        </w:tc>
        <w:tc>
          <w:tcPr>
            <w:tcW w:w="725" w:type="pct"/>
          </w:tcPr>
          <w:p w14:paraId="1AD9E1F9" w14:textId="77777777" w:rsidR="00BC52A8" w:rsidRPr="002C50D7" w:rsidRDefault="00BC52A8" w:rsidP="00BC52A8">
            <w:pPr>
              <w:widowControl w:val="0"/>
              <w:spacing w:after="40"/>
              <w:jc w:val="right"/>
              <w:rPr>
                <w:rFonts w:ascii="Arial Narrow" w:hAnsi="Arial Narrow"/>
                <w:b/>
                <w:color w:val="FFFFFF" w:themeColor="background1"/>
                <w:sz w:val="20"/>
              </w:rPr>
            </w:pPr>
            <w:r w:rsidRPr="002C50D7">
              <w:rPr>
                <w:rFonts w:ascii="Arial Narrow" w:hAnsi="Arial Narrow"/>
                <w:b/>
                <w:color w:val="FFFFFF" w:themeColor="background1"/>
                <w:sz w:val="20"/>
              </w:rPr>
              <w:t>-</w:t>
            </w:r>
          </w:p>
        </w:tc>
        <w:tc>
          <w:tcPr>
            <w:tcW w:w="725" w:type="pct"/>
          </w:tcPr>
          <w:p w14:paraId="33BED191" w14:textId="77777777" w:rsidR="00BC52A8" w:rsidRPr="002C50D7" w:rsidRDefault="00BC52A8" w:rsidP="00BC52A8">
            <w:pPr>
              <w:widowControl w:val="0"/>
              <w:spacing w:after="40"/>
              <w:jc w:val="right"/>
              <w:rPr>
                <w:rFonts w:ascii="Arial Narrow" w:hAnsi="Arial Narrow"/>
                <w:b/>
                <w:color w:val="FFFFFF" w:themeColor="background1"/>
                <w:sz w:val="20"/>
              </w:rPr>
            </w:pPr>
            <w:r w:rsidRPr="002C50D7">
              <w:rPr>
                <w:rFonts w:ascii="Arial Narrow" w:hAnsi="Arial Narrow"/>
                <w:b/>
                <w:color w:val="FFFFFF" w:themeColor="background1"/>
                <w:sz w:val="20"/>
              </w:rPr>
              <w:t>-</w:t>
            </w:r>
          </w:p>
        </w:tc>
        <w:tc>
          <w:tcPr>
            <w:tcW w:w="723" w:type="pct"/>
          </w:tcPr>
          <w:p w14:paraId="3A7A85C9" w14:textId="77777777" w:rsidR="00BC52A8" w:rsidRPr="002C50D7" w:rsidRDefault="00BC52A8" w:rsidP="00BC52A8">
            <w:pPr>
              <w:widowControl w:val="0"/>
              <w:spacing w:after="40"/>
              <w:jc w:val="right"/>
              <w:rPr>
                <w:rFonts w:ascii="Arial Narrow" w:hAnsi="Arial Narrow"/>
                <w:b/>
                <w:color w:val="FFFFFF" w:themeColor="background1"/>
                <w:sz w:val="20"/>
              </w:rPr>
            </w:pPr>
            <w:r w:rsidRPr="002C50D7">
              <w:rPr>
                <w:rFonts w:ascii="Arial Narrow" w:hAnsi="Arial Narrow"/>
                <w:b/>
                <w:color w:val="FFFFFF" w:themeColor="background1"/>
                <w:sz w:val="20"/>
              </w:rPr>
              <w:t>-</w:t>
            </w:r>
          </w:p>
        </w:tc>
      </w:tr>
      <w:tr w:rsidR="00C63650" w:rsidRPr="005E292E" w14:paraId="08919A4A" w14:textId="77777777" w:rsidTr="002A72F7">
        <w:trPr>
          <w:trHeight w:val="300"/>
        </w:trPr>
        <w:tc>
          <w:tcPr>
            <w:tcW w:w="1377" w:type="pct"/>
          </w:tcPr>
          <w:p w14:paraId="74CC4548" w14:textId="77777777" w:rsidR="00BC52A8" w:rsidRPr="002C50D7" w:rsidRDefault="00BC52A8" w:rsidP="00BC52A8">
            <w:pPr>
              <w:widowControl w:val="0"/>
              <w:tabs>
                <w:tab w:val="left" w:pos="851"/>
              </w:tabs>
              <w:spacing w:after="40"/>
              <w:ind w:left="851" w:hanging="851"/>
              <w:rPr>
                <w:rFonts w:ascii="Arial Narrow" w:hAnsi="Arial Narrow"/>
                <w:sz w:val="20"/>
                <w:vertAlign w:val="superscript"/>
              </w:rPr>
            </w:pPr>
            <w:r w:rsidRPr="002C50D7">
              <w:rPr>
                <w:rFonts w:ascii="Arial Narrow" w:hAnsi="Arial Narrow"/>
                <w:sz w:val="20"/>
              </w:rPr>
              <w:t>Eligible population T</w:t>
            </w:r>
            <w:r w:rsidRPr="002C50D7">
              <w:rPr>
                <w:rFonts w:ascii="Arial Narrow" w:hAnsi="Arial Narrow"/>
                <w:sz w:val="20"/>
                <w:vertAlign w:val="subscript"/>
              </w:rPr>
              <w:t xml:space="preserve">4 </w:t>
            </w:r>
            <w:r w:rsidRPr="002C50D7">
              <w:rPr>
                <w:rFonts w:ascii="Arial Narrow" w:hAnsi="Arial Narrow"/>
                <w:sz w:val="20"/>
              </w:rPr>
              <w:t>M</w:t>
            </w:r>
            <w:r w:rsidRPr="002C50D7">
              <w:rPr>
                <w:rFonts w:ascii="Arial Narrow" w:hAnsi="Arial Narrow"/>
                <w:sz w:val="20"/>
                <w:vertAlign w:val="subscript"/>
              </w:rPr>
              <w:t xml:space="preserve">0 </w:t>
            </w:r>
            <w:r w:rsidRPr="002C50D7">
              <w:rPr>
                <w:rFonts w:ascii="Arial Narrow" w:hAnsi="Arial Narrow"/>
                <w:sz w:val="20"/>
              </w:rPr>
              <w:t xml:space="preserve">CTCL </w:t>
            </w:r>
            <w:r w:rsidRPr="002C50D7">
              <w:rPr>
                <w:rFonts w:ascii="Arial Narrow" w:hAnsi="Arial Narrow"/>
                <w:sz w:val="20"/>
                <w:vertAlign w:val="superscript"/>
              </w:rPr>
              <w:t>a</w:t>
            </w:r>
          </w:p>
        </w:tc>
        <w:tc>
          <w:tcPr>
            <w:tcW w:w="725" w:type="pct"/>
          </w:tcPr>
          <w:p w14:paraId="5B8ABEBC" w14:textId="77777777" w:rsidR="00BC52A8" w:rsidRPr="002C50D7" w:rsidRDefault="00BC52A8" w:rsidP="00BC52A8">
            <w:pPr>
              <w:pStyle w:val="Tabletext1"/>
              <w:jc w:val="center"/>
              <w:rPr>
                <w:rFonts w:eastAsiaTheme="minorHAnsi"/>
                <w:highlight w:val="lightGray"/>
              </w:rPr>
            </w:pPr>
            <w:r w:rsidRPr="002C50D7">
              <w:t>406</w:t>
            </w:r>
          </w:p>
        </w:tc>
        <w:tc>
          <w:tcPr>
            <w:tcW w:w="725" w:type="pct"/>
          </w:tcPr>
          <w:p w14:paraId="74C41B91" w14:textId="77777777" w:rsidR="00BC52A8" w:rsidRPr="002C50D7" w:rsidRDefault="00BC52A8" w:rsidP="00BC52A8">
            <w:pPr>
              <w:pStyle w:val="Tabletext1"/>
              <w:jc w:val="center"/>
              <w:rPr>
                <w:rFonts w:eastAsiaTheme="minorHAnsi"/>
                <w:highlight w:val="lightGray"/>
              </w:rPr>
            </w:pPr>
            <w:r w:rsidRPr="002C50D7">
              <w:t>339</w:t>
            </w:r>
          </w:p>
        </w:tc>
        <w:tc>
          <w:tcPr>
            <w:tcW w:w="725" w:type="pct"/>
          </w:tcPr>
          <w:p w14:paraId="226291BF" w14:textId="77777777" w:rsidR="00BC52A8" w:rsidRPr="002C50D7" w:rsidRDefault="00BC52A8" w:rsidP="00BC52A8">
            <w:pPr>
              <w:pStyle w:val="Tabletext1"/>
              <w:jc w:val="center"/>
              <w:rPr>
                <w:rFonts w:eastAsiaTheme="minorHAnsi"/>
                <w:highlight w:val="lightGray"/>
              </w:rPr>
            </w:pPr>
            <w:r w:rsidRPr="002C50D7">
              <w:t>251</w:t>
            </w:r>
          </w:p>
        </w:tc>
        <w:tc>
          <w:tcPr>
            <w:tcW w:w="725" w:type="pct"/>
          </w:tcPr>
          <w:p w14:paraId="3A7E20D5" w14:textId="77777777" w:rsidR="00BC52A8" w:rsidRPr="002C50D7" w:rsidRDefault="00BC52A8" w:rsidP="00BC52A8">
            <w:pPr>
              <w:pStyle w:val="Tabletext1"/>
              <w:jc w:val="center"/>
              <w:rPr>
                <w:rFonts w:eastAsiaTheme="minorHAnsi"/>
                <w:highlight w:val="lightGray"/>
              </w:rPr>
            </w:pPr>
            <w:r w:rsidRPr="002C50D7">
              <w:t>165</w:t>
            </w:r>
          </w:p>
        </w:tc>
        <w:tc>
          <w:tcPr>
            <w:tcW w:w="723" w:type="pct"/>
          </w:tcPr>
          <w:p w14:paraId="13BE5A0F" w14:textId="77777777" w:rsidR="00BC52A8" w:rsidRPr="002C50D7" w:rsidRDefault="00BC52A8" w:rsidP="00BC52A8">
            <w:pPr>
              <w:pStyle w:val="Tabletext1"/>
              <w:jc w:val="center"/>
              <w:rPr>
                <w:rFonts w:eastAsiaTheme="minorHAnsi"/>
                <w:highlight w:val="lightGray"/>
              </w:rPr>
            </w:pPr>
            <w:r w:rsidRPr="002C50D7">
              <w:t>96</w:t>
            </w:r>
          </w:p>
        </w:tc>
      </w:tr>
      <w:tr w:rsidR="00C63650" w:rsidRPr="005E292E" w14:paraId="4A4DB8FB" w14:textId="77777777" w:rsidTr="002A72F7">
        <w:trPr>
          <w:trHeight w:val="300"/>
        </w:trPr>
        <w:tc>
          <w:tcPr>
            <w:tcW w:w="1377" w:type="pct"/>
          </w:tcPr>
          <w:p w14:paraId="54D8BC22" w14:textId="77777777" w:rsidR="00BC52A8" w:rsidRPr="002C50D7" w:rsidRDefault="00BC52A8" w:rsidP="00BC52A8">
            <w:pPr>
              <w:widowControl w:val="0"/>
              <w:tabs>
                <w:tab w:val="left" w:pos="851"/>
              </w:tabs>
              <w:spacing w:after="40"/>
              <w:ind w:left="851" w:hanging="851"/>
              <w:rPr>
                <w:rFonts w:ascii="Arial Narrow" w:hAnsi="Arial Narrow"/>
                <w:sz w:val="20"/>
                <w:vertAlign w:val="superscript"/>
              </w:rPr>
            </w:pPr>
            <w:r w:rsidRPr="002C50D7">
              <w:rPr>
                <w:rFonts w:ascii="Arial Narrow" w:hAnsi="Arial Narrow"/>
                <w:sz w:val="20"/>
              </w:rPr>
              <w:t xml:space="preserve">Patients treated </w:t>
            </w:r>
            <w:r w:rsidRPr="002C50D7">
              <w:rPr>
                <w:rFonts w:ascii="Arial Narrow" w:hAnsi="Arial Narrow"/>
                <w:sz w:val="20"/>
                <w:vertAlign w:val="superscript"/>
              </w:rPr>
              <w:t>b</w:t>
            </w:r>
          </w:p>
        </w:tc>
        <w:tc>
          <w:tcPr>
            <w:tcW w:w="725" w:type="pct"/>
          </w:tcPr>
          <w:p w14:paraId="19B6477C" w14:textId="77777777" w:rsidR="00BC52A8" w:rsidRPr="002C50D7" w:rsidRDefault="00BC52A8" w:rsidP="00BC52A8">
            <w:pPr>
              <w:pStyle w:val="Tabletext1"/>
              <w:jc w:val="center"/>
              <w:rPr>
                <w:rFonts w:eastAsiaTheme="minorHAnsi"/>
                <w:highlight w:val="lightGray"/>
              </w:rPr>
            </w:pPr>
            <w:r w:rsidRPr="002C50D7">
              <w:t>81</w:t>
            </w:r>
          </w:p>
        </w:tc>
        <w:tc>
          <w:tcPr>
            <w:tcW w:w="725" w:type="pct"/>
          </w:tcPr>
          <w:p w14:paraId="00E11F71" w14:textId="77777777" w:rsidR="00BC52A8" w:rsidRPr="002C50D7" w:rsidRDefault="00BC52A8" w:rsidP="00BC52A8">
            <w:pPr>
              <w:pStyle w:val="Tabletext1"/>
              <w:jc w:val="center"/>
              <w:rPr>
                <w:rFonts w:eastAsiaTheme="minorHAnsi"/>
                <w:highlight w:val="lightGray"/>
              </w:rPr>
            </w:pPr>
            <w:r w:rsidRPr="002C50D7">
              <w:t>102</w:t>
            </w:r>
          </w:p>
        </w:tc>
        <w:tc>
          <w:tcPr>
            <w:tcW w:w="725" w:type="pct"/>
          </w:tcPr>
          <w:p w14:paraId="577FD8CA" w14:textId="77777777" w:rsidR="00BC52A8" w:rsidRPr="002C50D7" w:rsidRDefault="00BC52A8" w:rsidP="00BC52A8">
            <w:pPr>
              <w:pStyle w:val="Tabletext1"/>
              <w:jc w:val="center"/>
              <w:rPr>
                <w:rFonts w:eastAsiaTheme="minorHAnsi"/>
                <w:highlight w:val="lightGray"/>
              </w:rPr>
            </w:pPr>
            <w:r w:rsidRPr="002C50D7">
              <w:t>100</w:t>
            </w:r>
          </w:p>
        </w:tc>
        <w:tc>
          <w:tcPr>
            <w:tcW w:w="725" w:type="pct"/>
          </w:tcPr>
          <w:p w14:paraId="5EAC93B3" w14:textId="77777777" w:rsidR="00BC52A8" w:rsidRPr="002C50D7" w:rsidRDefault="00BC52A8" w:rsidP="00BC52A8">
            <w:pPr>
              <w:pStyle w:val="Tabletext1"/>
              <w:jc w:val="center"/>
              <w:rPr>
                <w:rFonts w:eastAsiaTheme="minorHAnsi"/>
                <w:highlight w:val="lightGray"/>
              </w:rPr>
            </w:pPr>
            <w:r w:rsidRPr="002C50D7">
              <w:t>83</w:t>
            </w:r>
          </w:p>
        </w:tc>
        <w:tc>
          <w:tcPr>
            <w:tcW w:w="723" w:type="pct"/>
          </w:tcPr>
          <w:p w14:paraId="1DAB28EC" w14:textId="77777777" w:rsidR="00BC52A8" w:rsidRPr="002C50D7" w:rsidRDefault="00BC52A8" w:rsidP="00BC52A8">
            <w:pPr>
              <w:pStyle w:val="Tabletext1"/>
              <w:jc w:val="center"/>
              <w:rPr>
                <w:rFonts w:eastAsiaTheme="minorHAnsi"/>
                <w:highlight w:val="lightGray"/>
              </w:rPr>
            </w:pPr>
            <w:r w:rsidRPr="002C50D7">
              <w:t>58</w:t>
            </w:r>
          </w:p>
        </w:tc>
      </w:tr>
      <w:tr w:rsidR="00C63650" w:rsidRPr="005E292E" w14:paraId="778BD03A" w14:textId="77777777" w:rsidTr="002A72F7">
        <w:trPr>
          <w:trHeight w:val="315"/>
        </w:trPr>
        <w:tc>
          <w:tcPr>
            <w:tcW w:w="1377" w:type="pct"/>
          </w:tcPr>
          <w:p w14:paraId="22BE4775" w14:textId="77777777" w:rsidR="00BC52A8" w:rsidRPr="002801E0" w:rsidRDefault="00BC52A8" w:rsidP="00BC52A8">
            <w:pPr>
              <w:widowControl w:val="0"/>
              <w:spacing w:after="40"/>
              <w:rPr>
                <w:rFonts w:ascii="Arial Narrow" w:hAnsi="Arial Narrow"/>
                <w:sz w:val="20"/>
              </w:rPr>
            </w:pPr>
            <w:r w:rsidRPr="002801E0">
              <w:rPr>
                <w:rFonts w:ascii="Arial Narrow" w:hAnsi="Arial Narrow"/>
                <w:sz w:val="20"/>
              </w:rPr>
              <w:t xml:space="preserve">MBS services </w:t>
            </w:r>
            <w:r w:rsidRPr="002801E0">
              <w:rPr>
                <w:rFonts w:ascii="Arial Narrow" w:hAnsi="Arial Narrow"/>
                <w:sz w:val="20"/>
                <w:vertAlign w:val="superscript"/>
              </w:rPr>
              <w:t>c</w:t>
            </w:r>
          </w:p>
        </w:tc>
        <w:tc>
          <w:tcPr>
            <w:tcW w:w="725" w:type="pct"/>
          </w:tcPr>
          <w:p w14:paraId="78C817E9" w14:textId="77777777" w:rsidR="00BC52A8" w:rsidRPr="002801E0" w:rsidRDefault="00BC52A8" w:rsidP="00BC52A8">
            <w:pPr>
              <w:pStyle w:val="Tabletext1"/>
              <w:jc w:val="center"/>
              <w:rPr>
                <w:iCs/>
              </w:rPr>
            </w:pPr>
            <w:r w:rsidRPr="002801E0">
              <w:rPr>
                <w:iCs/>
              </w:rPr>
              <w:t>1,458</w:t>
            </w:r>
          </w:p>
        </w:tc>
        <w:tc>
          <w:tcPr>
            <w:tcW w:w="725" w:type="pct"/>
          </w:tcPr>
          <w:p w14:paraId="2F4A3FA1" w14:textId="77777777" w:rsidR="00BC52A8" w:rsidRPr="002801E0" w:rsidRDefault="00BC52A8" w:rsidP="00BC52A8">
            <w:pPr>
              <w:pStyle w:val="Tabletext1"/>
              <w:jc w:val="center"/>
              <w:rPr>
                <w:iCs/>
              </w:rPr>
            </w:pPr>
            <w:r w:rsidRPr="002801E0">
              <w:rPr>
                <w:iCs/>
              </w:rPr>
              <w:t>1,836</w:t>
            </w:r>
          </w:p>
        </w:tc>
        <w:tc>
          <w:tcPr>
            <w:tcW w:w="725" w:type="pct"/>
          </w:tcPr>
          <w:p w14:paraId="4E77D23D" w14:textId="77777777" w:rsidR="00BC52A8" w:rsidRPr="002801E0" w:rsidRDefault="00BC52A8" w:rsidP="00BC52A8">
            <w:pPr>
              <w:pStyle w:val="Tabletext1"/>
              <w:jc w:val="center"/>
              <w:rPr>
                <w:iCs/>
              </w:rPr>
            </w:pPr>
            <w:r w:rsidRPr="002801E0">
              <w:rPr>
                <w:iCs/>
              </w:rPr>
              <w:t>1,800</w:t>
            </w:r>
          </w:p>
        </w:tc>
        <w:tc>
          <w:tcPr>
            <w:tcW w:w="725" w:type="pct"/>
          </w:tcPr>
          <w:p w14:paraId="65C94453" w14:textId="77777777" w:rsidR="00BC52A8" w:rsidRPr="002801E0" w:rsidRDefault="00BC52A8" w:rsidP="00BC52A8">
            <w:pPr>
              <w:pStyle w:val="Tabletext1"/>
              <w:jc w:val="center"/>
              <w:rPr>
                <w:iCs/>
              </w:rPr>
            </w:pPr>
            <w:r w:rsidRPr="002801E0">
              <w:rPr>
                <w:iCs/>
              </w:rPr>
              <w:t>1,494</w:t>
            </w:r>
          </w:p>
        </w:tc>
        <w:tc>
          <w:tcPr>
            <w:tcW w:w="723" w:type="pct"/>
          </w:tcPr>
          <w:p w14:paraId="754F2002" w14:textId="77777777" w:rsidR="00BC52A8" w:rsidRPr="002801E0" w:rsidRDefault="00BC52A8" w:rsidP="00BC52A8">
            <w:pPr>
              <w:pStyle w:val="Tabletext1"/>
              <w:jc w:val="center"/>
              <w:rPr>
                <w:iCs/>
              </w:rPr>
            </w:pPr>
            <w:r w:rsidRPr="002801E0">
              <w:rPr>
                <w:iCs/>
              </w:rPr>
              <w:t>1,044</w:t>
            </w:r>
          </w:p>
        </w:tc>
      </w:tr>
      <w:tr w:rsidR="00C63650" w:rsidRPr="005E292E" w14:paraId="5C5C8687" w14:textId="77777777" w:rsidTr="002A72F7">
        <w:trPr>
          <w:trHeight w:val="315"/>
        </w:trPr>
        <w:tc>
          <w:tcPr>
            <w:tcW w:w="1377" w:type="pct"/>
          </w:tcPr>
          <w:p w14:paraId="49C049AA" w14:textId="77777777" w:rsidR="00BC52A8" w:rsidRPr="002C50D7" w:rsidRDefault="00BC52A8" w:rsidP="00BC52A8">
            <w:pPr>
              <w:widowControl w:val="0"/>
              <w:spacing w:after="40"/>
              <w:rPr>
                <w:rFonts w:ascii="Arial Narrow" w:hAnsi="Arial Narrow"/>
                <w:sz w:val="20"/>
                <w:vertAlign w:val="superscript"/>
              </w:rPr>
            </w:pPr>
            <w:r w:rsidRPr="002C50D7">
              <w:rPr>
                <w:rFonts w:ascii="Arial Narrow" w:hAnsi="Arial Narrow"/>
                <w:sz w:val="20"/>
              </w:rPr>
              <w:t xml:space="preserve">Cost to MBS (85% rebate) </w:t>
            </w:r>
            <w:r w:rsidRPr="002C50D7">
              <w:rPr>
                <w:rFonts w:ascii="Arial Narrow" w:hAnsi="Arial Narrow"/>
                <w:sz w:val="20"/>
                <w:vertAlign w:val="superscript"/>
              </w:rPr>
              <w:t>d</w:t>
            </w:r>
          </w:p>
        </w:tc>
        <w:tc>
          <w:tcPr>
            <w:tcW w:w="725" w:type="pct"/>
          </w:tcPr>
          <w:p w14:paraId="70D6DDB0" w14:textId="4B2F5DCC" w:rsidR="00BC52A8" w:rsidRPr="002C50D7" w:rsidRDefault="00BC52A8" w:rsidP="00C63650">
            <w:pPr>
              <w:pStyle w:val="Tabletext1"/>
              <w:jc w:val="center"/>
            </w:pPr>
            <w:r w:rsidRPr="002C50D7">
              <w:rPr>
                <w:rFonts w:eastAsia="Calibri"/>
              </w:rPr>
              <w:t>$</w:t>
            </w:r>
            <w:r w:rsidR="00C63650" w:rsidRPr="00C63650">
              <w:rPr>
                <w:rFonts w:eastAsia="Calibri"/>
                <w:b/>
              </w:rPr>
              <w:t>redacted</w:t>
            </w:r>
          </w:p>
        </w:tc>
        <w:tc>
          <w:tcPr>
            <w:tcW w:w="725" w:type="pct"/>
          </w:tcPr>
          <w:p w14:paraId="7E03AE75" w14:textId="732E3565" w:rsidR="00BC52A8" w:rsidRPr="002C50D7" w:rsidRDefault="00BC52A8" w:rsidP="00BC52A8">
            <w:pPr>
              <w:pStyle w:val="Tabletext1"/>
              <w:jc w:val="center"/>
            </w:pPr>
            <w:r w:rsidRPr="002C50D7">
              <w:rPr>
                <w:rFonts w:eastAsia="Calibri"/>
              </w:rPr>
              <w:t>$</w:t>
            </w:r>
            <w:r w:rsidR="00C63650" w:rsidRPr="00676763">
              <w:rPr>
                <w:rFonts w:eastAsia="Calibri"/>
                <w:b/>
              </w:rPr>
              <w:t>redacted</w:t>
            </w:r>
            <w:r w:rsidR="00C63650">
              <w:rPr>
                <w:rFonts w:eastAsia="Calibri"/>
                <w:b/>
              </w:rPr>
              <w:t xml:space="preserve"> </w:t>
            </w:r>
          </w:p>
        </w:tc>
        <w:tc>
          <w:tcPr>
            <w:tcW w:w="725" w:type="pct"/>
          </w:tcPr>
          <w:p w14:paraId="6E48B2B7" w14:textId="4EC35F2C" w:rsidR="00BC52A8" w:rsidRPr="002C50D7" w:rsidRDefault="00BC52A8" w:rsidP="00BC52A8">
            <w:pPr>
              <w:pStyle w:val="Tabletext1"/>
              <w:jc w:val="center"/>
            </w:pPr>
            <w:r w:rsidRPr="002C50D7">
              <w:rPr>
                <w:rFonts w:eastAsia="Calibri"/>
              </w:rPr>
              <w:t>$</w:t>
            </w:r>
            <w:r w:rsidR="00C63650" w:rsidRPr="00676763">
              <w:rPr>
                <w:rFonts w:eastAsia="Calibri"/>
                <w:b/>
              </w:rPr>
              <w:t>redacted</w:t>
            </w:r>
            <w:r w:rsidR="00C63650">
              <w:rPr>
                <w:rFonts w:eastAsia="Calibri"/>
                <w:b/>
              </w:rPr>
              <w:t xml:space="preserve"> </w:t>
            </w:r>
          </w:p>
        </w:tc>
        <w:tc>
          <w:tcPr>
            <w:tcW w:w="725" w:type="pct"/>
          </w:tcPr>
          <w:p w14:paraId="75FD0C31" w14:textId="38270203" w:rsidR="00BC52A8" w:rsidRPr="002C50D7" w:rsidRDefault="00BC52A8" w:rsidP="00C63650">
            <w:pPr>
              <w:pStyle w:val="Tabletext1"/>
              <w:jc w:val="center"/>
            </w:pPr>
            <w:r w:rsidRPr="002C50D7">
              <w:rPr>
                <w:rFonts w:eastAsia="Calibri"/>
              </w:rPr>
              <w:t>$</w:t>
            </w:r>
            <w:r w:rsidR="00C63650" w:rsidRPr="00676763">
              <w:rPr>
                <w:rFonts w:eastAsia="Calibri"/>
                <w:b/>
              </w:rPr>
              <w:t>redacted</w:t>
            </w:r>
            <w:r w:rsidR="00C63650">
              <w:rPr>
                <w:rFonts w:eastAsia="Calibri"/>
                <w:b/>
              </w:rPr>
              <w:t xml:space="preserve"> </w:t>
            </w:r>
          </w:p>
        </w:tc>
        <w:tc>
          <w:tcPr>
            <w:tcW w:w="723" w:type="pct"/>
          </w:tcPr>
          <w:p w14:paraId="07C99B6E" w14:textId="48005A4C" w:rsidR="00BC52A8" w:rsidRPr="002C50D7" w:rsidRDefault="00BC52A8" w:rsidP="00C63650">
            <w:pPr>
              <w:pStyle w:val="Tabletext1"/>
              <w:jc w:val="center"/>
            </w:pPr>
            <w:r w:rsidRPr="002C50D7">
              <w:rPr>
                <w:rFonts w:eastAsia="Calibri"/>
              </w:rPr>
              <w:t>$</w:t>
            </w:r>
            <w:r w:rsidR="00C63650" w:rsidRPr="00676763">
              <w:rPr>
                <w:rFonts w:eastAsia="Calibri"/>
                <w:b/>
              </w:rPr>
              <w:t>redacted</w:t>
            </w:r>
            <w:r w:rsidR="00C63650">
              <w:rPr>
                <w:rFonts w:eastAsia="Calibri"/>
                <w:b/>
              </w:rPr>
              <w:t xml:space="preserve"> </w:t>
            </w:r>
          </w:p>
        </w:tc>
      </w:tr>
      <w:tr w:rsidR="00C63650" w:rsidRPr="005E292E" w14:paraId="4B28104A" w14:textId="77777777" w:rsidTr="002A72F7">
        <w:trPr>
          <w:trHeight w:val="300"/>
        </w:trPr>
        <w:tc>
          <w:tcPr>
            <w:tcW w:w="1377" w:type="pct"/>
          </w:tcPr>
          <w:p w14:paraId="64A1D264" w14:textId="77777777" w:rsidR="00BC52A8" w:rsidRPr="002C50D7" w:rsidRDefault="00BC52A8" w:rsidP="00BC52A8">
            <w:pPr>
              <w:widowControl w:val="0"/>
              <w:tabs>
                <w:tab w:val="left" w:pos="851"/>
              </w:tabs>
              <w:spacing w:after="40"/>
              <w:ind w:left="851" w:hanging="851"/>
              <w:rPr>
                <w:rFonts w:ascii="Arial Narrow" w:hAnsi="Arial Narrow"/>
                <w:b/>
                <w:sz w:val="20"/>
                <w:highlight w:val="lightGray"/>
              </w:rPr>
            </w:pPr>
            <w:r w:rsidRPr="002C50D7">
              <w:rPr>
                <w:rFonts w:ascii="Arial Narrow" w:hAnsi="Arial Narrow"/>
                <w:b/>
                <w:sz w:val="20"/>
              </w:rPr>
              <w:t>Methoxsalen</w:t>
            </w:r>
          </w:p>
        </w:tc>
        <w:tc>
          <w:tcPr>
            <w:tcW w:w="725" w:type="pct"/>
          </w:tcPr>
          <w:p w14:paraId="2F112F01" w14:textId="77777777" w:rsidR="00BC52A8" w:rsidRPr="002C50D7" w:rsidRDefault="00BC52A8" w:rsidP="00BC52A8">
            <w:pPr>
              <w:pStyle w:val="Tabletext1"/>
              <w:rPr>
                <w:highlight w:val="lightGray"/>
              </w:rPr>
            </w:pPr>
          </w:p>
        </w:tc>
        <w:tc>
          <w:tcPr>
            <w:tcW w:w="725" w:type="pct"/>
          </w:tcPr>
          <w:p w14:paraId="414509B0" w14:textId="77777777" w:rsidR="00BC52A8" w:rsidRPr="002C50D7" w:rsidRDefault="00BC52A8" w:rsidP="00BC52A8">
            <w:pPr>
              <w:pStyle w:val="Tabletext1"/>
              <w:rPr>
                <w:highlight w:val="lightGray"/>
              </w:rPr>
            </w:pPr>
          </w:p>
        </w:tc>
        <w:tc>
          <w:tcPr>
            <w:tcW w:w="725" w:type="pct"/>
          </w:tcPr>
          <w:p w14:paraId="109173FD" w14:textId="77777777" w:rsidR="00BC52A8" w:rsidRPr="002C50D7" w:rsidRDefault="00BC52A8" w:rsidP="00BC52A8">
            <w:pPr>
              <w:pStyle w:val="Tabletext1"/>
              <w:rPr>
                <w:highlight w:val="lightGray"/>
              </w:rPr>
            </w:pPr>
          </w:p>
        </w:tc>
        <w:tc>
          <w:tcPr>
            <w:tcW w:w="725" w:type="pct"/>
          </w:tcPr>
          <w:p w14:paraId="371B7C97" w14:textId="77777777" w:rsidR="00BC52A8" w:rsidRPr="002C50D7" w:rsidRDefault="00BC52A8" w:rsidP="00BC52A8">
            <w:pPr>
              <w:pStyle w:val="Tabletext1"/>
              <w:rPr>
                <w:highlight w:val="lightGray"/>
              </w:rPr>
            </w:pPr>
          </w:p>
        </w:tc>
        <w:tc>
          <w:tcPr>
            <w:tcW w:w="723" w:type="pct"/>
          </w:tcPr>
          <w:p w14:paraId="348771DE" w14:textId="77777777" w:rsidR="00BC52A8" w:rsidRPr="002C50D7" w:rsidRDefault="00BC52A8" w:rsidP="00BC52A8">
            <w:pPr>
              <w:pStyle w:val="Tabletext1"/>
              <w:rPr>
                <w:highlight w:val="lightGray"/>
              </w:rPr>
            </w:pPr>
          </w:p>
        </w:tc>
      </w:tr>
      <w:tr w:rsidR="00C63650" w:rsidRPr="005E292E" w14:paraId="3DED1E93" w14:textId="77777777" w:rsidTr="002A72F7">
        <w:trPr>
          <w:trHeight w:val="300"/>
        </w:trPr>
        <w:tc>
          <w:tcPr>
            <w:tcW w:w="1377" w:type="pct"/>
          </w:tcPr>
          <w:p w14:paraId="5B05BB07" w14:textId="77777777" w:rsidR="00BC52A8" w:rsidRPr="002C50D7" w:rsidRDefault="00BC52A8" w:rsidP="00BC52A8">
            <w:pPr>
              <w:widowControl w:val="0"/>
              <w:tabs>
                <w:tab w:val="left" w:pos="851"/>
              </w:tabs>
              <w:spacing w:after="40"/>
              <w:ind w:left="851" w:hanging="851"/>
              <w:rPr>
                <w:rFonts w:ascii="Arial Narrow" w:hAnsi="Arial Narrow"/>
                <w:sz w:val="20"/>
              </w:rPr>
            </w:pPr>
            <w:r w:rsidRPr="002C50D7">
              <w:rPr>
                <w:rFonts w:ascii="Arial Narrow" w:hAnsi="Arial Narrow"/>
                <w:sz w:val="20"/>
              </w:rPr>
              <w:t>Number of doses</w:t>
            </w:r>
          </w:p>
        </w:tc>
        <w:tc>
          <w:tcPr>
            <w:tcW w:w="725" w:type="pct"/>
          </w:tcPr>
          <w:p w14:paraId="05E4D4B6" w14:textId="77777777" w:rsidR="00BC52A8" w:rsidRPr="002C50D7" w:rsidRDefault="00BC52A8" w:rsidP="00BC52A8">
            <w:pPr>
              <w:pStyle w:val="Tabletext1"/>
              <w:jc w:val="center"/>
            </w:pPr>
            <w:r w:rsidRPr="002C50D7">
              <w:t>1,458</w:t>
            </w:r>
          </w:p>
        </w:tc>
        <w:tc>
          <w:tcPr>
            <w:tcW w:w="725" w:type="pct"/>
          </w:tcPr>
          <w:p w14:paraId="36C10370" w14:textId="77777777" w:rsidR="00BC52A8" w:rsidRPr="002C50D7" w:rsidRDefault="00BC52A8" w:rsidP="00BC52A8">
            <w:pPr>
              <w:pStyle w:val="Tabletext1"/>
              <w:jc w:val="center"/>
            </w:pPr>
            <w:r w:rsidRPr="002C50D7">
              <w:t>1,836</w:t>
            </w:r>
          </w:p>
        </w:tc>
        <w:tc>
          <w:tcPr>
            <w:tcW w:w="725" w:type="pct"/>
          </w:tcPr>
          <w:p w14:paraId="25ADB7CE" w14:textId="77777777" w:rsidR="00BC52A8" w:rsidRPr="002C50D7" w:rsidRDefault="00BC52A8" w:rsidP="00BC52A8">
            <w:pPr>
              <w:pStyle w:val="Tabletext1"/>
              <w:jc w:val="center"/>
            </w:pPr>
            <w:r w:rsidRPr="002C50D7">
              <w:t>1,800</w:t>
            </w:r>
          </w:p>
        </w:tc>
        <w:tc>
          <w:tcPr>
            <w:tcW w:w="725" w:type="pct"/>
          </w:tcPr>
          <w:p w14:paraId="147124B1" w14:textId="77777777" w:rsidR="00BC52A8" w:rsidRPr="002C50D7" w:rsidRDefault="00BC52A8" w:rsidP="00BC52A8">
            <w:pPr>
              <w:pStyle w:val="Tabletext1"/>
              <w:jc w:val="center"/>
            </w:pPr>
            <w:r w:rsidRPr="002C50D7">
              <w:t>1,494</w:t>
            </w:r>
          </w:p>
        </w:tc>
        <w:tc>
          <w:tcPr>
            <w:tcW w:w="723" w:type="pct"/>
          </w:tcPr>
          <w:p w14:paraId="53995F62" w14:textId="77777777" w:rsidR="00BC52A8" w:rsidRPr="002C50D7" w:rsidRDefault="00BC52A8" w:rsidP="00BC52A8">
            <w:pPr>
              <w:pStyle w:val="Tabletext1"/>
              <w:jc w:val="center"/>
            </w:pPr>
            <w:r w:rsidRPr="002C50D7">
              <w:t>1,044</w:t>
            </w:r>
          </w:p>
        </w:tc>
      </w:tr>
      <w:tr w:rsidR="00C63650" w:rsidRPr="005E292E" w14:paraId="5B8A8911" w14:textId="77777777" w:rsidTr="002A72F7">
        <w:trPr>
          <w:trHeight w:val="300"/>
        </w:trPr>
        <w:tc>
          <w:tcPr>
            <w:tcW w:w="1377" w:type="pct"/>
          </w:tcPr>
          <w:p w14:paraId="4CBABD6D" w14:textId="77777777" w:rsidR="00BC52A8" w:rsidRPr="002C50D7" w:rsidRDefault="00BC52A8" w:rsidP="00BC52A8">
            <w:pPr>
              <w:widowControl w:val="0"/>
              <w:spacing w:after="40"/>
              <w:rPr>
                <w:rFonts w:ascii="Arial Narrow" w:hAnsi="Arial Narrow"/>
                <w:i/>
                <w:sz w:val="20"/>
                <w:vertAlign w:val="superscript"/>
              </w:rPr>
            </w:pPr>
            <w:r w:rsidRPr="002C50D7">
              <w:rPr>
                <w:rFonts w:ascii="Arial Narrow" w:hAnsi="Arial Narrow"/>
                <w:sz w:val="20"/>
              </w:rPr>
              <w:t xml:space="preserve">Net cost to PBS and RPBS </w:t>
            </w:r>
            <w:r w:rsidRPr="002C50D7">
              <w:rPr>
                <w:rFonts w:ascii="Arial Narrow" w:hAnsi="Arial Narrow"/>
                <w:sz w:val="20"/>
                <w:vertAlign w:val="superscript"/>
              </w:rPr>
              <w:t>e</w:t>
            </w:r>
          </w:p>
        </w:tc>
        <w:tc>
          <w:tcPr>
            <w:tcW w:w="725" w:type="pct"/>
          </w:tcPr>
          <w:p w14:paraId="3301D823" w14:textId="5094FF68" w:rsidR="00BC52A8" w:rsidRPr="002C50D7" w:rsidRDefault="00BC52A8" w:rsidP="00BC52A8">
            <w:pPr>
              <w:pStyle w:val="Tabletext1"/>
              <w:jc w:val="center"/>
            </w:pPr>
            <w:r w:rsidRPr="002C50D7">
              <w:t>$</w:t>
            </w:r>
            <w:r w:rsidR="00C63650">
              <w:rPr>
                <w:rFonts w:eastAsia="Calibri"/>
                <w:b/>
              </w:rPr>
              <w:t>r</w:t>
            </w:r>
            <w:r w:rsidR="00C63650" w:rsidRPr="00676763">
              <w:rPr>
                <w:rFonts w:eastAsia="Calibri"/>
                <w:b/>
              </w:rPr>
              <w:t>edacted</w:t>
            </w:r>
          </w:p>
        </w:tc>
        <w:tc>
          <w:tcPr>
            <w:tcW w:w="725" w:type="pct"/>
          </w:tcPr>
          <w:p w14:paraId="68CD92E0" w14:textId="7F1724E6" w:rsidR="00BC52A8" w:rsidRPr="002C50D7" w:rsidRDefault="00BC52A8" w:rsidP="00BC52A8">
            <w:pPr>
              <w:pStyle w:val="Tabletext1"/>
              <w:jc w:val="center"/>
            </w:pPr>
            <w:r w:rsidRPr="002C50D7">
              <w:t>$</w:t>
            </w:r>
            <w:r w:rsidR="00C63650" w:rsidRPr="00676763">
              <w:rPr>
                <w:rFonts w:eastAsia="Calibri"/>
                <w:b/>
              </w:rPr>
              <w:t>redacted</w:t>
            </w:r>
          </w:p>
        </w:tc>
        <w:tc>
          <w:tcPr>
            <w:tcW w:w="725" w:type="pct"/>
          </w:tcPr>
          <w:p w14:paraId="31888540" w14:textId="35EF8FE1" w:rsidR="00BC52A8" w:rsidRPr="002C50D7" w:rsidRDefault="00BC52A8" w:rsidP="00BC52A8">
            <w:pPr>
              <w:pStyle w:val="Tabletext1"/>
              <w:jc w:val="center"/>
            </w:pPr>
            <w:r w:rsidRPr="002C50D7">
              <w:t>$</w:t>
            </w:r>
            <w:r w:rsidR="00C63650" w:rsidRPr="00676763">
              <w:rPr>
                <w:rFonts w:eastAsia="Calibri"/>
                <w:b/>
              </w:rPr>
              <w:t>redacted</w:t>
            </w:r>
          </w:p>
        </w:tc>
        <w:tc>
          <w:tcPr>
            <w:tcW w:w="725" w:type="pct"/>
          </w:tcPr>
          <w:p w14:paraId="5D6CB4FA" w14:textId="426F7C09" w:rsidR="00BC52A8" w:rsidRPr="002C50D7" w:rsidRDefault="00BC52A8" w:rsidP="00BC52A8">
            <w:pPr>
              <w:pStyle w:val="Tabletext1"/>
              <w:jc w:val="center"/>
            </w:pPr>
            <w:r w:rsidRPr="002C50D7">
              <w:t>$</w:t>
            </w:r>
            <w:r w:rsidR="00C63650" w:rsidRPr="00676763">
              <w:rPr>
                <w:rFonts w:eastAsia="Calibri"/>
                <w:b/>
              </w:rPr>
              <w:t>redacted</w:t>
            </w:r>
          </w:p>
        </w:tc>
        <w:tc>
          <w:tcPr>
            <w:tcW w:w="723" w:type="pct"/>
          </w:tcPr>
          <w:p w14:paraId="2E67B4A9" w14:textId="0755C18C" w:rsidR="00BC52A8" w:rsidRPr="002C50D7" w:rsidRDefault="00BC52A8" w:rsidP="00BC52A8">
            <w:pPr>
              <w:pStyle w:val="Tabletext1"/>
              <w:jc w:val="center"/>
            </w:pPr>
            <w:r w:rsidRPr="002C50D7">
              <w:t>$</w:t>
            </w:r>
            <w:r w:rsidR="00C63650" w:rsidRPr="00676763">
              <w:rPr>
                <w:rFonts w:eastAsia="Calibri"/>
                <w:b/>
              </w:rPr>
              <w:t>redacted</w:t>
            </w:r>
          </w:p>
        </w:tc>
      </w:tr>
      <w:tr w:rsidR="00C63650" w:rsidRPr="005E292E" w14:paraId="3FFFCEA4" w14:textId="77777777" w:rsidTr="002A72F7">
        <w:trPr>
          <w:trHeight w:val="315"/>
        </w:trPr>
        <w:tc>
          <w:tcPr>
            <w:tcW w:w="1377" w:type="pct"/>
          </w:tcPr>
          <w:p w14:paraId="6CB92A90" w14:textId="01BCC9BA" w:rsidR="00BC52A8" w:rsidRPr="002C50D7" w:rsidRDefault="00BC52A8" w:rsidP="00C30EB0">
            <w:pPr>
              <w:widowControl w:val="0"/>
              <w:spacing w:after="40"/>
              <w:rPr>
                <w:rFonts w:ascii="Arial Narrow" w:hAnsi="Arial Narrow"/>
                <w:b/>
                <w:sz w:val="20"/>
              </w:rPr>
            </w:pPr>
            <w:r w:rsidRPr="002C50D7">
              <w:rPr>
                <w:rFonts w:ascii="Arial Narrow" w:hAnsi="Arial Narrow"/>
                <w:b/>
                <w:sz w:val="20"/>
              </w:rPr>
              <w:t xml:space="preserve">Net cost to </w:t>
            </w:r>
            <w:r w:rsidR="00C30EB0">
              <w:rPr>
                <w:rFonts w:ascii="Arial Narrow" w:hAnsi="Arial Narrow"/>
                <w:b/>
                <w:sz w:val="20"/>
              </w:rPr>
              <w:t>g</w:t>
            </w:r>
            <w:r w:rsidRPr="002C50D7">
              <w:rPr>
                <w:rFonts w:ascii="Arial Narrow" w:hAnsi="Arial Narrow"/>
                <w:b/>
                <w:sz w:val="20"/>
              </w:rPr>
              <w:t>overnment</w:t>
            </w:r>
            <w:r w:rsidR="00C30EB0">
              <w:rPr>
                <w:rFonts w:ascii="Arial Narrow" w:hAnsi="Arial Narrow"/>
                <w:b/>
                <w:sz w:val="20"/>
              </w:rPr>
              <w:t>s</w:t>
            </w:r>
          </w:p>
        </w:tc>
        <w:tc>
          <w:tcPr>
            <w:tcW w:w="725" w:type="pct"/>
          </w:tcPr>
          <w:p w14:paraId="16A2CAE7" w14:textId="7FEEBB5F" w:rsidR="00BC52A8" w:rsidRPr="002C50D7" w:rsidRDefault="00BC52A8" w:rsidP="00BC52A8">
            <w:pPr>
              <w:pStyle w:val="Tabletext1"/>
              <w:jc w:val="center"/>
            </w:pPr>
            <w:r w:rsidRPr="002C50D7">
              <w:rPr>
                <w:rFonts w:eastAsia="Calibri"/>
              </w:rPr>
              <w:t>$</w:t>
            </w:r>
            <w:r w:rsidR="00C63650" w:rsidRPr="00676763">
              <w:rPr>
                <w:rFonts w:eastAsia="Calibri"/>
                <w:b/>
              </w:rPr>
              <w:t>redacted</w:t>
            </w:r>
          </w:p>
        </w:tc>
        <w:tc>
          <w:tcPr>
            <w:tcW w:w="725" w:type="pct"/>
          </w:tcPr>
          <w:p w14:paraId="7E4ECBAB" w14:textId="04972F77" w:rsidR="00BC52A8" w:rsidRPr="002C50D7" w:rsidRDefault="00BC52A8" w:rsidP="00BC52A8">
            <w:pPr>
              <w:pStyle w:val="Tabletext1"/>
              <w:jc w:val="center"/>
            </w:pPr>
            <w:r w:rsidRPr="002C50D7">
              <w:rPr>
                <w:rFonts w:eastAsia="Calibri"/>
              </w:rPr>
              <w:t>$</w:t>
            </w:r>
            <w:r w:rsidR="00C63650" w:rsidRPr="00676763">
              <w:rPr>
                <w:rFonts w:eastAsia="Calibri"/>
                <w:b/>
              </w:rPr>
              <w:t>redacted</w:t>
            </w:r>
          </w:p>
        </w:tc>
        <w:tc>
          <w:tcPr>
            <w:tcW w:w="725" w:type="pct"/>
          </w:tcPr>
          <w:p w14:paraId="2FE85177" w14:textId="370496C3" w:rsidR="00BC52A8" w:rsidRPr="002C50D7" w:rsidRDefault="00BC52A8" w:rsidP="00BC52A8">
            <w:pPr>
              <w:pStyle w:val="Tabletext1"/>
              <w:jc w:val="center"/>
            </w:pPr>
            <w:r w:rsidRPr="002C50D7">
              <w:rPr>
                <w:rFonts w:eastAsia="Calibri"/>
              </w:rPr>
              <w:t>$</w:t>
            </w:r>
            <w:r w:rsidR="00C63650" w:rsidRPr="00676763">
              <w:rPr>
                <w:rFonts w:eastAsia="Calibri"/>
                <w:b/>
              </w:rPr>
              <w:t>redacted</w:t>
            </w:r>
          </w:p>
        </w:tc>
        <w:tc>
          <w:tcPr>
            <w:tcW w:w="725" w:type="pct"/>
          </w:tcPr>
          <w:p w14:paraId="7E89FCE5" w14:textId="461888F6" w:rsidR="00BC52A8" w:rsidRPr="002C50D7" w:rsidRDefault="00BC52A8" w:rsidP="00BC52A8">
            <w:pPr>
              <w:pStyle w:val="Tabletext1"/>
              <w:jc w:val="center"/>
            </w:pPr>
            <w:r w:rsidRPr="002C50D7">
              <w:rPr>
                <w:rFonts w:eastAsia="Calibri"/>
              </w:rPr>
              <w:t>$</w:t>
            </w:r>
            <w:r w:rsidR="00C63650" w:rsidRPr="00676763">
              <w:rPr>
                <w:rFonts w:eastAsia="Calibri"/>
                <w:b/>
              </w:rPr>
              <w:t>redacted</w:t>
            </w:r>
          </w:p>
        </w:tc>
        <w:tc>
          <w:tcPr>
            <w:tcW w:w="723" w:type="pct"/>
          </w:tcPr>
          <w:p w14:paraId="0EB7E604" w14:textId="21DDE4B2" w:rsidR="00BC52A8" w:rsidRPr="002C50D7" w:rsidRDefault="00BC52A8" w:rsidP="00BC52A8">
            <w:pPr>
              <w:pStyle w:val="Tabletext1"/>
              <w:jc w:val="center"/>
            </w:pPr>
            <w:r w:rsidRPr="002C50D7">
              <w:rPr>
                <w:rFonts w:eastAsia="Calibri"/>
              </w:rPr>
              <w:t>$</w:t>
            </w:r>
            <w:r w:rsidR="00C63650" w:rsidRPr="00676763">
              <w:rPr>
                <w:rFonts w:eastAsia="Calibri"/>
                <w:b/>
              </w:rPr>
              <w:t>redacted</w:t>
            </w:r>
          </w:p>
        </w:tc>
      </w:tr>
    </w:tbl>
    <w:p w14:paraId="53A74357" w14:textId="77777777" w:rsidR="00BC52A8" w:rsidRPr="00346901" w:rsidRDefault="00BC52A8" w:rsidP="00BC52A8">
      <w:pPr>
        <w:pStyle w:val="TableFooter"/>
        <w:rPr>
          <w:rFonts w:eastAsia="Calibri"/>
        </w:rPr>
      </w:pPr>
      <w:r w:rsidRPr="00346901">
        <w:t xml:space="preserve">Source: </w:t>
      </w:r>
      <w:r w:rsidRPr="00276376">
        <w:t>Section_E1420.1.xlsx workbook; Table 121, p204</w:t>
      </w:r>
      <w:r>
        <w:t>;</w:t>
      </w:r>
      <w:r w:rsidRPr="00276376">
        <w:t xml:space="preserve"> </w:t>
      </w:r>
      <w:r>
        <w:rPr>
          <w:rFonts w:eastAsia="Calibri"/>
        </w:rPr>
        <w:t xml:space="preserve">Table 133, p208; Table 125, p205 and </w:t>
      </w:r>
      <w:r w:rsidRPr="00EE4C8A">
        <w:rPr>
          <w:rFonts w:eastAsia="Calibri"/>
        </w:rPr>
        <w:t>Table 1</w:t>
      </w:r>
      <w:r>
        <w:rPr>
          <w:rFonts w:eastAsia="Calibri"/>
        </w:rPr>
        <w:t>2</w:t>
      </w:r>
      <w:r w:rsidRPr="00EE4C8A">
        <w:rPr>
          <w:rFonts w:eastAsia="Calibri"/>
        </w:rPr>
        <w:t xml:space="preserve">9, </w:t>
      </w:r>
      <w:r>
        <w:rPr>
          <w:rFonts w:eastAsia="Calibri"/>
        </w:rPr>
        <w:t xml:space="preserve">p207 of the resubmission and </w:t>
      </w:r>
      <w:r w:rsidRPr="00346901">
        <w:rPr>
          <w:i/>
        </w:rPr>
        <w:t>calculated during the evaluation</w:t>
      </w:r>
      <w:r w:rsidRPr="00346901">
        <w:t xml:space="preserve"> </w:t>
      </w:r>
    </w:p>
    <w:p w14:paraId="52CF51AC" w14:textId="41E09C11" w:rsidR="00BC52A8" w:rsidRPr="00346901" w:rsidRDefault="00BC52A8" w:rsidP="00BC52A8">
      <w:pPr>
        <w:pStyle w:val="TableFooter"/>
        <w:rPr>
          <w:bCs/>
        </w:rPr>
      </w:pPr>
      <w:bookmarkStart w:id="20" w:name="_Hlk26687320"/>
      <w:r w:rsidRPr="00346901">
        <w:rPr>
          <w:bCs/>
        </w:rPr>
        <w:t xml:space="preserve">CTCL = cutaneous T-cell lymphoma; ECP = extracorporeal photopheresis; MBS = Medicare Benefits Schedule; </w:t>
      </w:r>
      <w:r>
        <w:rPr>
          <w:bCs/>
        </w:rPr>
        <w:t>PBS = Pharmaceutical Benefits Scheme</w:t>
      </w:r>
      <w:r w:rsidRPr="00346901">
        <w:rPr>
          <w:bCs/>
        </w:rPr>
        <w:t>; RPBS</w:t>
      </w:r>
      <w:r>
        <w:rPr>
          <w:bCs/>
        </w:rPr>
        <w:t xml:space="preserve"> </w:t>
      </w:r>
      <w:r w:rsidRPr="00346901">
        <w:rPr>
          <w:bCs/>
        </w:rPr>
        <w:t>= Repatriation Pharmaceutical Benefits Scheme</w:t>
      </w:r>
    </w:p>
    <w:bookmarkEnd w:id="20"/>
    <w:p w14:paraId="767D10FE" w14:textId="77777777" w:rsidR="00BC52A8" w:rsidRPr="00346901" w:rsidRDefault="00BC52A8" w:rsidP="00BC52A8">
      <w:pPr>
        <w:pStyle w:val="TableFooter"/>
        <w:rPr>
          <w:b/>
          <w:i/>
        </w:rPr>
      </w:pPr>
      <w:r w:rsidRPr="00DB5A87">
        <w:rPr>
          <w:vertAlign w:val="superscript"/>
        </w:rPr>
        <w:t xml:space="preserve">a </w:t>
      </w:r>
      <w:r>
        <w:rPr>
          <w:bCs/>
        </w:rPr>
        <w:t>The resu</w:t>
      </w:r>
      <w:r w:rsidRPr="00346901">
        <w:rPr>
          <w:bCs/>
        </w:rPr>
        <w:t xml:space="preserve">bmission subtracted the number of prevalent patients treated per year from the prevalent pool of patients with </w:t>
      </w:r>
      <w:r w:rsidRPr="00346901">
        <w:rPr>
          <w:rFonts w:eastAsiaTheme="minorHAnsi"/>
        </w:rPr>
        <w:t>T</w:t>
      </w:r>
      <w:r w:rsidRPr="00346901">
        <w:rPr>
          <w:rFonts w:eastAsiaTheme="minorHAnsi"/>
          <w:vertAlign w:val="subscript"/>
        </w:rPr>
        <w:t>4</w:t>
      </w:r>
      <w:r w:rsidRPr="00346901">
        <w:rPr>
          <w:rFonts w:eastAsiaTheme="minorHAnsi"/>
        </w:rPr>
        <w:t>M</w:t>
      </w:r>
      <w:r w:rsidRPr="00346901">
        <w:rPr>
          <w:rFonts w:eastAsiaTheme="minorHAnsi"/>
          <w:vertAlign w:val="subscript"/>
        </w:rPr>
        <w:t xml:space="preserve">0 </w:t>
      </w:r>
      <w:r w:rsidRPr="00346901">
        <w:rPr>
          <w:rFonts w:eastAsiaTheme="minorHAnsi"/>
        </w:rPr>
        <w:t>CTCL</w:t>
      </w:r>
      <w:r>
        <w:rPr>
          <w:rFonts w:eastAsiaTheme="minorHAnsi"/>
        </w:rPr>
        <w:t>.</w:t>
      </w:r>
    </w:p>
    <w:p w14:paraId="3701D47D" w14:textId="77777777" w:rsidR="00BC52A8" w:rsidRPr="00346901" w:rsidRDefault="00BC52A8" w:rsidP="00BC52A8">
      <w:pPr>
        <w:pStyle w:val="TableFooter"/>
        <w:rPr>
          <w:i/>
        </w:rPr>
      </w:pPr>
      <w:r w:rsidRPr="00346901">
        <w:rPr>
          <w:vertAlign w:val="superscript"/>
        </w:rPr>
        <w:t xml:space="preserve">b </w:t>
      </w:r>
      <w:r w:rsidRPr="00346901">
        <w:t>Uptake rate was</w:t>
      </w:r>
      <w:r>
        <w:t xml:space="preserve"> assumed to be</w:t>
      </w:r>
      <w:r w:rsidRPr="00346901">
        <w:t xml:space="preserve"> 20% in Year 1 increasing to 60% in Year 5</w:t>
      </w:r>
    </w:p>
    <w:p w14:paraId="5C418EC2" w14:textId="77777777" w:rsidR="00BC52A8" w:rsidRPr="00346901" w:rsidRDefault="00BC52A8" w:rsidP="00BC52A8">
      <w:pPr>
        <w:pStyle w:val="TableFooter"/>
      </w:pPr>
      <w:r w:rsidRPr="00DB5A87">
        <w:rPr>
          <w:vertAlign w:val="superscript"/>
        </w:rPr>
        <w:t xml:space="preserve">c </w:t>
      </w:r>
      <w:r w:rsidRPr="00E1659A">
        <w:t>The r</w:t>
      </w:r>
      <w:r>
        <w:t>es</w:t>
      </w:r>
      <w:r w:rsidRPr="00346901">
        <w:t>ubmission assumed that patients receiving ECP would only receive one year of treatment, using the modelled ECP regimen</w:t>
      </w:r>
      <w:r w:rsidRPr="006B0D89">
        <w:t xml:space="preserve"> based on number of </w:t>
      </w:r>
      <w:r w:rsidRPr="00C87417">
        <w:t>treatments in 14 months.</w:t>
      </w:r>
    </w:p>
    <w:p w14:paraId="5A0E9007" w14:textId="6D54EB9A" w:rsidR="00BC52A8" w:rsidRPr="00346901" w:rsidRDefault="00BC52A8" w:rsidP="00BC52A8">
      <w:pPr>
        <w:pStyle w:val="TableFooter"/>
      </w:pPr>
      <w:r>
        <w:rPr>
          <w:vertAlign w:val="superscript"/>
        </w:rPr>
        <w:t>d</w:t>
      </w:r>
      <w:r w:rsidRPr="00346901">
        <w:rPr>
          <w:vertAlign w:val="superscript"/>
        </w:rPr>
        <w:t xml:space="preserve"> </w:t>
      </w:r>
      <w:r w:rsidRPr="00346901">
        <w:t>Number of services</w:t>
      </w:r>
      <w:r w:rsidRPr="00346901">
        <w:rPr>
          <w:vertAlign w:val="superscript"/>
        </w:rPr>
        <w:t xml:space="preserve"> </w:t>
      </w:r>
      <w:r w:rsidRPr="00346901">
        <w:t>x cost of ECP ($</w:t>
      </w:r>
      <w:r w:rsidR="00C63650" w:rsidRPr="00C63650">
        <w:rPr>
          <w:b/>
        </w:rPr>
        <w:t>redacted</w:t>
      </w:r>
      <w:r w:rsidRPr="00C87417">
        <w:t>)</w:t>
      </w:r>
    </w:p>
    <w:p w14:paraId="7BB8376D" w14:textId="30120D66" w:rsidR="00BC52A8" w:rsidRDefault="00BC52A8" w:rsidP="00BC52A8">
      <w:pPr>
        <w:pStyle w:val="TableFooter"/>
        <w:spacing w:after="240"/>
      </w:pPr>
      <w:r>
        <w:rPr>
          <w:vertAlign w:val="superscript"/>
        </w:rPr>
        <w:t>e</w:t>
      </w:r>
      <w:r w:rsidRPr="00346901">
        <w:rPr>
          <w:vertAlign w:val="superscript"/>
        </w:rPr>
        <w:t xml:space="preserve"> </w:t>
      </w:r>
      <w:r w:rsidRPr="00346901">
        <w:t>Number of doses x DPMQ of methoxsalen ($</w:t>
      </w:r>
      <w:r w:rsidR="00C63650" w:rsidRPr="00C63650">
        <w:rPr>
          <w:b/>
        </w:rPr>
        <w:t>redacted</w:t>
      </w:r>
      <w:r w:rsidRPr="00346901">
        <w:t>)</w:t>
      </w:r>
    </w:p>
    <w:p w14:paraId="65335D76" w14:textId="77777777" w:rsidR="00BC52A8" w:rsidRDefault="00BC52A8" w:rsidP="00BC52A8">
      <w:r>
        <w:t>The commentary stated that there was potential for the net cost per year to the MBS and PBS to be greater or less than estimated in the resubmission:</w:t>
      </w:r>
    </w:p>
    <w:p w14:paraId="7E956449" w14:textId="77777777" w:rsidR="00BC52A8" w:rsidRDefault="00BC52A8" w:rsidP="00BC52A8">
      <w:pPr>
        <w:pStyle w:val="ListParagraph"/>
        <w:numPr>
          <w:ilvl w:val="0"/>
          <w:numId w:val="8"/>
        </w:numPr>
        <w:ind w:left="714" w:hanging="357"/>
      </w:pPr>
      <w:r>
        <w:t>uptake may be lower if there are delays in the provision of ECP (reduce net costs);</w:t>
      </w:r>
    </w:p>
    <w:p w14:paraId="44353E5A" w14:textId="77777777" w:rsidR="00BC52A8" w:rsidRDefault="00BC52A8" w:rsidP="00BC52A8">
      <w:pPr>
        <w:pStyle w:val="ListParagraph"/>
        <w:numPr>
          <w:ilvl w:val="0"/>
          <w:numId w:val="8"/>
        </w:numPr>
        <w:ind w:left="714" w:hanging="357"/>
      </w:pPr>
      <w:r>
        <w:t>uptake may be lower if ECP is not provided through many clinics (reduce net costs);</w:t>
      </w:r>
    </w:p>
    <w:p w14:paraId="49A5EA05" w14:textId="77777777" w:rsidR="00BC52A8" w:rsidRDefault="00BC52A8" w:rsidP="00BC52A8">
      <w:pPr>
        <w:pStyle w:val="ListParagraph"/>
        <w:numPr>
          <w:ilvl w:val="0"/>
          <w:numId w:val="8"/>
        </w:numPr>
        <w:ind w:left="714" w:hanging="357"/>
      </w:pPr>
      <w:r>
        <w:t>utilisation may be higher or lower due to lack of robust prevalence data for CTCL (increase or decrease net costs);</w:t>
      </w:r>
    </w:p>
    <w:p w14:paraId="7D0FAE29" w14:textId="77777777" w:rsidR="00BC52A8" w:rsidRDefault="00BC52A8" w:rsidP="00BC52A8">
      <w:pPr>
        <w:pStyle w:val="ListParagraph"/>
        <w:numPr>
          <w:ilvl w:val="0"/>
          <w:numId w:val="8"/>
        </w:numPr>
        <w:ind w:left="714" w:hanging="357"/>
      </w:pPr>
      <w:r>
        <w:t>there is potential for ECP and methoxsalen to be used outside of the proposed restriction as a first line treatment (potential for this is high, based on the high proportion of patients in Gao et al, 2019 receiving ECP as first line treatment) (increase net costs); and</w:t>
      </w:r>
    </w:p>
    <w:p w14:paraId="5D994DC2" w14:textId="77777777" w:rsidR="00BC52A8" w:rsidRDefault="00BC52A8" w:rsidP="00BC52A8">
      <w:pPr>
        <w:pStyle w:val="ListParagraph"/>
        <w:numPr>
          <w:ilvl w:val="0"/>
          <w:numId w:val="8"/>
        </w:numPr>
        <w:ind w:left="714" w:hanging="357"/>
      </w:pPr>
      <w:r>
        <w:t>there is potential for ECP and methoxsalen to be used as combination therapy with other systemic treatments (potential also high based on high proportion of patients receiving concomitant systemic treatments in Gao et al, 2019) (increased net costs).</w:t>
      </w:r>
    </w:p>
    <w:p w14:paraId="5D48F6D9" w14:textId="77777777" w:rsidR="004C605E" w:rsidRDefault="004C605E" w:rsidP="004C605E">
      <w:pPr>
        <w:pStyle w:val="Heading1"/>
      </w:pPr>
      <w:r w:rsidRPr="00F715D1">
        <w:lastRenderedPageBreak/>
        <w:t>Key issues from ESC for MSAC</w:t>
      </w:r>
    </w:p>
    <w:p w14:paraId="5332C7D6" w14:textId="601BC284" w:rsidR="00CC66AE" w:rsidRPr="002A72F7" w:rsidRDefault="00CC66AE" w:rsidP="002A72F7">
      <w:pPr>
        <w:rPr>
          <w:rFonts w:ascii="Arial Narrow" w:hAnsi="Arial Narrow"/>
          <w:b/>
          <w:sz w:val="20"/>
        </w:rPr>
      </w:pPr>
      <w:r w:rsidRPr="002A72F7">
        <w:rPr>
          <w:rFonts w:ascii="Arial Narrow" w:hAnsi="Arial Narrow"/>
          <w:b/>
          <w:sz w:val="20"/>
        </w:rPr>
        <w:t>Table 1</w:t>
      </w:r>
      <w:r w:rsidR="00266239" w:rsidRPr="002A72F7">
        <w:rPr>
          <w:rFonts w:ascii="Arial Narrow" w:hAnsi="Arial Narrow"/>
          <w:b/>
          <w:sz w:val="20"/>
        </w:rPr>
        <w:t>3</w:t>
      </w:r>
      <w:r w:rsidRPr="002A72F7">
        <w:rPr>
          <w:rFonts w:ascii="Arial Narrow" w:hAnsi="Arial Narrow"/>
          <w:b/>
          <w:sz w:val="20"/>
        </w:rPr>
        <w:t>: Summary of key issues from ESC for MSAC</w:t>
      </w:r>
    </w:p>
    <w:tbl>
      <w:tblPr>
        <w:tblStyle w:val="TableGrid"/>
        <w:tblW w:w="0" w:type="auto"/>
        <w:tblLook w:val="04A0" w:firstRow="1" w:lastRow="0" w:firstColumn="1" w:lastColumn="0" w:noHBand="0" w:noVBand="1"/>
        <w:tblCaption w:val="Table 12: Summary of key issues from ESC for MSAC"/>
        <w:tblDescription w:val="Description of ESC issues"/>
      </w:tblPr>
      <w:tblGrid>
        <w:gridCol w:w="1980"/>
        <w:gridCol w:w="7036"/>
      </w:tblGrid>
      <w:tr w:rsidR="006E4DE3" w14:paraId="16BFF92D" w14:textId="77777777" w:rsidTr="008F219D">
        <w:trPr>
          <w:tblHeader/>
        </w:trPr>
        <w:tc>
          <w:tcPr>
            <w:tcW w:w="1980" w:type="dxa"/>
          </w:tcPr>
          <w:p w14:paraId="5E2930E3" w14:textId="77777777" w:rsidR="006E4DE3" w:rsidRDefault="006E4DE3" w:rsidP="00BC52A8">
            <w:pPr>
              <w:pStyle w:val="TableHeading"/>
            </w:pPr>
            <w:r>
              <w:t>ESC key issue</w:t>
            </w:r>
          </w:p>
        </w:tc>
        <w:tc>
          <w:tcPr>
            <w:tcW w:w="7036" w:type="dxa"/>
          </w:tcPr>
          <w:p w14:paraId="6D454DA1" w14:textId="77777777" w:rsidR="006E4DE3" w:rsidRDefault="006E4DE3" w:rsidP="00BC52A8">
            <w:pPr>
              <w:pStyle w:val="TableHeading"/>
            </w:pPr>
            <w:r>
              <w:t>ESC advice to MSAC</w:t>
            </w:r>
          </w:p>
        </w:tc>
      </w:tr>
      <w:tr w:rsidR="006E4DE3" w14:paraId="6ABEB142" w14:textId="77777777" w:rsidTr="00BC52A8">
        <w:tc>
          <w:tcPr>
            <w:tcW w:w="1980" w:type="dxa"/>
          </w:tcPr>
          <w:p w14:paraId="5DC6E52C" w14:textId="77777777" w:rsidR="006E4DE3" w:rsidRDefault="006E4DE3" w:rsidP="00BC52A8">
            <w:pPr>
              <w:pStyle w:val="TableText"/>
            </w:pPr>
            <w:r>
              <w:t>Limited evidence for ECP and comparators</w:t>
            </w:r>
          </w:p>
        </w:tc>
        <w:tc>
          <w:tcPr>
            <w:tcW w:w="7036" w:type="dxa"/>
          </w:tcPr>
          <w:p w14:paraId="3252C12C" w14:textId="77777777" w:rsidR="006E4DE3" w:rsidRDefault="006E4DE3" w:rsidP="00BC52A8">
            <w:pPr>
              <w:pStyle w:val="TableText"/>
            </w:pPr>
            <w:r>
              <w:t xml:space="preserve">The resubmission includes new comparators – vorinostat and brentuximab vedotin. ESC advised that the studies included are predominately non-randomised studies of small populations such that ESC could not make direct </w:t>
            </w:r>
            <w:r w:rsidRPr="00EB3420">
              <w:t xml:space="preserve">comparisons, leading to continuing uncertainty about </w:t>
            </w:r>
            <w:r>
              <w:t xml:space="preserve">comparative </w:t>
            </w:r>
            <w:r w:rsidRPr="00EB3420">
              <w:t>effectiveness and safety</w:t>
            </w:r>
            <w:r>
              <w:t>. ESC considered that ECP is still likely safer than, and at least as effective as, other treatments for stage T4, M0 CTCL. ESC also noted that the evidence is unlikely to improve because this is a rare condition.</w:t>
            </w:r>
          </w:p>
          <w:p w14:paraId="2BC975F3" w14:textId="77777777" w:rsidR="006E4DE3" w:rsidRDefault="006E4DE3" w:rsidP="00BC52A8">
            <w:pPr>
              <w:pStyle w:val="TableText"/>
            </w:pPr>
            <w:r>
              <w:t>The stated proportional use of vorinostat and brentuximab vedotin at 13% and 9% respectively, should be confirmed by the applicant as reflecting current usage estimates.</w:t>
            </w:r>
          </w:p>
        </w:tc>
      </w:tr>
      <w:tr w:rsidR="006E4DE3" w14:paraId="6BA17F73" w14:textId="77777777" w:rsidTr="00BC52A8">
        <w:tc>
          <w:tcPr>
            <w:tcW w:w="1980" w:type="dxa"/>
          </w:tcPr>
          <w:p w14:paraId="30A323D8" w14:textId="77777777" w:rsidR="006E4DE3" w:rsidRDefault="006E4DE3" w:rsidP="00BC52A8">
            <w:pPr>
              <w:pStyle w:val="TableText"/>
            </w:pPr>
            <w:r>
              <w:t>The proposed item fee has not been justified in the resubmission or the pre-ESC response</w:t>
            </w:r>
          </w:p>
        </w:tc>
        <w:tc>
          <w:tcPr>
            <w:tcW w:w="7036" w:type="dxa"/>
          </w:tcPr>
          <w:p w14:paraId="7DA2DA66" w14:textId="77777777" w:rsidR="006E4DE3" w:rsidRDefault="006E4DE3" w:rsidP="00BC52A8">
            <w:pPr>
              <w:pStyle w:val="TableText"/>
            </w:pPr>
            <w:r>
              <w:t>ESC suggested that the fee needs to be categorised and justified in defining both the personnel costs, as well as the cost of any consumables. ESC noted that what is described by the applicant as ‘consumables’ is in fact the medical device (i.e. the proprietary procedural kit supplied by the sponsor). Clarity regarding the cost of the procedural kit versus other consumables would be helpful.</w:t>
            </w:r>
          </w:p>
        </w:tc>
      </w:tr>
      <w:tr w:rsidR="006E4DE3" w14:paraId="15C3547E" w14:textId="77777777" w:rsidTr="00BC52A8">
        <w:tc>
          <w:tcPr>
            <w:tcW w:w="1980" w:type="dxa"/>
          </w:tcPr>
          <w:p w14:paraId="2DA35D7C" w14:textId="77777777" w:rsidR="006E4DE3" w:rsidRDefault="006E4DE3" w:rsidP="00BC52A8">
            <w:pPr>
              <w:pStyle w:val="TableText"/>
            </w:pPr>
            <w:r>
              <w:t>MBS descriptor now aligns with the PBS restriction of methoxsalen</w:t>
            </w:r>
          </w:p>
        </w:tc>
        <w:tc>
          <w:tcPr>
            <w:tcW w:w="7036" w:type="dxa"/>
          </w:tcPr>
          <w:p w14:paraId="6F461784" w14:textId="77777777" w:rsidR="006E4DE3" w:rsidRDefault="006E4DE3" w:rsidP="00BC52A8">
            <w:pPr>
              <w:pStyle w:val="TableText"/>
            </w:pPr>
            <w:r>
              <w:t>ESC suggested that the Department’s changes be accepted, which is to address the frequency of treatment issue (i.e. limit the ECP claim to once per cycle of therapy, which may occur over consecutive days). ESC also considered it appropriate to limit the service to hospital only.</w:t>
            </w:r>
          </w:p>
          <w:p w14:paraId="6F010901" w14:textId="77777777" w:rsidR="006E4DE3" w:rsidRDefault="006E4DE3" w:rsidP="00BC52A8">
            <w:pPr>
              <w:pStyle w:val="TableText"/>
            </w:pPr>
            <w:r>
              <w:t>However, given the anticipated use of ECP to be only delivered in public hospital settings due to the initial expense of the equipment and expertise required, the PBS is then not the appropriate funding mechanism for methoxsalen if patients are admitted for treatment. Rather, medicines used for treatment of public inpatients are funded under the National Health Reform Agreement.</w:t>
            </w:r>
          </w:p>
        </w:tc>
      </w:tr>
      <w:tr w:rsidR="006E4DE3" w14:paraId="5A0088DF" w14:textId="77777777" w:rsidTr="00BC52A8">
        <w:tc>
          <w:tcPr>
            <w:tcW w:w="1980" w:type="dxa"/>
          </w:tcPr>
          <w:p w14:paraId="018D1342" w14:textId="77777777" w:rsidR="006E4DE3" w:rsidRDefault="006E4DE3" w:rsidP="00BC52A8">
            <w:pPr>
              <w:pStyle w:val="TableText"/>
              <w:keepNext w:val="0"/>
            </w:pPr>
            <w:r>
              <w:t>Revised ICERs in the resubmission</w:t>
            </w:r>
          </w:p>
        </w:tc>
        <w:tc>
          <w:tcPr>
            <w:tcW w:w="7036" w:type="dxa"/>
          </w:tcPr>
          <w:p w14:paraId="1C288845" w14:textId="0585ABEA" w:rsidR="006E4DE3" w:rsidRDefault="006E4DE3" w:rsidP="00F81D3C">
            <w:pPr>
              <w:pStyle w:val="TableText"/>
            </w:pPr>
            <w:r>
              <w:t xml:space="preserve">ESC considered that the modelled ICER in the resubmission is lower and more certain than the </w:t>
            </w:r>
            <w:r w:rsidR="00F81D3C">
              <w:t>previous</w:t>
            </w:r>
            <w:r>
              <w:t xml:space="preserve"> submission. Even when the effective price of brentuximab </w:t>
            </w:r>
            <w:r w:rsidR="00AE6A42">
              <w:t xml:space="preserve">vedotin </w:t>
            </w:r>
            <w:r>
              <w:t xml:space="preserve">is used, the weighted ICER is lower than in the previous submission. Given the impact of the brentuximab </w:t>
            </w:r>
            <w:r w:rsidR="00AE6A42">
              <w:t xml:space="preserve">vedotin </w:t>
            </w:r>
            <w:r>
              <w:t>price, greater justification for the proposed weighting of brentuximab</w:t>
            </w:r>
            <w:r w:rsidR="00AE6A42">
              <w:t xml:space="preserve"> vedotin</w:t>
            </w:r>
            <w:r>
              <w:t xml:space="preserve"> and other therapies in the group of comparators is warranted.</w:t>
            </w:r>
          </w:p>
        </w:tc>
      </w:tr>
      <w:tr w:rsidR="006E4DE3" w14:paraId="54497B05" w14:textId="77777777" w:rsidTr="00BC52A8">
        <w:tc>
          <w:tcPr>
            <w:tcW w:w="1980" w:type="dxa"/>
          </w:tcPr>
          <w:p w14:paraId="618FB521" w14:textId="77777777" w:rsidR="006E4DE3" w:rsidRDefault="006E4DE3" w:rsidP="00BC52A8">
            <w:pPr>
              <w:pStyle w:val="TableText"/>
            </w:pPr>
            <w:r>
              <w:t>Uncertainty about the ECP treatment regimen (number of cycles per patient)</w:t>
            </w:r>
          </w:p>
        </w:tc>
        <w:tc>
          <w:tcPr>
            <w:tcW w:w="7036" w:type="dxa"/>
          </w:tcPr>
          <w:p w14:paraId="61249A8A" w14:textId="3B2112B1" w:rsidR="006E4DE3" w:rsidRDefault="006E4DE3" w:rsidP="00BC52A8">
            <w:pPr>
              <w:pStyle w:val="TableText"/>
            </w:pPr>
            <w:r>
              <w:t>This has not been addressed in the ADAR or in the pre-ESC response. ESC queried whether the risk of higher-than-expected patient use could be mitigated by limiting the total number of cycles permitted per patient (either in the MBS item descriptor or in the PB</w:t>
            </w:r>
            <w:r w:rsidR="001E2295">
              <w:t>S restriction for methoxsalen).</w:t>
            </w:r>
          </w:p>
        </w:tc>
      </w:tr>
    </w:tbl>
    <w:p w14:paraId="2832F0D9" w14:textId="77777777" w:rsidR="004C605E" w:rsidRDefault="004C605E" w:rsidP="00794859">
      <w:pPr>
        <w:keepNext/>
        <w:spacing w:before="240" w:after="240"/>
        <w:rPr>
          <w:b/>
        </w:rPr>
      </w:pPr>
      <w:r w:rsidRPr="00F56D7F">
        <w:rPr>
          <w:b/>
        </w:rPr>
        <w:t>ESC discussion</w:t>
      </w:r>
    </w:p>
    <w:p w14:paraId="70CFD925" w14:textId="186D7B70" w:rsidR="006E4DE3" w:rsidRDefault="006E4DE3" w:rsidP="000B516D">
      <w:pPr>
        <w:spacing w:after="240"/>
      </w:pPr>
      <w:r>
        <w:t>ESC noted that MSAC previously deferred its advice regarding ECP</w:t>
      </w:r>
      <w:r w:rsidR="000B516D">
        <w:t xml:space="preserve"> to treat </w:t>
      </w:r>
      <w:r>
        <w:t>CTCL patients, and recommended that a new economic model be submitted including vorinostat as a comparator. The resubmission included both vorinostat and bren</w:t>
      </w:r>
      <w:r w:rsidR="000B516D">
        <w:t>tuximab vedotin as comparators.</w:t>
      </w:r>
    </w:p>
    <w:p w14:paraId="70CA6536" w14:textId="4A0C9E6B" w:rsidR="006E4DE3" w:rsidRDefault="006E4DE3" w:rsidP="006E4DE3">
      <w:pPr>
        <w:pStyle w:val="NormalBeforeBullet"/>
      </w:pPr>
      <w:r>
        <w:t xml:space="preserve">ESC noted that the new proposed item descriptor addressed the following requests from MSAC from the </w:t>
      </w:r>
      <w:r w:rsidR="00F81D3C">
        <w:t>previous</w:t>
      </w:r>
      <w:r w:rsidR="003623D3">
        <w:t xml:space="preserve"> submission:</w:t>
      </w:r>
    </w:p>
    <w:p w14:paraId="1F99C3BA" w14:textId="77777777" w:rsidR="006E4DE3" w:rsidRDefault="006E4DE3" w:rsidP="006E4DE3">
      <w:pPr>
        <w:pStyle w:val="Bullet"/>
      </w:pPr>
      <w:r>
        <w:t>The item descriptor now aligns with the proposed PBS restriction of methoxsalen.</w:t>
      </w:r>
    </w:p>
    <w:p w14:paraId="68F67AD4" w14:textId="77777777" w:rsidR="006E4DE3" w:rsidRDefault="006E4DE3" w:rsidP="006E4DE3">
      <w:pPr>
        <w:pStyle w:val="Bullet"/>
      </w:pPr>
      <w:r>
        <w:t>A mechanism is now in place to restrict ECP to second-line use.</w:t>
      </w:r>
    </w:p>
    <w:p w14:paraId="52D30310" w14:textId="77777777" w:rsidR="006E4DE3" w:rsidRDefault="006E4DE3" w:rsidP="006E4DE3">
      <w:pPr>
        <w:pStyle w:val="Bullet"/>
      </w:pPr>
      <w:r>
        <w:t>Wording is included in the descriptor to limit use to trained professionals.</w:t>
      </w:r>
    </w:p>
    <w:p w14:paraId="042953CF" w14:textId="77777777" w:rsidR="006E4DE3" w:rsidRDefault="006E4DE3" w:rsidP="006E4DE3">
      <w:pPr>
        <w:pStyle w:val="BulletLast"/>
      </w:pPr>
      <w:r>
        <w:lastRenderedPageBreak/>
        <w:t>ECP is to be used with methoxsalen.</w:t>
      </w:r>
    </w:p>
    <w:p w14:paraId="4080DB41" w14:textId="77777777" w:rsidR="006E4DE3" w:rsidRDefault="006E4DE3" w:rsidP="006E4DE3">
      <w:pPr>
        <w:pStyle w:val="NormalBeforeBullet"/>
      </w:pPr>
      <w:r>
        <w:t>However, ESC noted the following changes to the item descriptor have not been included in the resubmission:</w:t>
      </w:r>
    </w:p>
    <w:p w14:paraId="2A682927" w14:textId="77777777" w:rsidR="006E4DE3" w:rsidRDefault="006E4DE3" w:rsidP="006E4DE3">
      <w:pPr>
        <w:pStyle w:val="Bullet"/>
      </w:pPr>
      <w:r>
        <w:t>no statement that ECP is not to be used concurrently with other systemic CTCL treatments</w:t>
      </w:r>
    </w:p>
    <w:p w14:paraId="78FF7D27" w14:textId="77777777" w:rsidR="006E4DE3" w:rsidRDefault="006E4DE3" w:rsidP="006E4DE3">
      <w:pPr>
        <w:pStyle w:val="Bullet"/>
      </w:pPr>
      <w:r>
        <w:t>no information on the source of referral and accreditation of specialists providing the service</w:t>
      </w:r>
    </w:p>
    <w:p w14:paraId="7C714603" w14:textId="77777777" w:rsidR="006E4DE3" w:rsidRDefault="006E4DE3" w:rsidP="006E4DE3">
      <w:pPr>
        <w:pStyle w:val="BulletLast"/>
      </w:pPr>
      <w:r>
        <w:t>no reduction in fee.</w:t>
      </w:r>
    </w:p>
    <w:p w14:paraId="7DF588A0" w14:textId="56834F1D" w:rsidR="006E4DE3" w:rsidRDefault="006E4DE3" w:rsidP="000B516D">
      <w:pPr>
        <w:spacing w:after="240"/>
      </w:pPr>
      <w:r>
        <w:t>ESC discussed the practicality of limiting each cycle of ECP to a single treatment, as ECP is a 1–2 day treatment, and other systemic treatments can start afterwards or between cycles. The current PBS listing</w:t>
      </w:r>
      <w:r w:rsidR="00794859">
        <w:t>s</w:t>
      </w:r>
      <w:r>
        <w:t xml:space="preserve"> prevent concurrent use with other PBS-listed treatments, which ESC considered to be a reasonable option to prevent concurrent use with other medicines.</w:t>
      </w:r>
      <w:r w:rsidRPr="001F5F3C">
        <w:t xml:space="preserve"> </w:t>
      </w:r>
      <w:r>
        <w:t>However, ECP is often used with concurrent therapies in trials, in clinical practice and as recommended by the NCCN guidelines, as are many of the comparators. ESC was concerned that the ADAR and pre-ESC response did not address this</w:t>
      </w:r>
      <w:r w:rsidR="000B516D">
        <w:t>.</w:t>
      </w:r>
    </w:p>
    <w:p w14:paraId="19FEC93B" w14:textId="787D7595" w:rsidR="006E4DE3" w:rsidRDefault="006E4DE3" w:rsidP="000B516D">
      <w:pPr>
        <w:spacing w:after="240"/>
      </w:pPr>
      <w:r>
        <w:rPr>
          <w:rFonts w:eastAsia="Calibri"/>
          <w:lang w:eastAsia="en-US"/>
        </w:rPr>
        <w:t xml:space="preserve">ESC supported the Department’s suggested wording changes to the descriptor, but recommended that the frequency be limited to once per cycle which addresses the commentary’s concern regarding the potential for double claiming of the MBS item if treatment is administered over 2 days. ESC agreed that the procedure should be an overnight procedure (type A). This also </w:t>
      </w:r>
      <w:r>
        <w:t xml:space="preserve">addresses the commentary’s concern regarding the item number being billed twice per week. ESC noted the lack of consensus regarding the optimal ECP protocol in the literature (which affects costing), but the literature does support the claim that ECP will not be billed more </w:t>
      </w:r>
      <w:r w:rsidR="000B516D">
        <w:t>than once per week in any case.</w:t>
      </w:r>
    </w:p>
    <w:p w14:paraId="20683E60" w14:textId="68C0DED0" w:rsidR="006E4DE3" w:rsidRDefault="006E4DE3" w:rsidP="006E4DE3">
      <w:pPr>
        <w:rPr>
          <w:rFonts w:eastAsia="Calibri"/>
          <w:lang w:eastAsia="en-US"/>
        </w:rPr>
      </w:pPr>
      <w:r>
        <w:rPr>
          <w:rFonts w:eastAsia="Calibri"/>
          <w:lang w:eastAsia="en-US"/>
        </w:rPr>
        <w:t>ESC queried including the cost of consumables ($</w:t>
      </w:r>
      <w:r w:rsidR="00C63650" w:rsidRPr="00C63650">
        <w:rPr>
          <w:rFonts w:eastAsia="Calibri"/>
          <w:b/>
          <w:lang w:eastAsia="en-US"/>
        </w:rPr>
        <w:t>redacted</w:t>
      </w:r>
      <w:r>
        <w:rPr>
          <w:rFonts w:eastAsia="Calibri"/>
          <w:lang w:eastAsia="en-US"/>
        </w:rPr>
        <w:t>) and considered that this was actually the cost of the device, which is a procedural kit. ESC considered this to be unacceptable. ESC also queried whether the $</w:t>
      </w:r>
      <w:r w:rsidR="00C63650" w:rsidRPr="00C63650">
        <w:rPr>
          <w:rFonts w:eastAsia="Calibri"/>
          <w:b/>
          <w:lang w:eastAsia="en-US"/>
        </w:rPr>
        <w:t>redacted</w:t>
      </w:r>
      <w:r w:rsidR="00C63650" w:rsidDel="00C63650">
        <w:rPr>
          <w:rFonts w:eastAsia="Calibri"/>
          <w:lang w:eastAsia="en-US"/>
        </w:rPr>
        <w:t xml:space="preserve"> </w:t>
      </w:r>
      <w:r>
        <w:rPr>
          <w:rFonts w:eastAsia="Calibri"/>
          <w:lang w:eastAsia="en-US"/>
        </w:rPr>
        <w:t>included initial training costs, and requested that the applicant present a detailed cost bre</w:t>
      </w:r>
      <w:r w:rsidR="000B516D">
        <w:rPr>
          <w:rFonts w:eastAsia="Calibri"/>
          <w:lang w:eastAsia="en-US"/>
        </w:rPr>
        <w:t>akdown of the proposed service.</w:t>
      </w:r>
    </w:p>
    <w:p w14:paraId="28181DB7" w14:textId="70442D64" w:rsidR="006E4DE3" w:rsidRDefault="006E4DE3" w:rsidP="000B516D">
      <w:pPr>
        <w:spacing w:after="240"/>
        <w:rPr>
          <w:rFonts w:eastAsia="Calibri"/>
          <w:lang w:eastAsia="en-US"/>
        </w:rPr>
      </w:pPr>
      <w:r>
        <w:rPr>
          <w:rFonts w:eastAsia="Calibri"/>
          <w:lang w:eastAsia="en-US"/>
        </w:rPr>
        <w:t>The associated PBS listing of methoxsalen would enable subsidised treatment of patients in the community (out of scope of ECP), private hospital inpatients (very likely out of scope of ECP) and public hospital outpatients - likely in scope for ECP for some, but not all patients, as some will require management of adverse effects of the procedure o</w:t>
      </w:r>
      <w:r w:rsidR="000B516D">
        <w:rPr>
          <w:rFonts w:eastAsia="Calibri"/>
          <w:lang w:eastAsia="en-US"/>
        </w:rPr>
        <w:t>r require overnight monitoring.</w:t>
      </w:r>
    </w:p>
    <w:p w14:paraId="4038C042" w14:textId="77777777" w:rsidR="006E4DE3" w:rsidRDefault="006E4DE3" w:rsidP="00794859">
      <w:pPr>
        <w:spacing w:after="240"/>
        <w:rPr>
          <w:rFonts w:eastAsia="Calibri"/>
          <w:lang w:eastAsia="en-US"/>
        </w:rPr>
      </w:pPr>
      <w:r>
        <w:rPr>
          <w:rFonts w:eastAsia="Calibri"/>
          <w:lang w:eastAsia="en-US"/>
        </w:rPr>
        <w:t xml:space="preserve">ESC expressed some concern about using ECP as a second-line treatment in the clinical algorithm, as </w:t>
      </w:r>
      <w:r w:rsidRPr="008179CC">
        <w:rPr>
          <w:rFonts w:eastAsia="Calibri"/>
          <w:lang w:eastAsia="en-US"/>
        </w:rPr>
        <w:t>the NCCN guidelines recommend</w:t>
      </w:r>
      <w:r>
        <w:rPr>
          <w:rFonts w:eastAsia="Calibri"/>
          <w:lang w:eastAsia="en-US"/>
        </w:rPr>
        <w:t xml:space="preserve"> using it as a first-line treatment option. ESC queried how using ECP as first-line treatment would affect the economic outcomes.</w:t>
      </w:r>
    </w:p>
    <w:p w14:paraId="6663BA3B" w14:textId="6BE6AC1A" w:rsidR="006E4DE3" w:rsidRDefault="006E4DE3" w:rsidP="000B516D">
      <w:pPr>
        <w:spacing w:after="240"/>
        <w:rPr>
          <w:rFonts w:eastAsia="Calibri"/>
          <w:lang w:eastAsia="en-US"/>
        </w:rPr>
      </w:pPr>
      <w:r>
        <w:rPr>
          <w:rFonts w:eastAsia="Calibri"/>
          <w:lang w:eastAsia="en-US"/>
        </w:rPr>
        <w:t>ESC noted the addition of the Gao et al. (2018) study in the resubmission, which reflects a more contemporary cohort, but still comprises few patients. Comparator studies also comprise case series data, and ESC considered that the limitations and differences among all the study data make it difficul</w:t>
      </w:r>
      <w:r w:rsidR="000B516D">
        <w:rPr>
          <w:rFonts w:eastAsia="Calibri"/>
          <w:lang w:eastAsia="en-US"/>
        </w:rPr>
        <w:t>t to assess comparative safety.</w:t>
      </w:r>
    </w:p>
    <w:p w14:paraId="79167579" w14:textId="41DAC713" w:rsidR="006E4DE3" w:rsidRDefault="006E4DE3" w:rsidP="000B516D">
      <w:pPr>
        <w:spacing w:after="240"/>
        <w:rPr>
          <w:rFonts w:eastAsia="Calibri"/>
          <w:lang w:eastAsia="en-US"/>
        </w:rPr>
      </w:pPr>
      <w:r>
        <w:rPr>
          <w:rFonts w:eastAsia="Calibri"/>
          <w:lang w:eastAsia="en-US"/>
        </w:rPr>
        <w:t>ESC accepted the</w:t>
      </w:r>
      <w:r w:rsidR="000B516D">
        <w:rPr>
          <w:rFonts w:eastAsia="Calibri"/>
          <w:lang w:eastAsia="en-US"/>
        </w:rPr>
        <w:t xml:space="preserve"> use of </w:t>
      </w:r>
      <w:r>
        <w:rPr>
          <w:rFonts w:eastAsia="Calibri"/>
          <w:lang w:eastAsia="en-US"/>
        </w:rPr>
        <w:t xml:space="preserve">TTNT as a primary outcome measure, but noted that ECP is given for at least 6 months before clinicians decide whether to continue. Consequently, the TTNT endpoint inherently favours ECP. ESC acknowledged that using TTNT to derive survival curves for each treatment is not ideal, but it is preferable to the method used in the </w:t>
      </w:r>
      <w:r w:rsidR="00F81D3C">
        <w:rPr>
          <w:rFonts w:eastAsia="Calibri"/>
          <w:lang w:eastAsia="en-US"/>
        </w:rPr>
        <w:t>previous</w:t>
      </w:r>
      <w:r>
        <w:rPr>
          <w:rFonts w:eastAsia="Calibri"/>
          <w:lang w:eastAsia="en-US"/>
        </w:rPr>
        <w:t xml:space="preserve"> submission (describing median TTNT). Due to this 6-month lead time, ESC considered it </w:t>
      </w:r>
      <w:r>
        <w:rPr>
          <w:rFonts w:eastAsia="Calibri"/>
          <w:lang w:eastAsia="en-US"/>
        </w:rPr>
        <w:lastRenderedPageBreak/>
        <w:t>may be more appropriate to have two MBS items: one for initial treatment and one for continued use after confirmed response to initial treatment. This would be consistent with the propos</w:t>
      </w:r>
      <w:r w:rsidR="000B516D">
        <w:rPr>
          <w:rFonts w:eastAsia="Calibri"/>
          <w:lang w:eastAsia="en-US"/>
        </w:rPr>
        <w:t>ed PBS listing for methoxsalen.</w:t>
      </w:r>
    </w:p>
    <w:p w14:paraId="04210849" w14:textId="1D242E72" w:rsidR="006E4DE3" w:rsidRDefault="006E4DE3" w:rsidP="000B516D">
      <w:pPr>
        <w:spacing w:after="240"/>
      </w:pPr>
      <w:r>
        <w:t>ESC considered that the weighted comparators (46% methotrexate, 32% interferon</w:t>
      </w:r>
      <w:r w:rsidR="0007649E" w:rsidRPr="00182250">
        <w:t>-α</w:t>
      </w:r>
      <w:r>
        <w:t xml:space="preserve">, 13% vorinostat, 9% brentuximab vedotin) were mostly valid, but noted there was no justification for the vorinostat/brentuximab </w:t>
      </w:r>
      <w:r w:rsidR="00AE6A42">
        <w:t xml:space="preserve">vedotin </w:t>
      </w:r>
      <w:r>
        <w:t>split. Justification of the</w:t>
      </w:r>
      <w:r w:rsidRPr="00DD71C0">
        <w:t xml:space="preserve"> </w:t>
      </w:r>
      <w:r>
        <w:t xml:space="preserve">vorinostat/brentuximab </w:t>
      </w:r>
      <w:r w:rsidR="00AE6A42">
        <w:t xml:space="preserve">vedotin </w:t>
      </w:r>
      <w:r>
        <w:t xml:space="preserve">proportional split is required given that inclusion of the relatively higher cost brentuximab </w:t>
      </w:r>
      <w:r w:rsidR="00AE6A42">
        <w:t xml:space="preserve">vedotin </w:t>
      </w:r>
      <w:r>
        <w:t xml:space="preserve">in the comparator arms favours ECP. ESC agreed with the pre-ESC response that vorinostat and brentuximab </w:t>
      </w:r>
      <w:r w:rsidR="00AE6A42">
        <w:t xml:space="preserve">vedotin </w:t>
      </w:r>
      <w:r>
        <w:t>should be included, and that it was acceptable to include interferon</w:t>
      </w:r>
      <w:r w:rsidR="0007649E" w:rsidRPr="00182250">
        <w:t>-α</w:t>
      </w:r>
      <w:r>
        <w:t xml:space="preserve"> (</w:t>
      </w:r>
      <w:r w:rsidR="000B516D">
        <w:t>as previously advised by MSAC).</w:t>
      </w:r>
    </w:p>
    <w:p w14:paraId="0F8D3365" w14:textId="218DDA45" w:rsidR="006E4DE3" w:rsidRDefault="006E4DE3" w:rsidP="000B516D">
      <w:pPr>
        <w:spacing w:after="240"/>
      </w:pPr>
      <w:r>
        <w:t>ESC noted the commentary’s query regarding the ADAR using health states that are not based on disease status, but agreed with the pre-ESC response that defining health states by treatment allows modelling of multiple pathways of care in the comparator arm and displacement of therapies by ECP, which aligns with previous MSAC advice. However, ESC considered that the applicant needs to better justify the choice of specific treatment se</w:t>
      </w:r>
      <w:r w:rsidR="000B516D">
        <w:t>quences in each comparator arm.</w:t>
      </w:r>
    </w:p>
    <w:p w14:paraId="1A0785D0" w14:textId="5C23309E" w:rsidR="006E4DE3" w:rsidRDefault="006E4DE3" w:rsidP="000B516D">
      <w:pPr>
        <w:spacing w:after="240"/>
      </w:pPr>
      <w:r>
        <w:t>ESC noted the commentary’s discussion regarding sources and derivation of utility weights, and considered that the higher utility weight for ECP (0.73) compared with the other treatments (0.59–0.68) is driving the mod</w:t>
      </w:r>
      <w:r w:rsidR="000B516D">
        <w:t xml:space="preserve">elled </w:t>
      </w:r>
      <w:r>
        <w:t>QALY gain. However, given the limited evidence for other CTCL treatments, ESC considered it reasonable to test the model with additional sensitivity analyses to glean more information regarding the r</w:t>
      </w:r>
      <w:r w:rsidR="000B516D">
        <w:t>obustness of the ICERs.</w:t>
      </w:r>
    </w:p>
    <w:p w14:paraId="36AF101B" w14:textId="1C0DF162" w:rsidR="006E4DE3" w:rsidRDefault="006E4DE3" w:rsidP="000B516D">
      <w:pPr>
        <w:spacing w:after="240"/>
      </w:pPr>
      <w:r>
        <w:t xml:space="preserve">ESC noted that the applicant used the effective price (not </w:t>
      </w:r>
      <w:r w:rsidR="00C30EB0">
        <w:t>published</w:t>
      </w:r>
      <w:r>
        <w:t xml:space="preserve"> price) of brentuximab</w:t>
      </w:r>
      <w:r w:rsidR="00AE6A42">
        <w:t xml:space="preserve"> vedotin</w:t>
      </w:r>
      <w:r>
        <w:t xml:space="preserve">, which impacts the ICER for each modelled arm, as the applicant does not have access to the </w:t>
      </w:r>
      <w:r w:rsidR="00C30EB0">
        <w:t>effective</w:t>
      </w:r>
      <w:r>
        <w:t xml:space="preserve"> price. The weighted ICER with the brentuximab </w:t>
      </w:r>
      <w:r w:rsidR="00AE6A42">
        <w:t xml:space="preserve">vedotin </w:t>
      </w:r>
      <w:r>
        <w:t>effective price is $</w:t>
      </w:r>
      <w:r w:rsidR="0004535E" w:rsidRPr="0004535E">
        <w:rPr>
          <w:b/>
        </w:rPr>
        <w:t>redacted</w:t>
      </w:r>
      <w:r>
        <w:t xml:space="preserve"> per QALY, compared with ~$150,000 per QALY in the </w:t>
      </w:r>
      <w:r w:rsidR="00F81D3C">
        <w:t>previous</w:t>
      </w:r>
      <w:r w:rsidR="000B516D">
        <w:t xml:space="preserve"> submission.</w:t>
      </w:r>
    </w:p>
    <w:p w14:paraId="0ED2A6C4" w14:textId="4AEF8046" w:rsidR="006E4DE3" w:rsidRDefault="006E4DE3" w:rsidP="000B516D">
      <w:pPr>
        <w:spacing w:after="240"/>
      </w:pPr>
      <w:r>
        <w:t xml:space="preserve">ESC noted the differing treatment regimens proposed in the </w:t>
      </w:r>
      <w:r w:rsidR="00F81D3C">
        <w:t>previous</w:t>
      </w:r>
      <w:r>
        <w:t xml:space="preserve"> submission and the resubmission, and recognised the risk of the total cost per patient being higher than $</w:t>
      </w:r>
      <w:r w:rsidR="0061615B" w:rsidRPr="00C63650">
        <w:rPr>
          <w:rFonts w:eastAsia="Calibri"/>
          <w:b/>
          <w:lang w:eastAsia="en-US"/>
        </w:rPr>
        <w:t>redacted</w:t>
      </w:r>
      <w:r>
        <w:t xml:space="preserve">. The recommended regimen in the </w:t>
      </w:r>
      <w:r w:rsidRPr="0092262E">
        <w:t>National Comprehensive Cancer Network</w:t>
      </w:r>
      <w:r w:rsidRPr="0092262E" w:rsidDel="0092262E">
        <w:t xml:space="preserve"> </w:t>
      </w:r>
      <w:r>
        <w:t xml:space="preserve">guidelines would result in 21 cycles over 14 months (see Table 7 in the commentary). Increasing costs per patient could be mitigated by limiting the number of cycles permitted </w:t>
      </w:r>
      <w:r w:rsidRPr="008C1E4C">
        <w:t>(either in the MBS item descriptor or in the PBS restriction for methoxsalen).</w:t>
      </w:r>
      <w:r>
        <w:t xml:space="preserve"> However, ESC queried the rationale for stopping a treatment after 18 cycles if it is continuing to be effective, and noted that the potential for patients receiving more than 18 cycles has not been accounte</w:t>
      </w:r>
      <w:r w:rsidR="000B516D">
        <w:t>d for in the financial impacts.</w:t>
      </w:r>
    </w:p>
    <w:p w14:paraId="3C8068B1" w14:textId="6F14F696" w:rsidR="006E4DE3" w:rsidRDefault="006E4DE3" w:rsidP="000B516D">
      <w:pPr>
        <w:spacing w:after="240"/>
        <w:rPr>
          <w:rFonts w:eastAsia="Calibri"/>
          <w:lang w:eastAsia="en-US"/>
        </w:rPr>
      </w:pPr>
      <w:r w:rsidRPr="00E53938">
        <w:rPr>
          <w:rFonts w:eastAsia="Calibri"/>
          <w:lang w:eastAsia="en-US"/>
        </w:rPr>
        <w:t>ESC noted that the pre-ESC response stated that peginterferon</w:t>
      </w:r>
      <w:r w:rsidR="0007649E" w:rsidRPr="00182250">
        <w:t>-α</w:t>
      </w:r>
      <w:r w:rsidR="0007649E">
        <w:t>2a</w:t>
      </w:r>
      <w:r w:rsidRPr="00E53938">
        <w:rPr>
          <w:rFonts w:eastAsia="Calibri"/>
          <w:lang w:eastAsia="en-US"/>
        </w:rPr>
        <w:t xml:space="preserve"> now </w:t>
      </w:r>
      <w:r>
        <w:rPr>
          <w:rFonts w:eastAsia="Calibri"/>
          <w:lang w:eastAsia="en-US"/>
        </w:rPr>
        <w:t xml:space="preserve">has </w:t>
      </w:r>
      <w:r w:rsidRPr="00E53938">
        <w:rPr>
          <w:rFonts w:eastAsia="Calibri"/>
          <w:lang w:eastAsia="en-US"/>
        </w:rPr>
        <w:t>an unrestricted PBS listing, which could affect the economic model (</w:t>
      </w:r>
      <w:r>
        <w:rPr>
          <w:rFonts w:eastAsia="Calibri"/>
          <w:lang w:eastAsia="en-US"/>
        </w:rPr>
        <w:t xml:space="preserve">which </w:t>
      </w:r>
      <w:r w:rsidRPr="00E53938">
        <w:rPr>
          <w:rFonts w:eastAsia="Calibri"/>
          <w:lang w:eastAsia="en-US"/>
        </w:rPr>
        <w:t>includes the non-pegylated cost). ESC recommended that the</w:t>
      </w:r>
      <w:r>
        <w:rPr>
          <w:rFonts w:eastAsia="Calibri"/>
          <w:lang w:eastAsia="en-US"/>
        </w:rPr>
        <w:t xml:space="preserve"> equi-effective dose of non-pegylated </w:t>
      </w:r>
      <w:r w:rsidR="0007649E">
        <w:rPr>
          <w:rFonts w:eastAsia="Calibri"/>
          <w:lang w:eastAsia="en-US"/>
        </w:rPr>
        <w:t>interferon</w:t>
      </w:r>
      <w:r w:rsidR="0007649E" w:rsidRPr="00182250">
        <w:t>-α</w:t>
      </w:r>
      <w:r w:rsidR="0007649E">
        <w:t>2a</w:t>
      </w:r>
      <w:r w:rsidR="0007649E">
        <w:rPr>
          <w:rFonts w:eastAsia="Calibri"/>
          <w:lang w:eastAsia="en-US"/>
        </w:rPr>
        <w:t xml:space="preserve"> </w:t>
      </w:r>
      <w:r>
        <w:rPr>
          <w:rFonts w:eastAsia="Calibri"/>
          <w:lang w:eastAsia="en-US"/>
        </w:rPr>
        <w:t>versus peginterferon</w:t>
      </w:r>
      <w:r w:rsidR="0007649E" w:rsidRPr="00182250">
        <w:t>-α</w:t>
      </w:r>
      <w:r w:rsidR="0007649E">
        <w:t>2a</w:t>
      </w:r>
      <w:r>
        <w:rPr>
          <w:rFonts w:eastAsia="Calibri"/>
          <w:lang w:eastAsia="en-US"/>
        </w:rPr>
        <w:t xml:space="preserve"> be investigated and incorporate</w:t>
      </w:r>
      <w:r w:rsidR="000B516D">
        <w:rPr>
          <w:rFonts w:eastAsia="Calibri"/>
          <w:lang w:eastAsia="en-US"/>
        </w:rPr>
        <w:t>d in the economic model.</w:t>
      </w:r>
    </w:p>
    <w:p w14:paraId="33C15B34" w14:textId="3A088DB9" w:rsidR="006E4DE3" w:rsidRDefault="006E4DE3" w:rsidP="000B516D">
      <w:pPr>
        <w:spacing w:after="240"/>
      </w:pPr>
      <w:r>
        <w:t xml:space="preserve">The commentary expressed concern about leakage to the graft-versus-host disease (GVHD) population, but ESC considered that the detailed MBS item descriptor will mitigate this. ESC noted that the applicant has stated </w:t>
      </w:r>
      <w:r w:rsidR="00571064">
        <w:t>it</w:t>
      </w:r>
      <w:r>
        <w:t xml:space="preserve"> will be submitting a separate MSAC application </w:t>
      </w:r>
      <w:r w:rsidR="000B516D">
        <w:t>for ECP in the GVHD population.</w:t>
      </w:r>
    </w:p>
    <w:p w14:paraId="47D237B2" w14:textId="571A624F" w:rsidR="006E4DE3" w:rsidRDefault="006E4DE3" w:rsidP="000B516D">
      <w:pPr>
        <w:spacing w:after="240"/>
      </w:pPr>
      <w:r>
        <w:lastRenderedPageBreak/>
        <w:t>ESC noted some uncertainty in the financial impact, in that all services are attributable to the one year of treatment. ESC considered that, in reality, patients will be staggered for treatment over &gt;12 months and that treatment duration</w:t>
      </w:r>
      <w:r w:rsidR="000B516D">
        <w:t xml:space="preserve"> will be longer than 12 months.</w:t>
      </w:r>
    </w:p>
    <w:p w14:paraId="750B0EEA" w14:textId="6CED5223" w:rsidR="006E4DE3" w:rsidRDefault="006E4DE3" w:rsidP="000B516D">
      <w:pPr>
        <w:spacing w:after="240"/>
      </w:pPr>
      <w:r>
        <w:t>ESC noted the applicant proposed a sponsor-led support program to ensure quality, system installation, repair and training for new services. However, the applicant included few details about such a program, and ESC requested that mo</w:t>
      </w:r>
      <w:r w:rsidR="000B516D">
        <w:t>re detail be sought about this.</w:t>
      </w:r>
    </w:p>
    <w:p w14:paraId="444811C8" w14:textId="77777777" w:rsidR="006E4DE3" w:rsidRDefault="006E4DE3" w:rsidP="006E4DE3">
      <w:r>
        <w:t xml:space="preserve">ESC discussed the general issue of funding ECP through the MBS, as the service already has an </w:t>
      </w:r>
      <w:r>
        <w:rPr>
          <w:lang w:eastAsia="en-US"/>
        </w:rPr>
        <w:t>AR-DRG code</w:t>
      </w:r>
      <w:r>
        <w:t>. ECP is currently delivered for CTCL at one centre in Melbourne, which the Victorian Government partially funds. ESC noted it was unlikely that this service would be available in private hospitals. ESC also noted the likely ongoing access issue for patients, as this service would only be available in major cities if approved for listing on the MBS.</w:t>
      </w:r>
    </w:p>
    <w:p w14:paraId="5410C76A" w14:textId="77777777" w:rsidR="004C605E" w:rsidRPr="00F715D1" w:rsidRDefault="004C605E" w:rsidP="004C605E">
      <w:pPr>
        <w:pStyle w:val="Heading1"/>
      </w:pPr>
      <w:r w:rsidRPr="00F715D1">
        <w:t>Other significant factors</w:t>
      </w:r>
    </w:p>
    <w:p w14:paraId="22BEFF8E" w14:textId="77777777" w:rsidR="004C605E" w:rsidRPr="005A4362" w:rsidRDefault="004C605E" w:rsidP="00CC66AE">
      <w:r w:rsidRPr="005A4362">
        <w:t>Nil</w:t>
      </w:r>
      <w:r w:rsidR="00CC66AE">
        <w:t>.</w:t>
      </w:r>
    </w:p>
    <w:p w14:paraId="145EC075" w14:textId="77777777" w:rsidR="004C605E" w:rsidRPr="00F715D1" w:rsidRDefault="004C605E" w:rsidP="004C605E">
      <w:pPr>
        <w:pStyle w:val="Heading1"/>
      </w:pPr>
      <w:r>
        <w:t>Applicant</w:t>
      </w:r>
      <w:r w:rsidRPr="00F715D1">
        <w:t xml:space="preserve"> comments on MSAC’s Public Summary Document</w:t>
      </w:r>
    </w:p>
    <w:p w14:paraId="120A0220" w14:textId="1574E72D" w:rsidR="004C605E" w:rsidRPr="00445D1D" w:rsidRDefault="00445D1D" w:rsidP="004C605E">
      <w:pPr>
        <w:spacing w:after="240"/>
        <w:rPr>
          <w:color w:val="000000" w:themeColor="text1"/>
          <w:szCs w:val="24"/>
        </w:rPr>
      </w:pPr>
      <w:r w:rsidRPr="00445D1D">
        <w:rPr>
          <w:color w:val="000000" w:themeColor="text1"/>
          <w:szCs w:val="24"/>
        </w:rPr>
        <w:t>Mallinckrodt pharmaceuticals welcomes the decision of MSAC. We will continue our efforts to help with Australia’s unmet medical needs</w:t>
      </w:r>
      <w:r w:rsidR="003B0F2D">
        <w:rPr>
          <w:color w:val="000000" w:themeColor="text1"/>
          <w:szCs w:val="24"/>
        </w:rPr>
        <w:t xml:space="preserve"> </w:t>
      </w:r>
      <w:r w:rsidR="006A3B99">
        <w:rPr>
          <w:color w:val="000000" w:themeColor="text1"/>
          <w:szCs w:val="24"/>
        </w:rPr>
        <w:t>for</w:t>
      </w:r>
      <w:r w:rsidR="003B0F2D" w:rsidRPr="003B0F2D">
        <w:rPr>
          <w:color w:val="000000" w:themeColor="text1"/>
          <w:szCs w:val="24"/>
        </w:rPr>
        <w:t xml:space="preserve"> ECP treatment</w:t>
      </w:r>
      <w:r w:rsidRPr="00445D1D">
        <w:rPr>
          <w:color w:val="000000" w:themeColor="text1"/>
          <w:szCs w:val="24"/>
        </w:rPr>
        <w:t>.</w:t>
      </w:r>
    </w:p>
    <w:p w14:paraId="25005341" w14:textId="77777777" w:rsidR="004C605E" w:rsidRPr="00F715D1" w:rsidRDefault="004C605E" w:rsidP="004C605E">
      <w:pPr>
        <w:pStyle w:val="Heading1"/>
      </w:pPr>
      <w:r w:rsidRPr="00F715D1">
        <w:t>Further information on MSAC</w:t>
      </w:r>
    </w:p>
    <w:p w14:paraId="18869EFC" w14:textId="77777777" w:rsidR="004C605E" w:rsidRPr="00F715D1" w:rsidRDefault="004C605E" w:rsidP="004C605E">
      <w:pPr>
        <w:spacing w:after="240"/>
        <w:rPr>
          <w:szCs w:val="24"/>
        </w:rPr>
      </w:pPr>
      <w:r w:rsidRPr="00F715D1">
        <w:rPr>
          <w:szCs w:val="24"/>
        </w:rPr>
        <w:t xml:space="preserve">MSAC Terms of Reference and other information are available on the MSAC Website: </w:t>
      </w:r>
      <w:r>
        <w:rPr>
          <w:szCs w:val="24"/>
        </w:rPr>
        <w:br/>
      </w:r>
      <w:hyperlink r:id="rId12" w:tooltip="Link to Medical Services Advisory Committee website" w:history="1">
        <w:r w:rsidRPr="00F715D1">
          <w:rPr>
            <w:rStyle w:val="Hyperlink"/>
            <w:szCs w:val="24"/>
          </w:rPr>
          <w:t>visit the MSAC website</w:t>
        </w:r>
      </w:hyperlink>
    </w:p>
    <w:sectPr w:rsidR="004C605E" w:rsidRPr="00F715D1" w:rsidSect="00BC52A8">
      <w:footerReference w:type="default" r:id="rId13"/>
      <w:pgSz w:w="11906" w:h="16838"/>
      <w:pgMar w:top="1134" w:right="1440" w:bottom="426"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2D67614" w16cid:durableId="22820DEA"/>
  <w16cid:commentId w16cid:paraId="2A70B649" w16cid:durableId="22821073"/>
  <w16cid:commentId w16cid:paraId="4ABD25AA" w16cid:durableId="22821084"/>
  <w16cid:commentId w16cid:paraId="2959DD20" w16cid:durableId="228210E2"/>
  <w16cid:commentId w16cid:paraId="087C3485" w16cid:durableId="228210C1"/>
  <w16cid:commentId w16cid:paraId="71348D1E" w16cid:durableId="22821720"/>
  <w16cid:commentId w16cid:paraId="667FEDFA" w16cid:durableId="2282176E"/>
  <w16cid:commentId w16cid:paraId="1D3D1C52" w16cid:durableId="22821782"/>
  <w16cid:commentId w16cid:paraId="3A25F099" w16cid:durableId="2282179E"/>
  <w16cid:commentId w16cid:paraId="0CDF70BD" w16cid:durableId="228217A6"/>
  <w16cid:commentId w16cid:paraId="4531E7E2" w16cid:durableId="228217AB"/>
  <w16cid:commentId w16cid:paraId="7C0745C4" w16cid:durableId="228217B7"/>
  <w16cid:commentId w16cid:paraId="0345C0F5" w16cid:durableId="228217BB"/>
  <w16cid:commentId w16cid:paraId="7E4D4E8D" w16cid:durableId="22821B8E"/>
  <w16cid:commentId w16cid:paraId="7C7C3165" w16cid:durableId="22821B94"/>
  <w16cid:commentId w16cid:paraId="53B45E69" w16cid:durableId="22821BBB"/>
</w16cid:commentsIds>
</file>

<file path=word/customizations.xml><?xml version="1.0" encoding="utf-8"?>
<wne:tcg xmlns:r="http://schemas.openxmlformats.org/officeDocument/2006/relationships" xmlns:wne="http://schemas.microsoft.com/office/word/2006/wordml">
  <wne:keymaps>
    <wne:keymap wne:kcmPrimary="0426">
      <wne:macro wne:macroName="QBPLUSPLUGIN2007.QBPLUSMAIN.QX_GOTOPREVIOUSFIELD"/>
    </wne:keymap>
    <wne:keymap wne:kcmPrimary="0428">
      <wne:macro wne:macroName="QBPLUSPLUGIN2007.QBPLUSMAIN.QX_GOTONEXTFIELD"/>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613DC4" w14:textId="77777777" w:rsidR="00B11950" w:rsidRDefault="00B11950">
      <w:r>
        <w:separator/>
      </w:r>
    </w:p>
  </w:endnote>
  <w:endnote w:type="continuationSeparator" w:id="0">
    <w:p w14:paraId="06B3F16E" w14:textId="77777777" w:rsidR="00B11950" w:rsidRDefault="00B11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Gothic UI">
    <w:panose1 w:val="020B05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507969"/>
      <w:docPartObj>
        <w:docPartGallery w:val="Page Numbers (Bottom of Page)"/>
        <w:docPartUnique/>
      </w:docPartObj>
    </w:sdtPr>
    <w:sdtEndPr>
      <w:rPr>
        <w:noProof/>
      </w:rPr>
    </w:sdtEndPr>
    <w:sdtContent>
      <w:p w14:paraId="1E44C196" w14:textId="6FBB1D71" w:rsidR="00B11950" w:rsidRDefault="00B11950">
        <w:pPr>
          <w:pStyle w:val="Footer"/>
          <w:jc w:val="right"/>
        </w:pPr>
        <w:r>
          <w:fldChar w:fldCharType="begin"/>
        </w:r>
        <w:r>
          <w:instrText xml:space="preserve"> PAGE   \* MERGEFORMAT </w:instrText>
        </w:r>
        <w:r>
          <w:fldChar w:fldCharType="separate"/>
        </w:r>
        <w:r w:rsidR="006C5C73">
          <w:rPr>
            <w:noProof/>
          </w:rPr>
          <w:t>3</w:t>
        </w:r>
        <w:r>
          <w:rPr>
            <w:noProof/>
          </w:rPr>
          <w:fldChar w:fldCharType="end"/>
        </w:r>
      </w:p>
    </w:sdtContent>
  </w:sdt>
  <w:p w14:paraId="4EC34F50" w14:textId="77777777" w:rsidR="00B11950" w:rsidRDefault="00B119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B52469" w14:textId="77777777" w:rsidR="00B11950" w:rsidRDefault="00B11950">
      <w:r>
        <w:separator/>
      </w:r>
    </w:p>
  </w:footnote>
  <w:footnote w:type="continuationSeparator" w:id="0">
    <w:p w14:paraId="744905A7" w14:textId="77777777" w:rsidR="00B11950" w:rsidRDefault="00B11950">
      <w:r>
        <w:continuationSeparator/>
      </w:r>
    </w:p>
  </w:footnote>
  <w:footnote w:id="1">
    <w:p w14:paraId="48825C53" w14:textId="77777777" w:rsidR="00B11950" w:rsidRDefault="00B11950" w:rsidP="005E6795">
      <w:pPr>
        <w:pStyle w:val="FootnoteText"/>
      </w:pPr>
      <w:r>
        <w:rPr>
          <w:rStyle w:val="FootnoteReference"/>
        </w:rPr>
        <w:footnoteRef/>
      </w:r>
      <w:r>
        <w:t xml:space="preserve"> The applicant stated that t</w:t>
      </w:r>
      <w:r w:rsidRPr="00B66B94">
        <w:t>he MBS item has been structured to include the cost of the proprietary procedural kit. This is similar to other MBS items with fee structures that include the cost of proprietary materials. For example, MBS fees for diagnostic procedures on the MBS frequently include costs for the use of proprietary single-use diagnostic kits. In addition, the Schedule fees for nuclear medicine imaging services incorporate the costs of proprietary radiopharmaceuticals. Therefore, it is reasonable to include the cost of the procedural kit as this is essential to help ensure patient access to ECP</w:t>
      </w:r>
      <w:r>
        <w:t>.</w:t>
      </w:r>
    </w:p>
  </w:footnote>
  <w:footnote w:id="2">
    <w:p w14:paraId="1C419E35" w14:textId="77777777" w:rsidR="00B11950" w:rsidRDefault="00B11950" w:rsidP="00BC52A8">
      <w:pPr>
        <w:pStyle w:val="FootnoteText"/>
      </w:pPr>
      <w:r>
        <w:rPr>
          <w:rStyle w:val="FootnoteReference"/>
        </w:rPr>
        <w:footnoteRef/>
      </w:r>
      <w:r>
        <w:t xml:space="preserve"> </w:t>
      </w:r>
      <w:r w:rsidRPr="001D53BC">
        <w:t xml:space="preserve">Two publications of the VCCC study </w:t>
      </w:r>
      <w:r>
        <w:t>we</w:t>
      </w:r>
      <w:r w:rsidRPr="001D53BC">
        <w:t>re</w:t>
      </w:r>
      <w:r>
        <w:t xml:space="preserve"> presented in the resubmission:</w:t>
      </w:r>
      <w:r w:rsidRPr="001D53BC">
        <w:t xml:space="preserve"> Prince 2018 </w:t>
      </w:r>
      <w:r>
        <w:t>(</w:t>
      </w:r>
      <w:r w:rsidRPr="001D53BC">
        <w:t xml:space="preserve">is a pre-publication report used as primary </w:t>
      </w:r>
      <w:r>
        <w:t>evidence in the ECP TGA dossier); and publication by Gao et al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65D09"/>
    <w:multiLevelType w:val="hybridMultilevel"/>
    <w:tmpl w:val="8F1A6EFA"/>
    <w:lvl w:ilvl="0" w:tplc="CE66D59E">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522C8A"/>
    <w:multiLevelType w:val="hybridMultilevel"/>
    <w:tmpl w:val="DABC1BC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15:restartNumberingAfterBreak="0">
    <w:nsid w:val="210B4CD1"/>
    <w:multiLevelType w:val="hybridMultilevel"/>
    <w:tmpl w:val="4A3C5B9C"/>
    <w:lvl w:ilvl="0" w:tplc="03EEF9DE">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1932D4C"/>
    <w:multiLevelType w:val="hybridMultilevel"/>
    <w:tmpl w:val="BC602CC2"/>
    <w:lvl w:ilvl="0" w:tplc="26F4BE8C">
      <w:start w:val="1"/>
      <w:numFmt w:val="lowerLetter"/>
      <w:lvlText w:val="(%1)"/>
      <w:lvlJc w:val="left"/>
      <w:pPr>
        <w:ind w:left="417" w:hanging="360"/>
      </w:pPr>
      <w:rPr>
        <w:rFonts w:hint="default"/>
      </w:rPr>
    </w:lvl>
    <w:lvl w:ilvl="1" w:tplc="0C090019" w:tentative="1">
      <w:start w:val="1"/>
      <w:numFmt w:val="lowerLetter"/>
      <w:lvlText w:val="%2."/>
      <w:lvlJc w:val="left"/>
      <w:pPr>
        <w:ind w:left="1137" w:hanging="360"/>
      </w:pPr>
    </w:lvl>
    <w:lvl w:ilvl="2" w:tplc="0C09001B" w:tentative="1">
      <w:start w:val="1"/>
      <w:numFmt w:val="lowerRoman"/>
      <w:lvlText w:val="%3."/>
      <w:lvlJc w:val="right"/>
      <w:pPr>
        <w:ind w:left="1857" w:hanging="180"/>
      </w:pPr>
    </w:lvl>
    <w:lvl w:ilvl="3" w:tplc="0C09000F" w:tentative="1">
      <w:start w:val="1"/>
      <w:numFmt w:val="decimal"/>
      <w:lvlText w:val="%4."/>
      <w:lvlJc w:val="left"/>
      <w:pPr>
        <w:ind w:left="2577" w:hanging="360"/>
      </w:pPr>
    </w:lvl>
    <w:lvl w:ilvl="4" w:tplc="0C090019" w:tentative="1">
      <w:start w:val="1"/>
      <w:numFmt w:val="lowerLetter"/>
      <w:lvlText w:val="%5."/>
      <w:lvlJc w:val="left"/>
      <w:pPr>
        <w:ind w:left="3297" w:hanging="360"/>
      </w:pPr>
    </w:lvl>
    <w:lvl w:ilvl="5" w:tplc="0C09001B" w:tentative="1">
      <w:start w:val="1"/>
      <w:numFmt w:val="lowerRoman"/>
      <w:lvlText w:val="%6."/>
      <w:lvlJc w:val="right"/>
      <w:pPr>
        <w:ind w:left="4017" w:hanging="180"/>
      </w:pPr>
    </w:lvl>
    <w:lvl w:ilvl="6" w:tplc="0C09000F" w:tentative="1">
      <w:start w:val="1"/>
      <w:numFmt w:val="decimal"/>
      <w:lvlText w:val="%7."/>
      <w:lvlJc w:val="left"/>
      <w:pPr>
        <w:ind w:left="4737" w:hanging="360"/>
      </w:pPr>
    </w:lvl>
    <w:lvl w:ilvl="7" w:tplc="0C090019" w:tentative="1">
      <w:start w:val="1"/>
      <w:numFmt w:val="lowerLetter"/>
      <w:lvlText w:val="%8."/>
      <w:lvlJc w:val="left"/>
      <w:pPr>
        <w:ind w:left="5457" w:hanging="360"/>
      </w:pPr>
    </w:lvl>
    <w:lvl w:ilvl="8" w:tplc="0C09001B" w:tentative="1">
      <w:start w:val="1"/>
      <w:numFmt w:val="lowerRoman"/>
      <w:lvlText w:val="%9."/>
      <w:lvlJc w:val="right"/>
      <w:pPr>
        <w:ind w:left="6177" w:hanging="180"/>
      </w:pPr>
    </w:lvl>
  </w:abstractNum>
  <w:abstractNum w:abstractNumId="5" w15:restartNumberingAfterBreak="0">
    <w:nsid w:val="2EB52432"/>
    <w:multiLevelType w:val="hybridMultilevel"/>
    <w:tmpl w:val="8326C2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5A70E99"/>
    <w:multiLevelType w:val="hybridMultilevel"/>
    <w:tmpl w:val="4C1AFE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F5F451B"/>
    <w:multiLevelType w:val="hybridMultilevel"/>
    <w:tmpl w:val="AFBE89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8E81FDC"/>
    <w:multiLevelType w:val="hybridMultilevel"/>
    <w:tmpl w:val="D5C698E8"/>
    <w:lvl w:ilvl="0" w:tplc="A79EC4F8">
      <w:start w:val="1"/>
      <w:numFmt w:val="bullet"/>
      <w:pStyle w:val="BulletBeforeDash"/>
      <w:lvlText w:val="•"/>
      <w:lvlJc w:val="left"/>
      <w:pPr>
        <w:tabs>
          <w:tab w:val="num" w:pos="360"/>
        </w:tabs>
        <w:ind w:left="36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EBC358B"/>
    <w:multiLevelType w:val="hybridMultilevel"/>
    <w:tmpl w:val="DA7C6A16"/>
    <w:lvl w:ilvl="0" w:tplc="5C548CF8">
      <w:start w:val="1"/>
      <w:numFmt w:val="bullet"/>
      <w:lvlText w:val=""/>
      <w:lvlJc w:val="left"/>
      <w:pPr>
        <w:tabs>
          <w:tab w:val="num" w:pos="360"/>
        </w:tabs>
        <w:ind w:left="360" w:hanging="360"/>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1"/>
  </w:num>
  <w:num w:numId="4">
    <w:abstractNumId w:val="9"/>
  </w:num>
  <w:num w:numId="5">
    <w:abstractNumId w:val="10"/>
  </w:num>
  <w:num w:numId="6">
    <w:abstractNumId w:val="4"/>
  </w:num>
  <w:num w:numId="7">
    <w:abstractNumId w:val="2"/>
  </w:num>
  <w:num w:numId="8">
    <w:abstractNumId w:val="6"/>
  </w:num>
  <w:num w:numId="9">
    <w:abstractNumId w:val="8"/>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QXCitationStyleId" w:val="apa"/>
    <w:docVar w:name="QXCitationStyleName" w:val="American Psychological Association 6th Edition"/>
    <w:docVar w:name="QXCookie" w:val="32321148"/>
    <w:docVar w:name="QXCRLMode" w:val="0"/>
    <w:docVar w:name="QXFormattingMode" w:val="1"/>
  </w:docVars>
  <w:rsids>
    <w:rsidRoot w:val="004C605E"/>
    <w:rsid w:val="00001A20"/>
    <w:rsid w:val="00043556"/>
    <w:rsid w:val="0004535E"/>
    <w:rsid w:val="00055E02"/>
    <w:rsid w:val="00066E9C"/>
    <w:rsid w:val="0007649E"/>
    <w:rsid w:val="000B516D"/>
    <w:rsid w:val="000D4965"/>
    <w:rsid w:val="00120CE2"/>
    <w:rsid w:val="00121619"/>
    <w:rsid w:val="00176B1A"/>
    <w:rsid w:val="00181322"/>
    <w:rsid w:val="001939AE"/>
    <w:rsid w:val="001C2405"/>
    <w:rsid w:val="001E0E86"/>
    <w:rsid w:val="001E2295"/>
    <w:rsid w:val="00242D8C"/>
    <w:rsid w:val="00266239"/>
    <w:rsid w:val="00274772"/>
    <w:rsid w:val="00280050"/>
    <w:rsid w:val="002801E0"/>
    <w:rsid w:val="00294EB1"/>
    <w:rsid w:val="002A0D48"/>
    <w:rsid w:val="002A6DDD"/>
    <w:rsid w:val="002A72F7"/>
    <w:rsid w:val="00327A2B"/>
    <w:rsid w:val="003348F8"/>
    <w:rsid w:val="00336B9C"/>
    <w:rsid w:val="00351B9F"/>
    <w:rsid w:val="003623D3"/>
    <w:rsid w:val="003A2D37"/>
    <w:rsid w:val="003B0F2D"/>
    <w:rsid w:val="003F095F"/>
    <w:rsid w:val="00410A24"/>
    <w:rsid w:val="00413778"/>
    <w:rsid w:val="00445D1D"/>
    <w:rsid w:val="0045024B"/>
    <w:rsid w:val="00452F14"/>
    <w:rsid w:val="004661D1"/>
    <w:rsid w:val="00466E03"/>
    <w:rsid w:val="0047146C"/>
    <w:rsid w:val="0049754E"/>
    <w:rsid w:val="004A70AF"/>
    <w:rsid w:val="004C605E"/>
    <w:rsid w:val="004F222B"/>
    <w:rsid w:val="005160FA"/>
    <w:rsid w:val="00525F4F"/>
    <w:rsid w:val="005316FF"/>
    <w:rsid w:val="005636F0"/>
    <w:rsid w:val="00571064"/>
    <w:rsid w:val="00575D34"/>
    <w:rsid w:val="00575D54"/>
    <w:rsid w:val="005949D4"/>
    <w:rsid w:val="005B4611"/>
    <w:rsid w:val="005D460C"/>
    <w:rsid w:val="005E6795"/>
    <w:rsid w:val="0061615B"/>
    <w:rsid w:val="00651AD2"/>
    <w:rsid w:val="006628CB"/>
    <w:rsid w:val="00677896"/>
    <w:rsid w:val="00684C4E"/>
    <w:rsid w:val="006A3B99"/>
    <w:rsid w:val="006B479E"/>
    <w:rsid w:val="006C09B4"/>
    <w:rsid w:val="006C316E"/>
    <w:rsid w:val="006C5C73"/>
    <w:rsid w:val="006E4DE3"/>
    <w:rsid w:val="006F4383"/>
    <w:rsid w:val="006F5E37"/>
    <w:rsid w:val="00720346"/>
    <w:rsid w:val="00732A99"/>
    <w:rsid w:val="00742968"/>
    <w:rsid w:val="007566DC"/>
    <w:rsid w:val="00775996"/>
    <w:rsid w:val="00780622"/>
    <w:rsid w:val="00794859"/>
    <w:rsid w:val="007C6A40"/>
    <w:rsid w:val="007D65A9"/>
    <w:rsid w:val="00845240"/>
    <w:rsid w:val="00886141"/>
    <w:rsid w:val="008B7A30"/>
    <w:rsid w:val="008C5E2F"/>
    <w:rsid w:val="008F219D"/>
    <w:rsid w:val="009137ED"/>
    <w:rsid w:val="009138F2"/>
    <w:rsid w:val="0096053C"/>
    <w:rsid w:val="00972D2A"/>
    <w:rsid w:val="009A27A0"/>
    <w:rsid w:val="009B5416"/>
    <w:rsid w:val="009F4759"/>
    <w:rsid w:val="00A146B8"/>
    <w:rsid w:val="00A329B5"/>
    <w:rsid w:val="00A41FC0"/>
    <w:rsid w:val="00AE6A42"/>
    <w:rsid w:val="00AF0CF8"/>
    <w:rsid w:val="00AF7696"/>
    <w:rsid w:val="00B07263"/>
    <w:rsid w:val="00B11950"/>
    <w:rsid w:val="00B22440"/>
    <w:rsid w:val="00B22DA6"/>
    <w:rsid w:val="00B4642C"/>
    <w:rsid w:val="00B559C2"/>
    <w:rsid w:val="00B75409"/>
    <w:rsid w:val="00BA5C43"/>
    <w:rsid w:val="00BB3579"/>
    <w:rsid w:val="00BC1570"/>
    <w:rsid w:val="00BC52A8"/>
    <w:rsid w:val="00BD240C"/>
    <w:rsid w:val="00BF009A"/>
    <w:rsid w:val="00BF6B4E"/>
    <w:rsid w:val="00C112AF"/>
    <w:rsid w:val="00C15218"/>
    <w:rsid w:val="00C178F2"/>
    <w:rsid w:val="00C30EB0"/>
    <w:rsid w:val="00C53A38"/>
    <w:rsid w:val="00C63650"/>
    <w:rsid w:val="00CB1584"/>
    <w:rsid w:val="00CB5794"/>
    <w:rsid w:val="00CC66AE"/>
    <w:rsid w:val="00CE28D1"/>
    <w:rsid w:val="00D02FC6"/>
    <w:rsid w:val="00D030B5"/>
    <w:rsid w:val="00D06CB8"/>
    <w:rsid w:val="00D12971"/>
    <w:rsid w:val="00D16A29"/>
    <w:rsid w:val="00D2320F"/>
    <w:rsid w:val="00D26B8B"/>
    <w:rsid w:val="00D27A1A"/>
    <w:rsid w:val="00D41059"/>
    <w:rsid w:val="00D476BE"/>
    <w:rsid w:val="00D52127"/>
    <w:rsid w:val="00D86989"/>
    <w:rsid w:val="00DA3FB4"/>
    <w:rsid w:val="00DB7150"/>
    <w:rsid w:val="00DF14A9"/>
    <w:rsid w:val="00E440B9"/>
    <w:rsid w:val="00E67922"/>
    <w:rsid w:val="00E77353"/>
    <w:rsid w:val="00EA20CB"/>
    <w:rsid w:val="00EA4493"/>
    <w:rsid w:val="00F14D6C"/>
    <w:rsid w:val="00F5673B"/>
    <w:rsid w:val="00F81D3C"/>
    <w:rsid w:val="00FB7D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796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05E"/>
    <w:pPr>
      <w:spacing w:after="0" w:line="240" w:lineRule="auto"/>
    </w:pPr>
    <w:rPr>
      <w:rFonts w:eastAsia="Times New Roman"/>
      <w:szCs w:val="20"/>
      <w:lang w:eastAsia="en-AU"/>
    </w:rPr>
  </w:style>
  <w:style w:type="paragraph" w:styleId="Heading1">
    <w:name w:val="heading 1"/>
    <w:basedOn w:val="Normal"/>
    <w:next w:val="Normal"/>
    <w:link w:val="Heading1Char"/>
    <w:uiPriority w:val="99"/>
    <w:qFormat/>
    <w:rsid w:val="004C605E"/>
    <w:pPr>
      <w:keepNext/>
      <w:keepLines/>
      <w:numPr>
        <w:numId w:val="2"/>
      </w:numPr>
      <w:spacing w:before="240" w:after="240"/>
      <w:ind w:hanging="720"/>
      <w:outlineLvl w:val="0"/>
    </w:pPr>
    <w:rPr>
      <w:rFonts w:ascii="Arial" w:hAnsi="Arial"/>
      <w:b/>
      <w:bCs/>
      <w:szCs w:val="28"/>
    </w:rPr>
  </w:style>
  <w:style w:type="paragraph" w:styleId="Heading2">
    <w:name w:val="heading 2"/>
    <w:basedOn w:val="Normal"/>
    <w:next w:val="Normal"/>
    <w:link w:val="Heading2Char"/>
    <w:uiPriority w:val="9"/>
    <w:unhideWhenUsed/>
    <w:qFormat/>
    <w:rsid w:val="00BC52A8"/>
    <w:pPr>
      <w:keepNext/>
      <w:keepLines/>
      <w:spacing w:before="240"/>
      <w:outlineLvl w:val="1"/>
    </w:pPr>
    <w:rPr>
      <w:rFonts w:eastAsiaTheme="majorEastAsia" w:cstheme="majorBidi"/>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C605E"/>
    <w:rPr>
      <w:rFonts w:ascii="Arial" w:eastAsia="Times New Roman" w:hAnsi="Arial"/>
      <w:b/>
      <w:bCs/>
      <w:szCs w:val="28"/>
      <w:lang w:eastAsia="en-AU"/>
    </w:rPr>
  </w:style>
  <w:style w:type="character" w:styleId="Hyperlink">
    <w:name w:val="Hyperlink"/>
    <w:basedOn w:val="DefaultParagraphFont"/>
    <w:uiPriority w:val="99"/>
    <w:rsid w:val="004C605E"/>
    <w:rPr>
      <w:rFonts w:cs="Times New Roman"/>
      <w:color w:val="0000FF"/>
      <w:u w:val="single"/>
    </w:rPr>
  </w:style>
  <w:style w:type="paragraph" w:styleId="ListParagraph">
    <w:name w:val="List Paragraph"/>
    <w:aliases w:val="Styl moj,Akapit z listą1,Akapit z listą11"/>
    <w:basedOn w:val="Normal"/>
    <w:link w:val="ListParagraphChar"/>
    <w:uiPriority w:val="34"/>
    <w:qFormat/>
    <w:rsid w:val="004C605E"/>
    <w:pPr>
      <w:ind w:left="720"/>
      <w:contextualSpacing/>
    </w:pPr>
  </w:style>
  <w:style w:type="paragraph" w:styleId="Footer">
    <w:name w:val="footer"/>
    <w:basedOn w:val="Normal"/>
    <w:link w:val="FooterChar"/>
    <w:uiPriority w:val="99"/>
    <w:rsid w:val="004C605E"/>
    <w:pPr>
      <w:tabs>
        <w:tab w:val="center" w:pos="4513"/>
        <w:tab w:val="right" w:pos="9026"/>
      </w:tabs>
    </w:pPr>
  </w:style>
  <w:style w:type="character" w:customStyle="1" w:styleId="FooterChar">
    <w:name w:val="Footer Char"/>
    <w:basedOn w:val="DefaultParagraphFont"/>
    <w:link w:val="Footer"/>
    <w:uiPriority w:val="99"/>
    <w:rsid w:val="004C605E"/>
    <w:rPr>
      <w:rFonts w:eastAsia="Times New Roman"/>
      <w:szCs w:val="20"/>
      <w:lang w:eastAsia="en-AU"/>
    </w:rPr>
  </w:style>
  <w:style w:type="paragraph" w:customStyle="1" w:styleId="Default">
    <w:name w:val="Default"/>
    <w:rsid w:val="004C605E"/>
    <w:pPr>
      <w:autoSpaceDE w:val="0"/>
      <w:autoSpaceDN w:val="0"/>
      <w:adjustRightInd w:val="0"/>
      <w:spacing w:after="0" w:line="240" w:lineRule="auto"/>
    </w:pPr>
    <w:rPr>
      <w:rFonts w:eastAsia="Calibri"/>
      <w:color w:val="000000"/>
    </w:rPr>
  </w:style>
  <w:style w:type="paragraph" w:styleId="Title">
    <w:name w:val="Title"/>
    <w:basedOn w:val="Normal"/>
    <w:next w:val="Normal"/>
    <w:link w:val="TitleChar"/>
    <w:qFormat/>
    <w:rsid w:val="004C605E"/>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4C605E"/>
    <w:rPr>
      <w:rFonts w:ascii="Arial" w:eastAsia="Times New Roman" w:hAnsi="Arial" w:cs="Arial"/>
      <w:b/>
      <w:bCs/>
      <w:color w:val="000080"/>
      <w:sz w:val="36"/>
      <w:szCs w:val="36"/>
      <w:lang w:eastAsia="en-AU"/>
    </w:rPr>
  </w:style>
  <w:style w:type="paragraph" w:styleId="Subtitle">
    <w:name w:val="Subtitle"/>
    <w:basedOn w:val="Normal"/>
    <w:next w:val="Normal"/>
    <w:link w:val="SubtitleChar"/>
    <w:qFormat/>
    <w:rsid w:val="004C605E"/>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4C605E"/>
    <w:rPr>
      <w:rFonts w:ascii="Arial" w:eastAsia="Times New Roman" w:hAnsi="Arial" w:cs="Arial"/>
      <w:b/>
      <w:bCs/>
      <w:i/>
      <w:color w:val="000080"/>
      <w:sz w:val="28"/>
      <w:szCs w:val="28"/>
      <w:lang w:eastAsia="en-AU"/>
    </w:rPr>
  </w:style>
  <w:style w:type="table" w:styleId="TableGrid">
    <w:name w:val="Table Grid"/>
    <w:aliases w:val="Summary box,new style,Table Gridbeth"/>
    <w:basedOn w:val="TableNormal"/>
    <w:uiPriority w:val="59"/>
    <w:rsid w:val="004C605E"/>
    <w:pPr>
      <w:spacing w:after="0" w:line="240" w:lineRule="auto"/>
    </w:pPr>
    <w:rPr>
      <w:rFonts w:eastAsia="Calibri"/>
      <w:sz w:val="22"/>
      <w:szCs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Normal"/>
    <w:link w:val="TableHeadingChar"/>
    <w:qFormat/>
    <w:rsid w:val="006E4DE3"/>
    <w:pPr>
      <w:keepNext/>
      <w:spacing w:before="40" w:after="40"/>
    </w:pPr>
    <w:rPr>
      <w:rFonts w:ascii="Arial Narrow" w:eastAsia="Calibri" w:hAnsi="Arial Narrow" w:cs="Calibri"/>
      <w:b/>
      <w:sz w:val="20"/>
      <w:lang w:eastAsia="en-US"/>
    </w:rPr>
  </w:style>
  <w:style w:type="character" w:customStyle="1" w:styleId="TableHeadingChar">
    <w:name w:val="TableHeading Char"/>
    <w:link w:val="TableHeading"/>
    <w:rsid w:val="006E4DE3"/>
    <w:rPr>
      <w:rFonts w:ascii="Arial Narrow" w:eastAsia="Calibri" w:hAnsi="Arial Narrow" w:cs="Calibri"/>
      <w:b/>
      <w:sz w:val="20"/>
      <w:szCs w:val="20"/>
    </w:rPr>
  </w:style>
  <w:style w:type="paragraph" w:customStyle="1" w:styleId="TableText">
    <w:name w:val="TableText"/>
    <w:basedOn w:val="Normal"/>
    <w:rsid w:val="006E4DE3"/>
    <w:pPr>
      <w:keepNext/>
      <w:spacing w:before="60" w:after="60"/>
    </w:pPr>
    <w:rPr>
      <w:color w:val="000000"/>
      <w:sz w:val="21"/>
      <w:szCs w:val="21"/>
    </w:rPr>
  </w:style>
  <w:style w:type="paragraph" w:customStyle="1" w:styleId="BulletBeforeDash">
    <w:name w:val="BulletBeforeDash"/>
    <w:basedOn w:val="Normal"/>
    <w:rsid w:val="006E4DE3"/>
    <w:pPr>
      <w:numPr>
        <w:numId w:val="4"/>
      </w:numPr>
      <w:ind w:left="720"/>
    </w:pPr>
    <w:rPr>
      <w:color w:val="000000"/>
    </w:rPr>
  </w:style>
  <w:style w:type="paragraph" w:customStyle="1" w:styleId="Bullet">
    <w:name w:val="Bullet"/>
    <w:basedOn w:val="BulletBeforeDash"/>
    <w:qFormat/>
    <w:rsid w:val="006E4DE3"/>
    <w:pPr>
      <w:spacing w:after="120"/>
    </w:pPr>
  </w:style>
  <w:style w:type="paragraph" w:customStyle="1" w:styleId="BulletLast">
    <w:name w:val="BulletLast"/>
    <w:basedOn w:val="Bullet"/>
    <w:qFormat/>
    <w:rsid w:val="006E4DE3"/>
    <w:pPr>
      <w:spacing w:after="240"/>
    </w:pPr>
  </w:style>
  <w:style w:type="paragraph" w:customStyle="1" w:styleId="NormalBeforeBullet">
    <w:name w:val="NormalBeforeBullet"/>
    <w:basedOn w:val="Normal"/>
    <w:qFormat/>
    <w:rsid w:val="006E4DE3"/>
    <w:pPr>
      <w:keepNext/>
      <w:spacing w:after="120"/>
    </w:pPr>
    <w:rPr>
      <w:color w:val="000000"/>
    </w:rPr>
  </w:style>
  <w:style w:type="paragraph" w:styleId="Caption">
    <w:name w:val="caption"/>
    <w:aliases w:val="Table and Figure Name,Table and Figure name,Caption Char2 Char,Caption Char Char Char2,Caption Char1 Char Char Char1,Caption Char2 Char Char Char1 Char1,Caption Char Char1 Char Char Char1 Char1,Caption Char1 Char Char Char Char Char Char"/>
    <w:basedOn w:val="Normal"/>
    <w:next w:val="Normal"/>
    <w:link w:val="CaptionChar"/>
    <w:qFormat/>
    <w:rsid w:val="006E4DE3"/>
    <w:pPr>
      <w:keepNext/>
      <w:spacing w:after="120"/>
      <w:jc w:val="both"/>
      <w:outlineLvl w:val="4"/>
    </w:pPr>
    <w:rPr>
      <w:rFonts w:ascii="Arial Narrow" w:hAnsi="Arial Narrow" w:cs="Tahoma"/>
      <w:b/>
      <w:bCs/>
      <w:sz w:val="20"/>
      <w:szCs w:val="22"/>
    </w:rPr>
  </w:style>
  <w:style w:type="paragraph" w:customStyle="1" w:styleId="TableFooter">
    <w:name w:val="Table Footer"/>
    <w:basedOn w:val="Normal"/>
    <w:qFormat/>
    <w:rsid w:val="006E4DE3"/>
    <w:pPr>
      <w:widowControl w:val="0"/>
      <w:jc w:val="both"/>
    </w:pPr>
    <w:rPr>
      <w:rFonts w:ascii="Arial Narrow" w:hAnsi="Arial Narrow" w:cs="Arial"/>
      <w:snapToGrid w:val="0"/>
      <w:sz w:val="18"/>
      <w:lang w:eastAsia="en-US"/>
    </w:rPr>
  </w:style>
  <w:style w:type="character" w:customStyle="1" w:styleId="CaptionChar">
    <w:name w:val="Caption Char"/>
    <w:aliases w:val="Table and Figure Name Char,Table and Figure name Char,Caption Char2 Char Char,Caption Char Char Char2 Char,Caption Char1 Char Char Char1 Char,Caption Char2 Char Char Char1 Char1 Char,Caption Char Char1 Char Char Char1 Char1 Char"/>
    <w:basedOn w:val="DefaultParagraphFont"/>
    <w:link w:val="Caption"/>
    <w:locked/>
    <w:rsid w:val="006E4DE3"/>
    <w:rPr>
      <w:rFonts w:ascii="Arial Narrow" w:eastAsia="Times New Roman" w:hAnsi="Arial Narrow" w:cs="Tahoma"/>
      <w:b/>
      <w:bCs/>
      <w:sz w:val="20"/>
      <w:szCs w:val="22"/>
      <w:lang w:eastAsia="en-AU"/>
    </w:rPr>
  </w:style>
  <w:style w:type="paragraph" w:customStyle="1" w:styleId="TableHeading9ptCent">
    <w:name w:val="TableHeading 9pt Cent"/>
    <w:basedOn w:val="Normal"/>
    <w:qFormat/>
    <w:rsid w:val="006E4DE3"/>
    <w:pPr>
      <w:keepNext/>
      <w:spacing w:before="40" w:after="40"/>
      <w:ind w:left="57"/>
      <w:jc w:val="center"/>
    </w:pPr>
    <w:rPr>
      <w:rFonts w:ascii="Arial Narrow" w:eastAsia="Calibri" w:hAnsi="Arial Narrow" w:cs="Calibri"/>
      <w:b/>
      <w:sz w:val="18"/>
      <w:lang w:eastAsia="en-US"/>
    </w:rPr>
  </w:style>
  <w:style w:type="paragraph" w:customStyle="1" w:styleId="TableText10pt">
    <w:name w:val="Table Text 10pt"/>
    <w:basedOn w:val="Normal"/>
    <w:link w:val="TableText10ptChar"/>
    <w:rsid w:val="006E4DE3"/>
    <w:pPr>
      <w:keepNext/>
      <w:spacing w:before="40" w:after="40"/>
      <w:ind w:left="57"/>
    </w:pPr>
    <w:rPr>
      <w:rFonts w:ascii="Arial Narrow" w:eastAsia="Calibri" w:hAnsi="Arial Narrow" w:cs="Calibri"/>
      <w:sz w:val="20"/>
      <w:lang w:eastAsia="en-US"/>
    </w:rPr>
  </w:style>
  <w:style w:type="character" w:customStyle="1" w:styleId="TableText10ptChar">
    <w:name w:val="Table Text 10pt Char"/>
    <w:link w:val="TableText10pt"/>
    <w:rsid w:val="006E4DE3"/>
    <w:rPr>
      <w:rFonts w:ascii="Arial Narrow" w:eastAsia="Calibri" w:hAnsi="Arial Narrow" w:cs="Calibri"/>
      <w:sz w:val="20"/>
      <w:szCs w:val="20"/>
    </w:rPr>
  </w:style>
  <w:style w:type="paragraph" w:customStyle="1" w:styleId="Tablenotes">
    <w:name w:val="Tablenotes"/>
    <w:basedOn w:val="Normal"/>
    <w:link w:val="TablenotesChar"/>
    <w:qFormat/>
    <w:rsid w:val="006E4DE3"/>
    <w:pPr>
      <w:widowControl w:val="0"/>
      <w:spacing w:after="120"/>
      <w:contextualSpacing/>
      <w:jc w:val="both"/>
    </w:pPr>
    <w:rPr>
      <w:rFonts w:ascii="Arial Narrow" w:eastAsia="Calibri" w:hAnsi="Arial Narrow" w:cs="Arial"/>
      <w:snapToGrid w:val="0"/>
      <w:sz w:val="18"/>
      <w:lang w:eastAsia="en-US"/>
    </w:rPr>
  </w:style>
  <w:style w:type="character" w:customStyle="1" w:styleId="TablenotesChar">
    <w:name w:val="Tablenotes Char"/>
    <w:basedOn w:val="DefaultParagraphFont"/>
    <w:link w:val="Tablenotes"/>
    <w:rsid w:val="006E4DE3"/>
    <w:rPr>
      <w:rFonts w:ascii="Arial Narrow" w:eastAsia="Calibri" w:hAnsi="Arial Narrow" w:cs="Arial"/>
      <w:snapToGrid w:val="0"/>
      <w:sz w:val="18"/>
      <w:szCs w:val="20"/>
    </w:rPr>
  </w:style>
  <w:style w:type="paragraph" w:customStyle="1" w:styleId="TFAbbrevs0">
    <w:name w:val="TFAbbrevs+0"/>
    <w:basedOn w:val="Normal"/>
    <w:qFormat/>
    <w:rsid w:val="006E4DE3"/>
    <w:pPr>
      <w:keepNext/>
      <w:keepLines/>
    </w:pPr>
    <w:rPr>
      <w:rFonts w:ascii="Arial Narrow" w:eastAsia="Calibri" w:hAnsi="Arial Narrow"/>
      <w:color w:val="000000"/>
      <w:sz w:val="18"/>
      <w:szCs w:val="18"/>
      <w:lang w:eastAsia="en-US"/>
    </w:rPr>
  </w:style>
  <w:style w:type="table" w:customStyle="1" w:styleId="TableGrid1">
    <w:name w:val="Table Grid1"/>
    <w:basedOn w:val="TableNormal"/>
    <w:next w:val="TableGrid"/>
    <w:rsid w:val="00BC52A8"/>
    <w:pPr>
      <w:spacing w:before="40" w:after="40" w:line="240" w:lineRule="auto"/>
    </w:pPr>
    <w:rPr>
      <w:rFonts w:ascii="Arial Narrow" w:eastAsia="Times New Roman" w:hAnsi="Arial Narrow"/>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Yu Gothic UI" w:hAnsi="Yu Gothic UI"/>
        <w:b w:val="0"/>
        <w:sz w:val="20"/>
      </w:rPr>
    </w:tblStylePr>
  </w:style>
  <w:style w:type="paragraph" w:customStyle="1" w:styleId="TableText9ptCent">
    <w:name w:val="Table Text 9pt Cent"/>
    <w:basedOn w:val="Normal"/>
    <w:qFormat/>
    <w:rsid w:val="00BC52A8"/>
    <w:pPr>
      <w:keepNext/>
      <w:spacing w:before="40" w:after="40" w:line="276" w:lineRule="auto"/>
      <w:jc w:val="center"/>
    </w:pPr>
    <w:rPr>
      <w:rFonts w:ascii="Arial Narrow" w:eastAsia="Calibri" w:hAnsi="Arial Narrow" w:cs="Calibri"/>
      <w:sz w:val="18"/>
      <w:lang w:eastAsia="en-US"/>
    </w:rPr>
  </w:style>
  <w:style w:type="paragraph" w:styleId="FootnoteText">
    <w:name w:val="footnote text"/>
    <w:basedOn w:val="Normal"/>
    <w:link w:val="FootnoteTextChar"/>
    <w:uiPriority w:val="99"/>
    <w:semiHidden/>
    <w:unhideWhenUsed/>
    <w:rsid w:val="00BC52A8"/>
    <w:rPr>
      <w:sz w:val="20"/>
    </w:rPr>
  </w:style>
  <w:style w:type="character" w:customStyle="1" w:styleId="FootnoteTextChar">
    <w:name w:val="Footnote Text Char"/>
    <w:basedOn w:val="DefaultParagraphFont"/>
    <w:link w:val="FootnoteText"/>
    <w:uiPriority w:val="99"/>
    <w:semiHidden/>
    <w:rsid w:val="00BC52A8"/>
    <w:rPr>
      <w:rFonts w:eastAsia="Times New Roman"/>
      <w:sz w:val="20"/>
      <w:szCs w:val="20"/>
      <w:lang w:eastAsia="en-AU"/>
    </w:rPr>
  </w:style>
  <w:style w:type="character" w:styleId="FootnoteReference">
    <w:name w:val="footnote reference"/>
    <w:basedOn w:val="DefaultParagraphFont"/>
    <w:uiPriority w:val="99"/>
    <w:semiHidden/>
    <w:unhideWhenUsed/>
    <w:rsid w:val="00BC52A8"/>
    <w:rPr>
      <w:vertAlign w:val="superscript"/>
    </w:rPr>
  </w:style>
  <w:style w:type="paragraph" w:customStyle="1" w:styleId="TableText9ptcentered">
    <w:name w:val="Table Text 9pt centered"/>
    <w:basedOn w:val="Normal"/>
    <w:qFormat/>
    <w:rsid w:val="00BC52A8"/>
    <w:pPr>
      <w:keepNext/>
      <w:spacing w:before="40" w:after="40"/>
      <w:jc w:val="center"/>
    </w:pPr>
    <w:rPr>
      <w:rFonts w:ascii="Arial Narrow" w:eastAsia="Calibri" w:hAnsi="Arial Narrow" w:cs="Calibri"/>
      <w:sz w:val="18"/>
      <w:lang w:eastAsia="en-US"/>
    </w:rPr>
  </w:style>
  <w:style w:type="character" w:customStyle="1" w:styleId="Heading2Char">
    <w:name w:val="Heading 2 Char"/>
    <w:basedOn w:val="DefaultParagraphFont"/>
    <w:link w:val="Heading2"/>
    <w:uiPriority w:val="9"/>
    <w:rsid w:val="00BC52A8"/>
    <w:rPr>
      <w:rFonts w:eastAsiaTheme="majorEastAsia" w:cstheme="majorBidi"/>
      <w:i/>
      <w:szCs w:val="26"/>
      <w:lang w:eastAsia="en-AU"/>
    </w:rPr>
  </w:style>
  <w:style w:type="character" w:customStyle="1" w:styleId="ListParagraphChar">
    <w:name w:val="List Paragraph Char"/>
    <w:aliases w:val="Styl moj Char,Akapit z listą1 Char,Akapit z listą11 Char"/>
    <w:link w:val="ListParagraph"/>
    <w:uiPriority w:val="34"/>
    <w:rsid w:val="00BC52A8"/>
    <w:rPr>
      <w:rFonts w:eastAsia="Times New Roman"/>
      <w:szCs w:val="20"/>
      <w:lang w:eastAsia="en-AU"/>
    </w:rPr>
  </w:style>
  <w:style w:type="paragraph" w:customStyle="1" w:styleId="TableText0">
    <w:name w:val="Table Text"/>
    <w:basedOn w:val="Normal"/>
    <w:link w:val="TableTextChar"/>
    <w:rsid w:val="00BC52A8"/>
    <w:pPr>
      <w:keepNext/>
      <w:spacing w:before="40" w:after="40"/>
    </w:pPr>
    <w:rPr>
      <w:rFonts w:ascii="Arial Narrow" w:eastAsia="Calibri" w:hAnsi="Arial Narrow" w:cs="Calibri"/>
      <w:sz w:val="18"/>
      <w:lang w:eastAsia="en-US"/>
    </w:rPr>
  </w:style>
  <w:style w:type="character" w:customStyle="1" w:styleId="TableTextChar">
    <w:name w:val="Table Text Char"/>
    <w:link w:val="TableText0"/>
    <w:rsid w:val="00BC52A8"/>
    <w:rPr>
      <w:rFonts w:ascii="Arial Narrow" w:eastAsia="Calibri" w:hAnsi="Arial Narrow" w:cs="Calibri"/>
      <w:sz w:val="18"/>
      <w:szCs w:val="20"/>
    </w:rPr>
  </w:style>
  <w:style w:type="paragraph" w:customStyle="1" w:styleId="Tabletext1">
    <w:name w:val="Table text"/>
    <w:basedOn w:val="Normal"/>
    <w:link w:val="TabletextChar0"/>
    <w:qFormat/>
    <w:rsid w:val="00BC52A8"/>
    <w:pPr>
      <w:spacing w:before="40" w:after="40"/>
      <w:ind w:left="176"/>
      <w:jc w:val="both"/>
    </w:pPr>
    <w:rPr>
      <w:rFonts w:ascii="Arial Narrow" w:hAnsi="Arial Narrow" w:cs="Tahoma"/>
      <w:sz w:val="20"/>
    </w:rPr>
  </w:style>
  <w:style w:type="character" w:customStyle="1" w:styleId="TabletextChar0">
    <w:name w:val="Table text Char"/>
    <w:link w:val="Tabletext1"/>
    <w:rsid w:val="00BC52A8"/>
    <w:rPr>
      <w:rFonts w:ascii="Arial Narrow" w:eastAsia="Times New Roman" w:hAnsi="Arial Narrow" w:cs="Tahoma"/>
      <w:sz w:val="20"/>
      <w:szCs w:val="20"/>
      <w:lang w:eastAsia="en-AU"/>
    </w:rPr>
  </w:style>
  <w:style w:type="paragraph" w:customStyle="1" w:styleId="Tabletext33resub">
    <w:name w:val="Table text+3+3 resub"/>
    <w:basedOn w:val="Normal"/>
    <w:qFormat/>
    <w:rsid w:val="00BC52A8"/>
    <w:pPr>
      <w:keepNext/>
      <w:tabs>
        <w:tab w:val="left" w:pos="19"/>
      </w:tabs>
      <w:ind w:left="57" w:right="113"/>
      <w:jc w:val="center"/>
    </w:pPr>
    <w:rPr>
      <w:rFonts w:ascii="Arial Narrow" w:eastAsia="Calibri" w:hAnsi="Arial Narrow" w:cs="Calibri"/>
      <w:sz w:val="18"/>
      <w:szCs w:val="18"/>
      <w:lang w:eastAsia="en-US"/>
    </w:rPr>
  </w:style>
  <w:style w:type="paragraph" w:customStyle="1" w:styleId="TableTextcenter">
    <w:name w:val="Table Text center"/>
    <w:basedOn w:val="Normal"/>
    <w:qFormat/>
    <w:rsid w:val="00BC52A8"/>
    <w:pPr>
      <w:keepNext/>
      <w:spacing w:before="40" w:after="40"/>
      <w:jc w:val="center"/>
    </w:pPr>
    <w:rPr>
      <w:rFonts w:ascii="Arial Narrow" w:hAnsi="Arial Narrow" w:cs="Tahoma"/>
      <w:sz w:val="20"/>
      <w:lang w:eastAsia="en-US"/>
    </w:rPr>
  </w:style>
  <w:style w:type="paragraph" w:customStyle="1" w:styleId="TableTextLeft">
    <w:name w:val="Table Text Left"/>
    <w:basedOn w:val="Tabletext1"/>
    <w:link w:val="TableTextLeftChar"/>
    <w:qFormat/>
    <w:rsid w:val="00BC52A8"/>
    <w:pPr>
      <w:keepNext/>
      <w:ind w:left="0"/>
      <w:jc w:val="left"/>
    </w:pPr>
    <w:rPr>
      <w:szCs w:val="22"/>
      <w:lang w:eastAsia="en-US"/>
    </w:rPr>
  </w:style>
  <w:style w:type="character" w:customStyle="1" w:styleId="TableTextLeftChar">
    <w:name w:val="Table Text Left Char"/>
    <w:link w:val="TableTextLeft"/>
    <w:rsid w:val="00BC52A8"/>
    <w:rPr>
      <w:rFonts w:ascii="Arial Narrow" w:eastAsia="Times New Roman" w:hAnsi="Arial Narrow" w:cs="Tahoma"/>
      <w:sz w:val="20"/>
      <w:szCs w:val="22"/>
    </w:rPr>
  </w:style>
  <w:style w:type="table" w:customStyle="1" w:styleId="OPTUMTableNormal1">
    <w:name w:val="OPTUM Table Normal1"/>
    <w:basedOn w:val="TableNormal"/>
    <w:rsid w:val="00BC52A8"/>
    <w:pPr>
      <w:spacing w:before="40" w:after="20" w:line="240" w:lineRule="auto"/>
    </w:pPr>
    <w:rPr>
      <w:rFonts w:ascii="Calibri" w:eastAsia="Times New Roman" w:hAnsi="Calibri"/>
      <w:sz w:val="18"/>
      <w:szCs w:val="18"/>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character" w:styleId="CommentReference">
    <w:name w:val="annotation reference"/>
    <w:basedOn w:val="DefaultParagraphFont"/>
    <w:uiPriority w:val="99"/>
    <w:semiHidden/>
    <w:unhideWhenUsed/>
    <w:rsid w:val="00B559C2"/>
    <w:rPr>
      <w:sz w:val="16"/>
      <w:szCs w:val="16"/>
    </w:rPr>
  </w:style>
  <w:style w:type="paragraph" w:styleId="CommentText">
    <w:name w:val="annotation text"/>
    <w:basedOn w:val="Normal"/>
    <w:link w:val="CommentTextChar"/>
    <w:uiPriority w:val="99"/>
    <w:semiHidden/>
    <w:unhideWhenUsed/>
    <w:rsid w:val="00B559C2"/>
    <w:rPr>
      <w:sz w:val="20"/>
    </w:rPr>
  </w:style>
  <w:style w:type="character" w:customStyle="1" w:styleId="CommentTextChar">
    <w:name w:val="Comment Text Char"/>
    <w:basedOn w:val="DefaultParagraphFont"/>
    <w:link w:val="CommentText"/>
    <w:uiPriority w:val="99"/>
    <w:semiHidden/>
    <w:rsid w:val="00B559C2"/>
    <w:rPr>
      <w:rFonts w:eastAsia="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B559C2"/>
    <w:rPr>
      <w:b/>
      <w:bCs/>
    </w:rPr>
  </w:style>
  <w:style w:type="character" w:customStyle="1" w:styleId="CommentSubjectChar">
    <w:name w:val="Comment Subject Char"/>
    <w:basedOn w:val="CommentTextChar"/>
    <w:link w:val="CommentSubject"/>
    <w:uiPriority w:val="99"/>
    <w:semiHidden/>
    <w:rsid w:val="00B559C2"/>
    <w:rPr>
      <w:rFonts w:eastAsia="Times New Roman"/>
      <w:b/>
      <w:bCs/>
      <w:sz w:val="20"/>
      <w:szCs w:val="20"/>
      <w:lang w:eastAsia="en-AU"/>
    </w:rPr>
  </w:style>
  <w:style w:type="paragraph" w:styleId="BalloonText">
    <w:name w:val="Balloon Text"/>
    <w:basedOn w:val="Normal"/>
    <w:link w:val="BalloonTextChar"/>
    <w:uiPriority w:val="99"/>
    <w:semiHidden/>
    <w:unhideWhenUsed/>
    <w:rsid w:val="00B559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9C2"/>
    <w:rPr>
      <w:rFonts w:ascii="Segoe UI" w:eastAsia="Times New Roman" w:hAnsi="Segoe UI" w:cs="Segoe UI"/>
      <w:sz w:val="18"/>
      <w:szCs w:val="18"/>
      <w:lang w:eastAsia="en-AU"/>
    </w:rPr>
  </w:style>
  <w:style w:type="paragraph" w:styleId="Header">
    <w:name w:val="header"/>
    <w:basedOn w:val="Normal"/>
    <w:link w:val="HeaderChar"/>
    <w:uiPriority w:val="99"/>
    <w:unhideWhenUsed/>
    <w:rsid w:val="00D27A1A"/>
    <w:pPr>
      <w:tabs>
        <w:tab w:val="center" w:pos="4513"/>
        <w:tab w:val="right" w:pos="9026"/>
      </w:tabs>
    </w:pPr>
  </w:style>
  <w:style w:type="character" w:customStyle="1" w:styleId="HeaderChar">
    <w:name w:val="Header Char"/>
    <w:basedOn w:val="DefaultParagraphFont"/>
    <w:link w:val="Header"/>
    <w:uiPriority w:val="99"/>
    <w:rsid w:val="00D27A1A"/>
    <w:rPr>
      <w:rFonts w:eastAsia="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26"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sac.gov.au/" TargetMode="Externa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sac.gov.au/internet/msac/publishing.nsf/Content/1420.1-public" TargetMode="External"/><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9493</Words>
  <Characters>54113</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1420.1 Final PSD_Apr2020_redacted</vt:lpstr>
    </vt:vector>
  </TitlesOfParts>
  <LinksUpToDate>false</LinksUpToDate>
  <CharactersWithSpaces>63480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1420.1 Final PSD_Apr2020_redacted</dc:title>
  <dc:creator/>
  <cp:lastModifiedBy/>
  <cp:revision>1</cp:revision>
  <dcterms:created xsi:type="dcterms:W3CDTF">2020-06-15T04:56:00Z</dcterms:created>
  <dcterms:modified xsi:type="dcterms:W3CDTF">2020-06-16T03:01:00Z</dcterms:modified>
</cp:coreProperties>
</file>