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13AC2A52"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r w:rsidR="00306EC7">
        <w:rPr>
          <w:rFonts w:ascii="Arial" w:hAnsi="Arial" w:cs="Arial"/>
          <w:b/>
          <w:bCs/>
          <w:sz w:val="52"/>
          <w:szCs w:val="52"/>
        </w:rPr>
        <w:t xml:space="preserve"> 1789</w:t>
      </w:r>
    </w:p>
    <w:p w14:paraId="2CED87DE" w14:textId="21D8ADD4" w:rsidR="00EA0AA0" w:rsidRPr="009139B7" w:rsidRDefault="00AF6AFB" w:rsidP="00AF6AFB">
      <w:pPr>
        <w:spacing w:before="840"/>
        <w:jc w:val="center"/>
        <w:rPr>
          <w:rFonts w:eastAsia="Segoe UI"/>
          <w:bCs/>
          <w:i/>
          <w:iCs/>
          <w:color w:val="538135" w:themeColor="accent6" w:themeShade="BF"/>
        </w:rPr>
      </w:pPr>
      <w:r>
        <w:rPr>
          <w:rFonts w:ascii="Arial" w:hAnsi="Arial" w:cs="Arial"/>
          <w:b/>
          <w:bCs/>
          <w:color w:val="0070C0"/>
          <w:sz w:val="52"/>
          <w:szCs w:val="52"/>
        </w:rPr>
        <w:t>Computed tomography (CT) colonography for the detection of colorectal polyps and colorectal cancer</w:t>
      </w:r>
    </w:p>
    <w:p w14:paraId="41F4C9E1" w14:textId="0BA0089D" w:rsidR="00EA0AA0" w:rsidRPr="00306EC7" w:rsidRDefault="00EA0AA0" w:rsidP="009139B7">
      <w:pPr>
        <w:spacing w:before="840" w:line="259" w:lineRule="auto"/>
        <w:jc w:val="center"/>
        <w:rPr>
          <w:b/>
          <w:bCs/>
          <w:sz w:val="32"/>
          <w:szCs w:val="32"/>
        </w:rPr>
      </w:pPr>
      <w:r w:rsidRPr="00EA0AA0">
        <w:rPr>
          <w:rFonts w:ascii="Arial" w:hAnsi="Arial" w:cs="Arial"/>
          <w:b/>
          <w:bCs/>
          <w:sz w:val="52"/>
          <w:szCs w:val="52"/>
        </w:rPr>
        <w:t>PICO Set</w:t>
      </w:r>
      <w:r w:rsidR="00FF1ECB">
        <w:rPr>
          <w:rFonts w:ascii="Arial" w:hAnsi="Arial" w:cs="Arial"/>
          <w:b/>
          <w:bCs/>
          <w:sz w:val="52"/>
          <w:szCs w:val="52"/>
        </w:rPr>
        <w:t xml:space="preserve"> </w:t>
      </w:r>
      <w:r w:rsidR="00306EC7" w:rsidRPr="00306EC7">
        <w:rPr>
          <w:rFonts w:ascii="Arial" w:hAnsi="Arial" w:cs="Arial"/>
          <w:b/>
          <w:bCs/>
          <w:sz w:val="52"/>
          <w:szCs w:val="52"/>
        </w:rPr>
        <w:t>5</w:t>
      </w: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6BE5EBEE" w14:textId="0E3677AC" w:rsidR="00035492" w:rsidRDefault="00035492" w:rsidP="005919F0">
      <w:r>
        <w:t>P</w:t>
      </w:r>
      <w:r w:rsidRPr="00035492">
        <w:t>atients for whom diagnostic imaging has shown an abnormality of the colon</w:t>
      </w:r>
      <w:r>
        <w:t>.</w:t>
      </w:r>
    </w:p>
    <w:p w14:paraId="27C09DCB" w14:textId="5A99BB67" w:rsidR="00035492" w:rsidRDefault="00035492" w:rsidP="005919F0">
      <w:r w:rsidRPr="00035492">
        <w:t>Patients who have undergone imaging of the abdomen will occasionally have incidental findings discovered. These can be in the large bowel, when colorectal carcinoma becomes a diagnostic possibility. These patients are usually referred for colonoscopy to determine of cancer is present. We propose that CTC can be used as an alternate pathway.</w:t>
      </w:r>
    </w:p>
    <w:p w14:paraId="6A0F025C" w14:textId="56B747EA" w:rsidR="00862932" w:rsidRDefault="005919F0" w:rsidP="005919F0">
      <w:r>
        <w:t>Colorectal cancer is major disease within Australia and often presents at a relatively late phase. The symptoms are often vague and non-specific and these patients typically first present to General Practitioners. Given that colorectal cancer is a major cause of morbidity and mortality in Australia, GP’s will frequently investigate patients in whom they have significant clinical suspicion. GP’s are excellent at this as has previously been accepted by MSAC, Gastroenterologists and Colorectal Surgeons. This is evident by the ability of GP’s to refer</w:t>
      </w:r>
      <w:r w:rsidR="00862932">
        <w:t xml:space="preserve"> for direct access colonoscopy and for direct access to Barium Enema.</w:t>
      </w:r>
    </w:p>
    <w:p w14:paraId="5F60609C" w14:textId="7AF2E5D7" w:rsidR="00862932" w:rsidRPr="005919F0" w:rsidRDefault="00862932" w:rsidP="005919F0">
      <w:r>
        <w:t>CT Colonography is non-inferior to colonoscopy and is vastly superior to Barium Enema for the detection of colorectal cancer and polyps with advanced histology.</w:t>
      </w:r>
    </w:p>
    <w:p w14:paraId="7B7089F3" w14:textId="4188A283"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0635F721" w14:textId="7742B6A5" w:rsidR="00051843" w:rsidRDefault="00862932" w:rsidP="00BC0C43">
      <w:r>
        <w:t>Patients will present initially to GP’s</w:t>
      </w:r>
      <w:r w:rsidR="00035492">
        <w:t xml:space="preserve"> after an imaging test showing an incidental possible colonic malignancy. If, after</w:t>
      </w:r>
      <w:r>
        <w:t xml:space="preserve"> taking a history and examining the patient, </w:t>
      </w:r>
      <w:r w:rsidR="00035492">
        <w:t xml:space="preserve">the GP </w:t>
      </w:r>
      <w:r>
        <w:t>decide</w:t>
      </w:r>
      <w:r w:rsidR="00035492">
        <w:t>s that the patient</w:t>
      </w:r>
      <w:r>
        <w:t xml:space="preserve"> has a reasonable possibility of having colorectal cancer</w:t>
      </w:r>
      <w:r w:rsidR="00035492">
        <w:t>, the GP can</w:t>
      </w:r>
      <w:r>
        <w:t xml:space="preserve"> initiate further investigation. This is done by a written referral to a radiology practice for CTC. The patient undergoes bowel prep, faecal tagging and then has the study performed. The result is sent back to the referring GP who then manages the result. Possible results are:</w:t>
      </w:r>
    </w:p>
    <w:p w14:paraId="77508B66" w14:textId="57C9D7A0" w:rsidR="00862932" w:rsidRPr="00AF6AFB" w:rsidRDefault="00862932" w:rsidP="00862932">
      <w:pPr>
        <w:pStyle w:val="ListParagraph"/>
        <w:numPr>
          <w:ilvl w:val="0"/>
          <w:numId w:val="1"/>
        </w:numPr>
        <w:rPr>
          <w:rFonts w:eastAsia="Segoe UI"/>
          <w:color w:val="000000"/>
        </w:rPr>
      </w:pPr>
      <w:r w:rsidRPr="00AF6AFB">
        <w:rPr>
          <w:rFonts w:eastAsia="Segoe UI"/>
          <w:color w:val="000000"/>
        </w:rPr>
        <w:t xml:space="preserve">No abnormality </w:t>
      </w:r>
      <w:r w:rsidRPr="00AF6AFB">
        <w:rPr>
          <w:rFonts w:eastAsia="Segoe UI"/>
          <w:color w:val="000000"/>
        </w:rPr>
        <w:sym w:font="Wingdings" w:char="F0E0"/>
      </w:r>
      <w:r w:rsidRPr="00AF6AFB">
        <w:rPr>
          <w:rFonts w:eastAsia="Segoe UI"/>
          <w:color w:val="000000"/>
        </w:rPr>
        <w:t xml:space="preserve"> reassure the patient</w:t>
      </w:r>
    </w:p>
    <w:p w14:paraId="40C4CAA7" w14:textId="29930EAF" w:rsidR="00862932" w:rsidRPr="00AF6AFB" w:rsidRDefault="00862932" w:rsidP="00862932">
      <w:pPr>
        <w:pStyle w:val="ListParagraph"/>
        <w:numPr>
          <w:ilvl w:val="0"/>
          <w:numId w:val="1"/>
        </w:numPr>
        <w:rPr>
          <w:rFonts w:eastAsia="Segoe UI"/>
          <w:color w:val="000000"/>
        </w:rPr>
      </w:pPr>
      <w:r w:rsidRPr="00AF6AFB">
        <w:rPr>
          <w:rFonts w:eastAsia="Segoe UI"/>
          <w:color w:val="000000"/>
        </w:rPr>
        <w:t xml:space="preserve">Polyp detected </w:t>
      </w:r>
      <w:r w:rsidRPr="00AF6AFB">
        <w:rPr>
          <w:rFonts w:eastAsia="Segoe UI"/>
          <w:color w:val="000000"/>
        </w:rPr>
        <w:sym w:font="Wingdings" w:char="F0E0"/>
      </w:r>
      <w:r w:rsidRPr="00AF6AFB">
        <w:rPr>
          <w:rFonts w:eastAsia="Segoe UI"/>
          <w:color w:val="000000"/>
        </w:rPr>
        <w:t xml:space="preserve"> refer for colonoscopy.</w:t>
      </w:r>
    </w:p>
    <w:p w14:paraId="0F706BC6" w14:textId="0627490D" w:rsidR="00862932" w:rsidRPr="00AF6AFB" w:rsidRDefault="00862932" w:rsidP="00862932">
      <w:pPr>
        <w:pStyle w:val="ListParagraph"/>
        <w:numPr>
          <w:ilvl w:val="0"/>
          <w:numId w:val="1"/>
        </w:numPr>
        <w:rPr>
          <w:rFonts w:eastAsia="Segoe UI"/>
          <w:color w:val="000000"/>
        </w:rPr>
      </w:pPr>
      <w:r w:rsidRPr="00AF6AFB">
        <w:rPr>
          <w:rFonts w:eastAsia="Segoe UI"/>
          <w:color w:val="000000"/>
        </w:rPr>
        <w:t xml:space="preserve">Cancer detected </w:t>
      </w:r>
      <w:r w:rsidRPr="00AF6AFB">
        <w:rPr>
          <w:rFonts w:eastAsia="Segoe UI"/>
          <w:color w:val="000000"/>
        </w:rPr>
        <w:sym w:font="Wingdings" w:char="F0E0"/>
      </w:r>
      <w:r w:rsidRPr="00AF6AFB">
        <w:rPr>
          <w:rFonts w:eastAsia="Segoe UI"/>
          <w:color w:val="000000"/>
        </w:rPr>
        <w:t xml:space="preserve"> stage the patient and refer to oncology or colorectal surgery.</w:t>
      </w:r>
    </w:p>
    <w:p w14:paraId="0EB432EF" w14:textId="494FA1EC" w:rsidR="00051843" w:rsidRPr="00BC0C43" w:rsidRDefault="00051843" w:rsidP="00BC0C43">
      <w:pPr>
        <w:pStyle w:val="Heading2"/>
      </w:pPr>
      <w:r>
        <w:t>Provide a rationale for the specifics of the eligible population:</w:t>
      </w:r>
    </w:p>
    <w:p w14:paraId="3572E3AE" w14:textId="2C2A2F3F" w:rsidR="00862932" w:rsidRDefault="00862932" w:rsidP="00BC0C43">
      <w:r>
        <w:t>This patient population has already been reviewed by MSAC and is currently eligible for direct open access colonoscopy. The population does require further evaluation with a definitive test. Currently only two tests are available to investigate patients suspected of having CRC. Barium Enema is no longer appropriate as it has been replaced by CTC which has vastly superior sensitivity, specificity and is supported by a large body of evidence.</w:t>
      </w:r>
      <w:r w:rsidR="00026E90">
        <w:t xml:space="preserve"> Colonoscopy is more invasive and has significant wait lists.</w:t>
      </w:r>
    </w:p>
    <w:p w14:paraId="409AB389" w14:textId="1BF6DFCB" w:rsidR="00051843" w:rsidRDefault="00051843" w:rsidP="00BC0C43">
      <w:pPr>
        <w:pStyle w:val="Heading2"/>
      </w:pPr>
      <w:r>
        <w:t xml:space="preserve">Are there any prerequisite tests? </w:t>
      </w:r>
    </w:p>
    <w:p w14:paraId="64EC5580" w14:textId="3FDAC431" w:rsidR="00051843" w:rsidRDefault="00026E90" w:rsidP="00BC0C43">
      <w:r>
        <w:t>No</w:t>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4A4B2035" w:rsidR="00BE6B22" w:rsidRPr="00BC0C43" w:rsidRDefault="00026E90" w:rsidP="00BC0C43">
      <w:pPr>
        <w:rPr>
          <w:rFonts w:asciiTheme="minorHAnsi" w:eastAsia="Segoe UI" w:hAnsiTheme="minorHAnsi" w:cstheme="minorHAnsi"/>
          <w:color w:val="000000"/>
        </w:rPr>
      </w:pPr>
      <w:r>
        <w:t>CT Colonography.</w:t>
      </w:r>
    </w:p>
    <w:p w14:paraId="61D4A875" w14:textId="334BDEA3" w:rsidR="00BE6B22" w:rsidRPr="00BC0C43" w:rsidRDefault="00665487" w:rsidP="00BC0C43">
      <w:pPr>
        <w:pStyle w:val="Heading2"/>
      </w:pPr>
      <w:r w:rsidRPr="00B15CDF">
        <w:lastRenderedPageBreak/>
        <w:t>Describe the key components and clinical steps involved in delivering the proposed health technology</w:t>
      </w:r>
      <w:r w:rsidR="00BE6B22">
        <w:t>:</w:t>
      </w:r>
    </w:p>
    <w:p w14:paraId="20B5DD25" w14:textId="72C76B5A" w:rsidR="00BE6B22" w:rsidRDefault="00026E90" w:rsidP="00BC0C43">
      <w:r>
        <w:t xml:space="preserve">CTC is a CT scan of the colon that is performed after a bowel prep and faecal tagging. A small soft tube is positioned in the patients rectum and the colon is inflated with carbon dioxide. The patient then has two low dose CT </w:t>
      </w:r>
      <w:proofErr w:type="spellStart"/>
      <w:r>
        <w:t>scan’s</w:t>
      </w:r>
      <w:proofErr w:type="spellEnd"/>
      <w:r>
        <w:t>, once on their back and the second on their front or side. No sedation is necessary and the procedure is well tolerated. Patient are able to drive themselves home and do not need an escort. In addition anaesthetic support is not necessary.</w:t>
      </w:r>
    </w:p>
    <w:p w14:paraId="1C93D297" w14:textId="77777777" w:rsidR="00026E90" w:rsidRPr="00306EC7" w:rsidRDefault="00026E90" w:rsidP="00026E90">
      <w:pPr>
        <w:pStyle w:val="Heading2"/>
        <w:rPr>
          <w:rFonts w:eastAsia="Segoe UI"/>
          <w:b w:val="0"/>
          <w:bCs w:val="0"/>
          <w:color w:val="000000"/>
        </w:rPr>
      </w:pPr>
      <w:r w:rsidRPr="00306EC7">
        <w:rPr>
          <w:rFonts w:eastAsia="Segoe UI"/>
          <w:b w:val="0"/>
          <w:bCs w:val="0"/>
          <w:color w:val="000000"/>
        </w:rPr>
        <w:t>CTC has been proven to be non-inferior to colonoscopy in multiple well conducted randomised trials (see evidence section). In addition, the break-through cancer rate is exceedingly low and is non-inferior to colonoscopy.</w:t>
      </w:r>
    </w:p>
    <w:p w14:paraId="789A50DB" w14:textId="77777777" w:rsidR="00026E90" w:rsidRPr="00306EC7" w:rsidRDefault="00026E90" w:rsidP="00026E90">
      <w:pPr>
        <w:pStyle w:val="Heading2"/>
        <w:rPr>
          <w:rFonts w:eastAsia="Segoe UI"/>
          <w:b w:val="0"/>
          <w:bCs w:val="0"/>
          <w:color w:val="000000"/>
        </w:rPr>
      </w:pPr>
      <w:r w:rsidRPr="00306EC7">
        <w:rPr>
          <w:rFonts w:eastAsia="Segoe UI"/>
          <w:b w:val="0"/>
          <w:bCs w:val="0"/>
          <w:color w:val="000000"/>
        </w:rPr>
        <w:t>A significant advantage of CTC over colonoscopy is access with this test being readily available in rural/regional settings and in lower socioeconomic areas. These areas often have high first nation representations.</w:t>
      </w:r>
    </w:p>
    <w:p w14:paraId="1C779BE0" w14:textId="58A35EB9" w:rsidR="00026E90" w:rsidRPr="00306EC7" w:rsidRDefault="00026E90" w:rsidP="00306EC7">
      <w:pPr>
        <w:pStyle w:val="Heading2"/>
        <w:spacing w:after="120"/>
        <w:rPr>
          <w:rFonts w:eastAsia="Segoe UI"/>
          <w:b w:val="0"/>
          <w:bCs w:val="0"/>
          <w:color w:val="000000"/>
        </w:rPr>
      </w:pPr>
      <w:r w:rsidRPr="00306EC7">
        <w:rPr>
          <w:rFonts w:eastAsia="Segoe UI"/>
          <w:b w:val="0"/>
          <w:bCs w:val="0"/>
          <w:color w:val="000000"/>
        </w:rPr>
        <w:t>No sedation is required for the investigation and so it is logistically easier for marginalised and isolated patients.</w:t>
      </w:r>
    </w:p>
    <w:p w14:paraId="21ED1339" w14:textId="43BBB763" w:rsidR="00026E90" w:rsidRPr="00306EC7" w:rsidRDefault="00026E90" w:rsidP="00306EC7">
      <w:r>
        <w:t>The studies are reported by radiologists who have been accredited by the RANZCR.</w:t>
      </w:r>
    </w:p>
    <w:p w14:paraId="496F861E" w14:textId="06EBDF95" w:rsidR="00BE6B22" w:rsidRPr="00026E90" w:rsidRDefault="00665487" w:rsidP="00026E90">
      <w:pPr>
        <w:pStyle w:val="Heading2"/>
        <w:rPr>
          <w:rFonts w:asciiTheme="minorHAnsi" w:eastAsia="Segoe UI" w:hAnsiTheme="minorHAnsi" w:cstheme="minorHAnsi"/>
          <w:b w:val="0"/>
          <w:bCs w:val="0"/>
          <w:color w:val="000000"/>
        </w:rPr>
      </w:pPr>
      <w:r w:rsidRPr="00BC0C43">
        <w:rPr>
          <w:rStyle w:val="Heading2Char"/>
          <w:b/>
          <w:bCs/>
        </w:rPr>
        <w:t>Identify how the proposed technology achieves the intended patient outcomes</w:t>
      </w:r>
      <w:r w:rsidR="00BE6B22" w:rsidRPr="00BC0C43">
        <w:t>:</w:t>
      </w:r>
    </w:p>
    <w:p w14:paraId="72015A67" w14:textId="72A1E0D6" w:rsidR="00BE6B22" w:rsidRPr="00BC0C43" w:rsidRDefault="00026E90" w:rsidP="00BC0C43">
      <w:pPr>
        <w:rPr>
          <w:rFonts w:asciiTheme="minorHAnsi" w:eastAsia="Segoe UI" w:hAnsiTheme="minorHAnsi" w:cstheme="minorHAnsi"/>
          <w:color w:val="000000"/>
        </w:rPr>
      </w:pPr>
      <w:r>
        <w:t>CTC is excellent at detecting CRC and polyps with advanced histology. It is non-inferior to colonoscopy. It is well tolerated and so will allow patients to choose which further investigation they have. By empowering patients and offering a choice, it will increase the number of patients who have a definitive test after being recommended by their GP.</w:t>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51735A68" w:rsidR="00BE6B22" w:rsidRDefault="00026E90" w:rsidP="00BC0C43">
      <w:r>
        <w:t>No</w:t>
      </w:r>
    </w:p>
    <w:p w14:paraId="46AD8179" w14:textId="07B7F795" w:rsidR="00665487" w:rsidRDefault="00EA7B42" w:rsidP="00BC0C43">
      <w:pPr>
        <w:pStyle w:val="Heading2"/>
      </w:pPr>
      <w:r w:rsidRPr="00B15CDF">
        <w:t>Are there any proposed limitations on the provision of the proposed health technology delivered to the patient (For example: accessibility, dosage, quantity, duration or frequency)</w:t>
      </w:r>
      <w:r>
        <w:t>:</w:t>
      </w:r>
      <w:r w:rsidR="00665487">
        <w:t xml:space="preserve"> </w:t>
      </w:r>
    </w:p>
    <w:p w14:paraId="669B5F75" w14:textId="681F530B" w:rsidR="00665487" w:rsidRDefault="00026E90" w:rsidP="00BC0C43">
      <w:r>
        <w:t>No</w:t>
      </w:r>
    </w:p>
    <w:p w14:paraId="207973FE" w14:textId="0108C50B" w:rsidR="00665487" w:rsidRPr="00BC0C43" w:rsidRDefault="00EA7B42" w:rsidP="00BC0C43">
      <w:pPr>
        <w:pStyle w:val="Heading2"/>
      </w:pPr>
      <w:r>
        <w:t>Provide details and explain</w:t>
      </w:r>
      <w:r w:rsidR="00665487">
        <w:t>:</w:t>
      </w:r>
    </w:p>
    <w:p w14:paraId="7EDC963E" w14:textId="1D7AC869" w:rsidR="00665487" w:rsidRPr="00BC0C43" w:rsidRDefault="00026E90" w:rsidP="00BC0C43">
      <w:pPr>
        <w:rPr>
          <w:rFonts w:asciiTheme="minorHAnsi" w:eastAsia="Segoe UI" w:hAnsiTheme="minorHAnsi" w:cstheme="minorHAnsi"/>
          <w:color w:val="000000"/>
        </w:rPr>
      </w:pPr>
      <w:r>
        <w:t xml:space="preserve">The test is well tolerated, readily available and has proven to be safe, accurate and cost effective. Sedation is not necessary, it is safer than colonoscopy and incomplete studies are rare. It is excellent for regional/remote areas, isolated patients and patients with co-morbidities. </w:t>
      </w:r>
    </w:p>
    <w:p w14:paraId="2F90F356" w14:textId="56BF0008" w:rsidR="006227EF" w:rsidRPr="00BC0C43" w:rsidRDefault="006227EF" w:rsidP="00BC0C43">
      <w:pPr>
        <w:pStyle w:val="Heading2"/>
      </w:pPr>
      <w:r>
        <w:t>If applicable, advise which health professionals will be needed to provide the proposed health technology:</w:t>
      </w:r>
    </w:p>
    <w:p w14:paraId="6BC4ECCB" w14:textId="39A46533" w:rsidR="006227EF" w:rsidRPr="00BC0C43" w:rsidRDefault="00162BE7" w:rsidP="00BC0C43">
      <w:pPr>
        <w:rPr>
          <w:rFonts w:asciiTheme="minorHAnsi" w:eastAsia="Segoe UI" w:hAnsiTheme="minorHAnsi" w:cstheme="minorHAnsi"/>
          <w:color w:val="000000"/>
        </w:rPr>
      </w:pPr>
      <w:r>
        <w:t xml:space="preserve">The test is </w:t>
      </w:r>
      <w:r w:rsidR="00A95BEA">
        <w:t>performed by radiographers and is interpreted by radiologists who have been credentialed by the RANZCR.</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31F90B35" w:rsidR="00665487" w:rsidRPr="00BC0C43" w:rsidRDefault="00A95BEA" w:rsidP="00BC0C43">
      <w:pPr>
        <w:rPr>
          <w:rFonts w:asciiTheme="minorHAnsi" w:eastAsia="Segoe UI" w:hAnsiTheme="minorHAnsi" w:cstheme="minorHAnsi"/>
          <w:color w:val="000000"/>
        </w:rPr>
      </w:pPr>
      <w:r>
        <w:t>Only radiologists have the necessary training to interpret the test.</w:t>
      </w:r>
    </w:p>
    <w:p w14:paraId="414D5196" w14:textId="42D4776C" w:rsidR="006227EF" w:rsidRPr="00BC0C43" w:rsidRDefault="006227EF" w:rsidP="00AF6AFB">
      <w:pPr>
        <w:pStyle w:val="Heading2"/>
        <w:keepNext/>
        <w:keepLines/>
      </w:pPr>
      <w:r w:rsidRPr="00BE0612">
        <w:lastRenderedPageBreak/>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71436891" w:rsidR="006227EF" w:rsidRPr="00BC0C43" w:rsidRDefault="00A95BEA" w:rsidP="00AF6AFB">
      <w:pPr>
        <w:keepNext/>
        <w:keepLines/>
        <w:rPr>
          <w:rFonts w:asciiTheme="minorHAnsi" w:eastAsia="Segoe UI" w:hAnsiTheme="minorHAnsi" w:cstheme="minorHAnsi"/>
          <w:color w:val="000000"/>
        </w:rPr>
      </w:pPr>
      <w:r>
        <w:t>General Practitioners should be the people requesting the test.</w:t>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2BBBBEE1" w:rsidR="00380C41" w:rsidRDefault="00A95BEA" w:rsidP="00BC0C43">
      <w:r>
        <w:t>Yes</w:t>
      </w:r>
    </w:p>
    <w:p w14:paraId="0E842550" w14:textId="4EA98943" w:rsidR="00380C41" w:rsidRPr="00BC0C43" w:rsidRDefault="00380C41" w:rsidP="00BC0C43">
      <w:pPr>
        <w:pStyle w:val="Heading2"/>
      </w:pPr>
      <w:r>
        <w:t>Provide details and explain:</w:t>
      </w:r>
    </w:p>
    <w:p w14:paraId="3B19DC52" w14:textId="13771933" w:rsidR="00A95BEA" w:rsidRDefault="00A95BEA" w:rsidP="00EA0AA0">
      <w:r>
        <w:t>The radiographers will require a brief training session (many have already done this). The test is routinely performed by radiographers in other countries including New Zealand, the UK, and the USA.</w:t>
      </w:r>
    </w:p>
    <w:p w14:paraId="5AE3E0FD" w14:textId="68E9DEC8" w:rsidR="00A95BEA" w:rsidRPr="00EA0AA0" w:rsidRDefault="00A95BEA" w:rsidP="00EA0AA0">
      <w:pPr>
        <w:rPr>
          <w:rFonts w:asciiTheme="minorHAnsi" w:eastAsia="Segoe UI" w:hAnsiTheme="minorHAnsi" w:cstheme="minorHAnsi"/>
          <w:color w:val="000000"/>
        </w:rPr>
      </w:pPr>
      <w:r>
        <w:t>The radiologists require a FRANZCR and to have undergone additional training to be able to report the test. These processes and policies are already in place as the system is necessary as CTC is performed in Australia and to a much larger extent in New Zealand which also falls under the jurisdiction of the RANZCR.</w:t>
      </w:r>
    </w:p>
    <w:p w14:paraId="54E88C9C" w14:textId="29E2DD0A" w:rsidR="00380C41" w:rsidRDefault="00BB494A" w:rsidP="00BC0C43">
      <w:pPr>
        <w:pStyle w:val="Heading2"/>
        <w:rPr>
          <w:rStyle w:val="InstructionsChar"/>
        </w:rPr>
      </w:pPr>
      <w:r>
        <w:t xml:space="preserve">Indicate the proposed setting(s) in which the proposed health technology will be delivered: </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Residential aged care facility</w:t>
      </w:r>
    </w:p>
    <w:p w14:paraId="594B3A20" w14:textId="4E373224" w:rsidR="00BB494A" w:rsidRPr="000627EF" w:rsidRDefault="00306EC7" w:rsidP="00582377">
      <w:pPr>
        <w:pStyle w:val="Tickboxes"/>
      </w:pPr>
      <w:r>
        <w:fldChar w:fldCharType="begin">
          <w:ffData>
            <w:name w:val="Check1"/>
            <w:enabled/>
            <w:calcOnExit w:val="0"/>
            <w:checkBox>
              <w:sizeAuto/>
              <w:default w:val="1"/>
            </w:checkBox>
          </w:ffData>
        </w:fldChar>
      </w:r>
      <w:bookmarkStart w:id="0" w:name="Check1"/>
      <w:r>
        <w:instrText xml:space="preserve"> FORMCHECKBOX </w:instrText>
      </w:r>
      <w:r w:rsidR="00AF6AFB">
        <w:fldChar w:fldCharType="separate"/>
      </w:r>
      <w:r>
        <w:fldChar w:fldCharType="end"/>
      </w:r>
      <w:bookmarkEnd w:id="0"/>
      <w:r w:rsidR="00BB494A" w:rsidRPr="00BC0C43">
        <w:t xml:space="preserve"> </w:t>
      </w:r>
      <w:r w:rsidR="00BB494A" w:rsidRPr="00306EC7">
        <w:t>Other (please specify</w:t>
      </w:r>
      <w:r w:rsidR="00BB494A" w:rsidRPr="00BC0C43">
        <w:t xml:space="preserve">) </w:t>
      </w:r>
    </w:p>
    <w:p w14:paraId="0D56AD3D" w14:textId="65F44444" w:rsidR="00BB494A" w:rsidRDefault="00A95BEA" w:rsidP="00BC0C43">
      <w:pPr>
        <w:rPr>
          <w:rFonts w:asciiTheme="minorHAnsi" w:eastAsia="Segoe UI" w:hAnsiTheme="minorHAnsi" w:cstheme="minorHAnsi"/>
          <w:color w:val="000000"/>
        </w:rPr>
      </w:pPr>
      <w:r>
        <w:t>The test is performed in radiology practices. This can be public, private, hospital or community based.</w:t>
      </w:r>
    </w:p>
    <w:p w14:paraId="2A1C0D0A" w14:textId="3D79FC0A" w:rsidR="002D7216" w:rsidRDefault="002D7216" w:rsidP="00BC0C43">
      <w:pPr>
        <w:pStyle w:val="Heading2"/>
      </w:pPr>
      <w:r>
        <w:t xml:space="preserve">Is the proposed health technology intended to be entirely rendered inside Australia? </w:t>
      </w:r>
    </w:p>
    <w:p w14:paraId="0478F3B1" w14:textId="1100D96F" w:rsidR="002D7216" w:rsidRDefault="00A95BEA" w:rsidP="00BC0C43">
      <w:r>
        <w:t>Yes</w:t>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6AA3F417" w14:textId="77777777" w:rsidR="00A95BEA" w:rsidRPr="00A95BEA" w:rsidRDefault="00A95BEA" w:rsidP="00A95BEA">
      <w:pPr>
        <w:pStyle w:val="Heading2"/>
        <w:rPr>
          <w:b w:val="0"/>
          <w:bCs w:val="0"/>
        </w:rPr>
      </w:pPr>
      <w:r w:rsidRPr="00A95BEA">
        <w:rPr>
          <w:b w:val="0"/>
          <w:bCs w:val="0"/>
        </w:rPr>
        <w:t>The comparator is colonoscopy.</w:t>
      </w:r>
    </w:p>
    <w:p w14:paraId="2F2BE88F" w14:textId="77777777" w:rsidR="00A95BEA" w:rsidRPr="00A95BEA" w:rsidRDefault="00A95BEA" w:rsidP="00A95BEA">
      <w:pPr>
        <w:pStyle w:val="Heading2"/>
        <w:rPr>
          <w:b w:val="0"/>
          <w:bCs w:val="0"/>
        </w:rPr>
      </w:pPr>
      <w:r w:rsidRPr="00A95BEA">
        <w:rPr>
          <w:b w:val="0"/>
          <w:bCs w:val="0"/>
        </w:rP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p>
    <w:p w14:paraId="6C23163F" w14:textId="368B653F" w:rsidR="00A95BEA" w:rsidRPr="00306EC7" w:rsidRDefault="00A95BEA" w:rsidP="00306EC7">
      <w:pPr>
        <w:pStyle w:val="Heading2"/>
        <w:spacing w:after="120"/>
        <w:rPr>
          <w:b w:val="0"/>
          <w:bCs w:val="0"/>
        </w:rPr>
      </w:pPr>
      <w:r w:rsidRPr="00A95BEA">
        <w:rPr>
          <w:b w:val="0"/>
          <w:bCs w:val="0"/>
        </w:rPr>
        <w:lastRenderedPageBreak/>
        <w:t>In addition, colonoscopy is an invasive test and CT colonography has a better safety profile.</w:t>
      </w:r>
    </w:p>
    <w:p w14:paraId="25EFB3F0" w14:textId="4E415CBF" w:rsidR="00B31B9C" w:rsidRDefault="00A95BEA" w:rsidP="00A95BEA">
      <w:r>
        <w:t xml:space="preserve">Colonoscopy has multiple additional costs, beyond the colonoscopy MBS rebate. For example up to 5% are incomplete and then require further investigation with CTC (as per Cancer Council Guidelines). Rates of polypectomy at </w:t>
      </w:r>
      <w:r w:rsidR="00306EC7">
        <w:t>colonoscopy</w:t>
      </w:r>
      <w:r>
        <w:t xml:space="preserve"> are high (most are </w:t>
      </w:r>
      <w:proofErr w:type="spellStart"/>
      <w:r>
        <w:t>non cancerous</w:t>
      </w:r>
      <w:proofErr w:type="spellEnd"/>
      <w:r>
        <w:t xml:space="preserve"> hyperplastic polyps). These are sent for histologic analysis at further expense. Anaesthetic fees are often added as the college of anaesthetists states that the proceduralist should not be the person giving sedation.</w:t>
      </w:r>
    </w:p>
    <w:p w14:paraId="21EBB077" w14:textId="3C8FEF57" w:rsidR="00B31B9C" w:rsidRPr="00306EC7" w:rsidRDefault="00B31B9C" w:rsidP="00A95BEA">
      <w:pPr>
        <w:rPr>
          <w:rFonts w:asciiTheme="minorHAnsi" w:eastAsia="Segoe UI" w:hAnsiTheme="minorHAnsi" w:cstheme="minorHAnsi"/>
          <w:color w:val="000000"/>
        </w:rPr>
      </w:pPr>
      <w:r>
        <w:t>I am not sure if a physician consultation rebate is frequently co-claimed. No doubt MBS data will be available to answer this.</w:t>
      </w:r>
    </w:p>
    <w:p w14:paraId="3E3431F7" w14:textId="71478296" w:rsidR="00FE257E" w:rsidRDefault="00955904" w:rsidP="00BC0C43">
      <w:pPr>
        <w:pStyle w:val="Heading2"/>
      </w:pPr>
      <w:r>
        <w:t>List any existing MBS item numbers that are relevant for the nominated comparators</w:t>
      </w:r>
      <w:r w:rsidR="000627EF">
        <w:t>:</w:t>
      </w:r>
      <w:r w:rsidR="00FE257E">
        <w:t xml:space="preserve"> </w:t>
      </w:r>
    </w:p>
    <w:p w14:paraId="63959FFE" w14:textId="5BD0BD6F" w:rsidR="00955904" w:rsidRDefault="00D6725E" w:rsidP="00BC0C43">
      <w:r>
        <w:t>32222</w:t>
      </w:r>
    </w:p>
    <w:p w14:paraId="720032CC" w14:textId="6E008238" w:rsidR="00D6725E" w:rsidRDefault="00D6725E" w:rsidP="00BC0C43">
      <w:r>
        <w:t>32223</w:t>
      </w:r>
    </w:p>
    <w:p w14:paraId="249092EF" w14:textId="703336E3" w:rsidR="00D6725E" w:rsidRDefault="00D6725E" w:rsidP="00BC0C43">
      <w:r>
        <w:t>32224</w:t>
      </w:r>
    </w:p>
    <w:p w14:paraId="77CDA523" w14:textId="3CC87FC2" w:rsidR="00D6725E" w:rsidRDefault="00D6725E" w:rsidP="00BC0C43">
      <w:r>
        <w:t>32225</w:t>
      </w:r>
    </w:p>
    <w:p w14:paraId="72DA1049" w14:textId="0EACE3FC" w:rsidR="00D6725E" w:rsidRDefault="00D6725E" w:rsidP="00BC0C43">
      <w:r>
        <w:t>32226</w:t>
      </w:r>
    </w:p>
    <w:p w14:paraId="19B2FF09" w14:textId="4187B650" w:rsidR="00D6725E" w:rsidRDefault="00D6725E" w:rsidP="00BC0C43">
      <w:r>
        <w:t>32228</w:t>
      </w:r>
    </w:p>
    <w:p w14:paraId="0E69E2EC" w14:textId="7D6194E1" w:rsidR="00D6725E" w:rsidRDefault="00D6725E" w:rsidP="00BC0C43">
      <w:r>
        <w:t>32229</w:t>
      </w:r>
    </w:p>
    <w:p w14:paraId="7AE42CF7" w14:textId="1FFF8B0A" w:rsidR="00FE257E" w:rsidRPr="00BC0C43" w:rsidRDefault="00EA0AA0" w:rsidP="00BC0C43">
      <w:pPr>
        <w:pStyle w:val="Heading2"/>
      </w:pPr>
      <w:r>
        <w:t>P</w:t>
      </w:r>
      <w:r w:rsidR="005B5A58">
        <w:t>rovide a rationale for why this is a comparator</w:t>
      </w:r>
      <w:r w:rsidR="000627EF">
        <w:t>:</w:t>
      </w:r>
    </w:p>
    <w:p w14:paraId="2F47DBF3" w14:textId="18C405FB" w:rsidR="00FE257E" w:rsidRPr="00BC0C43" w:rsidRDefault="00D6725E" w:rsidP="00BC0C43">
      <w:pPr>
        <w:rPr>
          <w:rFonts w:asciiTheme="minorHAnsi" w:eastAsia="Segoe UI" w:hAnsiTheme="minorHAnsi" w:cstheme="minorHAnsi"/>
          <w:color w:val="000000"/>
        </w:rPr>
      </w:pPr>
      <w:r>
        <w:t>Colonoscopy is the only currently funded colonic test that GP’s can refer for.</w:t>
      </w:r>
    </w:p>
    <w:p w14:paraId="7D835BE0" w14:textId="77777777" w:rsidR="00361BBE" w:rsidRDefault="005B5A58" w:rsidP="00BC0C43">
      <w:pPr>
        <w:pStyle w:val="Heading2"/>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AF6AFB">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AF6AFB">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3231F17D" w:rsidR="000627EF" w:rsidRPr="00582377" w:rsidRDefault="00306EC7" w:rsidP="00582377">
      <w:pPr>
        <w:pStyle w:val="Tickboxes"/>
      </w:pPr>
      <w:r>
        <w:fldChar w:fldCharType="begin">
          <w:ffData>
            <w:name w:val=""/>
            <w:enabled/>
            <w:calcOnExit w:val="0"/>
            <w:checkBox>
              <w:sizeAuto/>
              <w:default w:val="1"/>
            </w:checkBox>
          </w:ffData>
        </w:fldChar>
      </w:r>
      <w:r>
        <w:instrText xml:space="preserve"> FORMCHECKBOX </w:instrText>
      </w:r>
      <w:r w:rsidR="00AF6AFB">
        <w:fldChar w:fldCharType="separate"/>
      </w:r>
      <w:r>
        <w:fldChar w:fldCharType="end"/>
      </w:r>
      <w:r w:rsidR="000627EF" w:rsidRPr="00582377">
        <w:t xml:space="preserve"> </w:t>
      </w:r>
      <w:r w:rsidR="000627EF" w:rsidRPr="00306EC7">
        <w:t xml:space="preserve">Partial </w:t>
      </w:r>
      <w:r w:rsidR="00BC0C43" w:rsidRPr="00306EC7">
        <w:t>(in</w:t>
      </w:r>
      <w:r w:rsidR="000627EF" w:rsidRPr="00582377">
        <w:t xml:space="preserve"> some cases, the proposed technology will replace the use of the comparator, but not all</w:t>
      </w:r>
      <w:r w:rsidR="00BC0C43" w:rsidRPr="00582377">
        <w:t>)</w:t>
      </w:r>
      <w:r w:rsidR="000627EF" w:rsidRPr="00582377">
        <w:t xml:space="preserve"> </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AF6AFB">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122AEE1B" w14:textId="410A1DC2" w:rsidR="00056A9A" w:rsidRDefault="00056A9A" w:rsidP="00BC0C43">
      <w:r>
        <w:t xml:space="preserve">In many countries that have adopted CTC, 20-30% of colonic examinations are performed with CTC with 70-80% remaining as colonoscopy. </w:t>
      </w:r>
    </w:p>
    <w:p w14:paraId="718EF770" w14:textId="3C2461AF" w:rsidR="00056A9A" w:rsidRDefault="00056A9A" w:rsidP="00BC0C43">
      <w:r>
        <w:t xml:space="preserve">Current waitlists for colonoscopy are longer than recommended and this is expected to worsen with adoption of the national bowel cancer screening program. These issues are greatest in regional and remote areas, as well as in communities with vulnerable, disadvantaged and indigenous people. </w:t>
      </w:r>
    </w:p>
    <w:p w14:paraId="60E0F5D7" w14:textId="08ABF745" w:rsidR="00056A9A" w:rsidRPr="00BE6B22" w:rsidRDefault="00056A9A" w:rsidP="00BC0C43">
      <w:pPr>
        <w:rPr>
          <w:rFonts w:asciiTheme="minorHAnsi" w:eastAsia="Segoe UI" w:hAnsiTheme="minorHAnsi" w:cstheme="minorHAnsi"/>
          <w:color w:val="000000"/>
        </w:rPr>
      </w:pPr>
      <w:r>
        <w:t xml:space="preserve">As patients comorbidities increase and with the increasing use of anticoagulation, CTC’s superior safety profile will result in increased utilisation. </w:t>
      </w:r>
    </w:p>
    <w:p w14:paraId="527F0163" w14:textId="2737A668" w:rsidR="0016065A" w:rsidRPr="00EA0AA0" w:rsidRDefault="0016065A" w:rsidP="00EA0AA0">
      <w:pPr>
        <w:pStyle w:val="Heading1"/>
      </w:pPr>
      <w:r w:rsidRPr="00EA0AA0">
        <w:t>Outcome</w:t>
      </w:r>
      <w:r w:rsidR="00770FA6" w:rsidRPr="00EA0AA0">
        <w:t>s</w:t>
      </w:r>
    </w:p>
    <w:p w14:paraId="17E1F7BE" w14:textId="77777777" w:rsidR="00361BBE" w:rsidRDefault="004C02B7" w:rsidP="00361BBE">
      <w:pPr>
        <w:pStyle w:val="Heading2"/>
        <w:spacing w:after="120"/>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7DA2022F" w14:textId="137E3474" w:rsidR="00056A9A" w:rsidRDefault="00306EC7" w:rsidP="00582377">
      <w:pPr>
        <w:pStyle w:val="Tickboxes"/>
      </w:pPr>
      <w:r>
        <w:lastRenderedPageBreak/>
        <w:fldChar w:fldCharType="begin">
          <w:ffData>
            <w:name w:val=""/>
            <w:enabled/>
            <w:calcOnExit w:val="0"/>
            <w:checkBox>
              <w:sizeAuto/>
              <w:default w:val="1"/>
            </w:checkBox>
          </w:ffData>
        </w:fldChar>
      </w:r>
      <w:r>
        <w:instrText xml:space="preserve"> FORMCHECKBOX </w:instrText>
      </w:r>
      <w:r w:rsidR="00AF6AFB">
        <w:fldChar w:fldCharType="separate"/>
      </w:r>
      <w:r>
        <w:fldChar w:fldCharType="end"/>
      </w:r>
      <w:r w:rsidR="00BC0C43" w:rsidRPr="00BC0C43">
        <w:t xml:space="preserve"> </w:t>
      </w:r>
      <w:r w:rsidR="004C02B7" w:rsidRPr="00306EC7">
        <w:t>Health benefits</w:t>
      </w:r>
    </w:p>
    <w:p w14:paraId="25037B95" w14:textId="77777777" w:rsidR="00056A9A" w:rsidRDefault="00056A9A" w:rsidP="00056A9A">
      <w:pPr>
        <w:pStyle w:val="Tickboxes"/>
        <w:numPr>
          <w:ilvl w:val="0"/>
          <w:numId w:val="2"/>
        </w:numPr>
        <w:spacing w:after="0"/>
        <w:contextualSpacing w:val="0"/>
        <w:rPr>
          <w:sz w:val="22"/>
          <w:szCs w:val="22"/>
        </w:rPr>
      </w:pPr>
      <w:r>
        <w:rPr>
          <w:sz w:val="22"/>
          <w:szCs w:val="22"/>
        </w:rPr>
        <w:t xml:space="preserve">There are multiple health benefits from adding CTC. A major benefit is reduced anxiety and stress of being told you potentially have a serious medical condition and then getting the answer quickly rather than being left in a state of unknown for months. </w:t>
      </w:r>
    </w:p>
    <w:p w14:paraId="11A8CA17" w14:textId="77777777" w:rsidR="00056A9A" w:rsidRDefault="00056A9A" w:rsidP="00056A9A">
      <w:pPr>
        <w:pStyle w:val="Tickboxes"/>
        <w:numPr>
          <w:ilvl w:val="0"/>
          <w:numId w:val="2"/>
        </w:numPr>
        <w:spacing w:after="0"/>
        <w:contextualSpacing w:val="0"/>
        <w:rPr>
          <w:sz w:val="22"/>
          <w:szCs w:val="22"/>
        </w:rPr>
      </w:pPr>
      <w:r>
        <w:rPr>
          <w:sz w:val="22"/>
          <w:szCs w:val="22"/>
        </w:rPr>
        <w:t xml:space="preserve">Additionally, by being available in remote and rural areas, CTC improves health equity and will increase compliance with testing in these populations. </w:t>
      </w:r>
    </w:p>
    <w:p w14:paraId="135D885C" w14:textId="77777777" w:rsidR="00056A9A" w:rsidRDefault="00056A9A" w:rsidP="00056A9A">
      <w:pPr>
        <w:pStyle w:val="Tickboxes"/>
        <w:numPr>
          <w:ilvl w:val="0"/>
          <w:numId w:val="2"/>
        </w:numPr>
        <w:spacing w:after="0"/>
        <w:contextualSpacing w:val="0"/>
        <w:rPr>
          <w:sz w:val="22"/>
          <w:szCs w:val="22"/>
        </w:rPr>
      </w:pPr>
      <w:r>
        <w:rPr>
          <w:sz w:val="22"/>
          <w:szCs w:val="22"/>
        </w:rPr>
        <w:t>As CTC is more available and does not require and escort, patients and carers need less time of work, which is critical given the cost of living.</w:t>
      </w:r>
    </w:p>
    <w:p w14:paraId="0644E726" w14:textId="77777777" w:rsidR="00056A9A" w:rsidRDefault="00056A9A" w:rsidP="00056A9A">
      <w:pPr>
        <w:pStyle w:val="Tickboxes"/>
        <w:numPr>
          <w:ilvl w:val="0"/>
          <w:numId w:val="2"/>
        </w:numPr>
        <w:spacing w:after="0"/>
        <w:contextualSpacing w:val="0"/>
        <w:rPr>
          <w:sz w:val="22"/>
          <w:szCs w:val="22"/>
        </w:rPr>
      </w:pPr>
      <w:r>
        <w:rPr>
          <w:sz w:val="22"/>
          <w:szCs w:val="22"/>
        </w:rPr>
        <w:t>By reducing the number of patients on OC waiting lists, it will benefit high risk patients who will be able to have an OC with less delay.</w:t>
      </w:r>
    </w:p>
    <w:p w14:paraId="2BA09AC5" w14:textId="77908096" w:rsidR="004C02B7" w:rsidRPr="00BC0C43" w:rsidRDefault="004C02B7" w:rsidP="00582377">
      <w:pPr>
        <w:pStyle w:val="Tickboxes"/>
      </w:pPr>
      <w:r w:rsidRPr="00BC0C43">
        <w:t xml:space="preserve"> </w:t>
      </w:r>
    </w:p>
    <w:p w14:paraId="4B5E35E8" w14:textId="6B7A0E0C" w:rsidR="004C02B7"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Health harms</w:t>
      </w:r>
    </w:p>
    <w:p w14:paraId="5E717165" w14:textId="77777777" w:rsidR="00056A9A" w:rsidRDefault="00056A9A" w:rsidP="00056A9A">
      <w:pPr>
        <w:pStyle w:val="Tickboxes"/>
        <w:numPr>
          <w:ilvl w:val="0"/>
          <w:numId w:val="3"/>
        </w:numPr>
        <w:spacing w:after="0"/>
        <w:contextualSpacing w:val="0"/>
        <w:rPr>
          <w:sz w:val="22"/>
          <w:szCs w:val="22"/>
        </w:rPr>
      </w:pPr>
      <w:r>
        <w:rPr>
          <w:sz w:val="22"/>
          <w:szCs w:val="22"/>
        </w:rPr>
        <w:t>by reducing the number of normal OC studies performed, it will reduce waiting lists allowing high risk patients to be examined in appropriate time frames.</w:t>
      </w:r>
    </w:p>
    <w:p w14:paraId="41182A9D" w14:textId="77777777" w:rsidR="00056A9A" w:rsidRPr="00BC0C43" w:rsidRDefault="00056A9A" w:rsidP="00056A9A">
      <w:pPr>
        <w:pStyle w:val="Tickboxes"/>
        <w:numPr>
          <w:ilvl w:val="0"/>
          <w:numId w:val="3"/>
        </w:numPr>
        <w:spacing w:after="0"/>
        <w:contextualSpacing w:val="0"/>
        <w:rPr>
          <w:sz w:val="22"/>
          <w:szCs w:val="22"/>
        </w:rPr>
      </w:pPr>
      <w:r>
        <w:rPr>
          <w:sz w:val="22"/>
          <w:szCs w:val="22"/>
        </w:rPr>
        <w:t>CTC allows the appropriate triaging of patients who require intervention reducing the rates of cancer progression while on extensive waiting lists.</w:t>
      </w:r>
    </w:p>
    <w:p w14:paraId="4479CC28" w14:textId="77777777" w:rsidR="00056A9A" w:rsidRPr="00BC0C43" w:rsidRDefault="00056A9A" w:rsidP="00582377">
      <w:pPr>
        <w:pStyle w:val="Tickboxes"/>
      </w:pPr>
    </w:p>
    <w:p w14:paraId="7846E3EA" w14:textId="0BFFF014" w:rsidR="004C02B7"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Resources </w:t>
      </w:r>
    </w:p>
    <w:p w14:paraId="536742AF" w14:textId="77777777" w:rsidR="00056A9A" w:rsidRDefault="00056A9A" w:rsidP="00056A9A">
      <w:pPr>
        <w:pStyle w:val="Tickboxes"/>
        <w:numPr>
          <w:ilvl w:val="0"/>
          <w:numId w:val="4"/>
        </w:numPr>
        <w:spacing w:after="0"/>
        <w:contextualSpacing w:val="0"/>
        <w:rPr>
          <w:sz w:val="22"/>
          <w:szCs w:val="22"/>
        </w:rPr>
      </w:pPr>
      <w:r>
        <w:rPr>
          <w:sz w:val="22"/>
          <w:szCs w:val="22"/>
        </w:rPr>
        <w:t>The number of normal OC studies will be reduced allowing this more invasive test to be more appropriately used for surveillance in high risk patients and in those requiring polypectomy.</w:t>
      </w:r>
    </w:p>
    <w:p w14:paraId="3B76210C" w14:textId="77777777" w:rsidR="00056A9A" w:rsidRDefault="00056A9A" w:rsidP="00AF6AFB">
      <w:pPr>
        <w:pStyle w:val="Tickboxes"/>
        <w:numPr>
          <w:ilvl w:val="0"/>
          <w:numId w:val="4"/>
        </w:numPr>
        <w:spacing w:after="120"/>
        <w:ind w:left="714" w:hanging="357"/>
        <w:contextualSpacing w:val="0"/>
        <w:rPr>
          <w:sz w:val="22"/>
          <w:szCs w:val="22"/>
        </w:rPr>
      </w:pPr>
      <w:r>
        <w:rPr>
          <w:sz w:val="22"/>
          <w:szCs w:val="22"/>
        </w:rPr>
        <w:t>Not all endoscopists can remove large polyps and so CTC will allow appropriate referral to expert centres for lesions requiring more complex intervention.</w:t>
      </w:r>
    </w:p>
    <w:p w14:paraId="74A9E270" w14:textId="33EA19DE" w:rsidR="00056A9A" w:rsidRPr="00BC0C43" w:rsidRDefault="00056A9A" w:rsidP="00056A9A">
      <w:pPr>
        <w:pStyle w:val="Tickboxes"/>
      </w:pPr>
      <w:r>
        <w:rPr>
          <w:sz w:val="22"/>
          <w:szCs w:val="22"/>
        </w:rPr>
        <w:t xml:space="preserve">As OC lists become more </w:t>
      </w:r>
      <w:r w:rsidR="00306EC7">
        <w:rPr>
          <w:sz w:val="22"/>
          <w:szCs w:val="22"/>
        </w:rPr>
        <w:t>interventional</w:t>
      </w:r>
      <w:r>
        <w:rPr>
          <w:sz w:val="22"/>
          <w:szCs w:val="22"/>
        </w:rPr>
        <w:t xml:space="preserve"> it will become an easier environment for training, credentialing and upskilling with view to having highly skilled interventional endoscopists</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0B99A2F1" w14:textId="78A9C230" w:rsidR="00056A9A" w:rsidRDefault="00056A9A" w:rsidP="00056A9A">
      <w:r>
        <w:t>Possible results following CTC are:</w:t>
      </w:r>
    </w:p>
    <w:p w14:paraId="200CA329" w14:textId="77777777" w:rsidR="00056A9A" w:rsidRPr="00AF6AFB" w:rsidRDefault="00056A9A" w:rsidP="00056A9A">
      <w:pPr>
        <w:pStyle w:val="ListParagraph"/>
        <w:numPr>
          <w:ilvl w:val="0"/>
          <w:numId w:val="5"/>
        </w:numPr>
        <w:rPr>
          <w:rFonts w:eastAsia="Segoe UI"/>
          <w:color w:val="000000"/>
        </w:rPr>
      </w:pPr>
      <w:r w:rsidRPr="00AF6AFB">
        <w:rPr>
          <w:rFonts w:eastAsia="Segoe UI"/>
          <w:color w:val="000000"/>
        </w:rPr>
        <w:t xml:space="preserve">No abnormality </w:t>
      </w:r>
      <w:r w:rsidRPr="00AF6AFB">
        <w:rPr>
          <w:rFonts w:eastAsia="Segoe UI"/>
          <w:color w:val="000000"/>
        </w:rPr>
        <w:sym w:font="Wingdings" w:char="F0E0"/>
      </w:r>
      <w:r w:rsidRPr="00AF6AFB">
        <w:rPr>
          <w:rFonts w:eastAsia="Segoe UI"/>
          <w:color w:val="000000"/>
        </w:rPr>
        <w:t xml:space="preserve"> reassure the patient</w:t>
      </w:r>
    </w:p>
    <w:p w14:paraId="1FDC2ACC" w14:textId="77777777" w:rsidR="00056A9A" w:rsidRPr="00AF6AFB" w:rsidRDefault="00056A9A" w:rsidP="00056A9A">
      <w:pPr>
        <w:pStyle w:val="ListParagraph"/>
        <w:numPr>
          <w:ilvl w:val="0"/>
          <w:numId w:val="5"/>
        </w:numPr>
        <w:rPr>
          <w:rFonts w:eastAsia="Segoe UI"/>
          <w:color w:val="000000"/>
        </w:rPr>
      </w:pPr>
      <w:r w:rsidRPr="00AF6AFB">
        <w:rPr>
          <w:rFonts w:eastAsia="Segoe UI"/>
          <w:color w:val="000000"/>
        </w:rPr>
        <w:t xml:space="preserve">Polyp detected </w:t>
      </w:r>
      <w:r w:rsidRPr="00AF6AFB">
        <w:rPr>
          <w:rFonts w:eastAsia="Segoe UI"/>
          <w:color w:val="000000"/>
        </w:rPr>
        <w:sym w:font="Wingdings" w:char="F0E0"/>
      </w:r>
      <w:r w:rsidRPr="00AF6AFB">
        <w:rPr>
          <w:rFonts w:eastAsia="Segoe UI"/>
          <w:color w:val="000000"/>
        </w:rPr>
        <w:t xml:space="preserve"> refer for colonoscopy.</w:t>
      </w:r>
    </w:p>
    <w:p w14:paraId="5C6291D9" w14:textId="45DAB395" w:rsidR="00056A9A" w:rsidRPr="00AF6AFB" w:rsidRDefault="00056A9A" w:rsidP="00056A9A">
      <w:pPr>
        <w:pStyle w:val="ListParagraph"/>
        <w:numPr>
          <w:ilvl w:val="0"/>
          <w:numId w:val="5"/>
        </w:numPr>
        <w:rPr>
          <w:rFonts w:eastAsia="Segoe UI"/>
          <w:color w:val="000000"/>
        </w:rPr>
      </w:pPr>
      <w:r w:rsidRPr="00AF6AFB">
        <w:rPr>
          <w:rFonts w:eastAsia="Segoe UI"/>
          <w:color w:val="000000"/>
        </w:rPr>
        <w:t xml:space="preserve">Cancer detected </w:t>
      </w:r>
      <w:r w:rsidRPr="00AF6AFB">
        <w:rPr>
          <w:rFonts w:eastAsia="Segoe UI"/>
          <w:color w:val="000000"/>
        </w:rPr>
        <w:sym w:font="Wingdings" w:char="F0E0"/>
      </w:r>
      <w:r w:rsidRPr="00AF6AFB">
        <w:rPr>
          <w:rFonts w:eastAsia="Segoe UI"/>
          <w:color w:val="000000"/>
        </w:rPr>
        <w:t xml:space="preserve"> stage the patient and refer to oncology or colorectal surgery.</w:t>
      </w:r>
    </w:p>
    <w:p w14:paraId="72283BEF" w14:textId="72F4AF09" w:rsidR="00056A9A" w:rsidRPr="00306EC7" w:rsidRDefault="00056A9A" w:rsidP="00056A9A">
      <w:pPr>
        <w:rPr>
          <w:rFonts w:eastAsia="Segoe UI"/>
          <w:color w:val="000000"/>
        </w:rPr>
      </w:pPr>
      <w:r w:rsidRPr="00306EC7">
        <w:rPr>
          <w:rFonts w:eastAsia="Segoe UI"/>
          <w:color w:val="000000"/>
        </w:rPr>
        <w:t>By reducing waiting lists CTC will reduce the number of patients upstaged from disease progression while waiting for colonoscopy. Delays with colonoscopy have been shown to result in high morbidity/mortality and greater healthcare costs.</w:t>
      </w:r>
    </w:p>
    <w:p w14:paraId="4B9412DC" w14:textId="193767BD" w:rsidR="00056A9A" w:rsidRPr="00306EC7" w:rsidRDefault="00056A9A" w:rsidP="00056A9A">
      <w:pPr>
        <w:rPr>
          <w:rFonts w:eastAsia="Segoe UI"/>
          <w:color w:val="000000"/>
        </w:rPr>
      </w:pPr>
      <w:r w:rsidRPr="00306EC7">
        <w:rPr>
          <w:rFonts w:eastAsia="Segoe UI"/>
          <w:color w:val="000000"/>
        </w:rPr>
        <w:t xml:space="preserve">By providing an alternate test, it will increase the number of people who </w:t>
      </w:r>
      <w:proofErr w:type="spellStart"/>
      <w:r w:rsidRPr="00306EC7">
        <w:rPr>
          <w:rFonts w:eastAsia="Segoe UI"/>
          <w:color w:val="000000"/>
        </w:rPr>
        <w:t>under go</w:t>
      </w:r>
      <w:proofErr w:type="spellEnd"/>
      <w:r w:rsidRPr="00306EC7">
        <w:rPr>
          <w:rFonts w:eastAsia="Segoe UI"/>
          <w:color w:val="000000"/>
        </w:rPr>
        <w:t xml:space="preserve"> a definitive test, again helping to reduce stage progression from waiting or ignoring symptoms.</w:t>
      </w:r>
    </w:p>
    <w:p w14:paraId="51234613" w14:textId="244CDB64" w:rsidR="00566CF9" w:rsidRPr="00EA0AA0" w:rsidRDefault="00566CF9" w:rsidP="00EA0AA0">
      <w:pPr>
        <w:pStyle w:val="Heading1"/>
      </w:pPr>
      <w:r w:rsidRPr="00EA0AA0">
        <w:t>Proposed MBS items</w:t>
      </w:r>
    </w:p>
    <w:p w14:paraId="65E4A37C" w14:textId="17B967C3" w:rsidR="009C0554" w:rsidRDefault="009C0554" w:rsidP="00BC0C43">
      <w:pPr>
        <w:pStyle w:val="Heading2"/>
      </w:pPr>
      <w:r>
        <w:t>How is the technology/service funded at present? (</w:t>
      </w:r>
      <w:r w:rsidR="00EA0AA0">
        <w:t>e.g.,</w:t>
      </w:r>
      <w:r>
        <w:t xml:space="preserve"> research funding; State-based funding; self-funded by patients; no funding or payments): </w:t>
      </w:r>
    </w:p>
    <w:p w14:paraId="212E410A" w14:textId="7E80A869" w:rsidR="009C0554" w:rsidRPr="00BC0C43" w:rsidRDefault="009C0554"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3F158DED" w14:textId="77777777" w:rsidR="00361BBE" w:rsidRDefault="00EA0AA0" w:rsidP="00BC0C43">
      <w:pPr>
        <w:pStyle w:val="Heading2"/>
      </w:pPr>
      <w:r>
        <w:t>P</w:t>
      </w:r>
      <w:r w:rsidR="00566CF9">
        <w:t xml:space="preserve">rovide at least one proposed item with their descriptor and associated costs, for each </w:t>
      </w:r>
      <w:r>
        <w:t>P</w:t>
      </w:r>
      <w:r w:rsidR="00566CF9">
        <w:t xml:space="preserve">opulation/Intervention: </w:t>
      </w:r>
    </w:p>
    <w:p w14:paraId="17C1E836" w14:textId="4B701F50" w:rsidR="00836A15" w:rsidRPr="00361BBE" w:rsidRDefault="00836A15" w:rsidP="00361BBE">
      <w:pPr>
        <w:pStyle w:val="Heading2"/>
        <w:spacing w:before="120" w:after="120"/>
        <w:rPr>
          <w:b w:val="0"/>
          <w:bCs w:val="0"/>
          <w:i/>
          <w:iCs/>
          <w:color w:val="538135" w:themeColor="accent6" w:themeShade="BF"/>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1" w:name="_Hlk121232719"/>
            <w:r w:rsidRPr="006B1118">
              <w:rPr>
                <w:sz w:val="21"/>
                <w:szCs w:val="21"/>
              </w:rPr>
              <w:lastRenderedPageBreak/>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0B27C71C" w:rsidR="00A05B4D" w:rsidRPr="006B1118" w:rsidRDefault="00E8339F" w:rsidP="00BC0C43">
            <w:pPr>
              <w:rPr>
                <w:sz w:val="21"/>
                <w:szCs w:val="21"/>
              </w:rPr>
            </w:pPr>
            <w:r>
              <w:rPr>
                <w:sz w:val="21"/>
                <w:szCs w:val="21"/>
              </w:rPr>
              <w:t>56553</w:t>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36ED97BA" w:rsidR="00A05B4D" w:rsidRPr="006B1118" w:rsidRDefault="00E8339F" w:rsidP="00BC0C43">
            <w:pPr>
              <w:rPr>
                <w:sz w:val="21"/>
                <w:szCs w:val="21"/>
              </w:rPr>
            </w:pPr>
            <w:r>
              <w:t>Diagnostic Imaging Services</w:t>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71437494" w:rsidR="00A05B4D" w:rsidRPr="006B1118" w:rsidRDefault="00A05B4D" w:rsidP="00BC0C43">
            <w:pPr>
              <w:rPr>
                <w:sz w:val="21"/>
                <w:szCs w:val="21"/>
              </w:rPr>
            </w:pPr>
            <w:r w:rsidRPr="006B1118">
              <w:rPr>
                <w:sz w:val="21"/>
                <w:szCs w:val="21"/>
              </w:rPr>
              <w:fldChar w:fldCharType="begin">
                <w:ffData>
                  <w:name w:val=""/>
                  <w:enabled/>
                  <w:calcOnExit w:val="0"/>
                  <w:textInput>
                    <w:default w:val="Insert category description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category description here</w:t>
            </w:r>
            <w:r w:rsidRPr="006B1118">
              <w:rPr>
                <w:sz w:val="21"/>
                <w:szCs w:val="21"/>
              </w:rPr>
              <w:fldChar w:fldCharType="end"/>
            </w:r>
          </w:p>
        </w:tc>
      </w:tr>
      <w:tr w:rsidR="00E8339F" w14:paraId="7AF5F341" w14:textId="77777777" w:rsidTr="00A05B4D">
        <w:tc>
          <w:tcPr>
            <w:tcW w:w="3256" w:type="dxa"/>
          </w:tcPr>
          <w:p w14:paraId="454ADFE2" w14:textId="5F0060E6" w:rsidR="00E8339F" w:rsidRPr="006B1118" w:rsidRDefault="00E8339F" w:rsidP="00E8339F">
            <w:pPr>
              <w:rPr>
                <w:sz w:val="21"/>
                <w:szCs w:val="21"/>
              </w:rPr>
            </w:pPr>
            <w:r w:rsidRPr="006B1118">
              <w:rPr>
                <w:sz w:val="21"/>
                <w:szCs w:val="21"/>
              </w:rPr>
              <w:t>Proposed item descriptor</w:t>
            </w:r>
          </w:p>
        </w:tc>
        <w:tc>
          <w:tcPr>
            <w:tcW w:w="6209" w:type="dxa"/>
          </w:tcPr>
          <w:p w14:paraId="130E25A5" w14:textId="77777777" w:rsidR="00E8339F" w:rsidRPr="00947853" w:rsidRDefault="00E8339F" w:rsidP="00E8339F">
            <w:pPr>
              <w:pStyle w:val="NormalWeb"/>
              <w:shd w:val="clear" w:color="auto" w:fill="FBFBFB"/>
              <w:spacing w:before="0" w:beforeAutospacing="0" w:after="240" w:afterAutospacing="0" w:line="300" w:lineRule="atLeast"/>
              <w:rPr>
                <w:rFonts w:ascii="Helvetica" w:hAnsi="Helvetica" w:cs="Helvetica"/>
                <w:color w:val="222222"/>
                <w:sz w:val="20"/>
                <w:szCs w:val="20"/>
              </w:rPr>
            </w:pPr>
            <w:r w:rsidRPr="00947853">
              <w:rPr>
                <w:rFonts w:ascii="Helvetica" w:hAnsi="Helvetica" w:cs="Helvetica"/>
                <w:color w:val="222222"/>
                <w:sz w:val="20"/>
                <w:szCs w:val="20"/>
              </w:rPr>
              <w:t xml:space="preserve">examination of the colon to the caecum by </w:t>
            </w:r>
            <w:r>
              <w:rPr>
                <w:rFonts w:ascii="Helvetica" w:hAnsi="Helvetica" w:cs="Helvetica"/>
                <w:color w:val="222222"/>
                <w:sz w:val="20"/>
                <w:szCs w:val="20"/>
              </w:rPr>
              <w:t>Computed Tomography Colonography</w:t>
            </w:r>
            <w:r w:rsidRPr="00947853">
              <w:rPr>
                <w:rFonts w:ascii="Helvetica" w:hAnsi="Helvetica" w:cs="Helvetica"/>
                <w:color w:val="222222"/>
                <w:sz w:val="20"/>
                <w:szCs w:val="20"/>
              </w:rPr>
              <w:t>, for a patient:</w:t>
            </w:r>
          </w:p>
          <w:p w14:paraId="647BC308" w14:textId="2C249D97" w:rsidR="00E8339F" w:rsidRPr="00CB48FD" w:rsidRDefault="00E8339F" w:rsidP="00CB48FD">
            <w:pPr>
              <w:shd w:val="clear" w:color="auto" w:fill="FBFBFB"/>
              <w:spacing w:after="240" w:line="300" w:lineRule="atLeast"/>
              <w:rPr>
                <w:rFonts w:ascii="Helvetica" w:hAnsi="Helvetica" w:cs="Helvetica"/>
                <w:color w:val="222222"/>
              </w:rPr>
            </w:pPr>
            <w:r w:rsidRPr="00947853">
              <w:rPr>
                <w:rFonts w:ascii="Helvetica" w:hAnsi="Helvetica" w:cs="Helvetica"/>
                <w:color w:val="222222"/>
              </w:rPr>
              <w:t>(a)  for whom diagnostic imaging has shown</w:t>
            </w:r>
            <w:r w:rsidR="00CB48FD">
              <w:rPr>
                <w:rFonts w:ascii="Helvetica" w:hAnsi="Helvetica" w:cs="Helvetica"/>
                <w:color w:val="222222"/>
              </w:rPr>
              <w:t xml:space="preserve"> an abnormality of the colon; </w:t>
            </w:r>
          </w:p>
        </w:tc>
      </w:tr>
      <w:tr w:rsidR="00E8339F" w14:paraId="2C0CA02D" w14:textId="77777777" w:rsidTr="00A05B4D">
        <w:tc>
          <w:tcPr>
            <w:tcW w:w="3256" w:type="dxa"/>
          </w:tcPr>
          <w:p w14:paraId="4881ED4A" w14:textId="6F25EF4B" w:rsidR="00E8339F" w:rsidRPr="006B1118" w:rsidRDefault="00E8339F" w:rsidP="00E8339F">
            <w:pPr>
              <w:rPr>
                <w:sz w:val="21"/>
                <w:szCs w:val="21"/>
              </w:rPr>
            </w:pPr>
            <w:r w:rsidRPr="006B1118">
              <w:rPr>
                <w:sz w:val="21"/>
                <w:szCs w:val="21"/>
              </w:rPr>
              <w:t>Proposed MBS fee</w:t>
            </w:r>
          </w:p>
        </w:tc>
        <w:tc>
          <w:tcPr>
            <w:tcW w:w="6209" w:type="dxa"/>
          </w:tcPr>
          <w:p w14:paraId="3B790048" w14:textId="7F838786" w:rsidR="00E8339F" w:rsidRPr="006B1118" w:rsidRDefault="00E8339F" w:rsidP="00E8339F">
            <w:pPr>
              <w:rPr>
                <w:sz w:val="21"/>
                <w:szCs w:val="21"/>
              </w:rPr>
            </w:pPr>
            <w:r>
              <w:rPr>
                <w:sz w:val="21"/>
                <w:szCs w:val="21"/>
              </w:rPr>
              <w:t>563.35</w:t>
            </w:r>
          </w:p>
        </w:tc>
      </w:tr>
      <w:tr w:rsidR="00E8339F" w14:paraId="0984AD65" w14:textId="77777777" w:rsidTr="00A05B4D">
        <w:tc>
          <w:tcPr>
            <w:tcW w:w="3256" w:type="dxa"/>
          </w:tcPr>
          <w:p w14:paraId="7B69A5E7" w14:textId="0C7AED59" w:rsidR="00E8339F" w:rsidRPr="006B1118" w:rsidRDefault="00E8339F" w:rsidP="00E8339F">
            <w:pPr>
              <w:rPr>
                <w:sz w:val="21"/>
                <w:szCs w:val="21"/>
              </w:rPr>
            </w:pPr>
            <w:r w:rsidRPr="006B1118">
              <w:rPr>
                <w:sz w:val="21"/>
                <w:szCs w:val="21"/>
              </w:rPr>
              <w:t>Indicate the overall cost per patient of providing the proposed health technology</w:t>
            </w:r>
          </w:p>
        </w:tc>
        <w:tc>
          <w:tcPr>
            <w:tcW w:w="6209" w:type="dxa"/>
          </w:tcPr>
          <w:p w14:paraId="1F0E7AAB" w14:textId="54F3535E" w:rsidR="00E8339F" w:rsidRPr="006B1118" w:rsidRDefault="00B31B9C" w:rsidP="00E8339F">
            <w:pPr>
              <w:rPr>
                <w:sz w:val="21"/>
                <w:szCs w:val="21"/>
              </w:rPr>
            </w:pPr>
            <w:r>
              <w:rPr>
                <w:sz w:val="21"/>
                <w:szCs w:val="21"/>
              </w:rPr>
              <w:t>Current rebate covers the cost.</w:t>
            </w:r>
          </w:p>
        </w:tc>
      </w:tr>
      <w:tr w:rsidR="00E8339F" w14:paraId="273F94AE" w14:textId="77777777" w:rsidTr="00A05B4D">
        <w:tc>
          <w:tcPr>
            <w:tcW w:w="3256" w:type="dxa"/>
          </w:tcPr>
          <w:p w14:paraId="41FCA2CE" w14:textId="1F2EB5A8" w:rsidR="00E8339F" w:rsidRPr="006B1118" w:rsidRDefault="00E8339F" w:rsidP="00E8339F">
            <w:pPr>
              <w:rPr>
                <w:sz w:val="21"/>
                <w:szCs w:val="21"/>
              </w:rPr>
            </w:pPr>
            <w:r w:rsidRPr="006B1118">
              <w:rPr>
                <w:sz w:val="21"/>
                <w:szCs w:val="21"/>
              </w:rPr>
              <w:t>Please specify any anticipated out of pocket expenses</w:t>
            </w:r>
          </w:p>
        </w:tc>
        <w:tc>
          <w:tcPr>
            <w:tcW w:w="6209" w:type="dxa"/>
          </w:tcPr>
          <w:p w14:paraId="13FE8BA2" w14:textId="01B8F227" w:rsidR="00E8339F" w:rsidRPr="006B1118" w:rsidRDefault="00B31B9C" w:rsidP="00E8339F">
            <w:pPr>
              <w:rPr>
                <w:rFonts w:eastAsia="Segoe UI"/>
                <w:bCs/>
                <w:color w:val="000000"/>
                <w:sz w:val="21"/>
                <w:szCs w:val="21"/>
              </w:rPr>
            </w:pPr>
            <w:r>
              <w:rPr>
                <w:sz w:val="21"/>
                <w:szCs w:val="21"/>
              </w:rPr>
              <w:t>Bulk Bill incentive</w:t>
            </w:r>
          </w:p>
        </w:tc>
      </w:tr>
      <w:tr w:rsidR="00E8339F" w14:paraId="553E9440" w14:textId="77777777" w:rsidTr="00A05B4D">
        <w:tc>
          <w:tcPr>
            <w:tcW w:w="3256" w:type="dxa"/>
          </w:tcPr>
          <w:p w14:paraId="4D378DFC" w14:textId="4C67A6B8" w:rsidR="00E8339F" w:rsidRPr="006B1118" w:rsidRDefault="00E8339F" w:rsidP="00E8339F">
            <w:pPr>
              <w:rPr>
                <w:sz w:val="21"/>
                <w:szCs w:val="21"/>
              </w:rPr>
            </w:pPr>
            <w:r w:rsidRPr="006B1118">
              <w:rPr>
                <w:sz w:val="21"/>
                <w:szCs w:val="21"/>
              </w:rPr>
              <w:t>Provide any further details and explain</w:t>
            </w:r>
          </w:p>
        </w:tc>
        <w:tc>
          <w:tcPr>
            <w:tcW w:w="6209" w:type="dxa"/>
          </w:tcPr>
          <w:p w14:paraId="674ECDEB" w14:textId="22646D24" w:rsidR="00E8339F" w:rsidRPr="006B1118" w:rsidRDefault="00B31B9C" w:rsidP="00E8339F">
            <w:pPr>
              <w:rPr>
                <w:rFonts w:eastAsia="Segoe UI"/>
                <w:bCs/>
                <w:color w:val="000000"/>
                <w:sz w:val="21"/>
                <w:szCs w:val="21"/>
              </w:rPr>
            </w:pPr>
            <w:r>
              <w:t xml:space="preserve">CTC currently has a rebate and the remuneration is not the cause of underutilisation. CTC is not used appropriately due to the current stringent </w:t>
            </w:r>
            <w:proofErr w:type="spellStart"/>
            <w:r>
              <w:t>rebatable</w:t>
            </w:r>
            <w:proofErr w:type="spellEnd"/>
            <w:r>
              <w:t xml:space="preserve"> indications.</w:t>
            </w:r>
          </w:p>
        </w:tc>
      </w:tr>
    </w:tbl>
    <w:bookmarkEnd w:id="1"/>
    <w:p w14:paraId="321449D0" w14:textId="53188756" w:rsidR="005E1CFB" w:rsidRPr="00EA0AA0" w:rsidRDefault="0090168B" w:rsidP="00EA0AA0">
      <w:pPr>
        <w:pStyle w:val="Heading1"/>
      </w:pPr>
      <w:r w:rsidRPr="00EA0AA0">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70B751CD" w:rsidR="005E1CFB" w:rsidRPr="00BC0C43" w:rsidRDefault="00B31B9C" w:rsidP="00BC0C43">
      <w:pPr>
        <w:rPr>
          <w:rFonts w:asciiTheme="minorHAnsi" w:eastAsia="Segoe UI" w:hAnsiTheme="minorHAnsi" w:cstheme="minorHAnsi"/>
          <w:color w:val="000000"/>
        </w:rPr>
      </w:pPr>
      <w:r>
        <w:t>Patients will be eligible for the test once they have been reviewed and assessed by the GP. This is identical to the current situation with open access colonoscopy. The only difference is that CTC is requested instead of colonoscopy.</w:t>
      </w:r>
    </w:p>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573F81BE" w:rsidR="005E1CFB" w:rsidRDefault="00B31B9C" w:rsidP="00BC0C43">
      <w:r>
        <w:t>No</w:t>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643C69EC" w:rsidR="0090168B" w:rsidRPr="00BC0C43" w:rsidRDefault="00B31B9C" w:rsidP="00BC0C43">
      <w:pPr>
        <w:rPr>
          <w:rFonts w:asciiTheme="minorHAnsi" w:eastAsia="Segoe UI" w:hAnsiTheme="minorHAnsi" w:cstheme="minorHAnsi"/>
          <w:color w:val="000000"/>
        </w:rPr>
      </w:pPr>
      <w:r>
        <w:t>No other health care resources are used.</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4151B2DB" w14:textId="59B943B9" w:rsidR="0090168B" w:rsidRPr="00BC0C43" w:rsidRDefault="00B31B9C" w:rsidP="00BC0C43">
      <w:pPr>
        <w:rPr>
          <w:rFonts w:asciiTheme="minorHAnsi" w:eastAsia="Segoe UI" w:hAnsiTheme="minorHAnsi" w:cstheme="minorHAnsi"/>
          <w:color w:val="000000"/>
        </w:rPr>
      </w:pPr>
      <w:r>
        <w:t>Pathology, anaesthetics, nurses, physician consultation are all a routine part of colonoscopy.</w:t>
      </w:r>
    </w:p>
    <w:p w14:paraId="378F78D9" w14:textId="28E2F695" w:rsidR="00F16239" w:rsidRPr="00BC0C43" w:rsidRDefault="00F16239" w:rsidP="00AF6AFB">
      <w:pPr>
        <w:pStyle w:val="Heading2"/>
        <w:keepNext/>
        <w:keepLines/>
      </w:pPr>
      <w:r>
        <w:lastRenderedPageBreak/>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0F3FB86E" w:rsidR="00F16239" w:rsidRPr="00BE6B22" w:rsidRDefault="00B31B9C" w:rsidP="00AF6AFB">
      <w:pPr>
        <w:keepNext/>
        <w:keepLines/>
        <w:rPr>
          <w:rFonts w:asciiTheme="minorHAnsi" w:eastAsia="Segoe UI" w:hAnsiTheme="minorHAnsi" w:cstheme="minorHAnsi"/>
          <w:color w:val="000000"/>
        </w:rPr>
      </w:pPr>
      <w:r>
        <w:t xml:space="preserve">CTC is quick, safe and easy. It can be performed in any radiology practice that has a CT. Consumables are minimal being a rectal catheter, tubing, gas bottle, </w:t>
      </w:r>
      <w:proofErr w:type="spellStart"/>
      <w:r>
        <w:t>buscopan</w:t>
      </w:r>
      <w:proofErr w:type="spellEnd"/>
      <w:r>
        <w:t>. This compares to colonoscopy which is performed in day procedure centres with nurses, anaesthetics, endoscopy equipment, recovery areas</w:t>
      </w:r>
      <w:r w:rsidR="00FF3636">
        <w:t>, anaesthetic equipment etc.</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6F8DD6AC" w14:textId="77777777" w:rsidR="00FF3636" w:rsidRDefault="00FF3636" w:rsidP="00FF3636">
      <w:r>
        <w:t>Possible results following CTC are:</w:t>
      </w:r>
    </w:p>
    <w:p w14:paraId="2F7165BE" w14:textId="1D35898A" w:rsidR="00FF3636" w:rsidRPr="00AF6AFB" w:rsidRDefault="00FF3636" w:rsidP="00FF3636">
      <w:pPr>
        <w:pStyle w:val="ListParagraph"/>
        <w:numPr>
          <w:ilvl w:val="0"/>
          <w:numId w:val="6"/>
        </w:numPr>
        <w:rPr>
          <w:rFonts w:eastAsia="Segoe UI"/>
          <w:color w:val="000000"/>
        </w:rPr>
      </w:pPr>
      <w:r w:rsidRPr="00AF6AFB">
        <w:rPr>
          <w:rFonts w:eastAsia="Segoe UI"/>
          <w:color w:val="000000"/>
        </w:rPr>
        <w:t xml:space="preserve">No abnormality </w:t>
      </w:r>
      <w:r w:rsidRPr="00AF6AFB">
        <w:rPr>
          <w:rFonts w:eastAsia="Segoe UI"/>
          <w:color w:val="000000"/>
        </w:rPr>
        <w:sym w:font="Wingdings" w:char="F0E0"/>
      </w:r>
      <w:r w:rsidRPr="00AF6AFB">
        <w:rPr>
          <w:rFonts w:eastAsia="Segoe UI"/>
          <w:color w:val="000000"/>
        </w:rPr>
        <w:t xml:space="preserve"> reassure the patient. No further test needed.</w:t>
      </w:r>
    </w:p>
    <w:p w14:paraId="2C58FB2C" w14:textId="77777777" w:rsidR="00FF3636" w:rsidRPr="00AF6AFB" w:rsidRDefault="00FF3636" w:rsidP="00FF3636">
      <w:pPr>
        <w:pStyle w:val="ListParagraph"/>
        <w:numPr>
          <w:ilvl w:val="0"/>
          <w:numId w:val="6"/>
        </w:numPr>
        <w:rPr>
          <w:rFonts w:eastAsia="Segoe UI"/>
          <w:color w:val="000000"/>
        </w:rPr>
      </w:pPr>
      <w:r w:rsidRPr="00AF6AFB">
        <w:rPr>
          <w:rFonts w:eastAsia="Segoe UI"/>
          <w:color w:val="000000"/>
        </w:rPr>
        <w:t xml:space="preserve">Polyp detected </w:t>
      </w:r>
      <w:r w:rsidRPr="00AF6AFB">
        <w:rPr>
          <w:rFonts w:eastAsia="Segoe UI"/>
          <w:color w:val="000000"/>
        </w:rPr>
        <w:sym w:font="Wingdings" w:char="F0E0"/>
      </w:r>
      <w:r w:rsidRPr="00AF6AFB">
        <w:rPr>
          <w:rFonts w:eastAsia="Segoe UI"/>
          <w:color w:val="000000"/>
        </w:rPr>
        <w:t xml:space="preserve"> refer for colonoscopy.</w:t>
      </w:r>
    </w:p>
    <w:p w14:paraId="22F53CB1" w14:textId="4CF02B3A" w:rsidR="00F16239" w:rsidRPr="00AF6AFB" w:rsidRDefault="00FF3636" w:rsidP="00BC0C43">
      <w:pPr>
        <w:pStyle w:val="ListParagraph"/>
        <w:numPr>
          <w:ilvl w:val="0"/>
          <w:numId w:val="6"/>
        </w:numPr>
        <w:rPr>
          <w:rFonts w:eastAsia="Segoe UI"/>
          <w:color w:val="000000"/>
        </w:rPr>
      </w:pPr>
      <w:r w:rsidRPr="00AF6AFB">
        <w:rPr>
          <w:rFonts w:eastAsia="Segoe UI"/>
          <w:color w:val="000000"/>
        </w:rPr>
        <w:t xml:space="preserve">Cancer detected </w:t>
      </w:r>
      <w:r w:rsidRPr="00AF6AFB">
        <w:rPr>
          <w:rFonts w:eastAsia="Segoe UI"/>
          <w:color w:val="000000"/>
        </w:rPr>
        <w:sym w:font="Wingdings" w:char="F0E0"/>
      </w:r>
      <w:r w:rsidRPr="00AF6AFB">
        <w:rPr>
          <w:rFonts w:eastAsia="Segoe UI"/>
          <w:color w:val="000000"/>
        </w:rPr>
        <w:t xml:space="preserve"> stage the patient (CT CAP +/- rectal MRI) and refer to oncology or colorectal surgery.</w:t>
      </w:r>
    </w:p>
    <w:p w14:paraId="09165252" w14:textId="52D75274" w:rsidR="00F16239"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29830143" w14:textId="299D8DC6" w:rsidR="00FF3636" w:rsidRPr="00FF3636" w:rsidRDefault="00FF3636" w:rsidP="00FF3636">
      <w:r>
        <w:t>Possible results following colonoscopy are:</w:t>
      </w:r>
    </w:p>
    <w:p w14:paraId="18B3E936" w14:textId="77777777" w:rsidR="00FF3636" w:rsidRPr="00AF6AFB" w:rsidRDefault="00FF3636" w:rsidP="00FF3636">
      <w:pPr>
        <w:pStyle w:val="ListParagraph"/>
        <w:numPr>
          <w:ilvl w:val="0"/>
          <w:numId w:val="7"/>
        </w:numPr>
        <w:rPr>
          <w:rFonts w:eastAsia="Segoe UI"/>
          <w:color w:val="000000"/>
        </w:rPr>
      </w:pPr>
      <w:r w:rsidRPr="00AF6AFB">
        <w:rPr>
          <w:rFonts w:eastAsia="Segoe UI"/>
          <w:color w:val="000000"/>
        </w:rPr>
        <w:t xml:space="preserve">No abnormality </w:t>
      </w:r>
      <w:r w:rsidRPr="00AF6AFB">
        <w:rPr>
          <w:rFonts w:eastAsia="Segoe UI"/>
          <w:color w:val="000000"/>
        </w:rPr>
        <w:sym w:font="Wingdings" w:char="F0E0"/>
      </w:r>
      <w:r w:rsidRPr="00AF6AFB">
        <w:rPr>
          <w:rFonts w:eastAsia="Segoe UI"/>
          <w:color w:val="000000"/>
        </w:rPr>
        <w:t xml:space="preserve"> reassure the patient. No further test needed.</w:t>
      </w:r>
    </w:p>
    <w:p w14:paraId="49066BE6" w14:textId="5D4D5CF2" w:rsidR="00FF3636" w:rsidRPr="00AF6AFB" w:rsidRDefault="00FF3636" w:rsidP="00FF3636">
      <w:pPr>
        <w:pStyle w:val="ListParagraph"/>
        <w:numPr>
          <w:ilvl w:val="0"/>
          <w:numId w:val="7"/>
        </w:numPr>
        <w:rPr>
          <w:rFonts w:eastAsia="Segoe UI"/>
          <w:color w:val="000000"/>
        </w:rPr>
      </w:pPr>
      <w:r w:rsidRPr="00AF6AFB">
        <w:rPr>
          <w:rFonts w:eastAsia="Segoe UI"/>
          <w:color w:val="000000"/>
        </w:rPr>
        <w:t xml:space="preserve">Polyp detected and removed </w:t>
      </w:r>
      <w:r w:rsidRPr="00AF6AFB">
        <w:rPr>
          <w:rFonts w:eastAsia="Segoe UI"/>
          <w:color w:val="000000"/>
        </w:rPr>
        <w:sym w:font="Wingdings" w:char="F0E0"/>
      </w:r>
      <w:r w:rsidRPr="00AF6AFB">
        <w:rPr>
          <w:rFonts w:eastAsia="Segoe UI"/>
          <w:color w:val="000000"/>
        </w:rPr>
        <w:t xml:space="preserve"> no further test needed.</w:t>
      </w:r>
    </w:p>
    <w:p w14:paraId="7BF3913E" w14:textId="77DD0544" w:rsidR="00FF3636" w:rsidRPr="00AF6AFB" w:rsidRDefault="00FF3636" w:rsidP="00FF3636">
      <w:pPr>
        <w:pStyle w:val="ListParagraph"/>
        <w:numPr>
          <w:ilvl w:val="0"/>
          <w:numId w:val="7"/>
        </w:numPr>
        <w:rPr>
          <w:rFonts w:eastAsia="Segoe UI"/>
          <w:color w:val="000000"/>
        </w:rPr>
      </w:pPr>
      <w:r w:rsidRPr="00AF6AFB">
        <w:rPr>
          <w:rFonts w:eastAsia="Segoe UI"/>
          <w:color w:val="000000"/>
        </w:rPr>
        <w:t xml:space="preserve">Polyp detected and endoscopist unable to remove </w:t>
      </w:r>
      <w:r w:rsidRPr="00AF6AFB">
        <w:rPr>
          <w:rFonts w:eastAsia="Segoe UI"/>
          <w:color w:val="000000"/>
        </w:rPr>
        <w:sym w:font="Wingdings" w:char="F0E0"/>
      </w:r>
      <w:r w:rsidRPr="00AF6AFB">
        <w:rPr>
          <w:rFonts w:eastAsia="Segoe UI"/>
          <w:color w:val="000000"/>
        </w:rPr>
        <w:t xml:space="preserve"> refer for colonoscopy.</w:t>
      </w:r>
    </w:p>
    <w:p w14:paraId="166621A3" w14:textId="58704F15" w:rsidR="00FF3636" w:rsidRPr="00AF6AFB" w:rsidRDefault="00FF3636" w:rsidP="00FF3636">
      <w:pPr>
        <w:pStyle w:val="ListParagraph"/>
        <w:numPr>
          <w:ilvl w:val="0"/>
          <w:numId w:val="7"/>
        </w:numPr>
        <w:rPr>
          <w:rFonts w:eastAsia="Segoe UI"/>
          <w:color w:val="000000"/>
        </w:rPr>
      </w:pPr>
      <w:r w:rsidRPr="00AF6AFB">
        <w:rPr>
          <w:rFonts w:eastAsia="Segoe UI"/>
          <w:color w:val="000000"/>
        </w:rPr>
        <w:t xml:space="preserve">Cancer detected </w:t>
      </w:r>
      <w:r w:rsidRPr="00AF6AFB">
        <w:rPr>
          <w:rFonts w:eastAsia="Segoe UI"/>
          <w:color w:val="000000"/>
        </w:rPr>
        <w:sym w:font="Wingdings" w:char="F0E0"/>
      </w:r>
      <w:r w:rsidRPr="00AF6AFB">
        <w:rPr>
          <w:rFonts w:eastAsia="Segoe UI"/>
          <w:color w:val="000000"/>
        </w:rPr>
        <w:t xml:space="preserve"> stage the patient (CT CAP +/- rectal MRI) and refer to oncology or colorectal surgery.</w:t>
      </w:r>
    </w:p>
    <w:p w14:paraId="6796C6EC" w14:textId="16F819AB" w:rsidR="00FF3636" w:rsidRPr="00AF6AFB" w:rsidRDefault="00FF3636" w:rsidP="00FF3636">
      <w:pPr>
        <w:pStyle w:val="ListParagraph"/>
        <w:numPr>
          <w:ilvl w:val="0"/>
          <w:numId w:val="7"/>
        </w:numPr>
        <w:rPr>
          <w:rFonts w:eastAsia="Segoe UI"/>
          <w:color w:val="000000"/>
        </w:rPr>
      </w:pPr>
      <w:r w:rsidRPr="00AF6AFB">
        <w:rPr>
          <w:rFonts w:eastAsia="Segoe UI"/>
          <w:color w:val="000000"/>
        </w:rPr>
        <w:t xml:space="preserve">Incomplete colonoscopy </w:t>
      </w:r>
      <w:r w:rsidRPr="00AF6AFB">
        <w:rPr>
          <w:rFonts w:eastAsia="Segoe UI"/>
          <w:color w:val="000000"/>
        </w:rPr>
        <w:sym w:font="Wingdings" w:char="F0E0"/>
      </w:r>
      <w:r w:rsidRPr="00AF6AFB">
        <w:rPr>
          <w:rFonts w:eastAsia="Segoe UI"/>
          <w:color w:val="000000"/>
        </w:rPr>
        <w:t xml:space="preserve"> refer for CT colonography.</w:t>
      </w:r>
    </w:p>
    <w:p w14:paraId="5C871695" w14:textId="78E78F7F" w:rsidR="00F16239" w:rsidRPr="00BC0C43" w:rsidRDefault="00F16239" w:rsidP="00BC0C43">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1B232197" w:rsidR="00F16239" w:rsidRDefault="00FF3636" w:rsidP="00BC0C43">
      <w:pPr>
        <w:rPr>
          <w:rFonts w:asciiTheme="minorHAnsi" w:eastAsia="Segoe UI" w:hAnsiTheme="minorHAnsi" w:cstheme="minorHAnsi"/>
          <w:color w:val="000000"/>
        </w:rPr>
      </w:pPr>
      <w:r>
        <w:t>This is described above.</w:t>
      </w:r>
    </w:p>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39803836" w14:textId="28F88FB0" w:rsidR="000F1DBB" w:rsidRDefault="000F1DBB" w:rsidP="00EA0AA0">
      <w:pPr>
        <w:pStyle w:val="Heading1"/>
      </w:pPr>
      <w:r>
        <w:rPr>
          <w:noProof/>
          <w:lang w:eastAsia="en-AU"/>
        </w:rPr>
        <w:lastRenderedPageBreak/>
        <w:drawing>
          <wp:inline distT="0" distB="0" distL="0" distR="0" wp14:anchorId="2D373C6A" wp14:editId="42C3A237">
            <wp:extent cx="6030595" cy="4484370"/>
            <wp:effectExtent l="0" t="0" r="8255" b="0"/>
            <wp:docPr id="1" name="Picture 1" descr="Flow diagram of colonoscop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diagram of colonoscopy and outcomes."/>
                    <pic:cNvPicPr/>
                  </pic:nvPicPr>
                  <pic:blipFill>
                    <a:blip r:embed="rId8">
                      <a:extLst>
                        <a:ext uri="{28A0092B-C50C-407E-A947-70E740481C1C}">
                          <a14:useLocalDpi xmlns:a14="http://schemas.microsoft.com/office/drawing/2010/main" val="0"/>
                        </a:ext>
                      </a:extLst>
                    </a:blip>
                    <a:stretch>
                      <a:fillRect/>
                    </a:stretch>
                  </pic:blipFill>
                  <pic:spPr>
                    <a:xfrm>
                      <a:off x="0" y="0"/>
                      <a:ext cx="6030595" cy="4484370"/>
                    </a:xfrm>
                    <a:prstGeom prst="rect">
                      <a:avLst/>
                    </a:prstGeom>
                  </pic:spPr>
                </pic:pic>
              </a:graphicData>
            </a:graphic>
          </wp:inline>
        </w:drawing>
      </w:r>
    </w:p>
    <w:p w14:paraId="62AD0A75" w14:textId="6634C123" w:rsidR="000F1DBB" w:rsidRDefault="000F1DBB" w:rsidP="000F1DBB"/>
    <w:p w14:paraId="10E249CA" w14:textId="22FDB68A" w:rsidR="000F1DBB" w:rsidRPr="000F1DBB" w:rsidRDefault="000F1DBB" w:rsidP="000F1DBB">
      <w:r>
        <w:rPr>
          <w:noProof/>
          <w:lang w:eastAsia="en-AU"/>
        </w:rPr>
        <w:drawing>
          <wp:inline distT="0" distB="0" distL="0" distR="0" wp14:anchorId="7A509230" wp14:editId="55097B8A">
            <wp:extent cx="6030595" cy="4289425"/>
            <wp:effectExtent l="0" t="0" r="8255" b="0"/>
            <wp:docPr id="3" name="Picture 3" descr="Flow diagram of CT colonograph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diagram of CT colonography and outcomes."/>
                    <pic:cNvPicPr/>
                  </pic:nvPicPr>
                  <pic:blipFill>
                    <a:blip r:embed="rId9">
                      <a:extLst>
                        <a:ext uri="{28A0092B-C50C-407E-A947-70E740481C1C}">
                          <a14:useLocalDpi xmlns:a14="http://schemas.microsoft.com/office/drawing/2010/main" val="0"/>
                        </a:ext>
                      </a:extLst>
                    </a:blip>
                    <a:stretch>
                      <a:fillRect/>
                    </a:stretch>
                  </pic:blipFill>
                  <pic:spPr>
                    <a:xfrm>
                      <a:off x="0" y="0"/>
                      <a:ext cx="6030595" cy="4289425"/>
                    </a:xfrm>
                    <a:prstGeom prst="rect">
                      <a:avLst/>
                    </a:prstGeom>
                  </pic:spPr>
                </pic:pic>
              </a:graphicData>
            </a:graphic>
          </wp:inline>
        </w:drawing>
      </w:r>
    </w:p>
    <w:p w14:paraId="5C94C69B" w14:textId="58651916" w:rsidR="004A45BE" w:rsidRDefault="004A45BE" w:rsidP="00EA0AA0">
      <w:pPr>
        <w:pStyle w:val="Heading1"/>
      </w:pPr>
      <w:r>
        <w:lastRenderedPageBreak/>
        <w:t>Claims</w:t>
      </w:r>
    </w:p>
    <w:p w14:paraId="022C40EC" w14:textId="77777777" w:rsidR="00361BBE" w:rsidRDefault="004A45BE" w:rsidP="00582377">
      <w:pPr>
        <w:pStyle w:val="Heading2"/>
      </w:pPr>
      <w:bookmarkStart w:id="2" w:name="_Hlk121218597"/>
      <w:r>
        <w:t xml:space="preserve">In terms of health outcomes (comparative benefits and harms), is the proposed technology claimed to be superior, non-inferior or inferior to the comparator(s)? </w:t>
      </w:r>
    </w:p>
    <w:p w14:paraId="137243BD" w14:textId="6E026351" w:rsidR="004209FC"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Superior </w:t>
      </w:r>
    </w:p>
    <w:p w14:paraId="219D6AC6" w14:textId="686E4134" w:rsidR="004209FC" w:rsidRPr="00BC0C43" w:rsidRDefault="00306EC7" w:rsidP="00582377">
      <w:pPr>
        <w:pStyle w:val="Tickboxes"/>
      </w:pPr>
      <w:r>
        <w:fldChar w:fldCharType="begin">
          <w:ffData>
            <w:name w:val="Check2"/>
            <w:enabled/>
            <w:calcOnExit w:val="0"/>
            <w:checkBox>
              <w:sizeAuto/>
              <w:default w:val="1"/>
            </w:checkBox>
          </w:ffData>
        </w:fldChar>
      </w:r>
      <w:bookmarkStart w:id="3" w:name="Check2"/>
      <w:r>
        <w:instrText xml:space="preserve"> FORMCHECKBOX </w:instrText>
      </w:r>
      <w:r w:rsidR="00AF6AFB">
        <w:fldChar w:fldCharType="separate"/>
      </w:r>
      <w:r>
        <w:fldChar w:fldCharType="end"/>
      </w:r>
      <w:bookmarkEnd w:id="3"/>
      <w:r w:rsidR="004209FC" w:rsidRPr="00BC0C43">
        <w:t xml:space="preserve"> </w:t>
      </w:r>
      <w:r w:rsidR="004209FC" w:rsidRPr="00306EC7">
        <w:t>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AF6AFB">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2"/>
    <w:p w14:paraId="4C50D112" w14:textId="397AD07F" w:rsidR="004A45BE" w:rsidRPr="00BC0C43" w:rsidRDefault="00170BC3" w:rsidP="00BC0C43">
      <w:pPr>
        <w:rPr>
          <w:rFonts w:asciiTheme="minorHAnsi" w:eastAsia="Segoe UI" w:hAnsiTheme="minorHAnsi" w:cstheme="minorHAnsi"/>
          <w:color w:val="000000"/>
        </w:rPr>
      </w:pPr>
      <w:r>
        <w:t>There is a substantial body of evidence which shows the test is non-inferior. This will be listed in the appropriate section.</w:t>
      </w:r>
    </w:p>
    <w:p w14:paraId="43670E9E" w14:textId="3DAE6738" w:rsidR="004A45BE" w:rsidRPr="00BC0C43" w:rsidRDefault="004A45BE" w:rsidP="00BC0C43">
      <w:pPr>
        <w:pStyle w:val="Heading2"/>
      </w:pPr>
      <w:r>
        <w:t>Why would the requestor seek to use the proposed investigative technology rather than the comparator(s)?</w:t>
      </w:r>
    </w:p>
    <w:p w14:paraId="48DA3B1A" w14:textId="68C861DF" w:rsidR="00170BC3" w:rsidRDefault="00170BC3" w:rsidP="00BC0C43">
      <w:r>
        <w:t>The CTC is readily available and so can be used when there is no access to timely colonoscopy. In addition, the test can be used if the patient choses it in preference to colonoscopy, or if they have medical conditions such as anticoagulation.</w:t>
      </w:r>
    </w:p>
    <w:p w14:paraId="48B4F7D2" w14:textId="12320AA2" w:rsidR="00170BC3" w:rsidRPr="00BC0C43" w:rsidRDefault="00170BC3" w:rsidP="00BC0C43">
      <w:pPr>
        <w:rPr>
          <w:rFonts w:asciiTheme="minorHAnsi" w:eastAsia="Segoe UI" w:hAnsiTheme="minorHAnsi" w:cstheme="minorHAnsi"/>
          <w:color w:val="000000"/>
        </w:rPr>
      </w:pPr>
      <w:r>
        <w:t>Colonoscopy wait lists are excessive and this contributes to worse patient outcome and greater healthcare expenditure.</w:t>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545CD573" w:rsidR="004A45BE" w:rsidRPr="00BC0C43" w:rsidRDefault="00170BC3" w:rsidP="00BC0C43">
      <w:pPr>
        <w:rPr>
          <w:rFonts w:asciiTheme="minorHAnsi" w:eastAsia="Segoe UI" w:hAnsiTheme="minorHAnsi" w:cstheme="minorHAnsi"/>
          <w:color w:val="000000"/>
        </w:rPr>
      </w:pPr>
      <w:r>
        <w:t>It allows patients and GP’s to have control over how quickly a definite test is performed. This reduces patient anxiety and also empowers patients. Patients can also chose the test they prefer which should lead to increased compliance.</w:t>
      </w:r>
    </w:p>
    <w:p w14:paraId="0C2BEC69" w14:textId="2C345F79" w:rsidR="004A45BE" w:rsidRDefault="004A45BE" w:rsidP="00BC0C43">
      <w:pPr>
        <w:pStyle w:val="Heading2"/>
      </w:pPr>
      <w:r>
        <w:t xml:space="preserve">For some people, compared with the comparator(s), does the test information result in: </w:t>
      </w:r>
    </w:p>
    <w:p w14:paraId="67DE36BA" w14:textId="76AD1EBD" w:rsidR="004A45BE" w:rsidRPr="00BC0C43" w:rsidRDefault="004A45BE" w:rsidP="00361BBE">
      <w:pPr>
        <w:spacing w:before="120"/>
        <w:rPr>
          <w:bCs/>
        </w:rPr>
      </w:pPr>
      <w:r w:rsidRPr="00361BBE">
        <w:rPr>
          <w:b/>
          <w:bCs/>
        </w:rPr>
        <w:t>A change in clinical management?</w:t>
      </w:r>
      <w:r>
        <w:rPr>
          <w:bCs/>
        </w:rPr>
        <w:tab/>
      </w:r>
      <w:r w:rsidRPr="00306EC7">
        <w:rPr>
          <w:bCs/>
        </w:rPr>
        <w:t>No</w:t>
      </w:r>
      <w:r w:rsidR="00170BC3">
        <w:rPr>
          <w:bCs/>
        </w:rPr>
        <w:t xml:space="preserve"> same as colonoscopy</w:t>
      </w:r>
    </w:p>
    <w:p w14:paraId="6C54CA8D" w14:textId="5BB75EF5" w:rsidR="004A45BE" w:rsidRPr="00BC0C43" w:rsidRDefault="004A45BE" w:rsidP="00BC0C43">
      <w:pPr>
        <w:rPr>
          <w:bCs/>
        </w:rPr>
      </w:pPr>
      <w:r w:rsidRPr="00361BBE">
        <w:rPr>
          <w:b/>
          <w:bCs/>
        </w:rPr>
        <w:t>A change in health outcome?</w:t>
      </w:r>
      <w:r>
        <w:rPr>
          <w:bCs/>
        </w:rPr>
        <w:tab/>
      </w:r>
      <w:r w:rsidRPr="00306EC7">
        <w:rPr>
          <w:bCs/>
        </w:rPr>
        <w:t>Yes</w:t>
      </w:r>
    </w:p>
    <w:p w14:paraId="0434A6A4" w14:textId="29E07D1C" w:rsidR="004A45BE" w:rsidRPr="00BC0C43" w:rsidRDefault="004A45BE" w:rsidP="00BC0C43">
      <w:pPr>
        <w:rPr>
          <w:bCs/>
        </w:rPr>
      </w:pPr>
      <w:r w:rsidRPr="00361BBE">
        <w:rPr>
          <w:b/>
          <w:bCs/>
        </w:rPr>
        <w:t>Other benefits?</w:t>
      </w:r>
      <w:r w:rsidRPr="00361BBE">
        <w:rPr>
          <w:b/>
          <w:bCs/>
        </w:rPr>
        <w:tab/>
      </w:r>
      <w:r>
        <w:rPr>
          <w:bCs/>
        </w:rPr>
        <w:tab/>
      </w:r>
      <w:r>
        <w:rPr>
          <w:bCs/>
        </w:rPr>
        <w:tab/>
      </w:r>
      <w:r w:rsidRPr="00306EC7">
        <w:rPr>
          <w:bCs/>
        </w:rPr>
        <w:t>Yes</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5627E786" w:rsidR="004A45BE" w:rsidRPr="00BC0C43" w:rsidRDefault="00170BC3" w:rsidP="00BC0C43">
      <w:pPr>
        <w:rPr>
          <w:rFonts w:asciiTheme="minorHAnsi" w:eastAsia="Segoe UI" w:hAnsiTheme="minorHAnsi" w:cstheme="minorHAnsi"/>
          <w:color w:val="000000"/>
        </w:rPr>
      </w:pPr>
      <w:r>
        <w:t>The main benefits of the test are quicker performance time leading to less anxiety for the patient. Less chance the patient will have stage migration while waiting for the test. Greater compliance due to patients having choice. Reduced risk to patients with co-morbidities.</w:t>
      </w:r>
    </w:p>
    <w:p w14:paraId="387EB1A7" w14:textId="77777777" w:rsidR="00361BBE" w:rsidRDefault="009D5D20" w:rsidP="00582377">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18037369" w:rsidR="006437E6"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AF6AFB">
        <w:fldChar w:fldCharType="separate"/>
      </w:r>
      <w:r w:rsidRPr="00582377">
        <w:fldChar w:fldCharType="end"/>
      </w:r>
      <w:r w:rsidRPr="00582377">
        <w:t xml:space="preserve"> More costly </w:t>
      </w:r>
    </w:p>
    <w:p w14:paraId="76F56838" w14:textId="3EAB5B8D" w:rsidR="006437E6" w:rsidRPr="00582377" w:rsidRDefault="00306EC7" w:rsidP="00582377">
      <w:pPr>
        <w:pStyle w:val="Tickboxes"/>
      </w:pPr>
      <w:r w:rsidRPr="00306EC7">
        <w:fldChar w:fldCharType="begin">
          <w:ffData>
            <w:name w:val=""/>
            <w:enabled/>
            <w:calcOnExit w:val="0"/>
            <w:checkBox>
              <w:sizeAuto/>
              <w:default w:val="1"/>
            </w:checkBox>
          </w:ffData>
        </w:fldChar>
      </w:r>
      <w:r w:rsidRPr="00306EC7">
        <w:instrText xml:space="preserve"> FORMCHECKBOX </w:instrText>
      </w:r>
      <w:r w:rsidR="00AF6AFB">
        <w:fldChar w:fldCharType="separate"/>
      </w:r>
      <w:r w:rsidRPr="00306EC7">
        <w:fldChar w:fldCharType="end"/>
      </w:r>
      <w:r w:rsidR="006437E6" w:rsidRPr="00306EC7">
        <w:t xml:space="preserve"> Same cost</w:t>
      </w:r>
    </w:p>
    <w:p w14:paraId="7925F574" w14:textId="04A11129"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AF6AFB">
        <w:fldChar w:fldCharType="separate"/>
      </w:r>
      <w:r w:rsidRPr="00582377">
        <w:fldChar w:fldCharType="end"/>
      </w:r>
      <w:r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797B3B37" w14:textId="09D6467A" w:rsidR="00BC0C43" w:rsidRDefault="00170BC3" w:rsidP="00AF6AFB">
      <w:r>
        <w:t>The current rebate for CTC is greater than the rebate for colonoscopy. However, the vast majority of colonoscopy are co-claimed with polypectomy. This makes the colonoscopy/polypectomy price the same as CTC. In addition, the government then pays for histology to be performed on the polyps. Anaesthetic fees are an additional expense as are any co-claimed consultation fees by the endoscopist.</w:t>
      </w:r>
      <w:bookmarkStart w:id="4" w:name="_Hlk122532620"/>
      <w:r w:rsidR="00BC0C43">
        <w:br w:type="page"/>
      </w:r>
    </w:p>
    <w:p w14:paraId="3F215402" w14:textId="77777777" w:rsidR="00BF4BAA" w:rsidRDefault="00BF4BAA" w:rsidP="00EA0AA0">
      <w:pPr>
        <w:pStyle w:val="Heading1"/>
        <w:sectPr w:rsidR="00BF4BAA" w:rsidSect="00EA0AA0">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093E0992" w14:textId="77777777" w:rsidR="00BC0C43" w:rsidRPr="00BC0C43" w:rsidRDefault="0030566C" w:rsidP="00BC0C43">
      <w:pPr>
        <w:pStyle w:val="Heading2"/>
      </w:pPr>
      <w:r w:rsidRPr="00BC0C43">
        <w:t xml:space="preserve">Provide one or more recent (published) high quality clinical studies that support use of the proposed health service/technology. At ‘Application Form lodgement’, </w:t>
      </w:r>
    </w:p>
    <w:p w14:paraId="30B8B45A" w14:textId="4EE40497" w:rsidR="0030566C" w:rsidRPr="00010AAA" w:rsidRDefault="0030566C" w:rsidP="00BC0C43">
      <w:pPr>
        <w:spacing w:before="120"/>
        <w:rPr>
          <w:i/>
          <w:iCs/>
          <w:color w:val="538135" w:themeColor="accent6" w:themeShade="BF"/>
        </w:rPr>
      </w:pPr>
    </w:p>
    <w:tbl>
      <w:tblPr>
        <w:tblStyle w:val="TableGrid"/>
        <w:tblW w:w="5000" w:type="pct"/>
        <w:tblLook w:val="04A0" w:firstRow="1" w:lastRow="0" w:firstColumn="1" w:lastColumn="0" w:noHBand="0" w:noVBand="1"/>
        <w:tblCaption w:val="Summary of Evidence - Published"/>
      </w:tblPr>
      <w:tblGrid>
        <w:gridCol w:w="421"/>
        <w:gridCol w:w="1984"/>
        <w:gridCol w:w="3686"/>
        <w:gridCol w:w="2976"/>
        <w:gridCol w:w="3498"/>
        <w:gridCol w:w="1688"/>
      </w:tblGrid>
      <w:tr w:rsidR="006809F9" w:rsidRPr="0030566C" w14:paraId="5E8253A1" w14:textId="77777777" w:rsidTr="00DC4366">
        <w:trPr>
          <w:cantSplit/>
          <w:tblHeader/>
        </w:trPr>
        <w:tc>
          <w:tcPr>
            <w:tcW w:w="148" w:type="pct"/>
          </w:tcPr>
          <w:p w14:paraId="19D95756" w14:textId="77777777" w:rsidR="006809F9" w:rsidRPr="0030566C" w:rsidRDefault="006809F9" w:rsidP="00DC4366"/>
        </w:tc>
        <w:tc>
          <w:tcPr>
            <w:tcW w:w="696" w:type="pct"/>
          </w:tcPr>
          <w:p w14:paraId="41F8317E" w14:textId="77777777" w:rsidR="006809F9" w:rsidRPr="00BF4BAA" w:rsidRDefault="006809F9" w:rsidP="00DC4366">
            <w:pPr>
              <w:rPr>
                <w:b/>
                <w:bCs/>
              </w:rPr>
            </w:pPr>
            <w:r w:rsidRPr="00BF4BAA">
              <w:rPr>
                <w:b/>
                <w:bCs/>
              </w:rPr>
              <w:t>Type of study design</w:t>
            </w:r>
            <w:r w:rsidRPr="00010AAA">
              <w:rPr>
                <w:b/>
                <w:bCs/>
                <w:color w:val="538135" w:themeColor="accent6" w:themeShade="BF"/>
              </w:rPr>
              <w:t>*</w:t>
            </w:r>
          </w:p>
        </w:tc>
        <w:tc>
          <w:tcPr>
            <w:tcW w:w="1293" w:type="pct"/>
          </w:tcPr>
          <w:p w14:paraId="698F91E7" w14:textId="58411BB3" w:rsidR="006809F9" w:rsidRPr="00BF4BAA" w:rsidRDefault="006809F9" w:rsidP="00DC4366">
            <w:pPr>
              <w:rPr>
                <w:b/>
                <w:bCs/>
              </w:rPr>
            </w:pPr>
            <w:r w:rsidRPr="00BF4BAA">
              <w:rPr>
                <w:b/>
                <w:bCs/>
              </w:rPr>
              <w:t xml:space="preserve">Title of journal article or research project </w:t>
            </w:r>
          </w:p>
        </w:tc>
        <w:tc>
          <w:tcPr>
            <w:tcW w:w="1044" w:type="pct"/>
          </w:tcPr>
          <w:p w14:paraId="43DD30AC" w14:textId="022A116C" w:rsidR="006809F9" w:rsidRPr="00BF4BAA" w:rsidRDefault="006809F9" w:rsidP="00DC4366">
            <w:pPr>
              <w:rPr>
                <w:b/>
                <w:bCs/>
              </w:rPr>
            </w:pPr>
            <w:r w:rsidRPr="00BF4BAA">
              <w:rPr>
                <w:b/>
                <w:bCs/>
              </w:rPr>
              <w:t xml:space="preserve">Short description of research </w:t>
            </w:r>
          </w:p>
        </w:tc>
        <w:tc>
          <w:tcPr>
            <w:tcW w:w="1227" w:type="pct"/>
          </w:tcPr>
          <w:p w14:paraId="17A10397" w14:textId="2EAF8BD4" w:rsidR="006809F9" w:rsidRPr="00BF4BAA" w:rsidRDefault="006809F9" w:rsidP="00DC4366">
            <w:pPr>
              <w:rPr>
                <w:b/>
                <w:bCs/>
              </w:rPr>
            </w:pPr>
            <w:r w:rsidRPr="00BF4BAA">
              <w:rPr>
                <w:b/>
                <w:bCs/>
              </w:rPr>
              <w:t>Website link to journal article or research</w:t>
            </w:r>
          </w:p>
        </w:tc>
        <w:tc>
          <w:tcPr>
            <w:tcW w:w="592" w:type="pct"/>
          </w:tcPr>
          <w:p w14:paraId="171367D0" w14:textId="20B89DC5" w:rsidR="006809F9" w:rsidRPr="00BF4BAA" w:rsidRDefault="006809F9" w:rsidP="00DC4366">
            <w:pPr>
              <w:rPr>
                <w:b/>
                <w:bCs/>
              </w:rPr>
            </w:pPr>
            <w:r w:rsidRPr="00BF4BAA">
              <w:rPr>
                <w:b/>
                <w:bCs/>
              </w:rPr>
              <w:t>Date of publication</w:t>
            </w:r>
          </w:p>
        </w:tc>
      </w:tr>
      <w:tr w:rsidR="006809F9" w:rsidRPr="0030566C" w14:paraId="6E60AAD5" w14:textId="77777777" w:rsidTr="00DC4366">
        <w:trPr>
          <w:cantSplit/>
        </w:trPr>
        <w:tc>
          <w:tcPr>
            <w:tcW w:w="148" w:type="pct"/>
          </w:tcPr>
          <w:p w14:paraId="48CF22C0" w14:textId="77777777" w:rsidR="006809F9" w:rsidRPr="0030566C" w:rsidRDefault="006809F9" w:rsidP="00DC4366">
            <w:r>
              <w:t>1.</w:t>
            </w:r>
          </w:p>
        </w:tc>
        <w:tc>
          <w:tcPr>
            <w:tcW w:w="696" w:type="pct"/>
          </w:tcPr>
          <w:p w14:paraId="4D7502BB" w14:textId="77777777" w:rsidR="006809F9" w:rsidRPr="0030566C" w:rsidRDefault="006809F9" w:rsidP="00DC4366">
            <w:r>
              <w:t>Double blinded head to head</w:t>
            </w:r>
          </w:p>
        </w:tc>
        <w:tc>
          <w:tcPr>
            <w:tcW w:w="1293" w:type="pct"/>
          </w:tcPr>
          <w:p w14:paraId="1CF697C1" w14:textId="77777777" w:rsidR="006809F9" w:rsidRPr="00D05B8D" w:rsidRDefault="006809F9" w:rsidP="00DC4366">
            <w:pPr>
              <w:pStyle w:val="Heading1"/>
              <w:shd w:val="clear" w:color="auto" w:fill="FFFFFF"/>
              <w:rPr>
                <w:rFonts w:ascii="Times New Roman" w:hAnsi="Times New Roman" w:cs="Times New Roman"/>
                <w:b w:val="0"/>
                <w:color w:val="1A1A1A"/>
                <w:spacing w:val="5"/>
                <w:sz w:val="20"/>
                <w:szCs w:val="20"/>
              </w:rPr>
            </w:pPr>
            <w:r w:rsidRPr="00D05B8D">
              <w:rPr>
                <w:b w:val="0"/>
                <w:color w:val="1A1A1A"/>
                <w:spacing w:val="5"/>
                <w:sz w:val="20"/>
                <w:szCs w:val="20"/>
              </w:rPr>
              <w:t>Computed Tomographic Virtual Colonoscopy to Screen for Colorectal Neoplasia in Asymptomatic Adults</w:t>
            </w:r>
          </w:p>
          <w:p w14:paraId="3B287618" w14:textId="77777777" w:rsidR="006809F9" w:rsidRPr="0030566C" w:rsidRDefault="006809F9" w:rsidP="00DC4366"/>
        </w:tc>
        <w:tc>
          <w:tcPr>
            <w:tcW w:w="1044" w:type="pct"/>
          </w:tcPr>
          <w:p w14:paraId="1A474C4A" w14:textId="77777777" w:rsidR="006809F9" w:rsidRPr="0030566C" w:rsidRDefault="006809F9" w:rsidP="00DC4366">
            <w:r>
              <w:t>CT colonography followed by segmentally unblinded colonoscopy proving CTC is non-inferior.</w:t>
            </w:r>
          </w:p>
        </w:tc>
        <w:tc>
          <w:tcPr>
            <w:tcW w:w="1227" w:type="pct"/>
          </w:tcPr>
          <w:p w14:paraId="3C4676FE" w14:textId="77777777" w:rsidR="006809F9" w:rsidRPr="0030566C" w:rsidRDefault="00AF6AFB" w:rsidP="00DC4366">
            <w:hyperlink r:id="rId16" w:history="1">
              <w:r w:rsidR="006809F9">
                <w:rPr>
                  <w:rStyle w:val="Hyperlink"/>
                </w:rPr>
                <w:t>Computed Tomographic Virtual Colonoscopy to Screen for Colorectal Neoplasia in Asymptomatic Adults | New England Journal of Medicine (nejm.org)</w:t>
              </w:r>
            </w:hyperlink>
          </w:p>
        </w:tc>
        <w:tc>
          <w:tcPr>
            <w:tcW w:w="592" w:type="pct"/>
          </w:tcPr>
          <w:p w14:paraId="764FCC61" w14:textId="77777777" w:rsidR="006809F9" w:rsidRPr="0030566C" w:rsidRDefault="006809F9" w:rsidP="00DC4366">
            <w:r>
              <w:t>2003</w:t>
            </w:r>
          </w:p>
        </w:tc>
      </w:tr>
      <w:tr w:rsidR="006809F9" w:rsidRPr="0030566C" w14:paraId="1DE0D649" w14:textId="77777777" w:rsidTr="00DC4366">
        <w:trPr>
          <w:cantSplit/>
        </w:trPr>
        <w:tc>
          <w:tcPr>
            <w:tcW w:w="148" w:type="pct"/>
          </w:tcPr>
          <w:p w14:paraId="0D86A87D" w14:textId="77777777" w:rsidR="006809F9" w:rsidRDefault="006809F9" w:rsidP="00DC4366">
            <w:r>
              <w:t>2.</w:t>
            </w:r>
          </w:p>
        </w:tc>
        <w:tc>
          <w:tcPr>
            <w:tcW w:w="696" w:type="pct"/>
          </w:tcPr>
          <w:p w14:paraId="01FA87AD" w14:textId="77777777" w:rsidR="006809F9" w:rsidRPr="0030566C" w:rsidRDefault="006809F9" w:rsidP="00DC4366">
            <w:r>
              <w:t>Randomised control trial</w:t>
            </w:r>
          </w:p>
        </w:tc>
        <w:tc>
          <w:tcPr>
            <w:tcW w:w="1293" w:type="pct"/>
          </w:tcPr>
          <w:p w14:paraId="0333972C" w14:textId="77777777" w:rsidR="006809F9" w:rsidRPr="00D05B8D" w:rsidRDefault="006809F9" w:rsidP="00DC4366">
            <w:pPr>
              <w:rPr>
                <w:bCs/>
              </w:rPr>
            </w:pPr>
            <w:r w:rsidRPr="00D05B8D">
              <w:rPr>
                <w:bCs/>
              </w:rPr>
              <w:t>CT Colonography versus Colonoscopy for the Detection of Advanced Neoplasia</w:t>
            </w:r>
          </w:p>
          <w:p w14:paraId="6D3B239D" w14:textId="77777777" w:rsidR="006809F9" w:rsidRPr="00D05B8D" w:rsidRDefault="006809F9" w:rsidP="00DC4366"/>
        </w:tc>
        <w:tc>
          <w:tcPr>
            <w:tcW w:w="1044" w:type="pct"/>
          </w:tcPr>
          <w:p w14:paraId="10D22A74" w14:textId="77777777" w:rsidR="006809F9" w:rsidRPr="0030566C" w:rsidRDefault="006809F9" w:rsidP="00DC4366">
            <w:r>
              <w:t xml:space="preserve">Patients sent to either CTC or colonoscopy. Same number of cancers found. 4x more polyps removed in OC arm. </w:t>
            </w:r>
            <w:proofErr w:type="spellStart"/>
            <w:r>
              <w:t>Cx</w:t>
            </w:r>
            <w:proofErr w:type="spellEnd"/>
            <w:r>
              <w:t xml:space="preserve"> rate higher OC. Proves non-inferior.</w:t>
            </w:r>
          </w:p>
        </w:tc>
        <w:tc>
          <w:tcPr>
            <w:tcW w:w="1227" w:type="pct"/>
          </w:tcPr>
          <w:p w14:paraId="69B3700A" w14:textId="77777777" w:rsidR="006809F9" w:rsidRPr="0030566C" w:rsidRDefault="00AF6AFB" w:rsidP="00DC4366">
            <w:hyperlink r:id="rId17" w:history="1">
              <w:r w:rsidR="006809F9">
                <w:rPr>
                  <w:rStyle w:val="Hyperlink"/>
                </w:rPr>
                <w:t>CT Colonography versus Colonoscopy for the Detection of Advanced Neoplasia | New England Journal of Medicine (nejm.org)</w:t>
              </w:r>
            </w:hyperlink>
          </w:p>
        </w:tc>
        <w:tc>
          <w:tcPr>
            <w:tcW w:w="592" w:type="pct"/>
          </w:tcPr>
          <w:p w14:paraId="23DE2FE9" w14:textId="77777777" w:rsidR="006809F9" w:rsidRPr="0030566C" w:rsidRDefault="006809F9" w:rsidP="00DC4366">
            <w:r>
              <w:t>2007</w:t>
            </w:r>
          </w:p>
        </w:tc>
      </w:tr>
      <w:tr w:rsidR="006809F9" w:rsidRPr="0030566C" w14:paraId="56908CA4" w14:textId="77777777" w:rsidTr="00DC4366">
        <w:trPr>
          <w:cantSplit/>
        </w:trPr>
        <w:tc>
          <w:tcPr>
            <w:tcW w:w="148" w:type="pct"/>
          </w:tcPr>
          <w:p w14:paraId="558983C9" w14:textId="77777777" w:rsidR="006809F9" w:rsidRDefault="006809F9" w:rsidP="00DC4366">
            <w:r>
              <w:t>3</w:t>
            </w:r>
          </w:p>
        </w:tc>
        <w:tc>
          <w:tcPr>
            <w:tcW w:w="696" w:type="pct"/>
          </w:tcPr>
          <w:p w14:paraId="1791AAFC" w14:textId="77777777" w:rsidR="006809F9" w:rsidRDefault="006809F9" w:rsidP="00DC4366">
            <w:r>
              <w:t>Retrospective review</w:t>
            </w:r>
          </w:p>
        </w:tc>
        <w:tc>
          <w:tcPr>
            <w:tcW w:w="1293" w:type="pct"/>
          </w:tcPr>
          <w:p w14:paraId="4A594DC7" w14:textId="77777777" w:rsidR="006809F9" w:rsidRPr="003C01A7" w:rsidRDefault="00AF6AFB" w:rsidP="00DC4366">
            <w:pPr>
              <w:rPr>
                <w:bCs/>
              </w:rPr>
            </w:pPr>
            <w:hyperlink r:id="rId18" w:tooltip="Colorectal Findings at Repeat CT Colonography Screening after Initial                    CT Colonography Screening Negative for Polyps Larger than 5 mm" w:history="1">
              <w:r w:rsidR="006809F9" w:rsidRPr="003C01A7">
                <w:rPr>
                  <w:rStyle w:val="Hyperlink"/>
                  <w:bCs/>
                  <w:u w:val="none"/>
                </w:rPr>
                <w:t>Colorectal Findings at Repeat CT Colonography Screening after Initial CT Colonography Screening Negative for Polyps Larger than 5 mm</w:t>
              </w:r>
            </w:hyperlink>
          </w:p>
          <w:p w14:paraId="5F09A907" w14:textId="77777777" w:rsidR="006809F9" w:rsidRPr="00D05B8D" w:rsidRDefault="006809F9" w:rsidP="00DC4366">
            <w:pPr>
              <w:rPr>
                <w:bCs/>
              </w:rPr>
            </w:pPr>
          </w:p>
        </w:tc>
        <w:tc>
          <w:tcPr>
            <w:tcW w:w="1044" w:type="pct"/>
          </w:tcPr>
          <w:p w14:paraId="10A6544D" w14:textId="77777777" w:rsidR="006809F9" w:rsidRDefault="006809F9" w:rsidP="00DC4366">
            <w:r>
              <w:t>Retrospective review of patients with a previous normal CTC to determine interval cancer rate. Rates were low and supports accuracy of CTC and non-reporting small lesions (under 6mm).</w:t>
            </w:r>
          </w:p>
        </w:tc>
        <w:tc>
          <w:tcPr>
            <w:tcW w:w="1227" w:type="pct"/>
          </w:tcPr>
          <w:p w14:paraId="57FCD0E2" w14:textId="77777777" w:rsidR="006809F9" w:rsidRDefault="00AF6AFB" w:rsidP="00DC4366">
            <w:hyperlink r:id="rId19" w:history="1">
              <w:r w:rsidR="006809F9">
                <w:rPr>
                  <w:rStyle w:val="Hyperlink"/>
                </w:rPr>
                <w:t>Colorectal Findings at Repeat CT Colonography Screening after Initial CT Colonography Screening Negative for Polyps Larger than 5 mm | Radiology (rsna.org)</w:t>
              </w:r>
            </w:hyperlink>
          </w:p>
        </w:tc>
        <w:tc>
          <w:tcPr>
            <w:tcW w:w="592" w:type="pct"/>
          </w:tcPr>
          <w:p w14:paraId="18E64FD0" w14:textId="77777777" w:rsidR="006809F9" w:rsidRDefault="006809F9" w:rsidP="00DC4366">
            <w:r>
              <w:t>2016</w:t>
            </w:r>
          </w:p>
        </w:tc>
      </w:tr>
      <w:tr w:rsidR="006809F9" w:rsidRPr="0030566C" w14:paraId="07F8CA04" w14:textId="77777777" w:rsidTr="00DC4366">
        <w:trPr>
          <w:cantSplit/>
        </w:trPr>
        <w:tc>
          <w:tcPr>
            <w:tcW w:w="148" w:type="pct"/>
          </w:tcPr>
          <w:p w14:paraId="0270649F" w14:textId="77777777" w:rsidR="006809F9" w:rsidRDefault="006809F9" w:rsidP="00DC4366">
            <w:r>
              <w:lastRenderedPageBreak/>
              <w:t>4</w:t>
            </w:r>
          </w:p>
        </w:tc>
        <w:tc>
          <w:tcPr>
            <w:tcW w:w="696" w:type="pct"/>
          </w:tcPr>
          <w:p w14:paraId="2CD0D099" w14:textId="77777777" w:rsidR="006809F9" w:rsidRDefault="006809F9" w:rsidP="00DC4366">
            <w:r>
              <w:t>Qualitative review</w:t>
            </w:r>
          </w:p>
        </w:tc>
        <w:tc>
          <w:tcPr>
            <w:tcW w:w="1293" w:type="pct"/>
          </w:tcPr>
          <w:p w14:paraId="61DF5732" w14:textId="77777777" w:rsidR="006809F9" w:rsidRPr="003C01A7" w:rsidRDefault="006809F9" w:rsidP="00DC4366">
            <w:pPr>
              <w:rPr>
                <w:bCs/>
              </w:rPr>
            </w:pPr>
            <w:r>
              <w:t>Wait times for gastroenterology consultation in Canada: The patients’ perspective</w:t>
            </w:r>
          </w:p>
        </w:tc>
        <w:tc>
          <w:tcPr>
            <w:tcW w:w="1044" w:type="pct"/>
          </w:tcPr>
          <w:p w14:paraId="5021134C" w14:textId="77777777" w:rsidR="006809F9" w:rsidRDefault="006809F9" w:rsidP="00DC4366">
            <w:r>
              <w:t xml:space="preserve">Long wait times directly impact patients and contribute to </w:t>
            </w:r>
            <w:proofErr w:type="spellStart"/>
            <w:r>
              <w:t>anxiety,lost</w:t>
            </w:r>
            <w:proofErr w:type="spellEnd"/>
            <w:r>
              <w:t xml:space="preserve"> time from work and social functioning</w:t>
            </w:r>
          </w:p>
        </w:tc>
        <w:tc>
          <w:tcPr>
            <w:tcW w:w="1227" w:type="pct"/>
          </w:tcPr>
          <w:p w14:paraId="1FEE274C" w14:textId="77777777" w:rsidR="006809F9" w:rsidRDefault="00AF6AFB" w:rsidP="00DC4366">
            <w:hyperlink r:id="rId20" w:history="1">
              <w:r w:rsidR="006809F9">
                <w:rPr>
                  <w:rStyle w:val="Hyperlink"/>
                </w:rPr>
                <w:t>Wait times for gastroenterology consultation in Canada: The patients’ perspective - PMC (nih.gov)</w:t>
              </w:r>
            </w:hyperlink>
          </w:p>
        </w:tc>
        <w:tc>
          <w:tcPr>
            <w:tcW w:w="592" w:type="pct"/>
          </w:tcPr>
          <w:p w14:paraId="0E665C8A" w14:textId="77777777" w:rsidR="006809F9" w:rsidRDefault="006809F9" w:rsidP="00DC4366">
            <w:r>
              <w:t>2010</w:t>
            </w:r>
          </w:p>
        </w:tc>
      </w:tr>
      <w:tr w:rsidR="006809F9" w:rsidRPr="0030566C" w14:paraId="7536E024" w14:textId="77777777" w:rsidTr="00DC4366">
        <w:trPr>
          <w:cantSplit/>
        </w:trPr>
        <w:tc>
          <w:tcPr>
            <w:tcW w:w="148" w:type="pct"/>
          </w:tcPr>
          <w:p w14:paraId="6E6AB18D" w14:textId="77777777" w:rsidR="006809F9" w:rsidRDefault="006809F9" w:rsidP="00DC4366">
            <w:r>
              <w:t>5</w:t>
            </w:r>
          </w:p>
        </w:tc>
        <w:tc>
          <w:tcPr>
            <w:tcW w:w="696" w:type="pct"/>
          </w:tcPr>
          <w:p w14:paraId="0E2A4D9C" w14:textId="77777777" w:rsidR="006809F9" w:rsidRDefault="006809F9" w:rsidP="00DC4366">
            <w:r>
              <w:t>Population based analysis</w:t>
            </w:r>
          </w:p>
        </w:tc>
        <w:tc>
          <w:tcPr>
            <w:tcW w:w="1293" w:type="pct"/>
          </w:tcPr>
          <w:p w14:paraId="07F015FE" w14:textId="77777777" w:rsidR="006809F9" w:rsidRPr="00995C12" w:rsidRDefault="00AF6AFB" w:rsidP="00DC4366">
            <w:hyperlink r:id="rId21" w:history="1">
              <w:r w:rsidR="006809F9" w:rsidRPr="00995C12">
                <w:rPr>
                  <w:rStyle w:val="Hyperlink"/>
                  <w:b/>
                  <w:bCs/>
                </w:rPr>
                <w:t>Diseases of the Colon &amp; Rectum (lww.com)</w:t>
              </w:r>
            </w:hyperlink>
            <w:r w:rsidR="006809F9" w:rsidRPr="00995C12">
              <w:rPr>
                <w:b/>
                <w:bCs/>
              </w:rPr>
              <w:t xml:space="preserve"> </w:t>
            </w:r>
            <w:r w:rsidR="006809F9" w:rsidRPr="00995C12">
              <w:t>The Association Between Wait Times for Colorectal Cancer Treatment and Health Care Costs: A Population-Based Analysis</w:t>
            </w:r>
          </w:p>
          <w:p w14:paraId="20886D38" w14:textId="77777777" w:rsidR="006809F9" w:rsidRDefault="006809F9" w:rsidP="00DC4366"/>
        </w:tc>
        <w:tc>
          <w:tcPr>
            <w:tcW w:w="1044" w:type="pct"/>
          </w:tcPr>
          <w:p w14:paraId="2CD2BCCF" w14:textId="77777777" w:rsidR="006809F9" w:rsidRDefault="006809F9" w:rsidP="00DC4366">
            <w:r>
              <w:t>Length of wait time correlates with increasing cost</w:t>
            </w:r>
          </w:p>
        </w:tc>
        <w:tc>
          <w:tcPr>
            <w:tcW w:w="1227" w:type="pct"/>
          </w:tcPr>
          <w:p w14:paraId="2BA22545" w14:textId="77777777" w:rsidR="006809F9" w:rsidRDefault="00AF6AFB" w:rsidP="00DC4366">
            <w:hyperlink r:id="rId22" w:history="1">
              <w:r w:rsidR="006809F9">
                <w:rPr>
                  <w:rStyle w:val="Hyperlink"/>
                </w:rPr>
                <w:t>Diseases of the Colon &amp; Rectum (lww.com)</w:t>
              </w:r>
            </w:hyperlink>
          </w:p>
        </w:tc>
        <w:tc>
          <w:tcPr>
            <w:tcW w:w="592" w:type="pct"/>
          </w:tcPr>
          <w:p w14:paraId="067C9A44" w14:textId="77777777" w:rsidR="006809F9" w:rsidRDefault="006809F9" w:rsidP="00DC4366">
            <w:r>
              <w:t>2020</w:t>
            </w:r>
          </w:p>
        </w:tc>
      </w:tr>
      <w:tr w:rsidR="006809F9" w:rsidRPr="0030566C" w14:paraId="15946A9F" w14:textId="77777777" w:rsidTr="00DC4366">
        <w:trPr>
          <w:cantSplit/>
        </w:trPr>
        <w:tc>
          <w:tcPr>
            <w:tcW w:w="148" w:type="pct"/>
          </w:tcPr>
          <w:p w14:paraId="5541C32E" w14:textId="77777777" w:rsidR="006809F9" w:rsidRDefault="006809F9" w:rsidP="00DC4366">
            <w:r>
              <w:t>6</w:t>
            </w:r>
          </w:p>
        </w:tc>
        <w:tc>
          <w:tcPr>
            <w:tcW w:w="696" w:type="pct"/>
          </w:tcPr>
          <w:p w14:paraId="56E9B086" w14:textId="77777777" w:rsidR="006809F9" w:rsidRDefault="006809F9" w:rsidP="00DC4366">
            <w:r>
              <w:t>Observational study</w:t>
            </w:r>
          </w:p>
        </w:tc>
        <w:tc>
          <w:tcPr>
            <w:tcW w:w="1293" w:type="pct"/>
          </w:tcPr>
          <w:p w14:paraId="5E25E556" w14:textId="77777777" w:rsidR="006809F9" w:rsidRPr="00995C12" w:rsidRDefault="006809F9" w:rsidP="00DC4366">
            <w:pPr>
              <w:rPr>
                <w:bCs/>
              </w:rPr>
            </w:pPr>
            <w:r w:rsidRPr="00995C12">
              <w:rPr>
                <w:bCs/>
              </w:rPr>
              <w:t>An observational study to compare the utilisation of computed tomography colonography with optical colonoscopy as the first diagnostic imaging tool in patients with suspected colorectal cancer</w:t>
            </w:r>
          </w:p>
          <w:p w14:paraId="6EDBFA38" w14:textId="77777777" w:rsidR="006809F9" w:rsidRPr="00995C12" w:rsidRDefault="006809F9" w:rsidP="00DC4366">
            <w:pPr>
              <w:rPr>
                <w:bCs/>
              </w:rPr>
            </w:pPr>
          </w:p>
        </w:tc>
        <w:tc>
          <w:tcPr>
            <w:tcW w:w="1044" w:type="pct"/>
          </w:tcPr>
          <w:p w14:paraId="081B185B" w14:textId="77777777" w:rsidR="006809F9" w:rsidRDefault="006809F9" w:rsidP="00DC4366">
            <w:r>
              <w:t>CTC increases colonoscopy capacity and contributes to a functional service.</w:t>
            </w:r>
          </w:p>
        </w:tc>
        <w:tc>
          <w:tcPr>
            <w:tcW w:w="1227" w:type="pct"/>
          </w:tcPr>
          <w:p w14:paraId="1281FEA7" w14:textId="77777777" w:rsidR="006809F9" w:rsidRDefault="00AF6AFB" w:rsidP="00DC4366">
            <w:hyperlink r:id="rId23" w:history="1">
              <w:r w:rsidR="006809F9">
                <w:rPr>
                  <w:rStyle w:val="Hyperlink"/>
                </w:rPr>
                <w:t>An observational study to compare the utilisation of computed tomography colonography with optical colonoscopy as the first diagnostic imaging tool in patients with suspected colorectal cancer - PubMed (nih.gov)</w:t>
              </w:r>
            </w:hyperlink>
          </w:p>
        </w:tc>
        <w:tc>
          <w:tcPr>
            <w:tcW w:w="592" w:type="pct"/>
          </w:tcPr>
          <w:p w14:paraId="20130ADC" w14:textId="77777777" w:rsidR="006809F9" w:rsidRDefault="006809F9" w:rsidP="00DC4366">
            <w:r>
              <w:t>2020</w:t>
            </w:r>
          </w:p>
        </w:tc>
      </w:tr>
      <w:tr w:rsidR="006809F9" w:rsidRPr="0030566C" w14:paraId="349A513E" w14:textId="77777777" w:rsidTr="00DC4366">
        <w:trPr>
          <w:cantSplit/>
        </w:trPr>
        <w:tc>
          <w:tcPr>
            <w:tcW w:w="148" w:type="pct"/>
          </w:tcPr>
          <w:p w14:paraId="79CB2149" w14:textId="77777777" w:rsidR="006809F9" w:rsidRDefault="006809F9" w:rsidP="00DC4366">
            <w:r>
              <w:t>7</w:t>
            </w:r>
          </w:p>
        </w:tc>
        <w:tc>
          <w:tcPr>
            <w:tcW w:w="696" w:type="pct"/>
          </w:tcPr>
          <w:p w14:paraId="00C8F153" w14:textId="77777777" w:rsidR="006809F9" w:rsidRDefault="006809F9" w:rsidP="00DC4366">
            <w:r>
              <w:t>Waitlist Data</w:t>
            </w:r>
          </w:p>
        </w:tc>
        <w:tc>
          <w:tcPr>
            <w:tcW w:w="1293" w:type="pct"/>
          </w:tcPr>
          <w:p w14:paraId="37DE9DBF" w14:textId="77777777" w:rsidR="006809F9" w:rsidRPr="00995C12" w:rsidRDefault="006809F9" w:rsidP="00DC4366">
            <w:pPr>
              <w:rPr>
                <w:bCs/>
              </w:rPr>
            </w:pPr>
            <w:r>
              <w:rPr>
                <w:bCs/>
              </w:rPr>
              <w:t>Bowel cancer Australia wait times following positive FOB</w:t>
            </w:r>
          </w:p>
        </w:tc>
        <w:tc>
          <w:tcPr>
            <w:tcW w:w="1044" w:type="pct"/>
          </w:tcPr>
          <w:p w14:paraId="725682C0" w14:textId="77777777" w:rsidR="006809F9" w:rsidRDefault="006809F9" w:rsidP="00DC4366">
            <w:r>
              <w:t>Extended wait times.</w:t>
            </w:r>
          </w:p>
        </w:tc>
        <w:tc>
          <w:tcPr>
            <w:tcW w:w="1227" w:type="pct"/>
          </w:tcPr>
          <w:p w14:paraId="7BE2E74C" w14:textId="77777777" w:rsidR="006809F9" w:rsidRDefault="00AF6AFB" w:rsidP="00DC4366">
            <w:hyperlink r:id="rId24" w:history="1">
              <w:r w:rsidR="006809F9">
                <w:rPr>
                  <w:rStyle w:val="Hyperlink"/>
                </w:rPr>
                <w:t>A Colonoscopy Wait-time and Performance Guarantee - Bowel Cancer Australia</w:t>
              </w:r>
            </w:hyperlink>
          </w:p>
        </w:tc>
        <w:tc>
          <w:tcPr>
            <w:tcW w:w="592" w:type="pct"/>
          </w:tcPr>
          <w:p w14:paraId="4AD05003" w14:textId="77777777" w:rsidR="006809F9" w:rsidRDefault="006809F9" w:rsidP="00DC4366">
            <w:r>
              <w:t>2024</w:t>
            </w:r>
          </w:p>
        </w:tc>
      </w:tr>
    </w:tbl>
    <w:p w14:paraId="791F0387" w14:textId="35D7413D" w:rsidR="00BC0C43" w:rsidRDefault="00BC0C43" w:rsidP="00BC0C43"/>
    <w:bookmarkEnd w:id="4"/>
    <w:p w14:paraId="2EB12D7B" w14:textId="77777777" w:rsidR="0030566C" w:rsidRPr="0030566C" w:rsidRDefault="0030566C" w:rsidP="00BC0C43"/>
    <w:sectPr w:rsidR="0030566C" w:rsidRPr="0030566C"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EFB9" w14:textId="77777777" w:rsidR="00A95BEA" w:rsidRDefault="00A95BEA" w:rsidP="00BC0C43">
      <w:r>
        <w:separator/>
      </w:r>
    </w:p>
  </w:endnote>
  <w:endnote w:type="continuationSeparator" w:id="0">
    <w:p w14:paraId="21D583DE" w14:textId="77777777" w:rsidR="00A95BEA" w:rsidRDefault="00A95BEA"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394D" w14:textId="77777777" w:rsidR="00306EC7" w:rsidRDefault="00306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3C10C896" w:rsidR="00A95BEA" w:rsidRDefault="00A95BEA"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006809F9">
          <w:rPr>
            <w:noProof/>
            <w:sz w:val="21"/>
            <w:szCs w:val="21"/>
          </w:rPr>
          <w:t>14</w:t>
        </w:r>
        <w:r w:rsidRPr="00582377">
          <w:rPr>
            <w:sz w:val="21"/>
            <w:szCs w:val="21"/>
          </w:rPr>
          <w:fldChar w:fldCharType="end"/>
        </w:r>
      </w:p>
    </w:sdtContent>
  </w:sdt>
  <w:p w14:paraId="355A1DA5" w14:textId="77777777" w:rsidR="00A95BEA" w:rsidRDefault="00A95BEA"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BCA" w14:textId="77777777" w:rsidR="00306EC7" w:rsidRDefault="0030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98D5" w14:textId="77777777" w:rsidR="00A95BEA" w:rsidRDefault="00A95BEA" w:rsidP="00BC0C43">
      <w:r>
        <w:separator/>
      </w:r>
    </w:p>
  </w:footnote>
  <w:footnote w:type="continuationSeparator" w:id="0">
    <w:p w14:paraId="2F379777" w14:textId="77777777" w:rsidR="00A95BEA" w:rsidRDefault="00A95BEA" w:rsidP="00BC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AF58" w14:textId="77777777" w:rsidR="00306EC7" w:rsidRDefault="00306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458E" w14:textId="34C06403" w:rsidR="00306EC7" w:rsidRDefault="00306EC7" w:rsidP="00306EC7">
    <w:pPr>
      <w:pStyle w:val="Header"/>
    </w:pPr>
    <w:r>
      <w:t xml:space="preserve">MSAC application 1789 - </w:t>
    </w:r>
    <w:r w:rsidR="00AF6AFB" w:rsidRPr="00AF6AFB">
      <w:t>Computed tomography (CT) colonography for the detection of colorectal polyps and colorectal cancer</w:t>
    </w:r>
    <w:r w:rsidR="00AF6AFB">
      <w:t xml:space="preserve"> </w:t>
    </w:r>
    <w:r>
      <w:t>PICO set 5</w:t>
    </w:r>
  </w:p>
  <w:p w14:paraId="6451851C" w14:textId="3CB073A8" w:rsidR="00A95BEA" w:rsidRDefault="00A95BEA" w:rsidP="00BC0C43">
    <w:pPr>
      <w:pStyle w:val="Header"/>
    </w:pPr>
    <w:r>
      <w:rPr>
        <w:noProof/>
        <w:lang w:eastAsia="en-AU"/>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32A5" w14:textId="77777777" w:rsidR="00306EC7" w:rsidRDefault="00306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287"/>
    <w:multiLevelType w:val="hybridMultilevel"/>
    <w:tmpl w:val="2BA60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D4B81"/>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47858"/>
    <w:multiLevelType w:val="hybridMultilevel"/>
    <w:tmpl w:val="46EE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019E8"/>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137E2"/>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2415F6"/>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A952ED"/>
    <w:multiLevelType w:val="hybridMultilevel"/>
    <w:tmpl w:val="DFA4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4354341">
    <w:abstractNumId w:val="3"/>
  </w:num>
  <w:num w:numId="2" w16cid:durableId="1912154782">
    <w:abstractNumId w:val="0"/>
  </w:num>
  <w:num w:numId="3" w16cid:durableId="443157326">
    <w:abstractNumId w:val="6"/>
  </w:num>
  <w:num w:numId="4" w16cid:durableId="1929531879">
    <w:abstractNumId w:val="2"/>
  </w:num>
  <w:num w:numId="5" w16cid:durableId="1893422416">
    <w:abstractNumId w:val="4"/>
  </w:num>
  <w:num w:numId="6" w16cid:durableId="1771077563">
    <w:abstractNumId w:val="1"/>
  </w:num>
  <w:num w:numId="7" w16cid:durableId="1151483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10AAA"/>
    <w:rsid w:val="00025969"/>
    <w:rsid w:val="00026E90"/>
    <w:rsid w:val="00035492"/>
    <w:rsid w:val="00051843"/>
    <w:rsid w:val="00056A9A"/>
    <w:rsid w:val="00061233"/>
    <w:rsid w:val="000627EF"/>
    <w:rsid w:val="0009097A"/>
    <w:rsid w:val="000934AF"/>
    <w:rsid w:val="000C3C3F"/>
    <w:rsid w:val="000C43E5"/>
    <w:rsid w:val="000F1DBB"/>
    <w:rsid w:val="001103E9"/>
    <w:rsid w:val="0016065A"/>
    <w:rsid w:val="00162BE7"/>
    <w:rsid w:val="00170BC3"/>
    <w:rsid w:val="00197295"/>
    <w:rsid w:val="00197915"/>
    <w:rsid w:val="00280050"/>
    <w:rsid w:val="002A4AE5"/>
    <w:rsid w:val="002B3774"/>
    <w:rsid w:val="002B7B2B"/>
    <w:rsid w:val="002D289F"/>
    <w:rsid w:val="002D7216"/>
    <w:rsid w:val="002E357C"/>
    <w:rsid w:val="0030566C"/>
    <w:rsid w:val="00306EC7"/>
    <w:rsid w:val="00361BBE"/>
    <w:rsid w:val="00363A81"/>
    <w:rsid w:val="00364572"/>
    <w:rsid w:val="00380C41"/>
    <w:rsid w:val="003925C1"/>
    <w:rsid w:val="003A16D1"/>
    <w:rsid w:val="003B5315"/>
    <w:rsid w:val="003B5CCD"/>
    <w:rsid w:val="003C2446"/>
    <w:rsid w:val="003F39D1"/>
    <w:rsid w:val="004209FC"/>
    <w:rsid w:val="0042180F"/>
    <w:rsid w:val="00452657"/>
    <w:rsid w:val="00452A33"/>
    <w:rsid w:val="00482120"/>
    <w:rsid w:val="004922D5"/>
    <w:rsid w:val="004A45BE"/>
    <w:rsid w:val="004C02B7"/>
    <w:rsid w:val="004C7646"/>
    <w:rsid w:val="0052274F"/>
    <w:rsid w:val="00545A4C"/>
    <w:rsid w:val="00566CF9"/>
    <w:rsid w:val="00572CA8"/>
    <w:rsid w:val="00582377"/>
    <w:rsid w:val="005837E9"/>
    <w:rsid w:val="005842D9"/>
    <w:rsid w:val="005919F0"/>
    <w:rsid w:val="005B5A58"/>
    <w:rsid w:val="005C5D3E"/>
    <w:rsid w:val="005D23BC"/>
    <w:rsid w:val="005E1CFB"/>
    <w:rsid w:val="00614D65"/>
    <w:rsid w:val="006227EF"/>
    <w:rsid w:val="006429A1"/>
    <w:rsid w:val="006437E6"/>
    <w:rsid w:val="00665487"/>
    <w:rsid w:val="00677A07"/>
    <w:rsid w:val="006809F9"/>
    <w:rsid w:val="006B1118"/>
    <w:rsid w:val="006D59A0"/>
    <w:rsid w:val="007259DB"/>
    <w:rsid w:val="00765B2C"/>
    <w:rsid w:val="00770FA6"/>
    <w:rsid w:val="00836A15"/>
    <w:rsid w:val="00862932"/>
    <w:rsid w:val="00884F92"/>
    <w:rsid w:val="008A7A5A"/>
    <w:rsid w:val="008B20F8"/>
    <w:rsid w:val="008E18C6"/>
    <w:rsid w:val="00900C04"/>
    <w:rsid w:val="0090168B"/>
    <w:rsid w:val="009139B7"/>
    <w:rsid w:val="00930344"/>
    <w:rsid w:val="00955904"/>
    <w:rsid w:val="0097510A"/>
    <w:rsid w:val="00975B6D"/>
    <w:rsid w:val="009868DE"/>
    <w:rsid w:val="009C0554"/>
    <w:rsid w:val="009D5D20"/>
    <w:rsid w:val="00A05B4D"/>
    <w:rsid w:val="00A435D2"/>
    <w:rsid w:val="00A6304B"/>
    <w:rsid w:val="00A95BEA"/>
    <w:rsid w:val="00A9727F"/>
    <w:rsid w:val="00AF6AFB"/>
    <w:rsid w:val="00B10A36"/>
    <w:rsid w:val="00B31B9C"/>
    <w:rsid w:val="00B5322D"/>
    <w:rsid w:val="00B627E0"/>
    <w:rsid w:val="00B759D1"/>
    <w:rsid w:val="00B936AF"/>
    <w:rsid w:val="00BB494A"/>
    <w:rsid w:val="00BC0C43"/>
    <w:rsid w:val="00BC1AA9"/>
    <w:rsid w:val="00BE0612"/>
    <w:rsid w:val="00BE6B22"/>
    <w:rsid w:val="00BF4BAA"/>
    <w:rsid w:val="00C02E1C"/>
    <w:rsid w:val="00C57631"/>
    <w:rsid w:val="00C96E92"/>
    <w:rsid w:val="00CB48FD"/>
    <w:rsid w:val="00CB5480"/>
    <w:rsid w:val="00D32DD1"/>
    <w:rsid w:val="00D42274"/>
    <w:rsid w:val="00D6725E"/>
    <w:rsid w:val="00DB1744"/>
    <w:rsid w:val="00DB2D53"/>
    <w:rsid w:val="00DD0A06"/>
    <w:rsid w:val="00DE7FB7"/>
    <w:rsid w:val="00E00CD3"/>
    <w:rsid w:val="00E8339F"/>
    <w:rsid w:val="00EA0AA0"/>
    <w:rsid w:val="00EA7B42"/>
    <w:rsid w:val="00EF12E1"/>
    <w:rsid w:val="00F14D6C"/>
    <w:rsid w:val="00F16239"/>
    <w:rsid w:val="00F47AD7"/>
    <w:rsid w:val="00FA6D97"/>
    <w:rsid w:val="00FA75A0"/>
    <w:rsid w:val="00FE257E"/>
    <w:rsid w:val="00FF1ECB"/>
    <w:rsid w:val="00FF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uiPriority w:val="34"/>
    <w:qFormat/>
    <w:rsid w:val="00862932"/>
    <w:pPr>
      <w:ind w:left="720"/>
      <w:contextualSpacing/>
    </w:pPr>
  </w:style>
  <w:style w:type="character" w:styleId="Hyperlink">
    <w:name w:val="Hyperlink"/>
    <w:basedOn w:val="DefaultParagraphFont"/>
    <w:uiPriority w:val="99"/>
    <w:unhideWhenUsed/>
    <w:rsid w:val="00680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590746674">
      <w:bodyDiv w:val="1"/>
      <w:marLeft w:val="0"/>
      <w:marRight w:val="0"/>
      <w:marTop w:val="0"/>
      <w:marBottom w:val="0"/>
      <w:divBdr>
        <w:top w:val="none" w:sz="0" w:space="0" w:color="auto"/>
        <w:left w:val="none" w:sz="0" w:space="0" w:color="auto"/>
        <w:bottom w:val="none" w:sz="0" w:space="0" w:color="auto"/>
        <w:right w:val="none" w:sz="0" w:space="0" w:color="auto"/>
      </w:divBdr>
    </w:div>
    <w:div w:id="605119987">
      <w:bodyDiv w:val="1"/>
      <w:marLeft w:val="0"/>
      <w:marRight w:val="0"/>
      <w:marTop w:val="0"/>
      <w:marBottom w:val="0"/>
      <w:divBdr>
        <w:top w:val="none" w:sz="0" w:space="0" w:color="auto"/>
        <w:left w:val="none" w:sz="0" w:space="0" w:color="auto"/>
        <w:bottom w:val="none" w:sz="0" w:space="0" w:color="auto"/>
        <w:right w:val="none" w:sz="0" w:space="0" w:color="auto"/>
      </w:divBdr>
    </w:div>
    <w:div w:id="901872464">
      <w:bodyDiv w:val="1"/>
      <w:marLeft w:val="0"/>
      <w:marRight w:val="0"/>
      <w:marTop w:val="0"/>
      <w:marBottom w:val="0"/>
      <w:divBdr>
        <w:top w:val="none" w:sz="0" w:space="0" w:color="auto"/>
        <w:left w:val="none" w:sz="0" w:space="0" w:color="auto"/>
        <w:bottom w:val="none" w:sz="0" w:space="0" w:color="auto"/>
        <w:right w:val="none" w:sz="0" w:space="0" w:color="auto"/>
      </w:divBdr>
    </w:div>
    <w:div w:id="15186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pubs.rsna.org/doi/full/10.1148/radiol.20161605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s.lww.com/dcrjournal/abstract/2020/02000/the_association_between_wait_times_for_colorectal.7.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ejm.org/doi/full/10.1056/NEJMoa0705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jm.org/doi/full/10.1056/NEJMoa031618" TargetMode="External"/><Relationship Id="rId20" Type="http://schemas.openxmlformats.org/officeDocument/2006/relationships/hyperlink" Target="https://www.ncbi.nlm.nih.gov/pmc/articles/PMC28306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owelcanceraustralia.org/a-colonoscopy-wait-time-and-performance-guarante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ubmed.ncbi.nlm.nih.gov/32507314/" TargetMode="External"/><Relationship Id="rId10" Type="http://schemas.openxmlformats.org/officeDocument/2006/relationships/header" Target="header1.xml"/><Relationship Id="rId19" Type="http://schemas.openxmlformats.org/officeDocument/2006/relationships/hyperlink" Target="https://pubs.rsna.org/doi/abs/10.1148/radiol.201616058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https://journals.lww.com/dcrjournal/abstract/2020/02000/the_association_between_wait_times_for_colorectal.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9886-8AA9-4FE2-ACF5-A05AB6CB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2024-09-05T04:19:00Z</dcterms:created>
  <dcterms:modified xsi:type="dcterms:W3CDTF">2024-09-09T07:47:00Z</dcterms:modified>
</cp:coreProperties>
</file>