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D94EE" w14:textId="77777777" w:rsidR="00474B66" w:rsidRPr="00707064" w:rsidRDefault="00474B66" w:rsidP="00474B66">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3C869A85" wp14:editId="12E2BDAE">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6D75748" w14:textId="77777777" w:rsidR="00474B66" w:rsidRPr="00F715D1" w:rsidRDefault="00474B66" w:rsidP="00474B66">
      <w:pPr>
        <w:pStyle w:val="Title"/>
        <w:tabs>
          <w:tab w:val="left" w:pos="1926"/>
          <w:tab w:val="center" w:pos="4513"/>
        </w:tabs>
        <w:jc w:val="left"/>
      </w:pPr>
      <w:r>
        <w:tab/>
      </w:r>
      <w:r>
        <w:tab/>
      </w:r>
      <w:r w:rsidRPr="00F715D1">
        <w:t>Public Summary Document</w:t>
      </w:r>
    </w:p>
    <w:p w14:paraId="3E3C69DB" w14:textId="77777777" w:rsidR="00474B66" w:rsidRPr="00F715D1" w:rsidRDefault="00474B66" w:rsidP="00474B66">
      <w:pPr>
        <w:pStyle w:val="Subtitle"/>
      </w:pPr>
      <w:r w:rsidRPr="00F715D1">
        <w:t xml:space="preserve">Application No. </w:t>
      </w:r>
      <w:r>
        <w:t>1607</w:t>
      </w:r>
      <w:r w:rsidRPr="00F715D1">
        <w:t xml:space="preserve"> – </w:t>
      </w:r>
      <w:r>
        <w:t>17p deletion testing for access to acalabrutinib in patients with relapsed or refractory chronic lymphocytic leukaemia</w:t>
      </w:r>
    </w:p>
    <w:p w14:paraId="2EB5C469" w14:textId="77777777" w:rsidR="00474B66" w:rsidRPr="00F715D1" w:rsidRDefault="00474B66" w:rsidP="00474B66">
      <w:pPr>
        <w:tabs>
          <w:tab w:val="left" w:pos="3686"/>
        </w:tabs>
        <w:spacing w:after="2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AstraZeneca Pty Ltd</w:t>
      </w:r>
    </w:p>
    <w:p w14:paraId="0E3CBF6C" w14:textId="7FCF5771" w:rsidR="00474B66" w:rsidRPr="00F715D1" w:rsidRDefault="00474B66" w:rsidP="00474B66">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78</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3 April 2020</w:t>
      </w:r>
    </w:p>
    <w:p w14:paraId="4B884C74" w14:textId="77777777" w:rsidR="00474B66" w:rsidRPr="00B03EAB" w:rsidRDefault="00474B66" w:rsidP="00474B66">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46E9DD26" w14:textId="34D845FD" w:rsidR="00474B66" w:rsidRPr="00F715D1" w:rsidRDefault="00EF463B" w:rsidP="00474B66">
      <w:pPr>
        <w:pStyle w:val="Heading1"/>
      </w:pPr>
      <w:r>
        <w:t>Purpose of application</w:t>
      </w:r>
    </w:p>
    <w:p w14:paraId="14D5E0EF" w14:textId="4A43C5A5" w:rsidR="00B32DCC" w:rsidRDefault="00B32DCC" w:rsidP="008D1007">
      <w:pPr>
        <w:spacing w:after="120"/>
        <w:rPr>
          <w:iCs/>
          <w:szCs w:val="24"/>
        </w:rPr>
      </w:pPr>
      <w:r w:rsidRPr="00577F2C">
        <w:rPr>
          <w:iCs/>
          <w:szCs w:val="24"/>
        </w:rPr>
        <w:t xml:space="preserve">An </w:t>
      </w:r>
      <w:r>
        <w:rPr>
          <w:iCs/>
          <w:szCs w:val="24"/>
        </w:rPr>
        <w:t xml:space="preserve">application for a streamlined codependent </w:t>
      </w:r>
      <w:r w:rsidR="008935BA">
        <w:t xml:space="preserve">consideration </w:t>
      </w:r>
      <w:r>
        <w:rPr>
          <w:iCs/>
          <w:szCs w:val="24"/>
        </w:rPr>
        <w:t>requested:</w:t>
      </w:r>
    </w:p>
    <w:p w14:paraId="6C22FA67" w14:textId="3CEC5970" w:rsidR="00B32DCC" w:rsidRPr="00577F2C" w:rsidRDefault="00B32DCC" w:rsidP="00B32DCC">
      <w:pPr>
        <w:pStyle w:val="ListParagraph"/>
        <w:numPr>
          <w:ilvl w:val="0"/>
          <w:numId w:val="3"/>
        </w:numPr>
        <w:spacing w:after="240"/>
        <w:rPr>
          <w:iCs/>
          <w:szCs w:val="24"/>
        </w:rPr>
      </w:pPr>
      <w:bookmarkStart w:id="1" w:name="_Hlk36038391"/>
      <w:r w:rsidRPr="00577F2C">
        <w:rPr>
          <w:iCs/>
          <w:szCs w:val="24"/>
        </w:rPr>
        <w:t>Pharm</w:t>
      </w:r>
      <w:r>
        <w:rPr>
          <w:iCs/>
          <w:szCs w:val="24"/>
        </w:rPr>
        <w:t>a</w:t>
      </w:r>
      <w:r w:rsidRPr="00577F2C">
        <w:rPr>
          <w:iCs/>
          <w:szCs w:val="24"/>
        </w:rPr>
        <w:t xml:space="preserve">ceutical Benefits Schedule (PBS) listing of acalabrutinib </w:t>
      </w:r>
      <w:r w:rsidR="0059445B">
        <w:rPr>
          <w:iCs/>
          <w:szCs w:val="24"/>
        </w:rPr>
        <w:t xml:space="preserve">for </w:t>
      </w:r>
      <w:r w:rsidRPr="00577F2C">
        <w:rPr>
          <w:iCs/>
          <w:szCs w:val="24"/>
        </w:rPr>
        <w:t>the treatment of patients with relapsed or refractory chronic lymphocytic leuk</w:t>
      </w:r>
      <w:r w:rsidR="00BC2E12">
        <w:rPr>
          <w:iCs/>
          <w:szCs w:val="24"/>
        </w:rPr>
        <w:t>a</w:t>
      </w:r>
      <w:r w:rsidRPr="00577F2C">
        <w:rPr>
          <w:iCs/>
          <w:szCs w:val="24"/>
        </w:rPr>
        <w:t>emia (CLL)</w:t>
      </w:r>
      <w:r w:rsidR="0059445B">
        <w:rPr>
          <w:iCs/>
          <w:szCs w:val="24"/>
        </w:rPr>
        <w:t xml:space="preserve"> </w:t>
      </w:r>
      <w:r w:rsidR="00BC2E12">
        <w:rPr>
          <w:iCs/>
          <w:szCs w:val="24"/>
        </w:rPr>
        <w:t>or</w:t>
      </w:r>
      <w:r w:rsidR="0059445B">
        <w:rPr>
          <w:iCs/>
          <w:szCs w:val="24"/>
        </w:rPr>
        <w:t xml:space="preserve"> small lymphocytic lymphoma (SLL)</w:t>
      </w:r>
    </w:p>
    <w:p w14:paraId="14ED297F" w14:textId="7C647911" w:rsidR="00B32DCC" w:rsidRDefault="00B32DCC" w:rsidP="00B32DCC">
      <w:pPr>
        <w:pStyle w:val="ListParagraph"/>
        <w:numPr>
          <w:ilvl w:val="0"/>
          <w:numId w:val="3"/>
        </w:numPr>
        <w:spacing w:after="240"/>
        <w:rPr>
          <w:iCs/>
          <w:szCs w:val="24"/>
        </w:rPr>
      </w:pPr>
      <w:r>
        <w:rPr>
          <w:iCs/>
          <w:szCs w:val="24"/>
        </w:rPr>
        <w:t xml:space="preserve">an </w:t>
      </w:r>
      <w:r w:rsidRPr="00577F2C">
        <w:rPr>
          <w:iCs/>
          <w:szCs w:val="24"/>
        </w:rPr>
        <w:t xml:space="preserve">amendment of Medicare Benefits Schedule (MBS) </w:t>
      </w:r>
      <w:r w:rsidR="00BC2E12" w:rsidRPr="00577F2C">
        <w:rPr>
          <w:iCs/>
          <w:szCs w:val="24"/>
        </w:rPr>
        <w:t>i</w:t>
      </w:r>
      <w:r w:rsidRPr="00577F2C">
        <w:rPr>
          <w:iCs/>
          <w:szCs w:val="24"/>
        </w:rPr>
        <w:t xml:space="preserve">tem 73343 to include acalabrutinib in the list of medicines for which </w:t>
      </w:r>
      <w:bookmarkStart w:id="2" w:name="_Hlk36039874"/>
      <w:r>
        <w:rPr>
          <w:rFonts w:cs="Arial"/>
        </w:rPr>
        <w:t xml:space="preserve">fluorescence </w:t>
      </w:r>
      <w:r>
        <w:rPr>
          <w:rFonts w:cs="Arial"/>
          <w:i/>
        </w:rPr>
        <w:t>in situ</w:t>
      </w:r>
      <w:r>
        <w:rPr>
          <w:rFonts w:cs="Arial"/>
        </w:rPr>
        <w:t xml:space="preserve"> hybridization (FISH) testing </w:t>
      </w:r>
      <w:bookmarkEnd w:id="2"/>
      <w:r>
        <w:rPr>
          <w:rFonts w:cs="Arial"/>
        </w:rPr>
        <w:t xml:space="preserve">for the detection of </w:t>
      </w:r>
      <w:r w:rsidRPr="00A95EEE">
        <w:rPr>
          <w:rFonts w:cs="Arial"/>
          <w:i/>
        </w:rPr>
        <w:t>17p</w:t>
      </w:r>
      <w:r>
        <w:rPr>
          <w:rFonts w:cs="Arial"/>
        </w:rPr>
        <w:t xml:space="preserve"> deletion (</w:t>
      </w:r>
      <w:r>
        <w:rPr>
          <w:rFonts w:cs="Arial"/>
          <w:i/>
        </w:rPr>
        <w:t>del(17p)</w:t>
      </w:r>
      <w:r w:rsidR="00A95EEE">
        <w:rPr>
          <w:iCs/>
          <w:szCs w:val="24"/>
        </w:rPr>
        <w:t xml:space="preserve">) </w:t>
      </w:r>
      <w:r w:rsidRPr="00577F2C">
        <w:rPr>
          <w:iCs/>
          <w:szCs w:val="24"/>
        </w:rPr>
        <w:t>can be used to determine eligibility for access to PBS subsidised treatment</w:t>
      </w:r>
      <w:r>
        <w:rPr>
          <w:iCs/>
          <w:szCs w:val="24"/>
        </w:rPr>
        <w:t>.</w:t>
      </w:r>
    </w:p>
    <w:bookmarkEnd w:id="1"/>
    <w:p w14:paraId="695DAC26" w14:textId="77777777" w:rsidR="00474B66" w:rsidRPr="00F715D1" w:rsidRDefault="00474B66" w:rsidP="00474B66">
      <w:pPr>
        <w:pStyle w:val="Heading1"/>
      </w:pPr>
      <w:r w:rsidRPr="00F715D1">
        <w:t>MSAC’s advice to the Minister</w:t>
      </w:r>
    </w:p>
    <w:p w14:paraId="684528D9" w14:textId="573619EE" w:rsidR="00474B66" w:rsidRPr="0041184F" w:rsidRDefault="00474B66" w:rsidP="00E6485E">
      <w:pPr>
        <w:pStyle w:val="Default"/>
        <w:spacing w:after="240"/>
        <w:rPr>
          <w:i/>
          <w:color w:val="auto"/>
        </w:rPr>
      </w:pPr>
      <w:r w:rsidRPr="00E6485E">
        <w:rPr>
          <w:color w:val="auto"/>
        </w:rPr>
        <w:t xml:space="preserve">After considering the strength of the available evidence in relation to the safety, clinical effectiveness and cost-effectiveness of </w:t>
      </w:r>
      <w:r w:rsidR="00E6485E">
        <w:rPr>
          <w:i/>
          <w:color w:val="auto"/>
        </w:rPr>
        <w:t>17p</w:t>
      </w:r>
      <w:r w:rsidR="00E6485E" w:rsidRPr="00E6485E">
        <w:rPr>
          <w:color w:val="auto"/>
        </w:rPr>
        <w:t xml:space="preserve"> deletion</w:t>
      </w:r>
      <w:r w:rsidR="004C26F6" w:rsidRPr="00A95EEE">
        <w:rPr>
          <w:color w:val="auto"/>
        </w:rPr>
        <w:t xml:space="preserve"> (</w:t>
      </w:r>
      <w:r w:rsidR="004C26F6" w:rsidRPr="005924D4">
        <w:rPr>
          <w:i/>
          <w:color w:val="auto"/>
        </w:rPr>
        <w:t>del(17p)</w:t>
      </w:r>
      <w:r w:rsidR="004C26F6" w:rsidRPr="00A95EEE">
        <w:rPr>
          <w:color w:val="auto"/>
        </w:rPr>
        <w:t>)</w:t>
      </w:r>
      <w:r w:rsidR="00E6485E" w:rsidRPr="00E6485E">
        <w:rPr>
          <w:color w:val="auto"/>
        </w:rPr>
        <w:t xml:space="preserve"> testing, </w:t>
      </w:r>
      <w:r w:rsidR="00E6485E">
        <w:t xml:space="preserve">MSAC supported the modification of existing MBS item 73343 to include reference to acalabrutinib in alignment with the PBS listing of this medicine as recommended by the </w:t>
      </w:r>
      <w:r w:rsidR="00026921" w:rsidRPr="007C21B9">
        <w:rPr>
          <w:szCs w:val="20"/>
        </w:rPr>
        <w:t xml:space="preserve">Pharmaceutical Benefits Advisory Committee </w:t>
      </w:r>
      <w:r w:rsidR="00026921">
        <w:rPr>
          <w:szCs w:val="20"/>
        </w:rPr>
        <w:t>(</w:t>
      </w:r>
      <w:r w:rsidR="00E6485E">
        <w:t>PBAC</w:t>
      </w:r>
      <w:r w:rsidR="00026921">
        <w:t>)</w:t>
      </w:r>
      <w:r w:rsidR="00E6485E">
        <w:t xml:space="preserve"> in March 2020.</w:t>
      </w:r>
    </w:p>
    <w:p w14:paraId="602877A8" w14:textId="77777777" w:rsidR="008D1007" w:rsidRDefault="00E6485E" w:rsidP="008D1007">
      <w:pPr>
        <w:pStyle w:val="Default"/>
        <w:spacing w:after="120"/>
        <w:rPr>
          <w:color w:val="auto"/>
        </w:rPr>
      </w:pPr>
      <w:r w:rsidRPr="00F81EA1">
        <w:rPr>
          <w:color w:val="auto"/>
        </w:rPr>
        <w:t>The MSAC-supp</w:t>
      </w:r>
      <w:r>
        <w:rPr>
          <w:color w:val="auto"/>
        </w:rPr>
        <w:t>o</w:t>
      </w:r>
      <w:r w:rsidRPr="00F81EA1">
        <w:rPr>
          <w:color w:val="auto"/>
        </w:rPr>
        <w:t>rted descriptor was:</w:t>
      </w:r>
      <w:r>
        <w:rPr>
          <w:color w:val="auto"/>
        </w:rPr>
        <w:t xml:space="preserve"> </w:t>
      </w:r>
    </w:p>
    <w:p w14:paraId="403CF1B0" w14:textId="0A9CDA16" w:rsidR="00474B66" w:rsidRDefault="00E6485E" w:rsidP="00474B66">
      <w:pPr>
        <w:pStyle w:val="Default"/>
        <w:spacing w:after="240"/>
        <w:rPr>
          <w:i/>
          <w:color w:val="auto"/>
        </w:rPr>
      </w:pPr>
      <w:r w:rsidRPr="00E6485E">
        <w:rPr>
          <w:i/>
          <w:color w:val="auto"/>
        </w:rPr>
        <w:t>Detection of 17p chromosomal deletions by fluorescence in situ hybridization</w:t>
      </w:r>
      <w:r w:rsidR="008B1AE8">
        <w:rPr>
          <w:i/>
          <w:color w:val="auto"/>
        </w:rPr>
        <w:t>,</w:t>
      </w:r>
      <w:r w:rsidRPr="00E6485E">
        <w:rPr>
          <w:i/>
          <w:color w:val="auto"/>
        </w:rPr>
        <w:t xml:space="preserve"> of a patient with</w:t>
      </w:r>
      <w:r w:rsidR="004C26F6">
        <w:rPr>
          <w:i/>
          <w:color w:val="auto"/>
        </w:rPr>
        <w:t xml:space="preserve"> relapsed or refractory</w:t>
      </w:r>
      <w:r w:rsidRPr="00E6485E">
        <w:rPr>
          <w:i/>
          <w:color w:val="auto"/>
        </w:rPr>
        <w:t xml:space="preserve"> chronic lymphocytic leukaemia or small lymphocytic lymphoma, on a peripheral blood or bone marrow sample</w:t>
      </w:r>
      <w:r w:rsidRPr="00E6485E">
        <w:rPr>
          <w:rFonts w:cs="Arial"/>
          <w:i/>
          <w:color w:val="auto"/>
        </w:rPr>
        <w:t xml:space="preserve">, </w:t>
      </w:r>
      <w:r w:rsidRPr="00E6485E">
        <w:rPr>
          <w:i/>
          <w:color w:val="auto"/>
        </w:rPr>
        <w:t xml:space="preserve">requested by a specialist or consultant physician, to determine if the requirements for access to idelalisib, ibrutinib, venetoclax </w:t>
      </w:r>
      <w:r w:rsidRPr="00960D91">
        <w:rPr>
          <w:b/>
          <w:i/>
          <w:color w:val="auto"/>
        </w:rPr>
        <w:t>or acalabrutinib</w:t>
      </w:r>
      <w:r w:rsidRPr="00E6485E">
        <w:rPr>
          <w:i/>
          <w:color w:val="auto"/>
        </w:rPr>
        <w:t xml:space="preserve"> on the Pharmaceutical Benefits Scheme are fulfilled.</w:t>
      </w:r>
    </w:p>
    <w:p w14:paraId="694350D4" w14:textId="7F2057D9" w:rsidR="000C7D51" w:rsidRPr="008D1007" w:rsidRDefault="000C7D51" w:rsidP="008D1007">
      <w:pPr>
        <w:pStyle w:val="CommentText"/>
        <w:spacing w:after="240"/>
        <w:rPr>
          <w:rFonts w:eastAsia="Calibri"/>
          <w:color w:val="000000"/>
          <w:sz w:val="24"/>
          <w:szCs w:val="24"/>
          <w:lang w:eastAsia="en-US"/>
        </w:rPr>
      </w:pPr>
      <w:r>
        <w:rPr>
          <w:rFonts w:eastAsia="Calibri"/>
          <w:color w:val="000000"/>
          <w:sz w:val="24"/>
          <w:szCs w:val="24"/>
          <w:lang w:eastAsia="en-US"/>
        </w:rPr>
        <w:t>MSAC</w:t>
      </w:r>
      <w:r w:rsidRPr="00120D27">
        <w:rPr>
          <w:rFonts w:eastAsia="Calibri"/>
          <w:color w:val="000000"/>
          <w:sz w:val="24"/>
          <w:szCs w:val="24"/>
          <w:lang w:eastAsia="en-US"/>
        </w:rPr>
        <w:t xml:space="preserve"> recently supported other amendments to MBS item descriptor 73343 which are not implemented</w:t>
      </w:r>
      <w:r>
        <w:rPr>
          <w:rFonts w:eastAsia="Calibri"/>
          <w:color w:val="000000"/>
          <w:sz w:val="24"/>
          <w:szCs w:val="24"/>
          <w:lang w:eastAsia="en-US"/>
        </w:rPr>
        <w:t xml:space="preserve"> (see </w:t>
      </w:r>
      <w:hyperlink r:id="rId9" w:tooltip="Link to MSAC web page for application 1560" w:history="1">
        <w:r w:rsidR="0026599B" w:rsidRPr="0026599B">
          <w:rPr>
            <w:rStyle w:val="Hyperlink"/>
            <w:sz w:val="24"/>
            <w:szCs w:val="24"/>
          </w:rPr>
          <w:t>PSD for Application 1560</w:t>
        </w:r>
      </w:hyperlink>
      <w:r w:rsidR="0026599B" w:rsidRPr="0026599B">
        <w:rPr>
          <w:sz w:val="24"/>
          <w:szCs w:val="24"/>
        </w:rPr>
        <w:t>, MSAC 77</w:t>
      </w:r>
      <w:r w:rsidR="0026599B" w:rsidRPr="0026599B">
        <w:rPr>
          <w:sz w:val="24"/>
          <w:szCs w:val="24"/>
          <w:vertAlign w:val="superscript"/>
        </w:rPr>
        <w:t>th</w:t>
      </w:r>
      <w:r w:rsidR="0026599B" w:rsidRPr="0026599B">
        <w:rPr>
          <w:sz w:val="24"/>
          <w:szCs w:val="24"/>
        </w:rPr>
        <w:t xml:space="preserve"> Meeting, 28-29 November 2019</w:t>
      </w:r>
      <w:r>
        <w:rPr>
          <w:rFonts w:eastAsia="Calibri"/>
          <w:color w:val="000000"/>
          <w:sz w:val="24"/>
          <w:szCs w:val="24"/>
          <w:lang w:eastAsia="en-US"/>
        </w:rPr>
        <w:t xml:space="preserve"> and </w:t>
      </w:r>
      <w:hyperlink r:id="rId10" w:tooltip="Link to MSAC web page for application 1544" w:history="1">
        <w:r w:rsidR="0026599B" w:rsidRPr="0026599B">
          <w:rPr>
            <w:rStyle w:val="Hyperlink"/>
            <w:sz w:val="24"/>
            <w:szCs w:val="24"/>
          </w:rPr>
          <w:t>PSD for Application 1544</w:t>
        </w:r>
      </w:hyperlink>
      <w:r w:rsidR="0026599B" w:rsidRPr="0026599B">
        <w:rPr>
          <w:sz w:val="24"/>
          <w:szCs w:val="24"/>
        </w:rPr>
        <w:t>, MSAC 77</w:t>
      </w:r>
      <w:r w:rsidR="0026599B" w:rsidRPr="0026599B">
        <w:rPr>
          <w:sz w:val="24"/>
          <w:szCs w:val="24"/>
          <w:vertAlign w:val="superscript"/>
        </w:rPr>
        <w:t>th</w:t>
      </w:r>
      <w:r w:rsidR="0026599B" w:rsidRPr="0026599B">
        <w:rPr>
          <w:sz w:val="24"/>
          <w:szCs w:val="24"/>
        </w:rPr>
        <w:t xml:space="preserve"> Meeting, 28-29 November 2019</w:t>
      </w:r>
      <w:r>
        <w:rPr>
          <w:rFonts w:eastAsia="Calibri"/>
          <w:color w:val="000000"/>
          <w:sz w:val="24"/>
          <w:szCs w:val="24"/>
          <w:lang w:eastAsia="en-US"/>
        </w:rPr>
        <w:t>)</w:t>
      </w:r>
      <w:r w:rsidRPr="00120D27">
        <w:rPr>
          <w:rFonts w:eastAsia="Calibri"/>
          <w:color w:val="000000"/>
          <w:sz w:val="24"/>
          <w:szCs w:val="24"/>
          <w:lang w:eastAsia="en-US"/>
        </w:rPr>
        <w:t>.</w:t>
      </w:r>
    </w:p>
    <w:tbl>
      <w:tblPr>
        <w:tblStyle w:val="TableGrid"/>
        <w:tblW w:w="0" w:type="auto"/>
        <w:tblLook w:val="04A0" w:firstRow="1" w:lastRow="0" w:firstColumn="1" w:lastColumn="0" w:noHBand="0" w:noVBand="1"/>
        <w:tblCaption w:val="Consumer summary"/>
      </w:tblPr>
      <w:tblGrid>
        <w:gridCol w:w="9016"/>
      </w:tblGrid>
      <w:tr w:rsidR="00474B66" w14:paraId="402A2AC4" w14:textId="77777777" w:rsidTr="009F2CB4">
        <w:trPr>
          <w:tblHeader/>
        </w:trPr>
        <w:tc>
          <w:tcPr>
            <w:tcW w:w="9242" w:type="dxa"/>
          </w:tcPr>
          <w:p w14:paraId="7D10B324" w14:textId="32F0AB97" w:rsidR="00474B66" w:rsidRPr="006709CC" w:rsidRDefault="00474B66" w:rsidP="006709CC">
            <w:pPr>
              <w:pStyle w:val="Default"/>
              <w:spacing w:before="120" w:after="120"/>
              <w:rPr>
                <w:b/>
                <w:color w:val="auto"/>
                <w:sz w:val="24"/>
                <w:szCs w:val="24"/>
              </w:rPr>
            </w:pPr>
            <w:r w:rsidRPr="006709CC">
              <w:rPr>
                <w:b/>
                <w:color w:val="auto"/>
                <w:sz w:val="24"/>
                <w:szCs w:val="24"/>
              </w:rPr>
              <w:lastRenderedPageBreak/>
              <w:t>Consumer summary</w:t>
            </w:r>
          </w:p>
          <w:p w14:paraId="55F381A4" w14:textId="7BECA01C" w:rsidR="00026921" w:rsidRPr="006709CC" w:rsidRDefault="00026921" w:rsidP="00516D59">
            <w:pPr>
              <w:pStyle w:val="Default"/>
              <w:spacing w:before="120" w:after="240"/>
              <w:rPr>
                <w:sz w:val="24"/>
                <w:szCs w:val="24"/>
              </w:rPr>
            </w:pPr>
            <w:r w:rsidRPr="006709CC">
              <w:rPr>
                <w:sz w:val="24"/>
                <w:szCs w:val="24"/>
              </w:rPr>
              <w:t xml:space="preserve">AstraZeneca Pty Ltd applied for funding through the Medicare Benefits Schedule (MBS) for </w:t>
            </w:r>
            <w:r w:rsidR="0026599B">
              <w:rPr>
                <w:sz w:val="24"/>
                <w:szCs w:val="24"/>
              </w:rPr>
              <w:t>some</w:t>
            </w:r>
            <w:r w:rsidR="00A0530F">
              <w:rPr>
                <w:sz w:val="24"/>
                <w:szCs w:val="24"/>
              </w:rPr>
              <w:t xml:space="preserve"> </w:t>
            </w:r>
            <w:r w:rsidRPr="006709CC">
              <w:rPr>
                <w:sz w:val="24"/>
                <w:szCs w:val="24"/>
              </w:rPr>
              <w:t>people with chronic lymphocytic leuk</w:t>
            </w:r>
            <w:r w:rsidR="00BC2E12">
              <w:rPr>
                <w:sz w:val="24"/>
                <w:szCs w:val="24"/>
              </w:rPr>
              <w:t>a</w:t>
            </w:r>
            <w:r w:rsidRPr="006709CC">
              <w:rPr>
                <w:sz w:val="24"/>
                <w:szCs w:val="24"/>
              </w:rPr>
              <w:t xml:space="preserve">emia (CLL) </w:t>
            </w:r>
            <w:r w:rsidR="00BC2E12">
              <w:rPr>
                <w:sz w:val="24"/>
                <w:szCs w:val="24"/>
              </w:rPr>
              <w:t>or</w:t>
            </w:r>
            <w:r w:rsidRPr="006709CC">
              <w:rPr>
                <w:sz w:val="24"/>
                <w:szCs w:val="24"/>
              </w:rPr>
              <w:t xml:space="preserve"> small lymphocytic lymphoma (SLL) to have </w:t>
            </w:r>
            <w:r w:rsidR="00BC2E12">
              <w:rPr>
                <w:sz w:val="24"/>
                <w:szCs w:val="24"/>
              </w:rPr>
              <w:t xml:space="preserve">funded </w:t>
            </w:r>
            <w:r w:rsidRPr="006709CC">
              <w:rPr>
                <w:sz w:val="24"/>
                <w:szCs w:val="24"/>
              </w:rPr>
              <w:t xml:space="preserve">chromosome </w:t>
            </w:r>
            <w:r w:rsidRPr="00A95EEE">
              <w:rPr>
                <w:i/>
                <w:sz w:val="24"/>
                <w:szCs w:val="24"/>
              </w:rPr>
              <w:t>17p</w:t>
            </w:r>
            <w:r w:rsidRPr="006709CC">
              <w:rPr>
                <w:sz w:val="24"/>
                <w:szCs w:val="24"/>
              </w:rPr>
              <w:t xml:space="preserve"> deletion testing </w:t>
            </w:r>
            <w:r w:rsidR="00BC2E12">
              <w:rPr>
                <w:sz w:val="24"/>
                <w:szCs w:val="24"/>
              </w:rPr>
              <w:t xml:space="preserve">to help </w:t>
            </w:r>
            <w:r w:rsidR="000E7594">
              <w:rPr>
                <w:sz w:val="24"/>
                <w:szCs w:val="24"/>
              </w:rPr>
              <w:t xml:space="preserve">them know </w:t>
            </w:r>
            <w:r w:rsidR="00BC2E12">
              <w:rPr>
                <w:sz w:val="24"/>
                <w:szCs w:val="24"/>
              </w:rPr>
              <w:t xml:space="preserve">whether </w:t>
            </w:r>
            <w:r w:rsidRPr="006709CC">
              <w:rPr>
                <w:sz w:val="24"/>
                <w:szCs w:val="24"/>
              </w:rPr>
              <w:t xml:space="preserve">they can </w:t>
            </w:r>
            <w:r w:rsidR="00BC2E12">
              <w:rPr>
                <w:sz w:val="24"/>
                <w:szCs w:val="24"/>
              </w:rPr>
              <w:t xml:space="preserve">receive subsidised </w:t>
            </w:r>
            <w:r w:rsidRPr="006709CC">
              <w:rPr>
                <w:sz w:val="24"/>
                <w:szCs w:val="24"/>
              </w:rPr>
              <w:t>access</w:t>
            </w:r>
            <w:r w:rsidR="000C7D51">
              <w:rPr>
                <w:sz w:val="24"/>
                <w:szCs w:val="24"/>
              </w:rPr>
              <w:t xml:space="preserve"> to</w:t>
            </w:r>
            <w:r w:rsidRPr="006709CC">
              <w:rPr>
                <w:sz w:val="24"/>
                <w:szCs w:val="24"/>
              </w:rPr>
              <w:t xml:space="preserve"> the </w:t>
            </w:r>
            <w:r w:rsidR="00BC2E12">
              <w:rPr>
                <w:sz w:val="24"/>
                <w:szCs w:val="24"/>
              </w:rPr>
              <w:t>medicine</w:t>
            </w:r>
            <w:r w:rsidRPr="006709CC">
              <w:rPr>
                <w:sz w:val="24"/>
                <w:szCs w:val="24"/>
              </w:rPr>
              <w:t xml:space="preserve"> acalabrutinib</w:t>
            </w:r>
            <w:r w:rsidR="00A95EEE">
              <w:rPr>
                <w:sz w:val="24"/>
                <w:szCs w:val="24"/>
              </w:rPr>
              <w:t xml:space="preserve"> when</w:t>
            </w:r>
            <w:r w:rsidR="00A0530F">
              <w:rPr>
                <w:sz w:val="24"/>
                <w:szCs w:val="24"/>
              </w:rPr>
              <w:t xml:space="preserve"> </w:t>
            </w:r>
            <w:r w:rsidR="000C7D51" w:rsidRPr="003A2B4E">
              <w:rPr>
                <w:sz w:val="24"/>
                <w:szCs w:val="24"/>
              </w:rPr>
              <w:t>listed on the Pharmaceutical Benefits Scheme (PBS)</w:t>
            </w:r>
            <w:r w:rsidR="000C7D51">
              <w:rPr>
                <w:sz w:val="24"/>
                <w:szCs w:val="24"/>
              </w:rPr>
              <w:t xml:space="preserve">. </w:t>
            </w:r>
            <w:r w:rsidR="00A0530F">
              <w:rPr>
                <w:sz w:val="24"/>
                <w:szCs w:val="24"/>
              </w:rPr>
              <w:t>CLL and SLL are two closely related blood cancers.</w:t>
            </w:r>
          </w:p>
          <w:p w14:paraId="3D6D30D4" w14:textId="16EDC692" w:rsidR="00026921" w:rsidRPr="006709CC" w:rsidRDefault="00026921" w:rsidP="00516D59">
            <w:pPr>
              <w:pStyle w:val="Default"/>
              <w:spacing w:before="120" w:after="240"/>
              <w:rPr>
                <w:sz w:val="24"/>
                <w:szCs w:val="24"/>
              </w:rPr>
            </w:pPr>
            <w:r w:rsidRPr="00A95EEE">
              <w:rPr>
                <w:i/>
                <w:sz w:val="24"/>
                <w:szCs w:val="24"/>
              </w:rPr>
              <w:t>17p</w:t>
            </w:r>
            <w:r w:rsidRPr="006709CC">
              <w:rPr>
                <w:sz w:val="24"/>
                <w:szCs w:val="24"/>
              </w:rPr>
              <w:t xml:space="preserve"> deletion testing is a genetic test that checks if people are missing part of their </w:t>
            </w:r>
            <w:r w:rsidR="000C7D51" w:rsidRPr="007B7F8B">
              <w:rPr>
                <w:sz w:val="24"/>
                <w:szCs w:val="24"/>
              </w:rPr>
              <w:t>genetic material</w:t>
            </w:r>
            <w:r w:rsidR="000C7D51">
              <w:rPr>
                <w:sz w:val="24"/>
                <w:szCs w:val="24"/>
              </w:rPr>
              <w:t xml:space="preserve"> in their </w:t>
            </w:r>
            <w:r w:rsidRPr="006709CC">
              <w:rPr>
                <w:sz w:val="24"/>
                <w:szCs w:val="24"/>
              </w:rPr>
              <w:t>chromosome 17. It is a common genetic change in several types of cancer.</w:t>
            </w:r>
          </w:p>
          <w:p w14:paraId="0BB90C38" w14:textId="6B9DAA60" w:rsidR="00026921" w:rsidRPr="006709CC" w:rsidRDefault="00A95EEE" w:rsidP="00516D59">
            <w:pPr>
              <w:pStyle w:val="Default"/>
              <w:spacing w:before="120" w:after="240"/>
              <w:rPr>
                <w:sz w:val="24"/>
                <w:szCs w:val="24"/>
              </w:rPr>
            </w:pPr>
            <w:r>
              <w:rPr>
                <w:sz w:val="24"/>
                <w:szCs w:val="24"/>
              </w:rPr>
              <w:t xml:space="preserve">The test for </w:t>
            </w:r>
            <w:r w:rsidRPr="0026599B">
              <w:rPr>
                <w:i/>
                <w:sz w:val="24"/>
                <w:szCs w:val="24"/>
              </w:rPr>
              <w:t>17p</w:t>
            </w:r>
            <w:r>
              <w:rPr>
                <w:sz w:val="24"/>
                <w:szCs w:val="24"/>
              </w:rPr>
              <w:t xml:space="preserve"> deletion is already listed on the MBS to help determine access to s</w:t>
            </w:r>
            <w:r w:rsidR="00026921" w:rsidRPr="006709CC">
              <w:rPr>
                <w:sz w:val="24"/>
                <w:szCs w:val="24"/>
              </w:rPr>
              <w:t xml:space="preserve">everal </w:t>
            </w:r>
            <w:r w:rsidR="0026599B">
              <w:rPr>
                <w:sz w:val="24"/>
                <w:szCs w:val="24"/>
              </w:rPr>
              <w:t xml:space="preserve">medicines </w:t>
            </w:r>
            <w:r>
              <w:rPr>
                <w:sz w:val="24"/>
                <w:szCs w:val="24"/>
              </w:rPr>
              <w:t xml:space="preserve">which can </w:t>
            </w:r>
            <w:r w:rsidR="00026921" w:rsidRPr="006709CC">
              <w:rPr>
                <w:sz w:val="24"/>
                <w:szCs w:val="24"/>
              </w:rPr>
              <w:t xml:space="preserve">help people </w:t>
            </w:r>
            <w:r>
              <w:rPr>
                <w:sz w:val="24"/>
                <w:szCs w:val="24"/>
              </w:rPr>
              <w:t xml:space="preserve">who have </w:t>
            </w:r>
            <w:r w:rsidR="00026921" w:rsidRPr="006709CC">
              <w:rPr>
                <w:sz w:val="24"/>
                <w:szCs w:val="24"/>
              </w:rPr>
              <w:t xml:space="preserve">CLL or SLL </w:t>
            </w:r>
            <w:r>
              <w:rPr>
                <w:sz w:val="24"/>
                <w:szCs w:val="24"/>
              </w:rPr>
              <w:t xml:space="preserve">and </w:t>
            </w:r>
            <w:r w:rsidR="009E4ED3">
              <w:rPr>
                <w:sz w:val="24"/>
                <w:szCs w:val="24"/>
              </w:rPr>
              <w:t>who</w:t>
            </w:r>
            <w:r w:rsidR="00026921" w:rsidRPr="006709CC">
              <w:rPr>
                <w:sz w:val="24"/>
                <w:szCs w:val="24"/>
              </w:rPr>
              <w:t xml:space="preserve"> also have a </w:t>
            </w:r>
            <w:r w:rsidR="00026921" w:rsidRPr="00A95EEE">
              <w:rPr>
                <w:i/>
                <w:sz w:val="24"/>
                <w:szCs w:val="24"/>
              </w:rPr>
              <w:t>17p</w:t>
            </w:r>
            <w:r w:rsidR="00026921" w:rsidRPr="006709CC">
              <w:rPr>
                <w:sz w:val="24"/>
                <w:szCs w:val="24"/>
              </w:rPr>
              <w:t xml:space="preserve"> deletion. Acalabrutinib is the most recent </w:t>
            </w:r>
            <w:r w:rsidR="0026599B">
              <w:rPr>
                <w:sz w:val="24"/>
                <w:szCs w:val="24"/>
              </w:rPr>
              <w:t>medicine</w:t>
            </w:r>
            <w:r w:rsidR="00026921" w:rsidRPr="006709CC">
              <w:rPr>
                <w:sz w:val="24"/>
                <w:szCs w:val="24"/>
              </w:rPr>
              <w:t xml:space="preserve"> to be </w:t>
            </w:r>
            <w:r w:rsidR="00BC2E12">
              <w:rPr>
                <w:sz w:val="24"/>
                <w:szCs w:val="24"/>
              </w:rPr>
              <w:t xml:space="preserve">proposed for </w:t>
            </w:r>
            <w:r w:rsidR="00026921" w:rsidRPr="006709CC">
              <w:rPr>
                <w:sz w:val="24"/>
                <w:szCs w:val="24"/>
              </w:rPr>
              <w:t>list</w:t>
            </w:r>
            <w:r w:rsidR="00BC2E12">
              <w:rPr>
                <w:sz w:val="24"/>
                <w:szCs w:val="24"/>
              </w:rPr>
              <w:t>ing</w:t>
            </w:r>
            <w:r w:rsidR="00026921" w:rsidRPr="006709CC">
              <w:rPr>
                <w:sz w:val="24"/>
                <w:szCs w:val="24"/>
              </w:rPr>
              <w:t xml:space="preserve"> on the PBS for such patients.</w:t>
            </w:r>
          </w:p>
          <w:p w14:paraId="1770A933" w14:textId="1A9E0BC1" w:rsidR="00026921" w:rsidRPr="006709CC" w:rsidRDefault="00026921" w:rsidP="00516D59">
            <w:pPr>
              <w:pStyle w:val="Default"/>
              <w:spacing w:before="120" w:after="240"/>
              <w:rPr>
                <w:b/>
                <w:color w:val="auto"/>
                <w:sz w:val="24"/>
                <w:szCs w:val="24"/>
              </w:rPr>
            </w:pPr>
            <w:r w:rsidRPr="006709CC">
              <w:rPr>
                <w:sz w:val="24"/>
                <w:szCs w:val="24"/>
              </w:rPr>
              <w:t>In March 2020, the Pharmaceutical Benefits Advisory Committee</w:t>
            </w:r>
            <w:r w:rsidR="0059445B" w:rsidRPr="006709CC">
              <w:rPr>
                <w:sz w:val="24"/>
                <w:szCs w:val="24"/>
              </w:rPr>
              <w:t xml:space="preserve"> (PBAC)</w:t>
            </w:r>
            <w:r w:rsidRPr="006709CC">
              <w:rPr>
                <w:sz w:val="24"/>
                <w:szCs w:val="24"/>
              </w:rPr>
              <w:t xml:space="preserve"> </w:t>
            </w:r>
            <w:r w:rsidR="00BC2E12">
              <w:rPr>
                <w:sz w:val="24"/>
                <w:szCs w:val="24"/>
              </w:rPr>
              <w:t xml:space="preserve">recommended the </w:t>
            </w:r>
            <w:r w:rsidRPr="006709CC">
              <w:rPr>
                <w:sz w:val="24"/>
                <w:szCs w:val="24"/>
              </w:rPr>
              <w:t>list</w:t>
            </w:r>
            <w:r w:rsidR="00BC2E12">
              <w:rPr>
                <w:sz w:val="24"/>
                <w:szCs w:val="24"/>
              </w:rPr>
              <w:t xml:space="preserve">ing of </w:t>
            </w:r>
            <w:r w:rsidRPr="006709CC">
              <w:rPr>
                <w:sz w:val="24"/>
                <w:szCs w:val="24"/>
              </w:rPr>
              <w:t xml:space="preserve">acalabrutinib on the PBS as a second-line treatment for </w:t>
            </w:r>
            <w:r w:rsidR="0026599B">
              <w:rPr>
                <w:sz w:val="24"/>
                <w:szCs w:val="24"/>
              </w:rPr>
              <w:t>some</w:t>
            </w:r>
            <w:r w:rsidR="00BC2E12">
              <w:rPr>
                <w:sz w:val="24"/>
                <w:szCs w:val="24"/>
              </w:rPr>
              <w:t xml:space="preserve"> </w:t>
            </w:r>
            <w:r w:rsidRPr="006709CC">
              <w:rPr>
                <w:sz w:val="24"/>
                <w:szCs w:val="24"/>
              </w:rPr>
              <w:t xml:space="preserve">people </w:t>
            </w:r>
            <w:r w:rsidR="00BC2E12">
              <w:rPr>
                <w:sz w:val="24"/>
                <w:szCs w:val="24"/>
              </w:rPr>
              <w:t>with CLL or SLL</w:t>
            </w:r>
            <w:r w:rsidR="00575D0E">
              <w:rPr>
                <w:sz w:val="24"/>
                <w:szCs w:val="24"/>
              </w:rPr>
              <w:t>, including if they have</w:t>
            </w:r>
            <w:r w:rsidRPr="006709CC">
              <w:rPr>
                <w:sz w:val="24"/>
                <w:szCs w:val="24"/>
              </w:rPr>
              <w:t xml:space="preserve"> a </w:t>
            </w:r>
            <w:r w:rsidRPr="00A95EEE">
              <w:rPr>
                <w:i/>
                <w:sz w:val="24"/>
                <w:szCs w:val="24"/>
              </w:rPr>
              <w:t>17p</w:t>
            </w:r>
            <w:r w:rsidRPr="006709CC">
              <w:rPr>
                <w:sz w:val="24"/>
                <w:szCs w:val="24"/>
              </w:rPr>
              <w:t xml:space="preserve"> deletion.</w:t>
            </w:r>
          </w:p>
          <w:p w14:paraId="5C5C2515" w14:textId="31618396" w:rsidR="00474B66" w:rsidRPr="006709CC" w:rsidRDefault="00474B66" w:rsidP="006709CC">
            <w:pPr>
              <w:pStyle w:val="Default"/>
              <w:spacing w:after="120"/>
              <w:rPr>
                <w:b/>
                <w:color w:val="auto"/>
                <w:sz w:val="24"/>
                <w:szCs w:val="24"/>
              </w:rPr>
            </w:pPr>
            <w:r w:rsidRPr="006709CC">
              <w:rPr>
                <w:b/>
                <w:color w:val="auto"/>
                <w:sz w:val="24"/>
                <w:szCs w:val="24"/>
              </w:rPr>
              <w:t>MSAC’s advice to the Commonwealth Minister f</w:t>
            </w:r>
            <w:r w:rsidR="00575D0E">
              <w:rPr>
                <w:b/>
                <w:color w:val="auto"/>
                <w:sz w:val="24"/>
                <w:szCs w:val="24"/>
              </w:rPr>
              <w:t>or</w:t>
            </w:r>
            <w:r w:rsidRPr="006709CC">
              <w:rPr>
                <w:b/>
                <w:color w:val="auto"/>
                <w:sz w:val="24"/>
                <w:szCs w:val="24"/>
              </w:rPr>
              <w:t xml:space="preserve"> Health</w:t>
            </w:r>
          </w:p>
          <w:p w14:paraId="04B573DA" w14:textId="7B3C1A58" w:rsidR="00026921" w:rsidRPr="00026921" w:rsidRDefault="0026599B" w:rsidP="000E7594">
            <w:pPr>
              <w:pStyle w:val="Default"/>
              <w:spacing w:after="240"/>
              <w:rPr>
                <w:i/>
                <w:color w:val="auto"/>
              </w:rPr>
            </w:pPr>
            <w:r>
              <w:rPr>
                <w:sz w:val="24"/>
                <w:szCs w:val="24"/>
              </w:rPr>
              <w:t>T</w:t>
            </w:r>
            <w:r w:rsidR="00026921" w:rsidRPr="006709CC">
              <w:rPr>
                <w:sz w:val="24"/>
                <w:szCs w:val="24"/>
              </w:rPr>
              <w:t>he Medical Services Advisory Committee (MSAC) ha</w:t>
            </w:r>
            <w:r>
              <w:rPr>
                <w:sz w:val="24"/>
                <w:szCs w:val="24"/>
              </w:rPr>
              <w:t>s</w:t>
            </w:r>
            <w:r w:rsidR="00026921" w:rsidRPr="006709CC">
              <w:rPr>
                <w:sz w:val="24"/>
                <w:szCs w:val="24"/>
              </w:rPr>
              <w:t xml:space="preserve"> </w:t>
            </w:r>
            <w:r w:rsidR="00575D0E">
              <w:rPr>
                <w:sz w:val="24"/>
                <w:szCs w:val="24"/>
              </w:rPr>
              <w:t>previously advised</w:t>
            </w:r>
            <w:r w:rsidR="00026921" w:rsidRPr="006709CC">
              <w:rPr>
                <w:sz w:val="24"/>
                <w:szCs w:val="24"/>
              </w:rPr>
              <w:t xml:space="preserve"> that </w:t>
            </w:r>
            <w:r w:rsidR="00026921" w:rsidRPr="00A95EEE">
              <w:rPr>
                <w:i/>
                <w:sz w:val="24"/>
                <w:szCs w:val="24"/>
              </w:rPr>
              <w:t>17p</w:t>
            </w:r>
            <w:r w:rsidR="00026921" w:rsidRPr="006709CC">
              <w:rPr>
                <w:sz w:val="24"/>
                <w:szCs w:val="24"/>
              </w:rPr>
              <w:t xml:space="preserve"> deletion testing is safe, </w:t>
            </w:r>
            <w:r w:rsidR="000C7D51">
              <w:rPr>
                <w:sz w:val="24"/>
                <w:szCs w:val="24"/>
              </w:rPr>
              <w:t xml:space="preserve">clinically </w:t>
            </w:r>
            <w:r w:rsidR="00026921" w:rsidRPr="006709CC">
              <w:rPr>
                <w:sz w:val="24"/>
                <w:szCs w:val="24"/>
              </w:rPr>
              <w:t xml:space="preserve">effective and cost-effective. </w:t>
            </w:r>
            <w:r w:rsidR="00BC2A21">
              <w:rPr>
                <w:sz w:val="24"/>
                <w:szCs w:val="24"/>
              </w:rPr>
              <w:t xml:space="preserve">As </w:t>
            </w:r>
            <w:r w:rsidR="00026921" w:rsidRPr="006709CC">
              <w:rPr>
                <w:sz w:val="24"/>
                <w:szCs w:val="24"/>
              </w:rPr>
              <w:t xml:space="preserve">the </w:t>
            </w:r>
            <w:r w:rsidR="0059445B" w:rsidRPr="006709CC">
              <w:rPr>
                <w:sz w:val="24"/>
                <w:szCs w:val="24"/>
              </w:rPr>
              <w:t>PBAC</w:t>
            </w:r>
            <w:r w:rsidR="00026921" w:rsidRPr="006709CC">
              <w:rPr>
                <w:sz w:val="24"/>
                <w:szCs w:val="24"/>
              </w:rPr>
              <w:t xml:space="preserve"> </w:t>
            </w:r>
            <w:r w:rsidR="00BC2A21">
              <w:rPr>
                <w:sz w:val="24"/>
                <w:szCs w:val="24"/>
              </w:rPr>
              <w:t>has</w:t>
            </w:r>
            <w:r w:rsidR="00026921" w:rsidRPr="006709CC">
              <w:rPr>
                <w:sz w:val="24"/>
                <w:szCs w:val="24"/>
              </w:rPr>
              <w:t xml:space="preserve"> </w:t>
            </w:r>
            <w:r w:rsidR="00575D0E">
              <w:rPr>
                <w:sz w:val="24"/>
                <w:szCs w:val="24"/>
              </w:rPr>
              <w:t>recommended the listing of</w:t>
            </w:r>
            <w:r w:rsidR="00026921" w:rsidRPr="006709CC">
              <w:rPr>
                <w:sz w:val="24"/>
                <w:szCs w:val="24"/>
              </w:rPr>
              <w:t xml:space="preserve"> acalabrutinib on the PBS, MSAC </w:t>
            </w:r>
            <w:r w:rsidR="00575D0E">
              <w:rPr>
                <w:sz w:val="24"/>
                <w:szCs w:val="24"/>
              </w:rPr>
              <w:t xml:space="preserve">supported the funding of </w:t>
            </w:r>
            <w:r w:rsidR="00026921" w:rsidRPr="00A95EEE">
              <w:rPr>
                <w:i/>
                <w:sz w:val="24"/>
                <w:szCs w:val="24"/>
              </w:rPr>
              <w:t>17p</w:t>
            </w:r>
            <w:r w:rsidR="00026921" w:rsidRPr="006709CC">
              <w:rPr>
                <w:sz w:val="24"/>
                <w:szCs w:val="24"/>
              </w:rPr>
              <w:t xml:space="preserve"> deletion testing </w:t>
            </w:r>
            <w:r w:rsidR="00BC2A21">
              <w:rPr>
                <w:sz w:val="24"/>
                <w:szCs w:val="24"/>
              </w:rPr>
              <w:t>to</w:t>
            </w:r>
            <w:r w:rsidR="00026921" w:rsidRPr="006709CC">
              <w:rPr>
                <w:sz w:val="24"/>
                <w:szCs w:val="24"/>
              </w:rPr>
              <w:t xml:space="preserve"> </w:t>
            </w:r>
            <w:r w:rsidR="00575D0E">
              <w:rPr>
                <w:sz w:val="24"/>
                <w:szCs w:val="24"/>
              </w:rPr>
              <w:t xml:space="preserve">help </w:t>
            </w:r>
            <w:r w:rsidR="000E7594">
              <w:rPr>
                <w:sz w:val="24"/>
                <w:szCs w:val="24"/>
              </w:rPr>
              <w:t xml:space="preserve">patients with CLL or SLL know whether they have </w:t>
            </w:r>
            <w:r w:rsidR="00026921" w:rsidRPr="006709CC">
              <w:rPr>
                <w:sz w:val="24"/>
                <w:szCs w:val="24"/>
              </w:rPr>
              <w:t xml:space="preserve">access </w:t>
            </w:r>
            <w:r w:rsidR="00575D0E">
              <w:rPr>
                <w:sz w:val="24"/>
                <w:szCs w:val="24"/>
              </w:rPr>
              <w:t xml:space="preserve">to PBS-subsidised </w:t>
            </w:r>
            <w:r w:rsidR="00026921" w:rsidRPr="006709CC">
              <w:rPr>
                <w:sz w:val="24"/>
                <w:szCs w:val="24"/>
              </w:rPr>
              <w:t>acalabrutinib.</w:t>
            </w:r>
          </w:p>
        </w:tc>
      </w:tr>
    </w:tbl>
    <w:p w14:paraId="2CB7805D" w14:textId="12353954" w:rsidR="00474B66" w:rsidRPr="00F715D1" w:rsidRDefault="00474B66" w:rsidP="00474B66">
      <w:pPr>
        <w:pStyle w:val="Heading1"/>
      </w:pPr>
      <w:r w:rsidRPr="00F715D1">
        <w:t>Summary of consideration and rationale for MSAC’s advice</w:t>
      </w:r>
    </w:p>
    <w:p w14:paraId="31A26FD1" w14:textId="2D0AB15F" w:rsidR="0059445B" w:rsidRDefault="0059445B" w:rsidP="004252AA">
      <w:pPr>
        <w:pStyle w:val="Default"/>
        <w:spacing w:after="240"/>
      </w:pPr>
      <w:r>
        <w:t xml:space="preserve">MSAC noted that this was a streamlined minor submission for </w:t>
      </w:r>
      <w:r w:rsidRPr="00402595">
        <w:t xml:space="preserve">proposed (further) amendment of MBS item 73343 to allow </w:t>
      </w:r>
      <w:r w:rsidRPr="00A95EEE">
        <w:rPr>
          <w:i/>
        </w:rPr>
        <w:t>17p</w:t>
      </w:r>
      <w:r w:rsidRPr="00402595">
        <w:t xml:space="preserve"> deletion</w:t>
      </w:r>
      <w:r>
        <w:t xml:space="preserve"> testing</w:t>
      </w:r>
      <w:r w:rsidRPr="00402595">
        <w:t xml:space="preserve"> </w:t>
      </w:r>
      <w:r w:rsidR="00BC2A21">
        <w:t>of certain patients with CLL or SLL</w:t>
      </w:r>
      <w:r w:rsidR="00BC2A21" w:rsidRPr="00402595">
        <w:t xml:space="preserve"> </w:t>
      </w:r>
      <w:r w:rsidRPr="00402595">
        <w:t xml:space="preserve">to </w:t>
      </w:r>
      <w:r w:rsidR="00BC2A21">
        <w:t xml:space="preserve">help determine eligibility for </w:t>
      </w:r>
      <w:r>
        <w:t>a</w:t>
      </w:r>
      <w:r w:rsidRPr="00402595">
        <w:t xml:space="preserve">calabrutinib </w:t>
      </w:r>
      <w:r w:rsidR="00BC2A21">
        <w:t>under the PBS</w:t>
      </w:r>
      <w:r w:rsidRPr="00E66DFB">
        <w:t>.</w:t>
      </w:r>
    </w:p>
    <w:p w14:paraId="3FA86657" w14:textId="677F10DC" w:rsidR="0059445B" w:rsidRPr="001321BE" w:rsidRDefault="0059445B" w:rsidP="004252AA">
      <w:pPr>
        <w:pStyle w:val="Default"/>
        <w:spacing w:after="240"/>
      </w:pPr>
      <w:r w:rsidRPr="001321BE">
        <w:t xml:space="preserve">MSAC noted that the </w:t>
      </w:r>
      <w:r w:rsidR="00575D0E">
        <w:t xml:space="preserve">March 2020 PBAC meeting recommended that </w:t>
      </w:r>
      <w:r w:rsidRPr="001321BE">
        <w:t>acalabrutinib</w:t>
      </w:r>
      <w:r>
        <w:t xml:space="preserve"> </w:t>
      </w:r>
      <w:r w:rsidR="00575D0E">
        <w:t>be listed on the PBS</w:t>
      </w:r>
      <w:r>
        <w:t xml:space="preserve"> as a second-line treatment for CLL</w:t>
      </w:r>
      <w:r w:rsidR="00575D0E">
        <w:t xml:space="preserve"> or </w:t>
      </w:r>
      <w:r>
        <w:t>SLL.</w:t>
      </w:r>
    </w:p>
    <w:p w14:paraId="3A6AE109" w14:textId="4BCB9595" w:rsidR="0059445B" w:rsidRDefault="000C7D51" w:rsidP="004252AA">
      <w:pPr>
        <w:pStyle w:val="Default"/>
        <w:spacing w:after="240"/>
      </w:pPr>
      <w:r>
        <w:t>The</w:t>
      </w:r>
      <w:r w:rsidR="0059445B" w:rsidRPr="00402595">
        <w:t xml:space="preserve"> </w:t>
      </w:r>
      <w:r w:rsidR="0059445B">
        <w:t>medicines</w:t>
      </w:r>
      <w:r w:rsidR="0059445B" w:rsidRPr="00402595">
        <w:t xml:space="preserve"> </w:t>
      </w:r>
      <w:r w:rsidR="0059445B">
        <w:t>(</w:t>
      </w:r>
      <w:r w:rsidR="0059445B" w:rsidRPr="00402595">
        <w:t>ibrutinib,</w:t>
      </w:r>
      <w:r w:rsidR="0059445B">
        <w:t xml:space="preserve"> </w:t>
      </w:r>
      <w:r w:rsidR="0059445B" w:rsidRPr="00402595">
        <w:t>idelalisib,</w:t>
      </w:r>
      <w:r w:rsidR="0059445B">
        <w:t xml:space="preserve"> </w:t>
      </w:r>
      <w:r w:rsidR="00575D0E">
        <w:t>and</w:t>
      </w:r>
      <w:r w:rsidR="0059445B" w:rsidRPr="00402595">
        <w:t xml:space="preserve"> </w:t>
      </w:r>
      <w:r w:rsidR="0059445B">
        <w:t xml:space="preserve">venetoclax) </w:t>
      </w:r>
      <w:r w:rsidR="0059445B" w:rsidRPr="00402595">
        <w:t>are</w:t>
      </w:r>
      <w:r w:rsidR="0059445B">
        <w:t xml:space="preserve"> already</w:t>
      </w:r>
      <w:r w:rsidR="0059445B" w:rsidRPr="00402595">
        <w:t xml:space="preserve"> </w:t>
      </w:r>
      <w:r w:rsidR="00575D0E">
        <w:t xml:space="preserve">listed </w:t>
      </w:r>
      <w:r w:rsidR="0059445B" w:rsidRPr="00402595">
        <w:t xml:space="preserve">on the PBS for </w:t>
      </w:r>
      <w:r w:rsidR="00575D0E">
        <w:t>second-line treatment for CLL or SLL. One of the eligibility criteria</w:t>
      </w:r>
      <w:r w:rsidR="00575D0E" w:rsidRPr="00402595">
        <w:t xml:space="preserve"> </w:t>
      </w:r>
      <w:r w:rsidR="00575D0E">
        <w:t xml:space="preserve">for their PBS subsidy is the presence of a </w:t>
      </w:r>
      <w:r>
        <w:t xml:space="preserve">chromosomal </w:t>
      </w:r>
      <w:r w:rsidR="0059445B" w:rsidRPr="00A95EEE">
        <w:rPr>
          <w:i/>
        </w:rPr>
        <w:t>17p</w:t>
      </w:r>
      <w:r w:rsidR="0059445B" w:rsidRPr="00402595">
        <w:t xml:space="preserve"> deletion</w:t>
      </w:r>
      <w:r w:rsidR="0059445B">
        <w:t>, which</w:t>
      </w:r>
      <w:r w:rsidR="0059445B" w:rsidRPr="00402595">
        <w:t xml:space="preserve"> require</w:t>
      </w:r>
      <w:r w:rsidR="00575D0E">
        <w:t>s</w:t>
      </w:r>
      <w:r w:rsidR="0059445B" w:rsidRPr="00402595">
        <w:t xml:space="preserve"> testing</w:t>
      </w:r>
      <w:r w:rsidR="0059445B">
        <w:t xml:space="preserve"> to </w:t>
      </w:r>
      <w:r w:rsidR="00575D0E">
        <w:t xml:space="preserve">detect </w:t>
      </w:r>
      <w:r w:rsidR="00B77DBA">
        <w:t>its</w:t>
      </w:r>
      <w:r w:rsidR="00575D0E">
        <w:t xml:space="preserve"> presence</w:t>
      </w:r>
      <w:r w:rsidR="0059445B">
        <w:t xml:space="preserve">. MSAC </w:t>
      </w:r>
      <w:r w:rsidR="00575D0E">
        <w:t xml:space="preserve">recalled </w:t>
      </w:r>
      <w:r w:rsidR="0059445B">
        <w:t>that it ha</w:t>
      </w:r>
      <w:r w:rsidR="00B77DBA">
        <w:t>d</w:t>
      </w:r>
      <w:r w:rsidR="0059445B">
        <w:t xml:space="preserve"> </w:t>
      </w:r>
      <w:r w:rsidR="00BC2A21">
        <w:t>previously</w:t>
      </w:r>
      <w:r w:rsidR="0059445B">
        <w:t xml:space="preserve"> </w:t>
      </w:r>
      <w:r w:rsidR="00B77DBA">
        <w:t xml:space="preserve">supported </w:t>
      </w:r>
      <w:r w:rsidR="0059445B" w:rsidRPr="00A95EEE">
        <w:rPr>
          <w:i/>
        </w:rPr>
        <w:t>17p</w:t>
      </w:r>
      <w:r w:rsidR="0059445B" w:rsidRPr="003F5734">
        <w:t xml:space="preserve"> </w:t>
      </w:r>
      <w:r w:rsidR="0059445B" w:rsidRPr="00575D0E">
        <w:t>deletion</w:t>
      </w:r>
      <w:r w:rsidR="0059445B" w:rsidRPr="00B77DBA">
        <w:t xml:space="preserve"> t</w:t>
      </w:r>
      <w:r w:rsidR="0059445B" w:rsidRPr="00575D0E">
        <w:t>est</w:t>
      </w:r>
      <w:r w:rsidR="00B77DBA">
        <w:t xml:space="preserve">ing as being </w:t>
      </w:r>
      <w:r w:rsidR="00B77DBA" w:rsidRPr="00402595">
        <w:t>safe, clinically effective and cost</w:t>
      </w:r>
      <w:r w:rsidR="00B77DBA">
        <w:t>-</w:t>
      </w:r>
      <w:r w:rsidR="00B77DBA" w:rsidRPr="00402595">
        <w:t>effective in patients with CLL</w:t>
      </w:r>
      <w:r w:rsidR="003E7472">
        <w:t xml:space="preserve"> or </w:t>
      </w:r>
      <w:r w:rsidR="00B77DBA">
        <w:t xml:space="preserve">SLL, </w:t>
      </w:r>
      <w:r w:rsidR="00BC2A21">
        <w:t xml:space="preserve">which resulted </w:t>
      </w:r>
      <w:r w:rsidR="0059445B" w:rsidRPr="00402595">
        <w:t>in MBS item 73343.</w:t>
      </w:r>
    </w:p>
    <w:p w14:paraId="3A1CEAE1" w14:textId="5C365975" w:rsidR="00474B66" w:rsidRDefault="0059445B" w:rsidP="0059445B">
      <w:pPr>
        <w:spacing w:after="240"/>
      </w:pPr>
      <w:r>
        <w:t xml:space="preserve">MSAC agreed with the applicant’s </w:t>
      </w:r>
      <w:r w:rsidR="00B77DBA">
        <w:t xml:space="preserve">proposals </w:t>
      </w:r>
      <w:r>
        <w:t xml:space="preserve">that there </w:t>
      </w:r>
      <w:r w:rsidR="00B77DBA">
        <w:t>should</w:t>
      </w:r>
      <w:r>
        <w:t xml:space="preserve"> be no </w:t>
      </w:r>
      <w:r w:rsidR="00B77DBA">
        <w:t xml:space="preserve">consequential </w:t>
      </w:r>
      <w:r>
        <w:t>changes to the MBS fee, costs to the MBS</w:t>
      </w:r>
      <w:r w:rsidR="00B77DBA">
        <w:t>,</w:t>
      </w:r>
      <w:r>
        <w:t xml:space="preserve"> or testing strategy. </w:t>
      </w:r>
      <w:r w:rsidR="00B77DBA">
        <w:t xml:space="preserve">However, </w:t>
      </w:r>
      <w:r>
        <w:t xml:space="preserve">MSAC </w:t>
      </w:r>
      <w:r w:rsidR="00B77DBA">
        <w:t xml:space="preserve">recalled </w:t>
      </w:r>
      <w:r>
        <w:t>that</w:t>
      </w:r>
      <w:r w:rsidR="00B77DBA">
        <w:t xml:space="preserve">, </w:t>
      </w:r>
      <w:r>
        <w:t xml:space="preserve">during </w:t>
      </w:r>
      <w:r w:rsidR="00B77DBA">
        <w:t xml:space="preserve">its </w:t>
      </w:r>
      <w:r>
        <w:t>November 2019 meeting</w:t>
      </w:r>
      <w:r w:rsidR="004252AA" w:rsidRPr="004252AA">
        <w:t xml:space="preserve"> </w:t>
      </w:r>
      <w:r w:rsidR="004252AA">
        <w:t xml:space="preserve">in the context of MSAC Application 1544, it had supported an amended fee for </w:t>
      </w:r>
      <w:r w:rsidR="004252AA" w:rsidRPr="00A95EEE">
        <w:rPr>
          <w:i/>
        </w:rPr>
        <w:t>17p</w:t>
      </w:r>
      <w:r w:rsidR="004252AA">
        <w:t xml:space="preserve"> deletion testing</w:t>
      </w:r>
      <w:r w:rsidR="009E4ED3">
        <w:t xml:space="preserve"> to allow for a different technology to be used</w:t>
      </w:r>
      <w:r>
        <w:t xml:space="preserve">, and </w:t>
      </w:r>
      <w:r w:rsidR="00B77DBA">
        <w:t xml:space="preserve">confirmed </w:t>
      </w:r>
      <w:r>
        <w:t xml:space="preserve">that the </w:t>
      </w:r>
      <w:r w:rsidR="00B77DBA">
        <w:t xml:space="preserve">amended </w:t>
      </w:r>
      <w:r>
        <w:t>fee is still appropriate.</w:t>
      </w:r>
      <w:r w:rsidR="00827259">
        <w:t xml:space="preserve"> It was noted that the applicant for MSAC Application 1607 would not have been aware of this decision at the time of providing </w:t>
      </w:r>
      <w:r w:rsidR="0026599B">
        <w:t>its</w:t>
      </w:r>
      <w:r w:rsidR="00827259">
        <w:t xml:space="preserve"> minor submission. </w:t>
      </w:r>
    </w:p>
    <w:p w14:paraId="52DD7D66" w14:textId="77777777" w:rsidR="0059445B" w:rsidRDefault="0059445B" w:rsidP="0059445B">
      <w:pPr>
        <w:pStyle w:val="Heading2"/>
      </w:pPr>
      <w:r w:rsidRPr="00972B87">
        <w:lastRenderedPageBreak/>
        <w:t>Other discussion</w:t>
      </w:r>
    </w:p>
    <w:p w14:paraId="03DA4C0A" w14:textId="6A662DDE" w:rsidR="000C7D51" w:rsidRDefault="0059445B" w:rsidP="004252AA">
      <w:pPr>
        <w:spacing w:after="240"/>
      </w:pPr>
      <w:r>
        <w:t xml:space="preserve">MSAC noted that the </w:t>
      </w:r>
      <w:r w:rsidRPr="001321BE">
        <w:t xml:space="preserve">Department </w:t>
      </w:r>
      <w:r w:rsidR="00827259">
        <w:t xml:space="preserve">will be seeking policy approval for </w:t>
      </w:r>
      <w:r w:rsidRPr="001321BE">
        <w:t>MSAC Application 1560</w:t>
      </w:r>
      <w:r>
        <w:t>, which is an</w:t>
      </w:r>
      <w:r w:rsidRPr="001321BE">
        <w:t xml:space="preserve"> amendment of MBS item 73343 to allow testing for access to ibrutinib for first</w:t>
      </w:r>
      <w:r>
        <w:t>-</w:t>
      </w:r>
      <w:r w:rsidRPr="001321BE">
        <w:t>line treatment</w:t>
      </w:r>
      <w:r>
        <w:t xml:space="preserve"> for </w:t>
      </w:r>
      <w:r w:rsidR="000C7D51">
        <w:t xml:space="preserve">patients with </w:t>
      </w:r>
      <w:r>
        <w:t xml:space="preserve">CLL/SLL, and </w:t>
      </w:r>
      <w:r w:rsidRPr="001321BE">
        <w:t xml:space="preserve">Application 1544 </w:t>
      </w:r>
      <w:r w:rsidR="00827259">
        <w:t xml:space="preserve">which sought </w:t>
      </w:r>
      <w:r w:rsidRPr="001321BE">
        <w:t xml:space="preserve">to amend item </w:t>
      </w:r>
      <w:r w:rsidRPr="00E97FF5">
        <w:t>73292</w:t>
      </w:r>
      <w:r w:rsidR="00827259">
        <w:t xml:space="preserve"> to extend</w:t>
      </w:r>
      <w:r>
        <w:t xml:space="preserve"> </w:t>
      </w:r>
      <w:r w:rsidR="004252AA">
        <w:t>genome-wide</w:t>
      </w:r>
      <w:r>
        <w:t xml:space="preserve"> microarray (</w:t>
      </w:r>
      <w:r w:rsidR="004252AA">
        <w:t>GW</w:t>
      </w:r>
      <w:r>
        <w:t xml:space="preserve">MA) </w:t>
      </w:r>
      <w:r w:rsidR="00827259">
        <w:t xml:space="preserve">to </w:t>
      </w:r>
      <w:r>
        <w:t>people with CLL</w:t>
      </w:r>
      <w:r w:rsidR="00827259">
        <w:t>, SLL</w:t>
      </w:r>
      <w:r>
        <w:t xml:space="preserve"> and multiple myeloma (MM)</w:t>
      </w:r>
      <w:r w:rsidRPr="001321BE">
        <w:t xml:space="preserve">. </w:t>
      </w:r>
    </w:p>
    <w:p w14:paraId="1F05A885" w14:textId="33387381" w:rsidR="0059445B" w:rsidRDefault="0059445B" w:rsidP="0059445B">
      <w:pPr>
        <w:spacing w:after="240"/>
        <w:rPr>
          <w:i/>
          <w:szCs w:val="24"/>
        </w:rPr>
      </w:pPr>
      <w:r>
        <w:t xml:space="preserve">MSAC noted that </w:t>
      </w:r>
      <w:r w:rsidR="004B18E5">
        <w:t xml:space="preserve">implementation of </w:t>
      </w:r>
      <w:r>
        <w:t xml:space="preserve">all of the related CLL/SLL/MM and </w:t>
      </w:r>
      <w:r w:rsidRPr="00A95EEE">
        <w:rPr>
          <w:i/>
        </w:rPr>
        <w:t>17p</w:t>
      </w:r>
      <w:r>
        <w:t xml:space="preserve"> testing (FISH/</w:t>
      </w:r>
      <w:r w:rsidR="003E7472">
        <w:t>GW</w:t>
      </w:r>
      <w:r>
        <w:t>MA) MBS items need</w:t>
      </w:r>
      <w:r w:rsidR="004B18E5">
        <w:t>s</w:t>
      </w:r>
      <w:r>
        <w:t xml:space="preserve"> to </w:t>
      </w:r>
      <w:r w:rsidR="004B18E5">
        <w:t>avoid any unintended contradictions over time, including with respect to their coordinated PBS restrictions</w:t>
      </w:r>
      <w:r>
        <w:t xml:space="preserve">. MSAC suggested that the Department should review the timing of </w:t>
      </w:r>
      <w:r w:rsidR="00422032">
        <w:t>the implementation of the various inter-related applications</w:t>
      </w:r>
      <w:r>
        <w:t xml:space="preserve"> </w:t>
      </w:r>
      <w:r w:rsidR="00422032">
        <w:t>to</w:t>
      </w:r>
      <w:r>
        <w:t xml:space="preserve"> ensure the </w:t>
      </w:r>
      <w:r w:rsidR="00422032">
        <w:t xml:space="preserve">item </w:t>
      </w:r>
      <w:r>
        <w:t xml:space="preserve">descriptors </w:t>
      </w:r>
      <w:r w:rsidR="00422032">
        <w:t>and fees remain</w:t>
      </w:r>
      <w:r>
        <w:t xml:space="preserve"> </w:t>
      </w:r>
      <w:r w:rsidR="00422032">
        <w:t xml:space="preserve">appropriately </w:t>
      </w:r>
      <w:r>
        <w:t xml:space="preserve">aligned, and </w:t>
      </w:r>
      <w:r w:rsidR="00422032">
        <w:t xml:space="preserve">thus update </w:t>
      </w:r>
      <w:r>
        <w:t>the MSAC Executive.</w:t>
      </w:r>
    </w:p>
    <w:p w14:paraId="026B8C03" w14:textId="77777777" w:rsidR="00474B66" w:rsidRPr="00F715D1" w:rsidRDefault="00474B66" w:rsidP="00474B66">
      <w:pPr>
        <w:pStyle w:val="Heading1"/>
      </w:pPr>
      <w:r w:rsidRPr="00F715D1">
        <w:t>Background</w:t>
      </w:r>
    </w:p>
    <w:p w14:paraId="72E7137F" w14:textId="33B2195B" w:rsidR="00B32DCC" w:rsidRDefault="00B32DCC" w:rsidP="00B32DCC">
      <w:pPr>
        <w:spacing w:after="240"/>
        <w:rPr>
          <w:rFonts w:cs="Arial"/>
        </w:rPr>
      </w:pPr>
      <w:r>
        <w:rPr>
          <w:rFonts w:cs="Arial"/>
        </w:rPr>
        <w:t xml:space="preserve">In April 2017, MSAC supported the listing of </w:t>
      </w:r>
      <w:r>
        <w:rPr>
          <w:rFonts w:cs="Arial"/>
          <w:i/>
        </w:rPr>
        <w:t>del(17p)</w:t>
      </w:r>
      <w:r>
        <w:rPr>
          <w:rFonts w:cs="Arial"/>
        </w:rPr>
        <w:t xml:space="preserve"> testing as a codependent test to support access to the kinase inhibitors idelalisib and ibrutinib, which were both earlier recommended by PBAC for listing on the PBS for the treatment of patients with relapsed or refractory CLL or relapsed or refractory SLL whose disease is characterised by a chromosome </w:t>
      </w:r>
      <w:r w:rsidRPr="00A95EEE">
        <w:rPr>
          <w:rFonts w:cs="Arial"/>
          <w:i/>
        </w:rPr>
        <w:t>17p</w:t>
      </w:r>
      <w:r>
        <w:rPr>
          <w:rFonts w:cs="Arial"/>
        </w:rPr>
        <w:t xml:space="preserve"> deletion (see </w:t>
      </w:r>
      <w:hyperlink r:id="rId11" w:tooltip="Link to MSAC web page for application 1456" w:history="1">
        <w:r w:rsidRPr="00761D5C">
          <w:rPr>
            <w:rStyle w:val="Hyperlink"/>
            <w:rFonts w:cs="Arial"/>
          </w:rPr>
          <w:t>Public Summary Document [PSD] for Application 1456</w:t>
        </w:r>
      </w:hyperlink>
      <w:r>
        <w:rPr>
          <w:rFonts w:cs="Arial"/>
        </w:rPr>
        <w:t>, MSAC 69</w:t>
      </w:r>
      <w:r w:rsidRPr="00F32D80">
        <w:rPr>
          <w:rFonts w:cs="Arial"/>
          <w:vertAlign w:val="superscript"/>
        </w:rPr>
        <w:t>th</w:t>
      </w:r>
      <w:r>
        <w:rPr>
          <w:rFonts w:cs="Arial"/>
        </w:rPr>
        <w:t xml:space="preserve"> Meeting, 6-7 April 2017).</w:t>
      </w:r>
    </w:p>
    <w:p w14:paraId="25E3E920" w14:textId="69A44392" w:rsidR="00B32DCC" w:rsidRDefault="00B32DCC" w:rsidP="004252AA">
      <w:pPr>
        <w:pStyle w:val="Default"/>
        <w:spacing w:after="240"/>
        <w:rPr>
          <w:rFonts w:cs="Arial"/>
        </w:rPr>
      </w:pPr>
      <w:r>
        <w:rPr>
          <w:rFonts w:cs="Arial"/>
        </w:rPr>
        <w:t xml:space="preserve">In November 2018, MSAC supported amending MBS item 73343 to include </w:t>
      </w:r>
      <w:r>
        <w:rPr>
          <w:rFonts w:cs="Arial"/>
          <w:i/>
        </w:rPr>
        <w:t>del(17p)</w:t>
      </w:r>
      <w:r>
        <w:rPr>
          <w:rFonts w:cs="Arial"/>
        </w:rPr>
        <w:t xml:space="preserve"> </w:t>
      </w:r>
      <w:r w:rsidRPr="004252AA">
        <w:t>deletion</w:t>
      </w:r>
      <w:r>
        <w:rPr>
          <w:rFonts w:cs="Arial"/>
        </w:rPr>
        <w:t xml:space="preserve"> testing in patients with relapsed or refractory CLL to determine access to venetoclax under the PBS (</w:t>
      </w:r>
      <w:hyperlink r:id="rId12" w:tooltip="Link to MSAC web page for application 1456" w:history="1">
        <w:r w:rsidRPr="00761D5C">
          <w:rPr>
            <w:rStyle w:val="Hyperlink"/>
            <w:rFonts w:cs="Arial"/>
          </w:rPr>
          <w:t>see PSD for Application 1456</w:t>
        </w:r>
      </w:hyperlink>
      <w:r>
        <w:rPr>
          <w:rFonts w:cs="Arial"/>
        </w:rPr>
        <w:t>, MSAC 74</w:t>
      </w:r>
      <w:r w:rsidRPr="00F32D80">
        <w:rPr>
          <w:rFonts w:cs="Arial"/>
          <w:vertAlign w:val="superscript"/>
        </w:rPr>
        <w:t>th</w:t>
      </w:r>
      <w:r>
        <w:rPr>
          <w:rFonts w:cs="Arial"/>
        </w:rPr>
        <w:t xml:space="preserve"> Meeting, 22-23 November 2018).</w:t>
      </w:r>
    </w:p>
    <w:p w14:paraId="54C1608D" w14:textId="63C54475" w:rsidR="00B32DCC" w:rsidRDefault="00B32DCC" w:rsidP="004252AA">
      <w:pPr>
        <w:pStyle w:val="Default"/>
        <w:spacing w:after="240"/>
      </w:pPr>
      <w:r>
        <w:t xml:space="preserve">In </w:t>
      </w:r>
      <w:r w:rsidR="008A02AF">
        <w:t>Nov</w:t>
      </w:r>
      <w:r>
        <w:t>ember 2019, MSAC supported the modification of existing MBS item 73343, to expand the eligible population for this test to include previously untreated patients and to limit the testing to no more frequently than one test per year.</w:t>
      </w:r>
      <w:r w:rsidR="00F32D80">
        <w:t xml:space="preserve"> </w:t>
      </w:r>
      <w:r>
        <w:t xml:space="preserve">MSAC advised that implementation of this advice should not necessarily be impeded by the implementation of its related advice from Application 1544 (see </w:t>
      </w:r>
      <w:hyperlink r:id="rId13" w:tooltip="Link to MSAC web page for application 1560" w:history="1">
        <w:r w:rsidRPr="00761D5C">
          <w:rPr>
            <w:rStyle w:val="Hyperlink"/>
          </w:rPr>
          <w:t>PSD for Application 1560</w:t>
        </w:r>
      </w:hyperlink>
      <w:r>
        <w:t>, MSAC 77</w:t>
      </w:r>
      <w:r w:rsidRPr="00761D5C">
        <w:rPr>
          <w:vertAlign w:val="superscript"/>
        </w:rPr>
        <w:t>th</w:t>
      </w:r>
      <w:r>
        <w:t xml:space="preserve"> Meeting, 28-29 November 2019).</w:t>
      </w:r>
    </w:p>
    <w:p w14:paraId="710D4A1A" w14:textId="703752BB" w:rsidR="00B32DCC" w:rsidRDefault="00F32D80" w:rsidP="004252AA">
      <w:pPr>
        <w:pStyle w:val="Default"/>
        <w:spacing w:after="240"/>
      </w:pPr>
      <w:r>
        <w:t>Also i</w:t>
      </w:r>
      <w:r w:rsidR="00B32DCC">
        <w:t xml:space="preserve">n </w:t>
      </w:r>
      <w:r>
        <w:t>Nov</w:t>
      </w:r>
      <w:r w:rsidR="00B32DCC">
        <w:t xml:space="preserve">ember 2019, MSAC supported </w:t>
      </w:r>
      <w:r>
        <w:t xml:space="preserve">the </w:t>
      </w:r>
      <w:r w:rsidR="00B32DCC">
        <w:t xml:space="preserve">amendment of MBS item 73343 to allow for </w:t>
      </w:r>
      <w:r>
        <w:t>genome wide micro-a</w:t>
      </w:r>
      <w:r w:rsidR="00B32DCC">
        <w:t>rray (GWMA) testing, with a consequential increase in fee</w:t>
      </w:r>
      <w:r>
        <w:t xml:space="preserve"> (see </w:t>
      </w:r>
      <w:hyperlink r:id="rId14" w:tooltip="Link to MSAC web page for application 1544" w:history="1">
        <w:r w:rsidRPr="00F32D80">
          <w:rPr>
            <w:rStyle w:val="Hyperlink"/>
          </w:rPr>
          <w:t>PSD for Application 1544</w:t>
        </w:r>
      </w:hyperlink>
      <w:r>
        <w:t>, MSAC 77</w:t>
      </w:r>
      <w:r w:rsidRPr="00761D5C">
        <w:rPr>
          <w:vertAlign w:val="superscript"/>
        </w:rPr>
        <w:t>th</w:t>
      </w:r>
      <w:r>
        <w:t xml:space="preserve"> Meeting, 28-29 November 2019)</w:t>
      </w:r>
      <w:r w:rsidR="00B32DCC">
        <w:t>. Implementation of this proposed amendment is also progressing, but likely to occur after any changes resulting from Application 1560, outlined above.</w:t>
      </w:r>
    </w:p>
    <w:p w14:paraId="3B523D50" w14:textId="30602701" w:rsidR="00B32DCC" w:rsidRDefault="0022006A">
      <w:pPr>
        <w:pStyle w:val="Default"/>
        <w:spacing w:after="240"/>
      </w:pPr>
      <w:r>
        <w:t>There are a number of</w:t>
      </w:r>
      <w:r w:rsidR="00B32DCC">
        <w:t xml:space="preserve"> MSAC supported amendments </w:t>
      </w:r>
      <w:r>
        <w:t>to MBS item 73343 (</w:t>
      </w:r>
      <w:r w:rsidR="00B32DCC">
        <w:t xml:space="preserve">in </w:t>
      </w:r>
      <w:r w:rsidR="00B32DCC" w:rsidRPr="00960D91">
        <w:t>Application</w:t>
      </w:r>
      <w:r w:rsidR="004B18E5">
        <w:t>s</w:t>
      </w:r>
      <w:r w:rsidR="00B32DCC" w:rsidRPr="00960D91">
        <w:t xml:space="preserve"> 1544</w:t>
      </w:r>
      <w:r>
        <w:t xml:space="preserve"> and 1560) that require Government consideration. Should these amendments </w:t>
      </w:r>
      <w:r w:rsidR="00997DC4">
        <w:t xml:space="preserve">receive policy approval, </w:t>
      </w:r>
      <w:r w:rsidR="00B32DCC">
        <w:t xml:space="preserve">the </w:t>
      </w:r>
      <w:r w:rsidR="00960D91">
        <w:t xml:space="preserve">following </w:t>
      </w:r>
      <w:r w:rsidR="00F32D80">
        <w:t xml:space="preserve">proposed </w:t>
      </w:r>
      <w:r w:rsidR="00B32DCC">
        <w:t xml:space="preserve">MBS </w:t>
      </w:r>
      <w:r w:rsidR="00F32D80">
        <w:t xml:space="preserve">item </w:t>
      </w:r>
      <w:r w:rsidR="00B32DCC">
        <w:t xml:space="preserve">descriptor </w:t>
      </w:r>
      <w:r w:rsidR="00997DC4">
        <w:t>would be</w:t>
      </w:r>
      <w:r w:rsidR="00B32DCC">
        <w:t>:</w:t>
      </w:r>
    </w:p>
    <w:p w14:paraId="6D0A9B53" w14:textId="246F0B5A" w:rsidR="00B32DCC" w:rsidRPr="005924D4" w:rsidRDefault="00B32DCC" w:rsidP="002E4260">
      <w:pPr>
        <w:keepNext/>
        <w:keepLines/>
        <w:pBdr>
          <w:top w:val="single" w:sz="4" w:space="1" w:color="auto"/>
          <w:left w:val="single" w:sz="4" w:space="4" w:color="auto"/>
          <w:bottom w:val="single" w:sz="4" w:space="1" w:color="auto"/>
          <w:right w:val="single" w:sz="4" w:space="4" w:color="auto"/>
          <w:between w:val="single" w:sz="4" w:space="1" w:color="auto"/>
        </w:pBdr>
        <w:ind w:left="142"/>
        <w:jc w:val="both"/>
        <w:rPr>
          <w:rFonts w:ascii="Arial Narrow" w:hAnsi="Arial Narrow"/>
          <w:sz w:val="20"/>
        </w:rPr>
      </w:pPr>
      <w:r w:rsidRPr="005924D4">
        <w:rPr>
          <w:rFonts w:ascii="Arial Narrow" w:hAnsi="Arial Narrow"/>
          <w:sz w:val="20"/>
        </w:rPr>
        <w:lastRenderedPageBreak/>
        <w:t>MBS Item 73343</w:t>
      </w:r>
      <w:r w:rsidR="009F2CB4" w:rsidRPr="005924D4">
        <w:rPr>
          <w:rFonts w:ascii="Arial Narrow" w:hAnsi="Arial Narrow"/>
          <w:sz w:val="20"/>
        </w:rPr>
        <w:tab/>
      </w:r>
      <w:r w:rsidR="009F2CB4" w:rsidRPr="005924D4">
        <w:rPr>
          <w:rFonts w:ascii="Arial Narrow" w:hAnsi="Arial Narrow"/>
          <w:sz w:val="20"/>
        </w:rPr>
        <w:tab/>
      </w:r>
      <w:r w:rsidR="00960D91" w:rsidRPr="005924D4">
        <w:rPr>
          <w:rFonts w:ascii="Arial Narrow" w:hAnsi="Arial Narrow"/>
          <w:sz w:val="20"/>
        </w:rPr>
        <w:t>Category 6 – PATHOLOGY SERVICES</w:t>
      </w:r>
    </w:p>
    <w:p w14:paraId="4AF5B8B0" w14:textId="77777777" w:rsidR="00B32DCC" w:rsidRPr="005924D4" w:rsidRDefault="00B32DCC" w:rsidP="002E4260">
      <w:pPr>
        <w:keepNext/>
        <w:keepLines/>
        <w:pBdr>
          <w:top w:val="single" w:sz="4" w:space="1" w:color="auto"/>
          <w:left w:val="single" w:sz="4" w:space="4" w:color="auto"/>
          <w:bottom w:val="single" w:sz="4" w:space="1" w:color="auto"/>
          <w:right w:val="single" w:sz="4" w:space="4" w:color="auto"/>
          <w:between w:val="single" w:sz="4" w:space="1" w:color="auto"/>
        </w:pBdr>
        <w:ind w:left="142"/>
        <w:jc w:val="right"/>
        <w:rPr>
          <w:rFonts w:ascii="Arial Narrow" w:hAnsi="Arial Narrow"/>
          <w:sz w:val="20"/>
        </w:rPr>
      </w:pPr>
      <w:r w:rsidRPr="005924D4">
        <w:rPr>
          <w:rFonts w:ascii="Arial Narrow" w:hAnsi="Arial Narrow"/>
          <w:sz w:val="20"/>
        </w:rPr>
        <w:t>Group P7 Genetics</w:t>
      </w:r>
    </w:p>
    <w:p w14:paraId="4FBB0364" w14:textId="77777777" w:rsidR="00B32DCC" w:rsidRPr="005924D4" w:rsidRDefault="00B32DCC" w:rsidP="002E4260">
      <w:pPr>
        <w:keepNext/>
        <w:keepLines/>
        <w:pBdr>
          <w:top w:val="single" w:sz="4" w:space="1" w:color="auto"/>
          <w:left w:val="single" w:sz="4" w:space="4" w:color="auto"/>
          <w:bottom w:val="single" w:sz="4" w:space="1" w:color="auto"/>
          <w:right w:val="single" w:sz="4" w:space="4" w:color="auto"/>
        </w:pBdr>
        <w:ind w:left="142"/>
        <w:jc w:val="both"/>
        <w:rPr>
          <w:rFonts w:ascii="Arial Narrow" w:hAnsi="Arial Narrow"/>
          <w:sz w:val="20"/>
        </w:rPr>
      </w:pPr>
      <w:r w:rsidRPr="005924D4">
        <w:rPr>
          <w:rFonts w:ascii="Arial Narrow" w:hAnsi="Arial Narrow"/>
          <w:sz w:val="20"/>
        </w:rPr>
        <w:t xml:space="preserve">Detection of 17p chromosomal deletions by fluorescence </w:t>
      </w:r>
      <w:r w:rsidRPr="005924D4">
        <w:rPr>
          <w:rFonts w:ascii="Arial Narrow" w:hAnsi="Arial Narrow"/>
          <w:i/>
          <w:sz w:val="20"/>
        </w:rPr>
        <w:t>in situ</w:t>
      </w:r>
      <w:r w:rsidRPr="005924D4">
        <w:rPr>
          <w:rFonts w:ascii="Arial Narrow" w:hAnsi="Arial Narrow"/>
          <w:sz w:val="20"/>
        </w:rPr>
        <w:t xml:space="preserve"> hybridization </w:t>
      </w:r>
      <w:r w:rsidRPr="005924D4">
        <w:rPr>
          <w:rFonts w:ascii="Arial Narrow" w:hAnsi="Arial Narrow"/>
          <w:b/>
          <w:sz w:val="20"/>
        </w:rPr>
        <w:t xml:space="preserve">in a patient </w:t>
      </w:r>
      <w:r w:rsidRPr="005924D4">
        <w:rPr>
          <w:rFonts w:ascii="Arial Narrow" w:hAnsi="Arial Narrow"/>
          <w:sz w:val="20"/>
        </w:rPr>
        <w:t>or</w:t>
      </w:r>
      <w:r w:rsidRPr="005924D4">
        <w:rPr>
          <w:rFonts w:ascii="Arial Narrow" w:hAnsi="Arial Narrow"/>
          <w:b/>
          <w:sz w:val="20"/>
        </w:rPr>
        <w:t xml:space="preserve"> analysis of chromosomes by genome-wide micro-array in diagnostic studies of </w:t>
      </w:r>
      <w:r w:rsidRPr="005924D4">
        <w:rPr>
          <w:rFonts w:ascii="Arial Narrow" w:hAnsi="Arial Narrow"/>
          <w:sz w:val="20"/>
        </w:rPr>
        <w:t xml:space="preserve">a patient with </w:t>
      </w:r>
      <w:r w:rsidRPr="005924D4">
        <w:rPr>
          <w:rFonts w:ascii="Arial Narrow" w:hAnsi="Arial Narrow"/>
          <w:b/>
          <w:strike/>
          <w:sz w:val="20"/>
        </w:rPr>
        <w:t xml:space="preserve"> relapsed or refractory </w:t>
      </w:r>
      <w:r w:rsidRPr="005924D4">
        <w:rPr>
          <w:rFonts w:ascii="Arial Narrow" w:hAnsi="Arial Narrow"/>
          <w:sz w:val="20"/>
        </w:rPr>
        <w:t>chronic lymphocytic leukaemia or small lymphocytic lymphoma, on a peripheral blood or bone marrow sample</w:t>
      </w:r>
      <w:r w:rsidRPr="005924D4">
        <w:rPr>
          <w:rFonts w:ascii="Arial Narrow" w:eastAsia="Calibri" w:hAnsi="Arial Narrow" w:cs="Arial"/>
          <w:sz w:val="20"/>
        </w:rPr>
        <w:t xml:space="preserve"> or </w:t>
      </w:r>
      <w:r w:rsidRPr="005924D4">
        <w:rPr>
          <w:rFonts w:ascii="Arial Narrow" w:hAnsi="Arial Narrow"/>
          <w:b/>
          <w:sz w:val="20"/>
        </w:rPr>
        <w:t>lymph node tissue sample</w:t>
      </w:r>
      <w:r w:rsidRPr="005924D4">
        <w:rPr>
          <w:rFonts w:ascii="Arial Narrow" w:eastAsia="Calibri" w:hAnsi="Arial Narrow" w:cs="Arial"/>
          <w:sz w:val="20"/>
        </w:rPr>
        <w:t xml:space="preserve">, </w:t>
      </w:r>
      <w:r w:rsidRPr="005924D4">
        <w:rPr>
          <w:rFonts w:ascii="Arial Narrow" w:hAnsi="Arial Narrow"/>
          <w:sz w:val="20"/>
        </w:rPr>
        <w:t>requested by a specialist or consultant physician, to determine if the requirements for access to idelalisib, ibrutinib or venetoclax on the Pharmaceutical Benefits Scheme are fulfilled.</w:t>
      </w:r>
    </w:p>
    <w:p w14:paraId="547DE9CB" w14:textId="77777777" w:rsidR="00B32DCC" w:rsidRPr="005924D4" w:rsidRDefault="00B32DCC" w:rsidP="002E4260">
      <w:pPr>
        <w:keepNext/>
        <w:keepLines/>
        <w:pBdr>
          <w:top w:val="single" w:sz="4" w:space="1" w:color="auto"/>
          <w:left w:val="single" w:sz="4" w:space="4" w:color="auto"/>
          <w:bottom w:val="single" w:sz="4" w:space="1" w:color="auto"/>
          <w:right w:val="single" w:sz="4" w:space="4" w:color="auto"/>
        </w:pBdr>
        <w:ind w:left="142"/>
        <w:jc w:val="both"/>
        <w:rPr>
          <w:rFonts w:ascii="Arial Narrow" w:hAnsi="Arial Narrow"/>
          <w:sz w:val="20"/>
        </w:rPr>
      </w:pPr>
    </w:p>
    <w:p w14:paraId="7D7F021C" w14:textId="77777777" w:rsidR="00B32DCC" w:rsidRPr="005924D4" w:rsidRDefault="00B32DCC" w:rsidP="002E4260">
      <w:pPr>
        <w:keepNext/>
        <w:keepLines/>
        <w:pBdr>
          <w:top w:val="single" w:sz="4" w:space="1" w:color="auto"/>
          <w:left w:val="single" w:sz="4" w:space="4" w:color="auto"/>
          <w:bottom w:val="single" w:sz="4" w:space="1" w:color="auto"/>
          <w:right w:val="single" w:sz="4" w:space="4" w:color="auto"/>
        </w:pBdr>
        <w:ind w:left="142"/>
        <w:jc w:val="both"/>
        <w:rPr>
          <w:rFonts w:ascii="Arial Narrow" w:hAnsi="Arial Narrow"/>
          <w:b/>
          <w:strike/>
          <w:sz w:val="20"/>
        </w:rPr>
      </w:pPr>
      <w:r w:rsidRPr="005924D4">
        <w:rPr>
          <w:rFonts w:ascii="Arial Narrow" w:hAnsi="Arial Narrow"/>
          <w:b/>
          <w:strike/>
          <w:sz w:val="20"/>
        </w:rPr>
        <w:t>Fee:  $230.95 Benefit: 75% = $173.25 85% = $196.35</w:t>
      </w:r>
    </w:p>
    <w:p w14:paraId="0C80E58F" w14:textId="77777777" w:rsidR="00B32DCC" w:rsidRPr="005924D4" w:rsidRDefault="00B32DCC" w:rsidP="002E4260">
      <w:pPr>
        <w:keepNext/>
        <w:keepLines/>
        <w:pBdr>
          <w:top w:val="single" w:sz="4" w:space="1" w:color="auto"/>
          <w:left w:val="single" w:sz="4" w:space="4" w:color="auto"/>
          <w:bottom w:val="single" w:sz="4" w:space="1" w:color="auto"/>
          <w:right w:val="single" w:sz="4" w:space="4" w:color="auto"/>
        </w:pBdr>
        <w:ind w:left="142"/>
        <w:jc w:val="both"/>
        <w:rPr>
          <w:rFonts w:ascii="Arial Narrow" w:hAnsi="Arial Narrow"/>
          <w:b/>
          <w:sz w:val="20"/>
        </w:rPr>
      </w:pPr>
      <w:r w:rsidRPr="005924D4">
        <w:rPr>
          <w:rFonts w:ascii="Arial Narrow" w:hAnsi="Arial Narrow"/>
          <w:b/>
          <w:sz w:val="20"/>
        </w:rPr>
        <w:t>Fee: $589.90 Benefit: 75% = $442.45 85% = $506.50</w:t>
      </w:r>
    </w:p>
    <w:p w14:paraId="47F35C51" w14:textId="77777777" w:rsidR="00B32DCC" w:rsidRPr="005924D4" w:rsidRDefault="00B32DCC" w:rsidP="002E4260">
      <w:pPr>
        <w:keepNext/>
        <w:keepLines/>
        <w:pBdr>
          <w:top w:val="single" w:sz="4" w:space="1" w:color="auto"/>
          <w:left w:val="single" w:sz="4" w:space="4" w:color="auto"/>
          <w:bottom w:val="single" w:sz="4" w:space="1" w:color="auto"/>
          <w:right w:val="single" w:sz="4" w:space="4" w:color="auto"/>
        </w:pBdr>
        <w:ind w:left="142"/>
        <w:jc w:val="both"/>
        <w:rPr>
          <w:rFonts w:ascii="Arial Narrow" w:hAnsi="Arial Narrow"/>
          <w:sz w:val="20"/>
        </w:rPr>
      </w:pPr>
      <w:r w:rsidRPr="005924D4">
        <w:rPr>
          <w:rFonts w:ascii="Arial Narrow" w:hAnsi="Arial Narrow"/>
          <w:sz w:val="20"/>
        </w:rPr>
        <w:t>-------------------</w:t>
      </w:r>
    </w:p>
    <w:p w14:paraId="5E296032" w14:textId="77777777" w:rsidR="00B32DCC" w:rsidRPr="005924D4" w:rsidRDefault="00B32DCC" w:rsidP="002E4260">
      <w:pPr>
        <w:keepNext/>
        <w:keepLines/>
        <w:pBdr>
          <w:top w:val="single" w:sz="4" w:space="1" w:color="auto"/>
          <w:left w:val="single" w:sz="4" w:space="4" w:color="auto"/>
          <w:bottom w:val="single" w:sz="4" w:space="1" w:color="auto"/>
          <w:right w:val="single" w:sz="4" w:space="4" w:color="auto"/>
        </w:pBdr>
        <w:ind w:left="142"/>
        <w:jc w:val="both"/>
        <w:rPr>
          <w:rFonts w:ascii="Arial Narrow" w:hAnsi="Arial Narrow"/>
          <w:b/>
          <w:sz w:val="20"/>
        </w:rPr>
      </w:pPr>
      <w:r w:rsidRPr="005924D4">
        <w:rPr>
          <w:rFonts w:ascii="Arial Narrow" w:hAnsi="Arial Narrow"/>
          <w:b/>
          <w:sz w:val="20"/>
        </w:rPr>
        <w:t>Explanatory note:</w:t>
      </w:r>
    </w:p>
    <w:p w14:paraId="745C5705" w14:textId="2534B5CD" w:rsidR="00B32DCC" w:rsidRPr="005924D4" w:rsidRDefault="00B32DCC" w:rsidP="002E4260">
      <w:pPr>
        <w:keepNext/>
        <w:keepLines/>
        <w:pBdr>
          <w:top w:val="single" w:sz="4" w:space="1" w:color="auto"/>
          <w:left w:val="single" w:sz="4" w:space="4" w:color="auto"/>
          <w:bottom w:val="single" w:sz="4" w:space="1" w:color="auto"/>
          <w:right w:val="single" w:sz="4" w:space="4" w:color="auto"/>
        </w:pBdr>
        <w:ind w:left="142"/>
        <w:jc w:val="both"/>
        <w:rPr>
          <w:rFonts w:ascii="Arial Narrow" w:hAnsi="Arial Narrow"/>
          <w:b/>
          <w:sz w:val="20"/>
        </w:rPr>
      </w:pPr>
      <w:r w:rsidRPr="005924D4">
        <w:rPr>
          <w:rFonts w:ascii="Arial Narrow" w:hAnsi="Arial Narrow"/>
          <w:b/>
          <w:sz w:val="20"/>
        </w:rPr>
        <w:t>This item number should not be used more than once per year per patient.</w:t>
      </w:r>
    </w:p>
    <w:p w14:paraId="15835A7F" w14:textId="77777777" w:rsidR="00B32DCC" w:rsidRPr="005924D4" w:rsidRDefault="00B32DCC" w:rsidP="002E4260">
      <w:pPr>
        <w:keepNext/>
        <w:keepLines/>
        <w:pBdr>
          <w:top w:val="single" w:sz="4" w:space="1" w:color="auto"/>
          <w:left w:val="single" w:sz="4" w:space="4" w:color="auto"/>
          <w:bottom w:val="single" w:sz="4" w:space="1" w:color="auto"/>
          <w:right w:val="single" w:sz="4" w:space="4" w:color="auto"/>
        </w:pBdr>
        <w:ind w:left="142"/>
        <w:jc w:val="both"/>
        <w:rPr>
          <w:rFonts w:ascii="Arial Narrow" w:hAnsi="Arial Narrow"/>
          <w:b/>
          <w:sz w:val="20"/>
        </w:rPr>
      </w:pPr>
      <w:r w:rsidRPr="005924D4">
        <w:rPr>
          <w:rFonts w:ascii="Arial Narrow" w:hAnsi="Arial Narrow"/>
          <w:b/>
          <w:sz w:val="20"/>
        </w:rPr>
        <w:t>This test is not intended for monitoring purposes.</w:t>
      </w:r>
    </w:p>
    <w:p w14:paraId="0AE2B96F" w14:textId="77777777" w:rsidR="00474B66" w:rsidRPr="00F715D1" w:rsidRDefault="00474B66" w:rsidP="00474B66">
      <w:pPr>
        <w:pStyle w:val="Heading1"/>
      </w:pPr>
      <w:r w:rsidRPr="00F715D1">
        <w:t>Proposal for public funding</w:t>
      </w:r>
    </w:p>
    <w:p w14:paraId="36F07CF0" w14:textId="73C516BE" w:rsidR="00B32DCC" w:rsidRPr="00FD302D" w:rsidRDefault="00B32DCC" w:rsidP="004252AA">
      <w:pPr>
        <w:pStyle w:val="Default"/>
        <w:spacing w:after="240"/>
        <w:rPr>
          <w:sz w:val="22"/>
          <w:szCs w:val="22"/>
        </w:rPr>
      </w:pPr>
      <w:r>
        <w:t>As per Application 1560, the application state</w:t>
      </w:r>
      <w:r w:rsidR="008935BA">
        <w:t>d</w:t>
      </w:r>
      <w:r>
        <w:t xml:space="preserve"> that the FISH test is </w:t>
      </w:r>
      <w:r>
        <w:rPr>
          <w:sz w:val="22"/>
          <w:szCs w:val="22"/>
        </w:rPr>
        <w:t xml:space="preserve">well-established in </w:t>
      </w:r>
      <w:r w:rsidRPr="00040927">
        <w:t xml:space="preserve">Australia. </w:t>
      </w:r>
      <w:r>
        <w:t xml:space="preserve">In 2020, there are at least </w:t>
      </w:r>
      <w:r w:rsidR="0022006A">
        <w:t>eight</w:t>
      </w:r>
      <w:r>
        <w:t xml:space="preserve"> different Australian molecular pathology service providers that routinely offer </w:t>
      </w:r>
      <w:r w:rsidRPr="008935BA">
        <w:rPr>
          <w:i/>
        </w:rPr>
        <w:t>17</w:t>
      </w:r>
      <w:r w:rsidR="008935BA" w:rsidRPr="008935BA">
        <w:rPr>
          <w:i/>
        </w:rPr>
        <w:t>p</w:t>
      </w:r>
      <w:r w:rsidR="008935BA">
        <w:t xml:space="preserve"> </w:t>
      </w:r>
      <w:r>
        <w:t>deletion testing for patients with CLL. Australian molecular pathology service providers currently use a number of different commercial test kits</w:t>
      </w:r>
      <w:r w:rsidR="008935BA">
        <w:t>,</w:t>
      </w:r>
      <w:r>
        <w:t xml:space="preserve"> including the Vysis CLL probe which was used in the ASCEND study.</w:t>
      </w:r>
    </w:p>
    <w:p w14:paraId="6E3B5B0E" w14:textId="77777777" w:rsidR="00B32DCC" w:rsidRDefault="00B32DCC" w:rsidP="004252AA">
      <w:pPr>
        <w:pStyle w:val="Default"/>
        <w:spacing w:after="240"/>
      </w:pPr>
      <w:r>
        <w:t>Australian pathology service providers participate in a local quality assurance program that is administered by the Royal College of Pathologists of Australasia Quality Assurance Programs Pty Limited (RCPAQAP). This program runs annually with three patient-derived samples (RCPAQAP, 2018).</w:t>
      </w:r>
    </w:p>
    <w:p w14:paraId="707277DF" w14:textId="3662317C" w:rsidR="00B32DCC" w:rsidRDefault="00B32DCC" w:rsidP="00B32DCC">
      <w:r>
        <w:t>The application stated that</w:t>
      </w:r>
      <w:r w:rsidR="008935BA">
        <w:t>,</w:t>
      </w:r>
      <w:r>
        <w:t xml:space="preserve"> of the 13 laboratories participating in the program, four utilised the Cytocell TP53 deletion probe set, four utilised the MetaSystems ATM/TP53 probe set from the CLL panel, three used the Vysis ATM/TP53 probe set from the CLL panel and two laboratories used the Cytocell ATM/TP53 combined probe set from the Cytocell CLL panel. The 2018 RCPA QAP demonstrated a concordance rate of 100%, 92% and 100% in Cases 1, 2 and 3, respectively.</w:t>
      </w:r>
    </w:p>
    <w:p w14:paraId="726D870B" w14:textId="77777777" w:rsidR="00474B66" w:rsidRDefault="00474B66" w:rsidP="00B32DCC">
      <w:pPr>
        <w:pStyle w:val="Heading1"/>
      </w:pPr>
      <w:r w:rsidRPr="00F715D1">
        <w:t>Proposed intervention’s place in clinical management</w:t>
      </w:r>
    </w:p>
    <w:p w14:paraId="6EE29386" w14:textId="56ABAE89" w:rsidR="00B32DCC" w:rsidRPr="00406507" w:rsidRDefault="00B32DCC" w:rsidP="00B32DCC">
      <w:r>
        <w:t xml:space="preserve">The inclusion of acalabrutinib in the proposed MBS item </w:t>
      </w:r>
      <w:r w:rsidR="0022006A">
        <w:t xml:space="preserve">73343 </w:t>
      </w:r>
      <w:r>
        <w:t xml:space="preserve">descriptor would not impact the position of FISH testing for </w:t>
      </w:r>
      <w:r w:rsidR="008935BA" w:rsidRPr="008935BA">
        <w:rPr>
          <w:i/>
        </w:rPr>
        <w:t>17p</w:t>
      </w:r>
      <w:r w:rsidR="008935BA">
        <w:t xml:space="preserve"> deletions </w:t>
      </w:r>
      <w:r>
        <w:t>in patients with CLL.</w:t>
      </w:r>
    </w:p>
    <w:p w14:paraId="2428D2EE" w14:textId="77777777" w:rsidR="00474B66" w:rsidRPr="00F715D1" w:rsidRDefault="00474B66" w:rsidP="00474B66">
      <w:pPr>
        <w:pStyle w:val="Heading1"/>
      </w:pPr>
      <w:r w:rsidRPr="00F715D1">
        <w:t>Comparative effectiveness</w:t>
      </w:r>
    </w:p>
    <w:p w14:paraId="4D30B5CC" w14:textId="3301BFD5" w:rsidR="00B32DCC" w:rsidRDefault="008935BA" w:rsidP="00B32DCC">
      <w:pPr>
        <w:pStyle w:val="Heading2"/>
        <w:rPr>
          <w:sz w:val="22"/>
        </w:rPr>
      </w:pPr>
      <w:r>
        <w:t>17p deletion testing in ASCEND</w:t>
      </w:r>
    </w:p>
    <w:p w14:paraId="60BB3BEF" w14:textId="1616EDDC" w:rsidR="00B32DCC" w:rsidRDefault="00B32DCC" w:rsidP="004252AA">
      <w:pPr>
        <w:pStyle w:val="Default"/>
        <w:spacing w:after="240"/>
      </w:pPr>
      <w:r>
        <w:t xml:space="preserve">The primary data source for the streamlined codependent submission to </w:t>
      </w:r>
      <w:r w:rsidR="0022006A">
        <w:t xml:space="preserve">the </w:t>
      </w:r>
      <w:r>
        <w:t xml:space="preserve">PBAC </w:t>
      </w:r>
      <w:r w:rsidR="008935BA">
        <w:t>wa</w:t>
      </w:r>
      <w:r>
        <w:t xml:space="preserve">s the randomised Phase III ASCEND </w:t>
      </w:r>
      <w:r w:rsidR="008E36A9">
        <w:t>trial</w:t>
      </w:r>
      <w:r>
        <w:t xml:space="preserve">. ASCEND demonstrated that treatment with acalabrutinib is superior </w:t>
      </w:r>
      <w:r w:rsidR="008E36A9">
        <w:t xml:space="preserve">in terms of efficacy and similar in terms of safety </w:t>
      </w:r>
      <w:r>
        <w:t xml:space="preserve">to </w:t>
      </w:r>
      <w:r w:rsidR="00B46C4A">
        <w:t xml:space="preserve">the </w:t>
      </w:r>
      <w:r w:rsidR="008E36A9">
        <w:t xml:space="preserve">trial </w:t>
      </w:r>
      <w:r w:rsidR="00B46C4A">
        <w:t xml:space="preserve">investigator’s choice of </w:t>
      </w:r>
      <w:r>
        <w:t xml:space="preserve">idelalisib plus rituximab or bendumustine plus rituximab </w:t>
      </w:r>
      <w:r w:rsidR="00B46C4A">
        <w:t>(IR/BR)</w:t>
      </w:r>
      <w:r w:rsidR="00C80D77">
        <w:t>.</w:t>
      </w:r>
    </w:p>
    <w:p w14:paraId="09F71E16" w14:textId="458A3B48" w:rsidR="00B32DCC" w:rsidRDefault="00B32DCC" w:rsidP="004252AA">
      <w:pPr>
        <w:pStyle w:val="Default"/>
        <w:spacing w:after="240"/>
      </w:pPr>
      <w:r>
        <w:t>Based on a</w:t>
      </w:r>
      <w:r w:rsidR="008E36A9">
        <w:t xml:space="preserve"> matching adjusted</w:t>
      </w:r>
      <w:r>
        <w:t xml:space="preserve"> indirect comparison</w:t>
      </w:r>
      <w:r w:rsidR="008E36A9">
        <w:t xml:space="preserve"> across ASCEND and the RESONATE randomised trial of ibrutinib</w:t>
      </w:r>
      <w:r>
        <w:t xml:space="preserve">, </w:t>
      </w:r>
      <w:r w:rsidR="008E36A9">
        <w:t xml:space="preserve">the submission to PBAC also claimed that </w:t>
      </w:r>
      <w:r>
        <w:t xml:space="preserve">acalabrutinib is non-inferior </w:t>
      </w:r>
      <w:r w:rsidR="008E36A9">
        <w:t xml:space="preserve">in terms of efficacy and safety </w:t>
      </w:r>
      <w:r>
        <w:t xml:space="preserve">to </w:t>
      </w:r>
      <w:r w:rsidR="008E36A9">
        <w:t>i</w:t>
      </w:r>
      <w:r>
        <w:t>brutinib</w:t>
      </w:r>
      <w:r w:rsidR="008E36A9">
        <w:t>, the current standard of care</w:t>
      </w:r>
      <w:r>
        <w:t>.</w:t>
      </w:r>
    </w:p>
    <w:p w14:paraId="78DA9CE5" w14:textId="6CF21FED" w:rsidR="00B32DCC" w:rsidRDefault="00B32DCC" w:rsidP="004252AA">
      <w:pPr>
        <w:pStyle w:val="Default"/>
        <w:spacing w:after="240"/>
      </w:pPr>
      <w:r>
        <w:t xml:space="preserve">The primary endpoint </w:t>
      </w:r>
      <w:r w:rsidR="008E36A9">
        <w:t xml:space="preserve">in ASCEND </w:t>
      </w:r>
      <w:r>
        <w:t>was progression free survival (PFS)</w:t>
      </w:r>
      <w:r w:rsidR="00B46C4A">
        <w:t>,</w:t>
      </w:r>
      <w:r>
        <w:t xml:space="preserve"> which demonstrated a statistically significant improvement in </w:t>
      </w:r>
      <w:r w:rsidR="00C80D77">
        <w:t>independent review committee (</w:t>
      </w:r>
      <w:r>
        <w:t>IRC</w:t>
      </w:r>
      <w:r w:rsidR="00C80D77">
        <w:t>)</w:t>
      </w:r>
      <w:r>
        <w:t xml:space="preserve">-assessed PFS </w:t>
      </w:r>
      <w:r w:rsidR="00B46C4A">
        <w:t xml:space="preserve">for acalabrutinib </w:t>
      </w:r>
      <w:r>
        <w:t xml:space="preserve">compared with IR/BR, with a 69% reduction in risk of disease progression </w:t>
      </w:r>
      <w:r>
        <w:lastRenderedPageBreak/>
        <w:t>or death (</w:t>
      </w:r>
      <w:r w:rsidR="00C80D77">
        <w:t xml:space="preserve">hazard ratio </w:t>
      </w:r>
      <w:r>
        <w:t>=0.31</w:t>
      </w:r>
      <w:r w:rsidR="00B46C4A">
        <w:t>,</w:t>
      </w:r>
      <w:r>
        <w:t xml:space="preserve"> 95% CI: 0.20, 0.49</w:t>
      </w:r>
      <w:r w:rsidR="00B46C4A">
        <w:t>,</w:t>
      </w:r>
      <w:r>
        <w:t xml:space="preserve"> p&lt;0.0001). The median estimated PFS for acalabrutinib was not reached; the median estimated PFS for IR/BR was 16.5 months </w:t>
      </w:r>
      <w:r w:rsidRPr="00EA17F0">
        <w:t xml:space="preserve">(95% CI: </w:t>
      </w:r>
      <w:r w:rsidR="00EA17F0" w:rsidRPr="00EA17F0">
        <w:rPr>
          <w:b/>
        </w:rPr>
        <w:t>redacted</w:t>
      </w:r>
      <w:r w:rsidRPr="00EA17F0">
        <w:t>)</w:t>
      </w:r>
      <w:r>
        <w:t>.</w:t>
      </w:r>
    </w:p>
    <w:p w14:paraId="2FB54B55" w14:textId="4825C0A3" w:rsidR="00B32DCC" w:rsidRDefault="00B32DCC" w:rsidP="00BF75D5">
      <w:r>
        <w:t xml:space="preserve">In ASCEND, </w:t>
      </w:r>
      <w:r w:rsidR="00B46C4A">
        <w:t xml:space="preserve">central laboratory testing using the Vysis® CLL FISH probe was performed to </w:t>
      </w:r>
      <w:r>
        <w:t>determine</w:t>
      </w:r>
      <w:r w:rsidR="00B46C4A">
        <w:t xml:space="preserve"> which patients </w:t>
      </w:r>
      <w:r w:rsidR="008E36A9">
        <w:t>in the study</w:t>
      </w:r>
      <w:r w:rsidR="00B46C4A">
        <w:t xml:space="preserve"> </w:t>
      </w:r>
      <w:r>
        <w:t>ha</w:t>
      </w:r>
      <w:r w:rsidR="00B46C4A">
        <w:t>d</w:t>
      </w:r>
      <w:r>
        <w:t xml:space="preserve"> a </w:t>
      </w:r>
      <w:r w:rsidRPr="00A95EEE">
        <w:rPr>
          <w:i/>
        </w:rPr>
        <w:t>17p</w:t>
      </w:r>
      <w:r>
        <w:t xml:space="preserve"> deletion.</w:t>
      </w:r>
    </w:p>
    <w:p w14:paraId="5917DAD0" w14:textId="77777777" w:rsidR="00474B66" w:rsidRPr="00F715D1" w:rsidRDefault="00474B66" w:rsidP="00474B66">
      <w:pPr>
        <w:pStyle w:val="Heading1"/>
      </w:pPr>
      <w:r w:rsidRPr="00F715D1">
        <w:t>Financial/budgetary impacts</w:t>
      </w:r>
    </w:p>
    <w:p w14:paraId="03323CBA" w14:textId="02ACC9C8" w:rsidR="00B32DCC" w:rsidRDefault="00B32DCC" w:rsidP="00BF75D5">
      <w:r>
        <w:t>The application d</w:t>
      </w:r>
      <w:r w:rsidR="00B46C4A">
        <w:t>id</w:t>
      </w:r>
      <w:r>
        <w:t xml:space="preserve"> not propose a change to the eligible population for the test </w:t>
      </w:r>
      <w:r w:rsidR="00B46C4A">
        <w:t>and did not expect the requested amendment</w:t>
      </w:r>
      <w:r>
        <w:t xml:space="preserve"> </w:t>
      </w:r>
      <w:r w:rsidR="00B46C4A">
        <w:t xml:space="preserve">to </w:t>
      </w:r>
      <w:r>
        <w:t xml:space="preserve">result in any change to the utilisation of the </w:t>
      </w:r>
      <w:r w:rsidR="00B46C4A">
        <w:t>MBS i</w:t>
      </w:r>
      <w:r>
        <w:t>tem in terms of number of tests or cost to the MBS.</w:t>
      </w:r>
    </w:p>
    <w:p w14:paraId="395052E9" w14:textId="77777777" w:rsidR="00474B66" w:rsidRPr="00F715D1" w:rsidRDefault="00474B66" w:rsidP="00474B66">
      <w:pPr>
        <w:pStyle w:val="Heading1"/>
      </w:pPr>
      <w:r>
        <w:t>Applicant</w:t>
      </w:r>
      <w:r w:rsidRPr="00F715D1">
        <w:t xml:space="preserve"> comments on MSAC’s Public Summary Document</w:t>
      </w:r>
    </w:p>
    <w:p w14:paraId="598975FC" w14:textId="0B37DF5E" w:rsidR="00474B66" w:rsidRPr="00EA17F0" w:rsidRDefault="00EA17F0" w:rsidP="00474B66">
      <w:pPr>
        <w:spacing w:after="240"/>
        <w:rPr>
          <w:szCs w:val="24"/>
        </w:rPr>
      </w:pPr>
      <w:r w:rsidRPr="00EA17F0">
        <w:rPr>
          <w:szCs w:val="24"/>
        </w:rPr>
        <w:t>The applicant had no comment.</w:t>
      </w:r>
    </w:p>
    <w:p w14:paraId="09801E04" w14:textId="77777777" w:rsidR="00474B66" w:rsidRPr="00F715D1" w:rsidRDefault="00474B66" w:rsidP="00474B66">
      <w:pPr>
        <w:pStyle w:val="Heading1"/>
      </w:pPr>
      <w:r w:rsidRPr="00F715D1">
        <w:t>Further information on MSAC</w:t>
      </w:r>
    </w:p>
    <w:p w14:paraId="55586E26" w14:textId="13993808" w:rsidR="00280050" w:rsidRPr="006709CC" w:rsidRDefault="00474B66" w:rsidP="006709CC">
      <w:pPr>
        <w:spacing w:after="240"/>
        <w:rPr>
          <w:szCs w:val="24"/>
        </w:rPr>
      </w:pPr>
      <w:r w:rsidRPr="00F715D1">
        <w:rPr>
          <w:szCs w:val="24"/>
        </w:rPr>
        <w:t xml:space="preserve">MSAC Terms of Reference and other information are available on the MSAC Website: </w:t>
      </w:r>
      <w:r>
        <w:rPr>
          <w:szCs w:val="24"/>
        </w:rPr>
        <w:br/>
      </w:r>
      <w:hyperlink r:id="rId15" w:tooltip="Link to Medical Services Advisory Committee website" w:history="1">
        <w:r w:rsidRPr="00F715D1">
          <w:rPr>
            <w:rStyle w:val="Hyperlink"/>
            <w:szCs w:val="24"/>
          </w:rPr>
          <w:t>visit the MSAC website</w:t>
        </w:r>
      </w:hyperlink>
    </w:p>
    <w:sectPr w:rsidR="00280050" w:rsidRPr="006709CC" w:rsidSect="00271F18">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3E8D1" w14:textId="77777777" w:rsidR="0057285F" w:rsidRDefault="0057285F">
      <w:r>
        <w:separator/>
      </w:r>
    </w:p>
  </w:endnote>
  <w:endnote w:type="continuationSeparator" w:id="0">
    <w:p w14:paraId="727C0FC8" w14:textId="77777777" w:rsidR="0057285F" w:rsidRDefault="0057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6ABA" w14:textId="77777777" w:rsidR="00B83B70" w:rsidRDefault="00B8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10D03F62" w14:textId="3423E8B8" w:rsidR="00352224" w:rsidRDefault="00474B66">
        <w:pPr>
          <w:pStyle w:val="Footer"/>
          <w:jc w:val="right"/>
        </w:pPr>
        <w:r>
          <w:fldChar w:fldCharType="begin"/>
        </w:r>
        <w:r>
          <w:instrText xml:space="preserve"> PAGE   \* MERGEFORMAT </w:instrText>
        </w:r>
        <w:r>
          <w:fldChar w:fldCharType="separate"/>
        </w:r>
        <w:r w:rsidR="009C482A">
          <w:rPr>
            <w:noProof/>
          </w:rPr>
          <w:t>5</w:t>
        </w:r>
        <w:r>
          <w:rPr>
            <w:noProof/>
          </w:rPr>
          <w:fldChar w:fldCharType="end"/>
        </w:r>
      </w:p>
    </w:sdtContent>
  </w:sdt>
  <w:p w14:paraId="201C51FE" w14:textId="77777777" w:rsidR="00BC1364" w:rsidRDefault="009C4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8370" w14:textId="77777777" w:rsidR="00B83B70" w:rsidRDefault="00B8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04F35" w14:textId="77777777" w:rsidR="0057285F" w:rsidRDefault="0057285F">
      <w:r>
        <w:separator/>
      </w:r>
    </w:p>
  </w:footnote>
  <w:footnote w:type="continuationSeparator" w:id="0">
    <w:p w14:paraId="271F0737" w14:textId="77777777" w:rsidR="0057285F" w:rsidRDefault="00572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0D0C" w14:textId="77777777" w:rsidR="00B83B70" w:rsidRDefault="00B83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FC4D" w14:textId="77777777" w:rsidR="00B83B70" w:rsidRDefault="00B83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4576" w14:textId="77777777" w:rsidR="00B83B70" w:rsidRDefault="00B83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66"/>
    <w:rsid w:val="00026921"/>
    <w:rsid w:val="000C7D51"/>
    <w:rsid w:val="000E7594"/>
    <w:rsid w:val="00103979"/>
    <w:rsid w:val="001F10E6"/>
    <w:rsid w:val="0022006A"/>
    <w:rsid w:val="0026599B"/>
    <w:rsid w:val="00280050"/>
    <w:rsid w:val="002E4260"/>
    <w:rsid w:val="003714D2"/>
    <w:rsid w:val="003E7472"/>
    <w:rsid w:val="00422032"/>
    <w:rsid w:val="004252AA"/>
    <w:rsid w:val="00474B66"/>
    <w:rsid w:val="004B18E5"/>
    <w:rsid w:val="004C26F6"/>
    <w:rsid w:val="004D011F"/>
    <w:rsid w:val="0057285F"/>
    <w:rsid w:val="00575D0E"/>
    <w:rsid w:val="005924D4"/>
    <w:rsid w:val="0059445B"/>
    <w:rsid w:val="006709CC"/>
    <w:rsid w:val="00732A99"/>
    <w:rsid w:val="007B485B"/>
    <w:rsid w:val="00827259"/>
    <w:rsid w:val="00833ABF"/>
    <w:rsid w:val="008935BA"/>
    <w:rsid w:val="008A02AF"/>
    <w:rsid w:val="008B1AE8"/>
    <w:rsid w:val="008D1007"/>
    <w:rsid w:val="008E36A9"/>
    <w:rsid w:val="00960D91"/>
    <w:rsid w:val="00997DC4"/>
    <w:rsid w:val="009C482A"/>
    <w:rsid w:val="009E4ED3"/>
    <w:rsid w:val="009F2CB4"/>
    <w:rsid w:val="00A0530F"/>
    <w:rsid w:val="00A531BE"/>
    <w:rsid w:val="00A95EEE"/>
    <w:rsid w:val="00B306B7"/>
    <w:rsid w:val="00B32DCC"/>
    <w:rsid w:val="00B46C4A"/>
    <w:rsid w:val="00B77DBA"/>
    <w:rsid w:val="00B83B70"/>
    <w:rsid w:val="00B85FB0"/>
    <w:rsid w:val="00B900E3"/>
    <w:rsid w:val="00BC2A21"/>
    <w:rsid w:val="00BC2E12"/>
    <w:rsid w:val="00BF75D5"/>
    <w:rsid w:val="00C80D77"/>
    <w:rsid w:val="00D63337"/>
    <w:rsid w:val="00DC2242"/>
    <w:rsid w:val="00E6485E"/>
    <w:rsid w:val="00EA17F0"/>
    <w:rsid w:val="00EF463B"/>
    <w:rsid w:val="00F14D6C"/>
    <w:rsid w:val="00F32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E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B66"/>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474B66"/>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semiHidden/>
    <w:unhideWhenUsed/>
    <w:qFormat/>
    <w:rsid w:val="00B32DCC"/>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4B66"/>
    <w:rPr>
      <w:rFonts w:ascii="Arial" w:eastAsia="Times New Roman" w:hAnsi="Arial"/>
      <w:b/>
      <w:bCs/>
      <w:szCs w:val="28"/>
      <w:lang w:eastAsia="en-AU"/>
    </w:rPr>
  </w:style>
  <w:style w:type="character" w:styleId="Hyperlink">
    <w:name w:val="Hyperlink"/>
    <w:basedOn w:val="DefaultParagraphFont"/>
    <w:uiPriority w:val="99"/>
    <w:rsid w:val="00474B66"/>
    <w:rPr>
      <w:rFonts w:cs="Times New Roman"/>
      <w:color w:val="0000FF"/>
      <w:u w:val="single"/>
    </w:rPr>
  </w:style>
  <w:style w:type="paragraph" w:styleId="ListParagraph">
    <w:name w:val="List Paragraph"/>
    <w:basedOn w:val="Normal"/>
    <w:uiPriority w:val="99"/>
    <w:qFormat/>
    <w:rsid w:val="00474B66"/>
    <w:pPr>
      <w:ind w:left="720"/>
      <w:contextualSpacing/>
    </w:pPr>
  </w:style>
  <w:style w:type="paragraph" w:styleId="Footer">
    <w:name w:val="footer"/>
    <w:basedOn w:val="Normal"/>
    <w:link w:val="FooterChar"/>
    <w:uiPriority w:val="99"/>
    <w:rsid w:val="00474B66"/>
    <w:pPr>
      <w:tabs>
        <w:tab w:val="center" w:pos="4513"/>
        <w:tab w:val="right" w:pos="9026"/>
      </w:tabs>
    </w:pPr>
  </w:style>
  <w:style w:type="character" w:customStyle="1" w:styleId="FooterChar">
    <w:name w:val="Footer Char"/>
    <w:basedOn w:val="DefaultParagraphFont"/>
    <w:link w:val="Footer"/>
    <w:uiPriority w:val="99"/>
    <w:rsid w:val="00474B66"/>
    <w:rPr>
      <w:rFonts w:eastAsia="Times New Roman"/>
      <w:szCs w:val="20"/>
      <w:lang w:eastAsia="en-AU"/>
    </w:rPr>
  </w:style>
  <w:style w:type="paragraph" w:customStyle="1" w:styleId="Default">
    <w:name w:val="Default"/>
    <w:rsid w:val="00474B66"/>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474B66"/>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474B66"/>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474B66"/>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474B66"/>
    <w:rPr>
      <w:rFonts w:ascii="Arial" w:eastAsia="Times New Roman" w:hAnsi="Arial" w:cs="Arial"/>
      <w:b/>
      <w:bCs/>
      <w:i/>
      <w:color w:val="000080"/>
      <w:sz w:val="28"/>
      <w:szCs w:val="28"/>
      <w:lang w:eastAsia="en-AU"/>
    </w:rPr>
  </w:style>
  <w:style w:type="table" w:styleId="TableGrid">
    <w:name w:val="Table Grid"/>
    <w:basedOn w:val="TableNormal"/>
    <w:rsid w:val="00474B66"/>
    <w:pPr>
      <w:spacing w:after="0" w:line="240" w:lineRule="auto"/>
    </w:pPr>
    <w:rPr>
      <w:rFonts w:eastAsia="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32DCC"/>
    <w:rPr>
      <w:rFonts w:cs="Times New Roman"/>
      <w:sz w:val="16"/>
      <w:szCs w:val="16"/>
    </w:rPr>
  </w:style>
  <w:style w:type="paragraph" w:styleId="CommentText">
    <w:name w:val="annotation text"/>
    <w:basedOn w:val="Normal"/>
    <w:link w:val="CommentTextChar"/>
    <w:uiPriority w:val="99"/>
    <w:semiHidden/>
    <w:rsid w:val="00B32DCC"/>
    <w:rPr>
      <w:sz w:val="20"/>
    </w:rPr>
  </w:style>
  <w:style w:type="character" w:customStyle="1" w:styleId="CommentTextChar">
    <w:name w:val="Comment Text Char"/>
    <w:basedOn w:val="DefaultParagraphFont"/>
    <w:link w:val="CommentText"/>
    <w:uiPriority w:val="99"/>
    <w:semiHidden/>
    <w:rsid w:val="00B32DCC"/>
    <w:rPr>
      <w:rFonts w:eastAsia="Times New Roman"/>
      <w:sz w:val="20"/>
      <w:szCs w:val="20"/>
      <w:lang w:eastAsia="en-AU"/>
    </w:rPr>
  </w:style>
  <w:style w:type="paragraph" w:styleId="BalloonText">
    <w:name w:val="Balloon Text"/>
    <w:basedOn w:val="Normal"/>
    <w:link w:val="BalloonTextChar"/>
    <w:uiPriority w:val="99"/>
    <w:semiHidden/>
    <w:unhideWhenUsed/>
    <w:rsid w:val="00B32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DCC"/>
    <w:rPr>
      <w:rFonts w:ascii="Segoe UI" w:eastAsia="Times New Roman" w:hAnsi="Segoe UI" w:cs="Segoe UI"/>
      <w:sz w:val="18"/>
      <w:szCs w:val="18"/>
      <w:lang w:eastAsia="en-AU"/>
    </w:rPr>
  </w:style>
  <w:style w:type="character" w:customStyle="1" w:styleId="Heading2Char">
    <w:name w:val="Heading 2 Char"/>
    <w:basedOn w:val="DefaultParagraphFont"/>
    <w:link w:val="Heading2"/>
    <w:uiPriority w:val="9"/>
    <w:semiHidden/>
    <w:rsid w:val="00B32DCC"/>
    <w:rPr>
      <w:rFonts w:eastAsiaTheme="majorEastAsia" w:cstheme="majorBidi"/>
      <w:i/>
      <w:szCs w:val="26"/>
      <w:lang w:eastAsia="en-AU"/>
    </w:rPr>
  </w:style>
  <w:style w:type="paragraph" w:styleId="CommentSubject">
    <w:name w:val="annotation subject"/>
    <w:basedOn w:val="CommentText"/>
    <w:next w:val="CommentText"/>
    <w:link w:val="CommentSubjectChar"/>
    <w:uiPriority w:val="99"/>
    <w:semiHidden/>
    <w:unhideWhenUsed/>
    <w:rsid w:val="00C80D77"/>
    <w:rPr>
      <w:b/>
      <w:bCs/>
    </w:rPr>
  </w:style>
  <w:style w:type="character" w:customStyle="1" w:styleId="CommentSubjectChar">
    <w:name w:val="Comment Subject Char"/>
    <w:basedOn w:val="CommentTextChar"/>
    <w:link w:val="CommentSubject"/>
    <w:uiPriority w:val="99"/>
    <w:semiHidden/>
    <w:rsid w:val="00C80D77"/>
    <w:rPr>
      <w:rFonts w:eastAsia="Times New Roman"/>
      <w:b/>
      <w:bCs/>
      <w:sz w:val="20"/>
      <w:szCs w:val="20"/>
      <w:lang w:eastAsia="en-AU"/>
    </w:rPr>
  </w:style>
  <w:style w:type="character" w:styleId="Emphasis">
    <w:name w:val="Emphasis"/>
    <w:basedOn w:val="DefaultParagraphFont"/>
    <w:uiPriority w:val="20"/>
    <w:qFormat/>
    <w:rsid w:val="0059445B"/>
    <w:rPr>
      <w:i/>
      <w:iCs/>
    </w:rPr>
  </w:style>
  <w:style w:type="paragraph" w:styleId="Header">
    <w:name w:val="header"/>
    <w:basedOn w:val="Normal"/>
    <w:link w:val="HeaderChar"/>
    <w:uiPriority w:val="99"/>
    <w:unhideWhenUsed/>
    <w:rsid w:val="00B83B70"/>
    <w:pPr>
      <w:tabs>
        <w:tab w:val="center" w:pos="4513"/>
        <w:tab w:val="right" w:pos="9026"/>
      </w:tabs>
    </w:pPr>
  </w:style>
  <w:style w:type="character" w:customStyle="1" w:styleId="HeaderChar">
    <w:name w:val="Header Char"/>
    <w:basedOn w:val="DefaultParagraphFont"/>
    <w:link w:val="Header"/>
    <w:uiPriority w:val="99"/>
    <w:rsid w:val="00B83B70"/>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FE3C72B2D29F09D5CA2583A60014E18B/$File/1560%20Final%20PSD.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msac.gov.au/internet/msac/publishing.nsf/Content/08B97F8AEB850538CA2581680000C72C/$File/1456%20-%20Final%20PSD-updated%20with%20November%202018%20outcome.doc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ac.gov.au/internet/msac/publishing.nsf/Content/08B97F8AEB850538CA2581680000C72C/$File/1456%20-%20Final%20PSD-updated%20with%20November%202018%20outcome.docx" TargetMode="External"/><Relationship Id="rId5" Type="http://schemas.openxmlformats.org/officeDocument/2006/relationships/footnotes" Target="footnotes.xml"/><Relationship Id="rId15" Type="http://schemas.openxmlformats.org/officeDocument/2006/relationships/hyperlink" Target="http://www.msac.gov.au/" TargetMode="External"/><Relationship Id="rId23" Type="http://schemas.openxmlformats.org/officeDocument/2006/relationships/theme" Target="theme/theme1.xml"/><Relationship Id="rId10" Type="http://schemas.openxmlformats.org/officeDocument/2006/relationships/hyperlink" Target="http://www.msac.gov.au/internet/msac/publishing.nsf/Content/AB56619B7C5215D4CA258335000723EF/$File/1544%20-%20Final%20PSD.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sac.gov.au/internet/msac/publishing.nsf/Content/FE3C72B2D29F09D5CA2583A60014E18B/$File/1560%20Final%20PSD.docx" TargetMode="External"/><Relationship Id="rId14" Type="http://schemas.openxmlformats.org/officeDocument/2006/relationships/hyperlink" Target="http://www.msac.gov.au/internet/msac/publishing.nsf/Content/AB56619B7C5215D4CA258335000723EF/$File/1544%20-%20Final%20PSD.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1607 Final PSD_Apr2020_redacted</dc:title>
  <dc:creator/>
  <cp:lastModifiedBy/>
  <cp:revision>1</cp:revision>
  <dcterms:created xsi:type="dcterms:W3CDTF">2020-05-25T07:35:00Z</dcterms:created>
  <dcterms:modified xsi:type="dcterms:W3CDTF">2020-05-27T00:15:00Z</dcterms:modified>
</cp:coreProperties>
</file>