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E8DF" w14:textId="677FFDDF" w:rsidR="00772829" w:rsidRPr="00CE28E3" w:rsidRDefault="00316466" w:rsidP="002B53BC">
      <w:pPr>
        <w:spacing w:after="240"/>
        <w:jc w:val="center"/>
        <w:rPr>
          <w:b/>
          <w:i/>
          <w:szCs w:val="24"/>
          <w:highlight w:val="yellow"/>
        </w:rPr>
      </w:pPr>
      <w:r>
        <w:rPr>
          <w:noProof/>
        </w:rPr>
        <w:drawing>
          <wp:inline distT="0" distB="0" distL="0" distR="0" wp14:anchorId="6D3A88A2" wp14:editId="7998A4A3">
            <wp:extent cx="2627630" cy="1078865"/>
            <wp:effectExtent l="0" t="0" r="1270" b="6985"/>
            <wp:docPr id="1" name="Picture 1" descr="Medical Services Advisory Committee Logo"/>
            <wp:cNvGraphicFramePr/>
            <a:graphic xmlns:a="http://schemas.openxmlformats.org/drawingml/2006/main">
              <a:graphicData uri="http://schemas.openxmlformats.org/drawingml/2006/picture">
                <pic:pic xmlns:pic="http://schemas.openxmlformats.org/drawingml/2006/picture">
                  <pic:nvPicPr>
                    <pic:cNvPr id="1" name="Picture 1" descr="Medical Services Advisory Committee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C8A1797" w14:textId="77777777" w:rsidR="00316466" w:rsidRDefault="00316466" w:rsidP="00316466">
      <w:pPr>
        <w:pStyle w:val="Subtitle"/>
        <w:spacing w:before="480"/>
        <w:rPr>
          <w:rFonts w:eastAsiaTheme="majorEastAsia"/>
          <w:i w:val="0"/>
          <w:sz w:val="36"/>
          <w:szCs w:val="36"/>
          <w:lang w:eastAsia="en-US"/>
        </w:rPr>
      </w:pPr>
      <w:r w:rsidRPr="00316466">
        <w:rPr>
          <w:rFonts w:eastAsiaTheme="majorEastAsia"/>
          <w:i w:val="0"/>
          <w:sz w:val="36"/>
          <w:szCs w:val="36"/>
          <w:lang w:eastAsia="en-US"/>
        </w:rPr>
        <w:t xml:space="preserve">Public Summary Document </w:t>
      </w:r>
    </w:p>
    <w:p w14:paraId="7A128FDE" w14:textId="19235BEB" w:rsidR="00772829" w:rsidRPr="00CE28E3" w:rsidRDefault="00772829" w:rsidP="002B53BC">
      <w:pPr>
        <w:pStyle w:val="Subtitle"/>
      </w:pPr>
      <w:r w:rsidRPr="00CE28E3">
        <w:t xml:space="preserve">Application No. </w:t>
      </w:r>
      <w:r w:rsidR="004504B0" w:rsidRPr="004504B0">
        <w:t>1698 – Chronic Pain MedsCheck Trial</w:t>
      </w:r>
    </w:p>
    <w:p w14:paraId="35263561" w14:textId="66F1624C" w:rsidR="00772829" w:rsidRPr="00CE28E3" w:rsidRDefault="00772829" w:rsidP="00C7722F">
      <w:pPr>
        <w:tabs>
          <w:tab w:val="left" w:pos="3686"/>
        </w:tabs>
        <w:spacing w:after="240"/>
        <w:ind w:left="3686" w:hanging="3686"/>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01555C">
        <w:rPr>
          <w:rFonts w:ascii="Arial" w:hAnsi="Arial" w:cs="Arial"/>
          <w:b/>
          <w:szCs w:val="24"/>
        </w:rPr>
        <w:t>Pharmacy Guild of Australia</w:t>
      </w:r>
    </w:p>
    <w:p w14:paraId="698BB07A" w14:textId="160EE47E" w:rsidR="00DD4401" w:rsidRDefault="00772829" w:rsidP="00FC6B7D">
      <w:pPr>
        <w:tabs>
          <w:tab w:val="left" w:pos="3686"/>
        </w:tabs>
        <w:spacing w:after="360"/>
        <w:rPr>
          <w:rFonts w:ascii="Arial" w:hAnsi="Arial" w:cs="Arial"/>
          <w:b/>
          <w:szCs w:val="24"/>
        </w:rPr>
      </w:pPr>
      <w:r w:rsidRPr="00CE28E3">
        <w:rPr>
          <w:rFonts w:ascii="Arial" w:hAnsi="Arial" w:cs="Arial"/>
          <w:b/>
          <w:szCs w:val="24"/>
        </w:rPr>
        <w:t xml:space="preserve">Date of </w:t>
      </w:r>
      <w:r w:rsidR="00316466">
        <w:rPr>
          <w:rFonts w:ascii="Arial" w:hAnsi="Arial" w:cs="Arial"/>
          <w:b/>
          <w:szCs w:val="24"/>
        </w:rPr>
        <w:t>MSAC</w:t>
      </w:r>
      <w:r w:rsidRPr="00CE28E3">
        <w:rPr>
          <w:rFonts w:ascii="Arial" w:hAnsi="Arial" w:cs="Arial"/>
          <w:b/>
          <w:szCs w:val="24"/>
        </w:rPr>
        <w:t xml:space="preserve"> consideration:</w:t>
      </w:r>
      <w:r w:rsidRPr="00CE28E3">
        <w:rPr>
          <w:rFonts w:ascii="Arial" w:hAnsi="Arial" w:cs="Arial"/>
          <w:b/>
          <w:szCs w:val="24"/>
        </w:rPr>
        <w:tab/>
      </w:r>
      <w:r w:rsidR="00316466">
        <w:rPr>
          <w:rFonts w:ascii="Arial" w:hAnsi="Arial" w:cs="Arial"/>
          <w:b/>
          <w:szCs w:val="24"/>
        </w:rPr>
        <w:t>28-29 July</w:t>
      </w:r>
      <w:r w:rsidR="004504B0" w:rsidRPr="004504B0">
        <w:rPr>
          <w:rFonts w:ascii="Arial" w:hAnsi="Arial" w:cs="Arial"/>
          <w:b/>
          <w:szCs w:val="24"/>
        </w:rPr>
        <w:t xml:space="preserve"> 2022</w:t>
      </w:r>
      <w:bookmarkStart w:id="0" w:name="_Hlk69734340"/>
    </w:p>
    <w:p w14:paraId="787D6531" w14:textId="77777777" w:rsidR="00EA006F" w:rsidRPr="00B03EAB" w:rsidRDefault="00EA006F" w:rsidP="00EA006F">
      <w:pPr>
        <w:spacing w:before="240"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7EAA7262" w14:textId="00F3933D" w:rsidR="00772829" w:rsidRPr="00CE28E3" w:rsidRDefault="00772829" w:rsidP="00C7722F">
      <w:pPr>
        <w:pStyle w:val="Heading2"/>
        <w:numPr>
          <w:ilvl w:val="0"/>
          <w:numId w:val="18"/>
        </w:numPr>
        <w:ind w:hanging="720"/>
        <w:jc w:val="both"/>
      </w:pPr>
      <w:bookmarkStart w:id="1" w:name="_Toc69491415"/>
      <w:bookmarkEnd w:id="0"/>
      <w:r w:rsidRPr="00CE28E3">
        <w:t xml:space="preserve">Purpose </w:t>
      </w:r>
      <w:r w:rsidRPr="00CE28E3">
        <w:rPr>
          <w:szCs w:val="32"/>
        </w:rPr>
        <w:t>of</w:t>
      </w:r>
      <w:r w:rsidRPr="00CE28E3">
        <w:t xml:space="preserve"> application</w:t>
      </w:r>
      <w:bookmarkEnd w:id="1"/>
    </w:p>
    <w:p w14:paraId="6BF31FF2" w14:textId="34789DE5" w:rsidR="00772829" w:rsidRDefault="00772829" w:rsidP="00AC5A2B">
      <w:pPr>
        <w:spacing w:after="240"/>
        <w:rPr>
          <w:iCs/>
        </w:rPr>
      </w:pPr>
      <w:bookmarkStart w:id="2" w:name="_Hlk69734469"/>
      <w:r w:rsidRPr="009A3778">
        <w:rPr>
          <w:iCs/>
        </w:rPr>
        <w:t xml:space="preserve">An application requesting </w:t>
      </w:r>
      <w:r w:rsidR="00094D69">
        <w:rPr>
          <w:iCs/>
        </w:rPr>
        <w:t xml:space="preserve">funding under </w:t>
      </w:r>
      <w:r w:rsidR="00B676D5">
        <w:rPr>
          <w:iCs/>
        </w:rPr>
        <w:t xml:space="preserve">a </w:t>
      </w:r>
      <w:r w:rsidR="00094D69">
        <w:rPr>
          <w:iCs/>
        </w:rPr>
        <w:t>future Community Pharmacy Agreement</w:t>
      </w:r>
      <w:r w:rsidRPr="009A3778">
        <w:rPr>
          <w:iCs/>
        </w:rPr>
        <w:t xml:space="preserve"> </w:t>
      </w:r>
      <w:r w:rsidR="00E5472F">
        <w:rPr>
          <w:iCs/>
        </w:rPr>
        <w:t>for</w:t>
      </w:r>
      <w:r w:rsidRPr="009A3778">
        <w:rPr>
          <w:iCs/>
        </w:rPr>
        <w:t xml:space="preserve"> </w:t>
      </w:r>
      <w:r w:rsidR="00E14148">
        <w:rPr>
          <w:iCs/>
        </w:rPr>
        <w:t xml:space="preserve">pharmacists to provide a </w:t>
      </w:r>
      <w:r w:rsidR="00094D69">
        <w:rPr>
          <w:iCs/>
        </w:rPr>
        <w:t>Chronic Pain MedsCheck</w:t>
      </w:r>
      <w:r w:rsidR="00E14148">
        <w:rPr>
          <w:iCs/>
        </w:rPr>
        <w:t xml:space="preserve"> service</w:t>
      </w:r>
      <w:r w:rsidRPr="009A3778">
        <w:rPr>
          <w:iCs/>
        </w:rPr>
        <w:t xml:space="preserve"> for </w:t>
      </w:r>
      <w:r w:rsidR="00094D69">
        <w:rPr>
          <w:iCs/>
        </w:rPr>
        <w:t>people living with chronic pain</w:t>
      </w:r>
      <w:r w:rsidRPr="009A3778">
        <w:rPr>
          <w:iCs/>
        </w:rPr>
        <w:t xml:space="preserve"> was received from </w:t>
      </w:r>
      <w:r w:rsidR="00E14148">
        <w:rPr>
          <w:iCs/>
        </w:rPr>
        <w:t xml:space="preserve">The </w:t>
      </w:r>
      <w:r w:rsidR="00094D69">
        <w:rPr>
          <w:iCs/>
        </w:rPr>
        <w:t>Pharmacy Guild of Australia</w:t>
      </w:r>
      <w:r w:rsidRPr="009A3778">
        <w:rPr>
          <w:iCs/>
        </w:rPr>
        <w:t xml:space="preserve"> by the Department of Health</w:t>
      </w:r>
      <w:r w:rsidR="00BD5A67">
        <w:rPr>
          <w:iCs/>
        </w:rPr>
        <w:t xml:space="preserve"> and Aged Care</w:t>
      </w:r>
      <w:r w:rsidRPr="009A3778">
        <w:rPr>
          <w:iCs/>
        </w:rPr>
        <w:t>.</w:t>
      </w:r>
    </w:p>
    <w:p w14:paraId="4541518A" w14:textId="2767E811" w:rsidR="00316466" w:rsidRDefault="00316466" w:rsidP="00316466">
      <w:pPr>
        <w:pStyle w:val="Heading2"/>
        <w:numPr>
          <w:ilvl w:val="0"/>
          <w:numId w:val="18"/>
        </w:numPr>
        <w:ind w:hanging="720"/>
      </w:pPr>
      <w:r>
        <w:t>MSAC’s advice to the Minister</w:t>
      </w:r>
    </w:p>
    <w:p w14:paraId="67951FFE" w14:textId="124E3887" w:rsidR="00B51F03" w:rsidRPr="00B51F03" w:rsidRDefault="00B51F03" w:rsidP="00B51F03">
      <w:pPr>
        <w:rPr>
          <w:szCs w:val="24"/>
        </w:rPr>
      </w:pPr>
      <w:r>
        <w:t>After considering the strength of the available evidence in relation to comparative safety, clinical effectiveness</w:t>
      </w:r>
      <w:r w:rsidR="00037ADF">
        <w:t>,</w:t>
      </w:r>
      <w:r>
        <w:t xml:space="preserve"> cost-effectiveness</w:t>
      </w:r>
      <w:r w:rsidR="00037ADF">
        <w:t xml:space="preserve"> and total cost</w:t>
      </w:r>
      <w:r>
        <w:t xml:space="preserve">, MSAC did not support public funding of </w:t>
      </w:r>
      <w:r w:rsidR="00E14148">
        <w:t xml:space="preserve">the </w:t>
      </w:r>
      <w:r>
        <w:t>Chronic Pain MedsCheck</w:t>
      </w:r>
      <w:r w:rsidR="00E14148">
        <w:t xml:space="preserve"> service</w:t>
      </w:r>
      <w:r>
        <w:t>, under a future Community Pharmacy Agreement, for people living with chronic pain. MSAC acknowledged there is a high unmet need for coordinated multidisciplinary care for people experiencing difficulty managing chronic pain. However, MSAC had significant concerns with the trial design and conduct and as a consequence considered the evidence to be of low quality with a high risk of bias. MSAC considered the evidence presented did not demonstrate the comparative effectiveness and cost-effectiveness of Chronic Pain MedsCheck. MSAC also considered the estimated financial impact (net cost-savings) to be highly uncertain as utilisation may be underestimated and the reduction in use of other health services to manage chronic pain may be overestimated.</w:t>
      </w:r>
    </w:p>
    <w:tbl>
      <w:tblPr>
        <w:tblStyle w:val="TableGrid"/>
        <w:tblW w:w="0" w:type="auto"/>
        <w:tblLook w:val="04A0" w:firstRow="1" w:lastRow="0" w:firstColumn="1" w:lastColumn="0" w:noHBand="0" w:noVBand="1"/>
        <w:tblDescription w:val="Consumer summary of MSAC consideration"/>
      </w:tblPr>
      <w:tblGrid>
        <w:gridCol w:w="9016"/>
      </w:tblGrid>
      <w:tr w:rsidR="00316466" w14:paraId="4B5242B7" w14:textId="77777777" w:rsidTr="00316466">
        <w:trPr>
          <w:tblHeader/>
        </w:trPr>
        <w:tc>
          <w:tcPr>
            <w:tcW w:w="9016" w:type="dxa"/>
            <w:tcBorders>
              <w:top w:val="single" w:sz="4" w:space="0" w:color="auto"/>
              <w:left w:val="single" w:sz="4" w:space="0" w:color="auto"/>
              <w:bottom w:val="single" w:sz="4" w:space="0" w:color="auto"/>
              <w:right w:val="single" w:sz="4" w:space="0" w:color="auto"/>
            </w:tcBorders>
            <w:hideMark/>
          </w:tcPr>
          <w:p w14:paraId="772115E7" w14:textId="77777777" w:rsidR="00316466" w:rsidRPr="00316466" w:rsidRDefault="00316466">
            <w:pPr>
              <w:pStyle w:val="Default"/>
              <w:spacing w:before="120" w:after="120"/>
              <w:rPr>
                <w:rFonts w:ascii="Franklin Gothic Book" w:hAnsi="Franklin Gothic Book"/>
                <w:b/>
                <w:bCs/>
                <w:color w:val="auto"/>
                <w:sz w:val="22"/>
                <w:szCs w:val="22"/>
              </w:rPr>
            </w:pPr>
            <w:r w:rsidRPr="00316466">
              <w:rPr>
                <w:rFonts w:ascii="Franklin Gothic Book" w:hAnsi="Franklin Gothic Book"/>
                <w:b/>
                <w:bCs/>
                <w:color w:val="auto"/>
                <w:sz w:val="22"/>
                <w:szCs w:val="22"/>
              </w:rPr>
              <w:t>Consumer summary</w:t>
            </w:r>
          </w:p>
        </w:tc>
      </w:tr>
      <w:tr w:rsidR="00316466" w14:paraId="52B401EC" w14:textId="77777777" w:rsidTr="00316466">
        <w:tc>
          <w:tcPr>
            <w:tcW w:w="9016" w:type="dxa"/>
            <w:tcBorders>
              <w:top w:val="single" w:sz="4" w:space="0" w:color="auto"/>
              <w:left w:val="single" w:sz="4" w:space="0" w:color="auto"/>
              <w:bottom w:val="single" w:sz="4" w:space="0" w:color="auto"/>
              <w:right w:val="single" w:sz="4" w:space="0" w:color="auto"/>
            </w:tcBorders>
            <w:hideMark/>
          </w:tcPr>
          <w:p w14:paraId="3C1F6C84" w14:textId="5DDB60D1" w:rsidR="00BC2E0E" w:rsidRDefault="00B51F03" w:rsidP="007E50D1">
            <w:pPr>
              <w:pStyle w:val="Default"/>
              <w:spacing w:after="240"/>
              <w:rPr>
                <w:rFonts w:ascii="Franklin Gothic Book" w:hAnsi="Franklin Gothic Book"/>
                <w:iCs/>
                <w:color w:val="auto"/>
                <w:sz w:val="22"/>
                <w:szCs w:val="22"/>
              </w:rPr>
            </w:pPr>
            <w:r w:rsidRPr="00B51F03">
              <w:rPr>
                <w:rFonts w:ascii="Franklin Gothic Book" w:hAnsi="Franklin Gothic Book"/>
                <w:iCs/>
                <w:color w:val="auto"/>
                <w:sz w:val="22"/>
                <w:szCs w:val="22"/>
              </w:rPr>
              <w:t xml:space="preserve">This application from </w:t>
            </w:r>
            <w:r w:rsidR="00E14148">
              <w:rPr>
                <w:rFonts w:ascii="Franklin Gothic Book" w:hAnsi="Franklin Gothic Book"/>
                <w:iCs/>
                <w:color w:val="auto"/>
                <w:sz w:val="22"/>
                <w:szCs w:val="22"/>
              </w:rPr>
              <w:t>The</w:t>
            </w:r>
            <w:r w:rsidR="00E14148" w:rsidRPr="00B51F03">
              <w:rPr>
                <w:rFonts w:ascii="Franklin Gothic Book" w:hAnsi="Franklin Gothic Book"/>
                <w:iCs/>
                <w:color w:val="auto"/>
                <w:sz w:val="22"/>
                <w:szCs w:val="22"/>
              </w:rPr>
              <w:t xml:space="preserve"> </w:t>
            </w:r>
            <w:r w:rsidRPr="00B51F03">
              <w:rPr>
                <w:rFonts w:ascii="Franklin Gothic Book" w:hAnsi="Franklin Gothic Book"/>
                <w:iCs/>
                <w:color w:val="auto"/>
                <w:sz w:val="22"/>
                <w:szCs w:val="22"/>
              </w:rPr>
              <w:t xml:space="preserve">Pharmacy Guild </w:t>
            </w:r>
            <w:r w:rsidR="00483EBE">
              <w:rPr>
                <w:rFonts w:ascii="Franklin Gothic Book" w:hAnsi="Franklin Gothic Book"/>
                <w:iCs/>
                <w:color w:val="auto"/>
                <w:sz w:val="22"/>
                <w:szCs w:val="22"/>
              </w:rPr>
              <w:t xml:space="preserve">of </w:t>
            </w:r>
            <w:r w:rsidRPr="00B51F03">
              <w:rPr>
                <w:rFonts w:ascii="Franklin Gothic Book" w:hAnsi="Franklin Gothic Book"/>
                <w:iCs/>
                <w:color w:val="auto"/>
                <w:sz w:val="22"/>
                <w:szCs w:val="22"/>
              </w:rPr>
              <w:t xml:space="preserve">Australia </w:t>
            </w:r>
            <w:r w:rsidR="00BD210C">
              <w:rPr>
                <w:rFonts w:ascii="Franklin Gothic Book" w:hAnsi="Franklin Gothic Book"/>
                <w:iCs/>
                <w:color w:val="auto"/>
                <w:sz w:val="22"/>
                <w:szCs w:val="22"/>
              </w:rPr>
              <w:t xml:space="preserve">requested funding for community pharmacists to provide </w:t>
            </w:r>
            <w:r w:rsidR="00E14148">
              <w:rPr>
                <w:rFonts w:ascii="Franklin Gothic Book" w:hAnsi="Franklin Gothic Book"/>
                <w:iCs/>
                <w:color w:val="auto"/>
                <w:sz w:val="22"/>
                <w:szCs w:val="22"/>
              </w:rPr>
              <w:t xml:space="preserve">a </w:t>
            </w:r>
            <w:r w:rsidR="00BD210C" w:rsidRPr="00BD210C">
              <w:rPr>
                <w:rFonts w:ascii="Franklin Gothic Book" w:hAnsi="Franklin Gothic Book"/>
                <w:iCs/>
                <w:color w:val="auto"/>
                <w:sz w:val="22"/>
                <w:szCs w:val="22"/>
              </w:rPr>
              <w:t>Chronic Pain MedsCheck</w:t>
            </w:r>
            <w:r w:rsidR="00E14148">
              <w:rPr>
                <w:rFonts w:ascii="Franklin Gothic Book" w:hAnsi="Franklin Gothic Book"/>
                <w:iCs/>
                <w:color w:val="auto"/>
                <w:sz w:val="22"/>
                <w:szCs w:val="22"/>
              </w:rPr>
              <w:t xml:space="preserve"> service</w:t>
            </w:r>
            <w:r w:rsidR="00BD210C" w:rsidRPr="00BD210C">
              <w:rPr>
                <w:rFonts w:ascii="Franklin Gothic Book" w:hAnsi="Franklin Gothic Book"/>
                <w:iCs/>
                <w:color w:val="auto"/>
                <w:sz w:val="22"/>
                <w:szCs w:val="22"/>
              </w:rPr>
              <w:t xml:space="preserve"> for people living with chronic pain</w:t>
            </w:r>
            <w:r w:rsidR="00BD210C">
              <w:rPr>
                <w:rFonts w:ascii="Franklin Gothic Book" w:hAnsi="Franklin Gothic Book"/>
                <w:iCs/>
                <w:color w:val="auto"/>
                <w:sz w:val="22"/>
                <w:szCs w:val="22"/>
              </w:rPr>
              <w:t xml:space="preserve"> under a future Community Pharmacy Agreement. </w:t>
            </w:r>
          </w:p>
          <w:p w14:paraId="69D00966" w14:textId="441E2098" w:rsidR="00B47E57" w:rsidRPr="00BC2E0E" w:rsidRDefault="00B47E57" w:rsidP="007E50D1">
            <w:pPr>
              <w:pStyle w:val="Default"/>
              <w:spacing w:after="240"/>
              <w:rPr>
                <w:rFonts w:ascii="Franklin Gothic Book" w:hAnsi="Franklin Gothic Book"/>
                <w:iCs/>
                <w:color w:val="auto"/>
                <w:sz w:val="22"/>
                <w:szCs w:val="22"/>
              </w:rPr>
            </w:pPr>
            <w:r w:rsidRPr="00C94D86">
              <w:rPr>
                <w:rFonts w:ascii="Franklin Gothic Book" w:hAnsi="Franklin Gothic Book"/>
                <w:iCs/>
                <w:color w:val="auto"/>
                <w:sz w:val="22"/>
                <w:szCs w:val="22"/>
              </w:rPr>
              <w:t xml:space="preserve">Medication review services are intended to support the quality use of medicines and reduce medication misadventure, by assisting patients to better manage and understand their medicines. There are different types of medication review services that are publicly funded through </w:t>
            </w:r>
            <w:r w:rsidR="00E14148">
              <w:rPr>
                <w:rFonts w:ascii="Franklin Gothic Book" w:hAnsi="Franklin Gothic Book"/>
                <w:iCs/>
                <w:color w:val="auto"/>
                <w:sz w:val="22"/>
                <w:szCs w:val="22"/>
              </w:rPr>
              <w:t>the Seventh</w:t>
            </w:r>
            <w:r w:rsidRPr="00C94D86">
              <w:rPr>
                <w:rFonts w:ascii="Franklin Gothic Book" w:hAnsi="Franklin Gothic Book"/>
                <w:iCs/>
                <w:color w:val="auto"/>
                <w:sz w:val="22"/>
                <w:szCs w:val="22"/>
              </w:rPr>
              <w:t xml:space="preserve"> </w:t>
            </w:r>
            <w:hyperlink r:id="rId10" w:history="1">
              <w:r w:rsidRPr="00BC2E0E">
                <w:rPr>
                  <w:rStyle w:val="Hyperlink"/>
                  <w:rFonts w:ascii="Franklin Gothic Book" w:hAnsi="Franklin Gothic Book"/>
                  <w:iCs/>
                  <w:sz w:val="22"/>
                  <w:szCs w:val="22"/>
                </w:rPr>
                <w:t>Community Pharmacy Agreement</w:t>
              </w:r>
            </w:hyperlink>
            <w:r w:rsidRPr="00BC2E0E">
              <w:rPr>
                <w:rFonts w:ascii="Franklin Gothic Book" w:hAnsi="Franklin Gothic Book"/>
                <w:iCs/>
                <w:color w:val="auto"/>
                <w:sz w:val="22"/>
                <w:szCs w:val="22"/>
              </w:rPr>
              <w:t xml:space="preserve"> between the Commonwealth Government, </w:t>
            </w:r>
            <w:r w:rsidR="00E14148">
              <w:rPr>
                <w:rFonts w:ascii="Franklin Gothic Book" w:hAnsi="Franklin Gothic Book"/>
                <w:iCs/>
                <w:color w:val="auto"/>
                <w:sz w:val="22"/>
                <w:szCs w:val="22"/>
              </w:rPr>
              <w:t xml:space="preserve">The </w:t>
            </w:r>
            <w:r w:rsidRPr="00BC2E0E">
              <w:rPr>
                <w:rFonts w:ascii="Franklin Gothic Book" w:hAnsi="Franklin Gothic Book"/>
                <w:iCs/>
                <w:color w:val="auto"/>
                <w:sz w:val="22"/>
                <w:szCs w:val="22"/>
              </w:rPr>
              <w:t xml:space="preserve">Pharmacy Guild of Australia and the Pharmaceutical Society of Australia. This </w:t>
            </w:r>
            <w:r w:rsidRPr="00BC2E0E">
              <w:rPr>
                <w:rFonts w:ascii="Franklin Gothic Book" w:hAnsi="Franklin Gothic Book"/>
                <w:iCs/>
                <w:color w:val="auto"/>
                <w:sz w:val="22"/>
                <w:szCs w:val="22"/>
              </w:rPr>
              <w:lastRenderedPageBreak/>
              <w:t xml:space="preserve">includes the </w:t>
            </w:r>
            <w:hyperlink r:id="rId11" w:history="1">
              <w:r w:rsidRPr="00BC2E0E">
                <w:rPr>
                  <w:rStyle w:val="Hyperlink"/>
                  <w:rFonts w:ascii="Franklin Gothic Book" w:hAnsi="Franklin Gothic Book"/>
                  <w:iCs/>
                  <w:sz w:val="22"/>
                  <w:szCs w:val="22"/>
                </w:rPr>
                <w:t>Home Medicine</w:t>
              </w:r>
              <w:r w:rsidR="00E14148">
                <w:rPr>
                  <w:rStyle w:val="Hyperlink"/>
                  <w:rFonts w:ascii="Franklin Gothic Book" w:hAnsi="Franklin Gothic Book"/>
                  <w:iCs/>
                  <w:sz w:val="22"/>
                  <w:szCs w:val="22"/>
                </w:rPr>
                <w:t>s</w:t>
              </w:r>
              <w:r w:rsidRPr="00BC2E0E">
                <w:rPr>
                  <w:rStyle w:val="Hyperlink"/>
                  <w:rFonts w:ascii="Franklin Gothic Book" w:hAnsi="Franklin Gothic Book"/>
                  <w:iCs/>
                  <w:sz w:val="22"/>
                  <w:szCs w:val="22"/>
                </w:rPr>
                <w:t xml:space="preserve"> Review</w:t>
              </w:r>
            </w:hyperlink>
            <w:r w:rsidRPr="00BC2E0E">
              <w:rPr>
                <w:rFonts w:ascii="Franklin Gothic Book" w:hAnsi="Franklin Gothic Book"/>
                <w:iCs/>
                <w:color w:val="auto"/>
                <w:sz w:val="22"/>
                <w:szCs w:val="22"/>
              </w:rPr>
              <w:t xml:space="preserve">, </w:t>
            </w:r>
            <w:hyperlink r:id="rId12" w:history="1">
              <w:r w:rsidRPr="00BC2E0E">
                <w:rPr>
                  <w:rStyle w:val="Hyperlink"/>
                  <w:rFonts w:ascii="Franklin Gothic Book" w:hAnsi="Franklin Gothic Book"/>
                  <w:iCs/>
                  <w:sz w:val="22"/>
                  <w:szCs w:val="22"/>
                </w:rPr>
                <w:t>Residential Medication Management Review</w:t>
              </w:r>
            </w:hyperlink>
            <w:r w:rsidRPr="00BC2E0E">
              <w:rPr>
                <w:rFonts w:ascii="Franklin Gothic Book" w:hAnsi="Franklin Gothic Book"/>
                <w:iCs/>
                <w:color w:val="auto"/>
                <w:sz w:val="22"/>
                <w:szCs w:val="22"/>
              </w:rPr>
              <w:t xml:space="preserve">, </w:t>
            </w:r>
            <w:hyperlink r:id="rId13" w:history="1">
              <w:r w:rsidRPr="00BC2E0E">
                <w:rPr>
                  <w:rStyle w:val="Hyperlink"/>
                  <w:rFonts w:ascii="Franklin Gothic Book" w:hAnsi="Franklin Gothic Book"/>
                  <w:iCs/>
                  <w:sz w:val="22"/>
                  <w:szCs w:val="22"/>
                </w:rPr>
                <w:t>MedsCheck and Diabetes MedsCheck</w:t>
              </w:r>
            </w:hyperlink>
            <w:r w:rsidRPr="00BC2E0E">
              <w:rPr>
                <w:rFonts w:ascii="Franklin Gothic Book" w:hAnsi="Franklin Gothic Book"/>
                <w:iCs/>
                <w:color w:val="auto"/>
                <w:sz w:val="22"/>
                <w:szCs w:val="22"/>
              </w:rPr>
              <w:t xml:space="preserve">. </w:t>
            </w:r>
          </w:p>
          <w:p w14:paraId="79E8827D" w14:textId="6298E33F" w:rsidR="00B51F03" w:rsidRPr="00B51F03" w:rsidRDefault="00BC2E0E" w:rsidP="007E50D1">
            <w:pPr>
              <w:pStyle w:val="Default"/>
              <w:spacing w:after="240"/>
              <w:rPr>
                <w:rFonts w:ascii="Franklin Gothic Book" w:hAnsi="Franklin Gothic Book"/>
                <w:iCs/>
                <w:color w:val="auto"/>
                <w:sz w:val="22"/>
                <w:szCs w:val="22"/>
              </w:rPr>
            </w:pPr>
            <w:r>
              <w:rPr>
                <w:rFonts w:ascii="Franklin Gothic Book" w:hAnsi="Franklin Gothic Book"/>
                <w:iCs/>
                <w:color w:val="auto"/>
                <w:sz w:val="22"/>
                <w:szCs w:val="22"/>
              </w:rPr>
              <w:t xml:space="preserve">The Chronic Pain MedsCheck is an in-pharmacy, </w:t>
            </w:r>
            <w:r w:rsidRPr="007E50D1">
              <w:rPr>
                <w:rFonts w:ascii="Franklin Gothic Book" w:hAnsi="Franklin Gothic Book"/>
                <w:iCs/>
                <w:color w:val="auto"/>
                <w:sz w:val="22"/>
                <w:szCs w:val="22"/>
              </w:rPr>
              <w:t xml:space="preserve">patient-centred </w:t>
            </w:r>
            <w:r>
              <w:rPr>
                <w:rFonts w:ascii="Franklin Gothic Book" w:hAnsi="Franklin Gothic Book"/>
                <w:iCs/>
                <w:color w:val="auto"/>
                <w:sz w:val="22"/>
                <w:szCs w:val="22"/>
              </w:rPr>
              <w:t xml:space="preserve">medication review </w:t>
            </w:r>
            <w:r w:rsidRPr="007E50D1">
              <w:rPr>
                <w:rFonts w:ascii="Franklin Gothic Book" w:hAnsi="Franklin Gothic Book"/>
                <w:iCs/>
                <w:color w:val="auto"/>
                <w:sz w:val="22"/>
                <w:szCs w:val="22"/>
              </w:rPr>
              <w:t>service that focused on reviewing participant’s</w:t>
            </w:r>
            <w:r>
              <w:rPr>
                <w:rFonts w:ascii="Franklin Gothic Book" w:hAnsi="Franklin Gothic Book"/>
                <w:iCs/>
                <w:color w:val="auto"/>
                <w:sz w:val="22"/>
                <w:szCs w:val="22"/>
              </w:rPr>
              <w:t xml:space="preserve"> </w:t>
            </w:r>
            <w:r w:rsidRPr="007E50D1">
              <w:rPr>
                <w:rFonts w:ascii="Franklin Gothic Book" w:hAnsi="Franklin Gothic Book"/>
                <w:iCs/>
                <w:color w:val="auto"/>
                <w:sz w:val="22"/>
                <w:szCs w:val="22"/>
              </w:rPr>
              <w:t>medications and providing education and information to improve participant’s self-management of chronic</w:t>
            </w:r>
            <w:r>
              <w:rPr>
                <w:rFonts w:ascii="Franklin Gothic Book" w:hAnsi="Franklin Gothic Book"/>
                <w:iCs/>
                <w:color w:val="auto"/>
                <w:sz w:val="22"/>
                <w:szCs w:val="22"/>
              </w:rPr>
              <w:t xml:space="preserve"> </w:t>
            </w:r>
            <w:r w:rsidRPr="007E50D1">
              <w:rPr>
                <w:rFonts w:ascii="Franklin Gothic Book" w:hAnsi="Franklin Gothic Book"/>
                <w:iCs/>
                <w:color w:val="auto"/>
                <w:sz w:val="22"/>
                <w:szCs w:val="22"/>
              </w:rPr>
              <w:t>pain.</w:t>
            </w:r>
            <w:r>
              <w:rPr>
                <w:rFonts w:ascii="Franklin Gothic Book" w:hAnsi="Franklin Gothic Book"/>
                <w:iCs/>
                <w:color w:val="auto"/>
                <w:sz w:val="22"/>
                <w:szCs w:val="22"/>
              </w:rPr>
              <w:t xml:space="preserve"> </w:t>
            </w:r>
            <w:r w:rsidR="007E50D1">
              <w:rPr>
                <w:rFonts w:ascii="Franklin Gothic Book" w:hAnsi="Franklin Gothic Book"/>
                <w:iCs/>
                <w:color w:val="auto"/>
                <w:sz w:val="22"/>
                <w:szCs w:val="22"/>
              </w:rPr>
              <w:t xml:space="preserve">A trial of </w:t>
            </w:r>
            <w:r w:rsidR="00B51F03" w:rsidRPr="00B51F03">
              <w:rPr>
                <w:rFonts w:ascii="Franklin Gothic Book" w:hAnsi="Franklin Gothic Book"/>
                <w:iCs/>
                <w:color w:val="auto"/>
                <w:sz w:val="22"/>
                <w:szCs w:val="22"/>
              </w:rPr>
              <w:t xml:space="preserve">the Chronic Pain MedsCheck </w:t>
            </w:r>
            <w:r w:rsidR="007E50D1">
              <w:rPr>
                <w:rFonts w:ascii="Franklin Gothic Book" w:hAnsi="Franklin Gothic Book"/>
                <w:iCs/>
                <w:color w:val="auto"/>
                <w:sz w:val="22"/>
                <w:szCs w:val="22"/>
              </w:rPr>
              <w:t xml:space="preserve">was </w:t>
            </w:r>
            <w:r w:rsidR="00911150">
              <w:rPr>
                <w:rFonts w:ascii="Franklin Gothic Book" w:hAnsi="Franklin Gothic Book"/>
                <w:iCs/>
                <w:color w:val="auto"/>
                <w:sz w:val="22"/>
                <w:szCs w:val="22"/>
              </w:rPr>
              <w:t>performed</w:t>
            </w:r>
            <w:r w:rsidR="007E50D1">
              <w:rPr>
                <w:rFonts w:ascii="Franklin Gothic Book" w:hAnsi="Franklin Gothic Book"/>
                <w:iCs/>
                <w:color w:val="auto"/>
                <w:sz w:val="22"/>
                <w:szCs w:val="22"/>
              </w:rPr>
              <w:t xml:space="preserve"> </w:t>
            </w:r>
            <w:r w:rsidR="00B51F03" w:rsidRPr="00B51F03">
              <w:rPr>
                <w:rFonts w:ascii="Franklin Gothic Book" w:hAnsi="Franklin Gothic Book"/>
                <w:iCs/>
                <w:color w:val="auto"/>
                <w:sz w:val="22"/>
                <w:szCs w:val="22"/>
              </w:rPr>
              <w:t xml:space="preserve">to see how </w:t>
            </w:r>
            <w:r>
              <w:rPr>
                <w:rFonts w:ascii="Franklin Gothic Book" w:hAnsi="Franklin Gothic Book"/>
                <w:iCs/>
                <w:color w:val="auto"/>
                <w:sz w:val="22"/>
                <w:szCs w:val="22"/>
              </w:rPr>
              <w:t>well (</w:t>
            </w:r>
            <w:r w:rsidR="00B51F03" w:rsidRPr="00B51F03">
              <w:rPr>
                <w:rFonts w:ascii="Franklin Gothic Book" w:hAnsi="Franklin Gothic Book"/>
                <w:iCs/>
                <w:color w:val="auto"/>
                <w:sz w:val="22"/>
                <w:szCs w:val="22"/>
              </w:rPr>
              <w:t>effective</w:t>
            </w:r>
            <w:r>
              <w:rPr>
                <w:rFonts w:ascii="Franklin Gothic Book" w:hAnsi="Franklin Gothic Book"/>
                <w:iCs/>
                <w:color w:val="auto"/>
                <w:sz w:val="22"/>
                <w:szCs w:val="22"/>
              </w:rPr>
              <w:t>)</w:t>
            </w:r>
            <w:r w:rsidR="00B51F03" w:rsidRPr="00B51F03">
              <w:rPr>
                <w:rFonts w:ascii="Franklin Gothic Book" w:hAnsi="Franklin Gothic Book"/>
                <w:iCs/>
                <w:color w:val="auto"/>
                <w:sz w:val="22"/>
                <w:szCs w:val="22"/>
              </w:rPr>
              <w:t xml:space="preserve"> </w:t>
            </w:r>
            <w:r w:rsidR="007E50D1">
              <w:rPr>
                <w:rFonts w:ascii="Franklin Gothic Book" w:hAnsi="Franklin Gothic Book"/>
                <w:iCs/>
                <w:color w:val="auto"/>
                <w:sz w:val="22"/>
                <w:szCs w:val="22"/>
              </w:rPr>
              <w:t>the</w:t>
            </w:r>
            <w:r w:rsidR="00B51F03" w:rsidRPr="00B51F03">
              <w:rPr>
                <w:rFonts w:ascii="Franklin Gothic Book" w:hAnsi="Franklin Gothic Book"/>
                <w:iCs/>
                <w:color w:val="auto"/>
                <w:sz w:val="22"/>
                <w:szCs w:val="22"/>
              </w:rPr>
              <w:t xml:space="preserve"> service would be in:</w:t>
            </w:r>
          </w:p>
          <w:p w14:paraId="67E2ED4C" w14:textId="1E52DCA1" w:rsidR="00B51F03" w:rsidRPr="00B51F03" w:rsidRDefault="00B51F03" w:rsidP="00BC2E0E">
            <w:pPr>
              <w:pStyle w:val="Default"/>
              <w:numPr>
                <w:ilvl w:val="0"/>
                <w:numId w:val="23"/>
              </w:numPr>
              <w:spacing w:after="240"/>
              <w:ind w:left="714" w:hanging="357"/>
              <w:contextualSpacing/>
              <w:rPr>
                <w:rFonts w:ascii="Franklin Gothic Book" w:hAnsi="Franklin Gothic Book"/>
                <w:iCs/>
                <w:color w:val="auto"/>
                <w:sz w:val="22"/>
                <w:szCs w:val="22"/>
              </w:rPr>
            </w:pPr>
            <w:r w:rsidRPr="00B51F03">
              <w:rPr>
                <w:rFonts w:ascii="Franklin Gothic Book" w:hAnsi="Franklin Gothic Book"/>
                <w:iCs/>
                <w:color w:val="auto"/>
                <w:sz w:val="22"/>
                <w:szCs w:val="22"/>
              </w:rPr>
              <w:t>preventing incorrect use and/or overuse of pain medication</w:t>
            </w:r>
          </w:p>
          <w:p w14:paraId="07B65F25" w14:textId="6BE6BFD0" w:rsidR="00B51F03" w:rsidRPr="00B51F03" w:rsidRDefault="00B51F03" w:rsidP="00BC2E0E">
            <w:pPr>
              <w:pStyle w:val="Default"/>
              <w:numPr>
                <w:ilvl w:val="0"/>
                <w:numId w:val="23"/>
              </w:numPr>
              <w:spacing w:after="240"/>
              <w:ind w:left="714" w:hanging="357"/>
              <w:contextualSpacing/>
              <w:rPr>
                <w:rFonts w:ascii="Franklin Gothic Book" w:hAnsi="Franklin Gothic Book"/>
                <w:iCs/>
                <w:color w:val="auto"/>
                <w:sz w:val="22"/>
                <w:szCs w:val="22"/>
              </w:rPr>
            </w:pPr>
            <w:r w:rsidRPr="00B51F03">
              <w:rPr>
                <w:rFonts w:ascii="Franklin Gothic Book" w:hAnsi="Franklin Gothic Book"/>
                <w:iCs/>
                <w:color w:val="auto"/>
                <w:sz w:val="22"/>
                <w:szCs w:val="22"/>
              </w:rPr>
              <w:t>increasing participants’ pain medication health literacy</w:t>
            </w:r>
          </w:p>
          <w:p w14:paraId="7A6CBC72" w14:textId="0E5978AA" w:rsidR="00B51F03" w:rsidRPr="00B51F03" w:rsidRDefault="00B51F03" w:rsidP="00BC2E0E">
            <w:pPr>
              <w:pStyle w:val="Default"/>
              <w:numPr>
                <w:ilvl w:val="0"/>
                <w:numId w:val="23"/>
              </w:numPr>
              <w:spacing w:after="240"/>
              <w:ind w:left="714" w:hanging="357"/>
              <w:contextualSpacing/>
              <w:rPr>
                <w:rFonts w:ascii="Franklin Gothic Book" w:hAnsi="Franklin Gothic Book"/>
                <w:iCs/>
                <w:color w:val="auto"/>
                <w:sz w:val="22"/>
                <w:szCs w:val="22"/>
              </w:rPr>
            </w:pPr>
            <w:r w:rsidRPr="00B51F03">
              <w:rPr>
                <w:rFonts w:ascii="Franklin Gothic Book" w:hAnsi="Franklin Gothic Book"/>
                <w:iCs/>
                <w:color w:val="auto"/>
                <w:sz w:val="22"/>
                <w:szCs w:val="22"/>
              </w:rPr>
              <w:t xml:space="preserve">improving participants’ ability to self-manage their chronic pain </w:t>
            </w:r>
          </w:p>
          <w:p w14:paraId="38864F7C" w14:textId="1976CD07" w:rsidR="00B51F03" w:rsidRDefault="00B51F03" w:rsidP="00BC2E0E">
            <w:pPr>
              <w:pStyle w:val="Default"/>
              <w:numPr>
                <w:ilvl w:val="0"/>
                <w:numId w:val="23"/>
              </w:numPr>
              <w:spacing w:after="240"/>
              <w:ind w:left="714" w:hanging="357"/>
              <w:contextualSpacing/>
              <w:rPr>
                <w:rFonts w:ascii="Franklin Gothic Book" w:hAnsi="Franklin Gothic Book"/>
                <w:iCs/>
                <w:color w:val="auto"/>
                <w:sz w:val="22"/>
                <w:szCs w:val="22"/>
              </w:rPr>
            </w:pPr>
            <w:r w:rsidRPr="00B51F03">
              <w:rPr>
                <w:rFonts w:ascii="Franklin Gothic Book" w:hAnsi="Franklin Gothic Book"/>
                <w:iCs/>
                <w:color w:val="auto"/>
                <w:sz w:val="22"/>
                <w:szCs w:val="22"/>
              </w:rPr>
              <w:t xml:space="preserve">improving participants’ overall quality of life. </w:t>
            </w:r>
          </w:p>
          <w:p w14:paraId="5943FEE2" w14:textId="77777777" w:rsidR="007E50D1" w:rsidRPr="00B51F03" w:rsidRDefault="007E50D1" w:rsidP="00BC2E0E">
            <w:pPr>
              <w:pStyle w:val="Default"/>
              <w:spacing w:after="240"/>
              <w:ind w:left="714"/>
              <w:contextualSpacing/>
              <w:rPr>
                <w:rFonts w:ascii="Franklin Gothic Book" w:hAnsi="Franklin Gothic Book"/>
                <w:iCs/>
                <w:color w:val="auto"/>
                <w:sz w:val="22"/>
                <w:szCs w:val="22"/>
              </w:rPr>
            </w:pPr>
          </w:p>
          <w:p w14:paraId="13A41B72" w14:textId="60157172" w:rsidR="00B51F03" w:rsidRPr="00B51F03" w:rsidRDefault="00B51F03" w:rsidP="00B51F03">
            <w:pPr>
              <w:pStyle w:val="Default"/>
              <w:spacing w:after="240"/>
              <w:rPr>
                <w:rFonts w:ascii="Franklin Gothic Book" w:hAnsi="Franklin Gothic Book"/>
                <w:iCs/>
                <w:color w:val="auto"/>
                <w:sz w:val="22"/>
                <w:szCs w:val="22"/>
              </w:rPr>
            </w:pPr>
            <w:r w:rsidRPr="00B51F03">
              <w:rPr>
                <w:rFonts w:ascii="Franklin Gothic Book" w:hAnsi="Franklin Gothic Book"/>
                <w:iCs/>
                <w:color w:val="auto"/>
                <w:sz w:val="22"/>
                <w:szCs w:val="22"/>
              </w:rPr>
              <w:t xml:space="preserve">MSAC noted that chronic pain is a serious issue that affects many people in the community and, for various reasons, not everyone affected by chronic pain </w:t>
            </w:r>
            <w:r w:rsidR="005B0E3A">
              <w:rPr>
                <w:rFonts w:ascii="Franklin Gothic Book" w:hAnsi="Franklin Gothic Book"/>
                <w:iCs/>
                <w:color w:val="auto"/>
                <w:sz w:val="22"/>
                <w:szCs w:val="22"/>
              </w:rPr>
              <w:t xml:space="preserve">can </w:t>
            </w:r>
            <w:r w:rsidRPr="00B51F03">
              <w:rPr>
                <w:rFonts w:ascii="Franklin Gothic Book" w:hAnsi="Franklin Gothic Book"/>
                <w:iCs/>
                <w:color w:val="auto"/>
                <w:sz w:val="22"/>
                <w:szCs w:val="22"/>
              </w:rPr>
              <w:t xml:space="preserve">regularly see their </w:t>
            </w:r>
            <w:r w:rsidR="005B0E3A">
              <w:rPr>
                <w:rFonts w:ascii="Franklin Gothic Book" w:hAnsi="Franklin Gothic Book"/>
                <w:iCs/>
                <w:color w:val="auto"/>
                <w:sz w:val="22"/>
                <w:szCs w:val="22"/>
              </w:rPr>
              <w:t>usual</w:t>
            </w:r>
            <w:r w:rsidR="005B0E3A" w:rsidRPr="00B51F03">
              <w:rPr>
                <w:rFonts w:ascii="Franklin Gothic Book" w:hAnsi="Franklin Gothic Book"/>
                <w:iCs/>
                <w:color w:val="auto"/>
                <w:sz w:val="22"/>
                <w:szCs w:val="22"/>
              </w:rPr>
              <w:t xml:space="preserve"> </w:t>
            </w:r>
            <w:r w:rsidRPr="00B51F03">
              <w:rPr>
                <w:rFonts w:ascii="Franklin Gothic Book" w:hAnsi="Franklin Gothic Book"/>
                <w:iCs/>
                <w:color w:val="auto"/>
                <w:sz w:val="22"/>
                <w:szCs w:val="22"/>
              </w:rPr>
              <w:t>doctor (</w:t>
            </w:r>
            <w:r w:rsidR="007E50D1">
              <w:rPr>
                <w:rFonts w:ascii="Franklin Gothic Book" w:hAnsi="Franklin Gothic Book"/>
                <w:iCs/>
                <w:color w:val="auto"/>
                <w:sz w:val="22"/>
                <w:szCs w:val="22"/>
              </w:rPr>
              <w:t>general practitioner [</w:t>
            </w:r>
            <w:r w:rsidRPr="00B51F03">
              <w:rPr>
                <w:rFonts w:ascii="Franklin Gothic Book" w:hAnsi="Franklin Gothic Book"/>
                <w:iCs/>
                <w:color w:val="auto"/>
                <w:sz w:val="22"/>
                <w:szCs w:val="22"/>
              </w:rPr>
              <w:t>GP</w:t>
            </w:r>
            <w:r w:rsidR="007E50D1">
              <w:rPr>
                <w:rFonts w:ascii="Franklin Gothic Book" w:hAnsi="Franklin Gothic Book"/>
                <w:iCs/>
                <w:color w:val="auto"/>
                <w:sz w:val="22"/>
                <w:szCs w:val="22"/>
              </w:rPr>
              <w:t>]</w:t>
            </w:r>
            <w:r w:rsidRPr="00B51F03">
              <w:rPr>
                <w:rFonts w:ascii="Franklin Gothic Book" w:hAnsi="Franklin Gothic Book"/>
                <w:iCs/>
                <w:color w:val="auto"/>
                <w:sz w:val="22"/>
                <w:szCs w:val="22"/>
              </w:rPr>
              <w:t xml:space="preserve">). MSAC also noted that pharmacists play a vital role in the healthcare system. However, MSAC noted that managing chronic pain </w:t>
            </w:r>
            <w:r w:rsidR="004B4691">
              <w:rPr>
                <w:rFonts w:ascii="Franklin Gothic Book" w:hAnsi="Franklin Gothic Book"/>
                <w:iCs/>
                <w:color w:val="auto"/>
                <w:sz w:val="22"/>
                <w:szCs w:val="22"/>
              </w:rPr>
              <w:t>should happen in</w:t>
            </w:r>
            <w:r w:rsidR="004B4691" w:rsidRPr="00B51F03">
              <w:rPr>
                <w:rFonts w:ascii="Franklin Gothic Book" w:hAnsi="Franklin Gothic Book"/>
                <w:iCs/>
                <w:color w:val="auto"/>
                <w:sz w:val="22"/>
                <w:szCs w:val="22"/>
              </w:rPr>
              <w:t xml:space="preserve"> </w:t>
            </w:r>
            <w:r w:rsidRPr="00B51F03">
              <w:rPr>
                <w:rFonts w:ascii="Franklin Gothic Book" w:hAnsi="Franklin Gothic Book"/>
                <w:iCs/>
                <w:color w:val="auto"/>
                <w:sz w:val="22"/>
                <w:szCs w:val="22"/>
              </w:rPr>
              <w:t xml:space="preserve">a </w:t>
            </w:r>
            <w:r w:rsidR="0042468D">
              <w:rPr>
                <w:rFonts w:ascii="Franklin Gothic Book" w:hAnsi="Franklin Gothic Book"/>
                <w:iCs/>
                <w:color w:val="auto"/>
                <w:sz w:val="22"/>
                <w:szCs w:val="22"/>
              </w:rPr>
              <w:t xml:space="preserve">coordinated </w:t>
            </w:r>
            <w:r w:rsidRPr="00B51F03">
              <w:rPr>
                <w:rFonts w:ascii="Franklin Gothic Book" w:hAnsi="Franklin Gothic Book"/>
                <w:iCs/>
                <w:color w:val="auto"/>
                <w:sz w:val="22"/>
                <w:szCs w:val="22"/>
              </w:rPr>
              <w:t xml:space="preserve">approach </w:t>
            </w:r>
            <w:r w:rsidR="0042468D">
              <w:rPr>
                <w:rFonts w:ascii="Franklin Gothic Book" w:hAnsi="Franklin Gothic Book"/>
                <w:iCs/>
                <w:color w:val="auto"/>
                <w:sz w:val="22"/>
                <w:szCs w:val="22"/>
              </w:rPr>
              <w:t>involving a</w:t>
            </w:r>
            <w:r w:rsidR="00483EBE">
              <w:rPr>
                <w:rFonts w:ascii="Franklin Gothic Book" w:hAnsi="Franklin Gothic Book"/>
                <w:iCs/>
                <w:color w:val="auto"/>
                <w:sz w:val="22"/>
                <w:szCs w:val="22"/>
              </w:rPr>
              <w:t xml:space="preserve"> patient’s </w:t>
            </w:r>
            <w:r w:rsidR="004B4691">
              <w:rPr>
                <w:rFonts w:ascii="Franklin Gothic Book" w:hAnsi="Franklin Gothic Book"/>
                <w:iCs/>
                <w:color w:val="auto"/>
                <w:sz w:val="22"/>
                <w:szCs w:val="22"/>
              </w:rPr>
              <w:t>GP</w:t>
            </w:r>
            <w:r w:rsidR="00483EBE">
              <w:rPr>
                <w:rFonts w:ascii="Franklin Gothic Book" w:hAnsi="Franklin Gothic Book"/>
                <w:iCs/>
                <w:color w:val="auto"/>
                <w:sz w:val="22"/>
                <w:szCs w:val="22"/>
              </w:rPr>
              <w:t xml:space="preserve"> and a</w:t>
            </w:r>
            <w:r w:rsidR="0042468D">
              <w:rPr>
                <w:rFonts w:ascii="Franklin Gothic Book" w:hAnsi="Franklin Gothic Book"/>
                <w:iCs/>
                <w:color w:val="auto"/>
                <w:sz w:val="22"/>
                <w:szCs w:val="22"/>
              </w:rPr>
              <w:t xml:space="preserve"> variety of</w:t>
            </w:r>
            <w:r w:rsidRPr="00B51F03">
              <w:rPr>
                <w:rFonts w:ascii="Franklin Gothic Book" w:hAnsi="Franklin Gothic Book"/>
                <w:iCs/>
                <w:color w:val="auto"/>
                <w:sz w:val="22"/>
                <w:szCs w:val="22"/>
              </w:rPr>
              <w:t xml:space="preserve"> healthcare providers</w:t>
            </w:r>
            <w:r w:rsidR="0042468D">
              <w:rPr>
                <w:rFonts w:ascii="Franklin Gothic Book" w:hAnsi="Franklin Gothic Book"/>
                <w:iCs/>
                <w:color w:val="auto"/>
                <w:sz w:val="22"/>
                <w:szCs w:val="22"/>
              </w:rPr>
              <w:t xml:space="preserve">. MSAC was concerned that </w:t>
            </w:r>
            <w:r w:rsidR="009647E6">
              <w:rPr>
                <w:rFonts w:ascii="Franklin Gothic Book" w:hAnsi="Franklin Gothic Book"/>
                <w:iCs/>
                <w:color w:val="auto"/>
                <w:sz w:val="22"/>
                <w:szCs w:val="22"/>
              </w:rPr>
              <w:t>the Chronic Pain MedsCheck service</w:t>
            </w:r>
            <w:r w:rsidR="00483EBE">
              <w:rPr>
                <w:rFonts w:ascii="Franklin Gothic Book" w:hAnsi="Franklin Gothic Book"/>
                <w:iCs/>
                <w:color w:val="auto"/>
                <w:sz w:val="22"/>
                <w:szCs w:val="22"/>
              </w:rPr>
              <w:t xml:space="preserve"> does not require involvement of a</w:t>
            </w:r>
            <w:r w:rsidR="0042468D">
              <w:rPr>
                <w:rFonts w:ascii="Franklin Gothic Book" w:hAnsi="Franklin Gothic Book"/>
                <w:iCs/>
                <w:color w:val="auto"/>
                <w:sz w:val="22"/>
                <w:szCs w:val="22"/>
              </w:rPr>
              <w:t xml:space="preserve"> GP</w:t>
            </w:r>
            <w:r w:rsidR="009647E6">
              <w:rPr>
                <w:rFonts w:ascii="Franklin Gothic Book" w:hAnsi="Franklin Gothic Book"/>
                <w:iCs/>
                <w:color w:val="auto"/>
                <w:sz w:val="22"/>
                <w:szCs w:val="22"/>
              </w:rPr>
              <w:t xml:space="preserve">. MSAC considered this may </w:t>
            </w:r>
            <w:r w:rsidR="0042468D">
              <w:rPr>
                <w:rFonts w:ascii="Franklin Gothic Book" w:hAnsi="Franklin Gothic Book"/>
                <w:iCs/>
                <w:color w:val="auto"/>
                <w:sz w:val="22"/>
                <w:szCs w:val="22"/>
              </w:rPr>
              <w:t xml:space="preserve">present safety issues </w:t>
            </w:r>
            <w:r w:rsidR="00C21EB2">
              <w:rPr>
                <w:rFonts w:ascii="Franklin Gothic Book" w:hAnsi="Franklin Gothic Book"/>
                <w:iCs/>
                <w:color w:val="auto"/>
                <w:sz w:val="22"/>
                <w:szCs w:val="22"/>
              </w:rPr>
              <w:t>because</w:t>
            </w:r>
            <w:r w:rsidR="0042468D">
              <w:rPr>
                <w:rFonts w:ascii="Franklin Gothic Book" w:hAnsi="Franklin Gothic Book"/>
                <w:iCs/>
                <w:color w:val="auto"/>
                <w:sz w:val="22"/>
                <w:szCs w:val="22"/>
              </w:rPr>
              <w:t xml:space="preserve"> </w:t>
            </w:r>
            <w:r w:rsidR="009647E6">
              <w:rPr>
                <w:rFonts w:ascii="Franklin Gothic Book" w:hAnsi="Franklin Gothic Book"/>
                <w:iCs/>
                <w:color w:val="auto"/>
                <w:sz w:val="22"/>
                <w:szCs w:val="22"/>
              </w:rPr>
              <w:t xml:space="preserve">the pharmacist </w:t>
            </w:r>
            <w:r w:rsidR="00C21EB2">
              <w:rPr>
                <w:rFonts w:ascii="Franklin Gothic Book" w:hAnsi="Franklin Gothic Book"/>
                <w:iCs/>
                <w:color w:val="auto"/>
                <w:sz w:val="22"/>
                <w:szCs w:val="22"/>
              </w:rPr>
              <w:t xml:space="preserve">is </w:t>
            </w:r>
            <w:r w:rsidR="0042468D">
              <w:rPr>
                <w:rFonts w:ascii="Franklin Gothic Book" w:hAnsi="Franklin Gothic Book"/>
                <w:iCs/>
                <w:color w:val="auto"/>
                <w:sz w:val="22"/>
                <w:szCs w:val="22"/>
              </w:rPr>
              <w:t xml:space="preserve">not able to confirm with a doctor why a patient has been prescribed certain medications or understand if </w:t>
            </w:r>
            <w:r w:rsidR="005B0E3A">
              <w:rPr>
                <w:rFonts w:ascii="Franklin Gothic Book" w:hAnsi="Franklin Gothic Book"/>
                <w:iCs/>
                <w:color w:val="auto"/>
                <w:sz w:val="22"/>
                <w:szCs w:val="22"/>
              </w:rPr>
              <w:t>the underlying</w:t>
            </w:r>
            <w:r w:rsidR="0042468D">
              <w:rPr>
                <w:rFonts w:ascii="Franklin Gothic Book" w:hAnsi="Franklin Gothic Book"/>
                <w:iCs/>
                <w:color w:val="auto"/>
                <w:sz w:val="22"/>
                <w:szCs w:val="22"/>
              </w:rPr>
              <w:t xml:space="preserve"> condition is worsening. </w:t>
            </w:r>
            <w:r w:rsidR="004B4691">
              <w:rPr>
                <w:rFonts w:ascii="Franklin Gothic Book" w:hAnsi="Franklin Gothic Book"/>
                <w:iCs/>
                <w:color w:val="auto"/>
                <w:sz w:val="22"/>
                <w:szCs w:val="22"/>
              </w:rPr>
              <w:t>MSAC considered that pharmacists could potentially provide services that help people m</w:t>
            </w:r>
            <w:r w:rsidR="007562AE">
              <w:rPr>
                <w:rFonts w:ascii="Franklin Gothic Book" w:hAnsi="Franklin Gothic Book"/>
                <w:iCs/>
                <w:color w:val="auto"/>
                <w:sz w:val="22"/>
                <w:szCs w:val="22"/>
              </w:rPr>
              <w:t>a</w:t>
            </w:r>
            <w:r w:rsidR="004B4691">
              <w:rPr>
                <w:rFonts w:ascii="Franklin Gothic Book" w:hAnsi="Franklin Gothic Book"/>
                <w:iCs/>
                <w:color w:val="auto"/>
                <w:sz w:val="22"/>
                <w:szCs w:val="22"/>
              </w:rPr>
              <w:t>nage their chronic pain. However</w:t>
            </w:r>
            <w:r w:rsidR="0042468D">
              <w:rPr>
                <w:rFonts w:ascii="Franklin Gothic Book" w:hAnsi="Franklin Gothic Book"/>
                <w:iCs/>
                <w:color w:val="auto"/>
                <w:sz w:val="22"/>
                <w:szCs w:val="22"/>
              </w:rPr>
              <w:t>, MSAC was concerned that</w:t>
            </w:r>
            <w:r w:rsidR="005B0E3A">
              <w:rPr>
                <w:rFonts w:ascii="Franklin Gothic Book" w:hAnsi="Franklin Gothic Book"/>
                <w:iCs/>
                <w:color w:val="auto"/>
                <w:sz w:val="22"/>
                <w:szCs w:val="22"/>
              </w:rPr>
              <w:t>,</w:t>
            </w:r>
            <w:r w:rsidR="0042468D">
              <w:rPr>
                <w:rFonts w:ascii="Franklin Gothic Book" w:hAnsi="Franklin Gothic Book"/>
                <w:iCs/>
                <w:color w:val="auto"/>
                <w:sz w:val="22"/>
                <w:szCs w:val="22"/>
              </w:rPr>
              <w:t xml:space="preserve"> without GP involvement</w:t>
            </w:r>
            <w:r w:rsidR="005B0E3A">
              <w:rPr>
                <w:rFonts w:ascii="Franklin Gothic Book" w:hAnsi="Franklin Gothic Book"/>
                <w:iCs/>
                <w:color w:val="auto"/>
                <w:sz w:val="22"/>
                <w:szCs w:val="22"/>
              </w:rPr>
              <w:t>,</w:t>
            </w:r>
            <w:r w:rsidR="0042468D">
              <w:rPr>
                <w:rFonts w:ascii="Franklin Gothic Book" w:hAnsi="Franklin Gothic Book"/>
                <w:iCs/>
                <w:color w:val="auto"/>
                <w:sz w:val="22"/>
                <w:szCs w:val="22"/>
              </w:rPr>
              <w:t xml:space="preserve"> the service may not </w:t>
            </w:r>
            <w:r w:rsidR="00E14148">
              <w:rPr>
                <w:rFonts w:ascii="Franklin Gothic Book" w:hAnsi="Franklin Gothic Book"/>
                <w:iCs/>
                <w:color w:val="auto"/>
                <w:sz w:val="22"/>
                <w:szCs w:val="22"/>
              </w:rPr>
              <w:t>result in</w:t>
            </w:r>
            <w:r w:rsidR="0042468D">
              <w:rPr>
                <w:rFonts w:ascii="Franklin Gothic Book" w:hAnsi="Franklin Gothic Book"/>
                <w:iCs/>
                <w:color w:val="auto"/>
                <w:sz w:val="22"/>
                <w:szCs w:val="22"/>
              </w:rPr>
              <w:t xml:space="preserve"> </w:t>
            </w:r>
            <w:r w:rsidR="005B0E3A">
              <w:rPr>
                <w:rFonts w:ascii="Franklin Gothic Book" w:hAnsi="Franklin Gothic Book"/>
                <w:iCs/>
                <w:color w:val="auto"/>
                <w:sz w:val="22"/>
                <w:szCs w:val="22"/>
              </w:rPr>
              <w:t xml:space="preserve">the best </w:t>
            </w:r>
            <w:r w:rsidR="0042468D" w:rsidRPr="0042468D">
              <w:rPr>
                <w:rFonts w:ascii="Franklin Gothic Book" w:hAnsi="Franklin Gothic Book"/>
                <w:iCs/>
                <w:color w:val="auto"/>
                <w:sz w:val="22"/>
                <w:szCs w:val="22"/>
              </w:rPr>
              <w:t xml:space="preserve">coordinated and multidisciplinary </w:t>
            </w:r>
            <w:r w:rsidR="0042468D">
              <w:rPr>
                <w:rFonts w:ascii="Franklin Gothic Book" w:hAnsi="Franklin Gothic Book"/>
                <w:iCs/>
                <w:color w:val="auto"/>
                <w:sz w:val="22"/>
                <w:szCs w:val="22"/>
              </w:rPr>
              <w:t>care</w:t>
            </w:r>
            <w:r w:rsidR="0042468D" w:rsidRPr="0042468D">
              <w:rPr>
                <w:rFonts w:ascii="Franklin Gothic Book" w:hAnsi="Franklin Gothic Book"/>
                <w:iCs/>
                <w:color w:val="auto"/>
                <w:sz w:val="22"/>
                <w:szCs w:val="22"/>
              </w:rPr>
              <w:t xml:space="preserve"> for people living with chronic pain</w:t>
            </w:r>
            <w:r w:rsidRPr="00B51F03">
              <w:rPr>
                <w:rFonts w:ascii="Franklin Gothic Book" w:hAnsi="Franklin Gothic Book"/>
                <w:iCs/>
                <w:color w:val="auto"/>
                <w:sz w:val="22"/>
                <w:szCs w:val="22"/>
              </w:rPr>
              <w:t>.</w:t>
            </w:r>
          </w:p>
          <w:p w14:paraId="19BD9E43" w14:textId="7F0E691A" w:rsidR="00B51F03" w:rsidRPr="00B51F03" w:rsidRDefault="00B51F03" w:rsidP="00B51F03">
            <w:pPr>
              <w:pStyle w:val="Default"/>
              <w:spacing w:after="240"/>
              <w:rPr>
                <w:rFonts w:ascii="Franklin Gothic Book" w:hAnsi="Franklin Gothic Book"/>
                <w:iCs/>
                <w:color w:val="auto"/>
                <w:sz w:val="22"/>
                <w:szCs w:val="22"/>
              </w:rPr>
            </w:pPr>
            <w:r w:rsidRPr="00B51F03">
              <w:rPr>
                <w:rFonts w:ascii="Franklin Gothic Book" w:hAnsi="Franklin Gothic Book"/>
                <w:iCs/>
                <w:color w:val="auto"/>
                <w:sz w:val="22"/>
                <w:szCs w:val="22"/>
              </w:rPr>
              <w:t>When looking at the results of the trial, MSAC noted that th</w:t>
            </w:r>
            <w:r w:rsidR="007E50D1">
              <w:rPr>
                <w:rFonts w:ascii="Franklin Gothic Book" w:hAnsi="Franklin Gothic Book"/>
                <w:iCs/>
                <w:color w:val="auto"/>
                <w:sz w:val="22"/>
                <w:szCs w:val="22"/>
              </w:rPr>
              <w:t>e</w:t>
            </w:r>
            <w:r w:rsidRPr="00B51F03">
              <w:rPr>
                <w:rFonts w:ascii="Franklin Gothic Book" w:hAnsi="Franklin Gothic Book"/>
                <w:iCs/>
                <w:color w:val="auto"/>
                <w:sz w:val="22"/>
                <w:szCs w:val="22"/>
              </w:rPr>
              <w:t xml:space="preserve"> trial </w:t>
            </w:r>
            <w:r w:rsidR="007E50D1">
              <w:rPr>
                <w:rFonts w:ascii="Franklin Gothic Book" w:hAnsi="Franklin Gothic Book"/>
                <w:iCs/>
                <w:color w:val="auto"/>
                <w:sz w:val="22"/>
                <w:szCs w:val="22"/>
              </w:rPr>
              <w:t>was</w:t>
            </w:r>
            <w:r w:rsidR="007E50D1" w:rsidRPr="00B51F03">
              <w:rPr>
                <w:rFonts w:ascii="Franklin Gothic Book" w:hAnsi="Franklin Gothic Book"/>
                <w:iCs/>
                <w:color w:val="auto"/>
                <w:sz w:val="22"/>
                <w:szCs w:val="22"/>
              </w:rPr>
              <w:t xml:space="preserve"> </w:t>
            </w:r>
            <w:r w:rsidRPr="00B51F03">
              <w:rPr>
                <w:rFonts w:ascii="Franklin Gothic Book" w:hAnsi="Franklin Gothic Book"/>
                <w:iCs/>
                <w:color w:val="auto"/>
                <w:sz w:val="22"/>
                <w:szCs w:val="22"/>
              </w:rPr>
              <w:t xml:space="preserve">not well designed. </w:t>
            </w:r>
            <w:r w:rsidR="0042468D">
              <w:rPr>
                <w:rFonts w:ascii="Franklin Gothic Book" w:hAnsi="Franklin Gothic Book"/>
                <w:iCs/>
                <w:color w:val="auto"/>
                <w:sz w:val="22"/>
                <w:szCs w:val="22"/>
              </w:rPr>
              <w:t xml:space="preserve">MSAC noted </w:t>
            </w:r>
            <w:r w:rsidR="004B4691">
              <w:rPr>
                <w:rFonts w:ascii="Franklin Gothic Book" w:hAnsi="Franklin Gothic Book"/>
                <w:iCs/>
                <w:color w:val="auto"/>
                <w:sz w:val="22"/>
                <w:szCs w:val="22"/>
              </w:rPr>
              <w:t>a large proportion of</w:t>
            </w:r>
            <w:r w:rsidR="007E50D1">
              <w:rPr>
                <w:rFonts w:ascii="Franklin Gothic Book" w:hAnsi="Franklin Gothic Book"/>
                <w:iCs/>
                <w:color w:val="auto"/>
                <w:sz w:val="22"/>
                <w:szCs w:val="22"/>
              </w:rPr>
              <w:t xml:space="preserve"> people did not complete the trial (dropped out), </w:t>
            </w:r>
            <w:r w:rsidRPr="00B51F03">
              <w:rPr>
                <w:rFonts w:ascii="Franklin Gothic Book" w:hAnsi="Franklin Gothic Book"/>
                <w:iCs/>
                <w:color w:val="auto"/>
                <w:sz w:val="22"/>
                <w:szCs w:val="22"/>
              </w:rPr>
              <w:t xml:space="preserve">and </w:t>
            </w:r>
            <w:r w:rsidR="005B0E3A">
              <w:rPr>
                <w:rFonts w:ascii="Franklin Gothic Book" w:hAnsi="Franklin Gothic Book"/>
                <w:iCs/>
                <w:color w:val="auto"/>
                <w:sz w:val="22"/>
                <w:szCs w:val="22"/>
              </w:rPr>
              <w:t xml:space="preserve">that, </w:t>
            </w:r>
            <w:r w:rsidR="009647E6">
              <w:rPr>
                <w:rFonts w:ascii="Franklin Gothic Book" w:hAnsi="Franklin Gothic Book"/>
                <w:iCs/>
                <w:color w:val="auto"/>
                <w:sz w:val="22"/>
                <w:szCs w:val="22"/>
              </w:rPr>
              <w:t>due to problems with the trial design</w:t>
            </w:r>
            <w:r w:rsidR="005B0E3A">
              <w:rPr>
                <w:rFonts w:ascii="Franklin Gothic Book" w:hAnsi="Franklin Gothic Book"/>
                <w:iCs/>
                <w:color w:val="auto"/>
                <w:sz w:val="22"/>
                <w:szCs w:val="22"/>
              </w:rPr>
              <w:t>,</w:t>
            </w:r>
            <w:r w:rsidR="009647E6">
              <w:rPr>
                <w:rFonts w:ascii="Franklin Gothic Book" w:hAnsi="Franklin Gothic Book"/>
                <w:iCs/>
                <w:color w:val="auto"/>
                <w:sz w:val="22"/>
                <w:szCs w:val="22"/>
              </w:rPr>
              <w:t xml:space="preserve"> there was</w:t>
            </w:r>
            <w:r w:rsidR="0042468D">
              <w:rPr>
                <w:rFonts w:ascii="Franklin Gothic Book" w:hAnsi="Franklin Gothic Book"/>
                <w:iCs/>
                <w:color w:val="auto"/>
                <w:sz w:val="22"/>
                <w:szCs w:val="22"/>
              </w:rPr>
              <w:t xml:space="preserve"> a</w:t>
            </w:r>
            <w:r w:rsidR="007E50D1">
              <w:rPr>
                <w:rFonts w:ascii="Franklin Gothic Book" w:hAnsi="Franklin Gothic Book"/>
                <w:iCs/>
                <w:color w:val="auto"/>
                <w:sz w:val="22"/>
                <w:szCs w:val="22"/>
              </w:rPr>
              <w:t xml:space="preserve"> high risk of bias</w:t>
            </w:r>
            <w:r w:rsidR="009647E6">
              <w:rPr>
                <w:rFonts w:ascii="Franklin Gothic Book" w:hAnsi="Franklin Gothic Book"/>
                <w:iCs/>
                <w:color w:val="auto"/>
                <w:sz w:val="22"/>
                <w:szCs w:val="22"/>
              </w:rPr>
              <w:t xml:space="preserve">, </w:t>
            </w:r>
            <w:r w:rsidR="00B47E57">
              <w:rPr>
                <w:rFonts w:ascii="Franklin Gothic Book" w:hAnsi="Franklin Gothic Book"/>
                <w:iCs/>
                <w:color w:val="auto"/>
                <w:sz w:val="22"/>
                <w:szCs w:val="22"/>
              </w:rPr>
              <w:t xml:space="preserve">meaning it is uncertain whether the benefits reported in the trial are </w:t>
            </w:r>
            <w:r w:rsidR="007562AE">
              <w:rPr>
                <w:rFonts w:ascii="Franklin Gothic Book" w:hAnsi="Franklin Gothic Book"/>
                <w:iCs/>
                <w:color w:val="auto"/>
                <w:sz w:val="22"/>
                <w:szCs w:val="22"/>
              </w:rPr>
              <w:t>accurate</w:t>
            </w:r>
            <w:r w:rsidRPr="00B51F03">
              <w:rPr>
                <w:rFonts w:ascii="Franklin Gothic Book" w:hAnsi="Franklin Gothic Book"/>
                <w:iCs/>
                <w:color w:val="auto"/>
                <w:sz w:val="22"/>
                <w:szCs w:val="22"/>
              </w:rPr>
              <w:t xml:space="preserve">. Overall, MSAC considered that the trial did not provide </w:t>
            </w:r>
            <w:r w:rsidR="000F3C70">
              <w:rPr>
                <w:rFonts w:ascii="Franklin Gothic Book" w:hAnsi="Franklin Gothic Book"/>
                <w:iCs/>
                <w:color w:val="auto"/>
                <w:sz w:val="22"/>
                <w:szCs w:val="22"/>
              </w:rPr>
              <w:t xml:space="preserve">reliable </w:t>
            </w:r>
            <w:r w:rsidRPr="00B51F03">
              <w:rPr>
                <w:rFonts w:ascii="Franklin Gothic Book" w:hAnsi="Franklin Gothic Book"/>
                <w:iCs/>
                <w:color w:val="auto"/>
                <w:sz w:val="22"/>
                <w:szCs w:val="22"/>
              </w:rPr>
              <w:t xml:space="preserve">evidence to </w:t>
            </w:r>
            <w:r w:rsidR="00B47E57">
              <w:rPr>
                <w:rFonts w:ascii="Franklin Gothic Book" w:hAnsi="Franklin Gothic Book"/>
                <w:iCs/>
                <w:color w:val="auto"/>
                <w:sz w:val="22"/>
                <w:szCs w:val="22"/>
              </w:rPr>
              <w:t>support</w:t>
            </w:r>
            <w:r w:rsidR="00B47E57" w:rsidRPr="00B51F03">
              <w:rPr>
                <w:rFonts w:ascii="Franklin Gothic Book" w:hAnsi="Franklin Gothic Book"/>
                <w:iCs/>
                <w:color w:val="auto"/>
                <w:sz w:val="22"/>
                <w:szCs w:val="22"/>
              </w:rPr>
              <w:t xml:space="preserve"> </w:t>
            </w:r>
            <w:r w:rsidRPr="00B51F03">
              <w:rPr>
                <w:rFonts w:ascii="Franklin Gothic Book" w:hAnsi="Franklin Gothic Book"/>
                <w:iCs/>
                <w:color w:val="auto"/>
                <w:sz w:val="22"/>
                <w:szCs w:val="22"/>
              </w:rPr>
              <w:t xml:space="preserve">funding this </w:t>
            </w:r>
            <w:r w:rsidR="004B4691">
              <w:rPr>
                <w:rFonts w:ascii="Franklin Gothic Book" w:hAnsi="Franklin Gothic Book"/>
                <w:iCs/>
                <w:color w:val="auto"/>
                <w:sz w:val="22"/>
                <w:szCs w:val="22"/>
              </w:rPr>
              <w:t>service</w:t>
            </w:r>
            <w:r w:rsidRPr="00B51F03">
              <w:rPr>
                <w:rFonts w:ascii="Franklin Gothic Book" w:hAnsi="Franklin Gothic Book"/>
                <w:iCs/>
                <w:color w:val="auto"/>
                <w:sz w:val="22"/>
                <w:szCs w:val="22"/>
              </w:rPr>
              <w:t>.</w:t>
            </w:r>
          </w:p>
          <w:p w14:paraId="1A6D2C83" w14:textId="274C4279" w:rsidR="00B51F03" w:rsidRPr="00B51F03" w:rsidRDefault="00B51F03" w:rsidP="00B51F03">
            <w:pPr>
              <w:pStyle w:val="Default"/>
              <w:spacing w:after="240"/>
              <w:rPr>
                <w:rFonts w:ascii="Franklin Gothic Book" w:hAnsi="Franklin Gothic Book"/>
                <w:b/>
                <w:bCs/>
                <w:iCs/>
                <w:color w:val="auto"/>
                <w:sz w:val="22"/>
                <w:szCs w:val="22"/>
              </w:rPr>
            </w:pPr>
            <w:r w:rsidRPr="00B51F03">
              <w:rPr>
                <w:rFonts w:ascii="Franklin Gothic Book" w:hAnsi="Franklin Gothic Book"/>
                <w:b/>
                <w:bCs/>
                <w:iCs/>
                <w:color w:val="auto"/>
                <w:sz w:val="22"/>
                <w:szCs w:val="22"/>
              </w:rPr>
              <w:t>MSAC’s advice to the Commonwealth Minister for Health</w:t>
            </w:r>
            <w:r w:rsidR="00725975">
              <w:rPr>
                <w:rFonts w:ascii="Franklin Gothic Book" w:hAnsi="Franklin Gothic Book"/>
                <w:b/>
                <w:bCs/>
                <w:iCs/>
                <w:color w:val="auto"/>
                <w:sz w:val="22"/>
                <w:szCs w:val="22"/>
              </w:rPr>
              <w:t xml:space="preserve"> and Aged Care</w:t>
            </w:r>
          </w:p>
          <w:p w14:paraId="173B22D5" w14:textId="7231557A" w:rsidR="00316466" w:rsidRDefault="0042468D" w:rsidP="00B51F03">
            <w:pPr>
              <w:pStyle w:val="Default"/>
              <w:spacing w:after="240"/>
              <w:rPr>
                <w:i/>
                <w:color w:val="auto"/>
              </w:rPr>
            </w:pPr>
            <w:r w:rsidRPr="0042468D">
              <w:rPr>
                <w:rFonts w:ascii="Franklin Gothic Book" w:hAnsi="Franklin Gothic Book"/>
                <w:iCs/>
                <w:color w:val="auto"/>
                <w:sz w:val="22"/>
                <w:szCs w:val="22"/>
              </w:rPr>
              <w:t xml:space="preserve">MSAC acknowledged there is a high unmet need for coordinated multidisciplinary care for people experiencing difficulty managing chronic pain. However, MSAC considered the </w:t>
            </w:r>
            <w:r w:rsidR="00C21EB2" w:rsidRPr="0042468D">
              <w:rPr>
                <w:rFonts w:ascii="Franklin Gothic Book" w:hAnsi="Franklin Gothic Book"/>
                <w:iCs/>
                <w:color w:val="auto"/>
                <w:sz w:val="22"/>
                <w:szCs w:val="22"/>
              </w:rPr>
              <w:t>low-quality</w:t>
            </w:r>
            <w:r w:rsidR="009647E6" w:rsidRPr="0042468D">
              <w:rPr>
                <w:rFonts w:ascii="Franklin Gothic Book" w:hAnsi="Franklin Gothic Book"/>
                <w:iCs/>
                <w:color w:val="auto"/>
                <w:sz w:val="22"/>
                <w:szCs w:val="22"/>
              </w:rPr>
              <w:t xml:space="preserve"> </w:t>
            </w:r>
            <w:r w:rsidRPr="0042468D">
              <w:rPr>
                <w:rFonts w:ascii="Franklin Gothic Book" w:hAnsi="Franklin Gothic Book"/>
                <w:iCs/>
                <w:color w:val="auto"/>
                <w:sz w:val="22"/>
                <w:szCs w:val="22"/>
              </w:rPr>
              <w:t xml:space="preserve">evidence </w:t>
            </w:r>
            <w:r w:rsidR="009647E6">
              <w:rPr>
                <w:rFonts w:ascii="Franklin Gothic Book" w:hAnsi="Franklin Gothic Book"/>
                <w:iCs/>
                <w:color w:val="auto"/>
                <w:sz w:val="22"/>
                <w:szCs w:val="22"/>
              </w:rPr>
              <w:t>had a</w:t>
            </w:r>
            <w:r w:rsidRPr="0042468D">
              <w:rPr>
                <w:rFonts w:ascii="Franklin Gothic Book" w:hAnsi="Franklin Gothic Book"/>
                <w:iCs/>
                <w:color w:val="auto"/>
                <w:sz w:val="22"/>
                <w:szCs w:val="22"/>
              </w:rPr>
              <w:t xml:space="preserve"> high risk of bias</w:t>
            </w:r>
            <w:r w:rsidR="000F3C70">
              <w:rPr>
                <w:rFonts w:ascii="Franklin Gothic Book" w:hAnsi="Franklin Gothic Book"/>
                <w:iCs/>
                <w:color w:val="auto"/>
                <w:sz w:val="22"/>
                <w:szCs w:val="22"/>
              </w:rPr>
              <w:t xml:space="preserve"> and</w:t>
            </w:r>
            <w:r w:rsidRPr="0042468D">
              <w:rPr>
                <w:rFonts w:ascii="Franklin Gothic Book" w:hAnsi="Franklin Gothic Book"/>
                <w:iCs/>
                <w:color w:val="auto"/>
                <w:sz w:val="22"/>
                <w:szCs w:val="22"/>
              </w:rPr>
              <w:t xml:space="preserve"> did not demonstrate the comparative effectiveness and cost-effectiveness of </w:t>
            </w:r>
            <w:r w:rsidR="00E14148">
              <w:rPr>
                <w:rFonts w:ascii="Franklin Gothic Book" w:hAnsi="Franklin Gothic Book"/>
                <w:iCs/>
                <w:color w:val="auto"/>
                <w:sz w:val="22"/>
                <w:szCs w:val="22"/>
              </w:rPr>
              <w:t xml:space="preserve">the </w:t>
            </w:r>
            <w:r w:rsidRPr="0042468D">
              <w:rPr>
                <w:rFonts w:ascii="Franklin Gothic Book" w:hAnsi="Franklin Gothic Book"/>
                <w:iCs/>
                <w:color w:val="auto"/>
                <w:sz w:val="22"/>
                <w:szCs w:val="22"/>
              </w:rPr>
              <w:t>Chronic Pain MedsCheck. MSAC also considered the estimated financial impact (net cost-savings) to be highly uncertain.</w:t>
            </w:r>
          </w:p>
        </w:tc>
      </w:tr>
    </w:tbl>
    <w:p w14:paraId="5EBA8B95" w14:textId="4046E084" w:rsidR="00316466" w:rsidRDefault="00316466" w:rsidP="00316466">
      <w:pPr>
        <w:pStyle w:val="Heading2"/>
        <w:numPr>
          <w:ilvl w:val="0"/>
          <w:numId w:val="18"/>
        </w:numPr>
        <w:ind w:hanging="720"/>
      </w:pPr>
      <w:r>
        <w:lastRenderedPageBreak/>
        <w:t>Summary of consideration and rationale for MSAC’s advice</w:t>
      </w:r>
    </w:p>
    <w:p w14:paraId="0E537B50" w14:textId="30E27F9F" w:rsidR="005E1608" w:rsidRDefault="00B51F03" w:rsidP="00B51F03">
      <w:pPr>
        <w:rPr>
          <w:rStyle w:val="normaltextrun"/>
          <w:color w:val="000000"/>
          <w:shd w:val="clear" w:color="auto" w:fill="FFFFFF"/>
        </w:rPr>
      </w:pPr>
      <w:r>
        <w:t xml:space="preserve">MSAC noted this application was from </w:t>
      </w:r>
      <w:r w:rsidR="00E14148">
        <w:t xml:space="preserve">The </w:t>
      </w:r>
      <w:r>
        <w:t>Pharmacy Guild of Australia requesting funding</w:t>
      </w:r>
      <w:r w:rsidR="00BC2E0E">
        <w:t>,</w:t>
      </w:r>
      <w:r>
        <w:t xml:space="preserve"> under a future Community Pharmacy Agreement</w:t>
      </w:r>
      <w:r w:rsidR="00BC2E0E">
        <w:t>,</w:t>
      </w:r>
      <w:r>
        <w:t xml:space="preserve"> of Chronic Pain MedsCheck (CPMC) for people living with chronic pain.</w:t>
      </w:r>
      <w:r w:rsidR="00911150">
        <w:rPr>
          <w:rStyle w:val="normaltextrun"/>
          <w:shd w:val="clear" w:color="auto" w:fill="FFFFFF"/>
        </w:rPr>
        <w:t xml:space="preserve"> </w:t>
      </w:r>
      <w:r>
        <w:rPr>
          <w:rStyle w:val="normaltextrun"/>
          <w:shd w:val="clear" w:color="auto" w:fill="FFFFFF"/>
        </w:rPr>
        <w:t xml:space="preserve">MSAC noted that the CPMC </w:t>
      </w:r>
      <w:r w:rsidR="00E14148">
        <w:rPr>
          <w:rStyle w:val="normaltextrun"/>
          <w:shd w:val="clear" w:color="auto" w:fill="FFFFFF"/>
        </w:rPr>
        <w:t>t</w:t>
      </w:r>
      <w:r>
        <w:rPr>
          <w:rStyle w:val="normaltextrun"/>
          <w:shd w:val="clear" w:color="auto" w:fill="FFFFFF"/>
        </w:rPr>
        <w:t xml:space="preserve">rial was funded </w:t>
      </w:r>
      <w:r w:rsidR="005E1608">
        <w:rPr>
          <w:rStyle w:val="normaltextrun"/>
          <w:shd w:val="clear" w:color="auto" w:fill="FFFFFF"/>
        </w:rPr>
        <w:t>through a grant agreement with the D</w:t>
      </w:r>
      <w:r w:rsidR="005E1608" w:rsidRPr="005E1608">
        <w:rPr>
          <w:rStyle w:val="normaltextrun"/>
          <w:shd w:val="clear" w:color="auto" w:fill="FFFFFF"/>
        </w:rPr>
        <w:t>epartment of Health and Aged Care</w:t>
      </w:r>
      <w:r w:rsidR="005E1608">
        <w:rPr>
          <w:rStyle w:val="normaltextrun"/>
          <w:shd w:val="clear" w:color="auto" w:fill="FFFFFF"/>
        </w:rPr>
        <w:t xml:space="preserve"> </w:t>
      </w:r>
      <w:r>
        <w:rPr>
          <w:rStyle w:val="normaltextrun"/>
          <w:shd w:val="clear" w:color="auto" w:fill="FFFFFF"/>
        </w:rPr>
        <w:t>as part of the Pharmacy Trials Program</w:t>
      </w:r>
      <w:r w:rsidR="005E1608">
        <w:rPr>
          <w:rStyle w:val="normaltextrun"/>
          <w:shd w:val="clear" w:color="auto" w:fill="FFFFFF"/>
        </w:rPr>
        <w:t xml:space="preserve"> under the </w:t>
      </w:r>
      <w:r w:rsidR="005E1608" w:rsidRPr="005E1608">
        <w:rPr>
          <w:rStyle w:val="normaltextrun"/>
          <w:shd w:val="clear" w:color="auto" w:fill="FFFFFF"/>
        </w:rPr>
        <w:t>Sixth Community Pharmacy Agreement</w:t>
      </w:r>
      <w:r>
        <w:rPr>
          <w:rStyle w:val="normaltextrun"/>
          <w:shd w:val="clear" w:color="auto" w:fill="FFFFFF"/>
        </w:rPr>
        <w:t xml:space="preserve">. </w:t>
      </w:r>
      <w:r>
        <w:rPr>
          <w:rStyle w:val="normaltextrun"/>
          <w:color w:val="000000"/>
          <w:shd w:val="clear" w:color="auto" w:fill="FFFFFF"/>
        </w:rPr>
        <w:t xml:space="preserve">MSAC noted that the CPMC Trial </w:t>
      </w:r>
      <w:r w:rsidR="00911150">
        <w:rPr>
          <w:rStyle w:val="normaltextrun"/>
          <w:color w:val="000000"/>
          <w:shd w:val="clear" w:color="auto" w:fill="FFFFFF"/>
        </w:rPr>
        <w:t xml:space="preserve">aimed to </w:t>
      </w:r>
      <w:r>
        <w:rPr>
          <w:rStyle w:val="normaltextrun"/>
          <w:color w:val="000000"/>
          <w:shd w:val="clear" w:color="auto" w:fill="FFFFFF"/>
        </w:rPr>
        <w:t>assess the effectiveness of a pharmacist-led, patient-centred service supporting patients taking medications to manage chronic pain and who were identified as experiencing issues with medication self</w:t>
      </w:r>
      <w:r w:rsidR="004B4691">
        <w:rPr>
          <w:rStyle w:val="normaltextrun"/>
          <w:color w:val="000000"/>
          <w:shd w:val="clear" w:color="auto" w:fill="FFFFFF"/>
        </w:rPr>
        <w:noBreakHyphen/>
      </w:r>
      <w:r>
        <w:rPr>
          <w:rStyle w:val="normaltextrun"/>
          <w:color w:val="000000"/>
          <w:shd w:val="clear" w:color="auto" w:fill="FFFFFF"/>
        </w:rPr>
        <w:t xml:space="preserve">management or dependency. </w:t>
      </w:r>
    </w:p>
    <w:p w14:paraId="0A05EC61" w14:textId="77777777" w:rsidR="00214D93" w:rsidRDefault="005E1608" w:rsidP="00B51F03">
      <w:pPr>
        <w:rPr>
          <w:rFonts w:cs="Calibri"/>
        </w:rPr>
      </w:pPr>
      <w:r w:rsidRPr="005E1608">
        <w:rPr>
          <w:rStyle w:val="normaltextrun"/>
          <w:color w:val="000000"/>
          <w:shd w:val="clear" w:color="auto" w:fill="FFFFFF"/>
        </w:rPr>
        <w:lastRenderedPageBreak/>
        <w:t>MSAC noted that medication management reviews (MMR) are currently funded under the Seventh Community Pharmacy Agreement (7CPA) MMR programs: the Home Medicines Review (HMR) program, the Residential Medication Management Review (RMMR) program, and the MedsCheck and Diabetes MedsCheck programs. MSAC recalled that in 2017 it had appraised the MMR programs and at that time considered there was insufficient evidence to determine the clinical and cost-effectiveness of the MMR programs</w:t>
      </w:r>
      <w:r w:rsidR="00214D93" w:rsidRPr="00214D93">
        <w:rPr>
          <w:rFonts w:cs="Calibri"/>
        </w:rPr>
        <w:t xml:space="preserve"> </w:t>
      </w:r>
      <w:r w:rsidR="00214D93">
        <w:rPr>
          <w:rFonts w:cs="Calibri"/>
        </w:rPr>
        <w:t>and found no clear evidence that these interventions reduce hospitalisations or mortality or improve quality of life. In general, studies examining the impact of pharmacy-based medication review services did not find clear evidence to indicate that these interventions have any impact on reducing mortality or on improving appropriateness of medication prescribing.</w:t>
      </w:r>
    </w:p>
    <w:p w14:paraId="50337D86" w14:textId="7C46B1CD" w:rsidR="00214D93" w:rsidRDefault="00B51F03" w:rsidP="00B51F03">
      <w:r>
        <w:t xml:space="preserve">MSAC noted the Australian and New Zealand College of Anaesthetists Faculty of Pain Management </w:t>
      </w:r>
      <w:r w:rsidR="00E14148">
        <w:rPr>
          <w:rFonts w:cs="Calibri"/>
        </w:rPr>
        <w:t xml:space="preserve">was </w:t>
      </w:r>
      <w:r w:rsidR="00214D93">
        <w:rPr>
          <w:rFonts w:cs="Calibri"/>
        </w:rPr>
        <w:t>not supportive of the trial nor the intervention</w:t>
      </w:r>
      <w:r>
        <w:t xml:space="preserve">. </w:t>
      </w:r>
    </w:p>
    <w:p w14:paraId="1985280C" w14:textId="3F200AC5" w:rsidR="00B51F03" w:rsidRDefault="00980411" w:rsidP="00B51F03">
      <w:r>
        <w:rPr>
          <w:rStyle w:val="normaltextrun"/>
          <w:color w:val="000000"/>
          <w:shd w:val="clear" w:color="auto" w:fill="FFFFFF"/>
        </w:rPr>
        <w:t xml:space="preserve">MSAC noted the CPMC </w:t>
      </w:r>
      <w:r w:rsidR="00214D93">
        <w:rPr>
          <w:rStyle w:val="normaltextrun"/>
          <w:color w:val="000000"/>
          <w:shd w:val="clear" w:color="auto" w:fill="FFFFFF"/>
        </w:rPr>
        <w:t xml:space="preserve">trial </w:t>
      </w:r>
      <w:r>
        <w:rPr>
          <w:rStyle w:val="normaltextrun"/>
          <w:color w:val="000000"/>
          <w:shd w:val="clear" w:color="auto" w:fill="FFFFFF"/>
        </w:rPr>
        <w:t>was a pre-post trial with</w:t>
      </w:r>
      <w:r w:rsidR="00176AFF">
        <w:rPr>
          <w:rStyle w:val="normaltextrun"/>
          <w:color w:val="000000"/>
          <w:shd w:val="clear" w:color="auto" w:fill="FFFFFF"/>
        </w:rPr>
        <w:t xml:space="preserve"> </w:t>
      </w:r>
      <w:r w:rsidR="00214D93">
        <w:rPr>
          <w:rStyle w:val="normaltextrun"/>
          <w:color w:val="000000"/>
          <w:shd w:val="clear" w:color="auto" w:fill="FFFFFF"/>
        </w:rPr>
        <w:t xml:space="preserve">two </w:t>
      </w:r>
      <w:r>
        <w:rPr>
          <w:rStyle w:val="normaltextrun"/>
          <w:color w:val="000000"/>
          <w:shd w:val="clear" w:color="auto" w:fill="FFFFFF"/>
        </w:rPr>
        <w:t xml:space="preserve">study </w:t>
      </w:r>
      <w:r w:rsidR="00214D93">
        <w:rPr>
          <w:rStyle w:val="normaltextrun"/>
          <w:color w:val="000000"/>
          <w:shd w:val="clear" w:color="auto" w:fill="FFFFFF"/>
        </w:rPr>
        <w:t xml:space="preserve">arms, Group A and Group B, which received face-to-face consultations with pharmacists, three months apart. Participants in Group B </w:t>
      </w:r>
      <w:r w:rsidR="00F14629">
        <w:rPr>
          <w:rStyle w:val="normaltextrun"/>
          <w:color w:val="000000"/>
          <w:shd w:val="clear" w:color="auto" w:fill="FFFFFF"/>
        </w:rPr>
        <w:t xml:space="preserve">also </w:t>
      </w:r>
      <w:r w:rsidR="00214D93">
        <w:rPr>
          <w:rStyle w:val="normaltextrun"/>
          <w:color w:val="000000"/>
          <w:shd w:val="clear" w:color="auto" w:fill="FFFFFF"/>
        </w:rPr>
        <w:t xml:space="preserve">received </w:t>
      </w:r>
      <w:r w:rsidR="00C22B37">
        <w:rPr>
          <w:rStyle w:val="normaltextrun"/>
          <w:color w:val="000000"/>
          <w:shd w:val="clear" w:color="auto" w:fill="FFFFFF"/>
        </w:rPr>
        <w:t xml:space="preserve">an additional </w:t>
      </w:r>
      <w:r w:rsidR="00E14148">
        <w:rPr>
          <w:rStyle w:val="normaltextrun"/>
          <w:color w:val="000000"/>
          <w:shd w:val="clear" w:color="auto" w:fill="FFFFFF"/>
        </w:rPr>
        <w:t>tele</w:t>
      </w:r>
      <w:r w:rsidR="00214D93">
        <w:rPr>
          <w:rStyle w:val="normaltextrun"/>
          <w:color w:val="000000"/>
          <w:shd w:val="clear" w:color="auto" w:fill="FFFFFF"/>
        </w:rPr>
        <w:t xml:space="preserve">phone </w:t>
      </w:r>
      <w:r w:rsidR="00C22B37">
        <w:rPr>
          <w:rStyle w:val="normaltextrun"/>
          <w:color w:val="000000"/>
          <w:shd w:val="clear" w:color="auto" w:fill="FFFFFF"/>
        </w:rPr>
        <w:t>consultation</w:t>
      </w:r>
      <w:r w:rsidR="00214D93">
        <w:rPr>
          <w:rStyle w:val="normaltextrun"/>
          <w:color w:val="000000"/>
          <w:shd w:val="clear" w:color="auto" w:fill="FFFFFF"/>
        </w:rPr>
        <w:t xml:space="preserve"> at 6-week</w:t>
      </w:r>
      <w:r w:rsidR="00F14629">
        <w:rPr>
          <w:rStyle w:val="normaltextrun"/>
          <w:color w:val="000000"/>
          <w:shd w:val="clear" w:color="auto" w:fill="FFFFFF"/>
        </w:rPr>
        <w:t>s</w:t>
      </w:r>
      <w:r w:rsidR="00214D93">
        <w:rPr>
          <w:rStyle w:val="normaltextrun"/>
          <w:color w:val="000000"/>
          <w:shd w:val="clear" w:color="auto" w:fill="FFFFFF"/>
        </w:rPr>
        <w:t xml:space="preserve">. </w:t>
      </w:r>
      <w:r w:rsidR="00B51F03">
        <w:t>MSAC noted that</w:t>
      </w:r>
      <w:r w:rsidR="00F14629">
        <w:t xml:space="preserve"> the</w:t>
      </w:r>
      <w:r w:rsidR="00B51F03">
        <w:t xml:space="preserve"> pre-MSAC response </w:t>
      </w:r>
      <w:r w:rsidR="00F14629">
        <w:t>claimed</w:t>
      </w:r>
      <w:r w:rsidR="00B51F03">
        <w:t xml:space="preserve"> that “the trial design, consistent with the protocol, was a pragmatic pre-post trial of two versions of the CPMC intervention”.</w:t>
      </w:r>
      <w:r w:rsidR="00F14629">
        <w:t xml:space="preserve"> </w:t>
      </w:r>
    </w:p>
    <w:p w14:paraId="3F34530D" w14:textId="71F3BB24" w:rsidR="00233360" w:rsidRDefault="00FB2D20" w:rsidP="00FB2D20">
      <w:r>
        <w:t xml:space="preserve">MSAC </w:t>
      </w:r>
      <w:r w:rsidR="007F346A">
        <w:t xml:space="preserve">agreed with </w:t>
      </w:r>
      <w:r w:rsidR="00E14148">
        <w:t>the Evaluation Sub-Committee (</w:t>
      </w:r>
      <w:r w:rsidR="007F346A">
        <w:t>ESC</w:t>
      </w:r>
      <w:r w:rsidR="00E14148">
        <w:t>)</w:t>
      </w:r>
      <w:r w:rsidR="007F346A">
        <w:t xml:space="preserve"> that the CPMC trial provided low quality evidence with a high risk of bias due </w:t>
      </w:r>
      <w:r w:rsidR="00E14148">
        <w:t xml:space="preserve">to </w:t>
      </w:r>
      <w:r w:rsidR="007F346A">
        <w:t xml:space="preserve">a number of issues </w:t>
      </w:r>
      <w:r w:rsidR="00E14148">
        <w:t xml:space="preserve">with </w:t>
      </w:r>
      <w:r>
        <w:t xml:space="preserve">the trial design. MSAC agreed </w:t>
      </w:r>
      <w:r w:rsidR="00C94D86">
        <w:t xml:space="preserve">with ESC </w:t>
      </w:r>
      <w:r>
        <w:t xml:space="preserve">that the lack of collaboration </w:t>
      </w:r>
      <w:r w:rsidR="00B51358">
        <w:t xml:space="preserve">with general practitioners (GP) </w:t>
      </w:r>
      <w:r>
        <w:t xml:space="preserve">in the CPMC trial and proposed implementation </w:t>
      </w:r>
      <w:r w:rsidR="007F346A" w:rsidRPr="00CE5F55">
        <w:t xml:space="preserve">may introduce safety concerns as the pharmacist has no clinical records to confirm the diagnosis or prescribing intent, and may not be able to assess whether worsening pain is due to </w:t>
      </w:r>
      <w:r w:rsidR="005B0E3A">
        <w:t>progression</w:t>
      </w:r>
      <w:r w:rsidR="005B0E3A" w:rsidRPr="00CE5F55">
        <w:t xml:space="preserve"> </w:t>
      </w:r>
      <w:r w:rsidR="007F346A" w:rsidRPr="00CE5F55">
        <w:t>of an underlying disease process or poor medication adherence</w:t>
      </w:r>
      <w:r>
        <w:t>. MSAC noted that there are many people in the community who have chronic pain and who, for different reasons, do not see a GP</w:t>
      </w:r>
      <w:r w:rsidRPr="00FB2D20">
        <w:t>.</w:t>
      </w:r>
      <w:r>
        <w:t xml:space="preserve"> MSAC </w:t>
      </w:r>
      <w:r w:rsidR="00B51358">
        <w:t xml:space="preserve">acknowledged </w:t>
      </w:r>
      <w:r>
        <w:t>that pharmacists are able to support people with chronic pain to some extent, however</w:t>
      </w:r>
      <w:r w:rsidR="00B51358">
        <w:t xml:space="preserve"> </w:t>
      </w:r>
      <w:r w:rsidR="007F346A">
        <w:t xml:space="preserve">MSAC advised that </w:t>
      </w:r>
      <w:r w:rsidR="00B51358">
        <w:t>chronic pain</w:t>
      </w:r>
      <w:r>
        <w:t xml:space="preserve"> is </w:t>
      </w:r>
      <w:r w:rsidR="00E14148">
        <w:t xml:space="preserve">a </w:t>
      </w:r>
      <w:r>
        <w:t xml:space="preserve">complex condition that needs </w:t>
      </w:r>
      <w:r w:rsidRPr="00FB2D20">
        <w:t>coordinated multidisciplinary care</w:t>
      </w:r>
      <w:r>
        <w:t xml:space="preserve">. </w:t>
      </w:r>
      <w:r w:rsidR="00A66671">
        <w:t xml:space="preserve">While MSAC </w:t>
      </w:r>
      <w:r w:rsidR="00A66671" w:rsidRPr="00A66671">
        <w:t>acknowledged there is a high unmet need for coordinated multidisciplinary care for people experiencing difficulty managing chronic pain</w:t>
      </w:r>
      <w:r w:rsidR="00A66671">
        <w:t xml:space="preserve">, MSAC was not convinced that implementing the proposed intervention would achieve this. </w:t>
      </w:r>
      <w:r w:rsidR="00C44EE9">
        <w:t xml:space="preserve">MSAC </w:t>
      </w:r>
      <w:r w:rsidR="00233360">
        <w:t>considered</w:t>
      </w:r>
      <w:r w:rsidR="00C44EE9">
        <w:t xml:space="preserve"> the </w:t>
      </w:r>
      <w:r w:rsidR="00233360">
        <w:t xml:space="preserve">appropriate role for pharmacists when managing chronic back pain, a major source of chronic pain, was unclear as management should be based on non-drug interventions. </w:t>
      </w:r>
      <w:r w:rsidR="0077364A">
        <w:t>MSAC also agreed with ESC that the clinical need for the Chronic Pain MedsCheck is unclear given the</w:t>
      </w:r>
      <w:r w:rsidR="00A66671">
        <w:t>re are</w:t>
      </w:r>
      <w:r w:rsidR="0077364A">
        <w:t xml:space="preserve"> existing </w:t>
      </w:r>
      <w:r w:rsidR="00E90A94">
        <w:t>Medicare Benefits Schedule (</w:t>
      </w:r>
      <w:r w:rsidR="0077364A">
        <w:t>MBS</w:t>
      </w:r>
      <w:r w:rsidR="00E90A94">
        <w:t>)</w:t>
      </w:r>
      <w:r w:rsidR="0077364A">
        <w:t xml:space="preserve"> items that</w:t>
      </w:r>
      <w:r w:rsidR="0077364A" w:rsidRPr="0077364A">
        <w:t xml:space="preserve"> allow GPs to treat acute and chronic pain, as well as existing MedsCheck and Home Medicines Review </w:t>
      </w:r>
      <w:r w:rsidR="00E14148">
        <w:t xml:space="preserve">(HMR) </w:t>
      </w:r>
      <w:r w:rsidR="0077364A" w:rsidRPr="0077364A">
        <w:t>programs</w:t>
      </w:r>
      <w:r w:rsidR="0077364A">
        <w:t>.</w:t>
      </w:r>
      <w:r w:rsidR="00233360">
        <w:t xml:space="preserve"> </w:t>
      </w:r>
    </w:p>
    <w:p w14:paraId="40992326" w14:textId="2E5F37A9" w:rsidR="00FB2D20" w:rsidRDefault="00233360" w:rsidP="00FB2D20">
      <w:r>
        <w:t xml:space="preserve">MSAC noted the proposed fees for the service </w:t>
      </w:r>
      <w:r w:rsidR="00E14148">
        <w:t xml:space="preserve">($98.41 for initial consultation, and $32.81 for the midpoint and follow-up consultation) </w:t>
      </w:r>
      <w:r w:rsidR="00E14148" w:rsidRPr="00747480">
        <w:t xml:space="preserve">are lower than those for a GP consultation of equivalent length </w:t>
      </w:r>
      <w:r>
        <w:t>delivering similar services</w:t>
      </w:r>
      <w:r w:rsidR="00E14148">
        <w:t xml:space="preserve"> (Level B $39.10 – up to 20 minutes; Level D $111.50 – over 40 minutes; Medication Management Review $161.10)</w:t>
      </w:r>
      <w:r>
        <w:t xml:space="preserve">. </w:t>
      </w:r>
    </w:p>
    <w:p w14:paraId="46BB6A47" w14:textId="5C7ADCC5" w:rsidR="00B51F03" w:rsidRDefault="00B51F03" w:rsidP="00B51F03">
      <w:r>
        <w:t xml:space="preserve">MSAC noted that the </w:t>
      </w:r>
      <w:r w:rsidR="001F027A">
        <w:t>CPMC trial did not include a treatment-as-usual comparator arm,</w:t>
      </w:r>
      <w:r w:rsidR="00E14148">
        <w:t xml:space="preserve"> but</w:t>
      </w:r>
      <w:r w:rsidR="001F027A">
        <w:t xml:space="preserve"> instead used</w:t>
      </w:r>
      <w:r>
        <w:t xml:space="preserve"> baseline data collected at the initial consultation as the comparator</w:t>
      </w:r>
      <w:r w:rsidR="00371766">
        <w:t>.</w:t>
      </w:r>
      <w:r>
        <w:t xml:space="preserve"> MSAC noted that for such an intervention, it can be difficult to design a placebo intervention</w:t>
      </w:r>
      <w:r w:rsidR="001F027A">
        <w:t xml:space="preserve">. </w:t>
      </w:r>
      <w:r w:rsidR="00A66671">
        <w:t xml:space="preserve">However, </w:t>
      </w:r>
      <w:r w:rsidR="001F027A">
        <w:t>MSAC agreed with ESC that using baseline data introduced bias that favoured the intervention</w:t>
      </w:r>
      <w:r w:rsidR="00C94D86">
        <w:t xml:space="preserve">. MSAC </w:t>
      </w:r>
      <w:r w:rsidR="00A66671">
        <w:t xml:space="preserve">considered </w:t>
      </w:r>
      <w:r w:rsidR="00845B94">
        <w:t>that including a treatment-as-usual comparator is especially important where attrition is likely to be large, as was the case in this trial. MSAC noted the pre-MSAC response</w:t>
      </w:r>
      <w:r w:rsidR="00517D8C">
        <w:t xml:space="preserve"> claimed that </w:t>
      </w:r>
      <w:r w:rsidR="00054958">
        <w:t xml:space="preserve">due to </w:t>
      </w:r>
      <w:r w:rsidR="00517D8C">
        <w:t xml:space="preserve">the trial design and </w:t>
      </w:r>
      <w:r w:rsidR="00054958">
        <w:t>approach to analysing the data that regression to the mean was unlikely</w:t>
      </w:r>
      <w:r w:rsidR="00470EC6">
        <w:t>.</w:t>
      </w:r>
      <w:r w:rsidR="00054958">
        <w:t xml:space="preserve"> </w:t>
      </w:r>
      <w:r w:rsidR="00470EC6">
        <w:t>H</w:t>
      </w:r>
      <w:r w:rsidR="00054958">
        <w:t>owever</w:t>
      </w:r>
      <w:r w:rsidR="00470EC6">
        <w:t>,</w:t>
      </w:r>
      <w:r w:rsidR="00054958">
        <w:t xml:space="preserve"> MSAC was </w:t>
      </w:r>
      <w:r w:rsidR="005B0E3A">
        <w:t xml:space="preserve">not </w:t>
      </w:r>
      <w:r w:rsidR="00054958">
        <w:t>convinced</w:t>
      </w:r>
      <w:r w:rsidR="00470EC6">
        <w:t xml:space="preserve"> </w:t>
      </w:r>
      <w:r w:rsidR="005B0E3A">
        <w:t>that</w:t>
      </w:r>
      <w:r w:rsidR="00470EC6">
        <w:t xml:space="preserve"> this</w:t>
      </w:r>
      <w:r w:rsidR="005B0E3A">
        <w:t xml:space="preserve"> was correct</w:t>
      </w:r>
      <w:r w:rsidR="00054958">
        <w:t xml:space="preserve">. </w:t>
      </w:r>
      <w:r w:rsidR="00845B94">
        <w:t xml:space="preserve">MSAC </w:t>
      </w:r>
      <w:r w:rsidR="001F027A">
        <w:t xml:space="preserve">considered that </w:t>
      </w:r>
      <w:r w:rsidR="00517D8C">
        <w:t xml:space="preserve">without an appropriate treatment-as-usual comparator it is unknown how </w:t>
      </w:r>
      <w:r w:rsidR="00054958">
        <w:t xml:space="preserve">a </w:t>
      </w:r>
      <w:r w:rsidR="00517D8C">
        <w:t xml:space="preserve">participant’s health status </w:t>
      </w:r>
      <w:r w:rsidR="00517D8C">
        <w:lastRenderedPageBreak/>
        <w:t xml:space="preserve">would have changed overtime without the CPMC intervention </w:t>
      </w:r>
      <w:r w:rsidR="00054958">
        <w:t xml:space="preserve">and </w:t>
      </w:r>
      <w:r w:rsidR="00517D8C">
        <w:t xml:space="preserve">considered </w:t>
      </w:r>
      <w:r w:rsidR="001F027A">
        <w:t>it would have been appropriate for the CPMC trial to include</w:t>
      </w:r>
      <w:r w:rsidR="00B5391E">
        <w:t xml:space="preserve"> </w:t>
      </w:r>
      <w:r>
        <w:t>a treatment-as-usual</w:t>
      </w:r>
      <w:r w:rsidR="001F027A">
        <w:t xml:space="preserve"> comparator</w:t>
      </w:r>
      <w:r>
        <w:t xml:space="preserve"> group.</w:t>
      </w:r>
    </w:p>
    <w:p w14:paraId="0DD16D67" w14:textId="4D447D62" w:rsidR="00587A36" w:rsidRDefault="00587A36" w:rsidP="00B51F03">
      <w:r>
        <w:t>MSAC was concerned that of the 1</w:t>
      </w:r>
      <w:r w:rsidR="00162C9A">
        <w:t>,</w:t>
      </w:r>
      <w:r>
        <w:t xml:space="preserve">630 pharmacies that registered for the trial, </w:t>
      </w:r>
      <w:r w:rsidR="00162C9A">
        <w:t>one-third</w:t>
      </w:r>
      <w:r>
        <w:t xml:space="preserve"> of the</w:t>
      </w:r>
      <w:r w:rsidR="00470EC6">
        <w:t>se</w:t>
      </w:r>
      <w:r>
        <w:t xml:space="preserve"> pharmacies did not complete the training and </w:t>
      </w:r>
      <w:r w:rsidR="00162C9A">
        <w:t>one-third</w:t>
      </w:r>
      <w:r>
        <w:t xml:space="preserve"> of the pharmacies did not enrol any patients. </w:t>
      </w:r>
      <w:r w:rsidR="008D42DE">
        <w:t xml:space="preserve">MSAC noted that pharmacies were allocated to Group A or B and to main trial or evaluation groups (where the evaluation group collected additional outcomes). </w:t>
      </w:r>
      <w:r w:rsidR="00B51F03">
        <w:t>MSAC noted that</w:t>
      </w:r>
      <w:r w:rsidR="008D42DE">
        <w:t xml:space="preserve"> due to insufficient patient recruitment,</w:t>
      </w:r>
      <w:r w:rsidR="00B51F03">
        <w:t xml:space="preserve"> the number </w:t>
      </w:r>
      <w:r w:rsidR="008D42DE">
        <w:t xml:space="preserve">of patients </w:t>
      </w:r>
      <w:r w:rsidR="00B51F03">
        <w:t>enrolled in the Group B evaluation arm of the study (n=940) did not meet the sample size required to be powered to detect the nominated differences in the primary outcomes, including the AQoL-4D</w:t>
      </w:r>
      <w:r w:rsidR="00470EC6">
        <w:t xml:space="preserve"> (Assessment of Quality of Life)</w:t>
      </w:r>
      <w:r w:rsidR="00B51F03">
        <w:t xml:space="preserve">, the Partners in Health </w:t>
      </w:r>
      <w:r w:rsidR="00470EC6">
        <w:t xml:space="preserve">(PIH) </w:t>
      </w:r>
      <w:r w:rsidR="00B51F03">
        <w:t>scale, and the Brief Pain Inventory-short form</w:t>
      </w:r>
      <w:r w:rsidR="00470EC6">
        <w:t xml:space="preserve"> (BPI-sf)</w:t>
      </w:r>
      <w:r w:rsidR="00B51F03">
        <w:t xml:space="preserve">. </w:t>
      </w:r>
    </w:p>
    <w:p w14:paraId="690E9944" w14:textId="2AE54BFA" w:rsidR="00B51F03" w:rsidRDefault="00587A36" w:rsidP="00B51F03">
      <w:r w:rsidRPr="0036252C">
        <w:t>M</w:t>
      </w:r>
      <w:r>
        <w:t xml:space="preserve">SAC noted ESC raised concerns with attrition bias due to the large loss to follow-up after baseline. </w:t>
      </w:r>
      <w:r w:rsidR="004D208A">
        <w:t>The loss to follow up in Group B was</w:t>
      </w:r>
      <w:r w:rsidR="00B51F03">
        <w:t xml:space="preserve"> higher than </w:t>
      </w:r>
      <w:r w:rsidR="004D208A">
        <w:t xml:space="preserve">the </w:t>
      </w:r>
      <w:r w:rsidR="00B51F03">
        <w:t xml:space="preserve">expected loss to follow up (61% compared to the 40% allowed for in the sample size calculation), resulting in a small sample size and low confidence in the Group B evaluation findings. </w:t>
      </w:r>
      <w:r w:rsidR="006C5C1A">
        <w:t xml:space="preserve">MSAC also noted the attrition rate was higher in Group B </w:t>
      </w:r>
      <w:r w:rsidR="00AC09C3">
        <w:t xml:space="preserve">(61%) </w:t>
      </w:r>
      <w:r w:rsidR="006C5C1A">
        <w:t>compared to Group A (</w:t>
      </w:r>
      <w:r w:rsidR="00AC09C3">
        <w:t>34%)</w:t>
      </w:r>
      <w:r w:rsidR="006C5C1A">
        <w:t xml:space="preserve">. </w:t>
      </w:r>
      <w:r w:rsidR="00845B94">
        <w:t>MSAC noted the pre-MSAC response</w:t>
      </w:r>
      <w:r w:rsidR="004D208A">
        <w:t xml:space="preserve"> claimed </w:t>
      </w:r>
      <w:r w:rsidR="008D42DE">
        <w:t xml:space="preserve">that </w:t>
      </w:r>
      <w:r w:rsidR="004D208A">
        <w:t xml:space="preserve">analyses presented suggest that the CPMC trial did not have a high likelihood of attrition bias. However, MSAC agreed with ESC that the large loss to follow-up after baseline introduced serious risk of bias and raised concerns about the validity of the study outcomes. </w:t>
      </w:r>
    </w:p>
    <w:p w14:paraId="54ADA29D" w14:textId="595A4CA6" w:rsidR="004A621E" w:rsidRDefault="001C61B9" w:rsidP="00B51F03">
      <w:r>
        <w:t>MSAC noted the CPMC trial reported statistically significant improvement in most</w:t>
      </w:r>
      <w:r w:rsidR="00014FCA">
        <w:t xml:space="preserve"> </w:t>
      </w:r>
      <w:r>
        <w:t>outcomes</w:t>
      </w:r>
      <w:r w:rsidR="00432BAC">
        <w:t xml:space="preserve"> (</w:t>
      </w:r>
      <w:r w:rsidR="00C21EB2">
        <w:t>e.g.,</w:t>
      </w:r>
      <w:r w:rsidR="00432BAC">
        <w:t xml:space="preserve"> s</w:t>
      </w:r>
      <w:r w:rsidR="00432BAC" w:rsidRPr="00432BAC">
        <w:t>elf-management, pain severity, pain interference scores</w:t>
      </w:r>
      <w:r w:rsidR="00432BAC">
        <w:t xml:space="preserve">). However, MSAC agreed with ESC that it is unclear if improvements were clinically meaningful and that there is significant uncertainty in the magnitude of the improvements due to the trial design and risk of bias issues. </w:t>
      </w:r>
      <w:r w:rsidR="00162C9A">
        <w:t>MSAC noted that</w:t>
      </w:r>
      <w:r>
        <w:t xml:space="preserve"> there was no change for </w:t>
      </w:r>
      <w:r w:rsidR="00470EC6">
        <w:t>the O</w:t>
      </w:r>
      <w:r>
        <w:t xml:space="preserve">ral </w:t>
      </w:r>
      <w:r w:rsidR="00470EC6">
        <w:t>M</w:t>
      </w:r>
      <w:r>
        <w:t xml:space="preserve">orphine </w:t>
      </w:r>
      <w:r w:rsidR="00470EC6">
        <w:t>E</w:t>
      </w:r>
      <w:r>
        <w:t>quivalence</w:t>
      </w:r>
      <w:r w:rsidR="00470EC6">
        <w:t xml:space="preserve"> (OME)</w:t>
      </w:r>
      <w:r>
        <w:t xml:space="preserve"> score, Emergency Department presentations or self-reported hospital admissions. </w:t>
      </w:r>
      <w:r w:rsidR="00014FCA">
        <w:t xml:space="preserve">MSAC was also unconvinced that the </w:t>
      </w:r>
      <w:r w:rsidR="00162C9A">
        <w:t xml:space="preserve">size of </w:t>
      </w:r>
      <w:r w:rsidR="00014FCA">
        <w:t xml:space="preserve">improvements </w:t>
      </w:r>
      <w:r w:rsidR="00162C9A">
        <w:t>reported</w:t>
      </w:r>
      <w:r w:rsidR="00014FCA">
        <w:t xml:space="preserve"> in response to the relatively short-term intervention with 2-3 interactions were valid, noting</w:t>
      </w:r>
      <w:r w:rsidR="00162C9A">
        <w:t xml:space="preserve"> the trial did not explore the impact of the telephone consultation for Group B. MSAC considered </w:t>
      </w:r>
      <w:r w:rsidR="00014FCA">
        <w:t xml:space="preserve">the degree of behaviour change reported does not align with established understanding on the success of behaviour interventions in other patient groups with chronic conditions.  </w:t>
      </w:r>
    </w:p>
    <w:p w14:paraId="2F59CF53" w14:textId="75009A89" w:rsidR="00B51F03" w:rsidRDefault="00B86395" w:rsidP="00B51F03">
      <w:r>
        <w:t xml:space="preserve">MSAC noted the </w:t>
      </w:r>
      <w:r w:rsidR="00470EC6">
        <w:t>Applicant Developed Assessment Report (</w:t>
      </w:r>
      <w:r>
        <w:t>ADAR</w:t>
      </w:r>
      <w:r w:rsidR="00470EC6">
        <w:t>)</w:t>
      </w:r>
      <w:r>
        <w:t xml:space="preserve"> presented a cost-utility analysis for the primary outcomes and a cost-effectiveness analysis for the secondary outcomes. </w:t>
      </w:r>
      <w:r w:rsidR="00B51F03">
        <w:t>MSAC noted that the revised base case results suggested incremental cost-effectiveness ratios (ICERs) of $14,552 and $7,897 per quality-adjusted life year (QALY) gained for Group A and B, respectively</w:t>
      </w:r>
      <w:r w:rsidR="00470EC6">
        <w:t>.</w:t>
      </w:r>
      <w:r w:rsidR="00B51F03">
        <w:t xml:space="preserve"> However, MSAC noted that these are still highly uncertain, given the uncertain clinical benefit compared to usual care. </w:t>
      </w:r>
    </w:p>
    <w:p w14:paraId="237367DD" w14:textId="783B73AA" w:rsidR="00B51F03" w:rsidRDefault="0022577A" w:rsidP="00D75F56">
      <w:r>
        <w:t>MSAC noted that the ADAR used an epidemiological approach to estimat</w:t>
      </w:r>
      <w:r w:rsidR="00D75F56">
        <w:t>e the</w:t>
      </w:r>
      <w:r>
        <w:t xml:space="preserve"> financial impact </w:t>
      </w:r>
      <w:r w:rsidR="00BB4E48">
        <w:t xml:space="preserve">of funding </w:t>
      </w:r>
      <w:r w:rsidR="00D75F56">
        <w:t xml:space="preserve">the Group B </w:t>
      </w:r>
      <w:r w:rsidR="00BB4E48">
        <w:t xml:space="preserve">CPMC intervention. </w:t>
      </w:r>
      <w:r>
        <w:t xml:space="preserve">The ADAR assumed all adults with chronic non-cancer pain would be eligible for a CPMC service, but uptake is limited by estimating that only 34% of pharmacies in Australia (n=1,920) will administer the CPMC program, based on uptake of the </w:t>
      </w:r>
      <w:r w:rsidR="00E90A94">
        <w:t>CPMC t</w:t>
      </w:r>
      <w:r>
        <w:t>rial.</w:t>
      </w:r>
      <w:r w:rsidR="00BB4E48">
        <w:t xml:space="preserve"> However, MSAC agreed with ESC that the estimated number of CPMC services per year</w:t>
      </w:r>
      <w:r w:rsidR="00D75F56">
        <w:t xml:space="preserve"> </w:t>
      </w:r>
      <w:r w:rsidR="00BB4E48">
        <w:t xml:space="preserve">may be underestimated. MSAC noted that the </w:t>
      </w:r>
      <w:r w:rsidR="00D75F56">
        <w:t>estimates</w:t>
      </w:r>
      <w:r w:rsidR="00BB4E48">
        <w:t xml:space="preserve"> assume a sustained reduction in outcomes, such as </w:t>
      </w:r>
      <w:r w:rsidR="00162C9A">
        <w:t>prescriptions</w:t>
      </w:r>
      <w:r w:rsidR="00BB4E48">
        <w:t xml:space="preserve"> and MBS services (which should include referrals) over five years, which is unlikely given the episodic nature of chronic pain. MSAC also noted that the reduction in outcomes </w:t>
      </w:r>
      <w:r w:rsidR="00470EC6">
        <w:t xml:space="preserve">was </w:t>
      </w:r>
      <w:r w:rsidR="00BB4E48">
        <w:t>calculated using un-matched cohorts, so it is unclear whether the reductions represent a real decrease or reflect a population</w:t>
      </w:r>
      <w:r w:rsidR="00162C9A">
        <w:t xml:space="preserve"> experiencing a transient worsening of pain management</w:t>
      </w:r>
      <w:r w:rsidR="00BB4E48">
        <w:t>. MSAC</w:t>
      </w:r>
      <w:r w:rsidR="00D75F56">
        <w:t xml:space="preserve"> noted it was estimated that funding the Group B CPMC intervention would result in a net cost-saving of </w:t>
      </w:r>
      <w:r w:rsidR="00D75F56" w:rsidRPr="00D75F56">
        <w:t xml:space="preserve">$3,373,610 </w:t>
      </w:r>
      <w:r w:rsidR="00D75F56">
        <w:t>at year 5 however, MSAC</w:t>
      </w:r>
      <w:r w:rsidR="00BB4E48">
        <w:t xml:space="preserve"> considered the </w:t>
      </w:r>
      <w:r w:rsidR="00D75F56">
        <w:t>estimated financial impact to be highly uncertain.</w:t>
      </w:r>
      <w:r w:rsidR="003C4E43">
        <w:t xml:space="preserve"> </w:t>
      </w:r>
    </w:p>
    <w:p w14:paraId="374A9BED" w14:textId="0E06542D" w:rsidR="00641115" w:rsidRPr="00B51F03" w:rsidRDefault="00641115" w:rsidP="0077364A">
      <w:pPr>
        <w:rPr>
          <w:szCs w:val="24"/>
        </w:rPr>
      </w:pPr>
      <w:r>
        <w:lastRenderedPageBreak/>
        <w:t>MSAC acknowledged there is a high unmet need for coordinated multidisciplinary care for people experiencing difficulty managing chronic pain</w:t>
      </w:r>
      <w:r w:rsidR="005B0E3A">
        <w:t xml:space="preserve"> and that there are patients who are unable or unwilling to access GP care for their condition</w:t>
      </w:r>
      <w:r>
        <w:t xml:space="preserve">. However, overall MSAC did not support funding of </w:t>
      </w:r>
      <w:r w:rsidR="00470EC6">
        <w:t>CPM</w:t>
      </w:r>
      <w:r w:rsidR="006800E6">
        <w:t>C</w:t>
      </w:r>
      <w:r>
        <w:t xml:space="preserve"> on the basis that the evidence was of a low quality with a high risk of bias </w:t>
      </w:r>
      <w:r w:rsidR="0077364A">
        <w:t>and</w:t>
      </w:r>
      <w:r>
        <w:t xml:space="preserve"> did not demonstrate the comparative effectiveness and cost-effectiveness of </w:t>
      </w:r>
      <w:r w:rsidR="00470EC6">
        <w:t>CPMC</w:t>
      </w:r>
      <w:r>
        <w:t xml:space="preserve">. MSAC also had significant concerns that </w:t>
      </w:r>
      <w:r w:rsidR="0077364A">
        <w:t xml:space="preserve">funding and implementing the </w:t>
      </w:r>
      <w:r w:rsidR="00470EC6">
        <w:t>CPMC</w:t>
      </w:r>
      <w:r w:rsidR="0077364A">
        <w:t xml:space="preserve"> </w:t>
      </w:r>
      <w:r w:rsidR="00E90A94">
        <w:t xml:space="preserve">nationally </w:t>
      </w:r>
      <w:r w:rsidR="0077364A">
        <w:t xml:space="preserve">would not lead to the successful implementation of a coordinated and integrated multidisciplinary medication review service for people living with chronic pain. MSAC </w:t>
      </w:r>
      <w:r>
        <w:t>also considered the estimated financial impact (net cost-savings) to be highly uncertain as utilisation may be underestimated and the reduction in use of other health services to manage chronic pain may be overestimated.</w:t>
      </w:r>
    </w:p>
    <w:p w14:paraId="0C5EC362" w14:textId="77777777" w:rsidR="00B51F03" w:rsidRPr="00B51F03" w:rsidRDefault="00B51F03" w:rsidP="00447A43">
      <w:pPr>
        <w:pStyle w:val="Heading2"/>
        <w:numPr>
          <w:ilvl w:val="0"/>
          <w:numId w:val="0"/>
        </w:numPr>
        <w:spacing w:before="240"/>
        <w:rPr>
          <w:color w:val="auto"/>
          <w:sz w:val="24"/>
          <w:szCs w:val="24"/>
        </w:rPr>
      </w:pPr>
      <w:r w:rsidRPr="00B51F03">
        <w:rPr>
          <w:color w:val="auto"/>
          <w:sz w:val="24"/>
          <w:szCs w:val="24"/>
        </w:rPr>
        <w:t>Other discussion</w:t>
      </w:r>
    </w:p>
    <w:p w14:paraId="310F808A" w14:textId="0CDAFCD8" w:rsidR="00B51F03" w:rsidRDefault="00B51F03" w:rsidP="00B51F03">
      <w:r>
        <w:t xml:space="preserve">MSAC noted that the Department </w:t>
      </w:r>
      <w:r w:rsidR="00F809B4">
        <w:t>may wish</w:t>
      </w:r>
      <w:r>
        <w:t xml:space="preserve"> to consider </w:t>
      </w:r>
      <w:r w:rsidR="00DF61AC">
        <w:t xml:space="preserve">the points </w:t>
      </w:r>
      <w:r w:rsidR="00835419">
        <w:t xml:space="preserve">it has </w:t>
      </w:r>
      <w:r w:rsidR="00DF61AC">
        <w:t>raised r</w:t>
      </w:r>
      <w:r w:rsidR="00DF61AC" w:rsidRPr="00DF61AC">
        <w:t xml:space="preserve">egarding trial design and methodology </w:t>
      </w:r>
      <w:r>
        <w:t xml:space="preserve">to ensure </w:t>
      </w:r>
      <w:r w:rsidR="00DF61AC">
        <w:t xml:space="preserve">any future </w:t>
      </w:r>
      <w:r w:rsidR="00F809B4">
        <w:t>trials are appropriately designed to provide high quality evidence that can support decision making on</w:t>
      </w:r>
      <w:r w:rsidR="0077364A">
        <w:t xml:space="preserve"> comparative </w:t>
      </w:r>
      <w:r>
        <w:t>safety, effectiveness and cost-effectiveness</w:t>
      </w:r>
      <w:r w:rsidR="00F809B4">
        <w:t xml:space="preserve"> of an intervention</w:t>
      </w:r>
      <w:r>
        <w:t>.</w:t>
      </w:r>
    </w:p>
    <w:p w14:paraId="6710B69D" w14:textId="0F834F6A" w:rsidR="00772829" w:rsidRPr="00CE28E3" w:rsidRDefault="00772829" w:rsidP="00C7722F">
      <w:pPr>
        <w:pStyle w:val="Heading2"/>
        <w:numPr>
          <w:ilvl w:val="0"/>
          <w:numId w:val="18"/>
        </w:numPr>
        <w:ind w:hanging="720"/>
        <w:jc w:val="both"/>
      </w:pPr>
      <w:bookmarkStart w:id="3" w:name="_Toc69491416"/>
      <w:bookmarkEnd w:id="2"/>
      <w:r w:rsidRPr="00CE28E3">
        <w:t>Background</w:t>
      </w:r>
      <w:bookmarkEnd w:id="3"/>
    </w:p>
    <w:p w14:paraId="25BAC83E" w14:textId="5721831E" w:rsidR="006F4DA5" w:rsidRDefault="00D11770" w:rsidP="00AC5A2B">
      <w:pPr>
        <w:pStyle w:val="Instructionaltext"/>
        <w:rPr>
          <w:iCs/>
          <w:color w:val="auto"/>
        </w:rPr>
      </w:pPr>
      <w:bookmarkStart w:id="4" w:name="_Hlk69734494"/>
      <w:r>
        <w:rPr>
          <w:iCs/>
          <w:color w:val="auto"/>
        </w:rPr>
        <w:t xml:space="preserve">The Chronic Pain MedsCheck (CPMC) </w:t>
      </w:r>
      <w:r w:rsidR="00470EC6">
        <w:rPr>
          <w:iCs/>
          <w:color w:val="auto"/>
        </w:rPr>
        <w:t>t</w:t>
      </w:r>
      <w:r>
        <w:rPr>
          <w:iCs/>
          <w:color w:val="auto"/>
        </w:rPr>
        <w:t xml:space="preserve">rial was funded as part of the Pharmacy Trials Program, under the Sixth Community Pharmacy Agreement. </w:t>
      </w:r>
      <w:r w:rsidR="006F4DA5">
        <w:rPr>
          <w:iCs/>
          <w:color w:val="auto"/>
        </w:rPr>
        <w:t xml:space="preserve">The Pharmacy Trials Program </w:t>
      </w:r>
      <w:r w:rsidR="006F4DA5" w:rsidRPr="006F4DA5">
        <w:rPr>
          <w:iCs/>
          <w:color w:val="auto"/>
        </w:rPr>
        <w:t xml:space="preserve">was established </w:t>
      </w:r>
      <w:r w:rsidR="006F4DA5" w:rsidRPr="00C7722F">
        <w:rPr>
          <w:iCs/>
          <w:color w:val="auto"/>
        </w:rPr>
        <w:t>to trial new and expanded community pharmacy programs that seek to improve clinical outcomes</w:t>
      </w:r>
      <w:r w:rsidR="006F4DA5" w:rsidRPr="006F4DA5">
        <w:rPr>
          <w:iCs/>
          <w:color w:val="auto"/>
        </w:rPr>
        <w:t xml:space="preserve"> for participants by progressing the role of community pharmacies in the delivery of primary healthcare services.</w:t>
      </w:r>
      <w:r w:rsidR="006F4DA5">
        <w:rPr>
          <w:iCs/>
          <w:color w:val="auto"/>
        </w:rPr>
        <w:t xml:space="preserve"> </w:t>
      </w:r>
      <w:r>
        <w:rPr>
          <w:iCs/>
          <w:color w:val="auto"/>
        </w:rPr>
        <w:t xml:space="preserve">All trials conducted as part of the Pharmacy Trials Program </w:t>
      </w:r>
      <w:r w:rsidR="00E77AE4">
        <w:rPr>
          <w:iCs/>
          <w:color w:val="auto"/>
        </w:rPr>
        <w:t xml:space="preserve">will undergo </w:t>
      </w:r>
      <w:r w:rsidR="00E77AE4" w:rsidRPr="00D11770">
        <w:rPr>
          <w:iCs/>
          <w:color w:val="auto"/>
        </w:rPr>
        <w:t>a full HTA evaluation through ESC and MSAC.</w:t>
      </w:r>
      <w:r w:rsidR="00E77AE4">
        <w:rPr>
          <w:iCs/>
          <w:color w:val="auto"/>
        </w:rPr>
        <w:t xml:space="preserve"> </w:t>
      </w:r>
      <w:r w:rsidR="006F4DA5">
        <w:rPr>
          <w:iCs/>
          <w:color w:val="auto"/>
        </w:rPr>
        <w:t xml:space="preserve">An expert panel, established by </w:t>
      </w:r>
      <w:r w:rsidR="00470EC6">
        <w:rPr>
          <w:iCs/>
          <w:color w:val="auto"/>
        </w:rPr>
        <w:t xml:space="preserve">The </w:t>
      </w:r>
      <w:r w:rsidR="006F4DA5">
        <w:rPr>
          <w:iCs/>
          <w:color w:val="auto"/>
        </w:rPr>
        <w:t>Pharmacy Guild of Australia, oversaw the trial design, evaluation plan and implementation.</w:t>
      </w:r>
    </w:p>
    <w:p w14:paraId="5EC9582C" w14:textId="0C58519A" w:rsidR="006F4DA5" w:rsidRDefault="006F4DA5" w:rsidP="00AC5A2B">
      <w:pPr>
        <w:pStyle w:val="Instructionaltext"/>
        <w:rPr>
          <w:iCs/>
          <w:color w:val="auto"/>
        </w:rPr>
      </w:pPr>
      <w:r w:rsidRPr="006F4DA5">
        <w:rPr>
          <w:iCs/>
          <w:color w:val="auto"/>
        </w:rPr>
        <w:t xml:space="preserve">At its July 2021 </w:t>
      </w:r>
      <w:r>
        <w:rPr>
          <w:iCs/>
          <w:color w:val="auto"/>
        </w:rPr>
        <w:t>t</w:t>
      </w:r>
      <w:r w:rsidRPr="006F4DA5">
        <w:rPr>
          <w:iCs/>
          <w:color w:val="auto"/>
        </w:rPr>
        <w:t xml:space="preserve">eleconference, </w:t>
      </w:r>
      <w:r>
        <w:rPr>
          <w:iCs/>
          <w:color w:val="auto"/>
        </w:rPr>
        <w:t>t</w:t>
      </w:r>
      <w:r w:rsidRPr="006F4DA5">
        <w:rPr>
          <w:iCs/>
          <w:color w:val="auto"/>
        </w:rPr>
        <w:t xml:space="preserve">he MSAC Executive noted the Department had received the final report for the CPMC </w:t>
      </w:r>
      <w:r w:rsidR="00470EC6">
        <w:rPr>
          <w:iCs/>
          <w:color w:val="auto"/>
        </w:rPr>
        <w:t>t</w:t>
      </w:r>
      <w:r w:rsidRPr="006F4DA5">
        <w:rPr>
          <w:iCs/>
          <w:color w:val="auto"/>
        </w:rPr>
        <w:t>rial, which assessed the effectiveness of a pharmacist-led, patient-centred service supporting patients taking medications to manage chronic pain and who were identified as experiencing issues with medication self-management or dependency. The trial had two arms, Group A and Group B, which received face-to-face consultations with accredited pharmacists, three months apart</w:t>
      </w:r>
      <w:r w:rsidR="00470EC6">
        <w:rPr>
          <w:iCs/>
          <w:color w:val="auto"/>
        </w:rPr>
        <w:t xml:space="preserve">, and </w:t>
      </w:r>
      <w:r w:rsidR="00470EC6">
        <w:rPr>
          <w:rStyle w:val="normaltextrun"/>
          <w:color w:val="000000"/>
          <w:shd w:val="clear" w:color="auto" w:fill="FFFFFF"/>
        </w:rPr>
        <w:t>an additional telephone consultation for Group B at the 6-week midpoint</w:t>
      </w:r>
      <w:r w:rsidRPr="006F4DA5">
        <w:rPr>
          <w:iCs/>
          <w:color w:val="auto"/>
        </w:rPr>
        <w:t>. The MSAC Executive noted that significant improvements in outcomes were seen in both trial arms compared with the baseline. The MSAC Executive noted that participants in Group B experienced a larger benefit. The MSAC Executive queried the plausibility that the additional telephone consultation provided to patients in Group B contributed to better outcomes. The MSAC Executive noted there was</w:t>
      </w:r>
      <w:r w:rsidR="00470EC6">
        <w:rPr>
          <w:iCs/>
          <w:color w:val="auto"/>
        </w:rPr>
        <w:t xml:space="preserve"> a</w:t>
      </w:r>
      <w:r w:rsidRPr="006F4DA5">
        <w:rPr>
          <w:iCs/>
          <w:color w:val="auto"/>
        </w:rPr>
        <w:t xml:space="preserve"> high likelihood of attrition bias in the trial and so advised that analyses exploring patients who discontinued the trial and the potential impact of attrition bias would be informative for consideration by ESC and MSAC. </w:t>
      </w:r>
      <w:r w:rsidRPr="00D11770">
        <w:rPr>
          <w:iCs/>
          <w:color w:val="auto"/>
        </w:rPr>
        <w:t>The MSAC Executive noted there is a strong national interest in addressing chronic pain and that there is a lack of clinical services to adequately support patients with inadequately managed chronic pain.</w:t>
      </w:r>
    </w:p>
    <w:p w14:paraId="6F93EB88" w14:textId="5FCC6491" w:rsidR="008C7D12" w:rsidRDefault="00094D69" w:rsidP="00AC5A2B">
      <w:pPr>
        <w:pStyle w:val="Instructionaltext"/>
        <w:rPr>
          <w:iCs/>
          <w:color w:val="auto"/>
        </w:rPr>
      </w:pPr>
      <w:r w:rsidRPr="00094D69">
        <w:rPr>
          <w:iCs/>
          <w:color w:val="auto"/>
        </w:rPr>
        <w:t xml:space="preserve">MSAC </w:t>
      </w:r>
      <w:r w:rsidR="006F4DA5">
        <w:rPr>
          <w:iCs/>
          <w:color w:val="auto"/>
        </w:rPr>
        <w:t xml:space="preserve">has previously </w:t>
      </w:r>
      <w:r w:rsidRPr="00094D69">
        <w:rPr>
          <w:iCs/>
          <w:color w:val="auto"/>
        </w:rPr>
        <w:t>appraised three Medication Management Review Programs</w:t>
      </w:r>
      <w:r w:rsidR="00AE3CA1" w:rsidRPr="00AE3CA1">
        <w:rPr>
          <w:iCs/>
          <w:color w:val="auto"/>
        </w:rPr>
        <w:t xml:space="preserve"> </w:t>
      </w:r>
      <w:r w:rsidR="00AE3CA1">
        <w:rPr>
          <w:iCs/>
          <w:color w:val="auto"/>
        </w:rPr>
        <w:t>i</w:t>
      </w:r>
      <w:r w:rsidR="00AE3CA1" w:rsidRPr="00094D69">
        <w:rPr>
          <w:iCs/>
          <w:color w:val="auto"/>
        </w:rPr>
        <w:t>n April 2017</w:t>
      </w:r>
      <w:r w:rsidRPr="00094D69">
        <w:rPr>
          <w:iCs/>
          <w:color w:val="auto"/>
        </w:rPr>
        <w:t>: Home Medicines Review</w:t>
      </w:r>
      <w:r w:rsidR="00470EC6">
        <w:rPr>
          <w:iCs/>
          <w:color w:val="auto"/>
        </w:rPr>
        <w:t xml:space="preserve"> (HMR)</w:t>
      </w:r>
      <w:r w:rsidRPr="00094D69">
        <w:rPr>
          <w:iCs/>
          <w:color w:val="auto"/>
        </w:rPr>
        <w:t>, Residential Medication Management Review</w:t>
      </w:r>
      <w:r w:rsidR="00470EC6">
        <w:rPr>
          <w:iCs/>
          <w:color w:val="auto"/>
        </w:rPr>
        <w:t xml:space="preserve"> (RMMR)</w:t>
      </w:r>
      <w:r w:rsidRPr="00094D69">
        <w:rPr>
          <w:iCs/>
          <w:color w:val="auto"/>
        </w:rPr>
        <w:t xml:space="preserve"> and MedsCheck/Diabetes MedsCheck Program</w:t>
      </w:r>
      <w:r w:rsidR="00470EC6">
        <w:rPr>
          <w:iCs/>
          <w:color w:val="auto"/>
        </w:rPr>
        <w:t>s</w:t>
      </w:r>
      <w:r w:rsidRPr="00094D69">
        <w:rPr>
          <w:iCs/>
          <w:color w:val="auto"/>
        </w:rPr>
        <w:t xml:space="preserve"> (refer to </w:t>
      </w:r>
      <w:hyperlink r:id="rId14" w:history="1">
        <w:r w:rsidRPr="00AE3CA1">
          <w:rPr>
            <w:rStyle w:val="Hyperlink"/>
            <w:iCs/>
            <w:color w:val="auto"/>
            <w:u w:val="none"/>
          </w:rPr>
          <w:t>MSAC Minutes</w:t>
        </w:r>
      </w:hyperlink>
      <w:r w:rsidRPr="00094D69">
        <w:rPr>
          <w:iCs/>
          <w:color w:val="auto"/>
        </w:rPr>
        <w:t>).</w:t>
      </w:r>
      <w:r w:rsidR="00AE3CA1">
        <w:rPr>
          <w:iCs/>
          <w:color w:val="auto"/>
        </w:rPr>
        <w:t xml:space="preserve"> </w:t>
      </w:r>
      <w:r w:rsidR="008C7D12">
        <w:rPr>
          <w:iCs/>
          <w:color w:val="auto"/>
        </w:rPr>
        <w:t>The evaluation report did not find any</w:t>
      </w:r>
      <w:r w:rsidR="00854058">
        <w:rPr>
          <w:iCs/>
          <w:color w:val="auto"/>
        </w:rPr>
        <w:t xml:space="preserve"> primary studies examining the MedsCheck or Diabetes MedsCheck services specifically, nor were any primary studies examining pharmacy-based medication review services conducted in Australia found.</w:t>
      </w:r>
      <w:r w:rsidR="00854058" w:rsidRPr="00854058">
        <w:rPr>
          <w:iCs/>
          <w:color w:val="auto"/>
        </w:rPr>
        <w:t xml:space="preserve"> </w:t>
      </w:r>
      <w:r w:rsidR="00854058" w:rsidRPr="00AE3CA1">
        <w:rPr>
          <w:iCs/>
          <w:color w:val="auto"/>
        </w:rPr>
        <w:t>MSAC advised that there is no</w:t>
      </w:r>
      <w:r w:rsidR="00854058">
        <w:rPr>
          <w:iCs/>
          <w:color w:val="auto"/>
        </w:rPr>
        <w:t xml:space="preserve"> </w:t>
      </w:r>
      <w:r w:rsidR="00854058" w:rsidRPr="00AE3CA1">
        <w:rPr>
          <w:iCs/>
          <w:color w:val="auto"/>
        </w:rPr>
        <w:t>clear evidence to indicate that such services have any impact on reducing mortality or on improving</w:t>
      </w:r>
      <w:r w:rsidR="00854058">
        <w:rPr>
          <w:iCs/>
          <w:color w:val="auto"/>
        </w:rPr>
        <w:t xml:space="preserve"> </w:t>
      </w:r>
      <w:r w:rsidR="00854058" w:rsidRPr="00AE3CA1">
        <w:rPr>
          <w:iCs/>
          <w:color w:val="auto"/>
        </w:rPr>
        <w:t>appropriateness of medication prescribing, although MSAC observed a positive effect of the</w:t>
      </w:r>
      <w:r w:rsidR="00854058">
        <w:rPr>
          <w:iCs/>
          <w:color w:val="auto"/>
        </w:rPr>
        <w:t xml:space="preserve"> </w:t>
      </w:r>
      <w:r w:rsidR="00854058" w:rsidRPr="00AE3CA1">
        <w:rPr>
          <w:iCs/>
          <w:color w:val="auto"/>
        </w:rPr>
        <w:t xml:space="preserve">medication review on patient </w:t>
      </w:r>
      <w:r w:rsidR="00854058" w:rsidRPr="00AE3CA1">
        <w:rPr>
          <w:iCs/>
          <w:color w:val="auto"/>
        </w:rPr>
        <w:lastRenderedPageBreak/>
        <w:t>satisfaction.</w:t>
      </w:r>
      <w:r w:rsidR="00854058" w:rsidRPr="00854058">
        <w:rPr>
          <w:iCs/>
          <w:color w:val="auto"/>
        </w:rPr>
        <w:t xml:space="preserve"> </w:t>
      </w:r>
      <w:r w:rsidR="00854058" w:rsidRPr="00AE3CA1">
        <w:rPr>
          <w:iCs/>
          <w:color w:val="auto"/>
        </w:rPr>
        <w:t xml:space="preserve">MSAC advised that there is conflicting evidence on the effect of the </w:t>
      </w:r>
      <w:r w:rsidR="00214185" w:rsidRPr="00AE3CA1">
        <w:rPr>
          <w:iCs/>
          <w:color w:val="auto"/>
        </w:rPr>
        <w:t>pharmacy-based</w:t>
      </w:r>
      <w:r w:rsidR="00854058" w:rsidRPr="00AE3CA1">
        <w:rPr>
          <w:iCs/>
          <w:color w:val="auto"/>
        </w:rPr>
        <w:t xml:space="preserve"> medication</w:t>
      </w:r>
      <w:r w:rsidR="00854058">
        <w:rPr>
          <w:iCs/>
          <w:color w:val="auto"/>
        </w:rPr>
        <w:t xml:space="preserve"> </w:t>
      </w:r>
      <w:r w:rsidR="00854058" w:rsidRPr="00AE3CA1">
        <w:rPr>
          <w:iCs/>
          <w:color w:val="auto"/>
        </w:rPr>
        <w:t>review on reducing hospitalisations, improving patient adherence and quality of life, and reducing</w:t>
      </w:r>
      <w:r w:rsidR="00854058">
        <w:rPr>
          <w:iCs/>
          <w:color w:val="auto"/>
        </w:rPr>
        <w:t xml:space="preserve"> </w:t>
      </w:r>
      <w:r w:rsidR="00854058" w:rsidRPr="00AE3CA1">
        <w:rPr>
          <w:iCs/>
          <w:color w:val="auto"/>
        </w:rPr>
        <w:t>drug burden and falls. Evidence demonstrating any impact of such services on reducing adverse</w:t>
      </w:r>
      <w:r w:rsidR="00854058">
        <w:rPr>
          <w:iCs/>
          <w:color w:val="auto"/>
        </w:rPr>
        <w:t xml:space="preserve"> </w:t>
      </w:r>
      <w:r w:rsidR="00854058" w:rsidRPr="00AE3CA1">
        <w:rPr>
          <w:iCs/>
          <w:color w:val="auto"/>
        </w:rPr>
        <w:t>events and health care resource use is inconclusive. MSAC was concerned about the dated nature of presented evidence as well as the sparseness</w:t>
      </w:r>
      <w:r w:rsidR="00854058">
        <w:rPr>
          <w:iCs/>
          <w:color w:val="auto"/>
        </w:rPr>
        <w:t xml:space="preserve"> </w:t>
      </w:r>
      <w:r w:rsidR="00854058" w:rsidRPr="00AE3CA1">
        <w:rPr>
          <w:iCs/>
          <w:color w:val="auto"/>
        </w:rPr>
        <w:t>of Australian studies available (particularly for RMMR and MedsCheck services), and hence the</w:t>
      </w:r>
      <w:r w:rsidR="00854058">
        <w:rPr>
          <w:iCs/>
          <w:color w:val="auto"/>
        </w:rPr>
        <w:t xml:space="preserve"> </w:t>
      </w:r>
      <w:r w:rsidR="00854058" w:rsidRPr="00AE3CA1">
        <w:rPr>
          <w:iCs/>
          <w:color w:val="auto"/>
        </w:rPr>
        <w:t>applicability of the study findings to the contemporary Australian context.</w:t>
      </w:r>
    </w:p>
    <w:p w14:paraId="517F045C" w14:textId="66E8DB8B" w:rsidR="00C94849" w:rsidRDefault="00AE3CA1" w:rsidP="00AC5A2B">
      <w:pPr>
        <w:pStyle w:val="Instructionaltext"/>
        <w:rPr>
          <w:color w:val="auto"/>
        </w:rPr>
      </w:pPr>
      <w:r w:rsidRPr="00AE3CA1">
        <w:rPr>
          <w:color w:val="auto"/>
        </w:rPr>
        <w:t>MSAC considered that the design and value of these pharmacy service programs could be improved</w:t>
      </w:r>
      <w:r>
        <w:rPr>
          <w:color w:val="auto"/>
        </w:rPr>
        <w:t xml:space="preserve"> </w:t>
      </w:r>
      <w:r w:rsidRPr="00AE3CA1">
        <w:rPr>
          <w:color w:val="auto"/>
        </w:rPr>
        <w:t>by including formal collaboration with GPs and other healthcare networks, by being targeted to</w:t>
      </w:r>
      <w:r>
        <w:rPr>
          <w:color w:val="auto"/>
        </w:rPr>
        <w:t xml:space="preserve"> </w:t>
      </w:r>
      <w:r w:rsidRPr="00AE3CA1">
        <w:rPr>
          <w:color w:val="auto"/>
        </w:rPr>
        <w:t>more appropriate patient populations, and by a reduction in the unit cost of providing each type of</w:t>
      </w:r>
      <w:r>
        <w:rPr>
          <w:color w:val="auto"/>
        </w:rPr>
        <w:t xml:space="preserve"> </w:t>
      </w:r>
      <w:r w:rsidRPr="00AE3CA1">
        <w:rPr>
          <w:color w:val="auto"/>
        </w:rPr>
        <w:t>pharmacy service coupled with an incentive to increase this unit cost if adequate new evidence can</w:t>
      </w:r>
      <w:r>
        <w:rPr>
          <w:color w:val="auto"/>
        </w:rPr>
        <w:t xml:space="preserve"> </w:t>
      </w:r>
      <w:r w:rsidRPr="00AE3CA1">
        <w:rPr>
          <w:color w:val="auto"/>
        </w:rPr>
        <w:t>be furnished to justify an increase. Further enhancement of these programs might better justify the</w:t>
      </w:r>
      <w:r>
        <w:rPr>
          <w:color w:val="auto"/>
        </w:rPr>
        <w:t xml:space="preserve"> </w:t>
      </w:r>
      <w:r w:rsidRPr="00AE3CA1">
        <w:rPr>
          <w:color w:val="auto"/>
        </w:rPr>
        <w:t>provision of continued funding of these services.</w:t>
      </w:r>
      <w:r>
        <w:rPr>
          <w:color w:val="auto"/>
        </w:rPr>
        <w:t xml:space="preserve"> </w:t>
      </w:r>
      <w:r w:rsidRPr="00AE3CA1">
        <w:rPr>
          <w:color w:val="auto"/>
        </w:rPr>
        <w:t>MSAC reiterated its previous advice regarding the need to collect robust comparative evidence</w:t>
      </w:r>
      <w:r>
        <w:rPr>
          <w:color w:val="auto"/>
        </w:rPr>
        <w:t xml:space="preserve"> </w:t>
      </w:r>
      <w:r w:rsidRPr="00AE3CA1">
        <w:rPr>
          <w:color w:val="auto"/>
        </w:rPr>
        <w:t>focusing on improved health outcomes, and, at the very least, data collection by pharmacists</w:t>
      </w:r>
      <w:r>
        <w:rPr>
          <w:color w:val="auto"/>
        </w:rPr>
        <w:t xml:space="preserve"> </w:t>
      </w:r>
      <w:r w:rsidRPr="00AE3CA1">
        <w:rPr>
          <w:color w:val="auto"/>
        </w:rPr>
        <w:t>providing these services about what services were rendered to what type of patient and at what cost.</w:t>
      </w:r>
    </w:p>
    <w:p w14:paraId="43B4216A" w14:textId="333F486E" w:rsidR="004D08BB" w:rsidRPr="00447A43" w:rsidRDefault="007C2F3A" w:rsidP="00447A43">
      <w:pPr>
        <w:pStyle w:val="Instructionaltext"/>
        <w:rPr>
          <w:color w:val="auto"/>
        </w:rPr>
      </w:pPr>
      <w:r w:rsidRPr="007C2F3A">
        <w:rPr>
          <w:color w:val="auto"/>
        </w:rPr>
        <w:t xml:space="preserve">A summary of the key matters raised by the MSAC Executive </w:t>
      </w:r>
      <w:r w:rsidRPr="002E6226">
        <w:rPr>
          <w:color w:val="auto"/>
        </w:rPr>
        <w:t>and related issues</w:t>
      </w:r>
      <w:r w:rsidRPr="007C2F3A">
        <w:rPr>
          <w:color w:val="auto"/>
        </w:rPr>
        <w:t xml:space="preserve"> </w:t>
      </w:r>
      <w:r w:rsidR="00E5472F">
        <w:rPr>
          <w:color w:val="auto"/>
        </w:rPr>
        <w:t>is</w:t>
      </w:r>
      <w:r w:rsidRPr="007C2F3A">
        <w:rPr>
          <w:color w:val="auto"/>
        </w:rPr>
        <w:t xml:space="preserve"> presented in </w:t>
      </w:r>
      <w:r w:rsidRPr="002E6226">
        <w:rPr>
          <w:color w:val="auto"/>
        </w:rPr>
        <w:t>Table 1.</w:t>
      </w:r>
      <w:bookmarkStart w:id="5" w:name="_Ref69480768"/>
      <w:bookmarkStart w:id="6" w:name="_Hlk69734557"/>
      <w:bookmarkEnd w:id="4"/>
      <w:r w:rsidR="004D08BB">
        <w:br w:type="page"/>
      </w:r>
    </w:p>
    <w:p w14:paraId="6EC12EDF" w14:textId="65341614" w:rsidR="0068682C" w:rsidRPr="002E6226" w:rsidRDefault="0068682C" w:rsidP="0001555C">
      <w:pPr>
        <w:pStyle w:val="Caption"/>
        <w:jc w:val="both"/>
      </w:pPr>
      <w:r w:rsidRPr="002E6226">
        <w:lastRenderedPageBreak/>
        <w:t>Table</w:t>
      </w:r>
      <w:r w:rsidR="004A4FDF" w:rsidRPr="002E6226">
        <w:t> </w:t>
      </w:r>
      <w:fldSimple w:instr=" SEQ Table \* ARABIC ">
        <w:r w:rsidR="00656985">
          <w:rPr>
            <w:noProof/>
          </w:rPr>
          <w:t>1</w:t>
        </w:r>
      </w:fldSimple>
      <w:bookmarkEnd w:id="5"/>
      <w:r w:rsidRPr="002E6226">
        <w:tab/>
        <w:t>Summary of key matters of concern</w:t>
      </w:r>
    </w:p>
    <w:tbl>
      <w:tblPr>
        <w:tblStyle w:val="TableGrid1"/>
        <w:tblW w:w="5000" w:type="pct"/>
        <w:tblLook w:val="04A0" w:firstRow="1" w:lastRow="0" w:firstColumn="1" w:lastColumn="0" w:noHBand="0" w:noVBand="1"/>
      </w:tblPr>
      <w:tblGrid>
        <w:gridCol w:w="2547"/>
        <w:gridCol w:w="3234"/>
        <w:gridCol w:w="3235"/>
      </w:tblGrid>
      <w:tr w:rsidR="00F57885" w:rsidRPr="002E6226" w14:paraId="2BDCC27B" w14:textId="77777777" w:rsidTr="00E509CE">
        <w:trPr>
          <w:cnfStyle w:val="100000000000" w:firstRow="1" w:lastRow="0" w:firstColumn="0" w:lastColumn="0" w:oddVBand="0" w:evenVBand="0" w:oddHBand="0" w:evenHBand="0" w:firstRowFirstColumn="0" w:firstRowLastColumn="0" w:lastRowFirstColumn="0" w:lastRowLastColumn="0"/>
          <w:cantSplit/>
          <w:tblHeader/>
        </w:trPr>
        <w:tc>
          <w:tcPr>
            <w:tcW w:w="1412" w:type="pct"/>
            <w:shd w:val="clear" w:color="auto" w:fill="auto"/>
          </w:tcPr>
          <w:p w14:paraId="58F6A808" w14:textId="77777777" w:rsidR="00F57885" w:rsidRPr="002E6226" w:rsidRDefault="00F57885" w:rsidP="0001555C">
            <w:pPr>
              <w:pStyle w:val="In-tableHeading"/>
              <w:jc w:val="both"/>
            </w:pPr>
            <w:bookmarkStart w:id="7" w:name="ColumnTitle_Table1"/>
            <w:bookmarkStart w:id="8" w:name="_Hlk68275590"/>
            <w:bookmarkEnd w:id="7"/>
            <w:r w:rsidRPr="002E6226">
              <w:t>Component</w:t>
            </w:r>
          </w:p>
        </w:tc>
        <w:tc>
          <w:tcPr>
            <w:tcW w:w="1793" w:type="pct"/>
            <w:shd w:val="clear" w:color="auto" w:fill="auto"/>
          </w:tcPr>
          <w:p w14:paraId="09992FB9" w14:textId="77777777" w:rsidR="00F57885" w:rsidRPr="002E6226" w:rsidRDefault="00F57885" w:rsidP="0001555C">
            <w:pPr>
              <w:pStyle w:val="In-tableHeading"/>
              <w:jc w:val="both"/>
            </w:pPr>
            <w:r w:rsidRPr="002E6226">
              <w:t>Matter of concern</w:t>
            </w:r>
          </w:p>
        </w:tc>
        <w:tc>
          <w:tcPr>
            <w:tcW w:w="1794" w:type="pct"/>
            <w:shd w:val="clear" w:color="auto" w:fill="auto"/>
          </w:tcPr>
          <w:p w14:paraId="54C88680" w14:textId="77777777" w:rsidR="00F57885" w:rsidRPr="002E6226" w:rsidRDefault="00F57885" w:rsidP="0001555C">
            <w:pPr>
              <w:pStyle w:val="In-tableHeading"/>
              <w:jc w:val="both"/>
            </w:pPr>
            <w:r w:rsidRPr="002E6226">
              <w:t>How the current assessment report addresses it</w:t>
            </w:r>
          </w:p>
        </w:tc>
      </w:tr>
      <w:tr w:rsidR="00F57885" w:rsidRPr="002E6226" w14:paraId="4C3B6A2C" w14:textId="77777777" w:rsidTr="00E509CE">
        <w:trPr>
          <w:cantSplit/>
        </w:trPr>
        <w:tc>
          <w:tcPr>
            <w:tcW w:w="1412" w:type="pct"/>
          </w:tcPr>
          <w:p w14:paraId="3ADC1FC4" w14:textId="38AFF364" w:rsidR="00F57885" w:rsidRPr="002E6226" w:rsidRDefault="00325AFC" w:rsidP="0001555C">
            <w:pPr>
              <w:pStyle w:val="TableText"/>
              <w:jc w:val="both"/>
            </w:pPr>
            <w:r w:rsidRPr="002E6226">
              <w:t>Efficacy of the</w:t>
            </w:r>
            <w:r w:rsidR="006F4DA5" w:rsidRPr="002E6226">
              <w:t xml:space="preserve"> Group B </w:t>
            </w:r>
            <w:r w:rsidRPr="002E6226">
              <w:t>mid-point telephone consultation</w:t>
            </w:r>
          </w:p>
        </w:tc>
        <w:tc>
          <w:tcPr>
            <w:tcW w:w="1793" w:type="pct"/>
          </w:tcPr>
          <w:p w14:paraId="29BB6916" w14:textId="23F03CD4" w:rsidR="00F57885" w:rsidRPr="002E6226" w:rsidRDefault="00325AFC" w:rsidP="0001555C">
            <w:pPr>
              <w:pStyle w:val="TableText"/>
              <w:jc w:val="both"/>
              <w:rPr>
                <w:rFonts w:cs="Arial"/>
                <w:snapToGrid w:val="0"/>
              </w:rPr>
            </w:pPr>
            <w:r w:rsidRPr="002E6226">
              <w:rPr>
                <w:rFonts w:cs="Arial"/>
                <w:snapToGrid w:val="0"/>
              </w:rPr>
              <w:t xml:space="preserve">MSAC </w:t>
            </w:r>
            <w:r w:rsidR="00470EC6">
              <w:rPr>
                <w:rFonts w:cs="Arial"/>
                <w:snapToGrid w:val="0"/>
              </w:rPr>
              <w:t xml:space="preserve">Executive </w:t>
            </w:r>
            <w:r w:rsidRPr="002E6226">
              <w:rPr>
                <w:rFonts w:cs="Arial"/>
                <w:snapToGrid w:val="0"/>
              </w:rPr>
              <w:t>queried the plausibility that the additional telephone consultation provided to patients in Group B contributed to better outcomes.</w:t>
            </w:r>
          </w:p>
        </w:tc>
        <w:tc>
          <w:tcPr>
            <w:tcW w:w="1794" w:type="pct"/>
          </w:tcPr>
          <w:p w14:paraId="16884838" w14:textId="77777777" w:rsidR="00F57885" w:rsidRPr="002E6226" w:rsidRDefault="00325AFC" w:rsidP="0001555C">
            <w:pPr>
              <w:pStyle w:val="TableText"/>
              <w:jc w:val="both"/>
              <w:rPr>
                <w:rFonts w:cs="Arial"/>
                <w:snapToGrid w:val="0"/>
              </w:rPr>
            </w:pPr>
            <w:r w:rsidRPr="002E6226">
              <w:rPr>
                <w:rFonts w:cs="Arial"/>
                <w:snapToGrid w:val="0"/>
              </w:rPr>
              <w:t>Not addressed.</w:t>
            </w:r>
          </w:p>
          <w:p w14:paraId="1CE06500" w14:textId="77777777" w:rsidR="00C346FC" w:rsidRPr="002E6226" w:rsidRDefault="00C346FC" w:rsidP="0001555C">
            <w:pPr>
              <w:pStyle w:val="TableText"/>
              <w:jc w:val="both"/>
              <w:rPr>
                <w:rFonts w:cs="Arial"/>
                <w:bCs/>
                <w:snapToGrid w:val="0"/>
              </w:rPr>
            </w:pPr>
          </w:p>
          <w:p w14:paraId="15BB4464" w14:textId="12E3EDF9" w:rsidR="00C346FC" w:rsidRPr="002E6226" w:rsidRDefault="00C346FC" w:rsidP="0001555C">
            <w:pPr>
              <w:pStyle w:val="TableText"/>
              <w:jc w:val="both"/>
              <w:rPr>
                <w:rFonts w:cs="Arial"/>
                <w:bCs/>
                <w:snapToGrid w:val="0"/>
              </w:rPr>
            </w:pPr>
            <w:r w:rsidRPr="002E6226">
              <w:rPr>
                <w:rFonts w:cs="Arial"/>
                <w:bCs/>
                <w:snapToGrid w:val="0"/>
              </w:rPr>
              <w:t xml:space="preserve">The applicant advised that the literature and expert advice which suggested the need </w:t>
            </w:r>
            <w:r w:rsidR="00E5472F">
              <w:rPr>
                <w:rFonts w:cs="Arial"/>
                <w:bCs/>
                <w:snapToGrid w:val="0"/>
              </w:rPr>
              <w:t xml:space="preserve">for </w:t>
            </w:r>
            <w:r w:rsidRPr="002E6226">
              <w:rPr>
                <w:rFonts w:cs="Arial"/>
                <w:bCs/>
                <w:snapToGrid w:val="0"/>
              </w:rPr>
              <w:t xml:space="preserve">additional support was not written up and </w:t>
            </w:r>
            <w:r w:rsidR="00E5472F">
              <w:rPr>
                <w:rFonts w:cs="Arial"/>
                <w:bCs/>
                <w:snapToGrid w:val="0"/>
              </w:rPr>
              <w:t xml:space="preserve">the applicant </w:t>
            </w:r>
            <w:r w:rsidRPr="002E6226">
              <w:rPr>
                <w:rFonts w:cs="Arial"/>
                <w:bCs/>
                <w:snapToGrid w:val="0"/>
              </w:rPr>
              <w:t>could not provide it.</w:t>
            </w:r>
          </w:p>
        </w:tc>
      </w:tr>
      <w:tr w:rsidR="00F57885" w:rsidRPr="002E6226" w14:paraId="3B9AD9C3" w14:textId="77777777" w:rsidTr="00E509CE">
        <w:trPr>
          <w:cantSplit/>
        </w:trPr>
        <w:tc>
          <w:tcPr>
            <w:tcW w:w="1412" w:type="pct"/>
          </w:tcPr>
          <w:p w14:paraId="23382853" w14:textId="4289EECE" w:rsidR="00F57885" w:rsidRPr="002E6226" w:rsidRDefault="00325AFC" w:rsidP="0001555C">
            <w:pPr>
              <w:pStyle w:val="TableText"/>
              <w:jc w:val="both"/>
            </w:pPr>
            <w:r w:rsidRPr="002E6226">
              <w:t xml:space="preserve">Attrition bias </w:t>
            </w:r>
          </w:p>
        </w:tc>
        <w:tc>
          <w:tcPr>
            <w:tcW w:w="1793" w:type="pct"/>
          </w:tcPr>
          <w:p w14:paraId="3C6FBFDC" w14:textId="1B9EB057" w:rsidR="00F57885" w:rsidRPr="002E6226" w:rsidRDefault="00325AFC" w:rsidP="0001555C">
            <w:pPr>
              <w:pStyle w:val="TableText"/>
              <w:jc w:val="both"/>
            </w:pPr>
            <w:r w:rsidRPr="002E6226">
              <w:t>MSAC Executive noted there was high likelihood of attrition bias in the trial and so advised that analyses exploring patients who discontinued the trial and the potential impact of attrition bias would be informative for consideration by ESC and MSAC.</w:t>
            </w:r>
          </w:p>
        </w:tc>
        <w:tc>
          <w:tcPr>
            <w:tcW w:w="1794" w:type="pct"/>
          </w:tcPr>
          <w:p w14:paraId="05782B3C" w14:textId="77777777" w:rsidR="00F57885" w:rsidRPr="002E6226" w:rsidRDefault="00325AFC" w:rsidP="0001555C">
            <w:pPr>
              <w:pStyle w:val="TableText"/>
              <w:jc w:val="both"/>
              <w:rPr>
                <w:rFonts w:cs="Arial"/>
                <w:bCs/>
                <w:snapToGrid w:val="0"/>
              </w:rPr>
            </w:pPr>
            <w:r w:rsidRPr="002E6226">
              <w:rPr>
                <w:rFonts w:cs="Arial"/>
                <w:bCs/>
                <w:snapToGrid w:val="0"/>
              </w:rPr>
              <w:t>Not adequately addressed.</w:t>
            </w:r>
          </w:p>
          <w:p w14:paraId="20BC5F03" w14:textId="77777777" w:rsidR="007534EB" w:rsidRPr="002E6226" w:rsidRDefault="007534EB" w:rsidP="0001555C">
            <w:pPr>
              <w:pStyle w:val="TableText"/>
              <w:jc w:val="both"/>
              <w:rPr>
                <w:rFonts w:cs="Arial"/>
                <w:bCs/>
                <w:snapToGrid w:val="0"/>
              </w:rPr>
            </w:pPr>
          </w:p>
          <w:p w14:paraId="26202E3E" w14:textId="1855EB2F" w:rsidR="00325AFC" w:rsidRPr="002E6226" w:rsidRDefault="00325AFC" w:rsidP="0001555C">
            <w:pPr>
              <w:pStyle w:val="TableText"/>
              <w:jc w:val="both"/>
              <w:rPr>
                <w:rFonts w:cs="Arial"/>
                <w:bCs/>
                <w:snapToGrid w:val="0"/>
              </w:rPr>
            </w:pPr>
            <w:r w:rsidRPr="002E6226">
              <w:rPr>
                <w:rFonts w:cs="Arial"/>
                <w:bCs/>
                <w:snapToGrid w:val="0"/>
              </w:rPr>
              <w:t xml:space="preserve">The applicant </w:t>
            </w:r>
            <w:r w:rsidR="007534EB" w:rsidRPr="002E6226">
              <w:rPr>
                <w:rFonts w:cs="Arial"/>
                <w:bCs/>
                <w:snapToGrid w:val="0"/>
              </w:rPr>
              <w:t xml:space="preserve">noted that Tables 29-32 in </w:t>
            </w:r>
            <w:r w:rsidR="00E5472F">
              <w:rPr>
                <w:rFonts w:cs="Arial"/>
                <w:bCs/>
                <w:snapToGrid w:val="0"/>
              </w:rPr>
              <w:t xml:space="preserve">the </w:t>
            </w:r>
            <w:r w:rsidR="007534EB" w:rsidRPr="002E6226">
              <w:rPr>
                <w:rFonts w:cs="Arial"/>
                <w:bCs/>
                <w:snapToGrid w:val="0"/>
              </w:rPr>
              <w:t xml:space="preserve">ADAR included a comparative analysis of those lost to follow-up compared to those that completed the trial. A calculation of the effect size </w:t>
            </w:r>
            <w:r w:rsidR="00E509CE" w:rsidRPr="002E6226">
              <w:rPr>
                <w:rFonts w:cs="Arial"/>
                <w:bCs/>
                <w:snapToGrid w:val="0"/>
              </w:rPr>
              <w:t xml:space="preserve">of age between those lost to follow-up and those that completed the trial was also provided. </w:t>
            </w:r>
            <w:r w:rsidR="003576E4" w:rsidRPr="002E6226">
              <w:rPr>
                <w:rFonts w:cs="Arial"/>
                <w:bCs/>
                <w:snapToGrid w:val="0"/>
              </w:rPr>
              <w:t>There were no sensitivity analyses presented to support the claim that using unmatched data was unlikely to impact results.</w:t>
            </w:r>
          </w:p>
        </w:tc>
      </w:tr>
      <w:tr w:rsidR="00325AFC" w:rsidRPr="002E6226" w14:paraId="0BA12610" w14:textId="77777777" w:rsidTr="00E509CE">
        <w:trPr>
          <w:cantSplit/>
        </w:trPr>
        <w:tc>
          <w:tcPr>
            <w:tcW w:w="1412" w:type="pct"/>
          </w:tcPr>
          <w:p w14:paraId="630AD653" w14:textId="3C4EC280" w:rsidR="00325AFC" w:rsidRPr="002E6226" w:rsidRDefault="00325AFC" w:rsidP="0001555C">
            <w:pPr>
              <w:pStyle w:val="TableText"/>
              <w:jc w:val="both"/>
            </w:pPr>
            <w:r w:rsidRPr="002E6226">
              <w:t>Comparison with usual care</w:t>
            </w:r>
          </w:p>
        </w:tc>
        <w:tc>
          <w:tcPr>
            <w:tcW w:w="1793" w:type="pct"/>
          </w:tcPr>
          <w:p w14:paraId="31CD152E" w14:textId="13592AA6" w:rsidR="00325AFC" w:rsidRPr="002E6226" w:rsidRDefault="00325AFC" w:rsidP="0001555C">
            <w:pPr>
              <w:pStyle w:val="TableText"/>
              <w:jc w:val="both"/>
            </w:pPr>
            <w:r w:rsidRPr="002E6226">
              <w:t xml:space="preserve">The CMPC Trial and economic evaluation do not </w:t>
            </w:r>
            <w:r w:rsidR="007C2F3A" w:rsidRPr="002E6226">
              <w:t xml:space="preserve">have an adequate usual care group. There are </w:t>
            </w:r>
            <w:r w:rsidR="00E5472F">
              <w:t>no</w:t>
            </w:r>
            <w:r w:rsidR="007C2F3A" w:rsidRPr="002E6226">
              <w:t xml:space="preserve"> comparisons of</w:t>
            </w:r>
            <w:r w:rsidRPr="002E6226">
              <w:t xml:space="preserve"> the CPMC with current services or alternative pain management options.</w:t>
            </w:r>
          </w:p>
        </w:tc>
        <w:tc>
          <w:tcPr>
            <w:tcW w:w="1794" w:type="pct"/>
          </w:tcPr>
          <w:p w14:paraId="23B25630" w14:textId="1CC1E773" w:rsidR="00325AFC" w:rsidRPr="002E6226" w:rsidRDefault="00090C1E" w:rsidP="0001555C">
            <w:pPr>
              <w:pStyle w:val="TableText"/>
              <w:jc w:val="both"/>
              <w:rPr>
                <w:rFonts w:cs="Arial"/>
                <w:bCs/>
                <w:snapToGrid w:val="0"/>
              </w:rPr>
            </w:pPr>
            <w:r w:rsidRPr="002E6226">
              <w:rPr>
                <w:rFonts w:cs="Arial"/>
                <w:bCs/>
                <w:snapToGrid w:val="0"/>
              </w:rPr>
              <w:t xml:space="preserve">Not adequately addressed – baseline measurements have been used as </w:t>
            </w:r>
            <w:r w:rsidR="00A44E97" w:rsidRPr="002E6226">
              <w:rPr>
                <w:rFonts w:cs="Arial"/>
                <w:bCs/>
                <w:snapToGrid w:val="0"/>
              </w:rPr>
              <w:t xml:space="preserve">the likely </w:t>
            </w:r>
            <w:r w:rsidRPr="002E6226">
              <w:rPr>
                <w:rFonts w:cs="Arial"/>
                <w:bCs/>
                <w:snapToGrid w:val="0"/>
              </w:rPr>
              <w:t>usual care</w:t>
            </w:r>
            <w:r w:rsidR="00A44E97" w:rsidRPr="002E6226">
              <w:rPr>
                <w:rFonts w:cs="Arial"/>
                <w:bCs/>
                <w:snapToGrid w:val="0"/>
              </w:rPr>
              <w:t xml:space="preserve"> outcomes at future follow-up points</w:t>
            </w:r>
            <w:r w:rsidRPr="002E6226">
              <w:rPr>
                <w:rFonts w:cs="Arial"/>
                <w:bCs/>
                <w:snapToGrid w:val="0"/>
              </w:rPr>
              <w:t>.</w:t>
            </w:r>
          </w:p>
        </w:tc>
      </w:tr>
      <w:tr w:rsidR="00CD23D7" w:rsidRPr="002E6226" w14:paraId="3F608A7B" w14:textId="77777777" w:rsidTr="00E509CE">
        <w:trPr>
          <w:cantSplit/>
        </w:trPr>
        <w:tc>
          <w:tcPr>
            <w:tcW w:w="1412" w:type="pct"/>
          </w:tcPr>
          <w:p w14:paraId="574E9F4D" w14:textId="5BD000C3" w:rsidR="00CD23D7" w:rsidRPr="002E6226" w:rsidRDefault="00034E1C" w:rsidP="0001555C">
            <w:pPr>
              <w:pStyle w:val="TableText"/>
              <w:jc w:val="both"/>
            </w:pPr>
            <w:r w:rsidRPr="002E6226">
              <w:t>Time horizon of the e</w:t>
            </w:r>
            <w:r w:rsidR="00CD23D7" w:rsidRPr="002E6226">
              <w:t>conomic evaluation</w:t>
            </w:r>
          </w:p>
        </w:tc>
        <w:tc>
          <w:tcPr>
            <w:tcW w:w="1793" w:type="pct"/>
          </w:tcPr>
          <w:p w14:paraId="7E423C8A" w14:textId="6F47CD6D" w:rsidR="00CD23D7" w:rsidRPr="002E6226" w:rsidRDefault="0046462C" w:rsidP="0001555C">
            <w:pPr>
              <w:pStyle w:val="TableText"/>
              <w:jc w:val="both"/>
            </w:pPr>
            <w:r w:rsidRPr="002E6226">
              <w:t>The</w:t>
            </w:r>
            <w:r w:rsidR="00034E1C" w:rsidRPr="002E6226">
              <w:t xml:space="preserve"> economic evaluation did not have full data for the </w:t>
            </w:r>
            <w:r w:rsidR="00F611E3" w:rsidRPr="002E6226">
              <w:t>six-month</w:t>
            </w:r>
            <w:r w:rsidR="00034E1C" w:rsidRPr="002E6226">
              <w:t xml:space="preserve"> time horizon of t</w:t>
            </w:r>
            <w:r w:rsidR="00C346FC" w:rsidRPr="002E6226">
              <w:t>he</w:t>
            </w:r>
            <w:r w:rsidR="00034E1C" w:rsidRPr="002E6226">
              <w:t xml:space="preserve"> model. </w:t>
            </w:r>
          </w:p>
        </w:tc>
        <w:tc>
          <w:tcPr>
            <w:tcW w:w="1794" w:type="pct"/>
          </w:tcPr>
          <w:p w14:paraId="4E1965BB" w14:textId="236FC54E" w:rsidR="00CD23D7" w:rsidRPr="002E6226" w:rsidRDefault="00090C1E" w:rsidP="0001555C">
            <w:pPr>
              <w:pStyle w:val="TableText"/>
              <w:jc w:val="both"/>
              <w:rPr>
                <w:rFonts w:cs="Arial"/>
                <w:bCs/>
                <w:snapToGrid w:val="0"/>
              </w:rPr>
            </w:pPr>
            <w:r w:rsidRPr="002E6226">
              <w:rPr>
                <w:rFonts w:cs="Arial"/>
                <w:bCs/>
                <w:snapToGrid w:val="0"/>
              </w:rPr>
              <w:t>Not addressed.</w:t>
            </w:r>
          </w:p>
        </w:tc>
      </w:tr>
      <w:tr w:rsidR="00034E1C" w:rsidRPr="002E6226" w14:paraId="4C415104" w14:textId="77777777" w:rsidTr="00E509CE">
        <w:trPr>
          <w:cantSplit/>
        </w:trPr>
        <w:tc>
          <w:tcPr>
            <w:tcW w:w="1412" w:type="pct"/>
          </w:tcPr>
          <w:p w14:paraId="02119949" w14:textId="29E6FCFE" w:rsidR="00034E1C" w:rsidRPr="002E6226" w:rsidRDefault="00034E1C" w:rsidP="0001555C">
            <w:pPr>
              <w:pStyle w:val="TableText"/>
              <w:jc w:val="both"/>
            </w:pPr>
            <w:r w:rsidRPr="002E6226">
              <w:t>Derivation of reduction in PBS and MBS services and hospital costs data</w:t>
            </w:r>
          </w:p>
        </w:tc>
        <w:tc>
          <w:tcPr>
            <w:tcW w:w="1793" w:type="pct"/>
          </w:tcPr>
          <w:p w14:paraId="7832456E" w14:textId="668D4C7D" w:rsidR="00034E1C" w:rsidRPr="002E6226" w:rsidRDefault="003576E4" w:rsidP="0001555C">
            <w:pPr>
              <w:pStyle w:val="TableText"/>
              <w:jc w:val="both"/>
            </w:pPr>
            <w:r w:rsidRPr="002E6226">
              <w:t xml:space="preserve">The ADAR compares the means of a complete baseline cohort and an incomplete </w:t>
            </w:r>
            <w:r w:rsidR="00DB50F9">
              <w:t>follow-</w:t>
            </w:r>
            <w:r w:rsidR="00E5472F">
              <w:noBreakHyphen/>
            </w:r>
            <w:r w:rsidRPr="002E6226">
              <w:t>up cohort. It is uncertain if this represents a true reduction or a difference in the cohorts.</w:t>
            </w:r>
          </w:p>
        </w:tc>
        <w:tc>
          <w:tcPr>
            <w:tcW w:w="1794" w:type="pct"/>
          </w:tcPr>
          <w:p w14:paraId="3DBEE259" w14:textId="77777777" w:rsidR="003576E4" w:rsidRPr="002E6226" w:rsidRDefault="003576E4" w:rsidP="0001555C">
            <w:pPr>
              <w:pStyle w:val="TableText"/>
              <w:jc w:val="both"/>
              <w:rPr>
                <w:rFonts w:cs="Arial"/>
                <w:bCs/>
                <w:snapToGrid w:val="0"/>
              </w:rPr>
            </w:pPr>
            <w:r w:rsidRPr="002E6226">
              <w:rPr>
                <w:rFonts w:cs="Arial"/>
                <w:bCs/>
                <w:snapToGrid w:val="0"/>
              </w:rPr>
              <w:t xml:space="preserve">Not addressed. </w:t>
            </w:r>
          </w:p>
          <w:p w14:paraId="5D19E406" w14:textId="77777777" w:rsidR="003576E4" w:rsidRPr="002E6226" w:rsidRDefault="003576E4" w:rsidP="0001555C">
            <w:pPr>
              <w:pStyle w:val="TableText"/>
              <w:jc w:val="both"/>
              <w:rPr>
                <w:rFonts w:cs="Arial"/>
                <w:bCs/>
                <w:snapToGrid w:val="0"/>
              </w:rPr>
            </w:pPr>
          </w:p>
          <w:p w14:paraId="3B9E8AD8" w14:textId="4180D3D1" w:rsidR="00034E1C" w:rsidRPr="002E6226" w:rsidRDefault="003576E4" w:rsidP="0001555C">
            <w:pPr>
              <w:pStyle w:val="TableText"/>
              <w:jc w:val="both"/>
              <w:rPr>
                <w:rFonts w:cs="Arial"/>
                <w:bCs/>
                <w:snapToGrid w:val="0"/>
              </w:rPr>
            </w:pPr>
            <w:r w:rsidRPr="002E6226">
              <w:rPr>
                <w:rFonts w:cs="Arial"/>
                <w:bCs/>
                <w:snapToGrid w:val="0"/>
              </w:rPr>
              <w:t xml:space="preserve">While the ADAR does adjust PBS data, it is unclear if this was to account for attrition. </w:t>
            </w:r>
          </w:p>
        </w:tc>
      </w:tr>
      <w:tr w:rsidR="00034E1C" w:rsidRPr="002E6226" w14:paraId="2341DD8A" w14:textId="77777777" w:rsidTr="00E509CE">
        <w:trPr>
          <w:cantSplit/>
        </w:trPr>
        <w:tc>
          <w:tcPr>
            <w:tcW w:w="1412" w:type="pct"/>
          </w:tcPr>
          <w:p w14:paraId="507C8BFA" w14:textId="7539F1C0" w:rsidR="00034E1C" w:rsidRPr="002E6226" w:rsidRDefault="00034E1C" w:rsidP="0001555C">
            <w:pPr>
              <w:pStyle w:val="TableText"/>
              <w:jc w:val="both"/>
            </w:pPr>
            <w:r w:rsidRPr="002E6226">
              <w:t>Utilities applied in the economic evaluation</w:t>
            </w:r>
          </w:p>
        </w:tc>
        <w:tc>
          <w:tcPr>
            <w:tcW w:w="1793" w:type="pct"/>
          </w:tcPr>
          <w:p w14:paraId="5512D7E7" w14:textId="70668389" w:rsidR="00034E1C" w:rsidRPr="002E6226" w:rsidRDefault="003576E4" w:rsidP="0001555C">
            <w:pPr>
              <w:pStyle w:val="TableText"/>
              <w:jc w:val="both"/>
            </w:pPr>
            <w:r w:rsidRPr="002E6226">
              <w:t>The QALY calculation did not include time spent in the health state.</w:t>
            </w:r>
          </w:p>
        </w:tc>
        <w:tc>
          <w:tcPr>
            <w:tcW w:w="1794" w:type="pct"/>
          </w:tcPr>
          <w:p w14:paraId="23B859E1" w14:textId="77777777" w:rsidR="003576E4" w:rsidRPr="002E6226" w:rsidRDefault="003576E4" w:rsidP="0001555C">
            <w:pPr>
              <w:pStyle w:val="TableText"/>
              <w:jc w:val="both"/>
              <w:rPr>
                <w:rFonts w:cs="Arial"/>
                <w:bCs/>
                <w:snapToGrid w:val="0"/>
              </w:rPr>
            </w:pPr>
            <w:r w:rsidRPr="002E6226">
              <w:rPr>
                <w:rFonts w:cs="Arial"/>
                <w:bCs/>
                <w:snapToGrid w:val="0"/>
              </w:rPr>
              <w:t xml:space="preserve">Not addressed. </w:t>
            </w:r>
          </w:p>
          <w:p w14:paraId="6F6E5FCD" w14:textId="77777777" w:rsidR="00034E1C" w:rsidRPr="002E6226" w:rsidRDefault="00034E1C" w:rsidP="0001555C">
            <w:pPr>
              <w:pStyle w:val="TableText"/>
              <w:jc w:val="both"/>
              <w:rPr>
                <w:rFonts w:cs="Arial"/>
                <w:bCs/>
                <w:snapToGrid w:val="0"/>
              </w:rPr>
            </w:pPr>
          </w:p>
          <w:p w14:paraId="4EF189D7" w14:textId="1E73D952" w:rsidR="003576E4" w:rsidRPr="002E6226" w:rsidRDefault="003576E4" w:rsidP="0001555C">
            <w:pPr>
              <w:pStyle w:val="TableText"/>
              <w:jc w:val="both"/>
              <w:rPr>
                <w:rFonts w:cs="Arial"/>
                <w:bCs/>
                <w:snapToGrid w:val="0"/>
              </w:rPr>
            </w:pPr>
            <w:r w:rsidRPr="002E6226">
              <w:rPr>
                <w:rFonts w:cs="Arial"/>
                <w:bCs/>
                <w:snapToGrid w:val="0"/>
              </w:rPr>
              <w:t>The commentary includes a corrected calculation.</w:t>
            </w:r>
          </w:p>
        </w:tc>
      </w:tr>
    </w:tbl>
    <w:p w14:paraId="29B6F71A" w14:textId="5E4679AA" w:rsidR="008633DE" w:rsidRDefault="008633DE" w:rsidP="008C2079">
      <w:pPr>
        <w:pStyle w:val="TableFigureFooter"/>
        <w:spacing w:before="0" w:after="0"/>
        <w:jc w:val="both"/>
        <w:rPr>
          <w:rFonts w:cs="Tahoma"/>
          <w:szCs w:val="18"/>
        </w:rPr>
      </w:pPr>
      <w:bookmarkStart w:id="9" w:name="_Hlk68275617"/>
      <w:bookmarkEnd w:id="8"/>
      <w:r>
        <w:rPr>
          <w:rFonts w:cs="Tahoma"/>
          <w:szCs w:val="18"/>
        </w:rPr>
        <w:t>Source: compiled during the evaluation</w:t>
      </w:r>
    </w:p>
    <w:p w14:paraId="295D3E6D" w14:textId="241AE307" w:rsidR="007B2CC9" w:rsidRPr="006916A3" w:rsidRDefault="00684E5D" w:rsidP="00C7722F">
      <w:pPr>
        <w:pStyle w:val="TableFigureFooter"/>
        <w:spacing w:before="0"/>
        <w:jc w:val="both"/>
        <w:rPr>
          <w:iCs/>
        </w:rPr>
      </w:pPr>
      <w:r w:rsidRPr="007538ED">
        <w:rPr>
          <w:rFonts w:cs="Tahoma"/>
          <w:szCs w:val="18"/>
        </w:rPr>
        <w:t>Abbreviations:</w:t>
      </w:r>
      <w:r>
        <w:rPr>
          <w:rFonts w:cs="Tahoma"/>
          <w:szCs w:val="18"/>
        </w:rPr>
        <w:t xml:space="preserve"> ADAR, </w:t>
      </w:r>
      <w:r w:rsidRPr="00684E5D">
        <w:rPr>
          <w:rFonts w:cs="Tahoma"/>
          <w:szCs w:val="18"/>
        </w:rPr>
        <w:t>Applicant Developed Assessment Report</w:t>
      </w:r>
      <w:r>
        <w:rPr>
          <w:rFonts w:cs="Tahoma"/>
          <w:szCs w:val="18"/>
        </w:rPr>
        <w:t>;</w:t>
      </w:r>
      <w:r w:rsidRPr="007538ED">
        <w:rPr>
          <w:rFonts w:cs="Tahoma"/>
          <w:szCs w:val="18"/>
        </w:rPr>
        <w:t xml:space="preserve"> </w:t>
      </w:r>
      <w:r w:rsidR="007C2F3A">
        <w:rPr>
          <w:szCs w:val="20"/>
        </w:rPr>
        <w:t>CPMC</w:t>
      </w:r>
      <w:r>
        <w:rPr>
          <w:szCs w:val="20"/>
        </w:rPr>
        <w:t>,</w:t>
      </w:r>
      <w:r w:rsidR="007C2F3A">
        <w:rPr>
          <w:szCs w:val="20"/>
        </w:rPr>
        <w:t xml:space="preserve"> Chronic Pain MedsCheck</w:t>
      </w:r>
      <w:r w:rsidR="00F57885" w:rsidRPr="00CE28E3">
        <w:t>;</w:t>
      </w:r>
      <w:r w:rsidR="007C2F3A">
        <w:t xml:space="preserve"> ESC</w:t>
      </w:r>
      <w:r>
        <w:t>,</w:t>
      </w:r>
      <w:r w:rsidR="007C2F3A">
        <w:t xml:space="preserve"> Evaluation Sub-committee;</w:t>
      </w:r>
      <w:r w:rsidR="00F57885" w:rsidRPr="00CE28E3">
        <w:t xml:space="preserve"> </w:t>
      </w:r>
      <w:r w:rsidRPr="00127276">
        <w:t xml:space="preserve">MBS, Medicare </w:t>
      </w:r>
      <w:r w:rsidR="00662E0F">
        <w:t>B</w:t>
      </w:r>
      <w:r w:rsidRPr="00127276">
        <w:t xml:space="preserve">enefits </w:t>
      </w:r>
      <w:r w:rsidR="00662E0F">
        <w:t>S</w:t>
      </w:r>
      <w:r w:rsidRPr="00127276">
        <w:t xml:space="preserve">chedule; </w:t>
      </w:r>
      <w:r w:rsidR="00F57885" w:rsidRPr="00CE28E3">
        <w:t>MSAC</w:t>
      </w:r>
      <w:r>
        <w:t>,</w:t>
      </w:r>
      <w:r w:rsidR="00F57885" w:rsidRPr="00CE28E3">
        <w:t xml:space="preserve"> Medical Services Advisory Committee; </w:t>
      </w:r>
      <w:r>
        <w:t xml:space="preserve">PBS, </w:t>
      </w:r>
      <w:r w:rsidRPr="00127276">
        <w:t xml:space="preserve">Pharmaceutical </w:t>
      </w:r>
      <w:r w:rsidR="00662E0F">
        <w:t>B</w:t>
      </w:r>
      <w:r w:rsidRPr="00127276">
        <w:t xml:space="preserve">enefits </w:t>
      </w:r>
      <w:r w:rsidR="00662E0F">
        <w:t>S</w:t>
      </w:r>
      <w:r w:rsidRPr="00127276">
        <w:t>cheme</w:t>
      </w:r>
      <w:r>
        <w:t xml:space="preserve">; </w:t>
      </w:r>
      <w:r w:rsidRPr="00127276">
        <w:t>QALY, Quality adjusted life years</w:t>
      </w:r>
      <w:r w:rsidR="0087277A">
        <w:t>.</w:t>
      </w:r>
      <w:r w:rsidRPr="006916A3">
        <w:rPr>
          <w:iCs/>
        </w:rPr>
        <w:t xml:space="preserve"> </w:t>
      </w:r>
    </w:p>
    <w:p w14:paraId="6F52500A" w14:textId="17E7738E" w:rsidR="00772829" w:rsidRPr="00CE28E3" w:rsidRDefault="00772829" w:rsidP="00C7722F">
      <w:pPr>
        <w:pStyle w:val="Heading2"/>
        <w:numPr>
          <w:ilvl w:val="0"/>
          <w:numId w:val="18"/>
        </w:numPr>
        <w:ind w:hanging="720"/>
        <w:jc w:val="both"/>
      </w:pPr>
      <w:bookmarkStart w:id="10" w:name="_Toc69491417"/>
      <w:bookmarkEnd w:id="6"/>
      <w:bookmarkEnd w:id="9"/>
      <w:r w:rsidRPr="00CE28E3">
        <w:t>Prerequisites to implementation of any funding advice</w:t>
      </w:r>
      <w:bookmarkEnd w:id="10"/>
    </w:p>
    <w:p w14:paraId="52AC3D9A" w14:textId="29C69B61" w:rsidR="00310C3F" w:rsidRPr="002E6226" w:rsidRDefault="0098485C" w:rsidP="00AC5A2B">
      <w:pPr>
        <w:pStyle w:val="Instructionaltext"/>
        <w:rPr>
          <w:color w:val="auto"/>
        </w:rPr>
      </w:pPr>
      <w:r w:rsidRPr="0098485C">
        <w:rPr>
          <w:color w:val="auto"/>
        </w:rPr>
        <w:t>The ADAR seeks funding for this intervention under future Community Pharmacy Agreements</w:t>
      </w:r>
      <w:r w:rsidR="00117BB0">
        <w:rPr>
          <w:color w:val="auto"/>
        </w:rPr>
        <w:t xml:space="preserve">, </w:t>
      </w:r>
      <w:r w:rsidR="00117BB0" w:rsidRPr="002E6226">
        <w:rPr>
          <w:color w:val="auto"/>
        </w:rPr>
        <w:t>which have yet to be negotiated</w:t>
      </w:r>
      <w:r w:rsidRPr="002E6226">
        <w:rPr>
          <w:color w:val="auto"/>
        </w:rPr>
        <w:t>.</w:t>
      </w:r>
    </w:p>
    <w:p w14:paraId="43439561" w14:textId="705BDB43" w:rsidR="00C94849" w:rsidRPr="002E6226" w:rsidRDefault="00C94849" w:rsidP="00AC5A2B">
      <w:pPr>
        <w:pStyle w:val="Instructionaltext"/>
        <w:rPr>
          <w:color w:val="auto"/>
        </w:rPr>
      </w:pPr>
      <w:r w:rsidRPr="002E6226">
        <w:rPr>
          <w:color w:val="auto"/>
        </w:rPr>
        <w:t xml:space="preserve">The ADAR does not mention any prerequisites to implementation of any funding advice. Pharmacists delivering consultations in the </w:t>
      </w:r>
      <w:r w:rsidR="00A8298F">
        <w:rPr>
          <w:color w:val="auto"/>
        </w:rPr>
        <w:t xml:space="preserve">CPMC </w:t>
      </w:r>
      <w:r w:rsidR="00470EC6">
        <w:rPr>
          <w:color w:val="auto"/>
        </w:rPr>
        <w:t>t</w:t>
      </w:r>
      <w:r w:rsidRPr="002E6226">
        <w:rPr>
          <w:color w:val="auto"/>
        </w:rPr>
        <w:t xml:space="preserve">rial were required to complete </w:t>
      </w:r>
      <w:r w:rsidR="00E509CE" w:rsidRPr="002E6226">
        <w:rPr>
          <w:color w:val="auto"/>
        </w:rPr>
        <w:t xml:space="preserve">specific </w:t>
      </w:r>
      <w:r w:rsidR="00945381" w:rsidRPr="002E6226">
        <w:rPr>
          <w:color w:val="auto"/>
        </w:rPr>
        <w:t>continuing professional development (CPD) accredited online training</w:t>
      </w:r>
      <w:r w:rsidR="00E509CE" w:rsidRPr="002E6226">
        <w:rPr>
          <w:color w:val="auto"/>
        </w:rPr>
        <w:t xml:space="preserve">. It is unclear </w:t>
      </w:r>
      <w:r w:rsidR="00A8298F">
        <w:rPr>
          <w:color w:val="auto"/>
        </w:rPr>
        <w:t>whether</w:t>
      </w:r>
      <w:r w:rsidR="00A8298F" w:rsidRPr="002E6226">
        <w:rPr>
          <w:color w:val="auto"/>
        </w:rPr>
        <w:t xml:space="preserve"> </w:t>
      </w:r>
      <w:r w:rsidR="00E509CE" w:rsidRPr="002E6226">
        <w:rPr>
          <w:color w:val="auto"/>
        </w:rPr>
        <w:t>the ADAR considers this prerequisite would apply</w:t>
      </w:r>
      <w:r w:rsidR="00DE413D" w:rsidRPr="002E6226">
        <w:rPr>
          <w:color w:val="auto"/>
        </w:rPr>
        <w:t xml:space="preserve"> to </w:t>
      </w:r>
      <w:r w:rsidR="00A8298F">
        <w:rPr>
          <w:color w:val="auto"/>
        </w:rPr>
        <w:t xml:space="preserve">those </w:t>
      </w:r>
      <w:r w:rsidR="00DE413D" w:rsidRPr="002E6226">
        <w:rPr>
          <w:color w:val="auto"/>
        </w:rPr>
        <w:t>who could deliver a</w:t>
      </w:r>
      <w:r w:rsidR="00E509CE" w:rsidRPr="002E6226">
        <w:rPr>
          <w:color w:val="auto"/>
        </w:rPr>
        <w:t xml:space="preserve"> CPMC</w:t>
      </w:r>
      <w:r w:rsidR="00DE413D" w:rsidRPr="002E6226">
        <w:rPr>
          <w:color w:val="auto"/>
        </w:rPr>
        <w:t xml:space="preserve"> if the program</w:t>
      </w:r>
      <w:r w:rsidR="00E509CE" w:rsidRPr="002E6226">
        <w:rPr>
          <w:color w:val="auto"/>
        </w:rPr>
        <w:t xml:space="preserve"> were funded.</w:t>
      </w:r>
    </w:p>
    <w:p w14:paraId="44C3B242" w14:textId="6FA2A300" w:rsidR="00772829" w:rsidRPr="00CE28E3" w:rsidRDefault="00772829" w:rsidP="00C7722F">
      <w:pPr>
        <w:pStyle w:val="Heading2"/>
        <w:numPr>
          <w:ilvl w:val="0"/>
          <w:numId w:val="18"/>
        </w:numPr>
        <w:ind w:hanging="720"/>
        <w:jc w:val="both"/>
      </w:pPr>
      <w:bookmarkStart w:id="11" w:name="_Toc69491418"/>
      <w:r w:rsidRPr="00CE28E3">
        <w:lastRenderedPageBreak/>
        <w:t>Proposal for public funding</w:t>
      </w:r>
      <w:bookmarkEnd w:id="11"/>
    </w:p>
    <w:p w14:paraId="6A56DF28" w14:textId="77777777" w:rsidR="00DD4401" w:rsidRDefault="00117BB0" w:rsidP="00AC5A2B">
      <w:pPr>
        <w:pStyle w:val="Instructionaltext"/>
        <w:keepNext/>
        <w:tabs>
          <w:tab w:val="left" w:pos="2172"/>
        </w:tabs>
        <w:rPr>
          <w:color w:val="auto"/>
        </w:rPr>
      </w:pPr>
      <w:r w:rsidRPr="00117BB0">
        <w:rPr>
          <w:color w:val="auto"/>
        </w:rPr>
        <w:t xml:space="preserve">The </w:t>
      </w:r>
      <w:r>
        <w:rPr>
          <w:color w:val="auto"/>
        </w:rPr>
        <w:t>ADAR</w:t>
      </w:r>
      <w:r w:rsidRPr="00117BB0">
        <w:rPr>
          <w:color w:val="auto"/>
        </w:rPr>
        <w:t xml:space="preserve"> proposed that the Group B intervention (comprising an initial and a 3-month follow-up consultation taking place in-pharmacy, </w:t>
      </w:r>
      <w:r>
        <w:rPr>
          <w:color w:val="auto"/>
        </w:rPr>
        <w:t xml:space="preserve">with </w:t>
      </w:r>
      <w:r w:rsidRPr="00117BB0">
        <w:rPr>
          <w:color w:val="auto"/>
        </w:rPr>
        <w:t>a</w:t>
      </w:r>
      <w:r>
        <w:rPr>
          <w:color w:val="auto"/>
        </w:rPr>
        <w:t xml:space="preserve"> </w:t>
      </w:r>
      <w:r w:rsidR="005C5022">
        <w:rPr>
          <w:color w:val="auto"/>
        </w:rPr>
        <w:t xml:space="preserve">6-week </w:t>
      </w:r>
      <w:r>
        <w:rPr>
          <w:color w:val="auto"/>
        </w:rPr>
        <w:t>midpoint</w:t>
      </w:r>
      <w:r w:rsidRPr="00117BB0">
        <w:rPr>
          <w:color w:val="auto"/>
        </w:rPr>
        <w:t xml:space="preserve"> telephone consultation) be considered for funding under future Community Pharmacy Agreements. </w:t>
      </w:r>
    </w:p>
    <w:p w14:paraId="1D4D0793" w14:textId="47D668C4" w:rsidR="003D4C30" w:rsidRPr="002E6226" w:rsidRDefault="003D4C30" w:rsidP="00AC5A2B">
      <w:pPr>
        <w:pStyle w:val="Instructionaltext"/>
        <w:keepNext/>
        <w:tabs>
          <w:tab w:val="left" w:pos="2172"/>
        </w:tabs>
        <w:rPr>
          <w:color w:val="auto"/>
        </w:rPr>
      </w:pPr>
      <w:r w:rsidRPr="002E6226">
        <w:rPr>
          <w:color w:val="auto"/>
        </w:rPr>
        <w:t xml:space="preserve">The requested fee is summarised in </w:t>
      </w:r>
      <w:r w:rsidR="00DE413D" w:rsidRPr="002E6226">
        <w:rPr>
          <w:color w:val="auto"/>
        </w:rPr>
        <w:t>Table 2</w:t>
      </w:r>
      <w:r w:rsidR="00D97A8B" w:rsidRPr="002E6226">
        <w:rPr>
          <w:color w:val="auto"/>
        </w:rPr>
        <w:t>.</w:t>
      </w:r>
      <w:r w:rsidR="00307551" w:rsidRPr="002E6226">
        <w:rPr>
          <w:color w:val="auto"/>
        </w:rPr>
        <w:t xml:space="preserve"> </w:t>
      </w:r>
      <w:r w:rsidR="002028B5" w:rsidRPr="002E6226">
        <w:rPr>
          <w:color w:val="auto"/>
        </w:rPr>
        <w:t xml:space="preserve">The ADAR presented a derived representative cost from an activity-based costing study, which found that the representative cost and duration were higher than the </w:t>
      </w:r>
      <w:r w:rsidR="00470EC6">
        <w:rPr>
          <w:color w:val="auto"/>
        </w:rPr>
        <w:t>t</w:t>
      </w:r>
      <w:r w:rsidR="002028B5" w:rsidRPr="002E6226">
        <w:rPr>
          <w:color w:val="auto"/>
        </w:rPr>
        <w:t>rial fee and indicative duration. However, t</w:t>
      </w:r>
      <w:r w:rsidR="00307551" w:rsidRPr="002E6226">
        <w:rPr>
          <w:color w:val="auto"/>
        </w:rPr>
        <w:t xml:space="preserve">he requested fee is same as the </w:t>
      </w:r>
      <w:r w:rsidR="00470EC6">
        <w:rPr>
          <w:color w:val="auto"/>
        </w:rPr>
        <w:t>t</w:t>
      </w:r>
      <w:r w:rsidR="00307551" w:rsidRPr="002E6226">
        <w:rPr>
          <w:color w:val="auto"/>
        </w:rPr>
        <w:t xml:space="preserve">rial payment </w:t>
      </w:r>
      <w:r w:rsidR="00F611E3" w:rsidRPr="002E6226">
        <w:rPr>
          <w:color w:val="auto"/>
        </w:rPr>
        <w:t>schedule and</w:t>
      </w:r>
      <w:r w:rsidR="00762D72" w:rsidRPr="002E6226">
        <w:rPr>
          <w:color w:val="auto"/>
        </w:rPr>
        <w:t xml:space="preserve"> has been used in the economic analysis and financial impact analysis</w:t>
      </w:r>
      <w:r w:rsidR="00307551" w:rsidRPr="002E6226">
        <w:rPr>
          <w:color w:val="auto"/>
        </w:rPr>
        <w:t xml:space="preserve">. </w:t>
      </w:r>
    </w:p>
    <w:p w14:paraId="69AD3649" w14:textId="1B6910A8" w:rsidR="00D97A8B" w:rsidRPr="00552065" w:rsidRDefault="00D97A8B" w:rsidP="0001555C">
      <w:pPr>
        <w:pStyle w:val="Caption"/>
        <w:jc w:val="both"/>
      </w:pPr>
      <w:r w:rsidRPr="00552065">
        <w:t>Table </w:t>
      </w:r>
      <w:fldSimple w:instr=" SEQ Table \* ARABIC ">
        <w:r w:rsidR="00656985">
          <w:rPr>
            <w:noProof/>
          </w:rPr>
          <w:t>2</w:t>
        </w:r>
      </w:fldSimple>
      <w:r w:rsidRPr="00552065">
        <w:tab/>
        <w:t>Summary of Chronic Pain MedsCheck consultations</w:t>
      </w:r>
      <w:r w:rsidR="00DD4401">
        <w:t xml:space="preserve"> and</w:t>
      </w:r>
      <w:r w:rsidR="00DD4401" w:rsidRPr="005155B3">
        <w:t xml:space="preserve"> </w:t>
      </w:r>
      <w:r w:rsidR="00DD4401" w:rsidRPr="00552065">
        <w:t xml:space="preserve">requested fees </w:t>
      </w:r>
    </w:p>
    <w:tbl>
      <w:tblPr>
        <w:tblStyle w:val="TableGrid3"/>
        <w:tblW w:w="8926" w:type="dxa"/>
        <w:tblLayout w:type="fixed"/>
        <w:tblLook w:val="04A0" w:firstRow="1" w:lastRow="0" w:firstColumn="1" w:lastColumn="0" w:noHBand="0" w:noVBand="1"/>
      </w:tblPr>
      <w:tblGrid>
        <w:gridCol w:w="1219"/>
        <w:gridCol w:w="3312"/>
        <w:gridCol w:w="993"/>
        <w:gridCol w:w="850"/>
        <w:gridCol w:w="851"/>
        <w:gridCol w:w="851"/>
        <w:gridCol w:w="850"/>
      </w:tblGrid>
      <w:tr w:rsidR="003D4C30" w:rsidRPr="00093F03" w14:paraId="5131A92F" w14:textId="77777777" w:rsidTr="004E666B">
        <w:tc>
          <w:tcPr>
            <w:tcW w:w="1219" w:type="dxa"/>
            <w:vMerge w:val="restart"/>
          </w:tcPr>
          <w:p w14:paraId="53F94399" w14:textId="77777777" w:rsidR="003D4C30" w:rsidRPr="00093F03" w:rsidRDefault="003D4C30" w:rsidP="004E666B">
            <w:pPr>
              <w:spacing w:before="0"/>
              <w:jc w:val="center"/>
              <w:rPr>
                <w:rFonts w:ascii="Arial Narrow" w:hAnsi="Arial Narrow"/>
                <w:b/>
                <w:sz w:val="20"/>
                <w:szCs w:val="20"/>
              </w:rPr>
            </w:pPr>
            <w:bookmarkStart w:id="12" w:name="_Hlk100089895"/>
            <w:r w:rsidRPr="00093F03">
              <w:rPr>
                <w:rFonts w:ascii="Arial Narrow" w:hAnsi="Arial Narrow"/>
                <w:b/>
                <w:sz w:val="20"/>
                <w:szCs w:val="20"/>
              </w:rPr>
              <w:t>Consultation</w:t>
            </w:r>
          </w:p>
        </w:tc>
        <w:tc>
          <w:tcPr>
            <w:tcW w:w="3312" w:type="dxa"/>
            <w:vMerge w:val="restart"/>
          </w:tcPr>
          <w:p w14:paraId="3AAF6AE1" w14:textId="77777777" w:rsidR="00DD4401" w:rsidRDefault="00DD4401" w:rsidP="003D38AC">
            <w:pPr>
              <w:spacing w:before="0"/>
              <w:jc w:val="center"/>
              <w:rPr>
                <w:rFonts w:ascii="Arial Narrow" w:hAnsi="Arial Narrow"/>
                <w:b/>
                <w:sz w:val="20"/>
                <w:szCs w:val="20"/>
              </w:rPr>
            </w:pPr>
            <w:r>
              <w:rPr>
                <w:rFonts w:ascii="Arial Narrow" w:hAnsi="Arial Narrow"/>
                <w:b/>
                <w:sz w:val="20"/>
                <w:szCs w:val="20"/>
              </w:rPr>
              <w:t>Description of service</w:t>
            </w:r>
          </w:p>
        </w:tc>
        <w:tc>
          <w:tcPr>
            <w:tcW w:w="993" w:type="dxa"/>
            <w:vMerge w:val="restart"/>
          </w:tcPr>
          <w:p w14:paraId="1CA32072" w14:textId="2B204F11" w:rsidR="003D4C30" w:rsidRPr="00093F03" w:rsidRDefault="003D4C30" w:rsidP="004E666B">
            <w:pPr>
              <w:spacing w:before="0"/>
              <w:jc w:val="center"/>
              <w:rPr>
                <w:rFonts w:ascii="Arial Narrow" w:hAnsi="Arial Narrow"/>
                <w:b/>
                <w:sz w:val="20"/>
                <w:szCs w:val="20"/>
              </w:rPr>
            </w:pPr>
            <w:r w:rsidRPr="00093F03">
              <w:rPr>
                <w:rFonts w:ascii="Arial Narrow" w:hAnsi="Arial Narrow"/>
                <w:b/>
                <w:sz w:val="20"/>
                <w:szCs w:val="20"/>
              </w:rPr>
              <w:t>Mode</w:t>
            </w:r>
          </w:p>
        </w:tc>
        <w:tc>
          <w:tcPr>
            <w:tcW w:w="1701" w:type="dxa"/>
            <w:gridSpan w:val="2"/>
          </w:tcPr>
          <w:p w14:paraId="3920836A" w14:textId="5BDB95DA" w:rsidR="003D4C30" w:rsidRPr="00093F03" w:rsidRDefault="00DD4401" w:rsidP="004E666B">
            <w:pPr>
              <w:spacing w:before="0"/>
              <w:jc w:val="center"/>
              <w:rPr>
                <w:rFonts w:ascii="Arial Narrow" w:hAnsi="Arial Narrow"/>
                <w:b/>
                <w:sz w:val="20"/>
                <w:szCs w:val="20"/>
              </w:rPr>
            </w:pPr>
            <w:r>
              <w:rPr>
                <w:rFonts w:ascii="Arial Narrow" w:hAnsi="Arial Narrow"/>
                <w:b/>
                <w:sz w:val="20"/>
                <w:szCs w:val="20"/>
              </w:rPr>
              <w:t>Trial payment schedule</w:t>
            </w:r>
          </w:p>
        </w:tc>
        <w:tc>
          <w:tcPr>
            <w:tcW w:w="1701" w:type="dxa"/>
            <w:gridSpan w:val="2"/>
          </w:tcPr>
          <w:p w14:paraId="2F5E56B8" w14:textId="1210A37E" w:rsidR="003D4C30" w:rsidRPr="00093F03" w:rsidRDefault="00DD4401" w:rsidP="004E666B">
            <w:pPr>
              <w:spacing w:before="0"/>
              <w:jc w:val="center"/>
              <w:rPr>
                <w:rFonts w:ascii="Arial Narrow" w:hAnsi="Arial Narrow"/>
                <w:b/>
                <w:sz w:val="20"/>
                <w:szCs w:val="20"/>
              </w:rPr>
            </w:pPr>
            <w:r>
              <w:rPr>
                <w:rFonts w:ascii="Arial Narrow" w:hAnsi="Arial Narrow"/>
                <w:b/>
                <w:sz w:val="20"/>
                <w:szCs w:val="20"/>
              </w:rPr>
              <w:t>Representative cost</w:t>
            </w:r>
          </w:p>
        </w:tc>
      </w:tr>
      <w:tr w:rsidR="00DD4401" w:rsidRPr="00093F03" w14:paraId="6A31AB7D" w14:textId="77777777" w:rsidTr="003D38AC">
        <w:tc>
          <w:tcPr>
            <w:tcW w:w="1219" w:type="dxa"/>
            <w:vMerge/>
          </w:tcPr>
          <w:p w14:paraId="2AC1130F" w14:textId="77777777" w:rsidR="00DD4401" w:rsidRPr="00093F03" w:rsidRDefault="00DD4401" w:rsidP="003D38AC">
            <w:pPr>
              <w:spacing w:before="0"/>
              <w:jc w:val="both"/>
              <w:rPr>
                <w:rFonts w:ascii="Arial Narrow" w:hAnsi="Arial Narrow"/>
                <w:b/>
                <w:sz w:val="20"/>
                <w:szCs w:val="20"/>
              </w:rPr>
            </w:pPr>
          </w:p>
        </w:tc>
        <w:tc>
          <w:tcPr>
            <w:tcW w:w="3312" w:type="dxa"/>
            <w:vMerge/>
          </w:tcPr>
          <w:p w14:paraId="4C04EA09" w14:textId="77777777" w:rsidR="00DD4401" w:rsidRDefault="00DD4401" w:rsidP="003D38AC">
            <w:pPr>
              <w:spacing w:before="0"/>
              <w:jc w:val="both"/>
              <w:rPr>
                <w:rFonts w:ascii="Arial Narrow" w:hAnsi="Arial Narrow"/>
                <w:b/>
                <w:sz w:val="20"/>
                <w:szCs w:val="20"/>
              </w:rPr>
            </w:pPr>
          </w:p>
        </w:tc>
        <w:tc>
          <w:tcPr>
            <w:tcW w:w="993" w:type="dxa"/>
            <w:vMerge/>
          </w:tcPr>
          <w:p w14:paraId="73932EF6" w14:textId="77777777" w:rsidR="00DD4401" w:rsidRPr="00093F03" w:rsidRDefault="00DD4401" w:rsidP="003D38AC">
            <w:pPr>
              <w:spacing w:before="0"/>
              <w:jc w:val="both"/>
              <w:rPr>
                <w:rFonts w:ascii="Arial Narrow" w:hAnsi="Arial Narrow"/>
                <w:b/>
                <w:sz w:val="20"/>
                <w:szCs w:val="20"/>
              </w:rPr>
            </w:pPr>
          </w:p>
        </w:tc>
        <w:tc>
          <w:tcPr>
            <w:tcW w:w="850" w:type="dxa"/>
          </w:tcPr>
          <w:p w14:paraId="707D8F72" w14:textId="77777777" w:rsidR="00DD4401" w:rsidRPr="003323A7" w:rsidRDefault="00DD4401" w:rsidP="003D38AC">
            <w:pPr>
              <w:spacing w:before="0"/>
              <w:jc w:val="center"/>
              <w:rPr>
                <w:rFonts w:ascii="Arial Narrow" w:hAnsi="Arial Narrow"/>
                <w:b/>
                <w:sz w:val="20"/>
                <w:szCs w:val="20"/>
              </w:rPr>
            </w:pPr>
            <w:r>
              <w:rPr>
                <w:rFonts w:ascii="Arial Narrow" w:hAnsi="Arial Narrow"/>
                <w:b/>
                <w:sz w:val="20"/>
                <w:szCs w:val="20"/>
              </w:rPr>
              <w:t>Minutes</w:t>
            </w:r>
          </w:p>
        </w:tc>
        <w:tc>
          <w:tcPr>
            <w:tcW w:w="851" w:type="dxa"/>
          </w:tcPr>
          <w:p w14:paraId="1BF500D4" w14:textId="77777777" w:rsidR="00DD4401" w:rsidRPr="003323A7" w:rsidRDefault="00DD4401" w:rsidP="003D38AC">
            <w:pPr>
              <w:spacing w:before="0"/>
              <w:jc w:val="center"/>
              <w:rPr>
                <w:rFonts w:ascii="Arial Narrow" w:hAnsi="Arial Narrow"/>
                <w:b/>
                <w:sz w:val="20"/>
                <w:szCs w:val="20"/>
              </w:rPr>
            </w:pPr>
            <w:r w:rsidRPr="00093F03">
              <w:rPr>
                <w:rFonts w:ascii="Arial Narrow" w:hAnsi="Arial Narrow"/>
                <w:b/>
                <w:sz w:val="20"/>
                <w:szCs w:val="20"/>
              </w:rPr>
              <w:t>Fee</w:t>
            </w:r>
          </w:p>
        </w:tc>
        <w:tc>
          <w:tcPr>
            <w:tcW w:w="851" w:type="dxa"/>
          </w:tcPr>
          <w:p w14:paraId="212D7499" w14:textId="77777777" w:rsidR="00DD4401" w:rsidRDefault="00DD4401" w:rsidP="003D38AC">
            <w:pPr>
              <w:spacing w:before="0"/>
              <w:jc w:val="center"/>
              <w:rPr>
                <w:rFonts w:ascii="Arial Narrow" w:hAnsi="Arial Narrow"/>
                <w:b/>
                <w:sz w:val="20"/>
                <w:szCs w:val="20"/>
              </w:rPr>
            </w:pPr>
            <w:r>
              <w:rPr>
                <w:rFonts w:ascii="Arial Narrow" w:hAnsi="Arial Narrow"/>
                <w:b/>
                <w:sz w:val="20"/>
                <w:szCs w:val="20"/>
              </w:rPr>
              <w:t>Minutes</w:t>
            </w:r>
          </w:p>
        </w:tc>
        <w:tc>
          <w:tcPr>
            <w:tcW w:w="850" w:type="dxa"/>
          </w:tcPr>
          <w:p w14:paraId="67DED22B" w14:textId="77777777" w:rsidR="00DD4401" w:rsidRDefault="00DD4401" w:rsidP="003D38AC">
            <w:pPr>
              <w:spacing w:before="0"/>
              <w:jc w:val="center"/>
              <w:rPr>
                <w:rFonts w:ascii="Arial Narrow" w:hAnsi="Arial Narrow"/>
                <w:b/>
                <w:sz w:val="20"/>
                <w:szCs w:val="20"/>
              </w:rPr>
            </w:pPr>
            <w:r>
              <w:rPr>
                <w:rFonts w:ascii="Arial Narrow" w:hAnsi="Arial Narrow"/>
                <w:b/>
                <w:sz w:val="20"/>
                <w:szCs w:val="20"/>
              </w:rPr>
              <w:t>Fee</w:t>
            </w:r>
          </w:p>
        </w:tc>
      </w:tr>
      <w:tr w:rsidR="003D4C30" w:rsidRPr="00093F03" w14:paraId="39EAACC7" w14:textId="5A403EC1" w:rsidTr="004E666B">
        <w:tc>
          <w:tcPr>
            <w:tcW w:w="1219" w:type="dxa"/>
          </w:tcPr>
          <w:p w14:paraId="79344FD4" w14:textId="77777777" w:rsidR="003D4C30" w:rsidRPr="004E666B" w:rsidRDefault="003D4C30" w:rsidP="0001555C">
            <w:pPr>
              <w:spacing w:before="0"/>
              <w:jc w:val="both"/>
              <w:rPr>
                <w:rFonts w:ascii="Arial Narrow" w:hAnsi="Arial Narrow"/>
                <w:sz w:val="20"/>
              </w:rPr>
            </w:pPr>
            <w:r w:rsidRPr="004E666B">
              <w:rPr>
                <w:rFonts w:ascii="Arial Narrow" w:hAnsi="Arial Narrow"/>
                <w:sz w:val="20"/>
              </w:rPr>
              <w:t>Initial</w:t>
            </w:r>
          </w:p>
        </w:tc>
        <w:tc>
          <w:tcPr>
            <w:tcW w:w="3312" w:type="dxa"/>
          </w:tcPr>
          <w:p w14:paraId="4802A061" w14:textId="77777777" w:rsidR="00DD4401" w:rsidRDefault="00DD4401" w:rsidP="003D38AC">
            <w:pPr>
              <w:spacing w:before="0"/>
              <w:jc w:val="both"/>
              <w:rPr>
                <w:rFonts w:ascii="Arial Narrow" w:hAnsi="Arial Narrow"/>
                <w:sz w:val="20"/>
                <w:szCs w:val="20"/>
              </w:rPr>
            </w:pPr>
            <w:r>
              <w:rPr>
                <w:rFonts w:ascii="Arial Narrow" w:hAnsi="Arial Narrow"/>
                <w:sz w:val="20"/>
                <w:szCs w:val="20"/>
              </w:rPr>
              <w:t>Review and assessment of the consumer’s chronic pain experience and medication usage, collection of data using mini-ePPOC, provision of information, education and/or referrals, development of a written action plan.</w:t>
            </w:r>
          </w:p>
        </w:tc>
        <w:tc>
          <w:tcPr>
            <w:tcW w:w="993" w:type="dxa"/>
          </w:tcPr>
          <w:p w14:paraId="66E77D76" w14:textId="536CB9E5" w:rsidR="003D4C30" w:rsidRPr="00093F03" w:rsidRDefault="003D4C30" w:rsidP="0001555C">
            <w:pPr>
              <w:spacing w:before="0"/>
              <w:jc w:val="both"/>
              <w:rPr>
                <w:rFonts w:ascii="Arial Narrow" w:hAnsi="Arial Narrow"/>
                <w:sz w:val="20"/>
                <w:szCs w:val="20"/>
              </w:rPr>
            </w:pPr>
            <w:r w:rsidRPr="00093F03">
              <w:rPr>
                <w:rFonts w:ascii="Arial Narrow" w:hAnsi="Arial Narrow"/>
                <w:sz w:val="20"/>
                <w:szCs w:val="20"/>
              </w:rPr>
              <w:t>Face-to-face</w:t>
            </w:r>
          </w:p>
        </w:tc>
        <w:tc>
          <w:tcPr>
            <w:tcW w:w="850" w:type="dxa"/>
          </w:tcPr>
          <w:p w14:paraId="59C50509" w14:textId="235CD458" w:rsidR="003D4C30" w:rsidRPr="00093F03" w:rsidRDefault="003D4C30" w:rsidP="0001555C">
            <w:pPr>
              <w:spacing w:before="0"/>
              <w:jc w:val="both"/>
              <w:rPr>
                <w:rFonts w:ascii="Arial Narrow" w:hAnsi="Arial Narrow"/>
                <w:sz w:val="20"/>
                <w:szCs w:val="20"/>
              </w:rPr>
            </w:pPr>
            <w:r w:rsidRPr="00093F03">
              <w:rPr>
                <w:rFonts w:ascii="Arial Narrow" w:hAnsi="Arial Narrow"/>
                <w:sz w:val="20"/>
                <w:szCs w:val="20"/>
              </w:rPr>
              <w:t>45</w:t>
            </w:r>
          </w:p>
        </w:tc>
        <w:tc>
          <w:tcPr>
            <w:tcW w:w="851" w:type="dxa"/>
          </w:tcPr>
          <w:p w14:paraId="765F1D0F" w14:textId="77777777" w:rsidR="003D4C30" w:rsidRPr="00093F03" w:rsidRDefault="003D4C30" w:rsidP="0001555C">
            <w:pPr>
              <w:spacing w:before="0"/>
              <w:jc w:val="both"/>
              <w:rPr>
                <w:rFonts w:ascii="Arial Narrow" w:hAnsi="Arial Narrow"/>
                <w:sz w:val="20"/>
                <w:szCs w:val="20"/>
              </w:rPr>
            </w:pPr>
            <w:r w:rsidRPr="00093F03">
              <w:rPr>
                <w:rFonts w:ascii="Arial Narrow" w:hAnsi="Arial Narrow"/>
                <w:sz w:val="20"/>
                <w:szCs w:val="20"/>
              </w:rPr>
              <w:t>$98.41</w:t>
            </w:r>
          </w:p>
        </w:tc>
        <w:tc>
          <w:tcPr>
            <w:tcW w:w="851" w:type="dxa"/>
          </w:tcPr>
          <w:p w14:paraId="5C3D2E2E" w14:textId="77777777" w:rsidR="00DD4401" w:rsidRDefault="00DD4401" w:rsidP="003D38AC">
            <w:pPr>
              <w:spacing w:before="0"/>
              <w:jc w:val="both"/>
              <w:rPr>
                <w:rFonts w:ascii="Arial Narrow" w:hAnsi="Arial Narrow"/>
                <w:sz w:val="20"/>
                <w:szCs w:val="20"/>
              </w:rPr>
            </w:pPr>
            <w:r>
              <w:rPr>
                <w:rFonts w:ascii="Arial Narrow" w:hAnsi="Arial Narrow"/>
                <w:sz w:val="20"/>
                <w:szCs w:val="20"/>
              </w:rPr>
              <w:t>109.3</w:t>
            </w:r>
          </w:p>
        </w:tc>
        <w:tc>
          <w:tcPr>
            <w:tcW w:w="850" w:type="dxa"/>
          </w:tcPr>
          <w:p w14:paraId="3221717B" w14:textId="77777777" w:rsidR="00DD4401" w:rsidRDefault="00DD4401" w:rsidP="003D38AC">
            <w:pPr>
              <w:spacing w:before="0"/>
              <w:jc w:val="both"/>
              <w:rPr>
                <w:rFonts w:ascii="Arial Narrow" w:hAnsi="Arial Narrow"/>
                <w:sz w:val="20"/>
                <w:szCs w:val="20"/>
              </w:rPr>
            </w:pPr>
            <w:r>
              <w:rPr>
                <w:rFonts w:ascii="Arial Narrow" w:hAnsi="Arial Narrow"/>
                <w:sz w:val="20"/>
                <w:szCs w:val="20"/>
              </w:rPr>
              <w:t>$105.17</w:t>
            </w:r>
          </w:p>
        </w:tc>
      </w:tr>
      <w:tr w:rsidR="003D4C30" w:rsidRPr="00093F03" w14:paraId="5E28CD90" w14:textId="4F458D05" w:rsidTr="004E666B">
        <w:tc>
          <w:tcPr>
            <w:tcW w:w="1219" w:type="dxa"/>
          </w:tcPr>
          <w:p w14:paraId="7AF33085" w14:textId="77777777" w:rsidR="003D4C30" w:rsidRPr="004E666B" w:rsidRDefault="003D4C30" w:rsidP="0001555C">
            <w:pPr>
              <w:spacing w:before="0"/>
              <w:jc w:val="both"/>
              <w:rPr>
                <w:rFonts w:ascii="Arial Narrow" w:hAnsi="Arial Narrow"/>
                <w:sz w:val="20"/>
              </w:rPr>
            </w:pPr>
            <w:r w:rsidRPr="004E666B">
              <w:rPr>
                <w:rFonts w:ascii="Arial Narrow" w:hAnsi="Arial Narrow"/>
                <w:sz w:val="20"/>
              </w:rPr>
              <w:t>Midpoint</w:t>
            </w:r>
          </w:p>
        </w:tc>
        <w:tc>
          <w:tcPr>
            <w:tcW w:w="3312" w:type="dxa"/>
          </w:tcPr>
          <w:p w14:paraId="18E0D20B" w14:textId="77777777" w:rsidR="00DD4401" w:rsidRPr="007008E2" w:rsidRDefault="00DD4401" w:rsidP="003D38AC">
            <w:pPr>
              <w:spacing w:before="0"/>
              <w:jc w:val="both"/>
              <w:rPr>
                <w:rFonts w:ascii="Arial Narrow" w:hAnsi="Arial Narrow"/>
                <w:sz w:val="20"/>
                <w:szCs w:val="20"/>
              </w:rPr>
            </w:pPr>
            <w:r w:rsidRPr="007008E2">
              <w:rPr>
                <w:rFonts w:ascii="Arial Narrow" w:hAnsi="Arial Narrow"/>
                <w:sz w:val="20"/>
                <w:szCs w:val="20"/>
              </w:rPr>
              <w:t xml:space="preserve">Review </w:t>
            </w:r>
            <w:r>
              <w:rPr>
                <w:rFonts w:ascii="Arial Narrow" w:hAnsi="Arial Narrow"/>
                <w:sz w:val="20"/>
                <w:szCs w:val="20"/>
              </w:rPr>
              <w:t>of progress against the written action plan and amendments in needed, collection of data using mini-ePPOC, referral to additional health professional support if needed.</w:t>
            </w:r>
          </w:p>
        </w:tc>
        <w:tc>
          <w:tcPr>
            <w:tcW w:w="993" w:type="dxa"/>
          </w:tcPr>
          <w:p w14:paraId="5E99638A" w14:textId="486EEE0A" w:rsidR="003D4C30" w:rsidRPr="00093F03" w:rsidRDefault="003D4C30" w:rsidP="0001555C">
            <w:pPr>
              <w:spacing w:before="0"/>
              <w:jc w:val="both"/>
              <w:rPr>
                <w:rFonts w:ascii="Arial Narrow" w:hAnsi="Arial Narrow"/>
                <w:sz w:val="20"/>
                <w:szCs w:val="20"/>
              </w:rPr>
            </w:pPr>
            <w:r w:rsidRPr="00093F03">
              <w:rPr>
                <w:rFonts w:ascii="Arial Narrow" w:hAnsi="Arial Narrow"/>
                <w:sz w:val="20"/>
                <w:szCs w:val="20"/>
              </w:rPr>
              <w:t>Telephone</w:t>
            </w:r>
          </w:p>
        </w:tc>
        <w:tc>
          <w:tcPr>
            <w:tcW w:w="850" w:type="dxa"/>
          </w:tcPr>
          <w:p w14:paraId="3D8C7D79" w14:textId="77777777" w:rsidR="003D4C30" w:rsidRPr="00093F03" w:rsidRDefault="003D4C30" w:rsidP="0001555C">
            <w:pPr>
              <w:spacing w:before="0"/>
              <w:jc w:val="both"/>
              <w:rPr>
                <w:rFonts w:ascii="Arial Narrow" w:hAnsi="Arial Narrow"/>
                <w:sz w:val="20"/>
                <w:szCs w:val="20"/>
              </w:rPr>
            </w:pPr>
            <w:r w:rsidRPr="00093F03">
              <w:rPr>
                <w:rFonts w:ascii="Arial Narrow" w:hAnsi="Arial Narrow"/>
                <w:sz w:val="20"/>
                <w:szCs w:val="20"/>
              </w:rPr>
              <w:t>15</w:t>
            </w:r>
          </w:p>
        </w:tc>
        <w:tc>
          <w:tcPr>
            <w:tcW w:w="851" w:type="dxa"/>
          </w:tcPr>
          <w:p w14:paraId="51B66AB7" w14:textId="77777777" w:rsidR="003D4C30" w:rsidRPr="00093F03" w:rsidRDefault="003D4C30" w:rsidP="0001555C">
            <w:pPr>
              <w:spacing w:before="0"/>
              <w:jc w:val="both"/>
              <w:rPr>
                <w:rFonts w:ascii="Arial Narrow" w:hAnsi="Arial Narrow"/>
                <w:sz w:val="20"/>
                <w:szCs w:val="20"/>
              </w:rPr>
            </w:pPr>
            <w:r w:rsidRPr="00093F03">
              <w:rPr>
                <w:rFonts w:ascii="Arial Narrow" w:hAnsi="Arial Narrow"/>
                <w:sz w:val="20"/>
                <w:szCs w:val="20"/>
              </w:rPr>
              <w:t>$32.81</w:t>
            </w:r>
          </w:p>
        </w:tc>
        <w:tc>
          <w:tcPr>
            <w:tcW w:w="851" w:type="dxa"/>
          </w:tcPr>
          <w:p w14:paraId="22EFDE54" w14:textId="77777777" w:rsidR="00DD4401" w:rsidRDefault="00DD4401" w:rsidP="003D38AC">
            <w:pPr>
              <w:spacing w:before="0"/>
              <w:jc w:val="both"/>
              <w:rPr>
                <w:rFonts w:ascii="Arial Narrow" w:hAnsi="Arial Narrow"/>
                <w:sz w:val="20"/>
                <w:szCs w:val="20"/>
              </w:rPr>
            </w:pPr>
            <w:r>
              <w:rPr>
                <w:rFonts w:ascii="Arial Narrow" w:hAnsi="Arial Narrow"/>
                <w:sz w:val="20"/>
                <w:szCs w:val="20"/>
              </w:rPr>
              <w:t>45</w:t>
            </w:r>
          </w:p>
        </w:tc>
        <w:tc>
          <w:tcPr>
            <w:tcW w:w="850" w:type="dxa"/>
          </w:tcPr>
          <w:p w14:paraId="673112C2" w14:textId="77777777" w:rsidR="00DD4401" w:rsidRDefault="00DD4401" w:rsidP="003D38AC">
            <w:pPr>
              <w:spacing w:before="0"/>
              <w:jc w:val="both"/>
              <w:rPr>
                <w:rFonts w:ascii="Arial Narrow" w:hAnsi="Arial Narrow"/>
                <w:sz w:val="20"/>
                <w:szCs w:val="20"/>
              </w:rPr>
            </w:pPr>
            <w:r>
              <w:rPr>
                <w:rFonts w:ascii="Arial Narrow" w:hAnsi="Arial Narrow"/>
                <w:sz w:val="20"/>
                <w:szCs w:val="20"/>
              </w:rPr>
              <w:t>$42.32</w:t>
            </w:r>
          </w:p>
        </w:tc>
      </w:tr>
      <w:tr w:rsidR="003D4C30" w:rsidRPr="00093F03" w14:paraId="41EBEC5F" w14:textId="304B31EC" w:rsidTr="004E666B">
        <w:tc>
          <w:tcPr>
            <w:tcW w:w="1219" w:type="dxa"/>
          </w:tcPr>
          <w:p w14:paraId="5E62FA68" w14:textId="77777777" w:rsidR="003D4C30" w:rsidRPr="004E666B" w:rsidRDefault="003D4C30" w:rsidP="0001555C">
            <w:pPr>
              <w:spacing w:before="0"/>
              <w:jc w:val="both"/>
              <w:rPr>
                <w:rFonts w:ascii="Arial Narrow" w:hAnsi="Arial Narrow"/>
                <w:sz w:val="20"/>
              </w:rPr>
            </w:pPr>
            <w:r w:rsidRPr="004E666B">
              <w:rPr>
                <w:rFonts w:ascii="Arial Narrow" w:hAnsi="Arial Narrow"/>
                <w:sz w:val="20"/>
              </w:rPr>
              <w:t>3-month follow up</w:t>
            </w:r>
          </w:p>
        </w:tc>
        <w:tc>
          <w:tcPr>
            <w:tcW w:w="3312" w:type="dxa"/>
          </w:tcPr>
          <w:p w14:paraId="464BB9A5" w14:textId="7166C92E" w:rsidR="00DD4401" w:rsidRPr="007008E2" w:rsidRDefault="00DD4401" w:rsidP="003D38AC">
            <w:pPr>
              <w:spacing w:before="0"/>
              <w:jc w:val="both"/>
              <w:rPr>
                <w:rFonts w:ascii="Arial Narrow" w:hAnsi="Arial Narrow"/>
                <w:sz w:val="20"/>
                <w:szCs w:val="20"/>
              </w:rPr>
            </w:pPr>
            <w:r w:rsidRPr="007008E2">
              <w:rPr>
                <w:rFonts w:ascii="Arial Narrow" w:hAnsi="Arial Narrow"/>
                <w:sz w:val="20"/>
                <w:szCs w:val="20"/>
              </w:rPr>
              <w:t xml:space="preserve">Review </w:t>
            </w:r>
            <w:r>
              <w:rPr>
                <w:rFonts w:ascii="Arial Narrow" w:hAnsi="Arial Narrow"/>
                <w:sz w:val="20"/>
                <w:szCs w:val="20"/>
              </w:rPr>
              <w:t xml:space="preserve">and assessment of progress against the written action plan, updating the plan if needed, collection of data using mini-ePPOC, provision of </w:t>
            </w:r>
            <w:r w:rsidR="00DB50F9">
              <w:rPr>
                <w:rFonts w:ascii="Arial Narrow" w:hAnsi="Arial Narrow"/>
                <w:sz w:val="20"/>
                <w:szCs w:val="20"/>
              </w:rPr>
              <w:t xml:space="preserve">follow-up </w:t>
            </w:r>
            <w:r>
              <w:rPr>
                <w:rFonts w:ascii="Arial Narrow" w:hAnsi="Arial Narrow"/>
                <w:sz w:val="20"/>
                <w:szCs w:val="20"/>
              </w:rPr>
              <w:t>support, advice and/or referral as needed.</w:t>
            </w:r>
          </w:p>
        </w:tc>
        <w:tc>
          <w:tcPr>
            <w:tcW w:w="993" w:type="dxa"/>
          </w:tcPr>
          <w:p w14:paraId="162D539B" w14:textId="75DBD9C4" w:rsidR="003D4C30" w:rsidRPr="00093F03" w:rsidRDefault="003D4C30" w:rsidP="0001555C">
            <w:pPr>
              <w:spacing w:before="0"/>
              <w:jc w:val="both"/>
              <w:rPr>
                <w:rFonts w:ascii="Arial Narrow" w:hAnsi="Arial Narrow"/>
                <w:sz w:val="20"/>
                <w:szCs w:val="20"/>
              </w:rPr>
            </w:pPr>
            <w:r w:rsidRPr="00093F03">
              <w:rPr>
                <w:rFonts w:ascii="Arial Narrow" w:hAnsi="Arial Narrow"/>
                <w:sz w:val="20"/>
                <w:szCs w:val="20"/>
              </w:rPr>
              <w:t>Face-to-face</w:t>
            </w:r>
          </w:p>
        </w:tc>
        <w:tc>
          <w:tcPr>
            <w:tcW w:w="850" w:type="dxa"/>
          </w:tcPr>
          <w:p w14:paraId="63ED2365" w14:textId="77777777" w:rsidR="003D4C30" w:rsidRPr="00093F03" w:rsidRDefault="003D4C30" w:rsidP="0001555C">
            <w:pPr>
              <w:spacing w:before="0"/>
              <w:jc w:val="both"/>
              <w:rPr>
                <w:rFonts w:ascii="Arial Narrow" w:hAnsi="Arial Narrow"/>
                <w:sz w:val="20"/>
                <w:szCs w:val="20"/>
              </w:rPr>
            </w:pPr>
            <w:r w:rsidRPr="00093F03">
              <w:rPr>
                <w:rFonts w:ascii="Arial Narrow" w:hAnsi="Arial Narrow"/>
                <w:sz w:val="20"/>
                <w:szCs w:val="20"/>
              </w:rPr>
              <w:t>15</w:t>
            </w:r>
          </w:p>
        </w:tc>
        <w:tc>
          <w:tcPr>
            <w:tcW w:w="851" w:type="dxa"/>
          </w:tcPr>
          <w:p w14:paraId="1B73BB7A" w14:textId="77777777" w:rsidR="003D4C30" w:rsidRPr="00093F03" w:rsidRDefault="003D4C30" w:rsidP="0001555C">
            <w:pPr>
              <w:spacing w:before="0"/>
              <w:jc w:val="both"/>
              <w:rPr>
                <w:rFonts w:ascii="Arial Narrow" w:hAnsi="Arial Narrow"/>
                <w:sz w:val="20"/>
                <w:szCs w:val="20"/>
              </w:rPr>
            </w:pPr>
            <w:r w:rsidRPr="00093F03">
              <w:rPr>
                <w:rFonts w:ascii="Arial Narrow" w:hAnsi="Arial Narrow"/>
                <w:sz w:val="20"/>
                <w:szCs w:val="20"/>
              </w:rPr>
              <w:t>$32.81</w:t>
            </w:r>
          </w:p>
        </w:tc>
        <w:tc>
          <w:tcPr>
            <w:tcW w:w="851" w:type="dxa"/>
          </w:tcPr>
          <w:p w14:paraId="246CAB90" w14:textId="77777777" w:rsidR="00DD4401" w:rsidRDefault="00DD4401" w:rsidP="003D38AC">
            <w:pPr>
              <w:spacing w:before="0"/>
              <w:jc w:val="both"/>
              <w:rPr>
                <w:rFonts w:ascii="Arial Narrow" w:hAnsi="Arial Narrow"/>
                <w:sz w:val="20"/>
                <w:szCs w:val="20"/>
              </w:rPr>
            </w:pPr>
            <w:r>
              <w:rPr>
                <w:rFonts w:ascii="Arial Narrow" w:hAnsi="Arial Narrow"/>
                <w:sz w:val="20"/>
                <w:szCs w:val="20"/>
              </w:rPr>
              <w:t>41.3</w:t>
            </w:r>
          </w:p>
        </w:tc>
        <w:tc>
          <w:tcPr>
            <w:tcW w:w="850" w:type="dxa"/>
          </w:tcPr>
          <w:p w14:paraId="77FE855B" w14:textId="77777777" w:rsidR="00DD4401" w:rsidRDefault="00DD4401" w:rsidP="003D38AC">
            <w:pPr>
              <w:spacing w:before="0"/>
              <w:jc w:val="both"/>
              <w:rPr>
                <w:rFonts w:ascii="Arial Narrow" w:hAnsi="Arial Narrow"/>
                <w:sz w:val="20"/>
                <w:szCs w:val="20"/>
              </w:rPr>
            </w:pPr>
            <w:r>
              <w:rPr>
                <w:rFonts w:ascii="Arial Narrow" w:hAnsi="Arial Narrow"/>
                <w:sz w:val="20"/>
                <w:szCs w:val="20"/>
              </w:rPr>
              <w:t>$38.50</w:t>
            </w:r>
          </w:p>
        </w:tc>
      </w:tr>
    </w:tbl>
    <w:bookmarkEnd w:id="12"/>
    <w:p w14:paraId="3189BCA9" w14:textId="77777777" w:rsidR="008633DE" w:rsidRDefault="00431366" w:rsidP="008633DE">
      <w:pPr>
        <w:pStyle w:val="Instructionaltext"/>
        <w:keepNext/>
        <w:tabs>
          <w:tab w:val="left" w:pos="2172"/>
        </w:tabs>
        <w:spacing w:before="0" w:after="0"/>
        <w:jc w:val="both"/>
        <w:rPr>
          <w:rFonts w:ascii="Arial Narrow" w:eastAsia="Times New Roman" w:hAnsi="Arial Narrow" w:cs="Tahoma"/>
          <w:color w:val="auto"/>
          <w:sz w:val="18"/>
          <w:szCs w:val="18"/>
          <w:lang w:eastAsia="en-AU"/>
        </w:rPr>
      </w:pPr>
      <w:r w:rsidRPr="00431366">
        <w:rPr>
          <w:rFonts w:ascii="Arial Narrow" w:hAnsi="Arial Narrow"/>
          <w:color w:val="auto"/>
          <w:sz w:val="18"/>
          <w:szCs w:val="20"/>
        </w:rPr>
        <w:t>Source:</w:t>
      </w:r>
      <w:r>
        <w:rPr>
          <w:rFonts w:ascii="Arial Narrow" w:hAnsi="Arial Narrow"/>
          <w:color w:val="auto"/>
          <w:sz w:val="18"/>
          <w:szCs w:val="20"/>
        </w:rPr>
        <w:t xml:space="preserve"> </w:t>
      </w:r>
      <w:r w:rsidR="00D97A8B">
        <w:rPr>
          <w:rFonts w:ascii="Arial Narrow" w:hAnsi="Arial Narrow"/>
          <w:color w:val="auto"/>
          <w:sz w:val="18"/>
          <w:szCs w:val="20"/>
        </w:rPr>
        <w:t xml:space="preserve">Applicant provided </w:t>
      </w:r>
      <w:r w:rsidR="00BA3680">
        <w:rPr>
          <w:rFonts w:ascii="Arial Narrow" w:hAnsi="Arial Narrow"/>
          <w:color w:val="auto"/>
          <w:sz w:val="18"/>
          <w:szCs w:val="20"/>
        </w:rPr>
        <w:t>during the evaluation</w:t>
      </w:r>
      <w:r w:rsidR="00DD4401">
        <w:rPr>
          <w:rFonts w:ascii="Arial Narrow" w:hAnsi="Arial Narrow"/>
          <w:color w:val="auto"/>
          <w:sz w:val="18"/>
          <w:szCs w:val="20"/>
        </w:rPr>
        <w:t>, Trial protocol, Tables 61-63 of ADAR</w:t>
      </w:r>
      <w:r w:rsidR="008633DE" w:rsidRPr="008633DE">
        <w:rPr>
          <w:rFonts w:ascii="Arial Narrow" w:eastAsia="Times New Roman" w:hAnsi="Arial Narrow" w:cs="Tahoma"/>
          <w:color w:val="auto"/>
          <w:sz w:val="18"/>
          <w:szCs w:val="18"/>
          <w:lang w:eastAsia="en-AU"/>
        </w:rPr>
        <w:t xml:space="preserve"> </w:t>
      </w:r>
    </w:p>
    <w:p w14:paraId="05E02358" w14:textId="01799D07" w:rsidR="008633DE" w:rsidRDefault="008633DE" w:rsidP="008633DE">
      <w:pPr>
        <w:pStyle w:val="Instructionaltext"/>
        <w:keepNext/>
        <w:tabs>
          <w:tab w:val="left" w:pos="2172"/>
        </w:tabs>
        <w:spacing w:before="0" w:after="0"/>
        <w:jc w:val="both"/>
        <w:rPr>
          <w:rFonts w:ascii="Arial Narrow" w:hAnsi="Arial Narrow"/>
          <w:color w:val="auto"/>
          <w:sz w:val="18"/>
          <w:szCs w:val="20"/>
        </w:rPr>
      </w:pPr>
      <w:r w:rsidRPr="007538ED">
        <w:rPr>
          <w:rFonts w:ascii="Arial Narrow" w:eastAsia="Times New Roman" w:hAnsi="Arial Narrow" w:cs="Tahoma"/>
          <w:color w:val="auto"/>
          <w:sz w:val="18"/>
          <w:szCs w:val="18"/>
          <w:lang w:eastAsia="en-AU"/>
        </w:rPr>
        <w:t xml:space="preserve">Abbreviations: </w:t>
      </w:r>
      <w:r>
        <w:rPr>
          <w:rFonts w:ascii="Arial Narrow" w:eastAsia="Times New Roman" w:hAnsi="Arial Narrow" w:cs="Tahoma"/>
          <w:color w:val="auto"/>
          <w:sz w:val="18"/>
          <w:szCs w:val="18"/>
          <w:lang w:eastAsia="en-AU"/>
        </w:rPr>
        <w:t xml:space="preserve">mini-ePPOC, </w:t>
      </w:r>
      <w:r w:rsidRPr="009400F4">
        <w:rPr>
          <w:rFonts w:ascii="Arial Narrow" w:eastAsia="Times New Roman" w:hAnsi="Arial Narrow" w:cs="Tahoma"/>
          <w:color w:val="auto"/>
          <w:sz w:val="18"/>
          <w:szCs w:val="18"/>
          <w:lang w:eastAsia="en-AU"/>
        </w:rPr>
        <w:t>mini-electronic Persistent Pain Outcomes Collaboration</w:t>
      </w:r>
    </w:p>
    <w:p w14:paraId="2EB55A4E" w14:textId="077E005F" w:rsidR="00DD4401" w:rsidRPr="002E6226" w:rsidRDefault="00DD4401" w:rsidP="00C7722F">
      <w:pPr>
        <w:pStyle w:val="Caption"/>
        <w:spacing w:before="240" w:after="160" w:line="259" w:lineRule="auto"/>
        <w:rPr>
          <w:rFonts w:ascii="Franklin Gothic Book" w:eastAsia="SimSun" w:hAnsi="Franklin Gothic Book" w:cstheme="minorBidi"/>
          <w:b w:val="0"/>
          <w:bCs w:val="0"/>
          <w:sz w:val="22"/>
          <w:szCs w:val="22"/>
        </w:rPr>
      </w:pPr>
      <w:r w:rsidRPr="002E6226">
        <w:rPr>
          <w:rFonts w:ascii="Franklin Gothic Book" w:eastAsia="SimSun" w:hAnsi="Franklin Gothic Book" w:cstheme="minorBidi"/>
          <w:b w:val="0"/>
          <w:bCs w:val="0"/>
          <w:sz w:val="22"/>
          <w:szCs w:val="22"/>
        </w:rPr>
        <w:t>The CPMC service can be initiated by the pharmacist without referral from another health professional. There is also no requirement for formal collaboration with GPs and other healthcare networks (a record of the service, including the associated Action Plan, should be uploaded to the patient’s My Health Record)</w:t>
      </w:r>
      <w:r w:rsidR="00075F44" w:rsidRPr="002E6226">
        <w:rPr>
          <w:rFonts w:ascii="Franklin Gothic Book" w:eastAsia="SimSun" w:hAnsi="Franklin Gothic Book" w:cstheme="minorBidi"/>
          <w:b w:val="0"/>
          <w:bCs w:val="0"/>
          <w:sz w:val="22"/>
          <w:szCs w:val="22"/>
        </w:rPr>
        <w:t>, but the Pharmaceutical Society of Australia’s Guidelines for pharmacists providing MedsCheck and Diabetes MedsCheck services do encourage communication with prescribers or other healthcare providers, including sharing a copy of the Action Plan</w:t>
      </w:r>
      <w:r w:rsidRPr="002E6226">
        <w:rPr>
          <w:rFonts w:ascii="Franklin Gothic Book" w:eastAsia="SimSun" w:hAnsi="Franklin Gothic Book" w:cstheme="minorBidi"/>
          <w:b w:val="0"/>
          <w:bCs w:val="0"/>
          <w:sz w:val="22"/>
          <w:szCs w:val="22"/>
        </w:rPr>
        <w:t>. Although many analgesics can be purchased without a prescription, the Department of Health</w:t>
      </w:r>
      <w:r w:rsidR="004B1151">
        <w:rPr>
          <w:rFonts w:ascii="Franklin Gothic Book" w:eastAsia="SimSun" w:hAnsi="Franklin Gothic Book" w:cstheme="minorBidi"/>
          <w:b w:val="0"/>
          <w:bCs w:val="0"/>
          <w:sz w:val="22"/>
          <w:szCs w:val="22"/>
        </w:rPr>
        <w:t xml:space="preserve"> and Aged Care</w:t>
      </w:r>
      <w:r w:rsidRPr="002E6226">
        <w:rPr>
          <w:rFonts w:ascii="Franklin Gothic Book" w:eastAsia="SimSun" w:hAnsi="Franklin Gothic Book" w:cstheme="minorBidi"/>
          <w:b w:val="0"/>
          <w:bCs w:val="0"/>
          <w:sz w:val="22"/>
          <w:szCs w:val="22"/>
        </w:rPr>
        <w:t>’s National Strategic Action Plan for Pain Management 20</w:t>
      </w:r>
      <w:r w:rsidR="00CC5371">
        <w:rPr>
          <w:rFonts w:ascii="Franklin Gothic Book" w:eastAsia="SimSun" w:hAnsi="Franklin Gothic Book" w:cstheme="minorBidi"/>
          <w:b w:val="0"/>
          <w:bCs w:val="0"/>
          <w:sz w:val="22"/>
          <w:szCs w:val="22"/>
        </w:rPr>
        <w:t>21</w:t>
      </w:r>
      <w:r w:rsidRPr="002E6226">
        <w:rPr>
          <w:rFonts w:ascii="Franklin Gothic Book" w:eastAsia="SimSun" w:hAnsi="Franklin Gothic Book" w:cstheme="minorBidi"/>
          <w:b w:val="0"/>
          <w:bCs w:val="0"/>
          <w:sz w:val="22"/>
          <w:szCs w:val="22"/>
        </w:rPr>
        <w:t xml:space="preserve"> recommend</w:t>
      </w:r>
      <w:r w:rsidR="00DB50F9">
        <w:rPr>
          <w:rFonts w:ascii="Franklin Gothic Book" w:eastAsia="SimSun" w:hAnsi="Franklin Gothic Book" w:cstheme="minorBidi"/>
          <w:b w:val="0"/>
          <w:bCs w:val="0"/>
          <w:sz w:val="22"/>
          <w:szCs w:val="22"/>
        </w:rPr>
        <w:t>s</w:t>
      </w:r>
      <w:r w:rsidRPr="002E6226">
        <w:rPr>
          <w:rFonts w:ascii="Franklin Gothic Book" w:eastAsia="SimSun" w:hAnsi="Franklin Gothic Book" w:cstheme="minorBidi"/>
          <w:b w:val="0"/>
          <w:bCs w:val="0"/>
          <w:sz w:val="22"/>
          <w:szCs w:val="22"/>
        </w:rPr>
        <w:t xml:space="preserve"> a coordinated interdisciplinary management strategy to address pain.</w:t>
      </w:r>
      <w:r w:rsidR="004B62CC" w:rsidRPr="002E6226">
        <w:rPr>
          <w:rFonts w:ascii="Franklin Gothic Book" w:eastAsia="SimSun" w:hAnsi="Franklin Gothic Book" w:cstheme="minorBidi"/>
          <w:b w:val="0"/>
          <w:bCs w:val="0"/>
          <w:sz w:val="22"/>
          <w:szCs w:val="22"/>
        </w:rPr>
        <w:t xml:space="preserve"> The </w:t>
      </w:r>
      <w:r w:rsidR="00470EC6">
        <w:rPr>
          <w:rFonts w:ascii="Franklin Gothic Book" w:eastAsia="SimSun" w:hAnsi="Franklin Gothic Book" w:cstheme="minorBidi"/>
          <w:b w:val="0"/>
          <w:bCs w:val="0"/>
          <w:sz w:val="22"/>
          <w:szCs w:val="22"/>
        </w:rPr>
        <w:t>t</w:t>
      </w:r>
      <w:r w:rsidR="004B62CC" w:rsidRPr="002E6226">
        <w:rPr>
          <w:rFonts w:ascii="Franklin Gothic Book" w:eastAsia="SimSun" w:hAnsi="Franklin Gothic Book" w:cstheme="minorBidi"/>
          <w:b w:val="0"/>
          <w:bCs w:val="0"/>
          <w:sz w:val="22"/>
          <w:szCs w:val="22"/>
        </w:rPr>
        <w:t>rial Protocol included compulsory referral to another health professional for pre-defined mini</w:t>
      </w:r>
      <w:r w:rsidR="007B2CC9" w:rsidRPr="002E6226">
        <w:t xml:space="preserve"> </w:t>
      </w:r>
      <w:r w:rsidR="004B62CC" w:rsidRPr="002E6226">
        <w:rPr>
          <w:rFonts w:ascii="Franklin Gothic Book" w:eastAsia="SimSun" w:hAnsi="Franklin Gothic Book" w:cstheme="minorBidi"/>
          <w:b w:val="0"/>
          <w:bCs w:val="0"/>
          <w:sz w:val="22"/>
          <w:szCs w:val="22"/>
        </w:rPr>
        <w:t xml:space="preserve">ePPOC outputs to help standardise service provision, but it is unclear if this would be included if the service </w:t>
      </w:r>
      <w:r w:rsidR="000B1BBF" w:rsidRPr="002E6226">
        <w:rPr>
          <w:rFonts w:ascii="Franklin Gothic Book" w:eastAsia="SimSun" w:hAnsi="Franklin Gothic Book" w:cstheme="minorBidi"/>
          <w:b w:val="0"/>
          <w:bCs w:val="0"/>
          <w:sz w:val="22"/>
          <w:szCs w:val="22"/>
        </w:rPr>
        <w:t xml:space="preserve">was funded. </w:t>
      </w:r>
      <w:r w:rsidRPr="002E6226">
        <w:rPr>
          <w:rFonts w:ascii="Franklin Gothic Book" w:eastAsia="SimSun" w:hAnsi="Franklin Gothic Book" w:cstheme="minorBidi"/>
          <w:b w:val="0"/>
          <w:bCs w:val="0"/>
          <w:sz w:val="22"/>
          <w:szCs w:val="22"/>
        </w:rPr>
        <w:t>Previously, in the context of pharmacy diabetes screening, MSAC considered the service should form part of a comprehensive, coordinated and integrated system of primary care</w:t>
      </w:r>
      <w:r w:rsidR="000E08D2">
        <w:rPr>
          <w:rFonts w:ascii="Franklin Gothic Book" w:eastAsia="SimSun" w:hAnsi="Franklin Gothic Book" w:cstheme="minorBidi"/>
          <w:b w:val="0"/>
          <w:bCs w:val="0"/>
          <w:sz w:val="22"/>
          <w:szCs w:val="22"/>
        </w:rPr>
        <w:t xml:space="preserve"> (p8, </w:t>
      </w:r>
      <w:hyperlink r:id="rId15" w:history="1">
        <w:r w:rsidR="000E08D2" w:rsidRPr="00C8750F">
          <w:rPr>
            <w:rStyle w:val="Hyperlink"/>
            <w:rFonts w:ascii="Franklin Gothic Book" w:eastAsia="SimSun" w:hAnsi="Franklin Gothic Book" w:cstheme="minorBidi"/>
            <w:b w:val="0"/>
            <w:bCs w:val="0"/>
            <w:sz w:val="22"/>
            <w:szCs w:val="22"/>
          </w:rPr>
          <w:t>Public Summary Document [PSD]</w:t>
        </w:r>
        <w:r w:rsidR="00C8750F" w:rsidRPr="00C8750F">
          <w:rPr>
            <w:rStyle w:val="Hyperlink"/>
            <w:rFonts w:ascii="Franklin Gothic Book" w:eastAsia="SimSun" w:hAnsi="Franklin Gothic Book" w:cstheme="minorBidi"/>
            <w:b w:val="0"/>
            <w:bCs w:val="0"/>
            <w:sz w:val="22"/>
            <w:szCs w:val="22"/>
          </w:rPr>
          <w:t xml:space="preserve"> Application 1677</w:t>
        </w:r>
      </w:hyperlink>
      <w:r w:rsidR="00C8750F">
        <w:rPr>
          <w:rFonts w:ascii="Franklin Gothic Book" w:eastAsia="SimSun" w:hAnsi="Franklin Gothic Book" w:cstheme="minorBidi"/>
          <w:b w:val="0"/>
          <w:bCs w:val="0"/>
          <w:sz w:val="22"/>
          <w:szCs w:val="22"/>
        </w:rPr>
        <w:t>)</w:t>
      </w:r>
      <w:r w:rsidRPr="002E6226">
        <w:rPr>
          <w:rFonts w:ascii="Franklin Gothic Book" w:eastAsia="SimSun" w:hAnsi="Franklin Gothic Book" w:cstheme="minorBidi"/>
          <w:b w:val="0"/>
          <w:bCs w:val="0"/>
          <w:sz w:val="22"/>
          <w:szCs w:val="22"/>
        </w:rPr>
        <w:t>.</w:t>
      </w:r>
    </w:p>
    <w:p w14:paraId="027896BC" w14:textId="3C60EE35" w:rsidR="00F07C23" w:rsidRPr="002E6226" w:rsidRDefault="00DD4401" w:rsidP="00AC5A2B">
      <w:pPr>
        <w:pStyle w:val="Caption"/>
        <w:spacing w:before="120" w:after="160" w:line="259" w:lineRule="auto"/>
        <w:rPr>
          <w:rFonts w:ascii="Franklin Gothic Book" w:hAnsi="Franklin Gothic Book"/>
          <w:b w:val="0"/>
          <w:sz w:val="22"/>
        </w:rPr>
      </w:pPr>
      <w:r w:rsidRPr="002E6226">
        <w:rPr>
          <w:rFonts w:ascii="Franklin Gothic Book" w:eastAsia="SimSun" w:hAnsi="Franklin Gothic Book" w:cstheme="minorBidi"/>
          <w:b w:val="0"/>
          <w:bCs w:val="0"/>
          <w:sz w:val="22"/>
          <w:szCs w:val="22"/>
        </w:rPr>
        <w:t xml:space="preserve">Fees for existing medication management services funded under the current </w:t>
      </w:r>
      <w:r w:rsidR="00DB50F9">
        <w:rPr>
          <w:rFonts w:ascii="Franklin Gothic Book" w:eastAsia="SimSun" w:hAnsi="Franklin Gothic Book" w:cstheme="minorBidi"/>
          <w:b w:val="0"/>
          <w:bCs w:val="0"/>
          <w:sz w:val="22"/>
          <w:szCs w:val="22"/>
        </w:rPr>
        <w:t>Seventh</w:t>
      </w:r>
      <w:r w:rsidR="00DB50F9" w:rsidRPr="002E6226">
        <w:rPr>
          <w:rFonts w:ascii="Franklin Gothic Book" w:eastAsia="SimSun" w:hAnsi="Franklin Gothic Book" w:cstheme="minorBidi"/>
          <w:b w:val="0"/>
          <w:bCs w:val="0"/>
          <w:sz w:val="22"/>
          <w:szCs w:val="22"/>
        </w:rPr>
        <w:t xml:space="preserve"> </w:t>
      </w:r>
      <w:r w:rsidRPr="002E6226">
        <w:rPr>
          <w:rFonts w:ascii="Franklin Gothic Book" w:eastAsia="SimSun" w:hAnsi="Franklin Gothic Book" w:cstheme="minorBidi"/>
          <w:b w:val="0"/>
          <w:bCs w:val="0"/>
          <w:sz w:val="22"/>
          <w:szCs w:val="22"/>
        </w:rPr>
        <w:t xml:space="preserve">Community Pharmacy Agreement (7CPA) are listed in Table 3. </w:t>
      </w:r>
      <w:r w:rsidR="00307551" w:rsidRPr="002E6226">
        <w:rPr>
          <w:rFonts w:ascii="Franklin Gothic Book" w:hAnsi="Franklin Gothic Book"/>
          <w:b w:val="0"/>
          <w:sz w:val="22"/>
        </w:rPr>
        <w:t>The proposed CPMC</w:t>
      </w:r>
      <w:r w:rsidR="00117BB0" w:rsidRPr="002E6226">
        <w:rPr>
          <w:rFonts w:ascii="Franklin Gothic Book" w:hAnsi="Franklin Gothic Book"/>
          <w:b w:val="0"/>
          <w:sz w:val="22"/>
        </w:rPr>
        <w:t xml:space="preserve"> </w:t>
      </w:r>
      <w:r w:rsidR="00307551" w:rsidRPr="002E6226">
        <w:rPr>
          <w:rFonts w:ascii="Franklin Gothic Book" w:hAnsi="Franklin Gothic Book"/>
          <w:b w:val="0"/>
          <w:sz w:val="22"/>
        </w:rPr>
        <w:t xml:space="preserve">fee schedule </w:t>
      </w:r>
      <w:r w:rsidR="00117BB0" w:rsidRPr="002E6226">
        <w:rPr>
          <w:rFonts w:ascii="Franklin Gothic Book" w:hAnsi="Franklin Gothic Book"/>
          <w:b w:val="0"/>
          <w:sz w:val="22"/>
        </w:rPr>
        <w:t>differs to the</w:t>
      </w:r>
      <w:r w:rsidR="00566F3D" w:rsidRPr="002E6226">
        <w:rPr>
          <w:rFonts w:ascii="Franklin Gothic Book" w:hAnsi="Franklin Gothic Book"/>
          <w:b w:val="0"/>
          <w:sz w:val="22"/>
        </w:rPr>
        <w:t xml:space="preserve"> similar</w:t>
      </w:r>
      <w:r w:rsidR="00117BB0" w:rsidRPr="002E6226">
        <w:rPr>
          <w:rFonts w:ascii="Franklin Gothic Book" w:hAnsi="Franklin Gothic Book"/>
          <w:b w:val="0"/>
          <w:sz w:val="22"/>
        </w:rPr>
        <w:t xml:space="preserve"> MedsCheck and Diabetes MedsCheck</w:t>
      </w:r>
      <w:r w:rsidRPr="002E6226">
        <w:rPr>
          <w:rFonts w:ascii="Franklin Gothic Book" w:eastAsia="SimSun" w:hAnsi="Franklin Gothic Book" w:cstheme="minorBidi"/>
          <w:b w:val="0"/>
          <w:bCs w:val="0"/>
          <w:sz w:val="22"/>
          <w:szCs w:val="22"/>
        </w:rPr>
        <w:t>,</w:t>
      </w:r>
      <w:r w:rsidR="00F75F72" w:rsidRPr="002E6226">
        <w:rPr>
          <w:rFonts w:ascii="Franklin Gothic Book" w:hAnsi="Franklin Gothic Book"/>
          <w:b w:val="0"/>
          <w:sz w:val="22"/>
        </w:rPr>
        <w:t xml:space="preserve"> which consist of a single consultation</w:t>
      </w:r>
      <w:r w:rsidR="00307551" w:rsidRPr="002E6226">
        <w:rPr>
          <w:rFonts w:ascii="Franklin Gothic Book" w:hAnsi="Franklin Gothic Book"/>
          <w:b w:val="0"/>
          <w:sz w:val="22"/>
        </w:rPr>
        <w:t xml:space="preserve"> </w:t>
      </w:r>
      <w:r w:rsidRPr="002E6226">
        <w:rPr>
          <w:rFonts w:ascii="Franklin Gothic Book" w:eastAsia="SimSun" w:hAnsi="Franklin Gothic Book" w:cstheme="minorBidi"/>
          <w:b w:val="0"/>
          <w:bCs w:val="0"/>
          <w:sz w:val="22"/>
          <w:szCs w:val="22"/>
        </w:rPr>
        <w:t>service</w:t>
      </w:r>
      <w:r w:rsidR="00F1519A">
        <w:rPr>
          <w:rFonts w:ascii="Franklin Gothic Book" w:eastAsia="SimSun" w:hAnsi="Franklin Gothic Book" w:cstheme="minorBidi"/>
          <w:b w:val="0"/>
          <w:bCs w:val="0"/>
          <w:sz w:val="22"/>
          <w:szCs w:val="22"/>
        </w:rPr>
        <w:t>.</w:t>
      </w:r>
      <w:r w:rsidR="00117BB0" w:rsidRPr="002E6226">
        <w:rPr>
          <w:rFonts w:ascii="Franklin Gothic Book" w:hAnsi="Franklin Gothic Book"/>
          <w:b w:val="0"/>
          <w:sz w:val="22"/>
        </w:rPr>
        <w:t xml:space="preserve"> </w:t>
      </w:r>
      <w:r w:rsidR="00363C21" w:rsidRPr="002E6226">
        <w:rPr>
          <w:rFonts w:ascii="Franklin Gothic Book" w:hAnsi="Franklin Gothic Book"/>
          <w:b w:val="0"/>
          <w:sz w:val="22"/>
        </w:rPr>
        <w:t>MedsChecks and Diabetes Med</w:t>
      </w:r>
      <w:r w:rsidR="00F611E3">
        <w:rPr>
          <w:rFonts w:ascii="Franklin Gothic Book" w:hAnsi="Franklin Gothic Book"/>
          <w:b w:val="0"/>
          <w:sz w:val="22"/>
        </w:rPr>
        <w:t>s</w:t>
      </w:r>
      <w:r w:rsidR="00363C21" w:rsidRPr="002E6226">
        <w:rPr>
          <w:rFonts w:ascii="Franklin Gothic Book" w:hAnsi="Franklin Gothic Book"/>
          <w:b w:val="0"/>
          <w:sz w:val="22"/>
        </w:rPr>
        <w:t xml:space="preserve">Checks can also be delivered by any registered pharmacist without any additional training. </w:t>
      </w:r>
      <w:r w:rsidR="003D5DC8" w:rsidRPr="002E6226">
        <w:rPr>
          <w:rFonts w:ascii="Franklin Gothic Book" w:eastAsia="SimSun" w:hAnsi="Franklin Gothic Book" w:cstheme="minorBidi"/>
          <w:b w:val="0"/>
          <w:bCs w:val="0"/>
          <w:sz w:val="22"/>
          <w:szCs w:val="22"/>
        </w:rPr>
        <w:t xml:space="preserve">Home Medicines Reviews must be delivered by an accredited </w:t>
      </w:r>
      <w:r w:rsidR="003D5DC8" w:rsidRPr="002E6226">
        <w:rPr>
          <w:rFonts w:ascii="Franklin Gothic Book" w:eastAsia="SimSun" w:hAnsi="Franklin Gothic Book" w:cstheme="minorBidi"/>
          <w:b w:val="0"/>
          <w:bCs w:val="0"/>
          <w:sz w:val="22"/>
          <w:szCs w:val="22"/>
        </w:rPr>
        <w:lastRenderedPageBreak/>
        <w:t xml:space="preserve">pharmacist and are initiated by a referring physician. The </w:t>
      </w:r>
      <w:r w:rsidR="00DB50F9">
        <w:rPr>
          <w:rFonts w:ascii="Franklin Gothic Book" w:eastAsia="SimSun" w:hAnsi="Franklin Gothic Book" w:cstheme="minorBidi"/>
          <w:b w:val="0"/>
          <w:bCs w:val="0"/>
          <w:sz w:val="22"/>
          <w:szCs w:val="22"/>
        </w:rPr>
        <w:t>follow-</w:t>
      </w:r>
      <w:r w:rsidR="003D5DC8" w:rsidRPr="002E6226">
        <w:rPr>
          <w:rFonts w:ascii="Franklin Gothic Book" w:eastAsia="SimSun" w:hAnsi="Franklin Gothic Book" w:cstheme="minorBidi"/>
          <w:b w:val="0"/>
          <w:bCs w:val="0"/>
          <w:sz w:val="22"/>
          <w:szCs w:val="22"/>
        </w:rPr>
        <w:t>up Home Medicines Review services are not automatically provided, but are available if they are deemed necessary.</w:t>
      </w:r>
      <w:r w:rsidR="00B26CE5">
        <w:rPr>
          <w:rFonts w:ascii="Franklin Gothic Book" w:eastAsia="SimSun" w:hAnsi="Franklin Gothic Book" w:cstheme="minorBidi"/>
          <w:b w:val="0"/>
          <w:bCs w:val="0"/>
          <w:sz w:val="22"/>
          <w:szCs w:val="22"/>
        </w:rPr>
        <w:t xml:space="preserve"> In general, patients are eligible for one medication management service in 12 months</w:t>
      </w:r>
      <w:r w:rsidR="00F25BD1">
        <w:rPr>
          <w:rFonts w:ascii="Franklin Gothic Book" w:eastAsia="SimSun" w:hAnsi="Franklin Gothic Book" w:cstheme="minorBidi"/>
          <w:b w:val="0"/>
          <w:bCs w:val="0"/>
          <w:sz w:val="22"/>
          <w:szCs w:val="22"/>
        </w:rPr>
        <w:t>. An extra Home Medicines Review may be claimed if</w:t>
      </w:r>
      <w:r w:rsidR="00B26CE5">
        <w:rPr>
          <w:rFonts w:ascii="Franklin Gothic Book" w:eastAsia="SimSun" w:hAnsi="Franklin Gothic Book" w:cstheme="minorBidi"/>
          <w:b w:val="0"/>
          <w:bCs w:val="0"/>
          <w:sz w:val="22"/>
          <w:szCs w:val="22"/>
        </w:rPr>
        <w:t xml:space="preserve"> a referring physician deems there is a clinical need.</w:t>
      </w:r>
    </w:p>
    <w:p w14:paraId="06563469" w14:textId="3FC1754B" w:rsidR="00F07C23" w:rsidRPr="00014684" w:rsidRDefault="00F07C23" w:rsidP="0001555C">
      <w:pPr>
        <w:pStyle w:val="Caption"/>
        <w:jc w:val="both"/>
      </w:pPr>
      <w:r w:rsidRPr="00014684">
        <w:t>Table </w:t>
      </w:r>
      <w:fldSimple w:instr=" SEQ Table \* ARABIC ">
        <w:r w:rsidR="00656985">
          <w:rPr>
            <w:noProof/>
          </w:rPr>
          <w:t>3</w:t>
        </w:r>
      </w:fldSimple>
      <w:r w:rsidRPr="00014684">
        <w:tab/>
        <w:t xml:space="preserve">Summary of existing </w:t>
      </w:r>
      <w:r w:rsidR="00B26CE5">
        <w:t>Medication management services</w:t>
      </w:r>
      <w:r w:rsidR="00B26CE5" w:rsidRPr="00014684">
        <w:t xml:space="preserve"> </w:t>
      </w:r>
      <w:r w:rsidRPr="00014684">
        <w:t>and fees</w:t>
      </w:r>
    </w:p>
    <w:tbl>
      <w:tblPr>
        <w:tblStyle w:val="TableGrid3"/>
        <w:tblW w:w="0" w:type="auto"/>
        <w:tblLook w:val="04A0" w:firstRow="1" w:lastRow="0" w:firstColumn="1" w:lastColumn="0" w:noHBand="0" w:noVBand="1"/>
      </w:tblPr>
      <w:tblGrid>
        <w:gridCol w:w="5382"/>
        <w:gridCol w:w="1559"/>
        <w:gridCol w:w="1984"/>
      </w:tblGrid>
      <w:tr w:rsidR="00F07C23" w:rsidRPr="00093F03" w14:paraId="711C264D" w14:textId="77777777" w:rsidTr="008C2079">
        <w:tc>
          <w:tcPr>
            <w:tcW w:w="5382" w:type="dxa"/>
          </w:tcPr>
          <w:p w14:paraId="1AAA417E" w14:textId="77777777" w:rsidR="00F07C23" w:rsidRPr="00093F03" w:rsidRDefault="00F07C23" w:rsidP="0001555C">
            <w:pPr>
              <w:spacing w:before="0"/>
              <w:jc w:val="both"/>
              <w:rPr>
                <w:rFonts w:ascii="Arial Narrow" w:hAnsi="Arial Narrow"/>
                <w:b/>
                <w:sz w:val="20"/>
                <w:szCs w:val="20"/>
              </w:rPr>
            </w:pPr>
            <w:r w:rsidRPr="00093F03">
              <w:rPr>
                <w:rFonts w:ascii="Arial Narrow" w:hAnsi="Arial Narrow"/>
                <w:b/>
                <w:sz w:val="20"/>
                <w:szCs w:val="20"/>
              </w:rPr>
              <w:t>Consultation</w:t>
            </w:r>
          </w:p>
        </w:tc>
        <w:tc>
          <w:tcPr>
            <w:tcW w:w="1559" w:type="dxa"/>
          </w:tcPr>
          <w:p w14:paraId="109F4343" w14:textId="77777777" w:rsidR="00F07C23" w:rsidRPr="00093F03" w:rsidRDefault="00F07C23" w:rsidP="0001555C">
            <w:pPr>
              <w:spacing w:before="0"/>
              <w:jc w:val="both"/>
              <w:rPr>
                <w:rFonts w:ascii="Arial Narrow" w:hAnsi="Arial Narrow"/>
                <w:b/>
                <w:sz w:val="20"/>
                <w:szCs w:val="20"/>
              </w:rPr>
            </w:pPr>
            <w:r w:rsidRPr="00093F03">
              <w:rPr>
                <w:rFonts w:ascii="Arial Narrow" w:hAnsi="Arial Narrow"/>
                <w:b/>
                <w:sz w:val="20"/>
                <w:szCs w:val="20"/>
              </w:rPr>
              <w:t>Mode</w:t>
            </w:r>
            <w:r w:rsidR="00DD4401">
              <w:rPr>
                <w:rFonts w:ascii="Arial Narrow" w:hAnsi="Arial Narrow"/>
                <w:b/>
                <w:sz w:val="20"/>
                <w:szCs w:val="20"/>
              </w:rPr>
              <w:t>*</w:t>
            </w:r>
          </w:p>
        </w:tc>
        <w:tc>
          <w:tcPr>
            <w:tcW w:w="1984" w:type="dxa"/>
          </w:tcPr>
          <w:p w14:paraId="48E41591" w14:textId="77777777" w:rsidR="00F07C23" w:rsidRPr="00093F03" w:rsidRDefault="00F07C23" w:rsidP="0001555C">
            <w:pPr>
              <w:spacing w:before="0"/>
              <w:jc w:val="both"/>
              <w:rPr>
                <w:rFonts w:ascii="Arial Narrow" w:hAnsi="Arial Narrow"/>
                <w:b/>
                <w:sz w:val="20"/>
                <w:szCs w:val="20"/>
              </w:rPr>
            </w:pPr>
            <w:r w:rsidRPr="00093F03">
              <w:rPr>
                <w:rFonts w:ascii="Arial Narrow" w:hAnsi="Arial Narrow"/>
                <w:b/>
                <w:sz w:val="20"/>
                <w:szCs w:val="20"/>
              </w:rPr>
              <w:t>Fee</w:t>
            </w:r>
            <w:r>
              <w:rPr>
                <w:rFonts w:ascii="Arial Narrow" w:hAnsi="Arial Narrow"/>
                <w:b/>
                <w:sz w:val="20"/>
                <w:szCs w:val="20"/>
              </w:rPr>
              <w:t xml:space="preserve"> (in 2022)</w:t>
            </w:r>
          </w:p>
        </w:tc>
      </w:tr>
      <w:tr w:rsidR="00F07C23" w:rsidRPr="00093F03" w14:paraId="511FBD73" w14:textId="77777777" w:rsidTr="008C2079">
        <w:tc>
          <w:tcPr>
            <w:tcW w:w="5382" w:type="dxa"/>
          </w:tcPr>
          <w:p w14:paraId="5FF654E0" w14:textId="77777777" w:rsidR="00F07C23" w:rsidRPr="00097F66" w:rsidRDefault="00F07C23" w:rsidP="0001555C">
            <w:pPr>
              <w:spacing w:before="0"/>
              <w:jc w:val="both"/>
              <w:rPr>
                <w:rFonts w:ascii="Arial Narrow" w:hAnsi="Arial Narrow"/>
                <w:sz w:val="20"/>
              </w:rPr>
            </w:pPr>
            <w:r w:rsidRPr="00097F66">
              <w:rPr>
                <w:rFonts w:ascii="Arial Narrow" w:hAnsi="Arial Narrow"/>
                <w:sz w:val="20"/>
              </w:rPr>
              <w:t>Initial MedsCheck</w:t>
            </w:r>
          </w:p>
        </w:tc>
        <w:tc>
          <w:tcPr>
            <w:tcW w:w="1559" w:type="dxa"/>
          </w:tcPr>
          <w:p w14:paraId="08230DCA" w14:textId="77777777" w:rsidR="00F07C23" w:rsidRPr="00093F03" w:rsidRDefault="00F07C23" w:rsidP="0001555C">
            <w:pPr>
              <w:spacing w:before="0"/>
              <w:jc w:val="both"/>
              <w:rPr>
                <w:rFonts w:ascii="Arial Narrow" w:hAnsi="Arial Narrow"/>
                <w:sz w:val="20"/>
                <w:szCs w:val="20"/>
              </w:rPr>
            </w:pPr>
            <w:r w:rsidRPr="00093F03">
              <w:rPr>
                <w:rFonts w:ascii="Arial Narrow" w:hAnsi="Arial Narrow"/>
                <w:sz w:val="20"/>
                <w:szCs w:val="20"/>
              </w:rPr>
              <w:t>Face-to-face</w:t>
            </w:r>
          </w:p>
        </w:tc>
        <w:tc>
          <w:tcPr>
            <w:tcW w:w="1984" w:type="dxa"/>
          </w:tcPr>
          <w:p w14:paraId="43D4ADE3" w14:textId="77777777" w:rsidR="00F07C23" w:rsidRPr="00093F03" w:rsidRDefault="00F07C23" w:rsidP="0001555C">
            <w:pPr>
              <w:spacing w:before="0"/>
              <w:jc w:val="both"/>
              <w:rPr>
                <w:rFonts w:ascii="Arial Narrow" w:hAnsi="Arial Narrow"/>
                <w:sz w:val="20"/>
                <w:szCs w:val="20"/>
              </w:rPr>
            </w:pPr>
            <w:r w:rsidRPr="00093F03">
              <w:rPr>
                <w:rFonts w:ascii="Arial Narrow" w:hAnsi="Arial Narrow"/>
                <w:sz w:val="20"/>
                <w:szCs w:val="20"/>
              </w:rPr>
              <w:t>$</w:t>
            </w:r>
            <w:r>
              <w:rPr>
                <w:rFonts w:ascii="Arial Narrow" w:hAnsi="Arial Narrow"/>
                <w:sz w:val="20"/>
                <w:szCs w:val="20"/>
              </w:rPr>
              <w:t>66</w:t>
            </w:r>
            <w:r w:rsidRPr="00093F03">
              <w:rPr>
                <w:rFonts w:ascii="Arial Narrow" w:hAnsi="Arial Narrow"/>
                <w:sz w:val="20"/>
                <w:szCs w:val="20"/>
              </w:rPr>
              <w:t>.</w:t>
            </w:r>
            <w:r>
              <w:rPr>
                <w:rFonts w:ascii="Arial Narrow" w:hAnsi="Arial Narrow"/>
                <w:sz w:val="20"/>
                <w:szCs w:val="20"/>
              </w:rPr>
              <w:t>53</w:t>
            </w:r>
          </w:p>
        </w:tc>
      </w:tr>
      <w:tr w:rsidR="00F07C23" w:rsidRPr="00093F03" w14:paraId="1E3E53A3" w14:textId="77777777" w:rsidTr="008C2079">
        <w:tc>
          <w:tcPr>
            <w:tcW w:w="5382" w:type="dxa"/>
          </w:tcPr>
          <w:p w14:paraId="49B3B267" w14:textId="77777777" w:rsidR="00F07C23" w:rsidRPr="00097F66" w:rsidRDefault="00F07C23" w:rsidP="0001555C">
            <w:pPr>
              <w:spacing w:before="0"/>
              <w:jc w:val="both"/>
              <w:rPr>
                <w:rFonts w:ascii="Arial Narrow" w:hAnsi="Arial Narrow"/>
                <w:sz w:val="20"/>
              </w:rPr>
            </w:pPr>
            <w:r w:rsidRPr="00097F66">
              <w:rPr>
                <w:rFonts w:ascii="Arial Narrow" w:hAnsi="Arial Narrow"/>
                <w:sz w:val="20"/>
              </w:rPr>
              <w:t>Initial Diabetes MedsCheck</w:t>
            </w:r>
          </w:p>
        </w:tc>
        <w:tc>
          <w:tcPr>
            <w:tcW w:w="1559" w:type="dxa"/>
          </w:tcPr>
          <w:p w14:paraId="0DCFFA27" w14:textId="77777777" w:rsidR="00F07C23" w:rsidRPr="00093F03" w:rsidRDefault="00F07C23" w:rsidP="0001555C">
            <w:pPr>
              <w:spacing w:before="0"/>
              <w:jc w:val="both"/>
              <w:rPr>
                <w:rFonts w:ascii="Arial Narrow" w:hAnsi="Arial Narrow"/>
                <w:sz w:val="20"/>
                <w:szCs w:val="20"/>
              </w:rPr>
            </w:pPr>
            <w:r w:rsidRPr="00093F03">
              <w:rPr>
                <w:rFonts w:ascii="Arial Narrow" w:hAnsi="Arial Narrow"/>
                <w:sz w:val="20"/>
                <w:szCs w:val="20"/>
              </w:rPr>
              <w:t>Face-to-face</w:t>
            </w:r>
          </w:p>
        </w:tc>
        <w:tc>
          <w:tcPr>
            <w:tcW w:w="1984" w:type="dxa"/>
          </w:tcPr>
          <w:p w14:paraId="7EBC70BF" w14:textId="77777777" w:rsidR="00F07C23" w:rsidRPr="00093F03" w:rsidRDefault="00F07C23" w:rsidP="0001555C">
            <w:pPr>
              <w:spacing w:before="0"/>
              <w:jc w:val="both"/>
              <w:rPr>
                <w:rFonts w:ascii="Arial Narrow" w:hAnsi="Arial Narrow"/>
                <w:sz w:val="20"/>
                <w:szCs w:val="20"/>
              </w:rPr>
            </w:pPr>
            <w:r w:rsidRPr="00093F03">
              <w:rPr>
                <w:rFonts w:ascii="Arial Narrow" w:hAnsi="Arial Narrow"/>
                <w:sz w:val="20"/>
                <w:szCs w:val="20"/>
              </w:rPr>
              <w:t>$</w:t>
            </w:r>
            <w:r>
              <w:rPr>
                <w:rFonts w:ascii="Arial Narrow" w:hAnsi="Arial Narrow"/>
                <w:sz w:val="20"/>
                <w:szCs w:val="20"/>
              </w:rPr>
              <w:t>99.79</w:t>
            </w:r>
          </w:p>
        </w:tc>
      </w:tr>
      <w:tr w:rsidR="00DD4401" w:rsidRPr="00093F03" w14:paraId="59DB6D38" w14:textId="77777777" w:rsidTr="008C2079">
        <w:tc>
          <w:tcPr>
            <w:tcW w:w="5382" w:type="dxa"/>
          </w:tcPr>
          <w:p w14:paraId="0B74900B" w14:textId="77777777" w:rsidR="00DD4401" w:rsidRPr="00DD4401" w:rsidRDefault="00DD4401" w:rsidP="003D38AC">
            <w:pPr>
              <w:spacing w:before="0"/>
              <w:jc w:val="both"/>
              <w:rPr>
                <w:rFonts w:ascii="Arial Narrow" w:hAnsi="Arial Narrow"/>
                <w:sz w:val="20"/>
                <w:szCs w:val="20"/>
              </w:rPr>
            </w:pPr>
            <w:r w:rsidRPr="00DD4401">
              <w:rPr>
                <w:rFonts w:ascii="Arial Narrow" w:hAnsi="Arial Narrow"/>
                <w:sz w:val="20"/>
                <w:szCs w:val="20"/>
              </w:rPr>
              <w:t>Initial Home Medicines Review</w:t>
            </w:r>
          </w:p>
        </w:tc>
        <w:tc>
          <w:tcPr>
            <w:tcW w:w="1559" w:type="dxa"/>
          </w:tcPr>
          <w:p w14:paraId="11C6A9ED" w14:textId="77777777" w:rsidR="00DD4401" w:rsidRPr="00093F03" w:rsidRDefault="00DD4401" w:rsidP="003D38AC">
            <w:pPr>
              <w:spacing w:before="0"/>
              <w:jc w:val="both"/>
              <w:rPr>
                <w:rFonts w:ascii="Arial Narrow" w:hAnsi="Arial Narrow"/>
                <w:sz w:val="20"/>
                <w:szCs w:val="20"/>
              </w:rPr>
            </w:pPr>
            <w:r w:rsidRPr="00093F03">
              <w:rPr>
                <w:rFonts w:ascii="Arial Narrow" w:hAnsi="Arial Narrow"/>
                <w:sz w:val="20"/>
                <w:szCs w:val="20"/>
              </w:rPr>
              <w:t>Face-to-face</w:t>
            </w:r>
          </w:p>
        </w:tc>
        <w:tc>
          <w:tcPr>
            <w:tcW w:w="1984" w:type="dxa"/>
          </w:tcPr>
          <w:p w14:paraId="0D7197DB" w14:textId="77777777" w:rsidR="00DD4401" w:rsidRPr="00093F03" w:rsidRDefault="00DD4401" w:rsidP="003D38AC">
            <w:pPr>
              <w:spacing w:before="0"/>
              <w:jc w:val="both"/>
              <w:rPr>
                <w:rFonts w:ascii="Arial Narrow" w:hAnsi="Arial Narrow"/>
                <w:sz w:val="20"/>
                <w:szCs w:val="20"/>
              </w:rPr>
            </w:pPr>
            <w:r>
              <w:rPr>
                <w:rFonts w:ascii="Arial Narrow" w:hAnsi="Arial Narrow"/>
                <w:sz w:val="20"/>
                <w:szCs w:val="20"/>
              </w:rPr>
              <w:t>$222.77</w:t>
            </w:r>
          </w:p>
        </w:tc>
      </w:tr>
      <w:tr w:rsidR="00DD4401" w:rsidRPr="00093F03" w14:paraId="2C4565FE" w14:textId="77777777" w:rsidTr="008C2079">
        <w:tc>
          <w:tcPr>
            <w:tcW w:w="5382" w:type="dxa"/>
          </w:tcPr>
          <w:p w14:paraId="51F9F42E" w14:textId="6D9F2DC2" w:rsidR="00DD4401" w:rsidRPr="00DD4401" w:rsidRDefault="00DD4401" w:rsidP="003D38AC">
            <w:pPr>
              <w:spacing w:before="0"/>
              <w:jc w:val="both"/>
              <w:rPr>
                <w:rFonts w:ascii="Arial Narrow" w:hAnsi="Arial Narrow"/>
                <w:sz w:val="20"/>
                <w:szCs w:val="20"/>
              </w:rPr>
            </w:pPr>
            <w:r w:rsidRPr="00DD4401">
              <w:rPr>
                <w:rFonts w:ascii="Arial Narrow" w:hAnsi="Arial Narrow"/>
                <w:sz w:val="20"/>
                <w:szCs w:val="20"/>
              </w:rPr>
              <w:t xml:space="preserve">First </w:t>
            </w:r>
            <w:r w:rsidR="00DB50F9">
              <w:rPr>
                <w:rFonts w:ascii="Arial Narrow" w:hAnsi="Arial Narrow"/>
                <w:sz w:val="20"/>
                <w:szCs w:val="20"/>
              </w:rPr>
              <w:t xml:space="preserve">follow-up </w:t>
            </w:r>
            <w:r w:rsidRPr="00DD4401">
              <w:rPr>
                <w:rFonts w:ascii="Arial Narrow" w:hAnsi="Arial Narrow"/>
                <w:sz w:val="20"/>
                <w:szCs w:val="20"/>
              </w:rPr>
              <w:t>Home Medicines Review</w:t>
            </w:r>
          </w:p>
        </w:tc>
        <w:tc>
          <w:tcPr>
            <w:tcW w:w="1559" w:type="dxa"/>
          </w:tcPr>
          <w:p w14:paraId="7D1965B2" w14:textId="77777777" w:rsidR="00DD4401" w:rsidRPr="00093F03" w:rsidRDefault="00DD4401" w:rsidP="003D38AC">
            <w:pPr>
              <w:spacing w:before="0"/>
              <w:jc w:val="both"/>
              <w:rPr>
                <w:rFonts w:ascii="Arial Narrow" w:hAnsi="Arial Narrow"/>
                <w:sz w:val="20"/>
                <w:szCs w:val="20"/>
              </w:rPr>
            </w:pPr>
            <w:r w:rsidRPr="00093F03">
              <w:rPr>
                <w:rFonts w:ascii="Arial Narrow" w:hAnsi="Arial Narrow"/>
                <w:sz w:val="20"/>
                <w:szCs w:val="20"/>
              </w:rPr>
              <w:t>Face-to-face</w:t>
            </w:r>
          </w:p>
        </w:tc>
        <w:tc>
          <w:tcPr>
            <w:tcW w:w="1984" w:type="dxa"/>
          </w:tcPr>
          <w:p w14:paraId="525F4776" w14:textId="77777777" w:rsidR="00DD4401" w:rsidRDefault="00DD4401" w:rsidP="003D38AC">
            <w:pPr>
              <w:spacing w:before="0"/>
              <w:jc w:val="both"/>
              <w:rPr>
                <w:rFonts w:ascii="Arial Narrow" w:hAnsi="Arial Narrow"/>
                <w:sz w:val="20"/>
                <w:szCs w:val="20"/>
              </w:rPr>
            </w:pPr>
            <w:r>
              <w:rPr>
                <w:rFonts w:ascii="Arial Narrow" w:hAnsi="Arial Narrow"/>
                <w:sz w:val="20"/>
                <w:szCs w:val="20"/>
              </w:rPr>
              <w:t>$111.39</w:t>
            </w:r>
          </w:p>
        </w:tc>
      </w:tr>
      <w:tr w:rsidR="00DD4401" w:rsidRPr="00093F03" w14:paraId="440B9E5F" w14:textId="77777777" w:rsidTr="008C2079">
        <w:tc>
          <w:tcPr>
            <w:tcW w:w="5382" w:type="dxa"/>
          </w:tcPr>
          <w:p w14:paraId="7D6678DE" w14:textId="0EAB68C3" w:rsidR="00DD4401" w:rsidRPr="00DD4401" w:rsidRDefault="00DD4401" w:rsidP="003D38AC">
            <w:pPr>
              <w:spacing w:before="0"/>
              <w:jc w:val="both"/>
              <w:rPr>
                <w:rFonts w:ascii="Arial Narrow" w:hAnsi="Arial Narrow"/>
                <w:sz w:val="20"/>
                <w:szCs w:val="20"/>
              </w:rPr>
            </w:pPr>
            <w:r w:rsidRPr="00DD4401">
              <w:rPr>
                <w:rFonts w:ascii="Arial Narrow" w:hAnsi="Arial Narrow"/>
                <w:sz w:val="20"/>
                <w:szCs w:val="20"/>
              </w:rPr>
              <w:t xml:space="preserve">Second </w:t>
            </w:r>
            <w:r w:rsidR="00DB50F9">
              <w:rPr>
                <w:rFonts w:ascii="Arial Narrow" w:hAnsi="Arial Narrow"/>
                <w:sz w:val="20"/>
                <w:szCs w:val="20"/>
              </w:rPr>
              <w:t xml:space="preserve">follow-up </w:t>
            </w:r>
            <w:r w:rsidRPr="00DD4401">
              <w:rPr>
                <w:rFonts w:ascii="Arial Narrow" w:hAnsi="Arial Narrow"/>
                <w:sz w:val="20"/>
                <w:szCs w:val="20"/>
              </w:rPr>
              <w:t>Home Medicines Review</w:t>
            </w:r>
          </w:p>
        </w:tc>
        <w:tc>
          <w:tcPr>
            <w:tcW w:w="1559" w:type="dxa"/>
          </w:tcPr>
          <w:p w14:paraId="5F37D44F" w14:textId="77777777" w:rsidR="00DD4401" w:rsidRPr="00093F03" w:rsidRDefault="00DD4401" w:rsidP="003D38AC">
            <w:pPr>
              <w:spacing w:before="0"/>
              <w:jc w:val="both"/>
              <w:rPr>
                <w:rFonts w:ascii="Arial Narrow" w:hAnsi="Arial Narrow"/>
                <w:sz w:val="20"/>
                <w:szCs w:val="20"/>
              </w:rPr>
            </w:pPr>
            <w:r w:rsidRPr="00093F03">
              <w:rPr>
                <w:rFonts w:ascii="Arial Narrow" w:hAnsi="Arial Narrow"/>
                <w:sz w:val="20"/>
                <w:szCs w:val="20"/>
              </w:rPr>
              <w:t>Face-to-face</w:t>
            </w:r>
          </w:p>
        </w:tc>
        <w:tc>
          <w:tcPr>
            <w:tcW w:w="1984" w:type="dxa"/>
          </w:tcPr>
          <w:p w14:paraId="7BD8B7AF" w14:textId="77777777" w:rsidR="00DD4401" w:rsidRDefault="00DD4401" w:rsidP="003D38AC">
            <w:pPr>
              <w:spacing w:before="0"/>
              <w:jc w:val="both"/>
              <w:rPr>
                <w:rFonts w:ascii="Arial Narrow" w:hAnsi="Arial Narrow"/>
                <w:sz w:val="20"/>
                <w:szCs w:val="20"/>
              </w:rPr>
            </w:pPr>
            <w:r>
              <w:rPr>
                <w:rFonts w:ascii="Arial Narrow" w:hAnsi="Arial Narrow"/>
                <w:sz w:val="20"/>
                <w:szCs w:val="20"/>
              </w:rPr>
              <w:t>$55.70</w:t>
            </w:r>
          </w:p>
        </w:tc>
      </w:tr>
    </w:tbl>
    <w:p w14:paraId="1495761C" w14:textId="77777777" w:rsidR="008633DE" w:rsidRDefault="00431366" w:rsidP="008633DE">
      <w:pPr>
        <w:pStyle w:val="Instructionaltext"/>
        <w:keepNext/>
        <w:tabs>
          <w:tab w:val="left" w:pos="2172"/>
        </w:tabs>
        <w:spacing w:before="0" w:after="0"/>
        <w:jc w:val="both"/>
        <w:rPr>
          <w:rStyle w:val="Hyperlink"/>
          <w:rFonts w:ascii="Arial Narrow" w:hAnsi="Arial Narrow"/>
          <w:sz w:val="18"/>
          <w:szCs w:val="20"/>
          <w:u w:val="none"/>
        </w:rPr>
      </w:pPr>
      <w:r w:rsidRPr="00431366">
        <w:rPr>
          <w:rFonts w:ascii="Arial Narrow" w:hAnsi="Arial Narrow"/>
          <w:color w:val="auto"/>
          <w:sz w:val="18"/>
          <w:szCs w:val="20"/>
        </w:rPr>
        <w:t>Source</w:t>
      </w:r>
      <w:r w:rsidRPr="006916A3">
        <w:rPr>
          <w:rFonts w:ascii="Arial Narrow" w:hAnsi="Arial Narrow"/>
          <w:i/>
          <w:color w:val="auto"/>
          <w:sz w:val="18"/>
          <w:szCs w:val="20"/>
        </w:rPr>
        <w:t>:</w:t>
      </w:r>
      <w:r w:rsidR="006916A3" w:rsidRPr="006916A3">
        <w:rPr>
          <w:rFonts w:ascii="Arial Narrow" w:hAnsi="Arial Narrow"/>
          <w:i/>
          <w:color w:val="auto"/>
          <w:sz w:val="18"/>
          <w:szCs w:val="20"/>
        </w:rPr>
        <w:t xml:space="preserve"> </w:t>
      </w:r>
      <w:r w:rsidR="006916A3" w:rsidRPr="006916A3">
        <w:rPr>
          <w:rFonts w:ascii="Arial Narrow" w:hAnsi="Arial Narrow"/>
          <w:color w:val="auto"/>
          <w:sz w:val="18"/>
        </w:rPr>
        <w:t>compiled during the evaluation using information from</w:t>
      </w:r>
      <w:r w:rsidRPr="006916A3">
        <w:rPr>
          <w:rFonts w:ascii="Arial Narrow" w:hAnsi="Arial Narrow"/>
          <w:i/>
          <w:color w:val="auto"/>
          <w:sz w:val="18"/>
          <w:szCs w:val="20"/>
        </w:rPr>
        <w:t xml:space="preserve"> </w:t>
      </w:r>
      <w:hyperlink r:id="rId16" w:history="1">
        <w:r w:rsidR="00BA3680" w:rsidRPr="00BA3680">
          <w:rPr>
            <w:rStyle w:val="Hyperlink"/>
            <w:rFonts w:ascii="Arial Narrow" w:hAnsi="Arial Narrow"/>
            <w:sz w:val="18"/>
            <w:szCs w:val="20"/>
          </w:rPr>
          <w:t>Pharmacy Programs Administrator</w:t>
        </w:r>
      </w:hyperlink>
      <w:r w:rsidR="00DD4401" w:rsidRPr="00E821BF">
        <w:rPr>
          <w:rStyle w:val="Hyperlink"/>
          <w:rFonts w:ascii="Arial Narrow" w:hAnsi="Arial Narrow"/>
          <w:sz w:val="18"/>
          <w:szCs w:val="20"/>
          <w:u w:val="none"/>
        </w:rPr>
        <w:t xml:space="preserve"> </w:t>
      </w:r>
    </w:p>
    <w:p w14:paraId="2CA00B3C" w14:textId="12DBC807" w:rsidR="008633DE" w:rsidRDefault="008633DE" w:rsidP="008633DE">
      <w:pPr>
        <w:pStyle w:val="Instructionaltext"/>
        <w:keepNext/>
        <w:tabs>
          <w:tab w:val="left" w:pos="2172"/>
        </w:tabs>
        <w:spacing w:before="0" w:after="0"/>
        <w:jc w:val="both"/>
        <w:rPr>
          <w:rStyle w:val="Hyperlink"/>
          <w:rFonts w:ascii="Arial Narrow" w:hAnsi="Arial Narrow"/>
          <w:sz w:val="18"/>
          <w:szCs w:val="20"/>
        </w:rPr>
      </w:pPr>
      <w:r w:rsidRPr="00E821BF">
        <w:rPr>
          <w:rFonts w:ascii="Arial Narrow" w:hAnsi="Arial Narrow"/>
          <w:color w:val="auto"/>
          <w:sz w:val="18"/>
          <w:szCs w:val="20"/>
        </w:rPr>
        <w:t>*</w:t>
      </w:r>
      <w:r>
        <w:rPr>
          <w:rFonts w:ascii="Arial Narrow" w:hAnsi="Arial Narrow"/>
          <w:color w:val="auto"/>
          <w:sz w:val="18"/>
          <w:szCs w:val="20"/>
        </w:rPr>
        <w:t>Since April 2020, temporary arrangements for COVID-19 allow eligible patients to access these services via telehealth.</w:t>
      </w:r>
    </w:p>
    <w:p w14:paraId="212C1109" w14:textId="00950C21" w:rsidR="00762D72" w:rsidRPr="002E6226" w:rsidRDefault="00762D72" w:rsidP="00C7722F">
      <w:pPr>
        <w:pStyle w:val="Instructionaltext"/>
        <w:keepNext/>
        <w:tabs>
          <w:tab w:val="left" w:pos="2172"/>
        </w:tabs>
        <w:spacing w:before="240"/>
        <w:rPr>
          <w:rFonts w:ascii="Arial Narrow" w:hAnsi="Arial Narrow"/>
          <w:color w:val="auto"/>
          <w:sz w:val="18"/>
          <w:szCs w:val="20"/>
        </w:rPr>
      </w:pPr>
      <w:r w:rsidRPr="002E6226">
        <w:rPr>
          <w:color w:val="auto"/>
        </w:rPr>
        <w:t xml:space="preserve">The current medication management programs </w:t>
      </w:r>
      <w:r w:rsidR="002028B5" w:rsidRPr="002E6226">
        <w:rPr>
          <w:color w:val="auto"/>
        </w:rPr>
        <w:t>(Table 3) do not have an indicative duration</w:t>
      </w:r>
      <w:r w:rsidRPr="002E6226">
        <w:rPr>
          <w:color w:val="auto"/>
        </w:rPr>
        <w:t>. Table 4 presents relevant MBS fees for general practitioner consultation</w:t>
      </w:r>
      <w:r w:rsidR="002028B5" w:rsidRPr="002E6226">
        <w:rPr>
          <w:color w:val="auto"/>
        </w:rPr>
        <w:t xml:space="preserve"> for similar chronic pain management</w:t>
      </w:r>
      <w:r w:rsidRPr="002E6226">
        <w:rPr>
          <w:color w:val="auto"/>
        </w:rPr>
        <w:t>.</w:t>
      </w:r>
    </w:p>
    <w:p w14:paraId="7932EA64" w14:textId="0A9440E6" w:rsidR="00F07C23" w:rsidRPr="002E6226" w:rsidRDefault="00F07C23" w:rsidP="0001555C">
      <w:pPr>
        <w:pStyle w:val="Caption"/>
        <w:jc w:val="both"/>
      </w:pPr>
      <w:r w:rsidRPr="002E6226">
        <w:t>Table </w:t>
      </w:r>
      <w:fldSimple w:instr=" SEQ Table \* ARABIC ">
        <w:r w:rsidR="00656985">
          <w:rPr>
            <w:noProof/>
          </w:rPr>
          <w:t>4</w:t>
        </w:r>
      </w:fldSimple>
      <w:r w:rsidRPr="002E6226">
        <w:tab/>
        <w:t>MBS fees for relevant consultation items</w:t>
      </w:r>
      <w:r w:rsidR="00C346FC" w:rsidRPr="002E6226">
        <w:t xml:space="preserve"> (general practitioners)</w:t>
      </w:r>
    </w:p>
    <w:tbl>
      <w:tblPr>
        <w:tblStyle w:val="TableGrid3"/>
        <w:tblW w:w="9066" w:type="dxa"/>
        <w:tblLayout w:type="fixed"/>
        <w:tblLook w:val="04A0" w:firstRow="1" w:lastRow="0" w:firstColumn="1" w:lastColumn="0" w:noHBand="0" w:noVBand="1"/>
      </w:tblPr>
      <w:tblGrid>
        <w:gridCol w:w="988"/>
        <w:gridCol w:w="5244"/>
        <w:gridCol w:w="993"/>
        <w:gridCol w:w="992"/>
        <w:gridCol w:w="849"/>
      </w:tblGrid>
      <w:tr w:rsidR="00097F66" w:rsidRPr="00800F8E" w14:paraId="75338480" w14:textId="77777777" w:rsidTr="004D08BB">
        <w:trPr>
          <w:tblHeader/>
        </w:trPr>
        <w:tc>
          <w:tcPr>
            <w:tcW w:w="988" w:type="dxa"/>
          </w:tcPr>
          <w:p w14:paraId="2C0B4BC9" w14:textId="77777777" w:rsidR="00097F66" w:rsidRPr="002E6226" w:rsidRDefault="00097F66" w:rsidP="00D91580">
            <w:pPr>
              <w:spacing w:before="0"/>
              <w:jc w:val="both"/>
              <w:rPr>
                <w:rFonts w:ascii="Arial Narrow" w:hAnsi="Arial Narrow"/>
                <w:b/>
                <w:sz w:val="20"/>
                <w:szCs w:val="20"/>
              </w:rPr>
            </w:pPr>
            <w:r w:rsidRPr="002E6226">
              <w:rPr>
                <w:rFonts w:ascii="Arial Narrow" w:hAnsi="Arial Narrow"/>
                <w:b/>
                <w:sz w:val="20"/>
                <w:szCs w:val="20"/>
              </w:rPr>
              <w:t>MBS item</w:t>
            </w:r>
          </w:p>
        </w:tc>
        <w:tc>
          <w:tcPr>
            <w:tcW w:w="5244" w:type="dxa"/>
          </w:tcPr>
          <w:p w14:paraId="48672128" w14:textId="77777777" w:rsidR="00097F66" w:rsidRPr="002E6226" w:rsidRDefault="00097F66" w:rsidP="00D91580">
            <w:pPr>
              <w:spacing w:before="0"/>
              <w:jc w:val="both"/>
              <w:rPr>
                <w:rFonts w:ascii="Arial Narrow" w:hAnsi="Arial Narrow"/>
                <w:b/>
                <w:sz w:val="20"/>
                <w:szCs w:val="20"/>
              </w:rPr>
            </w:pPr>
            <w:r w:rsidRPr="002E6226">
              <w:rPr>
                <w:rFonts w:ascii="Arial Narrow" w:hAnsi="Arial Narrow"/>
                <w:b/>
                <w:sz w:val="20"/>
                <w:szCs w:val="20"/>
              </w:rPr>
              <w:t>Consultation</w:t>
            </w:r>
          </w:p>
        </w:tc>
        <w:tc>
          <w:tcPr>
            <w:tcW w:w="993" w:type="dxa"/>
          </w:tcPr>
          <w:p w14:paraId="376FCBC8" w14:textId="77777777" w:rsidR="00097F66" w:rsidRPr="002E6226" w:rsidRDefault="00097F66" w:rsidP="00D91580">
            <w:pPr>
              <w:spacing w:before="0"/>
              <w:jc w:val="both"/>
              <w:rPr>
                <w:rFonts w:ascii="Arial Narrow" w:hAnsi="Arial Narrow"/>
                <w:b/>
                <w:sz w:val="20"/>
                <w:szCs w:val="20"/>
              </w:rPr>
            </w:pPr>
            <w:r w:rsidRPr="002E6226">
              <w:rPr>
                <w:rFonts w:ascii="Arial Narrow" w:hAnsi="Arial Narrow"/>
                <w:b/>
                <w:sz w:val="20"/>
                <w:szCs w:val="20"/>
              </w:rPr>
              <w:t>Mode</w:t>
            </w:r>
          </w:p>
        </w:tc>
        <w:tc>
          <w:tcPr>
            <w:tcW w:w="992" w:type="dxa"/>
          </w:tcPr>
          <w:p w14:paraId="56E97FBC" w14:textId="77777777" w:rsidR="00097F66" w:rsidRPr="002E6226" w:rsidRDefault="00097F66" w:rsidP="00D91580">
            <w:pPr>
              <w:spacing w:before="0"/>
              <w:jc w:val="both"/>
              <w:rPr>
                <w:rFonts w:ascii="Arial Narrow" w:hAnsi="Arial Narrow"/>
                <w:b/>
                <w:sz w:val="20"/>
                <w:szCs w:val="20"/>
              </w:rPr>
            </w:pPr>
            <w:r w:rsidRPr="002E6226">
              <w:rPr>
                <w:rFonts w:ascii="Arial Narrow" w:hAnsi="Arial Narrow"/>
                <w:b/>
                <w:sz w:val="20"/>
                <w:szCs w:val="20"/>
              </w:rPr>
              <w:t>Duration (mins)</w:t>
            </w:r>
          </w:p>
        </w:tc>
        <w:tc>
          <w:tcPr>
            <w:tcW w:w="849" w:type="dxa"/>
          </w:tcPr>
          <w:p w14:paraId="56D64575" w14:textId="77777777" w:rsidR="00097F66" w:rsidRPr="002E6226" w:rsidRDefault="00097F66" w:rsidP="00D91580">
            <w:pPr>
              <w:spacing w:before="0"/>
              <w:jc w:val="both"/>
              <w:rPr>
                <w:rFonts w:ascii="Arial Narrow" w:hAnsi="Arial Narrow"/>
                <w:b/>
                <w:sz w:val="20"/>
                <w:szCs w:val="20"/>
              </w:rPr>
            </w:pPr>
            <w:r w:rsidRPr="002E6226">
              <w:rPr>
                <w:rFonts w:ascii="Arial Narrow" w:hAnsi="Arial Narrow"/>
                <w:b/>
                <w:sz w:val="20"/>
                <w:szCs w:val="20"/>
              </w:rPr>
              <w:t>Fee (in 2022)</w:t>
            </w:r>
          </w:p>
        </w:tc>
      </w:tr>
      <w:tr w:rsidR="00097F66" w:rsidRPr="00800F8E" w14:paraId="31773972" w14:textId="77777777" w:rsidTr="00C8750F">
        <w:tc>
          <w:tcPr>
            <w:tcW w:w="988" w:type="dxa"/>
          </w:tcPr>
          <w:p w14:paraId="546F0B06"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23</w:t>
            </w:r>
          </w:p>
        </w:tc>
        <w:tc>
          <w:tcPr>
            <w:tcW w:w="5244" w:type="dxa"/>
          </w:tcPr>
          <w:p w14:paraId="4306CE01"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Professional attendance by a general practitioner at consulting rooms including any of the following that are clinically relevant:</w:t>
            </w:r>
          </w:p>
          <w:p w14:paraId="7719DA9F"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(a) taking a patient history;</w:t>
            </w:r>
          </w:p>
          <w:p w14:paraId="35E4F2EF"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(b) performing a clinical examination;</w:t>
            </w:r>
          </w:p>
          <w:p w14:paraId="2B488754"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(c) arranging any necessary investigation;</w:t>
            </w:r>
          </w:p>
          <w:p w14:paraId="187C6674"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(d) implementing a management plan;</w:t>
            </w:r>
          </w:p>
          <w:p w14:paraId="777327CF"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(e) providing appropriate preventive health care;</w:t>
            </w:r>
          </w:p>
          <w:p w14:paraId="17CB2ED5"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for one or more health-related issues, with appropriate documentation-each attendance</w:t>
            </w:r>
          </w:p>
        </w:tc>
        <w:tc>
          <w:tcPr>
            <w:tcW w:w="993" w:type="dxa"/>
          </w:tcPr>
          <w:p w14:paraId="68D053F4"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Face-to-face</w:t>
            </w:r>
          </w:p>
        </w:tc>
        <w:tc>
          <w:tcPr>
            <w:tcW w:w="992" w:type="dxa"/>
          </w:tcPr>
          <w:p w14:paraId="1B31A8C9"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&lt;20</w:t>
            </w:r>
          </w:p>
        </w:tc>
        <w:tc>
          <w:tcPr>
            <w:tcW w:w="849" w:type="dxa"/>
          </w:tcPr>
          <w:p w14:paraId="5B24E522"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$39.10</w:t>
            </w:r>
          </w:p>
        </w:tc>
      </w:tr>
      <w:tr w:rsidR="00097F66" w:rsidRPr="00800F8E" w14:paraId="2071FECA" w14:textId="77777777" w:rsidTr="00C8750F">
        <w:tc>
          <w:tcPr>
            <w:tcW w:w="988" w:type="dxa"/>
          </w:tcPr>
          <w:p w14:paraId="45E39A10"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36</w:t>
            </w:r>
          </w:p>
        </w:tc>
        <w:tc>
          <w:tcPr>
            <w:tcW w:w="5244" w:type="dxa"/>
          </w:tcPr>
          <w:p w14:paraId="479A34E0"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Professional attendance by a general practitioner at consulting rooms including any of the following that are clinically relevant:</w:t>
            </w:r>
          </w:p>
          <w:p w14:paraId="01EB3FC8"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(a) taking a detailed patient history;</w:t>
            </w:r>
          </w:p>
          <w:p w14:paraId="38FA9D4B"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(b) performing a clinical examination;</w:t>
            </w:r>
          </w:p>
          <w:p w14:paraId="01712496"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(c) arranging any necessary investigation;</w:t>
            </w:r>
          </w:p>
          <w:p w14:paraId="6C954CE8"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(d) implementing a management plan;</w:t>
            </w:r>
          </w:p>
          <w:p w14:paraId="36B445E3"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(e) providing appropriate preventive health care;</w:t>
            </w:r>
          </w:p>
          <w:p w14:paraId="3CE9E02B"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for one or more health-related issues, with appropriate documentation-each attendance</w:t>
            </w:r>
          </w:p>
        </w:tc>
        <w:tc>
          <w:tcPr>
            <w:tcW w:w="993" w:type="dxa"/>
          </w:tcPr>
          <w:p w14:paraId="7349AF21"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Face-to-face</w:t>
            </w:r>
          </w:p>
        </w:tc>
        <w:tc>
          <w:tcPr>
            <w:tcW w:w="992" w:type="dxa"/>
          </w:tcPr>
          <w:p w14:paraId="6CD07933"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At least 20</w:t>
            </w:r>
          </w:p>
        </w:tc>
        <w:tc>
          <w:tcPr>
            <w:tcW w:w="849" w:type="dxa"/>
          </w:tcPr>
          <w:p w14:paraId="14C68F3E"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$75.75</w:t>
            </w:r>
          </w:p>
        </w:tc>
      </w:tr>
      <w:tr w:rsidR="00097F66" w:rsidRPr="00800F8E" w14:paraId="7C186CD4" w14:textId="77777777" w:rsidTr="00C8750F">
        <w:tc>
          <w:tcPr>
            <w:tcW w:w="988" w:type="dxa"/>
          </w:tcPr>
          <w:p w14:paraId="504846E0"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44</w:t>
            </w:r>
          </w:p>
        </w:tc>
        <w:tc>
          <w:tcPr>
            <w:tcW w:w="5244" w:type="dxa"/>
          </w:tcPr>
          <w:p w14:paraId="7FD3E1C1"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Professional attendance by a general practitioner at consulting rooms including any of the following that are clinically relevant:</w:t>
            </w:r>
          </w:p>
          <w:p w14:paraId="7E8895E8"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(a) taking an extensive patient history;</w:t>
            </w:r>
          </w:p>
          <w:p w14:paraId="58EBDB98"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(b) performing a clinical examination;</w:t>
            </w:r>
          </w:p>
          <w:p w14:paraId="6B5428DD"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(c) arranging any necessary investigation;</w:t>
            </w:r>
          </w:p>
          <w:p w14:paraId="16B08D8A"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(d) implementing a management plan;</w:t>
            </w:r>
          </w:p>
          <w:p w14:paraId="0E32A64D"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(e) providing appropriate preventive health care;</w:t>
            </w:r>
          </w:p>
          <w:p w14:paraId="4822902B"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for one or more health-related issues, with appropriate documentation-each attendance</w:t>
            </w:r>
          </w:p>
        </w:tc>
        <w:tc>
          <w:tcPr>
            <w:tcW w:w="993" w:type="dxa"/>
          </w:tcPr>
          <w:p w14:paraId="7101A44D"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Face-to-face</w:t>
            </w:r>
          </w:p>
        </w:tc>
        <w:tc>
          <w:tcPr>
            <w:tcW w:w="992" w:type="dxa"/>
          </w:tcPr>
          <w:p w14:paraId="67090047"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At least 40</w:t>
            </w:r>
          </w:p>
        </w:tc>
        <w:tc>
          <w:tcPr>
            <w:tcW w:w="849" w:type="dxa"/>
          </w:tcPr>
          <w:p w14:paraId="5F5C899E"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$111.50</w:t>
            </w:r>
          </w:p>
        </w:tc>
      </w:tr>
      <w:tr w:rsidR="00097F66" w:rsidRPr="00800F8E" w14:paraId="6AB864C2" w14:textId="77777777" w:rsidTr="00C8750F">
        <w:tc>
          <w:tcPr>
            <w:tcW w:w="988" w:type="dxa"/>
          </w:tcPr>
          <w:p w14:paraId="5013F993"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721</w:t>
            </w:r>
          </w:p>
        </w:tc>
        <w:tc>
          <w:tcPr>
            <w:tcW w:w="5244" w:type="dxa"/>
          </w:tcPr>
          <w:p w14:paraId="295A6049"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Attendance by a general practitioner for preparation of a GP management plan for a patient.</w:t>
            </w:r>
          </w:p>
        </w:tc>
        <w:tc>
          <w:tcPr>
            <w:tcW w:w="993" w:type="dxa"/>
          </w:tcPr>
          <w:p w14:paraId="0B2C88DF"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Face-to-face</w:t>
            </w:r>
          </w:p>
        </w:tc>
        <w:tc>
          <w:tcPr>
            <w:tcW w:w="992" w:type="dxa"/>
          </w:tcPr>
          <w:p w14:paraId="468B76E7"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NA</w:t>
            </w:r>
          </w:p>
        </w:tc>
        <w:tc>
          <w:tcPr>
            <w:tcW w:w="849" w:type="dxa"/>
          </w:tcPr>
          <w:p w14:paraId="6F5D55FB"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$150.10</w:t>
            </w:r>
          </w:p>
        </w:tc>
      </w:tr>
      <w:tr w:rsidR="00097F66" w:rsidRPr="00800F8E" w14:paraId="66A45DFE" w14:textId="77777777" w:rsidTr="00C8750F">
        <w:tc>
          <w:tcPr>
            <w:tcW w:w="988" w:type="dxa"/>
          </w:tcPr>
          <w:p w14:paraId="3EFE59F1"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723</w:t>
            </w:r>
          </w:p>
        </w:tc>
        <w:tc>
          <w:tcPr>
            <w:tcW w:w="5244" w:type="dxa"/>
          </w:tcPr>
          <w:p w14:paraId="3ECD48DE"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Attendance by a general practitioner to coordinate the development of team care arrangements for a patient.</w:t>
            </w:r>
          </w:p>
        </w:tc>
        <w:tc>
          <w:tcPr>
            <w:tcW w:w="993" w:type="dxa"/>
          </w:tcPr>
          <w:p w14:paraId="64715014"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Face-to-face</w:t>
            </w:r>
          </w:p>
        </w:tc>
        <w:tc>
          <w:tcPr>
            <w:tcW w:w="992" w:type="dxa"/>
          </w:tcPr>
          <w:p w14:paraId="6A19EA87"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NA</w:t>
            </w:r>
          </w:p>
        </w:tc>
        <w:tc>
          <w:tcPr>
            <w:tcW w:w="849" w:type="dxa"/>
          </w:tcPr>
          <w:p w14:paraId="7F472005"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$118.95</w:t>
            </w:r>
          </w:p>
        </w:tc>
      </w:tr>
      <w:tr w:rsidR="00097F66" w:rsidRPr="00800F8E" w14:paraId="234D3491" w14:textId="77777777" w:rsidTr="00C8750F">
        <w:tc>
          <w:tcPr>
            <w:tcW w:w="988" w:type="dxa"/>
          </w:tcPr>
          <w:p w14:paraId="4AB6D4FB"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729</w:t>
            </w:r>
          </w:p>
        </w:tc>
        <w:tc>
          <w:tcPr>
            <w:tcW w:w="5244" w:type="dxa"/>
          </w:tcPr>
          <w:p w14:paraId="631576C0"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Contribution by a general practitioner to a multidisciplinary care plan prepared by another provider or a review of a multidisciplinary care plan prepared by another provider</w:t>
            </w:r>
          </w:p>
        </w:tc>
        <w:tc>
          <w:tcPr>
            <w:tcW w:w="993" w:type="dxa"/>
          </w:tcPr>
          <w:p w14:paraId="49798E39"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Face-to-face</w:t>
            </w:r>
          </w:p>
        </w:tc>
        <w:tc>
          <w:tcPr>
            <w:tcW w:w="992" w:type="dxa"/>
          </w:tcPr>
          <w:p w14:paraId="5751FED1"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NA</w:t>
            </w:r>
          </w:p>
        </w:tc>
        <w:tc>
          <w:tcPr>
            <w:tcW w:w="849" w:type="dxa"/>
          </w:tcPr>
          <w:p w14:paraId="7FA97728"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$73.25</w:t>
            </w:r>
          </w:p>
        </w:tc>
      </w:tr>
      <w:tr w:rsidR="00097F66" w:rsidRPr="00800F8E" w14:paraId="140A8759" w14:textId="77777777" w:rsidTr="00C8750F">
        <w:tc>
          <w:tcPr>
            <w:tcW w:w="988" w:type="dxa"/>
          </w:tcPr>
          <w:p w14:paraId="63E65C0A"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lastRenderedPageBreak/>
              <w:t>731</w:t>
            </w:r>
          </w:p>
        </w:tc>
        <w:tc>
          <w:tcPr>
            <w:tcW w:w="5244" w:type="dxa"/>
          </w:tcPr>
          <w:p w14:paraId="1765E2C6"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Contribution by a general practitioner to:</w:t>
            </w:r>
          </w:p>
          <w:p w14:paraId="3AB97210"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(a) a multidisciplinary care plan for a patient in a residential aged care facility, prepared by that facility, or to a review of such a plan prepared by such a facility; or</w:t>
            </w:r>
          </w:p>
          <w:p w14:paraId="7759A920"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(b) a multidisciplinary care plan prepared for a patient by another provider before the patient is discharged from a hospital, or to a review of such a plan prepared by another provider</w:t>
            </w:r>
          </w:p>
        </w:tc>
        <w:tc>
          <w:tcPr>
            <w:tcW w:w="993" w:type="dxa"/>
          </w:tcPr>
          <w:p w14:paraId="45BA1E3F"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Face-to-face</w:t>
            </w:r>
          </w:p>
        </w:tc>
        <w:tc>
          <w:tcPr>
            <w:tcW w:w="992" w:type="dxa"/>
          </w:tcPr>
          <w:p w14:paraId="102726D7"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NA</w:t>
            </w:r>
          </w:p>
        </w:tc>
        <w:tc>
          <w:tcPr>
            <w:tcW w:w="849" w:type="dxa"/>
          </w:tcPr>
          <w:p w14:paraId="4909B250"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$73.25</w:t>
            </w:r>
          </w:p>
        </w:tc>
      </w:tr>
      <w:tr w:rsidR="00097F66" w:rsidRPr="00800F8E" w14:paraId="2DCAC1C7" w14:textId="77777777" w:rsidTr="00C8750F">
        <w:tc>
          <w:tcPr>
            <w:tcW w:w="988" w:type="dxa"/>
          </w:tcPr>
          <w:p w14:paraId="72F72477"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91891*</w:t>
            </w:r>
          </w:p>
        </w:tc>
        <w:tc>
          <w:tcPr>
            <w:tcW w:w="5244" w:type="dxa"/>
          </w:tcPr>
          <w:p w14:paraId="0E3EDFD8"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Phone attendance by a general practitioner if the attendance includes any of the following that are clinically relevant:</w:t>
            </w:r>
          </w:p>
          <w:p w14:paraId="1D1E29A1"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(a) taking a short patient history;</w:t>
            </w:r>
          </w:p>
          <w:p w14:paraId="292FB5E5"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(b) arranging any necessary investigation;</w:t>
            </w:r>
          </w:p>
          <w:p w14:paraId="2661D2B5"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(c) implementing a management plan;</w:t>
            </w:r>
          </w:p>
          <w:p w14:paraId="11DD2C4B"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(d) providing appropriate preventative health care</w:t>
            </w:r>
          </w:p>
        </w:tc>
        <w:tc>
          <w:tcPr>
            <w:tcW w:w="993" w:type="dxa"/>
          </w:tcPr>
          <w:p w14:paraId="6CF8F81C"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Telephone</w:t>
            </w:r>
          </w:p>
        </w:tc>
        <w:tc>
          <w:tcPr>
            <w:tcW w:w="992" w:type="dxa"/>
          </w:tcPr>
          <w:p w14:paraId="26533339"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At least 6</w:t>
            </w:r>
          </w:p>
        </w:tc>
        <w:tc>
          <w:tcPr>
            <w:tcW w:w="849" w:type="dxa"/>
          </w:tcPr>
          <w:p w14:paraId="60E0DEA8"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$39.10</w:t>
            </w:r>
          </w:p>
        </w:tc>
      </w:tr>
      <w:tr w:rsidR="00097F66" w:rsidRPr="00800F8E" w14:paraId="02298801" w14:textId="77777777" w:rsidTr="00C8750F">
        <w:tc>
          <w:tcPr>
            <w:tcW w:w="988" w:type="dxa"/>
          </w:tcPr>
          <w:p w14:paraId="5678B49A"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91894*</w:t>
            </w:r>
          </w:p>
        </w:tc>
        <w:tc>
          <w:tcPr>
            <w:tcW w:w="5244" w:type="dxa"/>
          </w:tcPr>
          <w:p w14:paraId="6FB55275"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Phone attendance by a general practitioner, if:</w:t>
            </w:r>
          </w:p>
          <w:p w14:paraId="1A293C88"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(a)     the attendance is performed from a practice location in Modified Monash areas 6 or 7; and</w:t>
            </w:r>
          </w:p>
          <w:p w14:paraId="3B03E1C8"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(b)    the attendance includes any of the following that are clinically relevant:</w:t>
            </w:r>
          </w:p>
          <w:p w14:paraId="1EF98E39" w14:textId="77777777" w:rsidR="00097F66" w:rsidRPr="002E6226" w:rsidRDefault="00097F66" w:rsidP="00D91580">
            <w:pPr>
              <w:spacing w:before="0"/>
              <w:ind w:left="720"/>
              <w:jc w:val="both"/>
              <w:rPr>
                <w:rFonts w:ascii="Arial Narrow" w:hAnsi="Arial Narrow"/>
                <w:sz w:val="20"/>
                <w:szCs w:val="20"/>
              </w:rPr>
            </w:pPr>
            <w:r w:rsidRPr="002E6226">
              <w:rPr>
                <w:rFonts w:ascii="Arial Narrow" w:hAnsi="Arial Narrow"/>
                <w:sz w:val="20"/>
                <w:szCs w:val="20"/>
              </w:rPr>
              <w:t>(i)        taking a detailed patient history;</w:t>
            </w:r>
          </w:p>
          <w:p w14:paraId="66D1EF01" w14:textId="77777777" w:rsidR="00097F66" w:rsidRPr="002E6226" w:rsidRDefault="00097F66" w:rsidP="00D91580">
            <w:pPr>
              <w:spacing w:before="0"/>
              <w:ind w:left="720"/>
              <w:jc w:val="both"/>
              <w:rPr>
                <w:rFonts w:ascii="Arial Narrow" w:hAnsi="Arial Narrow"/>
                <w:sz w:val="20"/>
                <w:szCs w:val="20"/>
              </w:rPr>
            </w:pPr>
            <w:r w:rsidRPr="002E6226">
              <w:rPr>
                <w:rFonts w:ascii="Arial Narrow" w:hAnsi="Arial Narrow"/>
                <w:sz w:val="20"/>
                <w:szCs w:val="20"/>
              </w:rPr>
              <w:t>(ii)       arranging any necessary investigation;</w:t>
            </w:r>
          </w:p>
          <w:p w14:paraId="1ECAF273" w14:textId="77777777" w:rsidR="00097F66" w:rsidRPr="002E6226" w:rsidRDefault="00097F66" w:rsidP="00D91580">
            <w:pPr>
              <w:spacing w:before="0"/>
              <w:ind w:left="720"/>
              <w:jc w:val="both"/>
              <w:rPr>
                <w:rFonts w:ascii="Arial Narrow" w:hAnsi="Arial Narrow"/>
                <w:sz w:val="20"/>
                <w:szCs w:val="20"/>
              </w:rPr>
            </w:pPr>
            <w:r w:rsidRPr="002E6226">
              <w:rPr>
                <w:rFonts w:ascii="Arial Narrow" w:hAnsi="Arial Narrow"/>
                <w:sz w:val="20"/>
                <w:szCs w:val="20"/>
              </w:rPr>
              <w:t>(iii)     implementing a management plan;</w:t>
            </w:r>
          </w:p>
          <w:p w14:paraId="6AC3EDA2" w14:textId="77777777" w:rsidR="00097F66" w:rsidRPr="002E6226" w:rsidRDefault="00097F66" w:rsidP="00D91580">
            <w:pPr>
              <w:spacing w:before="0"/>
              <w:ind w:left="720"/>
              <w:jc w:val="both"/>
              <w:rPr>
                <w:rFonts w:ascii="Arial Narrow" w:hAnsi="Arial Narrow"/>
                <w:sz w:val="20"/>
                <w:szCs w:val="20"/>
              </w:rPr>
            </w:pPr>
            <w:r w:rsidRPr="002E6226">
              <w:rPr>
                <w:rFonts w:ascii="Arial Narrow" w:hAnsi="Arial Narrow"/>
                <w:sz w:val="20"/>
                <w:szCs w:val="20"/>
              </w:rPr>
              <w:t>(iv)     providing appropriate preventative health care</w:t>
            </w:r>
          </w:p>
        </w:tc>
        <w:tc>
          <w:tcPr>
            <w:tcW w:w="993" w:type="dxa"/>
          </w:tcPr>
          <w:p w14:paraId="7980411B"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Telephone</w:t>
            </w:r>
          </w:p>
        </w:tc>
        <w:tc>
          <w:tcPr>
            <w:tcW w:w="992" w:type="dxa"/>
          </w:tcPr>
          <w:p w14:paraId="484EA02B"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At least 20</w:t>
            </w:r>
          </w:p>
        </w:tc>
        <w:tc>
          <w:tcPr>
            <w:tcW w:w="849" w:type="dxa"/>
          </w:tcPr>
          <w:p w14:paraId="0B63791A" w14:textId="77777777" w:rsidR="00097F66" w:rsidRPr="002E6226" w:rsidRDefault="00097F66" w:rsidP="00D91580">
            <w:pPr>
              <w:spacing w:before="0"/>
              <w:jc w:val="both"/>
              <w:rPr>
                <w:rFonts w:ascii="Arial Narrow" w:hAnsi="Arial Narrow"/>
                <w:sz w:val="20"/>
                <w:szCs w:val="20"/>
              </w:rPr>
            </w:pPr>
            <w:r w:rsidRPr="002E6226">
              <w:rPr>
                <w:rFonts w:ascii="Arial Narrow" w:hAnsi="Arial Narrow"/>
                <w:sz w:val="20"/>
                <w:szCs w:val="20"/>
              </w:rPr>
              <w:t>$75.75</w:t>
            </w:r>
          </w:p>
        </w:tc>
      </w:tr>
    </w:tbl>
    <w:p w14:paraId="3379A59D" w14:textId="126E5744" w:rsidR="008633DE" w:rsidRDefault="008633DE" w:rsidP="0001555C">
      <w:pPr>
        <w:pStyle w:val="Instructionaltext"/>
        <w:keepNext/>
        <w:tabs>
          <w:tab w:val="left" w:pos="2172"/>
        </w:tabs>
        <w:spacing w:before="0" w:after="0"/>
        <w:jc w:val="both"/>
        <w:rPr>
          <w:rFonts w:ascii="Arial Narrow" w:hAnsi="Arial Narrow"/>
          <w:color w:val="auto"/>
          <w:sz w:val="18"/>
        </w:rPr>
      </w:pPr>
      <w:r>
        <w:rPr>
          <w:rFonts w:ascii="Arial Narrow" w:hAnsi="Arial Narrow"/>
          <w:color w:val="auto"/>
          <w:sz w:val="18"/>
        </w:rPr>
        <w:t>Source: compiled during the evaluation using information from MBS Online</w:t>
      </w:r>
    </w:p>
    <w:p w14:paraId="07E323BA" w14:textId="2E167823" w:rsidR="006A358D" w:rsidRPr="008633DE" w:rsidRDefault="00F40DC2" w:rsidP="008633DE">
      <w:pPr>
        <w:pStyle w:val="Instructionaltext"/>
        <w:keepNext/>
        <w:tabs>
          <w:tab w:val="left" w:pos="2172"/>
        </w:tabs>
        <w:spacing w:before="0" w:after="0"/>
        <w:jc w:val="both"/>
        <w:rPr>
          <w:rFonts w:ascii="Arial Narrow" w:hAnsi="Arial Narrow"/>
          <w:color w:val="auto"/>
          <w:sz w:val="18"/>
        </w:rPr>
      </w:pPr>
      <w:r w:rsidRPr="002E6226">
        <w:rPr>
          <w:rFonts w:ascii="Arial Narrow" w:hAnsi="Arial Narrow"/>
          <w:color w:val="auto"/>
          <w:sz w:val="18"/>
        </w:rPr>
        <w:t xml:space="preserve">* In most cases, telehealth items are only available to patients who have an existing relationship with the practitioner performing the service (defined as having at least one face-to-face service in the preceding 12 months).  </w:t>
      </w:r>
    </w:p>
    <w:p w14:paraId="34E0B08F" w14:textId="6C98208B" w:rsidR="00772829" w:rsidRPr="00CE28E3" w:rsidRDefault="00772829" w:rsidP="00C7722F">
      <w:pPr>
        <w:pStyle w:val="Heading2"/>
        <w:numPr>
          <w:ilvl w:val="0"/>
          <w:numId w:val="18"/>
        </w:numPr>
        <w:ind w:hanging="720"/>
        <w:jc w:val="both"/>
      </w:pPr>
      <w:bookmarkStart w:id="13" w:name="_Toc69491419"/>
      <w:r w:rsidRPr="00CE28E3">
        <w:t>Population</w:t>
      </w:r>
      <w:bookmarkEnd w:id="13"/>
      <w:r w:rsidRPr="00CE28E3">
        <w:t xml:space="preserve"> </w:t>
      </w:r>
    </w:p>
    <w:p w14:paraId="71101CD6" w14:textId="2E9CC27C" w:rsidR="009B5B9B" w:rsidRPr="002E6226" w:rsidRDefault="009B5B9B" w:rsidP="00AC5A2B">
      <w:pPr>
        <w:pStyle w:val="Instructionaltext"/>
        <w:rPr>
          <w:color w:val="auto"/>
        </w:rPr>
      </w:pPr>
      <w:r w:rsidRPr="002E6226">
        <w:rPr>
          <w:color w:val="auto"/>
        </w:rPr>
        <w:t>The ADAR did not explicitly nominate a population for the proposed service</w:t>
      </w:r>
      <w:r w:rsidR="003E1793" w:rsidRPr="002E6226">
        <w:rPr>
          <w:color w:val="auto"/>
        </w:rPr>
        <w:t xml:space="preserve"> but implicitly suggested this would be the same as the trial population</w:t>
      </w:r>
      <w:r w:rsidRPr="002E6226">
        <w:rPr>
          <w:color w:val="auto"/>
        </w:rPr>
        <w:t xml:space="preserve">. </w:t>
      </w:r>
    </w:p>
    <w:p w14:paraId="5EC1BD9C" w14:textId="07E0F5D6" w:rsidR="002F044B" w:rsidRDefault="009B5B9B" w:rsidP="00AC5A2B">
      <w:pPr>
        <w:pStyle w:val="Instructionaltext"/>
        <w:rPr>
          <w:color w:val="auto"/>
        </w:rPr>
      </w:pPr>
      <w:r>
        <w:rPr>
          <w:color w:val="auto"/>
        </w:rPr>
        <w:t>The</w:t>
      </w:r>
      <w:r w:rsidRPr="009B5B9B">
        <w:rPr>
          <w:color w:val="auto"/>
        </w:rPr>
        <w:t xml:space="preserve"> population included in the </w:t>
      </w:r>
      <w:r>
        <w:rPr>
          <w:color w:val="auto"/>
        </w:rPr>
        <w:t xml:space="preserve">CPMC </w:t>
      </w:r>
      <w:r w:rsidR="00470EC6">
        <w:rPr>
          <w:color w:val="auto"/>
        </w:rPr>
        <w:t>t</w:t>
      </w:r>
      <w:r>
        <w:rPr>
          <w:color w:val="auto"/>
        </w:rPr>
        <w:t>rial were people</w:t>
      </w:r>
      <w:r w:rsidR="00D63144">
        <w:rPr>
          <w:color w:val="auto"/>
        </w:rPr>
        <w:t xml:space="preserve"> who</w:t>
      </w:r>
      <w:r>
        <w:rPr>
          <w:color w:val="auto"/>
        </w:rPr>
        <w:t xml:space="preserve">: </w:t>
      </w:r>
    </w:p>
    <w:p w14:paraId="6C69C772" w14:textId="5FDAD215" w:rsidR="002F044B" w:rsidRDefault="00D63144" w:rsidP="00C7722F">
      <w:pPr>
        <w:pStyle w:val="Instructionaltext"/>
        <w:numPr>
          <w:ilvl w:val="0"/>
          <w:numId w:val="10"/>
        </w:numPr>
        <w:rPr>
          <w:color w:val="auto"/>
        </w:rPr>
      </w:pPr>
      <w:r>
        <w:rPr>
          <w:color w:val="auto"/>
        </w:rPr>
        <w:t>a</w:t>
      </w:r>
      <w:r w:rsidR="001A2AC6">
        <w:rPr>
          <w:color w:val="auto"/>
        </w:rPr>
        <w:t>ttended a community pharmacy</w:t>
      </w:r>
    </w:p>
    <w:p w14:paraId="2DBD38D6" w14:textId="500C9681" w:rsidR="001A2AC6" w:rsidRDefault="00D63144" w:rsidP="00C7722F">
      <w:pPr>
        <w:pStyle w:val="Instructionaltext"/>
        <w:numPr>
          <w:ilvl w:val="0"/>
          <w:numId w:val="10"/>
        </w:numPr>
        <w:rPr>
          <w:color w:val="auto"/>
        </w:rPr>
      </w:pPr>
      <w:r>
        <w:rPr>
          <w:color w:val="auto"/>
        </w:rPr>
        <w:t>were o</w:t>
      </w:r>
      <w:r w:rsidR="001A2AC6">
        <w:rPr>
          <w:color w:val="auto"/>
        </w:rPr>
        <w:t>ver the age of 18</w:t>
      </w:r>
    </w:p>
    <w:p w14:paraId="1F87109B" w14:textId="71E3917C" w:rsidR="001A2AC6" w:rsidRDefault="00D63144" w:rsidP="00C7722F">
      <w:pPr>
        <w:pStyle w:val="Instructionaltext"/>
        <w:numPr>
          <w:ilvl w:val="0"/>
          <w:numId w:val="10"/>
        </w:numPr>
        <w:rPr>
          <w:color w:val="auto"/>
        </w:rPr>
      </w:pPr>
      <w:r>
        <w:rPr>
          <w:color w:val="auto"/>
        </w:rPr>
        <w:t>h</w:t>
      </w:r>
      <w:r w:rsidR="001A2AC6">
        <w:rPr>
          <w:color w:val="auto"/>
        </w:rPr>
        <w:t>old a valid Medicare and/or DVA card</w:t>
      </w:r>
    </w:p>
    <w:p w14:paraId="146525A3" w14:textId="04B74806" w:rsidR="001A2AC6" w:rsidRDefault="00D63144" w:rsidP="00C7722F">
      <w:pPr>
        <w:pStyle w:val="Instructionaltext"/>
        <w:numPr>
          <w:ilvl w:val="0"/>
          <w:numId w:val="10"/>
        </w:numPr>
        <w:rPr>
          <w:color w:val="auto"/>
        </w:rPr>
      </w:pPr>
      <w:r>
        <w:rPr>
          <w:color w:val="auto"/>
        </w:rPr>
        <w:t>were l</w:t>
      </w:r>
      <w:r w:rsidR="001A2AC6">
        <w:rPr>
          <w:color w:val="auto"/>
        </w:rPr>
        <w:t>iving at home in a community setting</w:t>
      </w:r>
    </w:p>
    <w:p w14:paraId="20E35619" w14:textId="439370A9" w:rsidR="001A2AC6" w:rsidRDefault="00D63144" w:rsidP="00C7722F">
      <w:pPr>
        <w:pStyle w:val="Instructionaltext"/>
        <w:numPr>
          <w:ilvl w:val="0"/>
          <w:numId w:val="10"/>
        </w:numPr>
        <w:rPr>
          <w:color w:val="auto"/>
        </w:rPr>
      </w:pPr>
      <w:r>
        <w:rPr>
          <w:color w:val="auto"/>
        </w:rPr>
        <w:t>e</w:t>
      </w:r>
      <w:r w:rsidR="001A2AC6">
        <w:rPr>
          <w:color w:val="auto"/>
        </w:rPr>
        <w:t>xperienced chronic pain (pain for three months or longer)</w:t>
      </w:r>
    </w:p>
    <w:p w14:paraId="54CA2AD4" w14:textId="7AD55473" w:rsidR="001A2AC6" w:rsidRDefault="00D63144" w:rsidP="00C7722F">
      <w:pPr>
        <w:pStyle w:val="Instructionaltext"/>
        <w:numPr>
          <w:ilvl w:val="0"/>
          <w:numId w:val="10"/>
        </w:numPr>
        <w:rPr>
          <w:color w:val="auto"/>
        </w:rPr>
      </w:pPr>
      <w:r>
        <w:rPr>
          <w:color w:val="auto"/>
        </w:rPr>
        <w:t>h</w:t>
      </w:r>
      <w:r w:rsidR="001A2AC6">
        <w:rPr>
          <w:color w:val="auto"/>
        </w:rPr>
        <w:t>ad not had a Home Medicines Review, MedsCheck, Diabetes MedsCheck, or Chronic Pain MedsCheck within the previous 12 months</w:t>
      </w:r>
    </w:p>
    <w:p w14:paraId="2D8B153D" w14:textId="168538C2" w:rsidR="001A2AC6" w:rsidRDefault="00D63144" w:rsidP="00C7722F">
      <w:pPr>
        <w:pStyle w:val="Instructionaltext"/>
        <w:numPr>
          <w:ilvl w:val="0"/>
          <w:numId w:val="10"/>
        </w:numPr>
        <w:rPr>
          <w:color w:val="auto"/>
        </w:rPr>
      </w:pPr>
      <w:r>
        <w:rPr>
          <w:color w:val="auto"/>
        </w:rPr>
        <w:t>h</w:t>
      </w:r>
      <w:r w:rsidR="001A2AC6">
        <w:rPr>
          <w:color w:val="auto"/>
        </w:rPr>
        <w:t>ad been taking prescription or over-the-counter medication for their pain</w:t>
      </w:r>
    </w:p>
    <w:p w14:paraId="19B3FC36" w14:textId="40558D0A" w:rsidR="001A2AC6" w:rsidRDefault="00D63144" w:rsidP="00C7722F">
      <w:pPr>
        <w:pStyle w:val="Instructionaltext"/>
        <w:numPr>
          <w:ilvl w:val="0"/>
          <w:numId w:val="10"/>
        </w:numPr>
        <w:rPr>
          <w:color w:val="auto"/>
        </w:rPr>
      </w:pPr>
      <w:r>
        <w:rPr>
          <w:color w:val="auto"/>
        </w:rPr>
        <w:t>w</w:t>
      </w:r>
      <w:r w:rsidR="001A2AC6">
        <w:rPr>
          <w:color w:val="auto"/>
        </w:rPr>
        <w:t>ere identified by a community pharmacist as either experiencing self-management or dependency issues</w:t>
      </w:r>
    </w:p>
    <w:p w14:paraId="2D356590" w14:textId="7F7B448A" w:rsidR="001A2AC6" w:rsidRPr="002F044B" w:rsidRDefault="00D63144" w:rsidP="00C7722F">
      <w:pPr>
        <w:pStyle w:val="Instructionaltext"/>
        <w:numPr>
          <w:ilvl w:val="0"/>
          <w:numId w:val="10"/>
        </w:numPr>
        <w:rPr>
          <w:color w:val="auto"/>
        </w:rPr>
      </w:pPr>
      <w:r>
        <w:rPr>
          <w:color w:val="auto"/>
        </w:rPr>
        <w:t>were n</w:t>
      </w:r>
      <w:r w:rsidR="001A2AC6">
        <w:rPr>
          <w:color w:val="auto"/>
        </w:rPr>
        <w:t>ot a current client of a recognised pain management service.</w:t>
      </w:r>
    </w:p>
    <w:p w14:paraId="777D7B00" w14:textId="5C43C47E" w:rsidR="0034209F" w:rsidRDefault="003725EF" w:rsidP="00AC5A2B">
      <w:pPr>
        <w:pStyle w:val="Instructionaltext"/>
        <w:rPr>
          <w:color w:val="auto"/>
        </w:rPr>
      </w:pPr>
      <w:r>
        <w:rPr>
          <w:color w:val="auto"/>
        </w:rPr>
        <w:t>The ADAR considered that t</w:t>
      </w:r>
      <w:r w:rsidR="0034209F" w:rsidRPr="0034209F">
        <w:rPr>
          <w:color w:val="auto"/>
        </w:rPr>
        <w:t xml:space="preserve">here is often a lack of access to appropriate advice and support </w:t>
      </w:r>
      <w:r w:rsidR="00A33020">
        <w:rPr>
          <w:color w:val="auto"/>
        </w:rPr>
        <w:t>for</w:t>
      </w:r>
      <w:r w:rsidR="00A33020" w:rsidRPr="0034209F">
        <w:rPr>
          <w:color w:val="auto"/>
        </w:rPr>
        <w:t xml:space="preserve"> </w:t>
      </w:r>
      <w:r w:rsidR="0034209F" w:rsidRPr="0034209F">
        <w:rPr>
          <w:color w:val="auto"/>
        </w:rPr>
        <w:t xml:space="preserve">chronic pain in the community, and it is difficult for participants to access effective treatment that is timely and affordable.  Community pharmacists see participants on a regular basis without the need for an appointment.  As such, </w:t>
      </w:r>
      <w:r>
        <w:rPr>
          <w:color w:val="auto"/>
        </w:rPr>
        <w:t xml:space="preserve">the ADAR considered </w:t>
      </w:r>
      <w:r w:rsidR="0034209F" w:rsidRPr="0034209F">
        <w:rPr>
          <w:color w:val="auto"/>
        </w:rPr>
        <w:t xml:space="preserve">pharmacists are ideally placed to </w:t>
      </w:r>
      <w:r w:rsidR="0034209F" w:rsidRPr="0034209F">
        <w:rPr>
          <w:color w:val="auto"/>
        </w:rPr>
        <w:lastRenderedPageBreak/>
        <w:t xml:space="preserve">provide patient-based solutions to support </w:t>
      </w:r>
      <w:r w:rsidR="00214185">
        <w:rPr>
          <w:color w:val="auto"/>
        </w:rPr>
        <w:t>people</w:t>
      </w:r>
      <w:r w:rsidR="0034209F" w:rsidRPr="0034209F">
        <w:rPr>
          <w:color w:val="auto"/>
        </w:rPr>
        <w:t xml:space="preserve"> who are suffering from chronic pain.  The CPMC service was expected to fill a gap in pain management services. </w:t>
      </w:r>
    </w:p>
    <w:p w14:paraId="246000EF" w14:textId="2D75BBE7" w:rsidR="00B13CC2" w:rsidRPr="002E6226" w:rsidRDefault="0034209F" w:rsidP="00AC5A2B">
      <w:pPr>
        <w:pStyle w:val="Instructionaltext"/>
        <w:rPr>
          <w:color w:val="auto"/>
        </w:rPr>
      </w:pPr>
      <w:r w:rsidRPr="002E6226">
        <w:rPr>
          <w:color w:val="auto"/>
        </w:rPr>
        <w:t>For medication management support, t</w:t>
      </w:r>
      <w:r w:rsidR="00EC4DFB" w:rsidRPr="002E6226">
        <w:rPr>
          <w:color w:val="auto"/>
        </w:rPr>
        <w:t>his population may not necessarily be eligible for the existing MedsCheck service (which is available to patients taking five or more medications)</w:t>
      </w:r>
      <w:r w:rsidR="00B4042F" w:rsidRPr="002E6226">
        <w:rPr>
          <w:color w:val="auto"/>
        </w:rPr>
        <w:t>, but may be eligible for a Home Medicines Review</w:t>
      </w:r>
      <w:r w:rsidRPr="002E6226">
        <w:rPr>
          <w:color w:val="auto"/>
        </w:rPr>
        <w:t xml:space="preserve"> if their medical practitioner deems it clinically necessary</w:t>
      </w:r>
      <w:r w:rsidR="00EC4DFB" w:rsidRPr="002E6226">
        <w:rPr>
          <w:color w:val="auto"/>
        </w:rPr>
        <w:t xml:space="preserve">. </w:t>
      </w:r>
      <w:r w:rsidR="00B13CC2" w:rsidRPr="002E6226">
        <w:rPr>
          <w:color w:val="auto"/>
        </w:rPr>
        <w:t xml:space="preserve">Under the 7CPA funding rules, people are eligible for one medication management service (MedsCheck, Diabetes MedsCheck, or Home Medicines Review) in 12 months. </w:t>
      </w:r>
    </w:p>
    <w:p w14:paraId="0A939CAD" w14:textId="60DEA8ED" w:rsidR="00EC4DFB" w:rsidRPr="002E6226" w:rsidRDefault="0034209F" w:rsidP="00AC5A2B">
      <w:pPr>
        <w:pStyle w:val="Instructionaltext"/>
        <w:rPr>
          <w:color w:val="auto"/>
        </w:rPr>
      </w:pPr>
      <w:r w:rsidRPr="002E6226">
        <w:rPr>
          <w:color w:val="auto"/>
        </w:rPr>
        <w:t xml:space="preserve">To meet the other objectives of the CPMC – to increase health literacy, ability to self-manage their chronic pain, and overall quality of life – this population currently has access to general practitioner consultations. It should be </w:t>
      </w:r>
      <w:bookmarkStart w:id="14" w:name="_Hlk100140472"/>
      <w:r w:rsidRPr="002E6226">
        <w:rPr>
          <w:color w:val="auto"/>
        </w:rPr>
        <w:t>noted that referrals to allied health services made by the pharmacists as a result of the CPMC were not subsidised by Medicare</w:t>
      </w:r>
      <w:r w:rsidR="00F8778C" w:rsidRPr="002E6226">
        <w:rPr>
          <w:color w:val="auto"/>
        </w:rPr>
        <w:t>. Patients who wanted to access subsidised allied health services needed to be referred first to a</w:t>
      </w:r>
      <w:r w:rsidRPr="002E6226">
        <w:rPr>
          <w:color w:val="auto"/>
        </w:rPr>
        <w:t xml:space="preserve"> general practitioner</w:t>
      </w:r>
      <w:r w:rsidR="00F8778C" w:rsidRPr="002E6226">
        <w:rPr>
          <w:color w:val="auto"/>
        </w:rPr>
        <w:t>.</w:t>
      </w:r>
      <w:r w:rsidRPr="002E6226">
        <w:rPr>
          <w:color w:val="auto"/>
        </w:rPr>
        <w:t xml:space="preserve"> </w:t>
      </w:r>
      <w:r w:rsidR="00D109BD" w:rsidRPr="002E6226">
        <w:rPr>
          <w:color w:val="auto"/>
        </w:rPr>
        <w:t>This presents barriers to access for patients.</w:t>
      </w:r>
      <w:r w:rsidRPr="002E6226">
        <w:rPr>
          <w:color w:val="auto"/>
        </w:rPr>
        <w:t xml:space="preserve"> </w:t>
      </w:r>
      <w:bookmarkEnd w:id="14"/>
    </w:p>
    <w:p w14:paraId="66BDFCC1" w14:textId="35825A41" w:rsidR="00772829" w:rsidRPr="00CE28E3" w:rsidRDefault="00C7722F" w:rsidP="00C7722F">
      <w:pPr>
        <w:pStyle w:val="Heading2"/>
        <w:numPr>
          <w:ilvl w:val="0"/>
          <w:numId w:val="18"/>
        </w:numPr>
        <w:ind w:hanging="720"/>
        <w:jc w:val="both"/>
      </w:pPr>
      <w:bookmarkStart w:id="15" w:name="_Toc69491420"/>
      <w:r>
        <w:t>Co</w:t>
      </w:r>
      <w:r w:rsidR="00772829" w:rsidRPr="00CE28E3">
        <w:t>mparator</w:t>
      </w:r>
      <w:bookmarkEnd w:id="15"/>
    </w:p>
    <w:p w14:paraId="10716B42" w14:textId="5B0E6614" w:rsidR="00466806" w:rsidRDefault="00466806" w:rsidP="00AC5A2B">
      <w:pPr>
        <w:pStyle w:val="Instructionaltext"/>
        <w:rPr>
          <w:color w:val="auto"/>
        </w:rPr>
      </w:pPr>
      <w:r>
        <w:rPr>
          <w:color w:val="auto"/>
        </w:rPr>
        <w:t>The ADAR nominate</w:t>
      </w:r>
      <w:r w:rsidR="001F027A">
        <w:rPr>
          <w:color w:val="auto"/>
        </w:rPr>
        <w:t>d</w:t>
      </w:r>
      <w:r>
        <w:rPr>
          <w:color w:val="auto"/>
        </w:rPr>
        <w:t xml:space="preserve"> </w:t>
      </w:r>
      <w:r w:rsidR="009876B1">
        <w:rPr>
          <w:color w:val="auto"/>
        </w:rPr>
        <w:t>baseline data collected at the initial consultation</w:t>
      </w:r>
      <w:r>
        <w:rPr>
          <w:color w:val="auto"/>
        </w:rPr>
        <w:t xml:space="preserve"> as the comparator</w:t>
      </w:r>
      <w:r w:rsidR="009876B1">
        <w:rPr>
          <w:color w:val="auto"/>
        </w:rPr>
        <w:t xml:space="preserve"> within each arm, and also compares the two arms</w:t>
      </w:r>
      <w:r w:rsidR="00B13CC2">
        <w:rPr>
          <w:color w:val="auto"/>
        </w:rPr>
        <w:t xml:space="preserve"> to each other (Table 5)</w:t>
      </w:r>
      <w:r>
        <w:rPr>
          <w:color w:val="auto"/>
        </w:rPr>
        <w:t xml:space="preserve">. </w:t>
      </w:r>
    </w:p>
    <w:p w14:paraId="0D43B161" w14:textId="35B0C853" w:rsidR="009876B1" w:rsidRPr="00552065" w:rsidRDefault="00D97A8B" w:rsidP="0001555C">
      <w:pPr>
        <w:pStyle w:val="Caption"/>
        <w:jc w:val="both"/>
      </w:pPr>
      <w:r w:rsidRPr="00552065">
        <w:t>Table </w:t>
      </w:r>
      <w:fldSimple w:instr=" SEQ Table \* ARABIC ">
        <w:r w:rsidR="00656985">
          <w:rPr>
            <w:noProof/>
          </w:rPr>
          <w:t>5</w:t>
        </w:r>
      </w:fldSimple>
      <w:r w:rsidRPr="00552065">
        <w:tab/>
      </w:r>
      <w:r w:rsidR="009876B1" w:rsidRPr="00552065">
        <w:rPr>
          <w:rFonts w:cs="Tahoma"/>
          <w:bCs w:val="0"/>
          <w:lang w:eastAsia="en-AU"/>
        </w:rPr>
        <w:t>Summary of comparators to the CPMC intervention(s)</w:t>
      </w:r>
    </w:p>
    <w:tbl>
      <w:tblPr>
        <w:tblStyle w:val="TableGrid1"/>
        <w:tblW w:w="5000" w:type="pct"/>
        <w:tblCellMar>
          <w:left w:w="10" w:type="dxa"/>
          <w:right w:w="10" w:type="dxa"/>
        </w:tblCellMar>
        <w:tblLook w:val="04A0" w:firstRow="1" w:lastRow="0" w:firstColumn="1" w:lastColumn="0" w:noHBand="0" w:noVBand="1"/>
      </w:tblPr>
      <w:tblGrid>
        <w:gridCol w:w="4508"/>
        <w:gridCol w:w="4508"/>
      </w:tblGrid>
      <w:tr w:rsidR="009876B1" w:rsidRPr="009876B1" w14:paraId="30A32349" w14:textId="77777777" w:rsidTr="00431366">
        <w:trPr>
          <w:cnfStyle w:val="100000000000" w:firstRow="1" w:lastRow="0" w:firstColumn="0" w:lastColumn="0" w:oddVBand="0" w:evenVBand="0" w:oddHBand="0" w:evenHBand="0" w:firstRowFirstColumn="0" w:firstRowLastColumn="0" w:lastRowFirstColumn="0" w:lastRowLastColumn="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958D" w14:textId="77777777" w:rsidR="009876B1" w:rsidRPr="009876B1" w:rsidRDefault="009876B1" w:rsidP="0001555C">
            <w:pPr>
              <w:keepNext/>
              <w:suppressAutoHyphens/>
              <w:autoSpaceDN w:val="0"/>
              <w:spacing w:before="40"/>
              <w:ind w:left="22"/>
              <w:jc w:val="both"/>
              <w:textAlignment w:val="baseline"/>
              <w:rPr>
                <w:rFonts w:ascii="Arial Narrow" w:hAnsi="Arial Narrow" w:cs="Tahoma"/>
                <w:b/>
              </w:rPr>
            </w:pPr>
            <w:r w:rsidRPr="009876B1">
              <w:rPr>
                <w:rFonts w:ascii="Arial Narrow" w:hAnsi="Arial Narrow" w:cs="Tahoma"/>
                <w:b/>
              </w:rPr>
              <w:t>Intervention (data collection timepoint)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2EB7" w14:textId="77777777" w:rsidR="009876B1" w:rsidRPr="009876B1" w:rsidRDefault="009876B1" w:rsidP="0001555C">
            <w:pPr>
              <w:keepNext/>
              <w:suppressAutoHyphens/>
              <w:autoSpaceDN w:val="0"/>
              <w:spacing w:before="40"/>
              <w:ind w:left="22"/>
              <w:jc w:val="both"/>
              <w:textAlignment w:val="baseline"/>
              <w:rPr>
                <w:rFonts w:ascii="Arial Narrow" w:hAnsi="Arial Narrow" w:cs="Tahoma"/>
                <w:b/>
              </w:rPr>
            </w:pPr>
            <w:r w:rsidRPr="009876B1">
              <w:rPr>
                <w:rFonts w:ascii="Arial Narrow" w:hAnsi="Arial Narrow" w:cs="Tahoma"/>
                <w:b/>
              </w:rPr>
              <w:t>Comparator (Group and data collection timepoint)</w:t>
            </w:r>
          </w:p>
        </w:tc>
      </w:tr>
      <w:tr w:rsidR="009876B1" w:rsidRPr="009876B1" w14:paraId="0F5B8CAF" w14:textId="77777777" w:rsidTr="00431366">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6448" w14:textId="77777777" w:rsidR="009876B1" w:rsidRPr="009876B1" w:rsidRDefault="009876B1" w:rsidP="0001555C">
            <w:pPr>
              <w:suppressAutoHyphens/>
              <w:autoSpaceDN w:val="0"/>
              <w:spacing w:before="40"/>
              <w:ind w:left="22"/>
              <w:jc w:val="both"/>
              <w:textAlignment w:val="baseline"/>
              <w:rPr>
                <w:rFonts w:ascii="Arial Narrow" w:hAnsi="Arial Narrow" w:cs="Tahoma"/>
              </w:rPr>
            </w:pPr>
            <w:r w:rsidRPr="009876B1">
              <w:rPr>
                <w:rFonts w:ascii="Arial Narrow" w:hAnsi="Arial Narrow" w:cs="Tahoma"/>
              </w:rPr>
              <w:t>Group A (three months post initial consultation)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D2A46" w14:textId="77777777" w:rsidR="009876B1" w:rsidRPr="009876B1" w:rsidRDefault="009876B1" w:rsidP="0001555C">
            <w:pPr>
              <w:suppressAutoHyphens/>
              <w:autoSpaceDN w:val="0"/>
              <w:spacing w:before="40"/>
              <w:ind w:left="22"/>
              <w:jc w:val="both"/>
              <w:textAlignment w:val="baseline"/>
              <w:rPr>
                <w:rFonts w:ascii="Arial Narrow" w:hAnsi="Arial Narrow" w:cs="Tahoma"/>
              </w:rPr>
            </w:pPr>
            <w:r w:rsidRPr="009876B1">
              <w:rPr>
                <w:rFonts w:ascii="Arial Narrow" w:hAnsi="Arial Narrow" w:cs="Tahoma"/>
              </w:rPr>
              <w:t>Group A (baseline data collected at initial consultation)</w:t>
            </w:r>
          </w:p>
        </w:tc>
      </w:tr>
      <w:tr w:rsidR="009876B1" w:rsidRPr="009876B1" w14:paraId="187F7FE3" w14:textId="77777777" w:rsidTr="00431366">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D377" w14:textId="77777777" w:rsidR="009876B1" w:rsidRPr="009876B1" w:rsidRDefault="009876B1" w:rsidP="0001555C">
            <w:pPr>
              <w:suppressAutoHyphens/>
              <w:autoSpaceDN w:val="0"/>
              <w:spacing w:before="40"/>
              <w:ind w:left="22"/>
              <w:jc w:val="both"/>
              <w:textAlignment w:val="baseline"/>
              <w:rPr>
                <w:rFonts w:ascii="Arial Narrow" w:hAnsi="Arial Narrow" w:cs="Tahoma"/>
              </w:rPr>
            </w:pPr>
            <w:r w:rsidRPr="009876B1">
              <w:rPr>
                <w:rFonts w:ascii="Arial Narrow" w:hAnsi="Arial Narrow" w:cs="Tahoma"/>
              </w:rPr>
              <w:t>Group B (three months post initial consultation)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D576B" w14:textId="77777777" w:rsidR="009876B1" w:rsidRPr="009876B1" w:rsidRDefault="009876B1" w:rsidP="0001555C">
            <w:pPr>
              <w:suppressAutoHyphens/>
              <w:autoSpaceDN w:val="0"/>
              <w:spacing w:before="40"/>
              <w:ind w:left="22"/>
              <w:jc w:val="both"/>
              <w:textAlignment w:val="baseline"/>
              <w:rPr>
                <w:rFonts w:ascii="Arial Narrow" w:hAnsi="Arial Narrow" w:cs="Tahoma"/>
              </w:rPr>
            </w:pPr>
            <w:r w:rsidRPr="009876B1">
              <w:rPr>
                <w:rFonts w:ascii="Arial Narrow" w:hAnsi="Arial Narrow" w:cs="Tahoma"/>
              </w:rPr>
              <w:t>Group B (baseline data collected at initial consultation)</w:t>
            </w:r>
          </w:p>
        </w:tc>
      </w:tr>
      <w:tr w:rsidR="009876B1" w:rsidRPr="009876B1" w14:paraId="6F87F62F" w14:textId="77777777" w:rsidTr="00431366">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DD09" w14:textId="77777777" w:rsidR="009876B1" w:rsidRPr="009876B1" w:rsidRDefault="009876B1" w:rsidP="0001555C">
            <w:pPr>
              <w:suppressAutoHyphens/>
              <w:autoSpaceDN w:val="0"/>
              <w:spacing w:before="40"/>
              <w:ind w:left="22"/>
              <w:jc w:val="both"/>
              <w:textAlignment w:val="baseline"/>
              <w:rPr>
                <w:rFonts w:ascii="Arial Narrow" w:hAnsi="Arial Narrow" w:cs="Tahoma"/>
              </w:rPr>
            </w:pPr>
            <w:r w:rsidRPr="009876B1">
              <w:rPr>
                <w:rFonts w:ascii="Arial Narrow" w:hAnsi="Arial Narrow" w:cs="Tahoma"/>
              </w:rPr>
              <w:t>Group A (change at three months post initial consultation)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19D9B" w14:textId="77777777" w:rsidR="009876B1" w:rsidRPr="009876B1" w:rsidRDefault="009876B1" w:rsidP="0001555C">
            <w:pPr>
              <w:suppressAutoHyphens/>
              <w:autoSpaceDN w:val="0"/>
              <w:spacing w:before="40"/>
              <w:ind w:left="22"/>
              <w:jc w:val="both"/>
              <w:textAlignment w:val="baseline"/>
              <w:rPr>
                <w:rFonts w:ascii="Arial Narrow" w:hAnsi="Arial Narrow" w:cs="Tahoma"/>
              </w:rPr>
            </w:pPr>
            <w:r w:rsidRPr="009876B1">
              <w:rPr>
                <w:rFonts w:ascii="Arial Narrow" w:hAnsi="Arial Narrow" w:cs="Tahoma"/>
              </w:rPr>
              <w:t>Group B (change at three months post initial consultation)</w:t>
            </w:r>
          </w:p>
        </w:tc>
      </w:tr>
    </w:tbl>
    <w:p w14:paraId="6AC56D08" w14:textId="7CCCAF92" w:rsidR="00431366" w:rsidRPr="00431366" w:rsidRDefault="00431366" w:rsidP="00684E5D">
      <w:pPr>
        <w:pStyle w:val="Instructionaltext"/>
        <w:keepNext/>
        <w:tabs>
          <w:tab w:val="left" w:pos="2172"/>
        </w:tabs>
        <w:spacing w:before="0"/>
        <w:jc w:val="both"/>
        <w:rPr>
          <w:rFonts w:ascii="Arial Narrow" w:hAnsi="Arial Narrow"/>
          <w:color w:val="auto"/>
          <w:sz w:val="18"/>
          <w:szCs w:val="20"/>
        </w:rPr>
      </w:pPr>
      <w:r w:rsidRPr="00431366">
        <w:rPr>
          <w:rFonts w:ascii="Arial Narrow" w:hAnsi="Arial Narrow"/>
          <w:color w:val="auto"/>
          <w:sz w:val="18"/>
          <w:szCs w:val="20"/>
        </w:rPr>
        <w:t>Source:</w:t>
      </w:r>
      <w:r>
        <w:rPr>
          <w:rFonts w:ascii="Arial Narrow" w:hAnsi="Arial Narrow"/>
          <w:color w:val="auto"/>
          <w:sz w:val="18"/>
          <w:szCs w:val="20"/>
        </w:rPr>
        <w:t xml:space="preserve"> Table 14 of ADAR</w:t>
      </w:r>
    </w:p>
    <w:p w14:paraId="63A4B18A" w14:textId="4FB346B3" w:rsidR="003D7D0B" w:rsidRPr="002E6226" w:rsidRDefault="003E1793" w:rsidP="00C515CE">
      <w:pPr>
        <w:pStyle w:val="Instructionaltext"/>
        <w:rPr>
          <w:color w:val="auto"/>
        </w:rPr>
      </w:pPr>
      <w:r w:rsidRPr="002E6226">
        <w:rPr>
          <w:color w:val="auto"/>
        </w:rPr>
        <w:t xml:space="preserve">The comparator </w:t>
      </w:r>
      <w:r w:rsidR="002C06FC" w:rsidRPr="002E6226">
        <w:rPr>
          <w:color w:val="auto"/>
        </w:rPr>
        <w:t xml:space="preserve">in practice should be </w:t>
      </w:r>
      <w:r w:rsidRPr="002E6226">
        <w:rPr>
          <w:color w:val="auto"/>
        </w:rPr>
        <w:t xml:space="preserve">the absence of the new service or usual care. This might involve usual pharmacist advice, provision of prescription and/or over the counter medication, </w:t>
      </w:r>
      <w:r w:rsidR="0014787C" w:rsidRPr="002E6226">
        <w:rPr>
          <w:color w:val="auto"/>
        </w:rPr>
        <w:t xml:space="preserve">a GP consultation and </w:t>
      </w:r>
      <w:r w:rsidR="00DD031D" w:rsidRPr="002E6226">
        <w:rPr>
          <w:color w:val="auto"/>
        </w:rPr>
        <w:t xml:space="preserve">management plan, </w:t>
      </w:r>
      <w:r w:rsidRPr="002E6226">
        <w:rPr>
          <w:color w:val="auto"/>
        </w:rPr>
        <w:t xml:space="preserve">referral to other health professionals, </w:t>
      </w:r>
      <w:r w:rsidR="00DD031D" w:rsidRPr="002E6226">
        <w:rPr>
          <w:color w:val="auto"/>
        </w:rPr>
        <w:t xml:space="preserve">a Home Medicines Review, </w:t>
      </w:r>
      <w:r w:rsidRPr="002E6226">
        <w:rPr>
          <w:color w:val="auto"/>
        </w:rPr>
        <w:t xml:space="preserve">or a standard MedsCheck delivered by pharmacists who had not undergone the study training (although </w:t>
      </w:r>
      <w:r w:rsidR="00F26668" w:rsidRPr="002E6226">
        <w:rPr>
          <w:color w:val="auto"/>
        </w:rPr>
        <w:t xml:space="preserve">it is possible that </w:t>
      </w:r>
      <w:r w:rsidRPr="002E6226">
        <w:rPr>
          <w:color w:val="auto"/>
        </w:rPr>
        <w:t>not all CMPC participants would have been eligible for a MedsCheck under the current eligibility criteria</w:t>
      </w:r>
      <w:r w:rsidR="00F26668" w:rsidRPr="002E6226">
        <w:rPr>
          <w:color w:val="auto"/>
        </w:rPr>
        <w:t xml:space="preserve">. For example, </w:t>
      </w:r>
      <w:r w:rsidR="0014787C" w:rsidRPr="002E6226">
        <w:rPr>
          <w:color w:val="auto"/>
        </w:rPr>
        <w:t>it is unclear if all participants took five or more prescription medications</w:t>
      </w:r>
      <w:r w:rsidRPr="002E6226">
        <w:rPr>
          <w:color w:val="auto"/>
        </w:rPr>
        <w:t>). Self-management or dependency may or may not have been addressed at a later date by another healthcare professional. T</w:t>
      </w:r>
      <w:r w:rsidR="00831B91" w:rsidRPr="002E6226">
        <w:rPr>
          <w:color w:val="auto"/>
        </w:rPr>
        <w:t xml:space="preserve">here was </w:t>
      </w:r>
      <w:r w:rsidR="005C0706" w:rsidRPr="002E6226">
        <w:rPr>
          <w:color w:val="auto"/>
        </w:rPr>
        <w:t xml:space="preserve">no </w:t>
      </w:r>
      <w:r w:rsidR="00831B91" w:rsidRPr="002E6226">
        <w:rPr>
          <w:color w:val="auto"/>
        </w:rPr>
        <w:t xml:space="preserve">usual </w:t>
      </w:r>
      <w:r w:rsidR="005C0706" w:rsidRPr="002E6226">
        <w:rPr>
          <w:color w:val="auto"/>
        </w:rPr>
        <w:t xml:space="preserve">care </w:t>
      </w:r>
      <w:r w:rsidR="00831B91" w:rsidRPr="002E6226">
        <w:rPr>
          <w:color w:val="auto"/>
        </w:rPr>
        <w:t>group followed for three months</w:t>
      </w:r>
      <w:r w:rsidRPr="002E6226">
        <w:rPr>
          <w:color w:val="auto"/>
        </w:rPr>
        <w:t xml:space="preserve"> in the trial</w:t>
      </w:r>
      <w:r w:rsidR="00831B91" w:rsidRPr="002E6226">
        <w:rPr>
          <w:color w:val="auto"/>
        </w:rPr>
        <w:t xml:space="preserve">. </w:t>
      </w:r>
      <w:r w:rsidRPr="002E6226">
        <w:rPr>
          <w:color w:val="auto"/>
        </w:rPr>
        <w:t>B</w:t>
      </w:r>
      <w:r w:rsidR="003D7D0B" w:rsidRPr="002E6226">
        <w:rPr>
          <w:color w:val="auto"/>
        </w:rPr>
        <w:t xml:space="preserve">aseline measurements </w:t>
      </w:r>
      <w:r w:rsidRPr="002E6226">
        <w:rPr>
          <w:color w:val="auto"/>
        </w:rPr>
        <w:t xml:space="preserve">were used to estimate the likely costs and outcomes for the </w:t>
      </w:r>
      <w:r w:rsidR="003D7D0B" w:rsidRPr="002E6226">
        <w:rPr>
          <w:color w:val="auto"/>
        </w:rPr>
        <w:t xml:space="preserve">‘treatment as usual’ </w:t>
      </w:r>
      <w:r w:rsidRPr="002E6226">
        <w:rPr>
          <w:color w:val="auto"/>
        </w:rPr>
        <w:t xml:space="preserve">case but it is unknown how well </w:t>
      </w:r>
      <w:r w:rsidR="00BB7A48" w:rsidRPr="002E6226">
        <w:rPr>
          <w:color w:val="auto"/>
        </w:rPr>
        <w:t>these capture</w:t>
      </w:r>
      <w:r w:rsidRPr="002E6226">
        <w:rPr>
          <w:color w:val="auto"/>
        </w:rPr>
        <w:t xml:space="preserve"> </w:t>
      </w:r>
      <w:r w:rsidR="003D7D0B" w:rsidRPr="002E6226">
        <w:rPr>
          <w:color w:val="auto"/>
        </w:rPr>
        <w:t xml:space="preserve">how participants’ health status would have changed over time, without </w:t>
      </w:r>
      <w:r w:rsidR="00A44E97" w:rsidRPr="002E6226">
        <w:rPr>
          <w:color w:val="auto"/>
        </w:rPr>
        <w:t xml:space="preserve">the CPMC </w:t>
      </w:r>
      <w:r w:rsidR="003D7D0B" w:rsidRPr="002E6226">
        <w:rPr>
          <w:color w:val="auto"/>
        </w:rPr>
        <w:t xml:space="preserve">intervention. The course of pain is typically episodic for people living with chronic pain, where regression to the mean often occurs over time. </w:t>
      </w:r>
    </w:p>
    <w:p w14:paraId="46B486C4" w14:textId="16A2D92F" w:rsidR="006D600E" w:rsidRPr="006D600E" w:rsidRDefault="00831B91" w:rsidP="006D600E">
      <w:pPr>
        <w:pStyle w:val="Instructionaltext"/>
        <w:rPr>
          <w:color w:val="auto"/>
        </w:rPr>
      </w:pPr>
      <w:r w:rsidRPr="002E6226">
        <w:rPr>
          <w:color w:val="auto"/>
        </w:rPr>
        <w:t xml:space="preserve">For such an intervention, it </w:t>
      </w:r>
      <w:r w:rsidR="004E415C" w:rsidRPr="002E6226">
        <w:rPr>
          <w:color w:val="auto"/>
        </w:rPr>
        <w:t>can be</w:t>
      </w:r>
      <w:r w:rsidRPr="002E6226">
        <w:rPr>
          <w:color w:val="auto"/>
        </w:rPr>
        <w:t xml:space="preserve"> difficult to design a placebo intervention, but a treatment as usual group would have been appropriate</w:t>
      </w:r>
      <w:r w:rsidR="0035140E" w:rsidRPr="002E6226">
        <w:rPr>
          <w:color w:val="auto"/>
        </w:rPr>
        <w:t xml:space="preserve"> </w:t>
      </w:r>
      <w:r w:rsidR="003E1793" w:rsidRPr="002E6226">
        <w:rPr>
          <w:color w:val="auto"/>
        </w:rPr>
        <w:t xml:space="preserve">to capture the likely outcomes for the </w:t>
      </w:r>
      <w:r w:rsidR="0035140E" w:rsidRPr="002E6226">
        <w:rPr>
          <w:color w:val="auto"/>
        </w:rPr>
        <w:t>comparator.</w:t>
      </w:r>
      <w:r w:rsidR="003E1793" w:rsidRPr="002E6226">
        <w:rPr>
          <w:color w:val="auto"/>
        </w:rPr>
        <w:t xml:space="preserve"> This is especially important where </w:t>
      </w:r>
      <w:r w:rsidR="00496736">
        <w:rPr>
          <w:color w:val="auto"/>
        </w:rPr>
        <w:t xml:space="preserve">the rate of </w:t>
      </w:r>
      <w:r w:rsidR="0008592F" w:rsidRPr="002E6226">
        <w:rPr>
          <w:color w:val="auto"/>
        </w:rPr>
        <w:t>attrition</w:t>
      </w:r>
      <w:r w:rsidR="003E1793" w:rsidRPr="002E6226">
        <w:rPr>
          <w:color w:val="auto"/>
        </w:rPr>
        <w:t xml:space="preserve"> is </w:t>
      </w:r>
      <w:r w:rsidR="00A44E97" w:rsidRPr="002E6226">
        <w:rPr>
          <w:color w:val="auto"/>
        </w:rPr>
        <w:t xml:space="preserve">likely to be </w:t>
      </w:r>
      <w:r w:rsidR="00496736">
        <w:rPr>
          <w:color w:val="auto"/>
        </w:rPr>
        <w:t>high</w:t>
      </w:r>
      <w:r w:rsidR="003E1793" w:rsidRPr="002E6226">
        <w:rPr>
          <w:color w:val="auto"/>
        </w:rPr>
        <w:t>.</w:t>
      </w:r>
      <w:r w:rsidR="0035140E" w:rsidRPr="002E6226">
        <w:rPr>
          <w:color w:val="auto"/>
        </w:rPr>
        <w:t xml:space="preserve"> </w:t>
      </w:r>
      <w:r w:rsidR="006D600E">
        <w:rPr>
          <w:color w:val="auto"/>
        </w:rPr>
        <w:br w:type="page"/>
      </w:r>
    </w:p>
    <w:p w14:paraId="47BC3A84" w14:textId="5E59E143" w:rsidR="00772829" w:rsidRPr="00CE28E3" w:rsidRDefault="00772829" w:rsidP="00C7722F">
      <w:pPr>
        <w:pStyle w:val="Heading2"/>
        <w:numPr>
          <w:ilvl w:val="0"/>
          <w:numId w:val="18"/>
        </w:numPr>
        <w:ind w:hanging="720"/>
        <w:jc w:val="both"/>
      </w:pPr>
      <w:bookmarkStart w:id="16" w:name="_Toc69491421"/>
      <w:r w:rsidRPr="00CE28E3">
        <w:lastRenderedPageBreak/>
        <w:t xml:space="preserve">Summary of public consultation </w:t>
      </w:r>
      <w:r w:rsidR="0052575D">
        <w:t>input</w:t>
      </w:r>
      <w:bookmarkEnd w:id="16"/>
    </w:p>
    <w:p w14:paraId="06DE50D7" w14:textId="4C728D1C" w:rsidR="00D741E2" w:rsidRDefault="00D741E2" w:rsidP="00D741E2">
      <w:r>
        <w:t xml:space="preserve">Consultation feedback was received from </w:t>
      </w:r>
      <w:r w:rsidR="008517E6">
        <w:t>ten</w:t>
      </w:r>
      <w:r>
        <w:t xml:space="preserve"> organisations and one individual: </w:t>
      </w:r>
    </w:p>
    <w:p w14:paraId="19CFFF8E" w14:textId="77777777" w:rsidR="00D741E2" w:rsidRDefault="00D741E2" w:rsidP="00D741E2">
      <w:pPr>
        <w:pStyle w:val="ListParagraph"/>
        <w:numPr>
          <w:ilvl w:val="0"/>
          <w:numId w:val="29"/>
        </w:numPr>
        <w:spacing w:before="0"/>
        <w:rPr>
          <w:bCs/>
        </w:rPr>
      </w:pPr>
      <w:r w:rsidRPr="00D91606">
        <w:rPr>
          <w:bCs/>
        </w:rPr>
        <w:t xml:space="preserve">North Western Melbourne Primary Health Network (NWMPHN), </w:t>
      </w:r>
    </w:p>
    <w:p w14:paraId="5B8BADF2" w14:textId="77777777" w:rsidR="00D741E2" w:rsidRDefault="00D741E2" w:rsidP="00D741E2">
      <w:pPr>
        <w:pStyle w:val="ListParagraph"/>
        <w:numPr>
          <w:ilvl w:val="0"/>
          <w:numId w:val="29"/>
        </w:numPr>
        <w:spacing w:before="0"/>
        <w:rPr>
          <w:bCs/>
        </w:rPr>
      </w:pPr>
      <w:r w:rsidRPr="00D91606">
        <w:rPr>
          <w:bCs/>
        </w:rPr>
        <w:t xml:space="preserve">Australian Pain Society (APS), </w:t>
      </w:r>
    </w:p>
    <w:p w14:paraId="189D0212" w14:textId="77777777" w:rsidR="00D741E2" w:rsidRDefault="00D741E2" w:rsidP="00D741E2">
      <w:pPr>
        <w:pStyle w:val="ListParagraph"/>
        <w:numPr>
          <w:ilvl w:val="0"/>
          <w:numId w:val="29"/>
        </w:numPr>
        <w:spacing w:before="0"/>
        <w:rPr>
          <w:bCs/>
        </w:rPr>
      </w:pPr>
      <w:r w:rsidRPr="00D91606">
        <w:rPr>
          <w:bCs/>
        </w:rPr>
        <w:t xml:space="preserve">Musculoskeletal Australia, </w:t>
      </w:r>
    </w:p>
    <w:p w14:paraId="5A652841" w14:textId="77777777" w:rsidR="00D741E2" w:rsidRDefault="00D741E2" w:rsidP="00D741E2">
      <w:pPr>
        <w:pStyle w:val="ListParagraph"/>
        <w:numPr>
          <w:ilvl w:val="0"/>
          <w:numId w:val="29"/>
        </w:numPr>
        <w:spacing w:before="0"/>
        <w:rPr>
          <w:bCs/>
        </w:rPr>
      </w:pPr>
      <w:r w:rsidRPr="00D91606">
        <w:rPr>
          <w:bCs/>
        </w:rPr>
        <w:t xml:space="preserve">the Australian Pain Management Association (APMA), </w:t>
      </w:r>
    </w:p>
    <w:p w14:paraId="75C63CE5" w14:textId="77777777" w:rsidR="00D741E2" w:rsidRDefault="00D741E2" w:rsidP="00D741E2">
      <w:pPr>
        <w:pStyle w:val="ListParagraph"/>
        <w:numPr>
          <w:ilvl w:val="0"/>
          <w:numId w:val="29"/>
        </w:numPr>
        <w:spacing w:before="0"/>
        <w:rPr>
          <w:bCs/>
        </w:rPr>
      </w:pPr>
      <w:r w:rsidRPr="00D91606">
        <w:rPr>
          <w:bCs/>
        </w:rPr>
        <w:t xml:space="preserve">the Royal Australian College of General Practitioners (RACGP), </w:t>
      </w:r>
    </w:p>
    <w:p w14:paraId="511B23FD" w14:textId="77777777" w:rsidR="00D741E2" w:rsidRDefault="00D741E2" w:rsidP="00D741E2">
      <w:pPr>
        <w:pStyle w:val="ListParagraph"/>
        <w:numPr>
          <w:ilvl w:val="0"/>
          <w:numId w:val="29"/>
        </w:numPr>
        <w:spacing w:before="0"/>
        <w:rPr>
          <w:bCs/>
        </w:rPr>
      </w:pPr>
      <w:r w:rsidRPr="00D91606">
        <w:rPr>
          <w:bCs/>
        </w:rPr>
        <w:t>the Australian Medical Association (AMA)</w:t>
      </w:r>
      <w:r>
        <w:rPr>
          <w:bCs/>
        </w:rPr>
        <w:t>;</w:t>
      </w:r>
      <w:r w:rsidRPr="00D91606">
        <w:rPr>
          <w:bCs/>
        </w:rPr>
        <w:t xml:space="preserve"> and </w:t>
      </w:r>
    </w:p>
    <w:p w14:paraId="1940720F" w14:textId="77777777" w:rsidR="00D741E2" w:rsidRDefault="00D741E2" w:rsidP="00D741E2">
      <w:pPr>
        <w:pStyle w:val="ListParagraph"/>
        <w:numPr>
          <w:ilvl w:val="0"/>
          <w:numId w:val="29"/>
        </w:numPr>
        <w:spacing w:before="0"/>
        <w:rPr>
          <w:bCs/>
        </w:rPr>
      </w:pPr>
      <w:r w:rsidRPr="00D91606">
        <w:rPr>
          <w:bCs/>
        </w:rPr>
        <w:t>the National Rural Health Alliance (NRHA)</w:t>
      </w:r>
    </w:p>
    <w:p w14:paraId="5864786C" w14:textId="77777777" w:rsidR="00D741E2" w:rsidRDefault="00D741E2" w:rsidP="00D741E2">
      <w:pPr>
        <w:pStyle w:val="ListParagraph"/>
        <w:numPr>
          <w:ilvl w:val="0"/>
          <w:numId w:val="29"/>
        </w:numPr>
        <w:spacing w:before="0"/>
        <w:rPr>
          <w:bCs/>
        </w:rPr>
      </w:pPr>
      <w:r>
        <w:rPr>
          <w:bCs/>
        </w:rPr>
        <w:t>the Australian Society of Anaesthetists (ASA)</w:t>
      </w:r>
    </w:p>
    <w:p w14:paraId="216CB24F" w14:textId="77777777" w:rsidR="00D741E2" w:rsidRDefault="00D741E2" w:rsidP="00D741E2">
      <w:pPr>
        <w:pStyle w:val="ListParagraph"/>
        <w:numPr>
          <w:ilvl w:val="0"/>
          <w:numId w:val="29"/>
        </w:numPr>
        <w:spacing w:before="0"/>
        <w:rPr>
          <w:bCs/>
        </w:rPr>
      </w:pPr>
      <w:r>
        <w:rPr>
          <w:bCs/>
        </w:rPr>
        <w:t>the Faculty of Pain Medicine (FPM)</w:t>
      </w:r>
    </w:p>
    <w:p w14:paraId="620149D4" w14:textId="651F63C5" w:rsidR="00D741E2" w:rsidRPr="00D91606" w:rsidRDefault="00D741E2" w:rsidP="00D741E2">
      <w:pPr>
        <w:pStyle w:val="ListParagraph"/>
        <w:numPr>
          <w:ilvl w:val="0"/>
          <w:numId w:val="29"/>
        </w:numPr>
        <w:spacing w:before="0"/>
        <w:rPr>
          <w:bCs/>
        </w:rPr>
      </w:pPr>
      <w:r>
        <w:rPr>
          <w:bCs/>
        </w:rPr>
        <w:t xml:space="preserve">the </w:t>
      </w:r>
      <w:r>
        <w:t>Pharmaceutical Society of Australia</w:t>
      </w:r>
      <w:r>
        <w:rPr>
          <w:bCs/>
        </w:rPr>
        <w:t xml:space="preserve"> (PSA)</w:t>
      </w:r>
      <w:r w:rsidR="001F38CD">
        <w:rPr>
          <w:bCs/>
        </w:rPr>
        <w:t>.</w:t>
      </w:r>
    </w:p>
    <w:p w14:paraId="667A2EA4" w14:textId="77777777" w:rsidR="00D741E2" w:rsidRPr="00987BF2" w:rsidRDefault="00D741E2" w:rsidP="00D741E2">
      <w:pPr>
        <w:rPr>
          <w:rFonts w:cstheme="minorHAnsi"/>
          <w:b/>
          <w:bCs/>
        </w:rPr>
      </w:pPr>
      <w:r w:rsidRPr="00987BF2">
        <w:rPr>
          <w:rFonts w:cstheme="minorHAnsi"/>
          <w:b/>
          <w:bCs/>
        </w:rPr>
        <w:t xml:space="preserve">The advantages of the proposed </w:t>
      </w:r>
      <w:r>
        <w:rPr>
          <w:rFonts w:cstheme="minorHAnsi"/>
          <w:b/>
          <w:bCs/>
        </w:rPr>
        <w:t>service</w:t>
      </w:r>
      <w:r w:rsidRPr="00987BF2">
        <w:rPr>
          <w:rFonts w:cstheme="minorHAnsi"/>
          <w:b/>
          <w:bCs/>
        </w:rPr>
        <w:t xml:space="preserve"> were stated to be:</w:t>
      </w:r>
    </w:p>
    <w:p w14:paraId="785C479B" w14:textId="77777777" w:rsidR="00D741E2" w:rsidRPr="00F114E1" w:rsidRDefault="00D741E2" w:rsidP="00D741E2">
      <w:pPr>
        <w:pStyle w:val="ListParagraph"/>
        <w:numPr>
          <w:ilvl w:val="0"/>
          <w:numId w:val="27"/>
        </w:numPr>
        <w:spacing w:before="0"/>
        <w:rPr>
          <w:rFonts w:cstheme="minorHAnsi"/>
        </w:rPr>
      </w:pPr>
      <w:r>
        <w:rPr>
          <w:rFonts w:cstheme="minorHAnsi"/>
        </w:rPr>
        <w:t xml:space="preserve">Improved access to high-quality </w:t>
      </w:r>
      <w:r w:rsidRPr="00F114E1">
        <w:rPr>
          <w:rFonts w:cstheme="minorHAnsi"/>
        </w:rPr>
        <w:t xml:space="preserve">pain services in the community. Intervention likely to contribute to addressing the greater need for reduced access to services in rural areas. </w:t>
      </w:r>
    </w:p>
    <w:p w14:paraId="6F012426" w14:textId="3FB01C33" w:rsidR="00D741E2" w:rsidRPr="0024496F" w:rsidRDefault="00D741E2" w:rsidP="006D600E">
      <w:pPr>
        <w:pStyle w:val="ListParagraph"/>
        <w:numPr>
          <w:ilvl w:val="0"/>
          <w:numId w:val="27"/>
        </w:numPr>
        <w:spacing w:before="0"/>
      </w:pPr>
      <w:r w:rsidRPr="001F38CD">
        <w:rPr>
          <w:rFonts w:cstheme="minorHAnsi"/>
        </w:rPr>
        <w:t>Improvements in health outcomes such as pain severity, pain interference, psychological distress, pain self-efficacy and self-management. Statistically significant changes in general activities and sleep.  Improvements in nutritional measures.</w:t>
      </w:r>
      <w:r w:rsidR="001F38CD">
        <w:rPr>
          <w:rFonts w:cstheme="minorHAnsi"/>
        </w:rPr>
        <w:t xml:space="preserve"> </w:t>
      </w:r>
      <w:r w:rsidRPr="001F38CD">
        <w:rPr>
          <w:rFonts w:cstheme="minorHAnsi"/>
        </w:rPr>
        <w:t>Improved health literacy and patient education by early intervention for the person experiencing pain who may be using medications in an unsafe manner.</w:t>
      </w:r>
    </w:p>
    <w:p w14:paraId="19D4B680" w14:textId="77777777" w:rsidR="00D741E2" w:rsidRPr="00987BF2" w:rsidRDefault="00D741E2" w:rsidP="00D741E2">
      <w:pPr>
        <w:pStyle w:val="ListParagraph"/>
        <w:numPr>
          <w:ilvl w:val="0"/>
          <w:numId w:val="27"/>
        </w:numPr>
        <w:spacing w:before="0"/>
        <w:rPr>
          <w:rFonts w:cstheme="minorHAnsi"/>
        </w:rPr>
      </w:pPr>
      <w:r w:rsidRPr="00987BF2">
        <w:rPr>
          <w:rFonts w:cstheme="minorHAnsi"/>
        </w:rPr>
        <w:t>Earlier intervention for patients at risk of developing sub-acute or chronic pain or therapeutic opioid</w:t>
      </w:r>
      <w:r>
        <w:rPr>
          <w:rFonts w:cstheme="minorHAnsi"/>
        </w:rPr>
        <w:t xml:space="preserve"> </w:t>
      </w:r>
      <w:r w:rsidRPr="00987BF2">
        <w:rPr>
          <w:rFonts w:cstheme="minorHAnsi"/>
        </w:rPr>
        <w:t>problems and preventing their occurrence</w:t>
      </w:r>
      <w:r>
        <w:rPr>
          <w:rFonts w:cstheme="minorHAnsi"/>
        </w:rPr>
        <w:t>.</w:t>
      </w:r>
    </w:p>
    <w:p w14:paraId="106A072C" w14:textId="77777777" w:rsidR="00D741E2" w:rsidRPr="00987BF2" w:rsidRDefault="00D741E2" w:rsidP="00D741E2">
      <w:pPr>
        <w:pStyle w:val="ListParagraph"/>
        <w:numPr>
          <w:ilvl w:val="0"/>
          <w:numId w:val="27"/>
        </w:numPr>
        <w:spacing w:before="0"/>
        <w:rPr>
          <w:rFonts w:cstheme="minorHAnsi"/>
        </w:rPr>
      </w:pPr>
      <w:r w:rsidRPr="00987BF2">
        <w:rPr>
          <w:rFonts w:cstheme="minorHAnsi"/>
        </w:rPr>
        <w:t>Decreased utilisation of primary healthcare e.g., General Practitioner services and decreased presentations to Emergency Departments for chronic pain management and pain medication related</w:t>
      </w:r>
      <w:r>
        <w:rPr>
          <w:rFonts w:cstheme="minorHAnsi"/>
        </w:rPr>
        <w:t xml:space="preserve"> </w:t>
      </w:r>
      <w:r w:rsidRPr="00987BF2">
        <w:rPr>
          <w:rFonts w:cstheme="minorHAnsi"/>
        </w:rPr>
        <w:t>adverse effects</w:t>
      </w:r>
      <w:r>
        <w:rPr>
          <w:rFonts w:cstheme="minorHAnsi"/>
        </w:rPr>
        <w:t>.</w:t>
      </w:r>
    </w:p>
    <w:p w14:paraId="4EA1DF14" w14:textId="77777777" w:rsidR="00D741E2" w:rsidRDefault="00D741E2" w:rsidP="00D741E2">
      <w:pPr>
        <w:pStyle w:val="ListParagraph"/>
        <w:numPr>
          <w:ilvl w:val="0"/>
          <w:numId w:val="27"/>
        </w:numPr>
        <w:spacing w:before="0"/>
        <w:rPr>
          <w:rFonts w:cstheme="minorHAnsi"/>
        </w:rPr>
      </w:pPr>
      <w:r w:rsidRPr="00EB4755">
        <w:rPr>
          <w:rFonts w:cstheme="minorHAnsi"/>
        </w:rPr>
        <w:t>Additional skills training for pharmacists.</w:t>
      </w:r>
    </w:p>
    <w:p w14:paraId="32F7CFAB" w14:textId="77777777" w:rsidR="00D741E2" w:rsidRPr="008D795F" w:rsidRDefault="00D741E2" w:rsidP="00D741E2">
      <w:pPr>
        <w:pStyle w:val="ListParagraph"/>
        <w:numPr>
          <w:ilvl w:val="0"/>
          <w:numId w:val="27"/>
        </w:numPr>
        <w:spacing w:before="0"/>
      </w:pPr>
      <w:r w:rsidRPr="00005B38">
        <w:rPr>
          <w:rFonts w:cstheme="minorHAnsi"/>
        </w:rPr>
        <w:t xml:space="preserve">The CPMC service is helpful for those who also buy their vitamins, supplements, medicinal cannabis, NSAIDs etc from chemists. </w:t>
      </w:r>
    </w:p>
    <w:p w14:paraId="67E69EF2" w14:textId="77777777" w:rsidR="00D741E2" w:rsidRPr="00987BF2" w:rsidRDefault="00D741E2" w:rsidP="00D741E2">
      <w:pPr>
        <w:rPr>
          <w:rFonts w:cstheme="minorHAnsi"/>
          <w:b/>
          <w:bCs/>
        </w:rPr>
      </w:pPr>
      <w:r w:rsidRPr="00987BF2">
        <w:rPr>
          <w:rFonts w:cstheme="minorHAnsi"/>
          <w:b/>
          <w:bCs/>
        </w:rPr>
        <w:t xml:space="preserve">The disadvantages of the proposed </w:t>
      </w:r>
      <w:r>
        <w:rPr>
          <w:rFonts w:cstheme="minorHAnsi"/>
          <w:b/>
          <w:bCs/>
        </w:rPr>
        <w:t>service</w:t>
      </w:r>
      <w:r w:rsidRPr="00987BF2">
        <w:rPr>
          <w:rFonts w:cstheme="minorHAnsi"/>
          <w:b/>
          <w:bCs/>
        </w:rPr>
        <w:t xml:space="preserve"> were stated to be:</w:t>
      </w:r>
    </w:p>
    <w:p w14:paraId="156CA33A" w14:textId="77777777" w:rsidR="00D741E2" w:rsidRDefault="00D741E2" w:rsidP="00D741E2">
      <w:pPr>
        <w:pStyle w:val="ListParagraph"/>
        <w:numPr>
          <w:ilvl w:val="0"/>
          <w:numId w:val="27"/>
        </w:numPr>
        <w:spacing w:before="0"/>
        <w:rPr>
          <w:rFonts w:cstheme="minorHAnsi"/>
        </w:rPr>
      </w:pPr>
      <w:r>
        <w:rPr>
          <w:rFonts w:cstheme="minorHAnsi"/>
        </w:rPr>
        <w:t xml:space="preserve">Lack of involvement of patient GP. Potential to reduce coordination of care. May </w:t>
      </w:r>
      <w:r w:rsidRPr="00EB4755">
        <w:rPr>
          <w:rFonts w:cstheme="minorHAnsi"/>
        </w:rPr>
        <w:t>dilute</w:t>
      </w:r>
      <w:r>
        <w:rPr>
          <w:rFonts w:cstheme="minorHAnsi"/>
        </w:rPr>
        <w:t xml:space="preserve"> an </w:t>
      </w:r>
      <w:r w:rsidRPr="00EB4755">
        <w:rPr>
          <w:rFonts w:cstheme="minorHAnsi"/>
        </w:rPr>
        <w:t>important health service interaction with a patient’s GP that can reduce the burden of chronic pain medication usage.</w:t>
      </w:r>
    </w:p>
    <w:p w14:paraId="42D2367D" w14:textId="4F171014" w:rsidR="00D741E2" w:rsidRPr="001F38CD" w:rsidRDefault="00D741E2" w:rsidP="006D600E">
      <w:pPr>
        <w:pStyle w:val="ListParagraph"/>
        <w:numPr>
          <w:ilvl w:val="0"/>
          <w:numId w:val="27"/>
        </w:numPr>
        <w:spacing w:before="0"/>
        <w:rPr>
          <w:rFonts w:cstheme="minorHAnsi"/>
        </w:rPr>
      </w:pPr>
      <w:r>
        <w:rPr>
          <w:rFonts w:cstheme="minorHAnsi"/>
        </w:rPr>
        <w:t>Chronic Pain Management is best managed by multidisciplinary teams.</w:t>
      </w:r>
      <w:r w:rsidRPr="008E18BB">
        <w:t xml:space="preserve"> </w:t>
      </w:r>
      <w:r w:rsidRPr="008E18BB">
        <w:rPr>
          <w:rFonts w:cstheme="minorHAnsi"/>
        </w:rPr>
        <w:t>This is where a pharmacist should work collaboratively within this arrangement.</w:t>
      </w:r>
      <w:r>
        <w:rPr>
          <w:rFonts w:cstheme="minorHAnsi"/>
        </w:rPr>
        <w:t xml:space="preserve"> This work cannot be performed in silos where the other factors driving chronic pain are not addressed.</w:t>
      </w:r>
      <w:r w:rsidRPr="00D51AD4">
        <w:rPr>
          <w:rFonts w:cstheme="minorHAnsi"/>
        </w:rPr>
        <w:t xml:space="preserve"> </w:t>
      </w:r>
      <w:r w:rsidRPr="00EB4755">
        <w:rPr>
          <w:rFonts w:cstheme="minorHAnsi"/>
        </w:rPr>
        <w:t>Patients with chronic pain require multidisciplinary care rather than that provided by a single</w:t>
      </w:r>
      <w:r w:rsidR="001F38CD">
        <w:rPr>
          <w:rFonts w:cstheme="minorHAnsi"/>
        </w:rPr>
        <w:t xml:space="preserve"> </w:t>
      </w:r>
      <w:r w:rsidRPr="001F38CD">
        <w:rPr>
          <w:rFonts w:cstheme="minorHAnsi"/>
        </w:rPr>
        <w:t>practitioner (regardless of specialty). Others considered chronic pain is best managed through a medical specialist-led multidisciplinary approach. Isolated measures can fragment and duplicate care.</w:t>
      </w:r>
    </w:p>
    <w:p w14:paraId="15812B89" w14:textId="77777777" w:rsidR="00D741E2" w:rsidRPr="00987BF2" w:rsidRDefault="00D741E2" w:rsidP="00D741E2">
      <w:pPr>
        <w:pStyle w:val="ListParagraph"/>
        <w:numPr>
          <w:ilvl w:val="0"/>
          <w:numId w:val="27"/>
        </w:numPr>
        <w:spacing w:before="0"/>
        <w:rPr>
          <w:rFonts w:cstheme="minorHAnsi"/>
        </w:rPr>
      </w:pPr>
      <w:r>
        <w:rPr>
          <w:rFonts w:cstheme="minorHAnsi"/>
        </w:rPr>
        <w:t>No</w:t>
      </w:r>
      <w:r w:rsidRPr="00EB4755">
        <w:rPr>
          <w:rFonts w:cstheme="minorHAnsi"/>
        </w:rPr>
        <w:t xml:space="preserve"> benefit of this service for patients, their famil</w:t>
      </w:r>
      <w:r>
        <w:rPr>
          <w:rFonts w:cstheme="minorHAnsi"/>
        </w:rPr>
        <w:t>ies</w:t>
      </w:r>
      <w:r w:rsidRPr="00EB4755">
        <w:rPr>
          <w:rFonts w:cstheme="minorHAnsi"/>
        </w:rPr>
        <w:t xml:space="preserve"> and carers.</w:t>
      </w:r>
    </w:p>
    <w:p w14:paraId="176FDD3F" w14:textId="77777777" w:rsidR="00D741E2" w:rsidRPr="00F114E1" w:rsidRDefault="00D741E2" w:rsidP="00D741E2">
      <w:pPr>
        <w:pStyle w:val="ListParagraph"/>
        <w:numPr>
          <w:ilvl w:val="0"/>
          <w:numId w:val="27"/>
        </w:numPr>
        <w:spacing w:before="0"/>
        <w:rPr>
          <w:rFonts w:cstheme="minorHAnsi"/>
        </w:rPr>
      </w:pPr>
      <w:r>
        <w:rPr>
          <w:rFonts w:cstheme="minorHAnsi"/>
        </w:rPr>
        <w:t xml:space="preserve">The studied population were not receiving pain medicine or interventions at the start of the study. </w:t>
      </w:r>
    </w:p>
    <w:p w14:paraId="39876F63" w14:textId="77777777" w:rsidR="00D741E2" w:rsidRDefault="00D741E2" w:rsidP="00D741E2">
      <w:pPr>
        <w:pStyle w:val="ListParagraph"/>
        <w:numPr>
          <w:ilvl w:val="0"/>
          <w:numId w:val="27"/>
        </w:numPr>
        <w:spacing w:before="0"/>
        <w:rPr>
          <w:rFonts w:cstheme="minorHAnsi"/>
        </w:rPr>
      </w:pPr>
      <w:r>
        <w:rPr>
          <w:rFonts w:cstheme="minorHAnsi"/>
        </w:rPr>
        <w:t>Inequitable access to service as patient participation is dependent on an existing relationship with the pharmacist.</w:t>
      </w:r>
    </w:p>
    <w:p w14:paraId="1BC8F6F8" w14:textId="77777777" w:rsidR="00D741E2" w:rsidRPr="00EB4755" w:rsidRDefault="00D741E2" w:rsidP="00D741E2">
      <w:pPr>
        <w:pStyle w:val="ListParagraph"/>
        <w:numPr>
          <w:ilvl w:val="0"/>
          <w:numId w:val="27"/>
        </w:numPr>
        <w:spacing w:before="0"/>
        <w:rPr>
          <w:rFonts w:cstheme="minorHAnsi"/>
        </w:rPr>
      </w:pPr>
      <w:r>
        <w:rPr>
          <w:rFonts w:cstheme="minorHAnsi"/>
        </w:rPr>
        <w:t>People with c</w:t>
      </w:r>
      <w:r w:rsidRPr="00EB4755">
        <w:rPr>
          <w:rFonts w:cstheme="minorHAnsi"/>
        </w:rPr>
        <w:t xml:space="preserve">hronic Pain </w:t>
      </w:r>
      <w:r>
        <w:rPr>
          <w:rFonts w:cstheme="minorHAnsi"/>
        </w:rPr>
        <w:t>are</w:t>
      </w:r>
      <w:r w:rsidRPr="00EB4755">
        <w:rPr>
          <w:rFonts w:cstheme="minorHAnsi"/>
        </w:rPr>
        <w:t xml:space="preserve"> a vulnerable group of patients, that require close monitoring and the development of a sustained therapeutic relationship.</w:t>
      </w:r>
    </w:p>
    <w:p w14:paraId="07B73EF2" w14:textId="77777777" w:rsidR="00D741E2" w:rsidRPr="00EB4755" w:rsidRDefault="00D741E2" w:rsidP="00D741E2">
      <w:pPr>
        <w:pStyle w:val="ListParagraph"/>
        <w:numPr>
          <w:ilvl w:val="0"/>
          <w:numId w:val="27"/>
        </w:numPr>
        <w:spacing w:before="0"/>
        <w:rPr>
          <w:rFonts w:cstheme="minorHAnsi"/>
        </w:rPr>
      </w:pPr>
      <w:r w:rsidRPr="00EB4755">
        <w:rPr>
          <w:rFonts w:cstheme="minorHAnsi"/>
        </w:rPr>
        <w:lastRenderedPageBreak/>
        <w:t>Scheduling conflicts between the person, their carers and pharmacists</w:t>
      </w:r>
    </w:p>
    <w:p w14:paraId="1BF67BE5" w14:textId="77777777" w:rsidR="00D741E2" w:rsidRPr="00EB4755" w:rsidRDefault="00D741E2" w:rsidP="00D741E2">
      <w:pPr>
        <w:pStyle w:val="ListParagraph"/>
        <w:numPr>
          <w:ilvl w:val="0"/>
          <w:numId w:val="27"/>
        </w:numPr>
        <w:spacing w:before="0"/>
        <w:rPr>
          <w:rFonts w:cstheme="minorHAnsi"/>
        </w:rPr>
      </w:pPr>
      <w:r w:rsidRPr="00EB4755">
        <w:rPr>
          <w:rFonts w:cstheme="minorHAnsi"/>
        </w:rPr>
        <w:t>Frequent interruptions to pain management sessions if staffing levels within participating</w:t>
      </w:r>
    </w:p>
    <w:p w14:paraId="59FBB996" w14:textId="62369FCD" w:rsidR="00D741E2" w:rsidRPr="00F114E1" w:rsidRDefault="00D741E2" w:rsidP="00D741E2">
      <w:pPr>
        <w:pStyle w:val="ListParagraph"/>
        <w:numPr>
          <w:ilvl w:val="0"/>
          <w:numId w:val="27"/>
        </w:numPr>
        <w:spacing w:before="0"/>
        <w:rPr>
          <w:rFonts w:cstheme="minorHAnsi"/>
        </w:rPr>
      </w:pPr>
      <w:r w:rsidRPr="00EB4755">
        <w:rPr>
          <w:rFonts w:cstheme="minorHAnsi"/>
        </w:rPr>
        <w:t>pharmacists is not sufficient</w:t>
      </w:r>
      <w:r>
        <w:rPr>
          <w:rFonts w:cstheme="minorHAnsi"/>
        </w:rPr>
        <w:t>.</w:t>
      </w:r>
      <w:r w:rsidR="001F38CD">
        <w:rPr>
          <w:rFonts w:cstheme="minorHAnsi"/>
        </w:rPr>
        <w:t xml:space="preserve"> </w:t>
      </w:r>
      <w:r w:rsidRPr="00EB4755">
        <w:rPr>
          <w:rFonts w:cstheme="minorHAnsi"/>
        </w:rPr>
        <w:t>The time required for each consultation was underestimated by pharmacists involved in the trial</w:t>
      </w:r>
      <w:r>
        <w:rPr>
          <w:rFonts w:cstheme="minorHAnsi"/>
        </w:rPr>
        <w:t>.</w:t>
      </w:r>
    </w:p>
    <w:p w14:paraId="290B8E94" w14:textId="77777777" w:rsidR="00D741E2" w:rsidRDefault="00D741E2" w:rsidP="00D741E2">
      <w:pPr>
        <w:pStyle w:val="ListParagraph"/>
        <w:numPr>
          <w:ilvl w:val="0"/>
          <w:numId w:val="27"/>
        </w:numPr>
        <w:spacing w:before="0"/>
        <w:rPr>
          <w:rFonts w:cstheme="minorHAnsi"/>
        </w:rPr>
      </w:pPr>
      <w:r w:rsidRPr="00CC270A">
        <w:rPr>
          <w:rFonts w:cstheme="minorHAnsi"/>
        </w:rPr>
        <w:t>There is a significant amount of scrutiny and monitoring in Australia around opioid prescription practices. Our community tells us that they feel disadvantaged and are often subject to tapering without their own voice being heard or considered. The CPMC service needs to be managed sensitively</w:t>
      </w:r>
      <w:r>
        <w:rPr>
          <w:rFonts w:cstheme="minorHAnsi"/>
        </w:rPr>
        <w:t xml:space="preserve"> </w:t>
      </w:r>
      <w:r w:rsidRPr="00CC270A">
        <w:rPr>
          <w:rFonts w:cstheme="minorHAnsi"/>
        </w:rPr>
        <w:t>for a community already struggling with pain management.</w:t>
      </w:r>
    </w:p>
    <w:p w14:paraId="3B698A80" w14:textId="77777777" w:rsidR="00D741E2" w:rsidRDefault="00D741E2" w:rsidP="00D741E2">
      <w:pPr>
        <w:pStyle w:val="ListParagraph"/>
        <w:numPr>
          <w:ilvl w:val="0"/>
          <w:numId w:val="27"/>
        </w:numPr>
        <w:spacing w:before="0"/>
        <w:rPr>
          <w:rFonts w:cstheme="minorHAnsi"/>
        </w:rPr>
      </w:pPr>
      <w:r>
        <w:rPr>
          <w:rFonts w:cstheme="minorHAnsi"/>
        </w:rPr>
        <w:t>RACGP has serious concerns with the proposed CPMC model and its potential to shift chronic pain diagnosis and management away from medically trained professionals, leading to isolation and fragmentation of patient care. RACGP also has issues with the trial findings.</w:t>
      </w:r>
    </w:p>
    <w:p w14:paraId="5AF315F5" w14:textId="77777777" w:rsidR="00D741E2" w:rsidRPr="00ED48E1" w:rsidRDefault="00D741E2" w:rsidP="00D741E2">
      <w:pPr>
        <w:pStyle w:val="ListParagraph"/>
        <w:numPr>
          <w:ilvl w:val="0"/>
          <w:numId w:val="27"/>
        </w:numPr>
        <w:spacing w:before="0"/>
        <w:rPr>
          <w:rFonts w:cstheme="minorHAnsi"/>
        </w:rPr>
      </w:pPr>
      <w:r>
        <w:rPr>
          <w:rFonts w:cstheme="minorHAnsi"/>
        </w:rPr>
        <w:t>Lack of reference to Aboriginal and Torres Strait Islander participants in the trial.</w:t>
      </w:r>
    </w:p>
    <w:p w14:paraId="3A9E4074" w14:textId="77777777" w:rsidR="00D741E2" w:rsidRPr="00987BF2" w:rsidRDefault="00D741E2" w:rsidP="00D741E2">
      <w:pPr>
        <w:rPr>
          <w:rFonts w:cstheme="minorHAnsi"/>
          <w:b/>
          <w:bCs/>
        </w:rPr>
      </w:pPr>
      <w:r w:rsidRPr="00987BF2">
        <w:rPr>
          <w:rFonts w:cstheme="minorHAnsi"/>
          <w:b/>
          <w:bCs/>
        </w:rPr>
        <w:t>The following other points were raised:</w:t>
      </w:r>
    </w:p>
    <w:p w14:paraId="641B83EC" w14:textId="77777777" w:rsidR="00D741E2" w:rsidRDefault="00D741E2" w:rsidP="00D741E2">
      <w:pPr>
        <w:pStyle w:val="ListParagraph"/>
        <w:numPr>
          <w:ilvl w:val="0"/>
          <w:numId w:val="28"/>
        </w:numPr>
        <w:spacing w:before="0"/>
      </w:pPr>
      <w:r>
        <w:t>The ultimate area of increased funding should lie within the remit of their GP, given the centrality of their relationship to their patient.</w:t>
      </w:r>
    </w:p>
    <w:p w14:paraId="0EA0D026" w14:textId="77777777" w:rsidR="00D741E2" w:rsidRDefault="00D741E2" w:rsidP="00D741E2">
      <w:pPr>
        <w:pStyle w:val="ListParagraph"/>
        <w:numPr>
          <w:ilvl w:val="0"/>
          <w:numId w:val="28"/>
        </w:numPr>
        <w:spacing w:before="0"/>
      </w:pPr>
      <w:r>
        <w:t>Pharmacists conducting pain management reviews would benefit from access to hospital discharge Summaries for persons who have had an inpatient or Emergency Department presentation and any relevant pain history including previous treatments, imaging and referrals.</w:t>
      </w:r>
    </w:p>
    <w:p w14:paraId="4A5E0C5C" w14:textId="77777777" w:rsidR="00D741E2" w:rsidRDefault="00D741E2" w:rsidP="00D741E2">
      <w:pPr>
        <w:pStyle w:val="ListParagraph"/>
        <w:numPr>
          <w:ilvl w:val="0"/>
          <w:numId w:val="28"/>
        </w:numPr>
        <w:spacing w:before="0"/>
      </w:pPr>
      <w:r>
        <w:t>There needs to be good communication from the pharmacist and the general practitioner to ensure a continued therapeutic relationship and appropriate care delivery.</w:t>
      </w:r>
    </w:p>
    <w:p w14:paraId="150CF500" w14:textId="77777777" w:rsidR="00D741E2" w:rsidRDefault="00D741E2" w:rsidP="00D741E2">
      <w:pPr>
        <w:pStyle w:val="ListParagraph"/>
        <w:numPr>
          <w:ilvl w:val="0"/>
          <w:numId w:val="28"/>
        </w:numPr>
        <w:spacing w:before="0"/>
      </w:pPr>
      <w:r>
        <w:t>O</w:t>
      </w:r>
      <w:r w:rsidRPr="00227D49">
        <w:t xml:space="preserve">ther services </w:t>
      </w:r>
      <w:r>
        <w:t xml:space="preserve">such as </w:t>
      </w:r>
      <w:r w:rsidRPr="00227D49">
        <w:t>psychological services and physiotherapy</w:t>
      </w:r>
      <w:r>
        <w:t xml:space="preserve"> need to be involved</w:t>
      </w:r>
      <w:r w:rsidRPr="00227D49">
        <w:t>.</w:t>
      </w:r>
      <w:r>
        <w:t xml:space="preserve"> Consideration needs to be given to the ability of pharmacists to refer to allied health practitioners e.g. physiotherapists, psychologists, social workers.</w:t>
      </w:r>
    </w:p>
    <w:p w14:paraId="2D1FB0BB" w14:textId="03E16419" w:rsidR="00D741E2" w:rsidRDefault="00D741E2" w:rsidP="00D741E2">
      <w:pPr>
        <w:pStyle w:val="ListParagraph"/>
        <w:numPr>
          <w:ilvl w:val="0"/>
          <w:numId w:val="28"/>
        </w:numPr>
        <w:spacing w:before="0"/>
      </w:pPr>
      <w:r>
        <w:t>A review of MBS codes for chronic care provided by allied health professionals needs to be conducted.</w:t>
      </w:r>
    </w:p>
    <w:p w14:paraId="33CBC476" w14:textId="77777777" w:rsidR="00D741E2" w:rsidRDefault="00D741E2" w:rsidP="00D741E2">
      <w:pPr>
        <w:pStyle w:val="ListParagraph"/>
        <w:numPr>
          <w:ilvl w:val="0"/>
          <w:numId w:val="28"/>
        </w:numPr>
        <w:spacing w:before="0"/>
      </w:pPr>
      <w:r w:rsidRPr="00585D9A">
        <w:t>A better approach - Pharmacists in general practice</w:t>
      </w:r>
      <w:r>
        <w:t xml:space="preserve"> - </w:t>
      </w:r>
      <w:r w:rsidRPr="00585D9A">
        <w:t>The RACGP notes many of the trials funded under the Community Pharmacy Agreements, including the CPMC Trial, are implemented largely in isolation from general practice and other important primary care services. These trials represent a missed opportunity to support pharmacists to provide high-quality medication services in close alignment and collaboration with their local general practice, which has the potential to significantly improve patient outcomes</w:t>
      </w:r>
      <w:r>
        <w:t>.</w:t>
      </w:r>
    </w:p>
    <w:p w14:paraId="75F6438A" w14:textId="035B1C42" w:rsidR="002967DE" w:rsidRPr="006D600E" w:rsidRDefault="00D741E2" w:rsidP="00F611E3">
      <w:pPr>
        <w:pStyle w:val="ListParagraph"/>
        <w:numPr>
          <w:ilvl w:val="0"/>
          <w:numId w:val="28"/>
        </w:numPr>
        <w:spacing w:before="0"/>
      </w:pPr>
      <w:r>
        <w:t>Comprehensive training in evidence-based pain science and the biopsychosocial management of chronic pain, including the role of other health professionals and when to refer on, is essential to this intervention. Such training must be contemporary, regularly updated and accessible to pharmacists living throughout the country.</w:t>
      </w:r>
    </w:p>
    <w:p w14:paraId="03C7A1F1" w14:textId="17E22FCC" w:rsidR="00772829" w:rsidRPr="00CE28E3" w:rsidRDefault="00772829" w:rsidP="00C7722F">
      <w:pPr>
        <w:pStyle w:val="Heading2"/>
        <w:numPr>
          <w:ilvl w:val="0"/>
          <w:numId w:val="18"/>
        </w:numPr>
        <w:ind w:hanging="720"/>
        <w:jc w:val="both"/>
      </w:pPr>
      <w:bookmarkStart w:id="17" w:name="_Toc69491422"/>
      <w:r w:rsidRPr="00CE28E3">
        <w:t>Characteristics of the evidence base</w:t>
      </w:r>
      <w:bookmarkEnd w:id="17"/>
    </w:p>
    <w:p w14:paraId="2A436862" w14:textId="63D7035B" w:rsidR="00E07726" w:rsidRDefault="00E07726" w:rsidP="00C515CE">
      <w:pPr>
        <w:pStyle w:val="Instructionaltext"/>
        <w:rPr>
          <w:color w:val="auto"/>
        </w:rPr>
      </w:pPr>
      <w:r>
        <w:rPr>
          <w:color w:val="auto"/>
        </w:rPr>
        <w:t>The ADAR</w:t>
      </w:r>
      <w:r w:rsidR="00E66529">
        <w:rPr>
          <w:color w:val="auto"/>
        </w:rPr>
        <w:t xml:space="preserve"> included a single study, the Chronic Pain MedsCheck (CPMC) </w:t>
      </w:r>
      <w:r w:rsidR="00470EC6">
        <w:rPr>
          <w:color w:val="auto"/>
        </w:rPr>
        <w:t>t</w:t>
      </w:r>
      <w:r w:rsidR="00E66529">
        <w:rPr>
          <w:color w:val="auto"/>
        </w:rPr>
        <w:t>rial.</w:t>
      </w:r>
    </w:p>
    <w:p w14:paraId="2409BC3B" w14:textId="7E8B93FF" w:rsidR="004916C6" w:rsidRPr="00CD12C7" w:rsidRDefault="004916C6" w:rsidP="00C515CE">
      <w:pPr>
        <w:pStyle w:val="Instructionaltext"/>
        <w:rPr>
          <w:color w:val="auto"/>
        </w:rPr>
      </w:pPr>
      <w:r w:rsidRPr="00CD12C7">
        <w:rPr>
          <w:color w:val="auto"/>
        </w:rPr>
        <w:t xml:space="preserve">As confirmed by the applicant, the ADAR is the final trial report. There was no other final report or publication produced on numbers. Perhaps due to the prescribed ADAR format, the </w:t>
      </w:r>
      <w:r w:rsidR="00470EC6">
        <w:rPr>
          <w:color w:val="auto"/>
        </w:rPr>
        <w:t>t</w:t>
      </w:r>
      <w:r w:rsidRPr="00CD12C7">
        <w:rPr>
          <w:color w:val="auto"/>
        </w:rPr>
        <w:t xml:space="preserve">rial was not reported consistently with standards outlined in the </w:t>
      </w:r>
      <w:r w:rsidR="00A33020">
        <w:rPr>
          <w:color w:val="auto"/>
        </w:rPr>
        <w:t>Strengthening the Reporting of Observational Studies in Epidemiology (</w:t>
      </w:r>
      <w:r w:rsidRPr="00CD12C7">
        <w:rPr>
          <w:color w:val="auto"/>
        </w:rPr>
        <w:t>STROBE</w:t>
      </w:r>
      <w:r w:rsidR="00A33020">
        <w:rPr>
          <w:color w:val="auto"/>
        </w:rPr>
        <w:t>)</w:t>
      </w:r>
      <w:r w:rsidRPr="00CD12C7">
        <w:rPr>
          <w:color w:val="auto"/>
        </w:rPr>
        <w:t xml:space="preserve"> and </w:t>
      </w:r>
      <w:r w:rsidR="00A33020">
        <w:rPr>
          <w:color w:val="auto"/>
        </w:rPr>
        <w:t>Consolidating Standards of Reporting Trials</w:t>
      </w:r>
      <w:r w:rsidR="00A33020" w:rsidRPr="00CD12C7">
        <w:rPr>
          <w:color w:val="auto"/>
        </w:rPr>
        <w:t xml:space="preserve"> </w:t>
      </w:r>
      <w:r w:rsidR="00A33020">
        <w:rPr>
          <w:color w:val="auto"/>
        </w:rPr>
        <w:t>(</w:t>
      </w:r>
      <w:r w:rsidRPr="00CD12C7">
        <w:rPr>
          <w:color w:val="auto"/>
        </w:rPr>
        <w:t>CONSORT</w:t>
      </w:r>
      <w:r w:rsidR="00A33020">
        <w:rPr>
          <w:color w:val="auto"/>
        </w:rPr>
        <w:t>)</w:t>
      </w:r>
      <w:r w:rsidRPr="00CD12C7">
        <w:rPr>
          <w:color w:val="auto"/>
        </w:rPr>
        <w:t xml:space="preserve"> statements, as stated in the </w:t>
      </w:r>
      <w:r w:rsidR="00470EC6">
        <w:rPr>
          <w:color w:val="auto"/>
        </w:rPr>
        <w:t>t</w:t>
      </w:r>
      <w:r w:rsidRPr="00CD12C7">
        <w:rPr>
          <w:color w:val="auto"/>
        </w:rPr>
        <w:t xml:space="preserve">rial </w:t>
      </w:r>
      <w:r w:rsidR="00470EC6">
        <w:rPr>
          <w:color w:val="auto"/>
        </w:rPr>
        <w:t>p</w:t>
      </w:r>
      <w:r w:rsidRPr="00CD12C7">
        <w:rPr>
          <w:color w:val="auto"/>
        </w:rPr>
        <w:t xml:space="preserve">rotocol. The trial does not appear to be registered in the Australian New Zealand </w:t>
      </w:r>
      <w:r w:rsidR="00054ECD">
        <w:rPr>
          <w:color w:val="auto"/>
        </w:rPr>
        <w:t>C</w:t>
      </w:r>
      <w:r w:rsidRPr="00CD12C7">
        <w:rPr>
          <w:color w:val="auto"/>
        </w:rPr>
        <w:t xml:space="preserve">linical </w:t>
      </w:r>
      <w:r w:rsidR="00054ECD">
        <w:rPr>
          <w:color w:val="auto"/>
        </w:rPr>
        <w:t>T</w:t>
      </w:r>
      <w:r w:rsidRPr="00CD12C7">
        <w:rPr>
          <w:color w:val="auto"/>
        </w:rPr>
        <w:t xml:space="preserve">rials </w:t>
      </w:r>
      <w:r w:rsidR="00054ECD">
        <w:rPr>
          <w:color w:val="auto"/>
        </w:rPr>
        <w:t>R</w:t>
      </w:r>
      <w:r w:rsidRPr="00CD12C7">
        <w:rPr>
          <w:color w:val="auto"/>
        </w:rPr>
        <w:t xml:space="preserve">egistry or ClinicalTrials.gov. Prospective trial registration, </w:t>
      </w:r>
      <w:r w:rsidRPr="00CD12C7">
        <w:rPr>
          <w:color w:val="auto"/>
        </w:rPr>
        <w:lastRenderedPageBreak/>
        <w:t>in a publicly accessible database, is a requirement set out in the Declaration of Helsinki, which is the cornerstone document guiding the ethical conduct of research in humans by physicians.</w:t>
      </w:r>
    </w:p>
    <w:p w14:paraId="3F6F0D5E" w14:textId="724557D0" w:rsidR="00B13CC2" w:rsidRDefault="00E66529" w:rsidP="00C515CE">
      <w:pPr>
        <w:pStyle w:val="Instructionaltext"/>
        <w:rPr>
          <w:color w:val="auto"/>
        </w:rPr>
      </w:pPr>
      <w:r>
        <w:rPr>
          <w:color w:val="auto"/>
        </w:rPr>
        <w:t xml:space="preserve">The CPMC trial was a pre-post </w:t>
      </w:r>
      <w:r w:rsidR="00F96998">
        <w:rPr>
          <w:color w:val="auto"/>
        </w:rPr>
        <w:t xml:space="preserve">trial </w:t>
      </w:r>
      <w:r w:rsidR="0006074F">
        <w:rPr>
          <w:color w:val="auto"/>
        </w:rPr>
        <w:t>with random assignment of</w:t>
      </w:r>
      <w:r w:rsidR="006248A9">
        <w:rPr>
          <w:color w:val="auto"/>
        </w:rPr>
        <w:t xml:space="preserve"> clusters (individual pharmacies) to a study arm</w:t>
      </w:r>
      <w:r w:rsidR="00B13CC2">
        <w:rPr>
          <w:color w:val="auto"/>
        </w:rPr>
        <w:t>:</w:t>
      </w:r>
    </w:p>
    <w:p w14:paraId="6946A891" w14:textId="65D4D065" w:rsidR="00B13CC2" w:rsidRDefault="00B13CC2" w:rsidP="00C7722F">
      <w:pPr>
        <w:pStyle w:val="Instructionaltext"/>
        <w:numPr>
          <w:ilvl w:val="0"/>
          <w:numId w:val="12"/>
        </w:numPr>
        <w:rPr>
          <w:color w:val="auto"/>
        </w:rPr>
      </w:pPr>
      <w:r w:rsidRPr="00B13CC2">
        <w:rPr>
          <w:color w:val="auto"/>
        </w:rPr>
        <w:t xml:space="preserve">An initial </w:t>
      </w:r>
      <w:r>
        <w:rPr>
          <w:color w:val="auto"/>
        </w:rPr>
        <w:t xml:space="preserve">and 3-month </w:t>
      </w:r>
      <w:r w:rsidRPr="00B13CC2">
        <w:rPr>
          <w:color w:val="auto"/>
        </w:rPr>
        <w:t>in-pharmacy face-to-face consultation between the pharmacist and the trial participant</w:t>
      </w:r>
      <w:r w:rsidR="006F6B58">
        <w:rPr>
          <w:color w:val="auto"/>
        </w:rPr>
        <w:t xml:space="preserve"> (Group A)</w:t>
      </w:r>
      <w:r w:rsidR="00C22E8F">
        <w:rPr>
          <w:color w:val="auto"/>
        </w:rPr>
        <w:t>.</w:t>
      </w:r>
    </w:p>
    <w:p w14:paraId="791F5854" w14:textId="1B300B3F" w:rsidR="006F6B58" w:rsidRDefault="006F6B58" w:rsidP="00C7722F">
      <w:pPr>
        <w:pStyle w:val="Instructionaltext"/>
        <w:numPr>
          <w:ilvl w:val="0"/>
          <w:numId w:val="12"/>
        </w:numPr>
        <w:rPr>
          <w:color w:val="auto"/>
        </w:rPr>
      </w:pPr>
      <w:r w:rsidRPr="00B13CC2">
        <w:rPr>
          <w:color w:val="auto"/>
        </w:rPr>
        <w:t xml:space="preserve">An initial </w:t>
      </w:r>
      <w:r>
        <w:rPr>
          <w:color w:val="auto"/>
        </w:rPr>
        <w:t xml:space="preserve">and 3-month </w:t>
      </w:r>
      <w:r w:rsidRPr="00B13CC2">
        <w:rPr>
          <w:color w:val="auto"/>
        </w:rPr>
        <w:t>in-pharmacy face-to-face consultation between the pharmacist and the trial participant</w:t>
      </w:r>
      <w:r>
        <w:rPr>
          <w:color w:val="auto"/>
        </w:rPr>
        <w:t>, with an additional telephone consultation 6 weeks after the initial consultation (Group B)</w:t>
      </w:r>
      <w:r w:rsidR="00A4503B">
        <w:rPr>
          <w:color w:val="auto"/>
        </w:rPr>
        <w:t>.</w:t>
      </w:r>
    </w:p>
    <w:p w14:paraId="1D2C3A71" w14:textId="0011FD9C" w:rsidR="00A4503B" w:rsidRPr="002E6226" w:rsidRDefault="00A4503B" w:rsidP="00C515CE">
      <w:pPr>
        <w:pStyle w:val="Instructionaltext"/>
        <w:rPr>
          <w:color w:val="auto"/>
        </w:rPr>
      </w:pPr>
      <w:r>
        <w:rPr>
          <w:color w:val="auto"/>
        </w:rPr>
        <w:t xml:space="preserve">Additionally, </w:t>
      </w:r>
      <w:r w:rsidR="004916C6">
        <w:rPr>
          <w:color w:val="auto"/>
        </w:rPr>
        <w:t xml:space="preserve">pharmacies in </w:t>
      </w:r>
      <w:r>
        <w:rPr>
          <w:color w:val="auto"/>
        </w:rPr>
        <w:t xml:space="preserve">each arm </w:t>
      </w:r>
      <w:r w:rsidR="004916C6">
        <w:rPr>
          <w:color w:val="auto"/>
        </w:rPr>
        <w:t>were randomly allocated</w:t>
      </w:r>
      <w:r>
        <w:rPr>
          <w:color w:val="auto"/>
        </w:rPr>
        <w:t xml:space="preserve"> into ‘main trial’ and ‘evaluation’ groups. There was no difference in the intervention delivered in ‘main trial’ and ‘evaluation’ groups, but there were additional outcomes collected in the ‘evaluation’ group: quality of life, self-management, health literacy, and service satisfaction. The ‘evaluation’ groups were intended to compare Group A and Group B</w:t>
      </w:r>
      <w:r w:rsidR="004916C6">
        <w:rPr>
          <w:color w:val="auto"/>
        </w:rPr>
        <w:t xml:space="preserve">, and the power of the </w:t>
      </w:r>
      <w:r w:rsidR="00A02C6E">
        <w:rPr>
          <w:color w:val="auto"/>
        </w:rPr>
        <w:t>t</w:t>
      </w:r>
      <w:r w:rsidR="004916C6">
        <w:rPr>
          <w:color w:val="auto"/>
        </w:rPr>
        <w:t>rial is based on this ‘evaluation’ group sub</w:t>
      </w:r>
      <w:r w:rsidR="00687752">
        <w:rPr>
          <w:color w:val="auto"/>
        </w:rPr>
        <w:t>-study (the ‘evaluation trial’)</w:t>
      </w:r>
      <w:r w:rsidR="004916C6">
        <w:rPr>
          <w:color w:val="auto"/>
        </w:rPr>
        <w:t>.</w:t>
      </w:r>
      <w:r w:rsidR="004916C6" w:rsidRPr="00577405">
        <w:t xml:space="preserve"> </w:t>
      </w:r>
      <w:r w:rsidR="004916C6" w:rsidRPr="0032249F">
        <w:rPr>
          <w:color w:val="auto"/>
        </w:rPr>
        <w:t xml:space="preserve">Due to insufficient participant recruitment numbers at the evaluation sites and some of these sites withdrawing from the trial, </w:t>
      </w:r>
      <w:r w:rsidR="004916C6">
        <w:rPr>
          <w:color w:val="auto"/>
        </w:rPr>
        <w:t xml:space="preserve">additional ‘main trial’ sites were selected at random to become ‘evaluation’ trial sites in June 2019. </w:t>
      </w:r>
      <w:r w:rsidR="004916C6" w:rsidRPr="002E6226">
        <w:rPr>
          <w:color w:val="auto"/>
        </w:rPr>
        <w:t xml:space="preserve">The sample size calculation was based on detecting a difference in the study primary outcomes of the AQoL-4D, the PIH scale, and the BPI-sf in ‘evaluation’ sites, and assumed a 40% loss to follow up. However, the </w:t>
      </w:r>
      <w:r w:rsidR="00687752" w:rsidRPr="002E6226">
        <w:rPr>
          <w:color w:val="auto"/>
        </w:rPr>
        <w:t>‘evaluation trial’</w:t>
      </w:r>
      <w:r w:rsidR="004916C6" w:rsidRPr="002E6226">
        <w:rPr>
          <w:color w:val="auto"/>
        </w:rPr>
        <w:t xml:space="preserve"> still did not meet the pre-specified required sample size calculated for Group B</w:t>
      </w:r>
      <w:r w:rsidRPr="002E6226">
        <w:rPr>
          <w:color w:val="auto"/>
        </w:rPr>
        <w:t>.</w:t>
      </w:r>
    </w:p>
    <w:p w14:paraId="480861CF" w14:textId="62A851E2" w:rsidR="000B4AD6" w:rsidRPr="002E6226" w:rsidRDefault="000B4AD6" w:rsidP="00C515CE">
      <w:pPr>
        <w:pStyle w:val="Instructionaltext"/>
        <w:rPr>
          <w:color w:val="auto"/>
        </w:rPr>
      </w:pPr>
      <w:r w:rsidRPr="002E6226">
        <w:rPr>
          <w:color w:val="auto"/>
        </w:rPr>
        <w:t xml:space="preserve">There was no ‘usual care’ group in the </w:t>
      </w:r>
      <w:r w:rsidR="00A02C6E">
        <w:rPr>
          <w:color w:val="auto"/>
        </w:rPr>
        <w:t>t</w:t>
      </w:r>
      <w:r w:rsidRPr="002E6226">
        <w:rPr>
          <w:color w:val="auto"/>
        </w:rPr>
        <w:t>rial. The baseline measurements used as a proxy for usual care are unlikely to represent ‘treatment as usual’ outcomes and may not represent how participants’ health status would have changed over time, without the intervention. The course of pain is typically episodic for many people living with chronic pain, where regression to the mean often occurs over time. Baseline measurements may be capturing people seeking treatment during a pain flare up. Comparing these measurements to outcomes after a period of time when the pain flare may have resolved for a number of reasons) unrelated to the current intervention (such as regression to the mean</w:t>
      </w:r>
      <w:r w:rsidR="00BD32EA" w:rsidRPr="002E6226">
        <w:rPr>
          <w:color w:val="auto"/>
        </w:rPr>
        <w:t>)</w:t>
      </w:r>
      <w:r w:rsidRPr="002E6226">
        <w:rPr>
          <w:color w:val="auto"/>
        </w:rPr>
        <w:t xml:space="preserve"> may not be appropriate.</w:t>
      </w:r>
    </w:p>
    <w:p w14:paraId="15146535" w14:textId="2260AFCF" w:rsidR="00E66529" w:rsidRDefault="006248A9" w:rsidP="00C515CE">
      <w:pPr>
        <w:pStyle w:val="Instructionaltext"/>
        <w:rPr>
          <w:color w:val="auto"/>
        </w:rPr>
      </w:pPr>
      <w:r w:rsidRPr="006248A9">
        <w:rPr>
          <w:color w:val="auto"/>
        </w:rPr>
        <w:t>Participants, investigators and assessors were not blinded to the treatment allocation.</w:t>
      </w:r>
    </w:p>
    <w:p w14:paraId="32B1D88B" w14:textId="4D3AFD99" w:rsidR="000370CC" w:rsidRPr="002E6226" w:rsidRDefault="0098691C" w:rsidP="00C515CE">
      <w:pPr>
        <w:pStyle w:val="Instructionaltext"/>
        <w:rPr>
          <w:color w:val="auto"/>
        </w:rPr>
      </w:pPr>
      <w:r w:rsidRPr="002E6226">
        <w:rPr>
          <w:color w:val="auto"/>
        </w:rPr>
        <w:t>T</w:t>
      </w:r>
      <w:r w:rsidR="000370CC" w:rsidRPr="002E6226">
        <w:rPr>
          <w:color w:val="auto"/>
        </w:rPr>
        <w:t xml:space="preserve">he ADAR did not conduct a risk of bias assessment of the </w:t>
      </w:r>
      <w:r w:rsidR="008F18AB" w:rsidRPr="002E6226">
        <w:rPr>
          <w:color w:val="auto"/>
        </w:rPr>
        <w:t xml:space="preserve">CPMC </w:t>
      </w:r>
      <w:r w:rsidR="00470EC6">
        <w:rPr>
          <w:color w:val="auto"/>
        </w:rPr>
        <w:t>t</w:t>
      </w:r>
      <w:r w:rsidR="008F18AB" w:rsidRPr="002E6226">
        <w:rPr>
          <w:color w:val="auto"/>
        </w:rPr>
        <w:t>rial</w:t>
      </w:r>
      <w:r w:rsidR="000370CC" w:rsidRPr="002E6226">
        <w:rPr>
          <w:color w:val="auto"/>
        </w:rPr>
        <w:t xml:space="preserve"> using an appropriate tool. During the evaluation, a risk of bias assessment using the</w:t>
      </w:r>
      <w:r w:rsidR="00A33020" w:rsidRPr="00A33020">
        <w:rPr>
          <w:color w:val="auto"/>
        </w:rPr>
        <w:t xml:space="preserve"> </w:t>
      </w:r>
      <w:r w:rsidR="00A33020">
        <w:rPr>
          <w:color w:val="auto"/>
        </w:rPr>
        <w:t>National Institutes of Health</w:t>
      </w:r>
      <w:r w:rsidR="000370CC" w:rsidRPr="002E6226">
        <w:rPr>
          <w:color w:val="auto"/>
        </w:rPr>
        <w:t xml:space="preserve"> </w:t>
      </w:r>
      <w:r w:rsidR="00A33020">
        <w:rPr>
          <w:color w:val="auto"/>
        </w:rPr>
        <w:t>(</w:t>
      </w:r>
      <w:r w:rsidR="000370CC" w:rsidRPr="002E6226">
        <w:rPr>
          <w:color w:val="auto"/>
        </w:rPr>
        <w:t>NIH</w:t>
      </w:r>
      <w:r w:rsidR="00A33020">
        <w:rPr>
          <w:color w:val="auto"/>
        </w:rPr>
        <w:t>)</w:t>
      </w:r>
      <w:r w:rsidR="000370CC" w:rsidRPr="002E6226">
        <w:rPr>
          <w:color w:val="auto"/>
        </w:rPr>
        <w:t xml:space="preserve"> Quality Assessment Tool for Before-After (Pre-Post) Studies With No Control Group was conducted. </w:t>
      </w:r>
    </w:p>
    <w:p w14:paraId="6BCD2C1A" w14:textId="05C5FA5B" w:rsidR="000370CC" w:rsidRPr="002E6226" w:rsidRDefault="000370CC" w:rsidP="00C515CE">
      <w:pPr>
        <w:pStyle w:val="Instructionaltext"/>
        <w:rPr>
          <w:color w:val="auto"/>
        </w:rPr>
      </w:pPr>
      <w:r w:rsidRPr="002E6226">
        <w:rPr>
          <w:color w:val="auto"/>
        </w:rPr>
        <w:t xml:space="preserve">The study is considered to be at a high risk of bias </w:t>
      </w:r>
      <w:r w:rsidR="003D38AC" w:rsidRPr="002E6226">
        <w:rPr>
          <w:color w:val="auto"/>
        </w:rPr>
        <w:t>for the following reasons</w:t>
      </w:r>
      <w:r w:rsidRPr="002E6226">
        <w:rPr>
          <w:color w:val="auto"/>
        </w:rPr>
        <w:t>:</w:t>
      </w:r>
    </w:p>
    <w:p w14:paraId="0B829CC6" w14:textId="3EEE78E8" w:rsidR="006460B2" w:rsidRPr="002E6226" w:rsidRDefault="006460B2" w:rsidP="00C7722F">
      <w:pPr>
        <w:pStyle w:val="Instructionaltext"/>
        <w:numPr>
          <w:ilvl w:val="0"/>
          <w:numId w:val="11"/>
        </w:numPr>
        <w:rPr>
          <w:color w:val="auto"/>
        </w:rPr>
      </w:pPr>
      <w:r w:rsidRPr="002E6226">
        <w:rPr>
          <w:color w:val="auto"/>
        </w:rPr>
        <w:t xml:space="preserve">The ADAR did not </w:t>
      </w:r>
      <w:r w:rsidR="004916C6" w:rsidRPr="002E6226">
        <w:rPr>
          <w:color w:val="auto"/>
        </w:rPr>
        <w:t xml:space="preserve">include a participant flow diagram, and did not report the number of participants approached, screened, and deemed eligible and ineligible. Reasons for non-participation were not reported, despite the </w:t>
      </w:r>
      <w:r w:rsidR="00470EC6">
        <w:rPr>
          <w:color w:val="auto"/>
        </w:rPr>
        <w:t>t</w:t>
      </w:r>
      <w:r w:rsidR="004916C6" w:rsidRPr="002E6226">
        <w:rPr>
          <w:color w:val="auto"/>
        </w:rPr>
        <w:t xml:space="preserve">rial </w:t>
      </w:r>
      <w:r w:rsidR="00470EC6">
        <w:rPr>
          <w:color w:val="auto"/>
        </w:rPr>
        <w:t>p</w:t>
      </w:r>
      <w:r w:rsidR="004916C6" w:rsidRPr="002E6226">
        <w:rPr>
          <w:color w:val="auto"/>
        </w:rPr>
        <w:t>rotocol stating that they were collected. It seems unlikely that</w:t>
      </w:r>
      <w:r w:rsidRPr="002E6226">
        <w:rPr>
          <w:color w:val="auto"/>
        </w:rPr>
        <w:t xml:space="preserve"> all eligible participants were enrolled, as there were pharmacies who </w:t>
      </w:r>
      <w:r w:rsidR="00A937E7" w:rsidRPr="002E6226">
        <w:rPr>
          <w:color w:val="auto"/>
        </w:rPr>
        <w:t xml:space="preserve">registered for the </w:t>
      </w:r>
      <w:r w:rsidR="00470EC6">
        <w:rPr>
          <w:color w:val="auto"/>
        </w:rPr>
        <w:t>t</w:t>
      </w:r>
      <w:r w:rsidR="00A937E7" w:rsidRPr="002E6226">
        <w:rPr>
          <w:color w:val="auto"/>
        </w:rPr>
        <w:t xml:space="preserve">rial, completed the training, and commenced patient recruitment, but did not have a patient commence the </w:t>
      </w:r>
      <w:r w:rsidR="00470EC6">
        <w:rPr>
          <w:color w:val="auto"/>
        </w:rPr>
        <w:t>t</w:t>
      </w:r>
      <w:r w:rsidR="00A937E7" w:rsidRPr="002E6226">
        <w:rPr>
          <w:color w:val="auto"/>
        </w:rPr>
        <w:t>rial</w:t>
      </w:r>
      <w:r w:rsidRPr="002E6226">
        <w:rPr>
          <w:color w:val="auto"/>
        </w:rPr>
        <w:t xml:space="preserve">. </w:t>
      </w:r>
    </w:p>
    <w:p w14:paraId="3F937807" w14:textId="78AAFE28" w:rsidR="00B15D85" w:rsidRPr="002E6226" w:rsidRDefault="0058489B" w:rsidP="00C7722F">
      <w:pPr>
        <w:pStyle w:val="ListParagraph"/>
        <w:numPr>
          <w:ilvl w:val="0"/>
          <w:numId w:val="11"/>
        </w:numPr>
      </w:pPr>
      <w:r w:rsidRPr="002E6226">
        <w:t xml:space="preserve">The number enrolled in the Group B </w:t>
      </w:r>
      <w:r w:rsidR="008005E0" w:rsidRPr="002E6226">
        <w:t xml:space="preserve">evaluation </w:t>
      </w:r>
      <w:r w:rsidRPr="002E6226">
        <w:t>arm of the study (n=</w:t>
      </w:r>
      <w:r w:rsidR="008005E0" w:rsidRPr="002E6226">
        <w:t>940)</w:t>
      </w:r>
      <w:r w:rsidR="000C535E" w:rsidRPr="002E6226">
        <w:t xml:space="preserve"> did </w:t>
      </w:r>
      <w:r w:rsidR="008005E0" w:rsidRPr="002E6226">
        <w:t xml:space="preserve">not </w:t>
      </w:r>
      <w:r w:rsidR="000C535E" w:rsidRPr="002E6226">
        <w:t xml:space="preserve">meet the </w:t>
      </w:r>
      <w:r w:rsidR="00DA03BF" w:rsidRPr="002E6226">
        <w:t xml:space="preserve">sample </w:t>
      </w:r>
      <w:r w:rsidR="000C535E" w:rsidRPr="002E6226">
        <w:t xml:space="preserve">size required </w:t>
      </w:r>
      <w:r w:rsidR="00DA03BF" w:rsidRPr="002E6226">
        <w:t>to be powered to detect</w:t>
      </w:r>
      <w:r w:rsidR="00B15D85" w:rsidRPr="002E6226">
        <w:t xml:space="preserve"> the nominated differences in the primary outcomes</w:t>
      </w:r>
      <w:r w:rsidR="00DA03BF" w:rsidRPr="002E6226">
        <w:t xml:space="preserve"> </w:t>
      </w:r>
      <w:r w:rsidR="00B15D85" w:rsidRPr="002E6226">
        <w:t xml:space="preserve">including the AQoL-4D, the PIH scale, and the BPI-sf </w:t>
      </w:r>
      <w:r w:rsidR="000C535E" w:rsidRPr="002E6226">
        <w:t>(</w:t>
      </w:r>
      <w:r w:rsidR="008005E0" w:rsidRPr="002E6226">
        <w:t>n=</w:t>
      </w:r>
      <w:r w:rsidR="000C535E" w:rsidRPr="002E6226">
        <w:t>1201)</w:t>
      </w:r>
      <w:r w:rsidR="008005E0" w:rsidRPr="002E6226">
        <w:t>.</w:t>
      </w:r>
      <w:r w:rsidR="000C535E" w:rsidRPr="002E6226">
        <w:t xml:space="preserve"> </w:t>
      </w:r>
      <w:r w:rsidR="008005E0" w:rsidRPr="002E6226">
        <w:t>T</w:t>
      </w:r>
      <w:r w:rsidR="000C535E" w:rsidRPr="002E6226">
        <w:t xml:space="preserve">here was </w:t>
      </w:r>
      <w:r w:rsidR="008005E0" w:rsidRPr="002E6226">
        <w:t xml:space="preserve">also </w:t>
      </w:r>
      <w:r w:rsidR="000C535E" w:rsidRPr="002E6226">
        <w:t xml:space="preserve">higher than expected loss to </w:t>
      </w:r>
      <w:r w:rsidR="00DB50F9">
        <w:t xml:space="preserve">follow-up </w:t>
      </w:r>
      <w:r w:rsidR="004916C6" w:rsidRPr="002E6226">
        <w:t>(61% compared to the 40% allowed for in the sample size calculation)</w:t>
      </w:r>
      <w:r w:rsidR="000C535E" w:rsidRPr="002E6226">
        <w:t>, resulting in a</w:t>
      </w:r>
      <w:r w:rsidR="000370CC" w:rsidRPr="002E6226">
        <w:t xml:space="preserve"> small sample size </w:t>
      </w:r>
      <w:r w:rsidR="008005E0" w:rsidRPr="002E6226">
        <w:t xml:space="preserve">and </w:t>
      </w:r>
      <w:r w:rsidR="000C535E" w:rsidRPr="002E6226">
        <w:t>low</w:t>
      </w:r>
      <w:r w:rsidR="000370CC" w:rsidRPr="002E6226">
        <w:t xml:space="preserve"> confidence in </w:t>
      </w:r>
      <w:r w:rsidR="008005E0" w:rsidRPr="002E6226">
        <w:t xml:space="preserve">the </w:t>
      </w:r>
      <w:r w:rsidR="008005E0" w:rsidRPr="002E6226">
        <w:lastRenderedPageBreak/>
        <w:t>Group B evaluation findings</w:t>
      </w:r>
      <w:r w:rsidR="00CC147F" w:rsidRPr="002E6226">
        <w:t xml:space="preserve">. </w:t>
      </w:r>
      <w:r w:rsidR="00B15D85" w:rsidRPr="002E6226">
        <w:t xml:space="preserve">No </w:t>
      </w:r>
      <w:r w:rsidR="005C0706" w:rsidRPr="002E6226">
        <w:t xml:space="preserve">statistical </w:t>
      </w:r>
      <w:r w:rsidR="00B15D85" w:rsidRPr="002E6226">
        <w:t>adjustments for multiple comparisons appeared to have been made outside of the primary outcomes</w:t>
      </w:r>
      <w:r w:rsidR="00A47AC9" w:rsidRPr="002E6226">
        <w:t>.</w:t>
      </w:r>
    </w:p>
    <w:p w14:paraId="7EB089BA" w14:textId="52E52BDB" w:rsidR="00DD031D" w:rsidRPr="002E6226" w:rsidRDefault="003D38AC" w:rsidP="00C7722F">
      <w:pPr>
        <w:pStyle w:val="Instructionaltext"/>
        <w:numPr>
          <w:ilvl w:val="0"/>
          <w:numId w:val="11"/>
        </w:numPr>
        <w:rPr>
          <w:color w:val="auto"/>
        </w:rPr>
      </w:pPr>
      <w:r w:rsidRPr="002E6226">
        <w:rPr>
          <w:color w:val="auto"/>
        </w:rPr>
        <w:t>A l</w:t>
      </w:r>
      <w:r w:rsidR="006460B2" w:rsidRPr="002E6226">
        <w:rPr>
          <w:color w:val="auto"/>
        </w:rPr>
        <w:t>arge loss to follow-up after baseline (</w:t>
      </w:r>
      <w:r w:rsidR="00DA03BF" w:rsidRPr="002E6226">
        <w:rPr>
          <w:color w:val="auto"/>
        </w:rPr>
        <w:t>47</w:t>
      </w:r>
      <w:r w:rsidR="006460B2" w:rsidRPr="002E6226">
        <w:rPr>
          <w:color w:val="auto"/>
        </w:rPr>
        <w:t>% overall),</w:t>
      </w:r>
      <w:r w:rsidR="0042668D" w:rsidRPr="002E6226">
        <w:rPr>
          <w:color w:val="auto"/>
        </w:rPr>
        <w:t xml:space="preserve"> </w:t>
      </w:r>
      <w:r w:rsidRPr="002E6226">
        <w:rPr>
          <w:color w:val="auto"/>
        </w:rPr>
        <w:t>well above a generally accepted guideline of 20%</w:t>
      </w:r>
      <w:r w:rsidRPr="002E6226">
        <w:rPr>
          <w:rStyle w:val="FootnoteReference"/>
          <w:color w:val="auto"/>
        </w:rPr>
        <w:footnoteReference w:id="2"/>
      </w:r>
      <w:r w:rsidR="007822AC" w:rsidRPr="002E6226">
        <w:rPr>
          <w:color w:val="auto"/>
          <w:vertAlign w:val="superscript"/>
        </w:rPr>
        <w:t>,</w:t>
      </w:r>
      <w:r w:rsidR="007822AC" w:rsidRPr="002E6226">
        <w:rPr>
          <w:rStyle w:val="FootnoteReference"/>
          <w:color w:val="auto"/>
        </w:rPr>
        <w:footnoteReference w:id="3"/>
      </w:r>
      <w:r w:rsidRPr="002E6226">
        <w:rPr>
          <w:color w:val="auto"/>
        </w:rPr>
        <w:t>, raises serious concerns about the validity of the study outcomes. Attrition was of</w:t>
      </w:r>
      <w:r w:rsidR="0042668D" w:rsidRPr="002E6226">
        <w:rPr>
          <w:color w:val="auto"/>
        </w:rPr>
        <w:t xml:space="preserve"> particular </w:t>
      </w:r>
      <w:r w:rsidRPr="002E6226">
        <w:rPr>
          <w:color w:val="auto"/>
        </w:rPr>
        <w:t>concern</w:t>
      </w:r>
      <w:r w:rsidR="000B4AD6" w:rsidRPr="002E6226">
        <w:rPr>
          <w:color w:val="auto"/>
        </w:rPr>
        <w:t xml:space="preserve"> </w:t>
      </w:r>
      <w:r w:rsidR="0042668D" w:rsidRPr="002E6226">
        <w:rPr>
          <w:color w:val="auto"/>
        </w:rPr>
        <w:t xml:space="preserve">for the favoured Group B intervention. There were 61% of participants lost to </w:t>
      </w:r>
      <w:r w:rsidR="00DB50F9">
        <w:rPr>
          <w:color w:val="auto"/>
        </w:rPr>
        <w:t xml:space="preserve">follow-up </w:t>
      </w:r>
      <w:r w:rsidR="0042668D" w:rsidRPr="002E6226">
        <w:rPr>
          <w:color w:val="auto"/>
        </w:rPr>
        <w:t xml:space="preserve">in Group B, compared to 34% of participants in Group A. </w:t>
      </w:r>
      <w:r w:rsidR="000B4AD6" w:rsidRPr="002E6226">
        <w:rPr>
          <w:color w:val="auto"/>
        </w:rPr>
        <w:t>The ADAR has acknowledged that this may be attributed to volunteer bias, whereby healthier trial participants were followed up (for example, provided responses to the AQoL-4D questionnaire). It is difficult to know the extent of this volunteer bias as analyses exploring differences in the characteristics of patients who discontinued the trial were not presented for Group A vs Group B.</w:t>
      </w:r>
    </w:p>
    <w:p w14:paraId="7E14704C" w14:textId="3B482922" w:rsidR="006460B2" w:rsidRPr="009E1AAC" w:rsidRDefault="00A2138D" w:rsidP="00C7722F">
      <w:pPr>
        <w:pStyle w:val="Instructionaltext"/>
        <w:numPr>
          <w:ilvl w:val="0"/>
          <w:numId w:val="11"/>
        </w:numPr>
        <w:rPr>
          <w:color w:val="auto"/>
        </w:rPr>
      </w:pPr>
      <w:r w:rsidRPr="009E1AAC">
        <w:rPr>
          <w:color w:val="auto"/>
        </w:rPr>
        <w:t xml:space="preserve">The ADAR’s main clinical analysis compared the average outcomes for two very different populations at baseline (the whole cohort) and follow-up (only those who came back for their final follow-up visit). </w:t>
      </w:r>
      <w:r w:rsidR="000B4AD6" w:rsidRPr="009E1AAC">
        <w:rPr>
          <w:color w:val="auto"/>
        </w:rPr>
        <w:t xml:space="preserve">The analyses for the outcomes did not make any attempt </w:t>
      </w:r>
      <w:r w:rsidR="00807E60">
        <w:rPr>
          <w:color w:val="auto"/>
        </w:rPr>
        <w:t xml:space="preserve">to </w:t>
      </w:r>
      <w:r w:rsidR="000B4AD6" w:rsidRPr="009E1AAC">
        <w:rPr>
          <w:color w:val="auto"/>
        </w:rPr>
        <w:t>account for the</w:t>
      </w:r>
      <w:r w:rsidR="0042668D" w:rsidRPr="009E1AAC">
        <w:rPr>
          <w:color w:val="auto"/>
        </w:rPr>
        <w:t xml:space="preserve"> attrition</w:t>
      </w:r>
      <w:r w:rsidR="009E1AAC" w:rsidRPr="009E1AAC">
        <w:rPr>
          <w:color w:val="auto"/>
        </w:rPr>
        <w:t xml:space="preserve">. This was </w:t>
      </w:r>
      <w:r w:rsidR="003D38AC" w:rsidRPr="009E1AAC">
        <w:rPr>
          <w:color w:val="auto"/>
        </w:rPr>
        <w:t xml:space="preserve">inconsistent with the statistical plan </w:t>
      </w:r>
      <w:r w:rsidR="006460B2" w:rsidRPr="009E1AAC">
        <w:rPr>
          <w:color w:val="auto"/>
        </w:rPr>
        <w:t xml:space="preserve">in the </w:t>
      </w:r>
      <w:r w:rsidR="00470EC6">
        <w:rPr>
          <w:color w:val="auto"/>
        </w:rPr>
        <w:t>t</w:t>
      </w:r>
      <w:r w:rsidR="003D38AC" w:rsidRPr="009E1AAC">
        <w:rPr>
          <w:color w:val="auto"/>
        </w:rPr>
        <w:t>rial Protocol</w:t>
      </w:r>
      <w:r w:rsidR="009E1AAC" w:rsidRPr="009E1AAC">
        <w:rPr>
          <w:color w:val="auto"/>
        </w:rPr>
        <w:t xml:space="preserve"> which stated</w:t>
      </w:r>
      <w:r w:rsidR="009D6089">
        <w:rPr>
          <w:color w:val="auto"/>
        </w:rPr>
        <w:t>,</w:t>
      </w:r>
      <w:r w:rsidR="009E1AAC" w:rsidRPr="009E1AAC">
        <w:rPr>
          <w:color w:val="auto"/>
        </w:rPr>
        <w:t xml:space="preserve"> “If the assumptions of missing at random appear reasonable, multiple imputation of missing data will be attempted”</w:t>
      </w:r>
      <w:r w:rsidR="00831B91" w:rsidRPr="009E1AAC">
        <w:rPr>
          <w:color w:val="auto"/>
        </w:rPr>
        <w:t>.</w:t>
      </w:r>
      <w:r w:rsidR="004916C6" w:rsidRPr="002E6226">
        <w:t xml:space="preserve"> </w:t>
      </w:r>
      <w:r w:rsidR="00DD031D" w:rsidRPr="009E1AAC">
        <w:rPr>
          <w:color w:val="auto"/>
        </w:rPr>
        <w:t xml:space="preserve">The change in outcome measurements between baseline and </w:t>
      </w:r>
      <w:r w:rsidR="00DB50F9">
        <w:rPr>
          <w:color w:val="auto"/>
        </w:rPr>
        <w:t xml:space="preserve">follow-up </w:t>
      </w:r>
      <w:r w:rsidR="00DD031D" w:rsidRPr="009E1AAC">
        <w:rPr>
          <w:color w:val="auto"/>
        </w:rPr>
        <w:t xml:space="preserve">presented </w:t>
      </w:r>
      <w:r w:rsidR="003D38AC" w:rsidRPr="009E1AAC">
        <w:rPr>
          <w:color w:val="auto"/>
        </w:rPr>
        <w:t xml:space="preserve">in the ADAR </w:t>
      </w:r>
      <w:r w:rsidR="00DD031D" w:rsidRPr="009E1AAC">
        <w:rPr>
          <w:color w:val="auto"/>
        </w:rPr>
        <w:t xml:space="preserve">is a comparison between a full baseline cohort and a smaller </w:t>
      </w:r>
      <w:r w:rsidR="00DB50F9">
        <w:rPr>
          <w:color w:val="auto"/>
        </w:rPr>
        <w:t xml:space="preserve">follow-up </w:t>
      </w:r>
      <w:r w:rsidR="00DD031D" w:rsidRPr="009E1AAC">
        <w:rPr>
          <w:color w:val="auto"/>
        </w:rPr>
        <w:t xml:space="preserve">cohort which may be biased. These comparisons assume that the baseline scores of those </w:t>
      </w:r>
      <w:r w:rsidR="00EA5413" w:rsidRPr="009E1AAC">
        <w:rPr>
          <w:color w:val="auto"/>
        </w:rPr>
        <w:t xml:space="preserve">lost </w:t>
      </w:r>
      <w:r w:rsidR="00DD031D" w:rsidRPr="009E1AAC">
        <w:rPr>
          <w:color w:val="auto"/>
        </w:rPr>
        <w:t xml:space="preserve">to </w:t>
      </w:r>
      <w:r w:rsidR="00DB50F9">
        <w:rPr>
          <w:color w:val="auto"/>
        </w:rPr>
        <w:t xml:space="preserve">follow-up </w:t>
      </w:r>
      <w:r w:rsidR="00DD031D" w:rsidRPr="009E1AAC">
        <w:rPr>
          <w:color w:val="auto"/>
        </w:rPr>
        <w:t xml:space="preserve">are the same as those followed up and that the change in outcomes for those lost to follow-up will be the same as those followed up. </w:t>
      </w:r>
    </w:p>
    <w:p w14:paraId="43699FFD" w14:textId="32755719" w:rsidR="00B2660D" w:rsidRPr="002E6226" w:rsidRDefault="00B2660D" w:rsidP="00C7722F">
      <w:pPr>
        <w:pStyle w:val="Instructionaltext"/>
        <w:numPr>
          <w:ilvl w:val="0"/>
          <w:numId w:val="11"/>
        </w:numPr>
        <w:rPr>
          <w:color w:val="auto"/>
        </w:rPr>
      </w:pPr>
      <w:r w:rsidRPr="002E6226">
        <w:rPr>
          <w:color w:val="auto"/>
        </w:rPr>
        <w:t xml:space="preserve">Outcomes assessors were not blinded to participants’ exposures/interventions. </w:t>
      </w:r>
    </w:p>
    <w:p w14:paraId="472002D2" w14:textId="5A5EDD7C" w:rsidR="00C36032" w:rsidRPr="002E6226" w:rsidRDefault="00691411" w:rsidP="00C515CE">
      <w:pPr>
        <w:pStyle w:val="Instructionaltext"/>
      </w:pPr>
      <w:bookmarkStart w:id="18" w:name="_Hlk102125017"/>
      <w:r w:rsidRPr="002E6226">
        <w:rPr>
          <w:iCs/>
          <w:color w:val="auto"/>
        </w:rPr>
        <w:t xml:space="preserve">It was unclear in the </w:t>
      </w:r>
      <w:r w:rsidRPr="002E6226">
        <w:rPr>
          <w:color w:val="auto"/>
        </w:rPr>
        <w:t xml:space="preserve">ADAR </w:t>
      </w:r>
      <w:r w:rsidRPr="002E6226">
        <w:rPr>
          <w:iCs/>
          <w:color w:val="auto"/>
        </w:rPr>
        <w:t xml:space="preserve">which </w:t>
      </w:r>
      <w:r w:rsidRPr="002E6226">
        <w:rPr>
          <w:color w:val="auto"/>
        </w:rPr>
        <w:t>outcomes were the primary outcomes of the trial</w:t>
      </w:r>
      <w:r w:rsidRPr="002E6226">
        <w:rPr>
          <w:iCs/>
          <w:color w:val="auto"/>
        </w:rPr>
        <w:t>.</w:t>
      </w:r>
      <w:r w:rsidRPr="002E6226">
        <w:rPr>
          <w:color w:val="auto"/>
        </w:rPr>
        <w:t xml:space="preserve"> The outcomes presented in Table 6 were identified in the trial protocol’s statistical plan as study</w:t>
      </w:r>
      <w:r>
        <w:rPr>
          <w:i/>
          <w:color w:val="auto"/>
        </w:rPr>
        <w:t xml:space="preserve"> </w:t>
      </w:r>
      <w:r w:rsidRPr="002E6226">
        <w:rPr>
          <w:color w:val="auto"/>
        </w:rPr>
        <w:t>primary endpoints used to calculate the study sample size. The trial protocol indicated that the analysis for the evaluation trial (comparing Group A and B evaluation sites) would be on an Intention to Treat (ITT) basis. While all participants who received the intervention were included in the analyses, the ADAR did not use any method, such as imputing missing data or using the last observation carried forward, to explore the possible impact of the attrition.</w:t>
      </w:r>
      <w:r w:rsidRPr="002E6226">
        <w:t xml:space="preserve"> </w:t>
      </w:r>
      <w:r w:rsidRPr="002E6226">
        <w:rPr>
          <w:color w:val="000000" w:themeColor="text1"/>
        </w:rPr>
        <w:t>I</w:t>
      </w:r>
      <w:r w:rsidR="00C36032" w:rsidRPr="002E6226">
        <w:rPr>
          <w:color w:val="000000" w:themeColor="text1"/>
        </w:rPr>
        <w:t xml:space="preserve">t is likely that attrition was not random </w:t>
      </w:r>
      <w:r w:rsidRPr="002E6226">
        <w:rPr>
          <w:color w:val="000000" w:themeColor="text1"/>
        </w:rPr>
        <w:t>(due to differences in baseline characteristics)</w:t>
      </w:r>
      <w:r w:rsidR="00DC70B5" w:rsidRPr="002E6226">
        <w:rPr>
          <w:color w:val="000000" w:themeColor="text1"/>
        </w:rPr>
        <w:t xml:space="preserve">. The ADAR reported informal feedback received from pharmacies suggested </w:t>
      </w:r>
      <w:r w:rsidR="006E234F">
        <w:rPr>
          <w:color w:val="000000" w:themeColor="text1"/>
        </w:rPr>
        <w:t>participants’</w:t>
      </w:r>
      <w:r w:rsidR="00DC70B5" w:rsidRPr="002E6226">
        <w:rPr>
          <w:color w:val="000000" w:themeColor="text1"/>
        </w:rPr>
        <w:t xml:space="preserve"> lack of time and competing priorities were key reasons for non-completion</w:t>
      </w:r>
      <w:r w:rsidR="00D076FE" w:rsidRPr="002E6226">
        <w:rPr>
          <w:color w:val="000000" w:themeColor="text1"/>
        </w:rPr>
        <w:t>.</w:t>
      </w:r>
      <w:r w:rsidR="00DC70B5" w:rsidRPr="002E6226">
        <w:rPr>
          <w:color w:val="000000" w:themeColor="text1"/>
        </w:rPr>
        <w:t xml:space="preserve"> The most frequently-reported reason for not conducting </w:t>
      </w:r>
      <w:r w:rsidR="00DB50F9">
        <w:rPr>
          <w:color w:val="000000" w:themeColor="text1"/>
        </w:rPr>
        <w:t>follow-</w:t>
      </w:r>
      <w:r w:rsidR="00DC70B5" w:rsidRPr="002E6226">
        <w:rPr>
          <w:color w:val="000000" w:themeColor="text1"/>
        </w:rPr>
        <w:t xml:space="preserve">up services was individuals declining to participate in the </w:t>
      </w:r>
      <w:r w:rsidR="00470EC6">
        <w:rPr>
          <w:color w:val="000000" w:themeColor="text1"/>
        </w:rPr>
        <w:t>t</w:t>
      </w:r>
      <w:r w:rsidR="00DC70B5" w:rsidRPr="002E6226">
        <w:rPr>
          <w:color w:val="000000" w:themeColor="text1"/>
        </w:rPr>
        <w:t>rial after the initial consultation, which suggests that withdrawal</w:t>
      </w:r>
      <w:r w:rsidRPr="002E6226">
        <w:rPr>
          <w:color w:val="000000" w:themeColor="text1"/>
        </w:rPr>
        <w:t xml:space="preserve"> </w:t>
      </w:r>
      <w:r w:rsidR="00C36032" w:rsidRPr="002E6226">
        <w:rPr>
          <w:color w:val="000000" w:themeColor="text1"/>
        </w:rPr>
        <w:t xml:space="preserve">could have been related to the outcomes of interest such as worsening health </w:t>
      </w:r>
      <w:r w:rsidRPr="002E6226">
        <w:rPr>
          <w:color w:val="000000" w:themeColor="text1"/>
        </w:rPr>
        <w:t xml:space="preserve">or not experiencing a benefit from the intervention. </w:t>
      </w:r>
    </w:p>
    <w:bookmarkEnd w:id="18"/>
    <w:p w14:paraId="2977484C" w14:textId="0AF292F5" w:rsidR="000370CC" w:rsidRPr="002E6226" w:rsidRDefault="000370CC" w:rsidP="00C515CE">
      <w:pPr>
        <w:pStyle w:val="Instructionaltext"/>
        <w:rPr>
          <w:color w:val="auto"/>
        </w:rPr>
      </w:pPr>
      <w:r w:rsidRPr="002E6226">
        <w:rPr>
          <w:color w:val="auto"/>
        </w:rPr>
        <w:t>Additionally, as the CPMC trial did not have a concurrent control group, the attribution of any differences to the intervention alone is uncertain (there may have been temporal changes, other changes in treatment, etc).</w:t>
      </w:r>
      <w:r w:rsidR="00EA23CA" w:rsidRPr="002E6226">
        <w:rPr>
          <w:color w:val="auto"/>
        </w:rPr>
        <w:t xml:space="preserve"> Examples of p</w:t>
      </w:r>
      <w:r w:rsidR="00B42647" w:rsidRPr="002E6226">
        <w:rPr>
          <w:color w:val="auto"/>
        </w:rPr>
        <w:t>revious</w:t>
      </w:r>
      <w:r w:rsidR="00EA23CA" w:rsidRPr="002E6226">
        <w:rPr>
          <w:color w:val="auto"/>
        </w:rPr>
        <w:t xml:space="preserve"> medication review studies </w:t>
      </w:r>
      <w:r w:rsidR="003605C0" w:rsidRPr="002E6226">
        <w:rPr>
          <w:color w:val="auto"/>
        </w:rPr>
        <w:t>reporting pain-related outcomes</w:t>
      </w:r>
      <w:r w:rsidR="00EA23CA" w:rsidRPr="002E6226">
        <w:rPr>
          <w:color w:val="auto"/>
        </w:rPr>
        <w:t xml:space="preserve"> are summarised in</w:t>
      </w:r>
      <w:r w:rsidR="00A33020">
        <w:rPr>
          <w:color w:val="auto"/>
        </w:rPr>
        <w:t xml:space="preserve"> Table</w:t>
      </w:r>
      <w:r w:rsidR="00EA23CA" w:rsidRPr="002E6226">
        <w:rPr>
          <w:color w:val="auto"/>
        </w:rPr>
        <w:t xml:space="preserve"> </w:t>
      </w:r>
      <w:r w:rsidR="00EA23CA" w:rsidRPr="002E6226">
        <w:rPr>
          <w:color w:val="000000" w:themeColor="text1"/>
        </w:rPr>
        <w:fldChar w:fldCharType="begin"/>
      </w:r>
      <w:r w:rsidR="00EA23CA" w:rsidRPr="002E6226">
        <w:rPr>
          <w:color w:val="000000" w:themeColor="text1"/>
        </w:rPr>
        <w:instrText xml:space="preserve"> REF _Ref69725651 \h  \* MERGEFORMAT </w:instrText>
      </w:r>
      <w:r w:rsidR="00EA23CA" w:rsidRPr="002E6226">
        <w:rPr>
          <w:color w:val="000000" w:themeColor="text1"/>
        </w:rPr>
      </w:r>
      <w:r w:rsidR="00EA23CA" w:rsidRPr="002E6226">
        <w:rPr>
          <w:color w:val="000000" w:themeColor="text1"/>
        </w:rPr>
        <w:fldChar w:fldCharType="separate"/>
      </w:r>
      <w:r w:rsidR="00656985" w:rsidRPr="00656985">
        <w:rPr>
          <w:color w:val="000000" w:themeColor="text1"/>
        </w:rPr>
        <w:t>6</w:t>
      </w:r>
      <w:r w:rsidR="00EA23CA" w:rsidRPr="002E6226">
        <w:rPr>
          <w:color w:val="000000" w:themeColor="text1"/>
        </w:rPr>
        <w:fldChar w:fldCharType="end"/>
      </w:r>
      <w:r w:rsidR="00F250B0" w:rsidRPr="00F250B0">
        <w:rPr>
          <w:color w:val="auto"/>
        </w:rPr>
        <w:t xml:space="preserve"> </w:t>
      </w:r>
      <w:r w:rsidR="00F250B0" w:rsidRPr="002E6226">
        <w:rPr>
          <w:color w:val="auto"/>
        </w:rPr>
        <w:t xml:space="preserve">(Ocampo et al. 2015 </w:t>
      </w:r>
      <w:r w:rsidR="00F250B0">
        <w:rPr>
          <w:color w:val="auto"/>
        </w:rPr>
        <w:t>did</w:t>
      </w:r>
      <w:r w:rsidR="00F250B0" w:rsidRPr="002E6226">
        <w:rPr>
          <w:color w:val="auto"/>
        </w:rPr>
        <w:t xml:space="preserve"> not</w:t>
      </w:r>
      <w:r w:rsidR="00F250B0">
        <w:rPr>
          <w:color w:val="auto"/>
        </w:rPr>
        <w:t xml:space="preserve"> specifically</w:t>
      </w:r>
      <w:r w:rsidR="00F250B0" w:rsidRPr="002E6226">
        <w:rPr>
          <w:color w:val="auto"/>
        </w:rPr>
        <w:t xml:space="preserve"> </w:t>
      </w:r>
      <w:r w:rsidR="00F250B0">
        <w:rPr>
          <w:color w:val="auto"/>
        </w:rPr>
        <w:t>recruit</w:t>
      </w:r>
      <w:r w:rsidR="00F250B0" w:rsidRPr="002E6226">
        <w:rPr>
          <w:color w:val="auto"/>
        </w:rPr>
        <w:t xml:space="preserve"> a population with chronic pain</w:t>
      </w:r>
      <w:r w:rsidR="00F250B0">
        <w:rPr>
          <w:color w:val="auto"/>
        </w:rPr>
        <w:t>).</w:t>
      </w:r>
      <w:r w:rsidR="00EA23CA" w:rsidRPr="002E6226">
        <w:rPr>
          <w:color w:val="000000" w:themeColor="text1"/>
        </w:rPr>
        <w:t xml:space="preserve"> </w:t>
      </w:r>
      <w:r w:rsidR="00571869" w:rsidRPr="002E6226">
        <w:rPr>
          <w:color w:val="000000" w:themeColor="text1"/>
        </w:rPr>
        <w:t xml:space="preserve">The results do not show much difference between the intervention and control groups. </w:t>
      </w:r>
      <w:r w:rsidR="00CD12C7">
        <w:rPr>
          <w:color w:val="000000" w:themeColor="text1"/>
        </w:rPr>
        <w:t>In the randomised controlled trials (RCTs)</w:t>
      </w:r>
      <w:r w:rsidR="00CD12C7" w:rsidRPr="00CD12C7">
        <w:rPr>
          <w:color w:val="000000" w:themeColor="text1"/>
        </w:rPr>
        <w:t xml:space="preserve"> </w:t>
      </w:r>
      <w:r w:rsidR="00CD12C7">
        <w:rPr>
          <w:color w:val="000000" w:themeColor="text1"/>
        </w:rPr>
        <w:t>(Barker et al. 2012, Bruhn et al. 2013, and Neilson et al. 2015), both intervention and control groups</w:t>
      </w:r>
      <w:r w:rsidR="00F250B0">
        <w:rPr>
          <w:color w:val="000000" w:themeColor="text1"/>
        </w:rPr>
        <w:t xml:space="preserve"> experienced </w:t>
      </w:r>
      <w:r w:rsidR="00CD12C7">
        <w:rPr>
          <w:color w:val="000000" w:themeColor="text1"/>
        </w:rPr>
        <w:t xml:space="preserve">the same trend </w:t>
      </w:r>
      <w:r w:rsidR="00CD12C7">
        <w:rPr>
          <w:color w:val="000000" w:themeColor="text1"/>
        </w:rPr>
        <w:lastRenderedPageBreak/>
        <w:t>in</w:t>
      </w:r>
      <w:r w:rsidR="00F250B0">
        <w:rPr>
          <w:color w:val="000000" w:themeColor="text1"/>
        </w:rPr>
        <w:t xml:space="preserve"> health utilit</w:t>
      </w:r>
      <w:r w:rsidR="00CD12C7">
        <w:rPr>
          <w:color w:val="000000" w:themeColor="text1"/>
        </w:rPr>
        <w:t>ies</w:t>
      </w:r>
      <w:r w:rsidR="00F250B0">
        <w:rPr>
          <w:color w:val="000000" w:themeColor="text1"/>
        </w:rPr>
        <w:t xml:space="preserve"> over time</w:t>
      </w:r>
      <w:r w:rsidR="00CD12C7">
        <w:rPr>
          <w:color w:val="000000" w:themeColor="text1"/>
        </w:rPr>
        <w:t>.</w:t>
      </w:r>
      <w:r w:rsidR="00D4154C">
        <w:rPr>
          <w:color w:val="000000" w:themeColor="text1"/>
        </w:rPr>
        <w:t xml:space="preserve"> MSAC previous</w:t>
      </w:r>
      <w:r w:rsidR="00201D36">
        <w:rPr>
          <w:color w:val="000000" w:themeColor="text1"/>
        </w:rPr>
        <w:t>ly</w:t>
      </w:r>
      <w:r w:rsidR="00D4154C">
        <w:rPr>
          <w:color w:val="000000" w:themeColor="text1"/>
        </w:rPr>
        <w:t xml:space="preserve"> considered </w:t>
      </w:r>
      <w:r w:rsidR="00D4154C" w:rsidRPr="00D4154C">
        <w:rPr>
          <w:color w:val="000000" w:themeColor="text1"/>
        </w:rPr>
        <w:t xml:space="preserve">Barker </w:t>
      </w:r>
      <w:r w:rsidR="00D4154C">
        <w:rPr>
          <w:color w:val="000000" w:themeColor="text1"/>
        </w:rPr>
        <w:t>(</w:t>
      </w:r>
      <w:r w:rsidR="00D4154C" w:rsidRPr="00D4154C">
        <w:rPr>
          <w:color w:val="000000" w:themeColor="text1"/>
        </w:rPr>
        <w:t>2012</w:t>
      </w:r>
      <w:r w:rsidR="00D4154C">
        <w:rPr>
          <w:color w:val="000000" w:themeColor="text1"/>
        </w:rPr>
        <w:t xml:space="preserve">) and Ocampo (2015) in consideration of </w:t>
      </w:r>
      <w:hyperlink r:id="rId17" w:history="1">
        <w:r w:rsidR="00D4154C" w:rsidRPr="00D4154C">
          <w:rPr>
            <w:rStyle w:val="Hyperlink"/>
          </w:rPr>
          <w:t>Sixth Community Pharmacy Agreement (6CPA) Medication Management Review (MMR) Programs</w:t>
        </w:r>
      </w:hyperlink>
      <w:r w:rsidR="00D4154C">
        <w:rPr>
          <w:color w:val="000000" w:themeColor="text1"/>
        </w:rPr>
        <w:t xml:space="preserve">. </w:t>
      </w:r>
    </w:p>
    <w:p w14:paraId="0FB56C39" w14:textId="13331D11" w:rsidR="00B42647" w:rsidRPr="00EA23CA" w:rsidRDefault="00EA23CA" w:rsidP="00EA23CA">
      <w:pPr>
        <w:pStyle w:val="Caption"/>
        <w:rPr>
          <w:color w:val="538135" w:themeColor="accent6" w:themeShade="BF"/>
          <w:sz w:val="16"/>
          <w:szCs w:val="16"/>
        </w:rPr>
      </w:pPr>
      <w:r w:rsidRPr="00CE28E3">
        <w:t>Table</w:t>
      </w:r>
      <w:r>
        <w:t> </w:t>
      </w:r>
      <w:bookmarkStart w:id="19" w:name="_Ref69725651"/>
      <w:r>
        <w:fldChar w:fldCharType="begin"/>
      </w:r>
      <w:r>
        <w:instrText xml:space="preserve"> SEQ Table \* ARABIC </w:instrText>
      </w:r>
      <w:r>
        <w:fldChar w:fldCharType="separate"/>
      </w:r>
      <w:r w:rsidR="00656985">
        <w:rPr>
          <w:noProof/>
        </w:rPr>
        <w:t>6</w:t>
      </w:r>
      <w:r>
        <w:rPr>
          <w:noProof/>
        </w:rPr>
        <w:fldChar w:fldCharType="end"/>
      </w:r>
      <w:bookmarkEnd w:id="19"/>
      <w:r w:rsidRPr="00CE28E3">
        <w:tab/>
        <w:t xml:space="preserve">Key features of </w:t>
      </w:r>
      <w:r w:rsidR="00D4154C">
        <w:t xml:space="preserve">other </w:t>
      </w:r>
      <w:r w:rsidRPr="00CE28E3">
        <w:t>evidence</w:t>
      </w:r>
      <w:r w:rsidR="00D4154C">
        <w:t xml:space="preserve"> for pharmacist interventions for pain</w:t>
      </w:r>
    </w:p>
    <w:tbl>
      <w:tblPr>
        <w:tblStyle w:val="TableGrid1"/>
        <w:tblW w:w="4978" w:type="pct"/>
        <w:tblLayout w:type="fixed"/>
        <w:tblCellMar>
          <w:left w:w="28" w:type="dxa"/>
          <w:right w:w="28" w:type="dxa"/>
        </w:tblCellMar>
        <w:tblLook w:val="04A0" w:firstRow="1" w:lastRow="0" w:firstColumn="1" w:lastColumn="0" w:noHBand="0" w:noVBand="1"/>
      </w:tblPr>
      <w:tblGrid>
        <w:gridCol w:w="988"/>
        <w:gridCol w:w="425"/>
        <w:gridCol w:w="849"/>
        <w:gridCol w:w="1560"/>
        <w:gridCol w:w="1275"/>
        <w:gridCol w:w="3120"/>
        <w:gridCol w:w="759"/>
      </w:tblGrid>
      <w:tr w:rsidR="00676AEA" w:rsidRPr="00CE28E3" w14:paraId="023331C8" w14:textId="77777777" w:rsidTr="00670719">
        <w:trPr>
          <w:cnfStyle w:val="100000000000" w:firstRow="1" w:lastRow="0" w:firstColumn="0" w:lastColumn="0" w:oddVBand="0" w:evenVBand="0" w:oddHBand="0" w:evenHBand="0" w:firstRowFirstColumn="0" w:firstRowLastColumn="0" w:lastRowFirstColumn="0" w:lastRowLastColumn="0"/>
          <w:cantSplit/>
          <w:tblHeader/>
        </w:trPr>
        <w:tc>
          <w:tcPr>
            <w:tcW w:w="988" w:type="dxa"/>
            <w:shd w:val="clear" w:color="auto" w:fill="auto"/>
            <w:vAlign w:val="center"/>
          </w:tcPr>
          <w:p w14:paraId="262AABDC" w14:textId="0B62F464" w:rsidR="00EA23CA" w:rsidRPr="00CE28E3" w:rsidRDefault="00EA23CA" w:rsidP="003D5DC8">
            <w:pPr>
              <w:pStyle w:val="In-tableHeading"/>
            </w:pPr>
            <w:bookmarkStart w:id="20" w:name="_Hlk68276112"/>
            <w:r w:rsidRPr="00CE28E3">
              <w:t>Reference</w:t>
            </w:r>
          </w:p>
        </w:tc>
        <w:tc>
          <w:tcPr>
            <w:tcW w:w="425" w:type="dxa"/>
            <w:shd w:val="clear" w:color="auto" w:fill="auto"/>
            <w:vAlign w:val="center"/>
          </w:tcPr>
          <w:p w14:paraId="4E0FE97E" w14:textId="77777777" w:rsidR="00EA23CA" w:rsidRPr="00CE28E3" w:rsidRDefault="00EA23CA" w:rsidP="003D5DC8">
            <w:pPr>
              <w:pStyle w:val="In-tableHeading"/>
              <w:jc w:val="center"/>
            </w:pPr>
            <w:r w:rsidRPr="00CE28E3">
              <w:t>N</w:t>
            </w:r>
          </w:p>
        </w:tc>
        <w:tc>
          <w:tcPr>
            <w:tcW w:w="849" w:type="dxa"/>
            <w:shd w:val="clear" w:color="auto" w:fill="auto"/>
            <w:vAlign w:val="center"/>
          </w:tcPr>
          <w:p w14:paraId="537D670E" w14:textId="77777777" w:rsidR="00EA23CA" w:rsidRDefault="00EA23CA" w:rsidP="003D5DC8">
            <w:pPr>
              <w:pStyle w:val="In-tableHeading"/>
              <w:jc w:val="center"/>
            </w:pPr>
            <w:r w:rsidRPr="00CE28E3">
              <w:t>Design/</w:t>
            </w:r>
          </w:p>
          <w:p w14:paraId="0CE76D97" w14:textId="77777777" w:rsidR="00EA23CA" w:rsidRPr="00CE28E3" w:rsidRDefault="00EA23CA" w:rsidP="003D5DC8">
            <w:pPr>
              <w:pStyle w:val="In-tableHeading"/>
              <w:jc w:val="center"/>
            </w:pPr>
            <w:r w:rsidRPr="00CE28E3">
              <w:t>duration</w:t>
            </w:r>
          </w:p>
        </w:tc>
        <w:tc>
          <w:tcPr>
            <w:tcW w:w="1560" w:type="dxa"/>
            <w:shd w:val="clear" w:color="auto" w:fill="auto"/>
            <w:vAlign w:val="center"/>
          </w:tcPr>
          <w:p w14:paraId="2563E3BE" w14:textId="77777777" w:rsidR="00EA23CA" w:rsidRDefault="00EA23CA" w:rsidP="003D5DC8">
            <w:pPr>
              <w:pStyle w:val="In-tableHeading"/>
              <w:jc w:val="center"/>
            </w:pPr>
            <w:r>
              <w:t>Intervention/</w:t>
            </w:r>
          </w:p>
          <w:p w14:paraId="0424B81C" w14:textId="77777777" w:rsidR="00EA23CA" w:rsidRPr="00CE28E3" w:rsidRDefault="00EA23CA" w:rsidP="003D5DC8">
            <w:pPr>
              <w:pStyle w:val="In-tableHeading"/>
              <w:jc w:val="center"/>
            </w:pPr>
            <w:r>
              <w:t>control</w:t>
            </w:r>
          </w:p>
        </w:tc>
        <w:tc>
          <w:tcPr>
            <w:tcW w:w="1275" w:type="dxa"/>
            <w:shd w:val="clear" w:color="auto" w:fill="auto"/>
            <w:vAlign w:val="center"/>
          </w:tcPr>
          <w:p w14:paraId="0FB7B39C" w14:textId="77777777" w:rsidR="00EA23CA" w:rsidRDefault="00EA23CA" w:rsidP="003D5DC8">
            <w:pPr>
              <w:pStyle w:val="In-tableHeading"/>
              <w:jc w:val="center"/>
            </w:pPr>
            <w:r w:rsidRPr="00CE28E3">
              <w:t>Patient population</w:t>
            </w:r>
          </w:p>
          <w:p w14:paraId="15722C4F" w14:textId="77777777" w:rsidR="00EA23CA" w:rsidRPr="00CE28E3" w:rsidRDefault="00EA23CA" w:rsidP="003D5DC8">
            <w:pPr>
              <w:pStyle w:val="In-tableHeading"/>
              <w:jc w:val="center"/>
            </w:pPr>
            <w:r>
              <w:t>(Country)</w:t>
            </w:r>
          </w:p>
        </w:tc>
        <w:tc>
          <w:tcPr>
            <w:tcW w:w="3120" w:type="dxa"/>
            <w:shd w:val="clear" w:color="auto" w:fill="auto"/>
            <w:vAlign w:val="center"/>
          </w:tcPr>
          <w:p w14:paraId="581A94DC" w14:textId="77777777" w:rsidR="00EA23CA" w:rsidRPr="00CE28E3" w:rsidRDefault="00EA23CA" w:rsidP="003D5DC8">
            <w:pPr>
              <w:pStyle w:val="In-tableHeading"/>
              <w:jc w:val="center"/>
            </w:pPr>
            <w:r w:rsidRPr="00CE28E3">
              <w:t>Outcome(s)</w:t>
            </w:r>
          </w:p>
        </w:tc>
        <w:tc>
          <w:tcPr>
            <w:tcW w:w="759" w:type="dxa"/>
            <w:shd w:val="clear" w:color="auto" w:fill="auto"/>
            <w:vAlign w:val="center"/>
          </w:tcPr>
          <w:p w14:paraId="0ECDA4AD" w14:textId="77777777" w:rsidR="00EA23CA" w:rsidRPr="00CE28E3" w:rsidRDefault="00EA23CA" w:rsidP="003D5DC8">
            <w:pPr>
              <w:pStyle w:val="In-tableHeading"/>
              <w:jc w:val="center"/>
            </w:pPr>
            <w:r>
              <w:t>Risk of bias</w:t>
            </w:r>
          </w:p>
        </w:tc>
      </w:tr>
      <w:tr w:rsidR="00676AEA" w:rsidRPr="00CE28E3" w14:paraId="48C6A974" w14:textId="77777777" w:rsidTr="00670719">
        <w:trPr>
          <w:cantSplit/>
        </w:trPr>
        <w:tc>
          <w:tcPr>
            <w:tcW w:w="988" w:type="dxa"/>
            <w:shd w:val="clear" w:color="auto" w:fill="auto"/>
            <w:vAlign w:val="center"/>
          </w:tcPr>
          <w:p w14:paraId="76548952" w14:textId="63EB67E9" w:rsidR="00EA23CA" w:rsidRPr="00CE28E3" w:rsidRDefault="00EA23CA" w:rsidP="003D5DC8">
            <w:pPr>
              <w:pStyle w:val="TableText"/>
              <w:rPr>
                <w:lang w:val="en-US"/>
              </w:rPr>
            </w:pPr>
            <w:r>
              <w:rPr>
                <w:lang w:val="en-US"/>
              </w:rPr>
              <w:t xml:space="preserve">Barker </w:t>
            </w:r>
            <w:r w:rsidR="00CD12C7">
              <w:rPr>
                <w:lang w:val="en-US"/>
              </w:rPr>
              <w:t xml:space="preserve">et al. </w:t>
            </w:r>
            <w:r>
              <w:rPr>
                <w:lang w:val="en-US"/>
              </w:rPr>
              <w:t>2012</w:t>
            </w:r>
            <w:r w:rsidR="0038343B" w:rsidRPr="0038343B">
              <w:rPr>
                <w:vertAlign w:val="superscript"/>
                <w:lang w:val="en-US"/>
              </w:rPr>
              <w:t>a</w:t>
            </w:r>
          </w:p>
        </w:tc>
        <w:tc>
          <w:tcPr>
            <w:tcW w:w="425" w:type="dxa"/>
            <w:shd w:val="clear" w:color="auto" w:fill="auto"/>
            <w:vAlign w:val="center"/>
          </w:tcPr>
          <w:p w14:paraId="24250FBE" w14:textId="77777777" w:rsidR="00EA23CA" w:rsidRPr="00CE28E3" w:rsidRDefault="00EA23CA" w:rsidP="003D5DC8">
            <w:pPr>
              <w:pStyle w:val="TableText"/>
              <w:jc w:val="center"/>
              <w:rPr>
                <w:lang w:val="en-US"/>
              </w:rPr>
            </w:pPr>
            <w:r>
              <w:rPr>
                <w:lang w:val="en-US"/>
              </w:rPr>
              <w:t>120</w:t>
            </w:r>
          </w:p>
        </w:tc>
        <w:tc>
          <w:tcPr>
            <w:tcW w:w="849" w:type="dxa"/>
            <w:shd w:val="clear" w:color="auto" w:fill="auto"/>
            <w:vAlign w:val="center"/>
          </w:tcPr>
          <w:p w14:paraId="3CD9B6BA" w14:textId="77777777" w:rsidR="00EA23CA" w:rsidRDefault="00EA23CA" w:rsidP="003D5DC8">
            <w:pPr>
              <w:pStyle w:val="TableText"/>
              <w:jc w:val="center"/>
              <w:rPr>
                <w:lang w:val="en-US"/>
              </w:rPr>
            </w:pPr>
            <w:r>
              <w:rPr>
                <w:lang w:val="en-US"/>
              </w:rPr>
              <w:t>RCT/</w:t>
            </w:r>
          </w:p>
          <w:p w14:paraId="0743DB16" w14:textId="77777777" w:rsidR="00EA23CA" w:rsidRPr="00CE28E3" w:rsidRDefault="00EA23CA" w:rsidP="003D5DC8">
            <w:pPr>
              <w:pStyle w:val="TableText"/>
              <w:jc w:val="center"/>
              <w:rPr>
                <w:lang w:val="en-US"/>
              </w:rPr>
            </w:pPr>
            <w:r>
              <w:rPr>
                <w:lang w:val="en-US"/>
              </w:rPr>
              <w:t>6 months</w:t>
            </w:r>
          </w:p>
        </w:tc>
        <w:tc>
          <w:tcPr>
            <w:tcW w:w="1560" w:type="dxa"/>
            <w:shd w:val="clear" w:color="auto" w:fill="auto"/>
            <w:vAlign w:val="center"/>
          </w:tcPr>
          <w:p w14:paraId="5138827B" w14:textId="77777777" w:rsidR="00EA23CA" w:rsidRDefault="00EA23CA" w:rsidP="003D5DC8">
            <w:pPr>
              <w:pStyle w:val="TableText"/>
              <w:jc w:val="center"/>
              <w:rPr>
                <w:lang w:val="en-US"/>
              </w:rPr>
            </w:pPr>
            <w:r>
              <w:rPr>
                <w:lang w:val="en-US"/>
              </w:rPr>
              <w:t>Pharmacist post-discharge home medicine review/</w:t>
            </w:r>
          </w:p>
          <w:p w14:paraId="7FF277F4" w14:textId="77777777" w:rsidR="00EA23CA" w:rsidRPr="00BA166A" w:rsidRDefault="00EA23CA" w:rsidP="003D5DC8">
            <w:pPr>
              <w:pStyle w:val="TableText"/>
              <w:jc w:val="center"/>
              <w:rPr>
                <w:lang w:val="en-US"/>
              </w:rPr>
            </w:pPr>
            <w:r>
              <w:rPr>
                <w:lang w:val="en-US"/>
              </w:rPr>
              <w:t>Standard care</w:t>
            </w:r>
          </w:p>
        </w:tc>
        <w:tc>
          <w:tcPr>
            <w:tcW w:w="1275" w:type="dxa"/>
            <w:shd w:val="clear" w:color="auto" w:fill="auto"/>
            <w:vAlign w:val="center"/>
          </w:tcPr>
          <w:p w14:paraId="13F0D297" w14:textId="77777777" w:rsidR="00EA23CA" w:rsidRDefault="00EA23CA" w:rsidP="003D5DC8">
            <w:pPr>
              <w:pStyle w:val="TableText"/>
              <w:jc w:val="center"/>
              <w:rPr>
                <w:lang w:val="en-US"/>
              </w:rPr>
            </w:pPr>
            <w:r>
              <w:rPr>
                <w:lang w:val="en-US"/>
              </w:rPr>
              <w:t>Patients hospitalized for chronic heart failure</w:t>
            </w:r>
          </w:p>
          <w:p w14:paraId="18CBA394" w14:textId="77777777" w:rsidR="00EA23CA" w:rsidRPr="00CE28E3" w:rsidRDefault="00EA23CA" w:rsidP="003D5DC8">
            <w:pPr>
              <w:pStyle w:val="TableText"/>
              <w:jc w:val="center"/>
              <w:rPr>
                <w:lang w:val="en-US"/>
              </w:rPr>
            </w:pPr>
            <w:r>
              <w:rPr>
                <w:lang w:val="en-US"/>
              </w:rPr>
              <w:t>(USA)</w:t>
            </w:r>
          </w:p>
        </w:tc>
        <w:tc>
          <w:tcPr>
            <w:tcW w:w="3120" w:type="dxa"/>
            <w:shd w:val="clear" w:color="auto" w:fill="auto"/>
            <w:vAlign w:val="center"/>
          </w:tcPr>
          <w:p w14:paraId="574F2B7F" w14:textId="3F5DBB10" w:rsidR="00EA23CA" w:rsidRPr="00CE28E3" w:rsidRDefault="00EA23CA" w:rsidP="003D5DC8">
            <w:pPr>
              <w:pStyle w:val="TableText"/>
              <w:jc w:val="center"/>
              <w:rPr>
                <w:lang w:val="en-US"/>
              </w:rPr>
            </w:pPr>
            <w:r>
              <w:rPr>
                <w:lang w:val="en-US"/>
              </w:rPr>
              <w:t>No significant difference in AQoL or the bodily pain dimension of SF-36 between intervention and control groups at baseline, 1 or 6 months. Significant improvement in the physical functioning (p=0.024) and mental health (p=0.018) dimensions at 6 months in the intervention group.</w:t>
            </w:r>
          </w:p>
        </w:tc>
        <w:tc>
          <w:tcPr>
            <w:tcW w:w="759" w:type="dxa"/>
            <w:shd w:val="clear" w:color="auto" w:fill="auto"/>
            <w:vAlign w:val="center"/>
          </w:tcPr>
          <w:p w14:paraId="134492F6" w14:textId="77777777" w:rsidR="00EA23CA" w:rsidRPr="00BA166A" w:rsidRDefault="00EA23CA" w:rsidP="003D5DC8">
            <w:pPr>
              <w:pStyle w:val="TableText"/>
              <w:jc w:val="center"/>
              <w:rPr>
                <w:i/>
                <w:lang w:val="en-US"/>
              </w:rPr>
            </w:pPr>
            <w:r w:rsidRPr="00BA166A">
              <w:rPr>
                <w:i/>
                <w:lang w:val="en-US"/>
              </w:rPr>
              <w:t>Low</w:t>
            </w:r>
          </w:p>
        </w:tc>
      </w:tr>
      <w:tr w:rsidR="00676AEA" w:rsidRPr="00CE28E3" w14:paraId="3F150BA1" w14:textId="77777777" w:rsidTr="00670719">
        <w:trPr>
          <w:cantSplit/>
        </w:trPr>
        <w:tc>
          <w:tcPr>
            <w:tcW w:w="988" w:type="dxa"/>
            <w:shd w:val="clear" w:color="auto" w:fill="auto"/>
            <w:vAlign w:val="center"/>
          </w:tcPr>
          <w:p w14:paraId="085FA8ED" w14:textId="1ECFB162" w:rsidR="00EA23CA" w:rsidRPr="008C2079" w:rsidRDefault="00EA23CA" w:rsidP="003D5DC8">
            <w:pPr>
              <w:pStyle w:val="TableText"/>
              <w:rPr>
                <w:vertAlign w:val="superscript"/>
                <w:lang w:val="en-US"/>
              </w:rPr>
            </w:pPr>
            <w:r>
              <w:rPr>
                <w:lang w:val="en-US"/>
              </w:rPr>
              <w:t xml:space="preserve">Bruhn </w:t>
            </w:r>
            <w:r w:rsidR="00CD12C7">
              <w:rPr>
                <w:lang w:val="en-US"/>
              </w:rPr>
              <w:t xml:space="preserve">et al. </w:t>
            </w:r>
            <w:r>
              <w:rPr>
                <w:lang w:val="en-US"/>
              </w:rPr>
              <w:t>2013</w:t>
            </w:r>
            <w:r w:rsidR="0038343B" w:rsidRPr="0038343B">
              <w:rPr>
                <w:vertAlign w:val="superscript"/>
                <w:lang w:val="en-US"/>
              </w:rPr>
              <w:t>b</w:t>
            </w:r>
          </w:p>
        </w:tc>
        <w:tc>
          <w:tcPr>
            <w:tcW w:w="425" w:type="dxa"/>
            <w:shd w:val="clear" w:color="auto" w:fill="auto"/>
            <w:vAlign w:val="center"/>
          </w:tcPr>
          <w:p w14:paraId="58E04125" w14:textId="77777777" w:rsidR="00EA23CA" w:rsidRDefault="00EA23CA" w:rsidP="003D5DC8">
            <w:pPr>
              <w:pStyle w:val="TableText"/>
              <w:jc w:val="center"/>
              <w:rPr>
                <w:lang w:val="en-US"/>
              </w:rPr>
            </w:pPr>
            <w:r>
              <w:rPr>
                <w:lang w:val="en-US"/>
              </w:rPr>
              <w:t>193</w:t>
            </w:r>
          </w:p>
        </w:tc>
        <w:tc>
          <w:tcPr>
            <w:tcW w:w="849" w:type="dxa"/>
            <w:shd w:val="clear" w:color="auto" w:fill="auto"/>
            <w:vAlign w:val="center"/>
          </w:tcPr>
          <w:p w14:paraId="2E30195C" w14:textId="77777777" w:rsidR="00EA23CA" w:rsidRDefault="00EA23CA" w:rsidP="003D5DC8">
            <w:pPr>
              <w:pStyle w:val="TableText"/>
              <w:jc w:val="center"/>
              <w:rPr>
                <w:lang w:val="en-US"/>
              </w:rPr>
            </w:pPr>
            <w:r>
              <w:rPr>
                <w:lang w:val="en-US"/>
              </w:rPr>
              <w:t>RCT/</w:t>
            </w:r>
          </w:p>
          <w:p w14:paraId="0649AE00" w14:textId="77777777" w:rsidR="00EA23CA" w:rsidRDefault="00EA23CA" w:rsidP="003D5DC8">
            <w:pPr>
              <w:pStyle w:val="TableText"/>
              <w:jc w:val="center"/>
              <w:rPr>
                <w:lang w:val="en-US"/>
              </w:rPr>
            </w:pPr>
            <w:r>
              <w:rPr>
                <w:lang w:val="en-US"/>
              </w:rPr>
              <w:t>6 months</w:t>
            </w:r>
          </w:p>
        </w:tc>
        <w:tc>
          <w:tcPr>
            <w:tcW w:w="1560" w:type="dxa"/>
            <w:shd w:val="clear" w:color="auto" w:fill="auto"/>
            <w:vAlign w:val="center"/>
          </w:tcPr>
          <w:p w14:paraId="53A4E5BA" w14:textId="77777777" w:rsidR="00EA23CA" w:rsidRDefault="00EA23CA" w:rsidP="003D5DC8">
            <w:pPr>
              <w:pStyle w:val="TableText"/>
              <w:jc w:val="center"/>
              <w:rPr>
                <w:lang w:val="en-US"/>
              </w:rPr>
            </w:pPr>
            <w:r>
              <w:rPr>
                <w:lang w:val="en-US"/>
              </w:rPr>
              <w:t>Pharmacist review with prescribing/</w:t>
            </w:r>
          </w:p>
          <w:p w14:paraId="780E0575" w14:textId="77777777" w:rsidR="00EA23CA" w:rsidRDefault="00EA23CA" w:rsidP="003D5DC8">
            <w:pPr>
              <w:pStyle w:val="TableText"/>
              <w:jc w:val="center"/>
              <w:rPr>
                <w:lang w:val="en-US"/>
              </w:rPr>
            </w:pPr>
            <w:r>
              <w:rPr>
                <w:lang w:val="en-US"/>
              </w:rPr>
              <w:t>Pharmacist review/</w:t>
            </w:r>
          </w:p>
          <w:p w14:paraId="4CF44121" w14:textId="77777777" w:rsidR="00EA23CA" w:rsidRDefault="00EA23CA" w:rsidP="003D5DC8">
            <w:pPr>
              <w:pStyle w:val="TableText"/>
              <w:jc w:val="center"/>
              <w:rPr>
                <w:lang w:val="en-US"/>
              </w:rPr>
            </w:pPr>
            <w:r>
              <w:rPr>
                <w:lang w:val="en-US"/>
              </w:rPr>
              <w:t>Treatment as usual</w:t>
            </w:r>
          </w:p>
        </w:tc>
        <w:tc>
          <w:tcPr>
            <w:tcW w:w="1275" w:type="dxa"/>
            <w:shd w:val="clear" w:color="auto" w:fill="auto"/>
            <w:vAlign w:val="center"/>
          </w:tcPr>
          <w:p w14:paraId="517370EB" w14:textId="77777777" w:rsidR="00EA23CA" w:rsidRDefault="00EA23CA" w:rsidP="003D5DC8">
            <w:pPr>
              <w:pStyle w:val="TableText"/>
              <w:jc w:val="center"/>
              <w:rPr>
                <w:lang w:val="en-US"/>
              </w:rPr>
            </w:pPr>
            <w:r>
              <w:rPr>
                <w:lang w:val="en-US"/>
              </w:rPr>
              <w:t>Patients prescribed acute analgesia</w:t>
            </w:r>
          </w:p>
          <w:p w14:paraId="54BFD0B8" w14:textId="77777777" w:rsidR="00EA23CA" w:rsidRDefault="00EA23CA" w:rsidP="003D5DC8">
            <w:pPr>
              <w:pStyle w:val="TableText"/>
              <w:jc w:val="center"/>
              <w:rPr>
                <w:lang w:val="en-US"/>
              </w:rPr>
            </w:pPr>
            <w:r>
              <w:rPr>
                <w:lang w:val="en-US"/>
              </w:rPr>
              <w:t>(UK)</w:t>
            </w:r>
          </w:p>
        </w:tc>
        <w:tc>
          <w:tcPr>
            <w:tcW w:w="3120" w:type="dxa"/>
            <w:shd w:val="clear" w:color="auto" w:fill="auto"/>
            <w:vAlign w:val="center"/>
          </w:tcPr>
          <w:p w14:paraId="5DB70B84" w14:textId="2F9AACCC" w:rsidR="00EA23CA" w:rsidRDefault="00EA23CA" w:rsidP="003D5DC8">
            <w:pPr>
              <w:pStyle w:val="TableText"/>
              <w:jc w:val="center"/>
              <w:rPr>
                <w:lang w:val="en-US"/>
              </w:rPr>
            </w:pPr>
            <w:r>
              <w:rPr>
                <w:lang w:val="en-US"/>
              </w:rPr>
              <w:t>Statistically significant improvement in SF-12 physical component score within the treatment as usual arm, no significant differen</w:t>
            </w:r>
            <w:r w:rsidR="008633DE">
              <w:rPr>
                <w:lang w:val="en-US"/>
              </w:rPr>
              <w:t>ce</w:t>
            </w:r>
            <w:r>
              <w:rPr>
                <w:lang w:val="en-US"/>
              </w:rPr>
              <w:t xml:space="preserve"> within other arms or between arms. Statistically significant deterioration in SF-12 mental component score within the treatment as usual arm, no significant differen</w:t>
            </w:r>
            <w:r w:rsidR="008633DE">
              <w:rPr>
                <w:lang w:val="en-US"/>
              </w:rPr>
              <w:t>ce</w:t>
            </w:r>
            <w:r>
              <w:rPr>
                <w:lang w:val="en-US"/>
              </w:rPr>
              <w:t xml:space="preserve"> within other arms.</w:t>
            </w:r>
          </w:p>
        </w:tc>
        <w:tc>
          <w:tcPr>
            <w:tcW w:w="759" w:type="dxa"/>
            <w:shd w:val="clear" w:color="auto" w:fill="auto"/>
            <w:vAlign w:val="center"/>
          </w:tcPr>
          <w:p w14:paraId="5241BDA4" w14:textId="36ECFE75" w:rsidR="00EA23CA" w:rsidRPr="00BA166A" w:rsidRDefault="003E710D" w:rsidP="003D5DC8">
            <w:pPr>
              <w:pStyle w:val="TableText"/>
              <w:jc w:val="center"/>
              <w:rPr>
                <w:i/>
                <w:lang w:val="en-US"/>
              </w:rPr>
            </w:pPr>
            <w:r>
              <w:rPr>
                <w:i/>
                <w:lang w:val="en-US"/>
              </w:rPr>
              <w:t>Low</w:t>
            </w:r>
          </w:p>
        </w:tc>
      </w:tr>
      <w:tr w:rsidR="00676AEA" w:rsidRPr="00CE28E3" w14:paraId="2F6552BF" w14:textId="77777777" w:rsidTr="00670719">
        <w:trPr>
          <w:cantSplit/>
        </w:trPr>
        <w:tc>
          <w:tcPr>
            <w:tcW w:w="988" w:type="dxa"/>
            <w:shd w:val="clear" w:color="auto" w:fill="auto"/>
            <w:vAlign w:val="center"/>
          </w:tcPr>
          <w:p w14:paraId="256BEB2B" w14:textId="7C7056FA" w:rsidR="00EA23CA" w:rsidRPr="008C2079" w:rsidRDefault="00EA23CA" w:rsidP="003D5DC8">
            <w:pPr>
              <w:pStyle w:val="TableText"/>
              <w:rPr>
                <w:vertAlign w:val="superscript"/>
                <w:lang w:val="en-US"/>
              </w:rPr>
            </w:pPr>
            <w:r>
              <w:rPr>
                <w:lang w:val="en-US"/>
              </w:rPr>
              <w:t xml:space="preserve">Neilson </w:t>
            </w:r>
            <w:r w:rsidR="00CD12C7">
              <w:rPr>
                <w:lang w:val="en-US"/>
              </w:rPr>
              <w:t xml:space="preserve">et al. </w:t>
            </w:r>
            <w:r>
              <w:rPr>
                <w:lang w:val="en-US"/>
              </w:rPr>
              <w:t>2015</w:t>
            </w:r>
            <w:r w:rsidR="0038343B" w:rsidRPr="0038343B">
              <w:rPr>
                <w:vertAlign w:val="superscript"/>
                <w:lang w:val="en-US"/>
              </w:rPr>
              <w:t>c</w:t>
            </w:r>
          </w:p>
        </w:tc>
        <w:tc>
          <w:tcPr>
            <w:tcW w:w="425" w:type="dxa"/>
            <w:shd w:val="clear" w:color="auto" w:fill="auto"/>
            <w:vAlign w:val="center"/>
          </w:tcPr>
          <w:p w14:paraId="382995A1" w14:textId="77777777" w:rsidR="00EA23CA" w:rsidRDefault="00EA23CA" w:rsidP="003D5DC8">
            <w:pPr>
              <w:pStyle w:val="TableText"/>
              <w:jc w:val="center"/>
              <w:rPr>
                <w:lang w:val="en-US"/>
              </w:rPr>
            </w:pPr>
            <w:r>
              <w:rPr>
                <w:lang w:val="en-US"/>
              </w:rPr>
              <w:t>125</w:t>
            </w:r>
          </w:p>
        </w:tc>
        <w:tc>
          <w:tcPr>
            <w:tcW w:w="849" w:type="dxa"/>
            <w:shd w:val="clear" w:color="auto" w:fill="auto"/>
            <w:vAlign w:val="center"/>
          </w:tcPr>
          <w:p w14:paraId="2E5E267E" w14:textId="77777777" w:rsidR="00EA23CA" w:rsidRDefault="00EA23CA" w:rsidP="003D5DC8">
            <w:pPr>
              <w:pStyle w:val="TableText"/>
              <w:jc w:val="center"/>
              <w:rPr>
                <w:lang w:val="en-US"/>
              </w:rPr>
            </w:pPr>
            <w:r>
              <w:rPr>
                <w:lang w:val="en-US"/>
              </w:rPr>
              <w:t>RCT/</w:t>
            </w:r>
          </w:p>
          <w:p w14:paraId="6CF783EA" w14:textId="77777777" w:rsidR="00EA23CA" w:rsidRDefault="00EA23CA" w:rsidP="003D5DC8">
            <w:pPr>
              <w:pStyle w:val="TableText"/>
              <w:jc w:val="center"/>
              <w:rPr>
                <w:lang w:val="en-US"/>
              </w:rPr>
            </w:pPr>
            <w:r>
              <w:rPr>
                <w:lang w:val="en-US"/>
              </w:rPr>
              <w:t>6 months</w:t>
            </w:r>
          </w:p>
        </w:tc>
        <w:tc>
          <w:tcPr>
            <w:tcW w:w="1560" w:type="dxa"/>
            <w:shd w:val="clear" w:color="auto" w:fill="auto"/>
            <w:vAlign w:val="center"/>
          </w:tcPr>
          <w:p w14:paraId="6E8CA789" w14:textId="77777777" w:rsidR="00EA23CA" w:rsidRDefault="00EA23CA" w:rsidP="003D5DC8">
            <w:pPr>
              <w:pStyle w:val="TableText"/>
              <w:jc w:val="center"/>
              <w:rPr>
                <w:lang w:val="en-US"/>
              </w:rPr>
            </w:pPr>
            <w:r>
              <w:rPr>
                <w:lang w:val="en-US"/>
              </w:rPr>
              <w:t>Pharmacist review with prescribing/</w:t>
            </w:r>
          </w:p>
          <w:p w14:paraId="2504129B" w14:textId="77777777" w:rsidR="00EA23CA" w:rsidRDefault="00EA23CA" w:rsidP="003D5DC8">
            <w:pPr>
              <w:pStyle w:val="TableText"/>
              <w:jc w:val="center"/>
              <w:rPr>
                <w:lang w:val="en-US"/>
              </w:rPr>
            </w:pPr>
            <w:r>
              <w:rPr>
                <w:lang w:val="en-US"/>
              </w:rPr>
              <w:t>Pharmacist review/</w:t>
            </w:r>
          </w:p>
          <w:p w14:paraId="284A8413" w14:textId="77777777" w:rsidR="00EA23CA" w:rsidRDefault="00EA23CA" w:rsidP="003D5DC8">
            <w:pPr>
              <w:pStyle w:val="TableText"/>
              <w:jc w:val="center"/>
              <w:rPr>
                <w:lang w:val="en-US"/>
              </w:rPr>
            </w:pPr>
            <w:r>
              <w:rPr>
                <w:lang w:val="en-US"/>
              </w:rPr>
              <w:t>Treatment as usual</w:t>
            </w:r>
          </w:p>
        </w:tc>
        <w:tc>
          <w:tcPr>
            <w:tcW w:w="1275" w:type="dxa"/>
            <w:shd w:val="clear" w:color="auto" w:fill="auto"/>
            <w:vAlign w:val="center"/>
          </w:tcPr>
          <w:p w14:paraId="4DB9967B" w14:textId="77777777" w:rsidR="00EA23CA" w:rsidRDefault="00EA23CA" w:rsidP="003D5DC8">
            <w:pPr>
              <w:pStyle w:val="TableText"/>
              <w:jc w:val="center"/>
              <w:rPr>
                <w:lang w:val="en-US"/>
              </w:rPr>
            </w:pPr>
            <w:r>
              <w:rPr>
                <w:lang w:val="en-US"/>
              </w:rPr>
              <w:t>Patients receiving regular prescribed analgesia</w:t>
            </w:r>
          </w:p>
          <w:p w14:paraId="63CED4C2" w14:textId="77777777" w:rsidR="00EA23CA" w:rsidRDefault="00EA23CA" w:rsidP="003D5DC8">
            <w:pPr>
              <w:pStyle w:val="TableText"/>
              <w:jc w:val="center"/>
              <w:rPr>
                <w:lang w:val="en-US"/>
              </w:rPr>
            </w:pPr>
            <w:r>
              <w:rPr>
                <w:lang w:val="en-US"/>
              </w:rPr>
              <w:t>(UK)</w:t>
            </w:r>
          </w:p>
        </w:tc>
        <w:tc>
          <w:tcPr>
            <w:tcW w:w="3120" w:type="dxa"/>
            <w:shd w:val="clear" w:color="auto" w:fill="auto"/>
            <w:vAlign w:val="center"/>
          </w:tcPr>
          <w:p w14:paraId="10C4FBC8" w14:textId="77777777" w:rsidR="00EA23CA" w:rsidRDefault="00EA23CA" w:rsidP="003D5DC8">
            <w:pPr>
              <w:pStyle w:val="TableText"/>
              <w:jc w:val="center"/>
              <w:rPr>
                <w:lang w:val="en-US"/>
              </w:rPr>
            </w:pPr>
            <w:r>
              <w:rPr>
                <w:lang w:val="en-US"/>
              </w:rPr>
              <w:t>QALYs in intervention groups relative to the treatment as usual group were largely unchanged after adjusting for baseline characteristics.</w:t>
            </w:r>
          </w:p>
        </w:tc>
        <w:tc>
          <w:tcPr>
            <w:tcW w:w="759" w:type="dxa"/>
            <w:shd w:val="clear" w:color="auto" w:fill="auto"/>
            <w:vAlign w:val="center"/>
          </w:tcPr>
          <w:p w14:paraId="6FFBF14F" w14:textId="583EA66C" w:rsidR="00EA23CA" w:rsidRPr="00BA166A" w:rsidRDefault="003E710D" w:rsidP="003D5DC8">
            <w:pPr>
              <w:pStyle w:val="TableText"/>
              <w:jc w:val="center"/>
              <w:rPr>
                <w:i/>
                <w:lang w:val="en-US"/>
              </w:rPr>
            </w:pPr>
            <w:r>
              <w:rPr>
                <w:i/>
                <w:lang w:val="en-US"/>
              </w:rPr>
              <w:t>Low</w:t>
            </w:r>
          </w:p>
        </w:tc>
      </w:tr>
      <w:tr w:rsidR="00127088" w:rsidRPr="00CE28E3" w14:paraId="3010F586" w14:textId="77777777" w:rsidTr="00670719">
        <w:trPr>
          <w:cantSplit/>
        </w:trPr>
        <w:tc>
          <w:tcPr>
            <w:tcW w:w="988" w:type="dxa"/>
            <w:shd w:val="clear" w:color="auto" w:fill="auto"/>
            <w:vAlign w:val="center"/>
          </w:tcPr>
          <w:p w14:paraId="7B46C5D2" w14:textId="489A2ADB" w:rsidR="00127088" w:rsidRPr="00127088" w:rsidRDefault="00127088" w:rsidP="003D5DC8">
            <w:pPr>
              <w:pStyle w:val="TableText"/>
              <w:rPr>
                <w:vertAlign w:val="superscript"/>
                <w:lang w:val="en-US"/>
              </w:rPr>
            </w:pPr>
            <w:r>
              <w:rPr>
                <w:lang w:val="en-US"/>
              </w:rPr>
              <w:t xml:space="preserve">Ocampo </w:t>
            </w:r>
            <w:r w:rsidR="00CD12C7">
              <w:rPr>
                <w:lang w:val="en-US"/>
              </w:rPr>
              <w:t xml:space="preserve">et al. </w:t>
            </w:r>
            <w:r>
              <w:rPr>
                <w:lang w:val="en-US"/>
              </w:rPr>
              <w:t>2015</w:t>
            </w:r>
            <w:r>
              <w:rPr>
                <w:vertAlign w:val="superscript"/>
                <w:lang w:val="en-US"/>
              </w:rPr>
              <w:t>d</w:t>
            </w:r>
          </w:p>
        </w:tc>
        <w:tc>
          <w:tcPr>
            <w:tcW w:w="425" w:type="dxa"/>
            <w:shd w:val="clear" w:color="auto" w:fill="auto"/>
            <w:vAlign w:val="center"/>
          </w:tcPr>
          <w:p w14:paraId="651FF722" w14:textId="46E7BFEA" w:rsidR="00127088" w:rsidRDefault="00127088" w:rsidP="003D5DC8">
            <w:pPr>
              <w:pStyle w:val="TableText"/>
              <w:jc w:val="center"/>
              <w:rPr>
                <w:lang w:val="en-US"/>
              </w:rPr>
            </w:pPr>
            <w:r>
              <w:rPr>
                <w:lang w:val="en-US"/>
              </w:rPr>
              <w:t>140</w:t>
            </w:r>
          </w:p>
        </w:tc>
        <w:tc>
          <w:tcPr>
            <w:tcW w:w="849" w:type="dxa"/>
            <w:shd w:val="clear" w:color="auto" w:fill="auto"/>
            <w:vAlign w:val="center"/>
          </w:tcPr>
          <w:p w14:paraId="3586DF0D" w14:textId="77777777" w:rsidR="00127088" w:rsidRDefault="00127088" w:rsidP="003D5DC8">
            <w:pPr>
              <w:pStyle w:val="TableText"/>
              <w:jc w:val="center"/>
              <w:rPr>
                <w:lang w:val="en-US"/>
              </w:rPr>
            </w:pPr>
            <w:r>
              <w:rPr>
                <w:lang w:val="en-US"/>
              </w:rPr>
              <w:t>Pre-post/</w:t>
            </w:r>
          </w:p>
          <w:p w14:paraId="1658B848" w14:textId="25995B38" w:rsidR="00127088" w:rsidRDefault="00127088" w:rsidP="003D5DC8">
            <w:pPr>
              <w:pStyle w:val="TableText"/>
              <w:jc w:val="center"/>
              <w:rPr>
                <w:lang w:val="en-US"/>
              </w:rPr>
            </w:pPr>
            <w:r>
              <w:rPr>
                <w:lang w:val="en-US"/>
              </w:rPr>
              <w:t>18 months</w:t>
            </w:r>
          </w:p>
        </w:tc>
        <w:tc>
          <w:tcPr>
            <w:tcW w:w="1560" w:type="dxa"/>
            <w:shd w:val="clear" w:color="auto" w:fill="auto"/>
            <w:vAlign w:val="center"/>
          </w:tcPr>
          <w:p w14:paraId="30EA082E" w14:textId="5553730B" w:rsidR="00127088" w:rsidRDefault="00127088" w:rsidP="003D5DC8">
            <w:pPr>
              <w:pStyle w:val="TableText"/>
              <w:jc w:val="center"/>
              <w:rPr>
                <w:lang w:val="en-US"/>
              </w:rPr>
            </w:pPr>
            <w:r>
              <w:rPr>
                <w:lang w:val="en-US"/>
              </w:rPr>
              <w:t>M</w:t>
            </w:r>
            <w:r w:rsidRPr="00127088">
              <w:rPr>
                <w:lang w:val="en-US"/>
              </w:rPr>
              <w:t>onthly medication reviews with follow-up in a community pharmacy</w:t>
            </w:r>
            <w:r>
              <w:rPr>
                <w:lang w:val="en-US"/>
              </w:rPr>
              <w:t>/</w:t>
            </w:r>
          </w:p>
          <w:p w14:paraId="64A26F55" w14:textId="7EE20CBB" w:rsidR="00127088" w:rsidRDefault="00CD14A4" w:rsidP="003D5DC8">
            <w:pPr>
              <w:pStyle w:val="TableText"/>
              <w:jc w:val="center"/>
              <w:rPr>
                <w:lang w:val="en-US"/>
              </w:rPr>
            </w:pPr>
            <w:r>
              <w:rPr>
                <w:lang w:val="en-US"/>
              </w:rPr>
              <w:t>Baseline measurements</w:t>
            </w:r>
          </w:p>
        </w:tc>
        <w:tc>
          <w:tcPr>
            <w:tcW w:w="1275" w:type="dxa"/>
            <w:shd w:val="clear" w:color="auto" w:fill="auto"/>
            <w:vAlign w:val="center"/>
          </w:tcPr>
          <w:p w14:paraId="4005F1E4" w14:textId="66917272" w:rsidR="00127088" w:rsidRDefault="00127088" w:rsidP="003D5DC8">
            <w:pPr>
              <w:pStyle w:val="TableText"/>
              <w:jc w:val="center"/>
              <w:rPr>
                <w:lang w:val="en-US"/>
              </w:rPr>
            </w:pPr>
            <w:r>
              <w:rPr>
                <w:lang w:val="en-US"/>
              </w:rPr>
              <w:t>P</w:t>
            </w:r>
            <w:r w:rsidRPr="00127088">
              <w:rPr>
                <w:lang w:val="en-US"/>
              </w:rPr>
              <w:t>atients attending a community pharmacy</w:t>
            </w:r>
          </w:p>
          <w:p w14:paraId="4695ED2A" w14:textId="03E86C3C" w:rsidR="00127088" w:rsidRDefault="00127088" w:rsidP="003D5DC8">
            <w:pPr>
              <w:pStyle w:val="TableText"/>
              <w:jc w:val="center"/>
              <w:rPr>
                <w:lang w:val="en-US"/>
              </w:rPr>
            </w:pPr>
            <w:r>
              <w:rPr>
                <w:lang w:val="en-US"/>
              </w:rPr>
              <w:t>(Spain)</w:t>
            </w:r>
          </w:p>
        </w:tc>
        <w:tc>
          <w:tcPr>
            <w:tcW w:w="3120" w:type="dxa"/>
            <w:shd w:val="clear" w:color="auto" w:fill="auto"/>
            <w:vAlign w:val="center"/>
          </w:tcPr>
          <w:p w14:paraId="00B84392" w14:textId="7A73AC67" w:rsidR="00127088" w:rsidRDefault="00CD14A4" w:rsidP="003D5DC8">
            <w:pPr>
              <w:pStyle w:val="TableText"/>
              <w:jc w:val="center"/>
              <w:rPr>
                <w:lang w:val="en-US"/>
              </w:rPr>
            </w:pPr>
            <w:r>
              <w:rPr>
                <w:lang w:val="en-US"/>
              </w:rPr>
              <w:t>I</w:t>
            </w:r>
            <w:r w:rsidRPr="00CD14A4">
              <w:rPr>
                <w:lang w:val="en-US"/>
              </w:rPr>
              <w:t>mprovement in the bodily pain, physical functioning and mental health dimension of SF-36 (p&lt;0.001)</w:t>
            </w:r>
          </w:p>
        </w:tc>
        <w:tc>
          <w:tcPr>
            <w:tcW w:w="759" w:type="dxa"/>
            <w:shd w:val="clear" w:color="auto" w:fill="auto"/>
            <w:vAlign w:val="center"/>
          </w:tcPr>
          <w:p w14:paraId="3804ED50" w14:textId="6FB21F7E" w:rsidR="00127088" w:rsidRDefault="00670719" w:rsidP="003D5DC8">
            <w:pPr>
              <w:pStyle w:val="TableText"/>
              <w:jc w:val="center"/>
              <w:rPr>
                <w:i/>
                <w:lang w:val="en-US"/>
              </w:rPr>
            </w:pPr>
            <w:r>
              <w:rPr>
                <w:i/>
                <w:lang w:val="en-US"/>
              </w:rPr>
              <w:t>Moderate</w:t>
            </w:r>
          </w:p>
        </w:tc>
      </w:tr>
    </w:tbl>
    <w:p w14:paraId="4E2401DA" w14:textId="095D0878" w:rsidR="008633DE" w:rsidRPr="008633DE" w:rsidRDefault="008633DE" w:rsidP="008633DE">
      <w:pPr>
        <w:pStyle w:val="Instructionaltext"/>
        <w:keepNext/>
        <w:tabs>
          <w:tab w:val="left" w:pos="2172"/>
        </w:tabs>
        <w:spacing w:before="0" w:after="0"/>
        <w:jc w:val="both"/>
        <w:rPr>
          <w:rFonts w:ascii="Arial Narrow" w:hAnsi="Arial Narrow"/>
          <w:iCs/>
          <w:color w:val="auto"/>
          <w:sz w:val="18"/>
          <w:szCs w:val="20"/>
        </w:rPr>
      </w:pPr>
      <w:bookmarkStart w:id="21" w:name="_Toc69491423"/>
      <w:bookmarkEnd w:id="20"/>
      <w:r w:rsidRPr="008633DE">
        <w:rPr>
          <w:rFonts w:ascii="Arial Narrow" w:hAnsi="Arial Narrow"/>
          <w:iCs/>
          <w:color w:val="auto"/>
          <w:sz w:val="18"/>
          <w:szCs w:val="20"/>
        </w:rPr>
        <w:t>Source: Compile</w:t>
      </w:r>
      <w:r>
        <w:rPr>
          <w:rFonts w:ascii="Arial Narrow" w:hAnsi="Arial Narrow"/>
          <w:iCs/>
          <w:color w:val="auto"/>
          <w:sz w:val="18"/>
          <w:szCs w:val="20"/>
        </w:rPr>
        <w:t>d</w:t>
      </w:r>
      <w:r w:rsidRPr="008633DE">
        <w:rPr>
          <w:rFonts w:ascii="Arial Narrow" w:hAnsi="Arial Narrow"/>
          <w:iCs/>
          <w:color w:val="auto"/>
          <w:sz w:val="18"/>
          <w:szCs w:val="20"/>
        </w:rPr>
        <w:t xml:space="preserve"> during the evaluation.</w:t>
      </w:r>
    </w:p>
    <w:p w14:paraId="021F5C22" w14:textId="74E1D91F" w:rsidR="007274CD" w:rsidRPr="007274CD" w:rsidRDefault="008633DE" w:rsidP="007274CD">
      <w:pPr>
        <w:pStyle w:val="Instructionaltext"/>
        <w:keepNext/>
        <w:tabs>
          <w:tab w:val="left" w:pos="2172"/>
        </w:tabs>
        <w:spacing w:before="0" w:after="0"/>
        <w:jc w:val="both"/>
        <w:rPr>
          <w:rFonts w:ascii="Arial Narrow" w:hAnsi="Arial Narrow"/>
          <w:iCs/>
          <w:color w:val="auto"/>
          <w:sz w:val="18"/>
          <w:szCs w:val="20"/>
        </w:rPr>
      </w:pPr>
      <w:r w:rsidRPr="008633DE">
        <w:rPr>
          <w:rFonts w:ascii="Arial Narrow" w:hAnsi="Arial Narrow"/>
          <w:iCs/>
          <w:color w:val="auto"/>
          <w:sz w:val="18"/>
          <w:szCs w:val="20"/>
          <w:vertAlign w:val="superscript"/>
        </w:rPr>
        <w:t>a</w:t>
      </w:r>
      <w:r>
        <w:rPr>
          <w:rFonts w:ascii="Arial Narrow" w:hAnsi="Arial Narrow"/>
          <w:iCs/>
          <w:color w:val="auto"/>
          <w:sz w:val="18"/>
          <w:szCs w:val="20"/>
          <w:vertAlign w:val="superscript"/>
        </w:rPr>
        <w:t xml:space="preserve"> </w:t>
      </w:r>
      <w:r w:rsidRPr="008633DE">
        <w:rPr>
          <w:rFonts w:ascii="Arial Narrow" w:hAnsi="Arial Narrow"/>
          <w:iCs/>
          <w:color w:val="auto"/>
          <w:sz w:val="18"/>
          <w:szCs w:val="20"/>
        </w:rPr>
        <w:t>Bar</w:t>
      </w:r>
      <w:r>
        <w:rPr>
          <w:rFonts w:ascii="Arial Narrow" w:hAnsi="Arial Narrow"/>
          <w:iCs/>
          <w:color w:val="auto"/>
          <w:sz w:val="18"/>
          <w:szCs w:val="20"/>
        </w:rPr>
        <w:t>ker A, Barlis P, Berlowitz</w:t>
      </w:r>
      <w:r w:rsidR="007274CD">
        <w:rPr>
          <w:rFonts w:ascii="Arial Narrow" w:hAnsi="Arial Narrow"/>
          <w:iCs/>
          <w:color w:val="auto"/>
          <w:sz w:val="18"/>
          <w:szCs w:val="20"/>
        </w:rPr>
        <w:t xml:space="preserve"> D, Page K, Jackson B, Lim WK. (2012). </w:t>
      </w:r>
      <w:r w:rsidR="007274CD" w:rsidRPr="007274CD">
        <w:rPr>
          <w:rFonts w:ascii="Arial Narrow" w:hAnsi="Arial Narrow"/>
          <w:iCs/>
          <w:color w:val="auto"/>
          <w:sz w:val="18"/>
          <w:szCs w:val="20"/>
        </w:rPr>
        <w:t>Pharmacist directed home medication reviews in patients with chronic</w:t>
      </w:r>
    </w:p>
    <w:p w14:paraId="5667D43F" w14:textId="2B28AFDC" w:rsidR="008633DE" w:rsidRPr="008633DE" w:rsidRDefault="007274CD" w:rsidP="007274CD">
      <w:pPr>
        <w:pStyle w:val="Instructionaltext"/>
        <w:keepNext/>
        <w:tabs>
          <w:tab w:val="left" w:pos="2172"/>
        </w:tabs>
        <w:spacing w:before="0" w:after="0"/>
        <w:jc w:val="both"/>
        <w:rPr>
          <w:rFonts w:ascii="Arial Narrow" w:hAnsi="Arial Narrow"/>
          <w:iCs/>
          <w:color w:val="auto"/>
          <w:sz w:val="18"/>
          <w:szCs w:val="20"/>
        </w:rPr>
      </w:pPr>
      <w:r w:rsidRPr="007274CD">
        <w:rPr>
          <w:rFonts w:ascii="Arial Narrow" w:hAnsi="Arial Narrow"/>
          <w:iCs/>
          <w:color w:val="auto"/>
          <w:sz w:val="18"/>
          <w:szCs w:val="20"/>
        </w:rPr>
        <w:t>heart failure: A randomised clinical trial</w:t>
      </w:r>
      <w:r>
        <w:rPr>
          <w:rFonts w:ascii="Arial Narrow" w:hAnsi="Arial Narrow"/>
          <w:iCs/>
          <w:color w:val="auto"/>
          <w:sz w:val="18"/>
          <w:szCs w:val="20"/>
        </w:rPr>
        <w:t xml:space="preserve">. International Journal of Cardiology. </w:t>
      </w:r>
      <w:r w:rsidR="00127088">
        <w:rPr>
          <w:rFonts w:ascii="Arial Narrow" w:hAnsi="Arial Narrow"/>
          <w:iCs/>
          <w:color w:val="auto"/>
          <w:sz w:val="18"/>
          <w:szCs w:val="20"/>
        </w:rPr>
        <w:t>159(2): 139-43.</w:t>
      </w:r>
      <w:r w:rsidR="00CD14A4">
        <w:rPr>
          <w:rFonts w:ascii="Arial Narrow" w:hAnsi="Arial Narrow"/>
          <w:iCs/>
          <w:color w:val="auto"/>
          <w:sz w:val="18"/>
          <w:szCs w:val="20"/>
        </w:rPr>
        <w:t xml:space="preserve"> doi:</w:t>
      </w:r>
      <w:r w:rsidR="00127088">
        <w:rPr>
          <w:rFonts w:ascii="Arial Narrow" w:hAnsi="Arial Narrow"/>
          <w:iCs/>
          <w:color w:val="auto"/>
          <w:sz w:val="18"/>
          <w:szCs w:val="20"/>
        </w:rPr>
        <w:t xml:space="preserve"> </w:t>
      </w:r>
      <w:r w:rsidR="00127088" w:rsidRPr="00127088">
        <w:rPr>
          <w:rFonts w:ascii="Arial Narrow" w:hAnsi="Arial Narrow"/>
          <w:iCs/>
          <w:color w:val="auto"/>
          <w:sz w:val="18"/>
          <w:szCs w:val="20"/>
        </w:rPr>
        <w:t>10.1016/j.ijcard.2011.02.034</w:t>
      </w:r>
    </w:p>
    <w:p w14:paraId="68465CBC" w14:textId="5CFBC384" w:rsidR="008633DE" w:rsidRPr="00127088" w:rsidRDefault="008633DE" w:rsidP="008633DE">
      <w:pPr>
        <w:pStyle w:val="Instructionaltext"/>
        <w:keepNext/>
        <w:tabs>
          <w:tab w:val="left" w:pos="2172"/>
        </w:tabs>
        <w:spacing w:before="0" w:after="0"/>
        <w:jc w:val="both"/>
        <w:rPr>
          <w:rFonts w:ascii="Arial Narrow" w:hAnsi="Arial Narrow"/>
          <w:iCs/>
          <w:color w:val="auto"/>
          <w:sz w:val="18"/>
          <w:szCs w:val="20"/>
        </w:rPr>
      </w:pPr>
      <w:r w:rsidRPr="008633DE">
        <w:rPr>
          <w:rFonts w:ascii="Arial Narrow" w:hAnsi="Arial Narrow"/>
          <w:iCs/>
          <w:color w:val="auto"/>
          <w:sz w:val="18"/>
          <w:szCs w:val="20"/>
          <w:vertAlign w:val="superscript"/>
        </w:rPr>
        <w:t>b</w:t>
      </w:r>
      <w:r w:rsidR="00127088">
        <w:rPr>
          <w:rFonts w:ascii="Arial Narrow" w:hAnsi="Arial Narrow"/>
          <w:iCs/>
          <w:color w:val="auto"/>
          <w:sz w:val="18"/>
          <w:szCs w:val="20"/>
        </w:rPr>
        <w:t xml:space="preserve"> </w:t>
      </w:r>
      <w:r w:rsidR="00127088" w:rsidRPr="00127088">
        <w:rPr>
          <w:rFonts w:ascii="Arial Narrow" w:hAnsi="Arial Narrow"/>
          <w:iCs/>
          <w:color w:val="auto"/>
          <w:sz w:val="18"/>
          <w:szCs w:val="20"/>
        </w:rPr>
        <w:t xml:space="preserve">Bruhn H, Bond CM, Elliott AM, </w:t>
      </w:r>
      <w:r w:rsidR="00127088">
        <w:rPr>
          <w:rFonts w:ascii="Arial Narrow" w:hAnsi="Arial Narrow"/>
          <w:iCs/>
          <w:color w:val="auto"/>
          <w:sz w:val="18"/>
          <w:szCs w:val="20"/>
        </w:rPr>
        <w:t>et al</w:t>
      </w:r>
      <w:r w:rsidR="00127088" w:rsidRPr="00127088">
        <w:rPr>
          <w:rFonts w:ascii="Arial Narrow" w:hAnsi="Arial Narrow"/>
          <w:iCs/>
          <w:color w:val="auto"/>
          <w:sz w:val="18"/>
          <w:szCs w:val="20"/>
        </w:rPr>
        <w:t xml:space="preserve">. (2013). Pharmacist-led management of chronic pain in primary care: results from a randomised controlled exploratory trial. BMJ open, 3(4), e002361. </w:t>
      </w:r>
      <w:r w:rsidR="00CD14A4">
        <w:rPr>
          <w:rFonts w:ascii="Arial Narrow" w:hAnsi="Arial Narrow"/>
          <w:iCs/>
          <w:color w:val="auto"/>
          <w:sz w:val="18"/>
          <w:szCs w:val="20"/>
        </w:rPr>
        <w:t xml:space="preserve">doi: </w:t>
      </w:r>
      <w:r w:rsidR="00127088" w:rsidRPr="00127088">
        <w:rPr>
          <w:rFonts w:ascii="Arial Narrow" w:hAnsi="Arial Narrow"/>
          <w:iCs/>
          <w:color w:val="auto"/>
          <w:sz w:val="18"/>
          <w:szCs w:val="20"/>
        </w:rPr>
        <w:t>10.1136/bmjopen-2012-002361</w:t>
      </w:r>
    </w:p>
    <w:p w14:paraId="6E608F0E" w14:textId="7A627127" w:rsidR="008633DE" w:rsidRDefault="008633DE" w:rsidP="008633DE">
      <w:pPr>
        <w:pStyle w:val="Instructionaltext"/>
        <w:keepNext/>
        <w:tabs>
          <w:tab w:val="left" w:pos="2172"/>
        </w:tabs>
        <w:spacing w:before="0" w:after="0"/>
        <w:jc w:val="both"/>
        <w:rPr>
          <w:rFonts w:ascii="Arial Narrow" w:hAnsi="Arial Narrow"/>
          <w:iCs/>
          <w:color w:val="auto"/>
          <w:sz w:val="18"/>
          <w:szCs w:val="20"/>
        </w:rPr>
      </w:pPr>
      <w:r w:rsidRPr="008633DE">
        <w:rPr>
          <w:rFonts w:ascii="Arial Narrow" w:hAnsi="Arial Narrow"/>
          <w:iCs/>
          <w:color w:val="auto"/>
          <w:sz w:val="18"/>
          <w:szCs w:val="20"/>
          <w:vertAlign w:val="superscript"/>
        </w:rPr>
        <w:t>c</w:t>
      </w:r>
      <w:r w:rsidR="00127088">
        <w:rPr>
          <w:rFonts w:ascii="Arial Narrow" w:hAnsi="Arial Narrow"/>
          <w:iCs/>
          <w:color w:val="auto"/>
          <w:sz w:val="18"/>
          <w:szCs w:val="20"/>
          <w:vertAlign w:val="superscript"/>
        </w:rPr>
        <w:t xml:space="preserve"> </w:t>
      </w:r>
      <w:r w:rsidR="00127088" w:rsidRPr="00127088">
        <w:rPr>
          <w:rFonts w:ascii="Arial Narrow" w:hAnsi="Arial Narrow"/>
          <w:iCs/>
          <w:color w:val="auto"/>
          <w:sz w:val="18"/>
          <w:szCs w:val="20"/>
        </w:rPr>
        <w:t>Neilson AR</w:t>
      </w:r>
      <w:r w:rsidR="00127088">
        <w:rPr>
          <w:rFonts w:ascii="Arial Narrow" w:hAnsi="Arial Narrow"/>
          <w:iCs/>
          <w:color w:val="auto"/>
          <w:sz w:val="18"/>
          <w:szCs w:val="20"/>
        </w:rPr>
        <w:t>,</w:t>
      </w:r>
      <w:r w:rsidR="00127088" w:rsidRPr="00127088">
        <w:rPr>
          <w:rFonts w:ascii="Arial Narrow" w:hAnsi="Arial Narrow"/>
          <w:iCs/>
          <w:color w:val="auto"/>
          <w:sz w:val="18"/>
          <w:szCs w:val="20"/>
        </w:rPr>
        <w:t xml:space="preserve"> Bruhn H, Bond</w:t>
      </w:r>
      <w:r w:rsidR="00127088">
        <w:rPr>
          <w:rFonts w:ascii="Arial Narrow" w:hAnsi="Arial Narrow"/>
          <w:iCs/>
          <w:color w:val="auto"/>
          <w:sz w:val="18"/>
          <w:szCs w:val="20"/>
        </w:rPr>
        <w:t xml:space="preserve"> </w:t>
      </w:r>
      <w:r w:rsidR="00127088" w:rsidRPr="00127088">
        <w:rPr>
          <w:rFonts w:ascii="Arial Narrow" w:hAnsi="Arial Narrow"/>
          <w:iCs/>
          <w:color w:val="auto"/>
          <w:sz w:val="18"/>
          <w:szCs w:val="20"/>
        </w:rPr>
        <w:t xml:space="preserve">CM, </w:t>
      </w:r>
      <w:r w:rsidR="00127088">
        <w:rPr>
          <w:rFonts w:ascii="Arial Narrow" w:hAnsi="Arial Narrow"/>
          <w:iCs/>
          <w:color w:val="auto"/>
          <w:sz w:val="18"/>
          <w:szCs w:val="20"/>
        </w:rPr>
        <w:t>et al</w:t>
      </w:r>
      <w:r w:rsidR="00127088" w:rsidRPr="00127088">
        <w:rPr>
          <w:rFonts w:ascii="Arial Narrow" w:hAnsi="Arial Narrow"/>
          <w:iCs/>
          <w:color w:val="auto"/>
          <w:sz w:val="18"/>
          <w:szCs w:val="20"/>
        </w:rPr>
        <w:t xml:space="preserve">. (2015). Pharmacist-led management of chronic pain in primary care: costs and benefits in a pilot randomised controlled trial. BMJ open, 5(4), e006874. </w:t>
      </w:r>
      <w:r w:rsidR="00CD14A4">
        <w:rPr>
          <w:rFonts w:ascii="Arial Narrow" w:hAnsi="Arial Narrow"/>
          <w:iCs/>
          <w:color w:val="auto"/>
          <w:sz w:val="18"/>
          <w:szCs w:val="20"/>
        </w:rPr>
        <w:t xml:space="preserve">doi: </w:t>
      </w:r>
      <w:r w:rsidR="00127088" w:rsidRPr="00127088">
        <w:rPr>
          <w:rFonts w:ascii="Arial Narrow" w:hAnsi="Arial Narrow"/>
          <w:iCs/>
          <w:color w:val="auto"/>
          <w:sz w:val="18"/>
          <w:szCs w:val="20"/>
        </w:rPr>
        <w:t>10.1136/bmjopen-2014-006874</w:t>
      </w:r>
    </w:p>
    <w:p w14:paraId="57CCBE60" w14:textId="3AFBFEB6" w:rsidR="00127088" w:rsidRPr="00127088" w:rsidRDefault="00127088" w:rsidP="00CD14A4">
      <w:pPr>
        <w:pStyle w:val="Instructionaltext"/>
        <w:keepNext/>
        <w:tabs>
          <w:tab w:val="left" w:pos="2172"/>
        </w:tabs>
        <w:spacing w:before="0" w:after="0"/>
        <w:jc w:val="both"/>
        <w:rPr>
          <w:rFonts w:ascii="Arial Narrow" w:hAnsi="Arial Narrow"/>
          <w:iCs/>
          <w:color w:val="auto"/>
          <w:sz w:val="18"/>
          <w:szCs w:val="20"/>
        </w:rPr>
      </w:pPr>
      <w:r w:rsidRPr="00127088">
        <w:rPr>
          <w:rFonts w:ascii="Arial Narrow" w:hAnsi="Arial Narrow"/>
          <w:iCs/>
          <w:color w:val="auto"/>
          <w:sz w:val="18"/>
          <w:szCs w:val="20"/>
          <w:vertAlign w:val="superscript"/>
        </w:rPr>
        <w:t>d</w:t>
      </w:r>
      <w:r>
        <w:rPr>
          <w:rFonts w:ascii="Arial Narrow" w:hAnsi="Arial Narrow"/>
          <w:iCs/>
          <w:color w:val="auto"/>
          <w:sz w:val="18"/>
          <w:szCs w:val="20"/>
        </w:rPr>
        <w:t xml:space="preserve"> Ocampo</w:t>
      </w:r>
      <w:r w:rsidR="00CD14A4">
        <w:rPr>
          <w:rFonts w:ascii="Arial Narrow" w:hAnsi="Arial Narrow"/>
          <w:iCs/>
          <w:color w:val="auto"/>
          <w:sz w:val="18"/>
          <w:szCs w:val="20"/>
        </w:rPr>
        <w:t xml:space="preserve"> CC, Garcia-Cardenas V, Martinez-Martinez F, Benrimoj SI, Amariles P, Gastelurrutia MA. (2015). </w:t>
      </w:r>
      <w:r w:rsidR="00CD14A4" w:rsidRPr="00CD14A4">
        <w:rPr>
          <w:rFonts w:ascii="Arial Narrow" w:hAnsi="Arial Narrow"/>
          <w:iCs/>
          <w:color w:val="auto"/>
          <w:sz w:val="18"/>
          <w:szCs w:val="20"/>
        </w:rPr>
        <w:t>Implementation of medication review with follow-up in a Spanish</w:t>
      </w:r>
      <w:r w:rsidR="00CD14A4">
        <w:rPr>
          <w:rFonts w:ascii="Arial Narrow" w:hAnsi="Arial Narrow"/>
          <w:iCs/>
          <w:color w:val="auto"/>
          <w:sz w:val="18"/>
          <w:szCs w:val="20"/>
        </w:rPr>
        <w:t xml:space="preserve"> </w:t>
      </w:r>
      <w:r w:rsidR="00CD14A4" w:rsidRPr="00CD14A4">
        <w:rPr>
          <w:rFonts w:ascii="Arial Narrow" w:hAnsi="Arial Narrow"/>
          <w:iCs/>
          <w:color w:val="auto"/>
          <w:sz w:val="18"/>
          <w:szCs w:val="20"/>
        </w:rPr>
        <w:t>community pharmacy and its achieved outcomes</w:t>
      </w:r>
      <w:r w:rsidR="00CD14A4">
        <w:rPr>
          <w:rFonts w:ascii="Arial Narrow" w:hAnsi="Arial Narrow"/>
          <w:iCs/>
          <w:color w:val="auto"/>
          <w:sz w:val="18"/>
          <w:szCs w:val="20"/>
        </w:rPr>
        <w:t xml:space="preserve">. International Journal of Clinical Pharmacy. 37(5): 931-10. doi: </w:t>
      </w:r>
      <w:r w:rsidR="00CD14A4" w:rsidRPr="00CD14A4">
        <w:rPr>
          <w:rFonts w:ascii="Arial Narrow" w:hAnsi="Arial Narrow"/>
          <w:iCs/>
          <w:color w:val="auto"/>
          <w:sz w:val="18"/>
          <w:szCs w:val="20"/>
        </w:rPr>
        <w:t>10.1007/s11096-015-0145-9.</w:t>
      </w:r>
    </w:p>
    <w:p w14:paraId="3B9FC2AD" w14:textId="4E301BC5" w:rsidR="00772829" w:rsidRPr="00CE28E3" w:rsidRDefault="00772829" w:rsidP="00C7722F">
      <w:pPr>
        <w:pStyle w:val="Heading2"/>
        <w:numPr>
          <w:ilvl w:val="0"/>
          <w:numId w:val="18"/>
        </w:numPr>
        <w:ind w:hanging="720"/>
        <w:jc w:val="both"/>
      </w:pPr>
      <w:r w:rsidRPr="00CE28E3">
        <w:t>Comparative safety</w:t>
      </w:r>
      <w:bookmarkEnd w:id="21"/>
    </w:p>
    <w:p w14:paraId="340246AF" w14:textId="6623E4F4" w:rsidR="00DE6B0A" w:rsidRPr="002E6226" w:rsidRDefault="00DE6B0A" w:rsidP="00C515CE">
      <w:pPr>
        <w:pStyle w:val="Instructionaltext"/>
        <w:rPr>
          <w:color w:val="auto"/>
        </w:rPr>
      </w:pPr>
      <w:r w:rsidRPr="00DE6B0A">
        <w:rPr>
          <w:color w:val="auto"/>
        </w:rPr>
        <w:t xml:space="preserve">Safety was not </w:t>
      </w:r>
      <w:r w:rsidR="00EA5559">
        <w:rPr>
          <w:color w:val="auto"/>
        </w:rPr>
        <w:t xml:space="preserve">explicitly </w:t>
      </w:r>
      <w:r w:rsidRPr="00DE6B0A">
        <w:rPr>
          <w:color w:val="auto"/>
        </w:rPr>
        <w:t xml:space="preserve">measured as part of the </w:t>
      </w:r>
      <w:r w:rsidR="00C41350">
        <w:rPr>
          <w:color w:val="auto"/>
        </w:rPr>
        <w:t>trial</w:t>
      </w:r>
      <w:r w:rsidRPr="00DE6B0A">
        <w:rPr>
          <w:color w:val="auto"/>
        </w:rPr>
        <w:t xml:space="preserve">. </w:t>
      </w:r>
      <w:r w:rsidRPr="002E6226">
        <w:rPr>
          <w:color w:val="auto"/>
        </w:rPr>
        <w:t>The ADAR report</w:t>
      </w:r>
      <w:r w:rsidR="00C41350" w:rsidRPr="002E6226">
        <w:rPr>
          <w:color w:val="auto"/>
        </w:rPr>
        <w:t>ed that there were no known</w:t>
      </w:r>
      <w:r w:rsidRPr="002E6226">
        <w:rPr>
          <w:color w:val="auto"/>
        </w:rPr>
        <w:t xml:space="preserve"> deaths occurring during the </w:t>
      </w:r>
      <w:r w:rsidR="00C41350" w:rsidRPr="002E6226">
        <w:rPr>
          <w:color w:val="auto"/>
        </w:rPr>
        <w:t>trial</w:t>
      </w:r>
      <w:r w:rsidRPr="002E6226">
        <w:rPr>
          <w:color w:val="auto"/>
        </w:rPr>
        <w:t xml:space="preserve"> period. There were no statistically significant changes in the average number of ED presentations or hospital admissions after the intervention</w:t>
      </w:r>
      <w:r w:rsidR="00EA5559" w:rsidRPr="002E6226">
        <w:rPr>
          <w:color w:val="auto"/>
        </w:rPr>
        <w:t xml:space="preserve"> compared to the period before baseline</w:t>
      </w:r>
      <w:r w:rsidRPr="002E6226">
        <w:rPr>
          <w:color w:val="auto"/>
        </w:rPr>
        <w:t>, although</w:t>
      </w:r>
      <w:r w:rsidR="00955333" w:rsidRPr="002E6226">
        <w:rPr>
          <w:color w:val="auto"/>
        </w:rPr>
        <w:t xml:space="preserve"> these data were based on participant recall, only “pain related” ED presentations and hospital admissions, and</w:t>
      </w:r>
      <w:r w:rsidR="00965D14" w:rsidRPr="002E6226">
        <w:rPr>
          <w:color w:val="auto"/>
        </w:rPr>
        <w:t xml:space="preserve"> </w:t>
      </w:r>
      <w:r w:rsidRPr="002E6226">
        <w:rPr>
          <w:color w:val="auto"/>
        </w:rPr>
        <w:t>there was a large loss to follow up</w:t>
      </w:r>
      <w:r w:rsidR="00CE3C73" w:rsidRPr="002E6226">
        <w:rPr>
          <w:color w:val="auto"/>
        </w:rPr>
        <w:t>.</w:t>
      </w:r>
      <w:r w:rsidR="00EA5559" w:rsidRPr="002E6226">
        <w:rPr>
          <w:color w:val="auto"/>
        </w:rPr>
        <w:t xml:space="preserve"> Also, it is unknown in the absence of the new service how ED presentations and hospital admissions </w:t>
      </w:r>
      <w:r w:rsidR="00EA5559" w:rsidRPr="002E6226">
        <w:rPr>
          <w:color w:val="auto"/>
        </w:rPr>
        <w:lastRenderedPageBreak/>
        <w:t xml:space="preserve">would have evolved. </w:t>
      </w:r>
      <w:r w:rsidR="00904BF4" w:rsidRPr="002E6226">
        <w:rPr>
          <w:color w:val="auto"/>
        </w:rPr>
        <w:t xml:space="preserve">However, given the training required and that the nature of the intervention is within pharmacists’ usual scope of practice, </w:t>
      </w:r>
      <w:r w:rsidR="003D7DBC">
        <w:rPr>
          <w:color w:val="auto"/>
        </w:rPr>
        <w:t xml:space="preserve">the commentary considered that </w:t>
      </w:r>
      <w:r w:rsidR="00904BF4" w:rsidRPr="002E6226">
        <w:rPr>
          <w:color w:val="auto"/>
        </w:rPr>
        <w:t>it is unlikely t</w:t>
      </w:r>
      <w:r w:rsidR="0042668D" w:rsidRPr="002E6226">
        <w:rPr>
          <w:color w:val="auto"/>
        </w:rPr>
        <w:t>he intervention would</w:t>
      </w:r>
      <w:r w:rsidR="00904BF4" w:rsidRPr="002E6226">
        <w:rPr>
          <w:color w:val="auto"/>
        </w:rPr>
        <w:t xml:space="preserve"> produce significant safety concerns.</w:t>
      </w:r>
      <w:r w:rsidR="001F5C84">
        <w:rPr>
          <w:color w:val="auto"/>
        </w:rPr>
        <w:t xml:space="preserve"> </w:t>
      </w:r>
      <w:r w:rsidR="003D7DBC" w:rsidRPr="003D7DBC">
        <w:rPr>
          <w:color w:val="auto"/>
        </w:rPr>
        <w:t xml:space="preserve">However, </w:t>
      </w:r>
      <w:r w:rsidR="003D7DBC">
        <w:rPr>
          <w:color w:val="auto"/>
        </w:rPr>
        <w:t xml:space="preserve">ESC considered that </w:t>
      </w:r>
      <w:r w:rsidR="003D7DBC" w:rsidRPr="003D7DBC">
        <w:rPr>
          <w:color w:val="auto"/>
        </w:rPr>
        <w:t>there is a risk of inferior safety when the intervention is applied but the underlying diagnosis and rationale for prescribing is unknown, raising the potential for misdiagnosis or inappropriate treatment.</w:t>
      </w:r>
    </w:p>
    <w:p w14:paraId="3717AA01" w14:textId="2FB0927A" w:rsidR="00772829" w:rsidRPr="00CE28E3" w:rsidRDefault="00772829" w:rsidP="00C7722F">
      <w:pPr>
        <w:pStyle w:val="Heading2"/>
        <w:numPr>
          <w:ilvl w:val="0"/>
          <w:numId w:val="18"/>
        </w:numPr>
        <w:ind w:hanging="720"/>
        <w:jc w:val="both"/>
      </w:pPr>
      <w:bookmarkStart w:id="22" w:name="_Toc69491424"/>
      <w:r w:rsidRPr="00CE28E3">
        <w:t>Comparative effectiveness</w:t>
      </w:r>
      <w:bookmarkEnd w:id="22"/>
    </w:p>
    <w:p w14:paraId="38CE21FE" w14:textId="00BCB46F" w:rsidR="007538ED" w:rsidRPr="002E6226" w:rsidRDefault="00352ED7" w:rsidP="00C515CE">
      <w:pPr>
        <w:pStyle w:val="Instructionaltext"/>
      </w:pPr>
      <w:r>
        <w:rPr>
          <w:color w:val="auto"/>
        </w:rPr>
        <w:t>The clinical results of the CPMC trial are presented in</w:t>
      </w:r>
      <w:r w:rsidR="007E2347">
        <w:rPr>
          <w:color w:val="auto"/>
        </w:rPr>
        <w:t xml:space="preserve"> </w:t>
      </w:r>
      <w:r w:rsidR="007E2347" w:rsidRPr="00B86395">
        <w:rPr>
          <w:color w:val="auto"/>
        </w:rPr>
        <w:fldChar w:fldCharType="begin"/>
      </w:r>
      <w:r w:rsidR="007E2347" w:rsidRPr="00B86395">
        <w:rPr>
          <w:color w:val="auto"/>
        </w:rPr>
        <w:instrText xml:space="preserve"> REF _Ref102520632 \h </w:instrText>
      </w:r>
      <w:r w:rsidR="007E2347" w:rsidRPr="00B86395">
        <w:rPr>
          <w:color w:val="auto"/>
        </w:rPr>
      </w:r>
      <w:r w:rsidR="007E2347" w:rsidRPr="00B86395">
        <w:rPr>
          <w:color w:val="auto"/>
        </w:rPr>
        <w:fldChar w:fldCharType="separate"/>
      </w:r>
      <w:r w:rsidR="00656985" w:rsidRPr="00E54772">
        <w:rPr>
          <w:color w:val="auto"/>
        </w:rPr>
        <w:t>Table </w:t>
      </w:r>
      <w:r w:rsidR="00656985" w:rsidRPr="00E54772">
        <w:rPr>
          <w:noProof/>
          <w:color w:val="auto"/>
        </w:rPr>
        <w:t>7</w:t>
      </w:r>
      <w:r w:rsidR="007E2347" w:rsidRPr="00B86395">
        <w:rPr>
          <w:color w:val="auto"/>
        </w:rPr>
        <w:fldChar w:fldCharType="end"/>
      </w:r>
      <w:r w:rsidR="007E2347" w:rsidRPr="00B86395">
        <w:rPr>
          <w:color w:val="auto"/>
        </w:rPr>
        <w:t xml:space="preserve"> and </w:t>
      </w:r>
      <w:r w:rsidR="007E2347" w:rsidRPr="00B86395">
        <w:rPr>
          <w:color w:val="auto"/>
        </w:rPr>
        <w:fldChar w:fldCharType="begin"/>
      </w:r>
      <w:r w:rsidR="007E2347" w:rsidRPr="00B86395">
        <w:rPr>
          <w:color w:val="auto"/>
        </w:rPr>
        <w:instrText xml:space="preserve"> REF _Ref102520650 \h </w:instrText>
      </w:r>
      <w:r w:rsidR="007E2347" w:rsidRPr="00B86395">
        <w:rPr>
          <w:color w:val="auto"/>
        </w:rPr>
      </w:r>
      <w:r w:rsidR="007E2347" w:rsidRPr="00B86395">
        <w:rPr>
          <w:color w:val="auto"/>
        </w:rPr>
        <w:fldChar w:fldCharType="separate"/>
      </w:r>
      <w:r w:rsidR="00656985" w:rsidRPr="00E54772">
        <w:rPr>
          <w:color w:val="auto"/>
        </w:rPr>
        <w:t>Table </w:t>
      </w:r>
      <w:r w:rsidR="00656985" w:rsidRPr="00E54772">
        <w:rPr>
          <w:noProof/>
          <w:color w:val="auto"/>
        </w:rPr>
        <w:t>8</w:t>
      </w:r>
      <w:r w:rsidR="007E2347" w:rsidRPr="00B86395">
        <w:rPr>
          <w:color w:val="auto"/>
        </w:rPr>
        <w:fldChar w:fldCharType="end"/>
      </w:r>
      <w:r w:rsidRPr="00B86395">
        <w:rPr>
          <w:color w:val="auto"/>
        </w:rPr>
        <w:t>.</w:t>
      </w:r>
      <w:r w:rsidR="00EB635E" w:rsidRPr="00B86395">
        <w:rPr>
          <w:color w:val="auto"/>
        </w:rPr>
        <w:t xml:space="preserve"> </w:t>
      </w:r>
      <w:r w:rsidR="00EB635E" w:rsidRPr="002E6226">
        <w:rPr>
          <w:color w:val="auto"/>
        </w:rPr>
        <w:t>The results were divided into primary and secondary</w:t>
      </w:r>
      <w:r w:rsidR="003439E8">
        <w:rPr>
          <w:color w:val="auto"/>
        </w:rPr>
        <w:t xml:space="preserve"> outcomes</w:t>
      </w:r>
      <w:r w:rsidR="00EB635E" w:rsidRPr="002E6226">
        <w:rPr>
          <w:color w:val="auto"/>
        </w:rPr>
        <w:t xml:space="preserve"> </w:t>
      </w:r>
      <w:r w:rsidR="003439E8">
        <w:rPr>
          <w:color w:val="auto"/>
        </w:rPr>
        <w:t>based on the</w:t>
      </w:r>
      <w:r w:rsidR="00EB635E" w:rsidRPr="002E6226">
        <w:rPr>
          <w:color w:val="auto"/>
        </w:rPr>
        <w:t xml:space="preserve"> </w:t>
      </w:r>
      <w:r w:rsidR="00470EC6">
        <w:rPr>
          <w:color w:val="auto"/>
        </w:rPr>
        <w:t>t</w:t>
      </w:r>
      <w:r w:rsidR="00EB635E" w:rsidRPr="002E6226">
        <w:rPr>
          <w:color w:val="auto"/>
        </w:rPr>
        <w:t xml:space="preserve">rial </w:t>
      </w:r>
      <w:r w:rsidR="00470EC6">
        <w:rPr>
          <w:color w:val="auto"/>
        </w:rPr>
        <w:t>p</w:t>
      </w:r>
      <w:r w:rsidR="00EB635E" w:rsidRPr="002E6226">
        <w:rPr>
          <w:color w:val="auto"/>
        </w:rPr>
        <w:t>rotocol.</w:t>
      </w:r>
      <w:r w:rsidR="002763AD" w:rsidRPr="002E6226">
        <w:rPr>
          <w:color w:val="auto"/>
        </w:rPr>
        <w:t xml:space="preserve"> </w:t>
      </w:r>
    </w:p>
    <w:p w14:paraId="488A9833" w14:textId="60D559E9" w:rsidR="007538ED" w:rsidRDefault="00D97A8B" w:rsidP="0001555C">
      <w:pPr>
        <w:pStyle w:val="Caption"/>
        <w:jc w:val="both"/>
        <w:rPr>
          <w:rFonts w:cs="Tahoma"/>
          <w:bCs w:val="0"/>
          <w:lang w:eastAsia="en-AU"/>
        </w:rPr>
      </w:pPr>
      <w:bookmarkStart w:id="23" w:name="_Ref102520632"/>
      <w:r w:rsidRPr="00552065">
        <w:t>Table </w:t>
      </w:r>
      <w:fldSimple w:instr=" SEQ Table \* ARABIC ">
        <w:r w:rsidR="00656985">
          <w:rPr>
            <w:noProof/>
          </w:rPr>
          <w:t>7</w:t>
        </w:r>
      </w:fldSimple>
      <w:bookmarkEnd w:id="23"/>
      <w:r w:rsidRPr="00552065">
        <w:tab/>
      </w:r>
      <w:r w:rsidR="007538ED" w:rsidRPr="00552065">
        <w:rPr>
          <w:rFonts w:cs="Tahoma"/>
          <w:bCs w:val="0"/>
          <w:lang w:eastAsia="en-AU"/>
        </w:rPr>
        <w:t xml:space="preserve">Summary of the change in the </w:t>
      </w:r>
      <w:r w:rsidR="00D16BB7">
        <w:rPr>
          <w:rFonts w:cs="Tahoma"/>
          <w:bCs w:val="0"/>
          <w:lang w:eastAsia="en-AU"/>
        </w:rPr>
        <w:t>primary</w:t>
      </w:r>
      <w:r w:rsidR="007538ED" w:rsidRPr="00552065">
        <w:rPr>
          <w:rFonts w:cs="Tahoma"/>
          <w:bCs w:val="0"/>
          <w:lang w:eastAsia="en-AU"/>
        </w:rPr>
        <w:t xml:space="preserve"> outcome from initial to follow-up in Groups A and B</w:t>
      </w:r>
    </w:p>
    <w:tbl>
      <w:tblPr>
        <w:tblStyle w:val="TableGrid1"/>
        <w:tblW w:w="8926" w:type="dxa"/>
        <w:jc w:val="center"/>
        <w:tblCellMar>
          <w:left w:w="10" w:type="dxa"/>
          <w:right w:w="10" w:type="dxa"/>
        </w:tblCellMar>
        <w:tblLook w:val="04A0" w:firstRow="1" w:lastRow="0" w:firstColumn="1" w:lastColumn="0" w:noHBand="0" w:noVBand="1"/>
      </w:tblPr>
      <w:tblGrid>
        <w:gridCol w:w="1106"/>
        <w:gridCol w:w="985"/>
        <w:gridCol w:w="979"/>
        <w:gridCol w:w="753"/>
        <w:gridCol w:w="1134"/>
        <w:gridCol w:w="883"/>
        <w:gridCol w:w="708"/>
        <w:gridCol w:w="1640"/>
        <w:gridCol w:w="738"/>
      </w:tblGrid>
      <w:tr w:rsidR="00E54C11" w:rsidRPr="007538ED" w14:paraId="0CE1B8F0" w14:textId="77777777" w:rsidTr="00D91580">
        <w:trPr>
          <w:cnfStyle w:val="100000000000" w:firstRow="1" w:lastRow="0" w:firstColumn="0" w:lastColumn="0" w:oddVBand="0" w:evenVBand="0" w:oddHBand="0" w:evenHBand="0" w:firstRowFirstColumn="0" w:firstRowLastColumn="0" w:lastRowFirstColumn="0" w:lastRowLastColumn="0"/>
          <w:cantSplit/>
          <w:trHeight w:val="363"/>
          <w:tblHeader/>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B3F249F"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p>
        </w:tc>
        <w:tc>
          <w:tcPr>
            <w:tcW w:w="2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6CD54E"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Initial measure</w:t>
            </w: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40009A"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Follow-up measure</w:t>
            </w:r>
          </w:p>
        </w:tc>
        <w:tc>
          <w:tcPr>
            <w:tcW w:w="2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640A09"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Change from initial to follow-up</w:t>
            </w:r>
          </w:p>
        </w:tc>
      </w:tr>
      <w:tr w:rsidR="00E54C11" w:rsidRPr="007538ED" w14:paraId="1DFF36E4" w14:textId="77777777" w:rsidTr="00D91580">
        <w:trPr>
          <w:cnfStyle w:val="100000000000" w:firstRow="1" w:lastRow="0" w:firstColumn="0" w:lastColumn="0" w:oddVBand="0" w:evenVBand="0" w:oddHBand="0" w:evenHBand="0" w:firstRowFirstColumn="0" w:firstRowLastColumn="0" w:lastRowFirstColumn="0" w:lastRowLastColumn="0"/>
          <w:cantSplit/>
          <w:trHeight w:val="530"/>
          <w:tblHeader/>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809578"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F304F8" w14:textId="77777777" w:rsidR="00E54C11"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n</w:t>
            </w:r>
            <w:r>
              <w:rPr>
                <w:rFonts w:ascii="Arial Narrow" w:eastAsia="Calibri" w:hAnsi="Arial Narrow" w:cs="Arial"/>
                <w:b/>
              </w:rPr>
              <w:t xml:space="preserve"> </w:t>
            </w:r>
          </w:p>
          <w:p w14:paraId="231278E9"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Pr>
                <w:rFonts w:ascii="Arial Narrow" w:eastAsia="Calibri" w:hAnsi="Arial Narrow" w:cs="Arial"/>
                <w:b/>
              </w:rPr>
              <w:t>(% of total)</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B53BD1"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Mean</w:t>
            </w:r>
          </w:p>
          <w:p w14:paraId="41C48B1B"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(SD)</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195DE8"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Median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434519D" w14:textId="77777777" w:rsidR="00E54C11" w:rsidRDefault="00E54C11" w:rsidP="00D91580">
            <w:pPr>
              <w:suppressAutoHyphens/>
              <w:autoSpaceDN w:val="0"/>
              <w:spacing w:before="0" w:after="0"/>
              <w:jc w:val="both"/>
              <w:textAlignment w:val="baseline"/>
              <w:rPr>
                <w:rFonts w:ascii="Arial Narrow" w:eastAsia="Calibri" w:hAnsi="Arial Narrow" w:cs="Arial"/>
                <w:b/>
              </w:rPr>
            </w:pPr>
            <w:r>
              <w:rPr>
                <w:rFonts w:ascii="Arial Narrow" w:eastAsia="Calibri" w:hAnsi="Arial Narrow" w:cs="Arial"/>
                <w:b/>
              </w:rPr>
              <w:t>n</w:t>
            </w:r>
          </w:p>
          <w:p w14:paraId="462BE70D"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Pr>
                <w:rFonts w:ascii="Arial Narrow" w:eastAsia="Calibri" w:hAnsi="Arial Narrow" w:cs="Arial"/>
                <w:b/>
              </w:rPr>
              <w:t>(% of initial)</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4BB099"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Mean</w:t>
            </w:r>
          </w:p>
          <w:p w14:paraId="7BC28D02"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(SD)</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1A8851A"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Median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9072E8E"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Mean</w:t>
            </w:r>
            <w:r>
              <w:rPr>
                <w:rFonts w:ascii="Arial Narrow" w:eastAsia="Calibri" w:hAnsi="Arial Narrow" w:cs="Arial"/>
                <w:b/>
              </w:rPr>
              <w:t xml:space="preserve"> (</w:t>
            </w:r>
            <w:r w:rsidRPr="007538ED">
              <w:rPr>
                <w:rFonts w:ascii="Arial Narrow" w:eastAsia="Calibri" w:hAnsi="Arial Narrow" w:cs="Arial"/>
                <w:b/>
              </w:rPr>
              <w:t>95% CI</w:t>
            </w:r>
            <w:r>
              <w:rPr>
                <w:rFonts w:ascii="Arial Narrow" w:eastAsia="Calibri" w:hAnsi="Arial Narrow" w:cs="Arial"/>
                <w:b/>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91DE05" w14:textId="7B7F136E" w:rsidR="00E54C11" w:rsidRPr="0038343B" w:rsidRDefault="00E54C11" w:rsidP="00D91580">
            <w:pPr>
              <w:suppressAutoHyphens/>
              <w:autoSpaceDN w:val="0"/>
              <w:spacing w:before="0" w:after="0"/>
              <w:jc w:val="both"/>
              <w:textAlignment w:val="baseline"/>
              <w:rPr>
                <w:rFonts w:ascii="Arial Narrow" w:eastAsia="Calibri" w:hAnsi="Arial Narrow" w:cs="Arial"/>
                <w:b/>
                <w:vertAlign w:val="superscript"/>
              </w:rPr>
            </w:pPr>
            <w:r w:rsidRPr="007538ED">
              <w:rPr>
                <w:rFonts w:ascii="Arial Narrow" w:eastAsia="Calibri" w:hAnsi="Arial Narrow" w:cs="Arial"/>
                <w:b/>
              </w:rPr>
              <w:t>P value</w:t>
            </w:r>
            <w:r w:rsidR="0038343B">
              <w:rPr>
                <w:rFonts w:ascii="Arial Narrow" w:eastAsia="Calibri" w:hAnsi="Arial Narrow" w:cs="Arial"/>
                <w:b/>
                <w:vertAlign w:val="superscript"/>
              </w:rPr>
              <w:t>a</w:t>
            </w:r>
          </w:p>
        </w:tc>
      </w:tr>
      <w:tr w:rsidR="00E54C11" w:rsidRPr="007538ED" w14:paraId="2B7C1229" w14:textId="77777777" w:rsidTr="00D91580">
        <w:trPr>
          <w:cantSplit/>
          <w:jc w:val="center"/>
        </w:trPr>
        <w:tc>
          <w:tcPr>
            <w:tcW w:w="892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62E990D5" w14:textId="2D1EC37A" w:rsidR="00E54C11" w:rsidRDefault="00E54C11" w:rsidP="00D91580">
            <w:pPr>
              <w:suppressAutoHyphens/>
              <w:autoSpaceDN w:val="0"/>
              <w:spacing w:before="0" w:after="0"/>
              <w:jc w:val="both"/>
              <w:textAlignment w:val="baseline"/>
              <w:rPr>
                <w:rFonts w:ascii="Arial Narrow" w:eastAsia="Calibri" w:hAnsi="Arial Narrow" w:cs="Arial"/>
                <w:b/>
                <w:bCs/>
                <w:i/>
                <w:iCs/>
              </w:rPr>
            </w:pPr>
            <w:r w:rsidRPr="00074876">
              <w:rPr>
                <w:rFonts w:ascii="Arial Narrow" w:eastAsia="Calibri" w:hAnsi="Arial Narrow" w:cs="Arial"/>
                <w:b/>
                <w:bCs/>
                <w:iCs/>
              </w:rPr>
              <w:t xml:space="preserve">AQoL utility </w:t>
            </w:r>
            <w:r w:rsidRPr="00014684">
              <w:rPr>
                <w:rFonts w:ascii="Arial Narrow" w:eastAsia="Calibri" w:hAnsi="Arial Narrow" w:cs="Arial"/>
                <w:b/>
                <w:bCs/>
                <w:iCs/>
              </w:rPr>
              <w:t>score (AQoL-4D questionnaire)</w:t>
            </w:r>
            <w:r w:rsidR="0038343B" w:rsidRPr="00014684">
              <w:rPr>
                <w:rFonts w:ascii="Arial Narrow" w:eastAsia="Calibri" w:hAnsi="Arial Narrow" w:cs="Arial"/>
                <w:b/>
                <w:bCs/>
                <w:iCs/>
                <w:vertAlign w:val="superscript"/>
              </w:rPr>
              <w:t>b</w:t>
            </w:r>
          </w:p>
          <w:p w14:paraId="35662A93" w14:textId="77777777" w:rsidR="00E54C11" w:rsidRPr="00BE499E" w:rsidRDefault="00E54C11" w:rsidP="00D91580">
            <w:pPr>
              <w:suppressAutoHyphens/>
              <w:autoSpaceDN w:val="0"/>
              <w:spacing w:before="0" w:after="0"/>
              <w:jc w:val="both"/>
              <w:textAlignment w:val="baseline"/>
              <w:rPr>
                <w:rFonts w:ascii="Calibri" w:hAnsi="Calibri" w:cs="Tahoma"/>
                <w:i/>
              </w:rPr>
            </w:pPr>
            <w:r>
              <w:rPr>
                <w:rFonts w:ascii="Arial Narrow" w:eastAsia="Calibri" w:hAnsi="Arial Narrow" w:cs="Arial"/>
                <w:bCs/>
                <w:i/>
                <w:iCs/>
              </w:rPr>
              <w:t xml:space="preserve">-0.04-1.00 scale, where -0.04 = worst health state and 1.00 = best health state </w:t>
            </w:r>
          </w:p>
        </w:tc>
      </w:tr>
      <w:tr w:rsidR="00E54C11" w:rsidRPr="007538ED" w14:paraId="1A771146" w14:textId="77777777" w:rsidTr="00D91580">
        <w:trPr>
          <w:cantSplit/>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D170AE"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A</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DCAF7B"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1,443</w:t>
            </w:r>
            <w:r>
              <w:rPr>
                <w:rFonts w:ascii="Arial Narrow" w:eastAsia="Calibri" w:hAnsi="Arial Narrow" w:cs="Arial"/>
              </w:rPr>
              <w:t xml:space="preserve"> (86.98)</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44ED95"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0.58</w:t>
            </w:r>
            <w:r>
              <w:rPr>
                <w:rFonts w:ascii="Arial Narrow" w:eastAsia="Calibri" w:hAnsi="Arial Narrow" w:cs="Arial"/>
              </w:rPr>
              <w:t xml:space="preserve"> </w:t>
            </w:r>
          </w:p>
          <w:p w14:paraId="025B3630"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(0.26)</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3A86BD"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04FB616"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725</w:t>
            </w:r>
            <w:r>
              <w:rPr>
                <w:rFonts w:ascii="Arial Narrow" w:eastAsia="Calibri" w:hAnsi="Arial Narrow" w:cs="Arial"/>
              </w:rPr>
              <w:t xml:space="preserve"> </w:t>
            </w:r>
          </w:p>
          <w:p w14:paraId="6D094805"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(50.24)</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1CD630"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0.63</w:t>
            </w:r>
            <w:r>
              <w:rPr>
                <w:rFonts w:ascii="Arial Narrow" w:eastAsia="Calibri" w:hAnsi="Arial Narrow" w:cs="Arial"/>
              </w:rPr>
              <w:t xml:space="preserve"> </w:t>
            </w:r>
          </w:p>
          <w:p w14:paraId="2551B858"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19D7B1"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0.68</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748555" w14:textId="29AF3780"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0.05 (0.03</w:t>
            </w:r>
            <w:r w:rsidR="00233DC9">
              <w:rPr>
                <w:rFonts w:ascii="Arial Narrow" w:eastAsia="Calibri" w:hAnsi="Arial Narrow" w:cs="Arial"/>
                <w:b/>
              </w:rPr>
              <w:t xml:space="preserve">, </w:t>
            </w:r>
            <w:r w:rsidRPr="004B3CBC">
              <w:rPr>
                <w:rFonts w:ascii="Arial Narrow" w:eastAsia="Calibri" w:hAnsi="Arial Narrow" w:cs="Arial"/>
                <w:b/>
              </w:rPr>
              <w:t>0.07)</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2BD429" w14:textId="77777777"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p>
        </w:tc>
      </w:tr>
      <w:tr w:rsidR="00E54C11" w:rsidRPr="007538ED" w14:paraId="42A3D987" w14:textId="77777777" w:rsidTr="00D91580">
        <w:trPr>
          <w:cantSplit/>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4DE5EE1"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B</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EABD46"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562</w:t>
            </w:r>
            <w:r>
              <w:rPr>
                <w:rFonts w:ascii="Arial Narrow" w:eastAsia="Calibri" w:hAnsi="Arial Narrow" w:cs="Arial"/>
              </w:rPr>
              <w:t xml:space="preserve"> </w:t>
            </w:r>
          </w:p>
          <w:p w14:paraId="656BF09B"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(59.79)</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FA63C4"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0.53</w:t>
            </w:r>
            <w:r>
              <w:rPr>
                <w:rFonts w:ascii="Arial Narrow" w:eastAsia="Calibri" w:hAnsi="Arial Narrow" w:cs="Arial"/>
              </w:rPr>
              <w:t xml:space="preserve"> </w:t>
            </w:r>
          </w:p>
          <w:p w14:paraId="38D240E7"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(0.28)</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10AA91"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6C75EA"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234</w:t>
            </w:r>
            <w:r>
              <w:rPr>
                <w:rFonts w:ascii="Arial Narrow" w:eastAsia="Calibri" w:hAnsi="Arial Narrow" w:cs="Arial"/>
              </w:rPr>
              <w:t xml:space="preserve"> </w:t>
            </w:r>
          </w:p>
          <w:p w14:paraId="2AF44197"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(41.64)</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84FE71"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0.70</w:t>
            </w:r>
          </w:p>
          <w:p w14:paraId="442224EB"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CEF2C8D"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0.75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8D0D9E" w14:textId="41F0FDCB"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0.17 (0.13</w:t>
            </w:r>
            <w:r w:rsidR="00233DC9">
              <w:rPr>
                <w:rFonts w:ascii="Arial Narrow" w:eastAsia="Calibri" w:hAnsi="Arial Narrow" w:cs="Arial"/>
                <w:b/>
              </w:rPr>
              <w:t xml:space="preserve">, </w:t>
            </w:r>
            <w:r w:rsidRPr="004B3CBC">
              <w:rPr>
                <w:rFonts w:ascii="Arial Narrow" w:eastAsia="Calibri" w:hAnsi="Arial Narrow" w:cs="Arial"/>
                <w:b/>
              </w:rPr>
              <w:t>0.21)</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4502B8E" w14:textId="77777777"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p>
        </w:tc>
      </w:tr>
      <w:tr w:rsidR="00E54C11" w:rsidRPr="007538ED" w14:paraId="74F5ED6F" w14:textId="77777777" w:rsidTr="00D91580">
        <w:trPr>
          <w:cantSplit/>
          <w:jc w:val="center"/>
        </w:trPr>
        <w:tc>
          <w:tcPr>
            <w:tcW w:w="8926"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57" w:type="dxa"/>
              <w:bottom w:w="0" w:type="dxa"/>
              <w:right w:w="57" w:type="dxa"/>
            </w:tcMar>
            <w:vAlign w:val="center"/>
          </w:tcPr>
          <w:p w14:paraId="22DCDC19" w14:textId="30031FD1" w:rsidR="00E54C11" w:rsidRDefault="00E54C11" w:rsidP="00D91580">
            <w:pPr>
              <w:suppressAutoHyphens/>
              <w:autoSpaceDN w:val="0"/>
              <w:spacing w:before="0" w:after="0"/>
              <w:jc w:val="both"/>
              <w:textAlignment w:val="baseline"/>
              <w:rPr>
                <w:rFonts w:ascii="Arial Narrow" w:eastAsia="Calibri" w:hAnsi="Arial Narrow" w:cs="Arial"/>
                <w:b/>
                <w:bCs/>
                <w:i/>
                <w:iCs/>
              </w:rPr>
            </w:pPr>
            <w:r w:rsidRPr="00074876">
              <w:rPr>
                <w:rFonts w:ascii="Arial Narrow" w:eastAsia="Calibri" w:hAnsi="Arial Narrow" w:cs="Arial"/>
                <w:b/>
                <w:bCs/>
                <w:iCs/>
              </w:rPr>
              <w:t>Self-management total score</w:t>
            </w:r>
            <w:r>
              <w:rPr>
                <w:rFonts w:ascii="Arial Narrow" w:eastAsia="Calibri" w:hAnsi="Arial Narrow" w:cs="Arial"/>
                <w:b/>
                <w:bCs/>
                <w:i/>
                <w:iCs/>
              </w:rPr>
              <w:t xml:space="preserve"> </w:t>
            </w:r>
            <w:r w:rsidRPr="00014684">
              <w:rPr>
                <w:rFonts w:ascii="Arial Narrow" w:eastAsia="Calibri" w:hAnsi="Arial Narrow" w:cs="Arial"/>
                <w:b/>
                <w:bCs/>
                <w:iCs/>
              </w:rPr>
              <w:t>(Partners in Health [PIH] scale)</w:t>
            </w:r>
            <w:r w:rsidR="0038343B" w:rsidRPr="00014684">
              <w:rPr>
                <w:rFonts w:ascii="Arial Narrow" w:eastAsia="Calibri" w:hAnsi="Arial Narrow" w:cs="Arial"/>
                <w:b/>
                <w:bCs/>
                <w:iCs/>
                <w:vertAlign w:val="superscript"/>
              </w:rPr>
              <w:t>b</w:t>
            </w:r>
          </w:p>
          <w:p w14:paraId="0DF46C93" w14:textId="77777777" w:rsidR="00E54C11" w:rsidRPr="007F06E2"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bCs/>
                <w:i/>
                <w:iCs/>
              </w:rPr>
              <w:t>0-96 scale, higher scores indicate higher self-management capacity</w:t>
            </w:r>
          </w:p>
        </w:tc>
      </w:tr>
      <w:tr w:rsidR="00E54C11" w:rsidRPr="007538ED" w14:paraId="572E3E6B" w14:textId="77777777" w:rsidTr="00D91580">
        <w:trPr>
          <w:cantSplit/>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A2B7B5"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i/>
                <w:iCs/>
              </w:rPr>
            </w:pPr>
            <w:r w:rsidRPr="007538ED">
              <w:rPr>
                <w:rFonts w:ascii="Arial Narrow" w:eastAsia="Calibri" w:hAnsi="Arial Narrow" w:cs="Arial"/>
                <w:b/>
                <w:bCs/>
              </w:rPr>
              <w:t>Group A</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6E6250"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1,452</w:t>
            </w:r>
            <w:r>
              <w:rPr>
                <w:rFonts w:ascii="Arial Narrow" w:eastAsia="Calibri" w:hAnsi="Arial Narrow" w:cs="Arial"/>
              </w:rPr>
              <w:t xml:space="preserve"> (87.52)</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BE5C73"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71.08</w:t>
            </w:r>
            <w:r>
              <w:rPr>
                <w:rFonts w:ascii="Arial Narrow" w:eastAsia="Calibri" w:hAnsi="Arial Narrow" w:cs="Arial"/>
              </w:rPr>
              <w:t xml:space="preserve"> </w:t>
            </w:r>
            <w:r w:rsidRPr="007538ED">
              <w:rPr>
                <w:rFonts w:ascii="Arial Narrow" w:eastAsia="Calibri" w:hAnsi="Arial Narrow" w:cs="Arial"/>
              </w:rPr>
              <w:t>(14.35)</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ED62E6"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F7D119"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725</w:t>
            </w:r>
            <w:r>
              <w:rPr>
                <w:rFonts w:ascii="Arial Narrow" w:eastAsia="Calibri" w:hAnsi="Arial Narrow" w:cs="Arial"/>
              </w:rPr>
              <w:t xml:space="preserve"> </w:t>
            </w:r>
          </w:p>
          <w:p w14:paraId="6B1D60C1"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(49.93)</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15C08D"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76.69</w:t>
            </w:r>
            <w:r>
              <w:rPr>
                <w:rFonts w:ascii="Arial Narrow" w:eastAsia="Calibri" w:hAnsi="Arial Narrow" w:cs="Arial"/>
              </w:rPr>
              <w:t xml:space="preserve"> </w:t>
            </w:r>
          </w:p>
          <w:p w14:paraId="1A88C58E"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(13.41)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0F9462"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78</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BC2521" w14:textId="55453BD9"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5.61 (4.36</w:t>
            </w:r>
            <w:r w:rsidR="00233DC9">
              <w:rPr>
                <w:rFonts w:ascii="Arial Narrow" w:eastAsia="Calibri" w:hAnsi="Arial Narrow" w:cs="Arial"/>
                <w:b/>
              </w:rPr>
              <w:t xml:space="preserve">, </w:t>
            </w:r>
            <w:r w:rsidRPr="004B3CBC">
              <w:rPr>
                <w:rFonts w:ascii="Arial Narrow" w:eastAsia="Calibri" w:hAnsi="Arial Narrow" w:cs="Arial"/>
                <w:b/>
              </w:rPr>
              <w:t>6.86)</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E93F4C" w14:textId="77777777"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p>
        </w:tc>
      </w:tr>
      <w:tr w:rsidR="00E54C11" w:rsidRPr="007538ED" w14:paraId="03D48860" w14:textId="77777777" w:rsidTr="00D91580">
        <w:trPr>
          <w:cantSplit/>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1D79B9"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B</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D3626F"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565</w:t>
            </w:r>
            <w:r>
              <w:rPr>
                <w:rFonts w:ascii="Arial Narrow" w:eastAsia="Calibri" w:hAnsi="Arial Narrow" w:cs="Arial"/>
              </w:rPr>
              <w:t xml:space="preserve"> </w:t>
            </w:r>
          </w:p>
          <w:p w14:paraId="5D7406F4"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(60.11)</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3B952F"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72.82</w:t>
            </w:r>
            <w:r>
              <w:rPr>
                <w:rFonts w:ascii="Arial Narrow" w:eastAsia="Calibri" w:hAnsi="Arial Narrow" w:cs="Arial"/>
              </w:rPr>
              <w:t xml:space="preserve"> </w:t>
            </w:r>
            <w:r w:rsidRPr="007538ED">
              <w:rPr>
                <w:rFonts w:ascii="Arial Narrow" w:eastAsia="Calibri" w:hAnsi="Arial Narrow" w:cs="Arial"/>
              </w:rPr>
              <w:t>(15.71)</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D6FE0B"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DCE141"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239</w:t>
            </w:r>
            <w:r>
              <w:rPr>
                <w:rFonts w:ascii="Arial Narrow" w:eastAsia="Calibri" w:hAnsi="Arial Narrow" w:cs="Arial"/>
              </w:rPr>
              <w:t xml:space="preserve"> </w:t>
            </w:r>
          </w:p>
          <w:p w14:paraId="29BA8515"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(42.30)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9043E1"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73.98</w:t>
            </w:r>
            <w:r>
              <w:rPr>
                <w:rFonts w:ascii="Arial Narrow" w:eastAsia="Calibri" w:hAnsi="Arial Narrow" w:cs="Arial"/>
              </w:rPr>
              <w:t xml:space="preserve"> </w:t>
            </w:r>
          </w:p>
          <w:p w14:paraId="0088F2FF"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(15.00)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DED59D"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76</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B5ABA0" w14:textId="5C15CB46"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1.16 (1.18</w:t>
            </w:r>
            <w:r w:rsidR="00233DC9">
              <w:rPr>
                <w:rFonts w:ascii="Arial Narrow" w:eastAsia="Calibri" w:hAnsi="Arial Narrow" w:cs="Arial"/>
                <w:b/>
              </w:rPr>
              <w:t xml:space="preserve">, </w:t>
            </w:r>
            <w:r w:rsidRPr="004B3CBC">
              <w:rPr>
                <w:rFonts w:ascii="Arial Narrow" w:eastAsia="Calibri" w:hAnsi="Arial Narrow" w:cs="Arial"/>
                <w:b/>
              </w:rPr>
              <w:t>3.51)</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85D1F6" w14:textId="77777777"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p>
        </w:tc>
      </w:tr>
      <w:tr w:rsidR="00E54C11" w:rsidRPr="007538ED" w14:paraId="540E754F" w14:textId="77777777" w:rsidTr="00D91580">
        <w:trPr>
          <w:cantSplit/>
          <w:jc w:val="center"/>
        </w:trPr>
        <w:tc>
          <w:tcPr>
            <w:tcW w:w="8926"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57" w:type="dxa"/>
              <w:bottom w:w="0" w:type="dxa"/>
              <w:right w:w="57" w:type="dxa"/>
            </w:tcMar>
            <w:vAlign w:val="center"/>
          </w:tcPr>
          <w:p w14:paraId="0B8076F9" w14:textId="75B2E0E5" w:rsidR="00E54C11" w:rsidRDefault="00E54C11" w:rsidP="00D91580">
            <w:pPr>
              <w:suppressAutoHyphens/>
              <w:autoSpaceDN w:val="0"/>
              <w:spacing w:before="0" w:after="0"/>
              <w:jc w:val="both"/>
              <w:textAlignment w:val="baseline"/>
              <w:rPr>
                <w:rFonts w:ascii="Arial Narrow" w:eastAsia="Calibri" w:hAnsi="Arial Narrow" w:cs="Arial"/>
                <w:b/>
                <w:bCs/>
                <w:i/>
                <w:iCs/>
              </w:rPr>
            </w:pPr>
            <w:r w:rsidRPr="00074876">
              <w:rPr>
                <w:rFonts w:ascii="Arial Narrow" w:eastAsia="Calibri" w:hAnsi="Arial Narrow" w:cs="Arial"/>
                <w:b/>
                <w:bCs/>
                <w:iCs/>
              </w:rPr>
              <w:t>Pain severity</w:t>
            </w:r>
            <w:r>
              <w:rPr>
                <w:rFonts w:ascii="Arial Narrow" w:eastAsia="Calibri" w:hAnsi="Arial Narrow" w:cs="Arial"/>
                <w:b/>
                <w:bCs/>
                <w:i/>
                <w:iCs/>
              </w:rPr>
              <w:t xml:space="preserve"> </w:t>
            </w:r>
            <w:r w:rsidRPr="00014684">
              <w:rPr>
                <w:rFonts w:ascii="Arial Narrow" w:eastAsia="Calibri" w:hAnsi="Arial Narrow" w:cs="Arial"/>
                <w:b/>
                <w:bCs/>
                <w:iCs/>
              </w:rPr>
              <w:t>(a BPI-sf item included in the mini-ePPOC)</w:t>
            </w:r>
            <w:r w:rsidR="0038343B" w:rsidRPr="00014684">
              <w:rPr>
                <w:rFonts w:ascii="Arial Narrow" w:eastAsia="Calibri" w:hAnsi="Arial Narrow" w:cs="Arial"/>
                <w:b/>
                <w:bCs/>
                <w:iCs/>
                <w:vertAlign w:val="superscript"/>
              </w:rPr>
              <w:t>c</w:t>
            </w:r>
          </w:p>
          <w:p w14:paraId="5A60F11B" w14:textId="77777777" w:rsidR="00E54C11" w:rsidRPr="004F4ECA" w:rsidRDefault="00E54C11" w:rsidP="00D91580">
            <w:pPr>
              <w:suppressAutoHyphens/>
              <w:autoSpaceDN w:val="0"/>
              <w:spacing w:before="0" w:after="0"/>
              <w:jc w:val="both"/>
              <w:textAlignment w:val="baseline"/>
              <w:rPr>
                <w:rFonts w:ascii="Arial Narrow" w:eastAsia="Calibri" w:hAnsi="Arial Narrow" w:cs="Arial"/>
                <w:i/>
              </w:rPr>
            </w:pPr>
            <w:r>
              <w:rPr>
                <w:rFonts w:ascii="Arial Narrow" w:eastAsia="Calibri" w:hAnsi="Arial Narrow" w:cs="Arial"/>
                <w:i/>
              </w:rPr>
              <w:t>0-10 scale, where 0-4 = mild pain, 5-6 = moderate pain, 7-10 = severe pain (10 represents the worst possible scenario)</w:t>
            </w:r>
          </w:p>
        </w:tc>
      </w:tr>
      <w:tr w:rsidR="00E54C11" w:rsidRPr="007538ED" w14:paraId="75BB191E" w14:textId="77777777" w:rsidTr="00D91580">
        <w:trPr>
          <w:cantSplit/>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B7276C"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i/>
                <w:iCs/>
              </w:rPr>
            </w:pPr>
            <w:r w:rsidRPr="007538ED">
              <w:rPr>
                <w:rFonts w:ascii="Arial Narrow" w:eastAsia="Calibri" w:hAnsi="Arial Narrow" w:cs="Arial"/>
                <w:b/>
                <w:bCs/>
              </w:rPr>
              <w:t>Group A</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703E44"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4,316</w:t>
            </w:r>
            <w:r>
              <w:rPr>
                <w:rFonts w:ascii="Arial Narrow" w:eastAsia="Calibri" w:hAnsi="Arial Narrow" w:cs="Arial"/>
              </w:rPr>
              <w:t xml:space="preserve"> (100.00)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117CFC"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6.09</w:t>
            </w:r>
            <w:r>
              <w:rPr>
                <w:rFonts w:ascii="Arial Narrow" w:eastAsia="Calibri" w:hAnsi="Arial Narrow" w:cs="Arial"/>
              </w:rPr>
              <w:t xml:space="preserve"> </w:t>
            </w:r>
          </w:p>
          <w:p w14:paraId="74F4B7EB"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(2.08)</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40B39F"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37C157"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2,853</w:t>
            </w:r>
            <w:r>
              <w:rPr>
                <w:rFonts w:ascii="Arial Narrow" w:eastAsia="Calibri" w:hAnsi="Arial Narrow" w:cs="Arial"/>
              </w:rPr>
              <w:t xml:space="preserve"> </w:t>
            </w:r>
          </w:p>
          <w:p w14:paraId="7200F3B4"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(66.10)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923D13"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5.20</w:t>
            </w:r>
            <w:r>
              <w:rPr>
                <w:rFonts w:ascii="Arial Narrow" w:eastAsia="Calibri" w:hAnsi="Arial Narrow" w:cs="Arial"/>
              </w:rPr>
              <w:t xml:space="preserve"> </w:t>
            </w:r>
          </w:p>
          <w:p w14:paraId="6A3DBEF7"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D40B5B"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C4850A" w14:textId="4251C86B"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-0.89 (-0.99</w:t>
            </w:r>
            <w:r w:rsidR="00233DC9">
              <w:rPr>
                <w:rFonts w:ascii="Arial Narrow" w:eastAsia="Calibri" w:hAnsi="Arial Narrow" w:cs="Arial"/>
                <w:b/>
              </w:rPr>
              <w:t xml:space="preserve">, </w:t>
            </w:r>
            <w:r w:rsidRPr="004B3CBC">
              <w:rPr>
                <w:rFonts w:ascii="Arial Narrow" w:eastAsia="Calibri" w:hAnsi="Arial Narrow" w:cs="Arial"/>
                <w:b/>
              </w:rPr>
              <w:t>-0.79)</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30A873" w14:textId="77777777"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p>
        </w:tc>
      </w:tr>
      <w:tr w:rsidR="00E54C11" w:rsidRPr="007538ED" w14:paraId="4AFBA012" w14:textId="77777777" w:rsidTr="00D91580">
        <w:trPr>
          <w:cantSplit/>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BF8FD5"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B</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FDA2A4"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3,923</w:t>
            </w:r>
            <w:r>
              <w:rPr>
                <w:rFonts w:ascii="Arial Narrow" w:eastAsia="Calibri" w:hAnsi="Arial Narrow" w:cs="Arial"/>
              </w:rPr>
              <w:t xml:space="preserve"> (100.00)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553343"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6.15</w:t>
            </w:r>
            <w:r>
              <w:rPr>
                <w:rFonts w:ascii="Arial Narrow" w:eastAsia="Calibri" w:hAnsi="Arial Narrow" w:cs="Arial"/>
              </w:rPr>
              <w:t xml:space="preserve"> </w:t>
            </w:r>
          </w:p>
          <w:p w14:paraId="289C6855"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(2.20)</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5B5A4D"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A3F226"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1,521</w:t>
            </w:r>
            <w:r>
              <w:rPr>
                <w:rFonts w:ascii="Arial Narrow" w:eastAsia="Calibri" w:hAnsi="Arial Narrow" w:cs="Arial"/>
              </w:rPr>
              <w:t xml:space="preserve"> </w:t>
            </w:r>
          </w:p>
          <w:p w14:paraId="568D5BCB"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(38.77)</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07593C"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4.60</w:t>
            </w:r>
            <w:r>
              <w:rPr>
                <w:rFonts w:ascii="Arial Narrow" w:eastAsia="Calibri" w:hAnsi="Arial Narrow" w:cs="Arial"/>
              </w:rPr>
              <w:t xml:space="preserve"> </w:t>
            </w:r>
          </w:p>
          <w:p w14:paraId="1CF70826"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(2.54)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0059DE"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847F1A" w14:textId="6B46804F"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-1.55 (-1.69</w:t>
            </w:r>
            <w:r w:rsidR="00233DC9">
              <w:rPr>
                <w:rFonts w:ascii="Arial Narrow" w:eastAsia="Calibri" w:hAnsi="Arial Narrow" w:cs="Arial"/>
                <w:b/>
              </w:rPr>
              <w:t xml:space="preserve">, </w:t>
            </w:r>
            <w:r w:rsidRPr="004B3CBC">
              <w:rPr>
                <w:rFonts w:ascii="Arial Narrow" w:eastAsia="Calibri" w:hAnsi="Arial Narrow" w:cs="Arial"/>
                <w:b/>
              </w:rPr>
              <w:t>-1.41)</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0CE00A" w14:textId="77777777"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p>
        </w:tc>
      </w:tr>
      <w:tr w:rsidR="00E54C11" w:rsidRPr="007538ED" w14:paraId="22AB2E3A" w14:textId="77777777" w:rsidTr="00D91580">
        <w:trPr>
          <w:cantSplit/>
          <w:jc w:val="center"/>
        </w:trPr>
        <w:tc>
          <w:tcPr>
            <w:tcW w:w="8926"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57" w:type="dxa"/>
              <w:bottom w:w="0" w:type="dxa"/>
              <w:right w:w="57" w:type="dxa"/>
            </w:tcMar>
            <w:vAlign w:val="center"/>
          </w:tcPr>
          <w:p w14:paraId="3238B479" w14:textId="1A27213D" w:rsidR="00E54C11" w:rsidRDefault="00E54C11" w:rsidP="00D91580">
            <w:pPr>
              <w:suppressAutoHyphens/>
              <w:autoSpaceDN w:val="0"/>
              <w:spacing w:before="0" w:after="0"/>
              <w:jc w:val="both"/>
              <w:textAlignment w:val="baseline"/>
              <w:rPr>
                <w:rFonts w:ascii="Arial Narrow" w:eastAsia="Calibri" w:hAnsi="Arial Narrow" w:cs="Arial"/>
                <w:b/>
                <w:bCs/>
                <w:i/>
                <w:iCs/>
              </w:rPr>
            </w:pPr>
            <w:r w:rsidRPr="00074876">
              <w:rPr>
                <w:rFonts w:ascii="Arial Narrow" w:eastAsia="Calibri" w:hAnsi="Arial Narrow" w:cs="Arial"/>
                <w:b/>
                <w:bCs/>
                <w:iCs/>
              </w:rPr>
              <w:t>Pain interference (general activities)</w:t>
            </w:r>
            <w:r w:rsidRPr="00014684">
              <w:rPr>
                <w:rFonts w:ascii="Arial Narrow" w:eastAsia="Calibri" w:hAnsi="Arial Narrow" w:cs="Arial"/>
                <w:b/>
                <w:bCs/>
                <w:iCs/>
              </w:rPr>
              <w:t xml:space="preserve"> (a BPI-sf item included in the mini-ePPOC)</w:t>
            </w:r>
            <w:r w:rsidR="0038343B" w:rsidRPr="00014684">
              <w:rPr>
                <w:rFonts w:ascii="Arial Narrow" w:eastAsia="Calibri" w:hAnsi="Arial Narrow" w:cs="Arial"/>
                <w:b/>
                <w:bCs/>
                <w:iCs/>
                <w:vertAlign w:val="superscript"/>
              </w:rPr>
              <w:t>c</w:t>
            </w:r>
          </w:p>
          <w:p w14:paraId="447048F1"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i/>
                <w:iCs/>
              </w:rPr>
              <w:t>Higher scores indicate more interference</w:t>
            </w:r>
          </w:p>
        </w:tc>
      </w:tr>
      <w:tr w:rsidR="00E54C11" w:rsidRPr="007538ED" w14:paraId="725F3410" w14:textId="77777777" w:rsidTr="00D91580">
        <w:trPr>
          <w:cantSplit/>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C193765"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i/>
                <w:iCs/>
              </w:rPr>
            </w:pPr>
            <w:r w:rsidRPr="007538ED">
              <w:rPr>
                <w:rFonts w:ascii="Arial Narrow" w:eastAsia="Calibri" w:hAnsi="Arial Narrow" w:cs="Arial"/>
                <w:b/>
                <w:bCs/>
              </w:rPr>
              <w:t>Group A</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6EECBE"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4,316</w:t>
            </w:r>
            <w:r>
              <w:rPr>
                <w:rFonts w:ascii="Arial Narrow" w:eastAsia="Calibri" w:hAnsi="Arial Narrow" w:cs="Arial"/>
              </w:rPr>
              <w:t xml:space="preserve"> (100.00)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7D00B3"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5.72</w:t>
            </w:r>
            <w:r>
              <w:rPr>
                <w:rFonts w:ascii="Arial Narrow" w:eastAsia="Calibri" w:hAnsi="Arial Narrow" w:cs="Arial"/>
              </w:rPr>
              <w:t xml:space="preserve"> </w:t>
            </w:r>
          </w:p>
          <w:p w14:paraId="6690BE66"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(2.62)</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E5340F"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0AF798"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2,853</w:t>
            </w:r>
            <w:r>
              <w:rPr>
                <w:rFonts w:ascii="Arial Narrow" w:eastAsia="Calibri" w:hAnsi="Arial Narrow" w:cs="Arial"/>
              </w:rPr>
              <w:t xml:space="preserve"> </w:t>
            </w:r>
          </w:p>
          <w:p w14:paraId="44C95B62"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(66.10)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C39E48"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4.81</w:t>
            </w:r>
            <w:r>
              <w:rPr>
                <w:rFonts w:ascii="Arial Narrow" w:eastAsia="Calibri" w:hAnsi="Arial Narrow" w:cs="Arial"/>
              </w:rPr>
              <w:t xml:space="preserve"> </w:t>
            </w:r>
          </w:p>
          <w:p w14:paraId="1A9C2EA3"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(2.58)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4B5EE11"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7AEDA1" w14:textId="68D3D93F"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-0.91 (-1.03</w:t>
            </w:r>
            <w:r w:rsidR="00233DC9">
              <w:rPr>
                <w:rFonts w:ascii="Arial Narrow" w:eastAsia="Calibri" w:hAnsi="Arial Narrow" w:cs="Arial"/>
                <w:b/>
              </w:rPr>
              <w:t xml:space="preserve">, </w:t>
            </w:r>
            <w:r w:rsidRPr="004B3CBC">
              <w:rPr>
                <w:rFonts w:ascii="Arial Narrow" w:eastAsia="Calibri" w:hAnsi="Arial Narrow" w:cs="Arial"/>
                <w:b/>
              </w:rPr>
              <w:t>-0.78)</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FAD8E2" w14:textId="77777777"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p>
        </w:tc>
      </w:tr>
      <w:tr w:rsidR="00E54C11" w:rsidRPr="007538ED" w14:paraId="58ECA426" w14:textId="77777777" w:rsidTr="00D91580">
        <w:trPr>
          <w:cantSplit/>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5D321D"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B</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585662"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3,923</w:t>
            </w:r>
            <w:r>
              <w:rPr>
                <w:rFonts w:ascii="Arial Narrow" w:eastAsia="Calibri" w:hAnsi="Arial Narrow" w:cs="Arial"/>
              </w:rPr>
              <w:t xml:space="preserve"> (100.00)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F6AAE5"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5.80</w:t>
            </w:r>
            <w:r>
              <w:rPr>
                <w:rFonts w:ascii="Arial Narrow" w:eastAsia="Calibri" w:hAnsi="Arial Narrow" w:cs="Arial"/>
              </w:rPr>
              <w:t xml:space="preserve"> </w:t>
            </w:r>
          </w:p>
          <w:p w14:paraId="3C06DCFF"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(2.73)</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58F940"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5F0B8D"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1,521</w:t>
            </w:r>
            <w:r>
              <w:rPr>
                <w:rFonts w:ascii="Arial Narrow" w:eastAsia="Calibri" w:hAnsi="Arial Narrow" w:cs="Arial"/>
              </w:rPr>
              <w:t xml:space="preserve"> </w:t>
            </w:r>
          </w:p>
          <w:p w14:paraId="674B1170"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(38.77)</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E8E122"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4.15</w:t>
            </w:r>
            <w:r>
              <w:rPr>
                <w:rFonts w:ascii="Arial Narrow" w:eastAsia="Calibri" w:hAnsi="Arial Narrow" w:cs="Arial"/>
              </w:rPr>
              <w:t xml:space="preserve"> </w:t>
            </w:r>
          </w:p>
          <w:p w14:paraId="1211C154"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(2.79)</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325D2D"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2D60E2" w14:textId="630657D8"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-1.65 (-1.82</w:t>
            </w:r>
            <w:r w:rsidR="00233DC9">
              <w:rPr>
                <w:rFonts w:ascii="Arial Narrow" w:eastAsia="Calibri" w:hAnsi="Arial Narrow" w:cs="Arial"/>
                <w:b/>
              </w:rPr>
              <w:t xml:space="preserve">, </w:t>
            </w:r>
            <w:r w:rsidRPr="004B3CBC">
              <w:rPr>
                <w:rFonts w:ascii="Arial Narrow" w:eastAsia="Calibri" w:hAnsi="Arial Narrow" w:cs="Arial"/>
                <w:b/>
              </w:rPr>
              <w:t>-1.49)</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EAC0A0" w14:textId="77777777"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p>
        </w:tc>
      </w:tr>
      <w:tr w:rsidR="00E54C11" w:rsidRPr="007538ED" w14:paraId="375DC339" w14:textId="77777777" w:rsidTr="00D91580">
        <w:trPr>
          <w:cantSplit/>
          <w:jc w:val="center"/>
        </w:trPr>
        <w:tc>
          <w:tcPr>
            <w:tcW w:w="8926"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57" w:type="dxa"/>
              <w:bottom w:w="0" w:type="dxa"/>
              <w:right w:w="57" w:type="dxa"/>
            </w:tcMar>
            <w:vAlign w:val="center"/>
          </w:tcPr>
          <w:p w14:paraId="09622079" w14:textId="3A64EAC7" w:rsidR="00E54C11" w:rsidRDefault="00E54C11" w:rsidP="00D91580">
            <w:pPr>
              <w:suppressAutoHyphens/>
              <w:autoSpaceDN w:val="0"/>
              <w:spacing w:before="0" w:after="0"/>
              <w:jc w:val="both"/>
              <w:textAlignment w:val="baseline"/>
              <w:rPr>
                <w:rFonts w:ascii="Arial Narrow" w:eastAsia="Calibri" w:hAnsi="Arial Narrow" w:cs="Arial"/>
                <w:b/>
                <w:bCs/>
                <w:i/>
                <w:iCs/>
              </w:rPr>
            </w:pPr>
            <w:r w:rsidRPr="00074876">
              <w:rPr>
                <w:rFonts w:ascii="Arial Narrow" w:eastAsia="Calibri" w:hAnsi="Arial Narrow" w:cs="Arial"/>
                <w:b/>
                <w:bCs/>
                <w:iCs/>
              </w:rPr>
              <w:t xml:space="preserve">Pain interference (sleep) </w:t>
            </w:r>
            <w:r w:rsidRPr="00014684">
              <w:rPr>
                <w:rFonts w:ascii="Arial Narrow" w:eastAsia="Calibri" w:hAnsi="Arial Narrow" w:cs="Arial"/>
                <w:b/>
                <w:bCs/>
                <w:iCs/>
              </w:rPr>
              <w:t>(a BPI-sf item included in the mini-ePPOC)</w:t>
            </w:r>
            <w:r w:rsidR="0038343B" w:rsidRPr="00014684">
              <w:rPr>
                <w:rFonts w:ascii="Arial Narrow" w:eastAsia="Calibri" w:hAnsi="Arial Narrow" w:cs="Arial"/>
                <w:b/>
                <w:bCs/>
                <w:iCs/>
                <w:vertAlign w:val="superscript"/>
              </w:rPr>
              <w:t>c</w:t>
            </w:r>
          </w:p>
          <w:p w14:paraId="14846D32"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i/>
                <w:iCs/>
              </w:rPr>
              <w:t>Higher scores indicate more interference</w:t>
            </w:r>
          </w:p>
        </w:tc>
      </w:tr>
      <w:tr w:rsidR="00E54C11" w:rsidRPr="007538ED" w14:paraId="7D64FC50" w14:textId="77777777" w:rsidTr="00D91580">
        <w:trPr>
          <w:cantSplit/>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17340E"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i/>
                <w:iCs/>
              </w:rPr>
            </w:pPr>
            <w:r w:rsidRPr="007538ED">
              <w:rPr>
                <w:rFonts w:ascii="Arial Narrow" w:eastAsia="Calibri" w:hAnsi="Arial Narrow" w:cs="Arial"/>
                <w:b/>
                <w:bCs/>
              </w:rPr>
              <w:t>Group A</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34C877"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4,316</w:t>
            </w:r>
            <w:r>
              <w:rPr>
                <w:rFonts w:ascii="Arial Narrow" w:eastAsia="Calibri" w:hAnsi="Arial Narrow" w:cs="Arial"/>
              </w:rPr>
              <w:t xml:space="preserve"> (100.00)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FB4CBB"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5.27</w:t>
            </w:r>
            <w:r>
              <w:rPr>
                <w:rFonts w:ascii="Arial Narrow" w:eastAsia="Calibri" w:hAnsi="Arial Narrow" w:cs="Arial"/>
              </w:rPr>
              <w:t xml:space="preserve"> </w:t>
            </w:r>
          </w:p>
          <w:p w14:paraId="06BB7110"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(3.04)</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ED1F18"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CEC2F9"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2,853</w:t>
            </w:r>
            <w:r>
              <w:rPr>
                <w:rFonts w:ascii="Arial Narrow" w:eastAsia="Calibri" w:hAnsi="Arial Narrow" w:cs="Arial"/>
              </w:rPr>
              <w:t xml:space="preserve"> </w:t>
            </w:r>
          </w:p>
          <w:p w14:paraId="651A8978"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(66.10)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18B794"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4.38</w:t>
            </w:r>
            <w:r>
              <w:rPr>
                <w:rFonts w:ascii="Arial Narrow" w:eastAsia="Calibri" w:hAnsi="Arial Narrow" w:cs="Arial"/>
              </w:rPr>
              <w:t xml:space="preserve"> </w:t>
            </w:r>
          </w:p>
          <w:p w14:paraId="3D4793B0"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(2.86)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F9A87E"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C1D6A4" w14:textId="0CC578EE"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-0.88 (-1.03</w:t>
            </w:r>
            <w:r w:rsidR="00233DC9">
              <w:rPr>
                <w:rFonts w:ascii="Arial Narrow" w:eastAsia="Calibri" w:hAnsi="Arial Narrow" w:cs="Arial"/>
                <w:b/>
              </w:rPr>
              <w:t xml:space="preserve">, </w:t>
            </w:r>
            <w:r w:rsidRPr="004B3CBC">
              <w:rPr>
                <w:rFonts w:ascii="Arial Narrow" w:eastAsia="Calibri" w:hAnsi="Arial Narrow" w:cs="Arial"/>
                <w:b/>
              </w:rPr>
              <w:t>-0.74)</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544EEF" w14:textId="77777777"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p>
        </w:tc>
      </w:tr>
      <w:tr w:rsidR="00E54C11" w:rsidRPr="007538ED" w14:paraId="2AC588BD" w14:textId="77777777" w:rsidTr="00D91580">
        <w:trPr>
          <w:cantSplit/>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3092EF"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B</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8196B1"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3,923</w:t>
            </w:r>
            <w:r>
              <w:rPr>
                <w:rFonts w:ascii="Arial Narrow" w:eastAsia="Calibri" w:hAnsi="Arial Narrow" w:cs="Arial"/>
              </w:rPr>
              <w:t xml:space="preserve"> (100.00)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7EE328"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5.25</w:t>
            </w:r>
            <w:r>
              <w:rPr>
                <w:rFonts w:ascii="Arial Narrow" w:eastAsia="Calibri" w:hAnsi="Arial Narrow" w:cs="Arial"/>
              </w:rPr>
              <w:t xml:space="preserve"> </w:t>
            </w:r>
          </w:p>
          <w:p w14:paraId="7CDD7415"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(3.15)</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BB41E3"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DB8FD5"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1,521</w:t>
            </w:r>
            <w:r>
              <w:rPr>
                <w:rFonts w:ascii="Arial Narrow" w:eastAsia="Calibri" w:hAnsi="Arial Narrow" w:cs="Arial"/>
              </w:rPr>
              <w:t xml:space="preserve"> </w:t>
            </w:r>
          </w:p>
          <w:p w14:paraId="4A29CD92"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(38.77)</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C04928"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3.56</w:t>
            </w:r>
            <w:r>
              <w:rPr>
                <w:rFonts w:ascii="Arial Narrow" w:eastAsia="Calibri" w:hAnsi="Arial Narrow" w:cs="Arial"/>
              </w:rPr>
              <w:t xml:space="preserve"> </w:t>
            </w:r>
          </w:p>
          <w:p w14:paraId="2BC36BAF"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(2.91)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06DE7D"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920095" w14:textId="00D7F983"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-1.69 (-1.88</w:t>
            </w:r>
            <w:r w:rsidR="00233DC9">
              <w:rPr>
                <w:rFonts w:ascii="Arial Narrow" w:eastAsia="Calibri" w:hAnsi="Arial Narrow" w:cs="Arial"/>
                <w:b/>
              </w:rPr>
              <w:t xml:space="preserve">, </w:t>
            </w:r>
            <w:r w:rsidRPr="004B3CBC">
              <w:rPr>
                <w:rFonts w:ascii="Arial Narrow" w:eastAsia="Calibri" w:hAnsi="Arial Narrow" w:cs="Arial"/>
                <w:b/>
              </w:rPr>
              <w:t>-1.51)</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2D1D30" w14:textId="77777777"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p>
        </w:tc>
      </w:tr>
    </w:tbl>
    <w:p w14:paraId="771B8D61" w14:textId="77777777" w:rsidR="00E54C11" w:rsidRPr="00431366" w:rsidRDefault="00E54C11" w:rsidP="00E54C11">
      <w:pPr>
        <w:pStyle w:val="Instructionaltext"/>
        <w:keepNext/>
        <w:tabs>
          <w:tab w:val="left" w:pos="2172"/>
        </w:tabs>
        <w:spacing w:before="0" w:after="0"/>
        <w:jc w:val="both"/>
        <w:rPr>
          <w:rFonts w:ascii="Arial Narrow" w:hAnsi="Arial Narrow"/>
          <w:color w:val="auto"/>
          <w:sz w:val="18"/>
          <w:szCs w:val="20"/>
        </w:rPr>
      </w:pPr>
      <w:r w:rsidRPr="00431366">
        <w:rPr>
          <w:rFonts w:ascii="Arial Narrow" w:hAnsi="Arial Narrow"/>
          <w:color w:val="auto"/>
          <w:sz w:val="18"/>
          <w:szCs w:val="20"/>
        </w:rPr>
        <w:t>Source:</w:t>
      </w:r>
      <w:r>
        <w:rPr>
          <w:rFonts w:ascii="Arial Narrow" w:hAnsi="Arial Narrow"/>
          <w:color w:val="auto"/>
          <w:sz w:val="18"/>
          <w:szCs w:val="20"/>
        </w:rPr>
        <w:t xml:space="preserve"> Table 58 of ADAR</w:t>
      </w:r>
    </w:p>
    <w:p w14:paraId="770BB074" w14:textId="77777777" w:rsidR="00E54C11" w:rsidRDefault="00E54C11" w:rsidP="00E54C11">
      <w:pPr>
        <w:pStyle w:val="Instructionaltext"/>
        <w:spacing w:before="0" w:after="0"/>
        <w:jc w:val="both"/>
        <w:rPr>
          <w:rFonts w:ascii="Arial Narrow" w:eastAsia="Times New Roman" w:hAnsi="Arial Narrow" w:cs="Tahoma"/>
          <w:color w:val="auto"/>
          <w:sz w:val="18"/>
          <w:szCs w:val="18"/>
          <w:lang w:eastAsia="en-AU"/>
        </w:rPr>
      </w:pPr>
      <w:r w:rsidRPr="007538ED">
        <w:rPr>
          <w:rFonts w:ascii="Arial Narrow" w:eastAsia="Times New Roman" w:hAnsi="Arial Narrow" w:cs="Tahoma"/>
          <w:color w:val="auto"/>
          <w:sz w:val="18"/>
          <w:szCs w:val="18"/>
          <w:lang w:eastAsia="en-AU"/>
        </w:rPr>
        <w:t>Abbreviations: AQOL, The Assessment of quality of life instrument;</w:t>
      </w:r>
      <w:r>
        <w:rPr>
          <w:rFonts w:ascii="Arial Narrow" w:eastAsia="Times New Roman" w:hAnsi="Arial Narrow" w:cs="Tahoma"/>
          <w:color w:val="auto"/>
          <w:sz w:val="18"/>
          <w:szCs w:val="18"/>
          <w:lang w:eastAsia="en-AU"/>
        </w:rPr>
        <w:t xml:space="preserve"> BPI-sf, Brief Pain Inventory short form;</w:t>
      </w:r>
      <w:r w:rsidRPr="007538ED">
        <w:rPr>
          <w:rFonts w:ascii="Arial Narrow" w:eastAsia="Times New Roman" w:hAnsi="Arial Narrow" w:cs="Tahoma"/>
          <w:color w:val="auto"/>
          <w:sz w:val="18"/>
          <w:szCs w:val="18"/>
          <w:lang w:eastAsia="en-AU"/>
        </w:rPr>
        <w:t xml:space="preserve"> CI, Confidence interval; </w:t>
      </w:r>
      <w:r>
        <w:rPr>
          <w:rFonts w:ascii="Arial Narrow" w:eastAsia="Times New Roman" w:hAnsi="Arial Narrow" w:cs="Tahoma"/>
          <w:color w:val="auto"/>
          <w:sz w:val="18"/>
          <w:szCs w:val="18"/>
          <w:lang w:eastAsia="en-AU"/>
        </w:rPr>
        <w:t xml:space="preserve">ePPOC, </w:t>
      </w:r>
      <w:r w:rsidRPr="009400F4">
        <w:rPr>
          <w:rFonts w:ascii="Arial Narrow" w:eastAsia="Times New Roman" w:hAnsi="Arial Narrow" w:cs="Tahoma"/>
          <w:color w:val="auto"/>
          <w:sz w:val="18"/>
          <w:szCs w:val="18"/>
          <w:lang w:eastAsia="en-AU"/>
        </w:rPr>
        <w:t>mini-electronic Persistent Pain Outcomes Collaboration</w:t>
      </w:r>
      <w:r>
        <w:rPr>
          <w:rFonts w:ascii="Arial Narrow" w:eastAsia="Times New Roman" w:hAnsi="Arial Narrow" w:cs="Tahoma"/>
          <w:color w:val="auto"/>
          <w:sz w:val="18"/>
          <w:szCs w:val="18"/>
          <w:lang w:eastAsia="en-AU"/>
        </w:rPr>
        <w:t>;</w:t>
      </w:r>
      <w:r w:rsidRPr="009400F4">
        <w:rPr>
          <w:rFonts w:ascii="Arial Narrow" w:eastAsia="Times New Roman" w:hAnsi="Arial Narrow" w:cs="Tahoma"/>
          <w:color w:val="auto"/>
          <w:sz w:val="18"/>
          <w:szCs w:val="18"/>
          <w:lang w:eastAsia="en-AU"/>
        </w:rPr>
        <w:t xml:space="preserve"> </w:t>
      </w:r>
      <w:r w:rsidRPr="007538ED">
        <w:rPr>
          <w:rFonts w:ascii="Arial Narrow" w:eastAsia="Times New Roman" w:hAnsi="Arial Narrow" w:cs="Tahoma"/>
          <w:color w:val="auto"/>
          <w:sz w:val="18"/>
          <w:szCs w:val="18"/>
          <w:lang w:eastAsia="en-AU"/>
        </w:rPr>
        <w:t>SD, Standard deviation</w:t>
      </w:r>
    </w:p>
    <w:p w14:paraId="167D59D7" w14:textId="77777777" w:rsidR="00E54C11" w:rsidRPr="004B3CBC" w:rsidRDefault="00E54C11" w:rsidP="00E54C11">
      <w:pPr>
        <w:pStyle w:val="Instructionaltext"/>
        <w:spacing w:before="0" w:after="0"/>
        <w:jc w:val="both"/>
        <w:rPr>
          <w:rFonts w:ascii="Arial Narrow" w:eastAsia="Times New Roman" w:hAnsi="Arial Narrow" w:cs="Tahoma"/>
          <w:b/>
          <w:color w:val="auto"/>
          <w:sz w:val="18"/>
          <w:szCs w:val="18"/>
          <w:lang w:eastAsia="en-AU"/>
        </w:rPr>
      </w:pPr>
      <w:r w:rsidRPr="004B3CBC">
        <w:rPr>
          <w:rFonts w:ascii="Arial Narrow" w:eastAsia="Times New Roman" w:hAnsi="Arial Narrow" w:cs="Tahoma"/>
          <w:b/>
          <w:color w:val="auto"/>
          <w:sz w:val="18"/>
          <w:szCs w:val="18"/>
          <w:lang w:eastAsia="en-AU"/>
        </w:rPr>
        <w:t>Note: Bolded values signify</w:t>
      </w:r>
      <w:r>
        <w:rPr>
          <w:rFonts w:ascii="Arial Narrow" w:eastAsia="Times New Roman" w:hAnsi="Arial Narrow" w:cs="Tahoma"/>
          <w:b/>
          <w:color w:val="auto"/>
          <w:sz w:val="18"/>
          <w:szCs w:val="18"/>
          <w:lang w:eastAsia="en-AU"/>
        </w:rPr>
        <w:t xml:space="preserve"> a</w:t>
      </w:r>
      <w:r w:rsidRPr="004B3CBC">
        <w:rPr>
          <w:rFonts w:ascii="Arial Narrow" w:eastAsia="Times New Roman" w:hAnsi="Arial Narrow" w:cs="Tahoma"/>
          <w:b/>
          <w:color w:val="auto"/>
          <w:sz w:val="18"/>
          <w:szCs w:val="18"/>
          <w:lang w:eastAsia="en-AU"/>
        </w:rPr>
        <w:t xml:space="preserve"> statistically significant </w:t>
      </w:r>
      <w:r>
        <w:rPr>
          <w:rFonts w:ascii="Arial Narrow" w:eastAsia="Times New Roman" w:hAnsi="Arial Narrow" w:cs="Tahoma"/>
          <w:b/>
          <w:color w:val="auto"/>
          <w:sz w:val="18"/>
          <w:szCs w:val="18"/>
          <w:lang w:eastAsia="en-AU"/>
        </w:rPr>
        <w:t>change</w:t>
      </w:r>
      <w:r w:rsidRPr="004B3CBC">
        <w:rPr>
          <w:rFonts w:ascii="Arial Narrow" w:eastAsia="Times New Roman" w:hAnsi="Arial Narrow" w:cs="Tahoma"/>
          <w:b/>
          <w:color w:val="auto"/>
          <w:sz w:val="18"/>
          <w:szCs w:val="18"/>
          <w:lang w:eastAsia="en-AU"/>
        </w:rPr>
        <w:t xml:space="preserve"> (p&lt;0.05)</w:t>
      </w:r>
    </w:p>
    <w:p w14:paraId="61EC3EC8" w14:textId="35392EC9" w:rsidR="00E54C11" w:rsidRDefault="0038343B" w:rsidP="00E54C11">
      <w:pPr>
        <w:pStyle w:val="Instructionaltext"/>
        <w:spacing w:before="0" w:after="0"/>
        <w:jc w:val="both"/>
        <w:rPr>
          <w:rFonts w:ascii="Arial Narrow" w:eastAsia="Times New Roman" w:hAnsi="Arial Narrow" w:cs="Tahoma"/>
          <w:color w:val="auto"/>
          <w:sz w:val="18"/>
          <w:szCs w:val="18"/>
          <w:lang w:eastAsia="en-AU"/>
        </w:rPr>
      </w:pPr>
      <w:r>
        <w:rPr>
          <w:rFonts w:ascii="Arial Narrow" w:eastAsia="Times New Roman" w:hAnsi="Arial Narrow" w:cs="Tahoma"/>
          <w:color w:val="auto"/>
          <w:sz w:val="18"/>
          <w:szCs w:val="18"/>
          <w:vertAlign w:val="superscript"/>
          <w:lang w:eastAsia="en-AU"/>
        </w:rPr>
        <w:t>a</w:t>
      </w:r>
      <w:r>
        <w:rPr>
          <w:rFonts w:ascii="Arial Narrow" w:eastAsia="Times New Roman" w:hAnsi="Arial Narrow" w:cs="Tahoma"/>
          <w:color w:val="auto"/>
          <w:sz w:val="18"/>
          <w:szCs w:val="18"/>
          <w:lang w:eastAsia="en-AU"/>
        </w:rPr>
        <w:t xml:space="preserve"> </w:t>
      </w:r>
      <w:r w:rsidR="00E54C11" w:rsidRPr="00CF6947">
        <w:rPr>
          <w:rFonts w:ascii="Arial Narrow" w:eastAsia="Times New Roman" w:hAnsi="Arial Narrow" w:cs="Tahoma"/>
          <w:color w:val="auto"/>
          <w:sz w:val="18"/>
          <w:szCs w:val="18"/>
          <w:lang w:eastAsia="en-AU"/>
        </w:rPr>
        <w:t>Multilevel mixed-effects linear regression with time as the fixed effect and pharmacy and individual as the random effects</w:t>
      </w:r>
    </w:p>
    <w:p w14:paraId="3F3168E8" w14:textId="6DF85719" w:rsidR="00E54C11" w:rsidRDefault="0038343B" w:rsidP="00E54C11">
      <w:pPr>
        <w:pStyle w:val="Instructionaltext"/>
        <w:spacing w:before="0" w:after="0"/>
        <w:jc w:val="both"/>
        <w:rPr>
          <w:rFonts w:ascii="Arial Narrow" w:eastAsia="Times New Roman" w:hAnsi="Arial Narrow" w:cs="Tahoma"/>
          <w:color w:val="auto"/>
          <w:sz w:val="18"/>
          <w:szCs w:val="18"/>
          <w:lang w:eastAsia="en-AU"/>
        </w:rPr>
      </w:pPr>
      <w:r w:rsidRPr="0038343B">
        <w:rPr>
          <w:rFonts w:ascii="Arial Narrow" w:eastAsia="Times New Roman" w:hAnsi="Arial Narrow" w:cs="Tahoma"/>
          <w:color w:val="auto"/>
          <w:sz w:val="18"/>
          <w:szCs w:val="18"/>
          <w:vertAlign w:val="superscript"/>
          <w:lang w:eastAsia="en-AU"/>
        </w:rPr>
        <w:t>b</w:t>
      </w:r>
      <w:r w:rsidR="00E54C11">
        <w:rPr>
          <w:rFonts w:ascii="Arial Narrow" w:eastAsia="Times New Roman" w:hAnsi="Arial Narrow" w:cs="Tahoma"/>
          <w:color w:val="auto"/>
          <w:sz w:val="18"/>
          <w:szCs w:val="18"/>
          <w:lang w:eastAsia="en-AU"/>
        </w:rPr>
        <w:t xml:space="preserve"> Collected at evaluation sites only</w:t>
      </w:r>
    </w:p>
    <w:p w14:paraId="6592557C" w14:textId="3C749E6A" w:rsidR="00E54C11" w:rsidRDefault="0038343B" w:rsidP="00E54C11">
      <w:pPr>
        <w:pStyle w:val="Instructionaltext"/>
        <w:spacing w:before="0"/>
        <w:jc w:val="both"/>
        <w:rPr>
          <w:rFonts w:ascii="Arial Narrow" w:eastAsia="Times New Roman" w:hAnsi="Arial Narrow" w:cs="Tahoma"/>
          <w:color w:val="auto"/>
          <w:sz w:val="18"/>
          <w:szCs w:val="18"/>
          <w:lang w:eastAsia="en-AU"/>
        </w:rPr>
      </w:pPr>
      <w:r w:rsidRPr="0038343B">
        <w:rPr>
          <w:rFonts w:ascii="Arial Narrow" w:eastAsia="Times New Roman" w:hAnsi="Arial Narrow" w:cs="Tahoma"/>
          <w:color w:val="auto"/>
          <w:sz w:val="18"/>
          <w:szCs w:val="18"/>
          <w:vertAlign w:val="superscript"/>
          <w:lang w:eastAsia="en-AU"/>
        </w:rPr>
        <w:t>c</w:t>
      </w:r>
      <w:r w:rsidR="00E54C11">
        <w:rPr>
          <w:rFonts w:ascii="Arial Narrow" w:eastAsia="Times New Roman" w:hAnsi="Arial Narrow" w:cs="Tahoma"/>
          <w:color w:val="auto"/>
          <w:sz w:val="18"/>
          <w:szCs w:val="18"/>
          <w:lang w:eastAsia="en-AU"/>
        </w:rPr>
        <w:t xml:space="preserve"> </w:t>
      </w:r>
      <w:bookmarkStart w:id="24" w:name="_Hlk102402884"/>
      <w:r w:rsidR="00E54C11">
        <w:rPr>
          <w:rFonts w:ascii="Arial Narrow" w:eastAsia="Times New Roman" w:hAnsi="Arial Narrow" w:cs="Tahoma"/>
          <w:color w:val="auto"/>
          <w:sz w:val="18"/>
          <w:szCs w:val="18"/>
          <w:lang w:eastAsia="en-AU"/>
        </w:rPr>
        <w:t xml:space="preserve">The BPI-sf is a 9-item questionnaire </w:t>
      </w:r>
      <w:r w:rsidR="00E54C11" w:rsidRPr="009400F4">
        <w:rPr>
          <w:rFonts w:ascii="Arial Narrow" w:eastAsia="Times New Roman" w:hAnsi="Arial Narrow" w:cs="Tahoma"/>
          <w:color w:val="auto"/>
          <w:sz w:val="18"/>
          <w:szCs w:val="18"/>
          <w:lang w:eastAsia="en-AU"/>
        </w:rPr>
        <w:t xml:space="preserve">used to evaluate the severity of a participant's pain and the impact of this pain on the participant's daily functioning. </w:t>
      </w:r>
      <w:r w:rsidR="00E54C11">
        <w:rPr>
          <w:rFonts w:ascii="Arial Narrow" w:eastAsia="Times New Roman" w:hAnsi="Arial Narrow" w:cs="Tahoma"/>
          <w:color w:val="auto"/>
          <w:sz w:val="18"/>
          <w:szCs w:val="18"/>
          <w:lang w:eastAsia="en-AU"/>
        </w:rPr>
        <w:t xml:space="preserve">The mini-ePPOC includes two of the nine BPI-sf items. Pain interference appears to be one item, with two subcategories included in the mini-ePPOC (general activities and sleep). </w:t>
      </w:r>
      <w:r w:rsidR="00E54C11" w:rsidRPr="009400F4">
        <w:rPr>
          <w:rFonts w:ascii="Arial Narrow" w:eastAsia="Times New Roman" w:hAnsi="Arial Narrow" w:cs="Tahoma"/>
          <w:color w:val="auto"/>
          <w:sz w:val="18"/>
          <w:szCs w:val="18"/>
          <w:lang w:eastAsia="en-AU"/>
        </w:rPr>
        <w:t xml:space="preserve"> </w:t>
      </w:r>
      <w:bookmarkEnd w:id="24"/>
    </w:p>
    <w:p w14:paraId="451B02EB" w14:textId="6F28AED3" w:rsidR="00622E31" w:rsidRDefault="00622E31" w:rsidP="00622E31">
      <w:pPr>
        <w:pStyle w:val="Caption"/>
        <w:jc w:val="both"/>
        <w:rPr>
          <w:rFonts w:cs="Tahoma"/>
          <w:bCs w:val="0"/>
          <w:lang w:eastAsia="en-AU"/>
        </w:rPr>
      </w:pPr>
      <w:bookmarkStart w:id="25" w:name="_Ref102520650"/>
      <w:r w:rsidRPr="00552065">
        <w:lastRenderedPageBreak/>
        <w:t>Table </w:t>
      </w:r>
      <w:fldSimple w:instr=" SEQ Table \* ARABIC ">
        <w:r w:rsidR="00656985">
          <w:rPr>
            <w:noProof/>
          </w:rPr>
          <w:t>8</w:t>
        </w:r>
      </w:fldSimple>
      <w:bookmarkEnd w:id="25"/>
      <w:r w:rsidRPr="00552065">
        <w:tab/>
      </w:r>
      <w:r w:rsidRPr="00552065">
        <w:rPr>
          <w:rFonts w:cs="Tahoma"/>
          <w:bCs w:val="0"/>
          <w:lang w:eastAsia="en-AU"/>
        </w:rPr>
        <w:t xml:space="preserve">Summary of the changes in </w:t>
      </w:r>
      <w:r>
        <w:rPr>
          <w:rFonts w:cs="Tahoma"/>
          <w:bCs w:val="0"/>
          <w:lang w:eastAsia="en-AU"/>
        </w:rPr>
        <w:t>secondary</w:t>
      </w:r>
      <w:r w:rsidRPr="00552065">
        <w:rPr>
          <w:rFonts w:cs="Tahoma"/>
          <w:bCs w:val="0"/>
          <w:lang w:eastAsia="en-AU"/>
        </w:rPr>
        <w:t xml:space="preserve"> outcomes from initial to follow-up in Groups A and B</w:t>
      </w:r>
    </w:p>
    <w:tbl>
      <w:tblPr>
        <w:tblStyle w:val="TableGrid1"/>
        <w:tblW w:w="8926" w:type="dxa"/>
        <w:jc w:val="center"/>
        <w:tblCellMar>
          <w:left w:w="10" w:type="dxa"/>
          <w:right w:w="10" w:type="dxa"/>
        </w:tblCellMar>
        <w:tblLook w:val="04A0" w:firstRow="1" w:lastRow="0" w:firstColumn="1" w:lastColumn="0" w:noHBand="0" w:noVBand="1"/>
      </w:tblPr>
      <w:tblGrid>
        <w:gridCol w:w="1051"/>
        <w:gridCol w:w="1071"/>
        <w:gridCol w:w="850"/>
        <w:gridCol w:w="709"/>
        <w:gridCol w:w="1134"/>
        <w:gridCol w:w="850"/>
        <w:gridCol w:w="709"/>
        <w:gridCol w:w="1801"/>
        <w:gridCol w:w="751"/>
      </w:tblGrid>
      <w:tr w:rsidR="00E54C11" w:rsidRPr="007538ED" w14:paraId="6FE0FD6A" w14:textId="77777777" w:rsidTr="00D91580">
        <w:trPr>
          <w:cnfStyle w:val="100000000000" w:firstRow="1" w:lastRow="0" w:firstColumn="0" w:lastColumn="0" w:oddVBand="0" w:evenVBand="0" w:oddHBand="0" w:evenHBand="0" w:firstRowFirstColumn="0" w:firstRowLastColumn="0" w:lastRowFirstColumn="0" w:lastRowLastColumn="0"/>
          <w:cantSplit/>
          <w:trHeight w:val="363"/>
          <w:tblHeader/>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BB8D3C3"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A0BA35"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Initial measure</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1438FB"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Follow-up measure</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DAB1B9"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Change from initial to follow-up</w:t>
            </w:r>
          </w:p>
        </w:tc>
      </w:tr>
      <w:tr w:rsidR="00E54C11" w:rsidRPr="007538ED" w14:paraId="3EFFAD0A" w14:textId="77777777" w:rsidTr="00D91580">
        <w:trPr>
          <w:cnfStyle w:val="100000000000" w:firstRow="1" w:lastRow="0" w:firstColumn="0" w:lastColumn="0" w:oddVBand="0" w:evenVBand="0" w:oddHBand="0" w:evenHBand="0" w:firstRowFirstColumn="0" w:firstRowLastColumn="0" w:lastRowFirstColumn="0" w:lastRowLastColumn="0"/>
          <w:cantSplit/>
          <w:trHeight w:val="530"/>
          <w:tblHeader/>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566CB56"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937795" w14:textId="77777777" w:rsidR="00E54C11" w:rsidRDefault="00E54C11" w:rsidP="00D91580">
            <w:pPr>
              <w:suppressAutoHyphens/>
              <w:autoSpaceDN w:val="0"/>
              <w:spacing w:before="0" w:after="0"/>
              <w:jc w:val="both"/>
              <w:textAlignment w:val="baseline"/>
              <w:rPr>
                <w:rFonts w:ascii="Arial Narrow" w:eastAsia="Calibri" w:hAnsi="Arial Narrow" w:cs="Arial"/>
                <w:b/>
              </w:rPr>
            </w:pPr>
            <w:r>
              <w:rPr>
                <w:rFonts w:ascii="Arial Narrow" w:eastAsia="Calibri" w:hAnsi="Arial Narrow" w:cs="Arial"/>
                <w:b/>
              </w:rPr>
              <w:t xml:space="preserve">n </w:t>
            </w:r>
          </w:p>
          <w:p w14:paraId="7B5F8B0F"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Pr>
                <w:rFonts w:ascii="Arial Narrow" w:eastAsia="Calibri" w:hAnsi="Arial Narrow" w:cs="Arial"/>
                <w:b/>
              </w:rPr>
              <w:t>(% of total)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66A913"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Mean</w:t>
            </w:r>
          </w:p>
          <w:p w14:paraId="4C7103A9"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(SD)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A6485B"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Median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329C5B" w14:textId="77777777" w:rsidR="00E54C11"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N</w:t>
            </w:r>
          </w:p>
          <w:p w14:paraId="34A52BF8"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Pr>
                <w:rFonts w:ascii="Arial Narrow" w:eastAsia="Calibri" w:hAnsi="Arial Narrow" w:cs="Arial"/>
                <w:b/>
              </w:rPr>
              <w:t>(% of initial)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94ABED"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Mean</w:t>
            </w:r>
          </w:p>
          <w:p w14:paraId="45946CFA"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(SD)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259067"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Median</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21BA9A"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Mean</w:t>
            </w:r>
            <w:r>
              <w:rPr>
                <w:rFonts w:ascii="Arial Narrow" w:eastAsia="Calibri" w:hAnsi="Arial Narrow" w:cs="Arial"/>
                <w:b/>
              </w:rPr>
              <w:t xml:space="preserve"> (</w:t>
            </w:r>
            <w:r w:rsidRPr="007538ED">
              <w:rPr>
                <w:rFonts w:ascii="Arial Narrow" w:eastAsia="Calibri" w:hAnsi="Arial Narrow" w:cs="Arial"/>
                <w:b/>
              </w:rPr>
              <w:t>95% CI</w:t>
            </w:r>
            <w:r>
              <w:rPr>
                <w:rFonts w:ascii="Arial Narrow" w:eastAsia="Calibri" w:hAnsi="Arial Narrow" w:cs="Arial"/>
                <w:b/>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00711A"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rPr>
            </w:pPr>
            <w:r w:rsidRPr="007538ED">
              <w:rPr>
                <w:rFonts w:ascii="Arial Narrow" w:eastAsia="Calibri" w:hAnsi="Arial Narrow" w:cs="Arial"/>
                <w:b/>
              </w:rPr>
              <w:t>P value</w:t>
            </w:r>
          </w:p>
        </w:tc>
      </w:tr>
      <w:tr w:rsidR="00E54C11" w:rsidRPr="007538ED" w14:paraId="55A19C79" w14:textId="77777777" w:rsidTr="00D91580">
        <w:trPr>
          <w:cantSplit/>
          <w:trHeight w:val="153"/>
          <w:jc w:val="center"/>
        </w:trPr>
        <w:tc>
          <w:tcPr>
            <w:tcW w:w="892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719E341E" w14:textId="77777777" w:rsidR="00E54C11" w:rsidRDefault="00E54C11" w:rsidP="00D91580">
            <w:pPr>
              <w:suppressAutoHyphens/>
              <w:autoSpaceDN w:val="0"/>
              <w:spacing w:before="0" w:after="0"/>
              <w:jc w:val="both"/>
              <w:textAlignment w:val="baseline"/>
              <w:rPr>
                <w:rFonts w:ascii="Arial Narrow" w:eastAsia="Calibri" w:hAnsi="Arial Narrow" w:cs="Arial"/>
                <w:b/>
                <w:i/>
                <w:iCs/>
              </w:rPr>
            </w:pPr>
            <w:r w:rsidRPr="00074876">
              <w:rPr>
                <w:rFonts w:ascii="Arial Narrow" w:eastAsia="Calibri" w:hAnsi="Arial Narrow" w:cs="Arial"/>
                <w:b/>
                <w:iCs/>
              </w:rPr>
              <w:t>Psychological distress</w:t>
            </w:r>
            <w:r>
              <w:rPr>
                <w:rFonts w:ascii="Arial Narrow" w:eastAsia="Calibri" w:hAnsi="Arial Narrow" w:cs="Arial"/>
                <w:b/>
                <w:i/>
                <w:iCs/>
              </w:rPr>
              <w:t xml:space="preserve"> </w:t>
            </w:r>
            <w:r w:rsidRPr="00014684">
              <w:rPr>
                <w:rFonts w:ascii="Arial Narrow" w:eastAsia="Calibri" w:hAnsi="Arial Narrow" w:cs="Arial"/>
                <w:b/>
                <w:iCs/>
              </w:rPr>
              <w:t>(Patient Health Questionnaire-4 [PHQ-4])</w:t>
            </w:r>
          </w:p>
          <w:p w14:paraId="5D425AC8" w14:textId="77777777" w:rsidR="00E54C11" w:rsidRPr="00B0188B" w:rsidRDefault="00E54C11" w:rsidP="00D91580">
            <w:pPr>
              <w:suppressAutoHyphens/>
              <w:autoSpaceDN w:val="0"/>
              <w:spacing w:before="0" w:after="0"/>
              <w:jc w:val="both"/>
              <w:textAlignment w:val="baseline"/>
              <w:rPr>
                <w:rFonts w:ascii="Arial Narrow" w:eastAsia="Calibri" w:hAnsi="Arial Narrow" w:cs="Arial"/>
                <w:i/>
                <w:iCs/>
              </w:rPr>
            </w:pPr>
            <w:r>
              <w:rPr>
                <w:rFonts w:ascii="Arial Narrow" w:eastAsia="Calibri" w:hAnsi="Arial Narrow" w:cs="Arial"/>
                <w:i/>
                <w:iCs/>
              </w:rPr>
              <w:t>Higher scores indicate more experience of psychological distress</w:t>
            </w:r>
          </w:p>
        </w:tc>
      </w:tr>
      <w:tr w:rsidR="00E54C11" w:rsidRPr="007538ED" w14:paraId="75A4FC5F" w14:textId="77777777" w:rsidTr="00D91580">
        <w:trPr>
          <w:cantSplit/>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3FCA46D"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A</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3CB499"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4,316</w:t>
            </w:r>
          </w:p>
          <w:p w14:paraId="79E94AF6"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EDC977"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3.35</w:t>
            </w:r>
            <w:r>
              <w:rPr>
                <w:rFonts w:ascii="Arial Narrow" w:eastAsia="Calibri" w:hAnsi="Arial Narrow" w:cs="Arial"/>
              </w:rPr>
              <w:t xml:space="preserve"> </w:t>
            </w:r>
          </w:p>
          <w:p w14:paraId="0E5684B8"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(3.38)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2E39F2"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71CE1C"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2,853</w:t>
            </w:r>
          </w:p>
          <w:p w14:paraId="78FCCFCD"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(66.10)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BCDE31"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2.62</w:t>
            </w:r>
            <w:r>
              <w:rPr>
                <w:rFonts w:ascii="Arial Narrow" w:eastAsia="Calibri" w:hAnsi="Arial Narrow" w:cs="Arial"/>
              </w:rPr>
              <w:t xml:space="preserve"> </w:t>
            </w:r>
          </w:p>
          <w:p w14:paraId="09A4B4E0"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(2.96)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BBBC43"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32035F" w14:textId="25BFA0C2"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-0.73 (-0.88</w:t>
            </w:r>
            <w:r w:rsidR="009D6089">
              <w:rPr>
                <w:rFonts w:ascii="Arial Narrow" w:eastAsia="Calibri" w:hAnsi="Arial Narrow" w:cs="Arial"/>
                <w:b/>
              </w:rPr>
              <w:t xml:space="preserve">, </w:t>
            </w:r>
            <w:r w:rsidRPr="004B3CBC">
              <w:rPr>
                <w:rFonts w:ascii="Arial Narrow" w:eastAsia="Calibri" w:hAnsi="Arial Narrow" w:cs="Arial"/>
                <w:b/>
              </w:rPr>
              <w:t>-0.58)</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B833B8" w14:textId="2BFE929E"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r w:rsidR="0038343B" w:rsidRPr="0038343B">
              <w:rPr>
                <w:rFonts w:ascii="Arial Narrow" w:eastAsia="Calibri" w:hAnsi="Arial Narrow" w:cs="Arial"/>
                <w:b/>
                <w:vertAlign w:val="superscript"/>
              </w:rPr>
              <w:t>a</w:t>
            </w:r>
          </w:p>
        </w:tc>
      </w:tr>
      <w:tr w:rsidR="00E54C11" w:rsidRPr="007538ED" w14:paraId="285B61B8" w14:textId="77777777" w:rsidTr="00D91580">
        <w:trPr>
          <w:cantSplit/>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72C33E"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B</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B90FBF"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3,923</w:t>
            </w:r>
          </w:p>
          <w:p w14:paraId="0C9DCD49"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CD91428"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3.47</w:t>
            </w:r>
            <w:r>
              <w:rPr>
                <w:rFonts w:ascii="Arial Narrow" w:eastAsia="Calibri" w:hAnsi="Arial Narrow" w:cs="Arial"/>
              </w:rPr>
              <w:t xml:space="preserve"> </w:t>
            </w:r>
          </w:p>
          <w:p w14:paraId="4EE70392"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80C4FE"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120CA7"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1,521</w:t>
            </w:r>
          </w:p>
          <w:p w14:paraId="017C4E58"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(38.77)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D63A1F"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2.33</w:t>
            </w:r>
            <w:r>
              <w:rPr>
                <w:rFonts w:ascii="Arial Narrow" w:eastAsia="Calibri" w:hAnsi="Arial Narrow" w:cs="Arial"/>
              </w:rPr>
              <w:t xml:space="preserve"> </w:t>
            </w:r>
          </w:p>
          <w:p w14:paraId="6D807AEC"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4F895E5"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9B78D6" w14:textId="296FD078"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-1.13 (-1.34</w:t>
            </w:r>
            <w:r w:rsidR="009D6089">
              <w:rPr>
                <w:rFonts w:ascii="Arial Narrow" w:eastAsia="Calibri" w:hAnsi="Arial Narrow" w:cs="Arial"/>
                <w:b/>
              </w:rPr>
              <w:t xml:space="preserve">, </w:t>
            </w:r>
            <w:r w:rsidRPr="004B3CBC">
              <w:rPr>
                <w:rFonts w:ascii="Arial Narrow" w:eastAsia="Calibri" w:hAnsi="Arial Narrow" w:cs="Arial"/>
                <w:b/>
              </w:rPr>
              <w:t>-0.93)</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779352" w14:textId="497DB778"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r w:rsidR="0038343B" w:rsidRPr="0038343B">
              <w:rPr>
                <w:rFonts w:ascii="Arial Narrow" w:eastAsia="Calibri" w:hAnsi="Arial Narrow" w:cs="Arial"/>
                <w:b/>
                <w:vertAlign w:val="superscript"/>
              </w:rPr>
              <w:t>a</w:t>
            </w:r>
          </w:p>
        </w:tc>
      </w:tr>
      <w:tr w:rsidR="00E54C11" w:rsidRPr="007538ED" w14:paraId="6A34AA08" w14:textId="77777777" w:rsidTr="00D91580">
        <w:trPr>
          <w:cantSplit/>
          <w:jc w:val="center"/>
        </w:trPr>
        <w:tc>
          <w:tcPr>
            <w:tcW w:w="892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54C09AC5" w14:textId="77777777" w:rsidR="00E54C11" w:rsidRDefault="00E54C11" w:rsidP="00D91580">
            <w:pPr>
              <w:suppressAutoHyphens/>
              <w:autoSpaceDN w:val="0"/>
              <w:spacing w:before="0" w:after="0"/>
              <w:jc w:val="both"/>
              <w:textAlignment w:val="baseline"/>
              <w:rPr>
                <w:rFonts w:ascii="Arial Narrow" w:eastAsia="Calibri" w:hAnsi="Arial Narrow" w:cs="Arial"/>
                <w:b/>
                <w:bCs/>
                <w:i/>
                <w:iCs/>
              </w:rPr>
            </w:pPr>
            <w:r w:rsidRPr="00074876">
              <w:rPr>
                <w:rFonts w:ascii="Arial Narrow" w:eastAsia="Calibri" w:hAnsi="Arial Narrow" w:cs="Arial"/>
                <w:b/>
                <w:bCs/>
                <w:iCs/>
              </w:rPr>
              <w:t>Pain self-efficacy</w:t>
            </w:r>
            <w:r w:rsidRPr="00014684">
              <w:rPr>
                <w:rFonts w:ascii="Arial Narrow" w:eastAsia="Calibri" w:hAnsi="Arial Narrow" w:cs="Arial"/>
                <w:b/>
                <w:bCs/>
                <w:iCs/>
              </w:rPr>
              <w:t xml:space="preserve"> (Pain self-efficacy 2-item short form [PSEQ-2])</w:t>
            </w:r>
          </w:p>
          <w:p w14:paraId="7BFE69FB" w14:textId="77777777" w:rsidR="00E54C11" w:rsidRPr="007538ED" w:rsidRDefault="00E54C11" w:rsidP="00D91580">
            <w:pPr>
              <w:suppressAutoHyphens/>
              <w:autoSpaceDN w:val="0"/>
              <w:spacing w:before="0" w:after="0"/>
              <w:jc w:val="both"/>
              <w:textAlignment w:val="baseline"/>
              <w:rPr>
                <w:rFonts w:ascii="Calibri" w:hAnsi="Calibri" w:cs="Tahoma"/>
              </w:rPr>
            </w:pPr>
            <w:r>
              <w:rPr>
                <w:rFonts w:ascii="Arial Narrow" w:eastAsia="Calibri" w:hAnsi="Arial Narrow" w:cs="Arial"/>
                <w:i/>
              </w:rPr>
              <w:t xml:space="preserve">Higher </w:t>
            </w:r>
            <w:r w:rsidRPr="00B0188B">
              <w:rPr>
                <w:rFonts w:ascii="Arial Narrow" w:eastAsia="Calibri" w:hAnsi="Arial Narrow" w:cs="Arial"/>
                <w:i/>
              </w:rPr>
              <w:t>score</w:t>
            </w:r>
            <w:r>
              <w:rPr>
                <w:rFonts w:ascii="Arial Narrow" w:eastAsia="Calibri" w:hAnsi="Arial Narrow" w:cs="Arial"/>
                <w:i/>
              </w:rPr>
              <w:t>s</w:t>
            </w:r>
            <w:r w:rsidRPr="00B0188B">
              <w:rPr>
                <w:rFonts w:ascii="Arial Narrow" w:eastAsia="Calibri" w:hAnsi="Arial Narrow" w:cs="Arial"/>
                <w:i/>
              </w:rPr>
              <w:t xml:space="preserve"> indicate </w:t>
            </w:r>
            <w:r>
              <w:rPr>
                <w:rFonts w:ascii="Arial Narrow" w:eastAsia="Calibri" w:hAnsi="Arial Narrow" w:cs="Arial"/>
                <w:i/>
              </w:rPr>
              <w:t>less severe</w:t>
            </w:r>
            <w:r w:rsidRPr="00B0188B">
              <w:rPr>
                <w:rFonts w:ascii="Arial Narrow" w:eastAsia="Calibri" w:hAnsi="Arial Narrow" w:cs="Arial"/>
                <w:i/>
              </w:rPr>
              <w:t xml:space="preserve"> impairment</w:t>
            </w:r>
          </w:p>
        </w:tc>
      </w:tr>
      <w:tr w:rsidR="00E54C11" w:rsidRPr="007538ED" w14:paraId="6B72D502" w14:textId="77777777" w:rsidTr="00D91580">
        <w:trPr>
          <w:cantSplit/>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6BEBD2"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A</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4294E2"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4,316</w:t>
            </w:r>
          </w:p>
          <w:p w14:paraId="2956616B"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1E41781"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7.37</w:t>
            </w:r>
            <w:r>
              <w:rPr>
                <w:rFonts w:ascii="Arial Narrow" w:eastAsia="Calibri" w:hAnsi="Arial Narrow" w:cs="Arial"/>
              </w:rPr>
              <w:t xml:space="preserve"> </w:t>
            </w:r>
          </w:p>
          <w:p w14:paraId="566698F3"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(3.08)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0685DC"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4A0BC2"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2,853</w:t>
            </w:r>
          </w:p>
          <w:p w14:paraId="15B1EC38"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(66.10)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BFD28B"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8.14</w:t>
            </w:r>
            <w:r>
              <w:rPr>
                <w:rFonts w:ascii="Arial Narrow" w:eastAsia="Calibri" w:hAnsi="Arial Narrow" w:cs="Arial"/>
              </w:rPr>
              <w:t xml:space="preserve"> </w:t>
            </w:r>
          </w:p>
          <w:p w14:paraId="0AFD132A"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D4DE9E"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8</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6D1B41" w14:textId="419D570C"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0.77 (0.63</w:t>
            </w:r>
            <w:r w:rsidR="009D6089">
              <w:rPr>
                <w:rFonts w:ascii="Arial Narrow" w:eastAsia="Calibri" w:hAnsi="Arial Narrow" w:cs="Arial"/>
                <w:b/>
              </w:rPr>
              <w:t xml:space="preserve">, </w:t>
            </w:r>
            <w:r w:rsidRPr="004B3CBC">
              <w:rPr>
                <w:rFonts w:ascii="Arial Narrow" w:eastAsia="Calibri" w:hAnsi="Arial Narrow" w:cs="Arial"/>
                <w:b/>
              </w:rPr>
              <w:t>0.91)</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BB6DE0" w14:textId="210FBF74"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r w:rsidR="0038343B" w:rsidRPr="0038343B">
              <w:rPr>
                <w:rFonts w:ascii="Arial Narrow" w:eastAsia="Calibri" w:hAnsi="Arial Narrow" w:cs="Arial"/>
                <w:b/>
                <w:vertAlign w:val="superscript"/>
              </w:rPr>
              <w:t>b</w:t>
            </w:r>
          </w:p>
        </w:tc>
      </w:tr>
      <w:tr w:rsidR="00E54C11" w:rsidRPr="007538ED" w14:paraId="3FEA3EC3" w14:textId="77777777" w:rsidTr="00D91580">
        <w:trPr>
          <w:cantSplit/>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629522"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B</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FFF704"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3,923</w:t>
            </w:r>
          </w:p>
          <w:p w14:paraId="3DB4411A"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32449B"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7.22</w:t>
            </w:r>
            <w:r>
              <w:rPr>
                <w:rFonts w:ascii="Arial Narrow" w:eastAsia="Calibri" w:hAnsi="Arial Narrow" w:cs="Arial"/>
              </w:rPr>
              <w:t xml:space="preserve"> </w:t>
            </w:r>
          </w:p>
          <w:p w14:paraId="6E7ED70E"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0D31BE"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C3A1106"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1,521</w:t>
            </w:r>
          </w:p>
          <w:p w14:paraId="5AAC0C90"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(38.77)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6AD40C"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8.60</w:t>
            </w:r>
            <w:r>
              <w:rPr>
                <w:rFonts w:ascii="Arial Narrow" w:eastAsia="Calibri" w:hAnsi="Arial Narrow" w:cs="Arial"/>
              </w:rPr>
              <w:t xml:space="preserve"> </w:t>
            </w:r>
          </w:p>
          <w:p w14:paraId="3E557AC5"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53AA0F"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9</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B00120" w14:textId="4C213DD4"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1.38 (1.18</w:t>
            </w:r>
            <w:r w:rsidR="009D6089">
              <w:rPr>
                <w:rFonts w:ascii="Arial Narrow" w:eastAsia="Calibri" w:hAnsi="Arial Narrow" w:cs="Arial"/>
                <w:b/>
              </w:rPr>
              <w:t xml:space="preserve">, </w:t>
            </w:r>
            <w:r w:rsidRPr="004B3CBC">
              <w:rPr>
                <w:rFonts w:ascii="Arial Narrow" w:eastAsia="Calibri" w:hAnsi="Arial Narrow" w:cs="Arial"/>
                <w:b/>
              </w:rPr>
              <w:t>1.57)</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28163E" w14:textId="02B85544"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r w:rsidR="0038343B" w:rsidRPr="0038343B">
              <w:rPr>
                <w:rFonts w:ascii="Arial Narrow" w:eastAsia="Calibri" w:hAnsi="Arial Narrow" w:cs="Arial"/>
                <w:b/>
                <w:vertAlign w:val="superscript"/>
              </w:rPr>
              <w:t>b</w:t>
            </w:r>
          </w:p>
        </w:tc>
      </w:tr>
      <w:tr w:rsidR="00E54C11" w:rsidRPr="007538ED" w14:paraId="16AFB533" w14:textId="77777777" w:rsidTr="00D91580">
        <w:trPr>
          <w:cantSplit/>
          <w:jc w:val="center"/>
        </w:trPr>
        <w:tc>
          <w:tcPr>
            <w:tcW w:w="892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18768A98" w14:textId="79C16986" w:rsidR="00E54C11" w:rsidRPr="00B0188B" w:rsidRDefault="00E54C11" w:rsidP="00D91580">
            <w:pPr>
              <w:keepNext/>
              <w:suppressAutoHyphens/>
              <w:autoSpaceDN w:val="0"/>
              <w:spacing w:before="0" w:after="0"/>
              <w:jc w:val="both"/>
              <w:textAlignment w:val="baseline"/>
              <w:rPr>
                <w:rFonts w:ascii="Arial Narrow" w:eastAsia="Calibri" w:hAnsi="Arial Narrow" w:cs="Arial"/>
                <w:b/>
                <w:bCs/>
                <w:iCs/>
              </w:rPr>
            </w:pPr>
            <w:r w:rsidRPr="00074876">
              <w:rPr>
                <w:rFonts w:ascii="Arial Narrow" w:eastAsia="Calibri" w:hAnsi="Arial Narrow" w:cs="Arial"/>
                <w:b/>
                <w:bCs/>
                <w:iCs/>
              </w:rPr>
              <w:t>Average morphine equivalent dose</w:t>
            </w:r>
            <w:r w:rsidR="0038343B" w:rsidRPr="0038343B">
              <w:rPr>
                <w:rFonts w:ascii="Arial Narrow" w:eastAsia="Calibri" w:hAnsi="Arial Narrow" w:cs="Arial"/>
                <w:b/>
                <w:bCs/>
                <w:iCs/>
                <w:vertAlign w:val="superscript"/>
              </w:rPr>
              <w:t>c</w:t>
            </w:r>
          </w:p>
        </w:tc>
      </w:tr>
      <w:tr w:rsidR="00E54C11" w:rsidRPr="007538ED" w14:paraId="3EF99E16" w14:textId="77777777" w:rsidTr="00D91580">
        <w:trPr>
          <w:cantSplit/>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C7200B" w14:textId="77777777" w:rsidR="00E54C11" w:rsidRPr="007538ED" w:rsidRDefault="00E54C11" w:rsidP="00D91580">
            <w:pPr>
              <w:keepNext/>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A</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2540E2" w14:textId="77777777" w:rsidR="00E54C11" w:rsidRPr="007538ED" w:rsidRDefault="00E54C11" w:rsidP="00D91580">
            <w:pPr>
              <w:keepNext/>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2,161</w:t>
            </w:r>
            <w:r>
              <w:rPr>
                <w:rFonts w:ascii="Arial Narrow" w:eastAsia="Calibri" w:hAnsi="Arial Narrow" w:cs="Arial"/>
              </w:rPr>
              <w:t xml:space="preserve"> (50.07)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36CD62" w14:textId="77777777" w:rsidR="00E54C11" w:rsidRDefault="00E54C11" w:rsidP="00D91580">
            <w:pPr>
              <w:keepNext/>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50.84</w:t>
            </w:r>
            <w:r>
              <w:rPr>
                <w:rFonts w:ascii="Arial Narrow" w:eastAsia="Calibri" w:hAnsi="Arial Narrow" w:cs="Arial"/>
              </w:rPr>
              <w:t xml:space="preserve"> </w:t>
            </w:r>
          </w:p>
          <w:p w14:paraId="6471F3AE" w14:textId="77777777" w:rsidR="00E54C11" w:rsidRPr="007538ED" w:rsidRDefault="00E54C11" w:rsidP="00D91580">
            <w:pPr>
              <w:keepNext/>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(63.90)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9E3434" w14:textId="77777777" w:rsidR="00E54C11" w:rsidRPr="007538ED" w:rsidRDefault="00E54C11" w:rsidP="00D91580">
            <w:pPr>
              <w:keepNext/>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456824" w14:textId="77777777" w:rsidR="00E54C11" w:rsidRDefault="00E54C11" w:rsidP="00D91580">
            <w:pPr>
              <w:keepNext/>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1,359</w:t>
            </w:r>
            <w:r>
              <w:rPr>
                <w:rFonts w:ascii="Arial Narrow" w:eastAsia="Calibri" w:hAnsi="Arial Narrow" w:cs="Arial"/>
              </w:rPr>
              <w:t xml:space="preserve"> </w:t>
            </w:r>
          </w:p>
          <w:p w14:paraId="23B8D7DE" w14:textId="77777777" w:rsidR="00E54C11" w:rsidRPr="007538ED" w:rsidRDefault="00E54C11" w:rsidP="00D91580">
            <w:pPr>
              <w:keepNext/>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(62.89)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3E1F42" w14:textId="77777777" w:rsidR="00E54C11" w:rsidRDefault="00E54C11" w:rsidP="00D91580">
            <w:pPr>
              <w:keepNext/>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49.87</w:t>
            </w:r>
          </w:p>
          <w:p w14:paraId="3B41D35F" w14:textId="77777777" w:rsidR="00E54C11" w:rsidRPr="007538ED" w:rsidRDefault="00E54C11" w:rsidP="00D91580">
            <w:pPr>
              <w:keepNext/>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(62.35)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56C208" w14:textId="77777777" w:rsidR="00E54C11" w:rsidRPr="007538ED" w:rsidRDefault="00E54C11" w:rsidP="00D91580">
            <w:pPr>
              <w:keepNext/>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30</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5E9F40" w14:textId="324DB905" w:rsidR="00E54C11" w:rsidRPr="007538ED" w:rsidRDefault="00E54C11" w:rsidP="00D91580">
            <w:pPr>
              <w:keepNext/>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-0.97</w:t>
            </w:r>
            <w:r>
              <w:rPr>
                <w:rFonts w:ascii="Arial Narrow" w:eastAsia="Calibri" w:hAnsi="Arial Narrow" w:cs="Arial"/>
              </w:rPr>
              <w:t xml:space="preserve"> (</w:t>
            </w:r>
            <w:r w:rsidRPr="007538ED">
              <w:rPr>
                <w:rFonts w:ascii="Arial Narrow" w:eastAsia="Calibri" w:hAnsi="Arial Narrow" w:cs="Arial"/>
              </w:rPr>
              <w:t>-5.26</w:t>
            </w:r>
            <w:r w:rsidR="009D6089">
              <w:rPr>
                <w:rFonts w:ascii="Arial Narrow" w:eastAsia="Calibri" w:hAnsi="Arial Narrow" w:cs="Arial"/>
              </w:rPr>
              <w:t xml:space="preserve">, </w:t>
            </w:r>
            <w:r w:rsidRPr="007538ED">
              <w:rPr>
                <w:rFonts w:ascii="Arial Narrow" w:eastAsia="Calibri" w:hAnsi="Arial Narrow" w:cs="Arial"/>
              </w:rPr>
              <w:t>3.33</w:t>
            </w:r>
            <w:r>
              <w:rPr>
                <w:rFonts w:ascii="Arial Narrow" w:eastAsia="Calibri" w:hAnsi="Arial Narrow" w:cs="Arial"/>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1014C4" w14:textId="14123745" w:rsidR="00E54C11" w:rsidRPr="007538ED" w:rsidRDefault="00E54C11" w:rsidP="00D91580">
            <w:pPr>
              <w:keepNext/>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0.07</w:t>
            </w:r>
            <w:r w:rsidR="0038343B" w:rsidRPr="0038343B">
              <w:rPr>
                <w:rFonts w:ascii="Arial Narrow" w:eastAsia="Calibri" w:hAnsi="Arial Narrow" w:cs="Arial"/>
                <w:vertAlign w:val="superscript"/>
              </w:rPr>
              <w:t>a</w:t>
            </w:r>
          </w:p>
        </w:tc>
      </w:tr>
      <w:tr w:rsidR="00E54C11" w:rsidRPr="007538ED" w14:paraId="7B85D258" w14:textId="77777777" w:rsidTr="00D91580">
        <w:trPr>
          <w:cantSplit/>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3287A4"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B</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8A434A"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1,809</w:t>
            </w:r>
            <w:r>
              <w:rPr>
                <w:rFonts w:ascii="Arial Narrow" w:eastAsia="Calibri" w:hAnsi="Arial Narrow" w:cs="Arial"/>
              </w:rPr>
              <w:t xml:space="preserve"> (46.11)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D446E3C"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47.74</w:t>
            </w:r>
            <w:r>
              <w:rPr>
                <w:rFonts w:ascii="Arial Narrow" w:eastAsia="Calibri" w:hAnsi="Arial Narrow" w:cs="Arial"/>
              </w:rPr>
              <w:t xml:space="preserve"> </w:t>
            </w:r>
          </w:p>
          <w:p w14:paraId="0545D37C"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(54.30)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CEEDCC"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859C54"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700</w:t>
            </w:r>
            <w:r>
              <w:rPr>
                <w:rFonts w:ascii="Arial Narrow" w:eastAsia="Calibri" w:hAnsi="Arial Narrow" w:cs="Arial"/>
              </w:rPr>
              <w:t xml:space="preserve"> </w:t>
            </w:r>
          </w:p>
          <w:p w14:paraId="1BCB079A"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(38.70)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EF648D"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47.82</w:t>
            </w:r>
            <w:r>
              <w:rPr>
                <w:rFonts w:ascii="Arial Narrow" w:eastAsia="Calibri" w:hAnsi="Arial Narrow" w:cs="Arial"/>
              </w:rPr>
              <w:t xml:space="preserve"> </w:t>
            </w:r>
          </w:p>
          <w:p w14:paraId="38F16B9C"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(54.52)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BA1937"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30</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6608C8" w14:textId="6ABFC7D6"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0.08</w:t>
            </w:r>
            <w:r>
              <w:rPr>
                <w:rFonts w:ascii="Arial Narrow" w:eastAsia="Calibri" w:hAnsi="Arial Narrow" w:cs="Arial"/>
              </w:rPr>
              <w:t xml:space="preserve"> (</w:t>
            </w:r>
            <w:r w:rsidRPr="007538ED">
              <w:rPr>
                <w:rFonts w:ascii="Arial Narrow" w:eastAsia="Calibri" w:hAnsi="Arial Narrow" w:cs="Arial"/>
              </w:rPr>
              <w:t>-4.67</w:t>
            </w:r>
            <w:r w:rsidR="009D6089">
              <w:rPr>
                <w:rFonts w:ascii="Arial Narrow" w:eastAsia="Calibri" w:hAnsi="Arial Narrow" w:cs="Arial"/>
              </w:rPr>
              <w:t xml:space="preserve">, </w:t>
            </w:r>
            <w:r w:rsidRPr="007538ED">
              <w:rPr>
                <w:rFonts w:ascii="Arial Narrow" w:eastAsia="Calibri" w:hAnsi="Arial Narrow" w:cs="Arial"/>
              </w:rPr>
              <w:t>4.82</w:t>
            </w:r>
            <w:r>
              <w:rPr>
                <w:rFonts w:ascii="Arial Narrow" w:eastAsia="Calibri" w:hAnsi="Arial Narrow" w:cs="Arial"/>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6BA42B" w14:textId="1BDEB76E"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0.60</w:t>
            </w:r>
            <w:r w:rsidR="0038343B" w:rsidRPr="0038343B">
              <w:rPr>
                <w:rFonts w:ascii="Arial Narrow" w:eastAsia="Calibri" w:hAnsi="Arial Narrow" w:cs="Arial"/>
                <w:vertAlign w:val="superscript"/>
              </w:rPr>
              <w:t>a</w:t>
            </w:r>
          </w:p>
        </w:tc>
      </w:tr>
      <w:tr w:rsidR="00E54C11" w:rsidRPr="007538ED" w14:paraId="4B78D54A" w14:textId="77777777" w:rsidTr="00D91580">
        <w:trPr>
          <w:cantSplit/>
          <w:jc w:val="center"/>
        </w:trPr>
        <w:tc>
          <w:tcPr>
            <w:tcW w:w="892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57E37A2C" w14:textId="1940A837" w:rsidR="00E54C11" w:rsidRDefault="00E54C11" w:rsidP="00D91580">
            <w:pPr>
              <w:suppressAutoHyphens/>
              <w:autoSpaceDN w:val="0"/>
              <w:spacing w:before="0" w:after="0"/>
              <w:jc w:val="both"/>
              <w:textAlignment w:val="baseline"/>
              <w:rPr>
                <w:rFonts w:ascii="Arial Narrow" w:eastAsia="Calibri" w:hAnsi="Arial Narrow" w:cs="Arial"/>
                <w:b/>
                <w:bCs/>
                <w:iCs/>
              </w:rPr>
            </w:pPr>
            <w:r w:rsidRPr="00074876">
              <w:rPr>
                <w:rFonts w:ascii="Arial Narrow" w:eastAsia="Calibri" w:hAnsi="Arial Narrow" w:cs="Arial"/>
                <w:b/>
                <w:bCs/>
                <w:iCs/>
              </w:rPr>
              <w:t>Healthy literacy total score</w:t>
            </w:r>
            <w:r w:rsidR="0038343B" w:rsidRPr="0038343B">
              <w:rPr>
                <w:rFonts w:ascii="Arial Narrow" w:eastAsia="Calibri" w:hAnsi="Arial Narrow" w:cs="Arial"/>
                <w:b/>
                <w:bCs/>
                <w:iCs/>
                <w:vertAlign w:val="superscript"/>
              </w:rPr>
              <w:t>d</w:t>
            </w:r>
          </w:p>
          <w:p w14:paraId="4CD2BBBB" w14:textId="77777777" w:rsidR="00E54C11" w:rsidRPr="00074876" w:rsidRDefault="00E54C11" w:rsidP="00D91580">
            <w:pPr>
              <w:suppressAutoHyphens/>
              <w:autoSpaceDN w:val="0"/>
              <w:spacing w:before="0" w:after="0"/>
              <w:jc w:val="both"/>
              <w:textAlignment w:val="baseline"/>
              <w:rPr>
                <w:rFonts w:ascii="Calibri" w:hAnsi="Calibri" w:cs="Tahoma"/>
              </w:rPr>
            </w:pPr>
            <w:r>
              <w:rPr>
                <w:rFonts w:ascii="Arial Narrow" w:eastAsia="Calibri" w:hAnsi="Arial Narrow" w:cs="Arial"/>
                <w:i/>
                <w:iCs/>
              </w:rPr>
              <w:t>6-60 scale, higher scores indicate better understanding of chronic pain and medications</w:t>
            </w:r>
          </w:p>
        </w:tc>
      </w:tr>
      <w:tr w:rsidR="00E54C11" w:rsidRPr="007538ED" w14:paraId="28695FED" w14:textId="77777777" w:rsidTr="00D91580">
        <w:trPr>
          <w:cantSplit/>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9B6859"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A</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FF10D2"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1,450</w:t>
            </w:r>
            <w:r>
              <w:rPr>
                <w:rFonts w:ascii="Arial Narrow" w:eastAsia="Calibri" w:hAnsi="Arial Narrow" w:cs="Arial"/>
              </w:rPr>
              <w:t xml:space="preserve"> (87.40)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35371D"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39.05</w:t>
            </w:r>
            <w:r>
              <w:rPr>
                <w:rFonts w:ascii="Arial Narrow" w:eastAsia="Calibri" w:hAnsi="Arial Narrow" w:cs="Arial"/>
              </w:rPr>
              <w:t xml:space="preserve"> </w:t>
            </w:r>
          </w:p>
          <w:p w14:paraId="658FF972"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61872B"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8B6705"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725</w:t>
            </w:r>
            <w:r>
              <w:rPr>
                <w:rFonts w:ascii="Arial Narrow" w:eastAsia="Calibri" w:hAnsi="Arial Narrow" w:cs="Arial"/>
              </w:rPr>
              <w:t xml:space="preserve"> </w:t>
            </w:r>
          </w:p>
          <w:p w14:paraId="6DFC01F5"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(50.00)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E3F75B"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45.71</w:t>
            </w:r>
            <w:r>
              <w:rPr>
                <w:rFonts w:ascii="Arial Narrow" w:eastAsia="Calibri" w:hAnsi="Arial Narrow" w:cs="Arial"/>
              </w:rPr>
              <w:t xml:space="preserve"> </w:t>
            </w:r>
          </w:p>
          <w:p w14:paraId="7F9558DD"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(9.52)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7F0B67"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46</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E51E4C" w14:textId="5A624078"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6.66 (5.71</w:t>
            </w:r>
            <w:r w:rsidR="009D6089">
              <w:rPr>
                <w:rFonts w:ascii="Arial Narrow" w:eastAsia="Calibri" w:hAnsi="Arial Narrow" w:cs="Arial"/>
                <w:b/>
              </w:rPr>
              <w:t xml:space="preserve">, </w:t>
            </w:r>
            <w:r w:rsidRPr="004B3CBC">
              <w:rPr>
                <w:rFonts w:ascii="Arial Narrow" w:eastAsia="Calibri" w:hAnsi="Arial Narrow" w:cs="Arial"/>
                <w:b/>
              </w:rPr>
              <w:t>7.63)</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C82612" w14:textId="22D54EE9" w:rsidR="00E54C11" w:rsidRPr="004B3CBC" w:rsidRDefault="00E54C11" w:rsidP="00D91580">
            <w:pPr>
              <w:suppressAutoHyphens/>
              <w:autoSpaceDN w:val="0"/>
              <w:spacing w:before="0" w:after="0"/>
              <w:jc w:val="both"/>
              <w:textAlignment w:val="baseline"/>
              <w:rPr>
                <w:rFonts w:ascii="Arial Narrow" w:eastAsia="Calibri" w:hAnsi="Arial Narrow" w:cs="Arial"/>
                <w:b/>
              </w:rPr>
            </w:pPr>
            <w:r w:rsidRPr="004B3CBC">
              <w:rPr>
                <w:rFonts w:ascii="Arial Narrow" w:eastAsia="Calibri" w:hAnsi="Arial Narrow" w:cs="Arial"/>
                <w:b/>
              </w:rPr>
              <w:t>0.00</w:t>
            </w:r>
            <w:r w:rsidR="0038343B" w:rsidRPr="0038343B">
              <w:rPr>
                <w:rFonts w:ascii="Arial Narrow" w:eastAsia="Calibri" w:hAnsi="Arial Narrow" w:cs="Arial"/>
                <w:b/>
                <w:vertAlign w:val="superscript"/>
              </w:rPr>
              <w:t>a</w:t>
            </w:r>
          </w:p>
        </w:tc>
      </w:tr>
      <w:tr w:rsidR="00E54C11" w:rsidRPr="007538ED" w14:paraId="5AF7D26F" w14:textId="77777777" w:rsidTr="00D91580">
        <w:trPr>
          <w:cantSplit/>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91C356"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B</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FFBBF2"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565</w:t>
            </w:r>
            <w:r>
              <w:rPr>
                <w:rFonts w:ascii="Arial Narrow" w:eastAsia="Calibri" w:hAnsi="Arial Narrow" w:cs="Arial"/>
              </w:rPr>
              <w:t xml:space="preserve"> </w:t>
            </w:r>
          </w:p>
          <w:p w14:paraId="6CD9F692"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(60.11)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D54012"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44.11</w:t>
            </w:r>
            <w:r>
              <w:rPr>
                <w:rFonts w:ascii="Arial Narrow" w:eastAsia="Calibri" w:hAnsi="Arial Narrow" w:cs="Arial"/>
              </w:rPr>
              <w:t xml:space="preserve"> </w:t>
            </w:r>
          </w:p>
          <w:p w14:paraId="10079DED"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(12.27)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424719"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CAE3952"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238</w:t>
            </w:r>
          </w:p>
          <w:p w14:paraId="42D9FFEE"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(42.12)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3C165E"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44.60</w:t>
            </w:r>
            <w:r>
              <w:rPr>
                <w:rFonts w:ascii="Arial Narrow" w:eastAsia="Calibri" w:hAnsi="Arial Narrow" w:cs="Arial"/>
              </w:rPr>
              <w:t xml:space="preserve"> </w:t>
            </w:r>
          </w:p>
          <w:p w14:paraId="5C32E3DF"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(12.01)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5CC60B"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47</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265A48" w14:textId="065032BC"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0.49</w:t>
            </w:r>
            <w:r>
              <w:rPr>
                <w:rFonts w:ascii="Arial Narrow" w:eastAsia="Calibri" w:hAnsi="Arial Narrow" w:cs="Arial"/>
              </w:rPr>
              <w:t xml:space="preserve"> (</w:t>
            </w:r>
            <w:r w:rsidRPr="007538ED">
              <w:rPr>
                <w:rFonts w:ascii="Arial Narrow" w:eastAsia="Calibri" w:hAnsi="Arial Narrow" w:cs="Arial"/>
              </w:rPr>
              <w:t>1.36</w:t>
            </w:r>
            <w:r w:rsidR="009D6089">
              <w:rPr>
                <w:rFonts w:ascii="Arial Narrow" w:eastAsia="Calibri" w:hAnsi="Arial Narrow" w:cs="Arial"/>
              </w:rPr>
              <w:t xml:space="preserve">, </w:t>
            </w:r>
            <w:r w:rsidRPr="007538ED">
              <w:rPr>
                <w:rFonts w:ascii="Arial Narrow" w:eastAsia="Calibri" w:hAnsi="Arial Narrow" w:cs="Arial"/>
              </w:rPr>
              <w:t>2.34</w:t>
            </w:r>
            <w:r>
              <w:rPr>
                <w:rFonts w:ascii="Arial Narrow" w:eastAsia="Calibri" w:hAnsi="Arial Narrow" w:cs="Arial"/>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3623E2B" w14:textId="1793A4E1"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0.60</w:t>
            </w:r>
            <w:r w:rsidR="0038343B" w:rsidRPr="0038343B">
              <w:rPr>
                <w:rFonts w:ascii="Arial Narrow" w:eastAsia="Calibri" w:hAnsi="Arial Narrow" w:cs="Arial"/>
                <w:vertAlign w:val="superscript"/>
              </w:rPr>
              <w:t>a</w:t>
            </w:r>
          </w:p>
        </w:tc>
      </w:tr>
      <w:tr w:rsidR="00E54C11" w:rsidRPr="007538ED" w14:paraId="66A98119" w14:textId="77777777" w:rsidTr="00D91580">
        <w:trPr>
          <w:cantSplit/>
          <w:jc w:val="center"/>
        </w:trPr>
        <w:tc>
          <w:tcPr>
            <w:tcW w:w="892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7050CBDB" w14:textId="77777777" w:rsidR="00E54C11" w:rsidRPr="00074876" w:rsidRDefault="00E54C11" w:rsidP="00D91580">
            <w:pPr>
              <w:suppressAutoHyphens/>
              <w:autoSpaceDN w:val="0"/>
              <w:spacing w:before="0" w:after="0"/>
              <w:jc w:val="both"/>
              <w:textAlignment w:val="baseline"/>
              <w:rPr>
                <w:rFonts w:ascii="Calibri" w:hAnsi="Calibri" w:cs="Tahoma"/>
              </w:rPr>
            </w:pPr>
            <w:r w:rsidRPr="00074876">
              <w:rPr>
                <w:rFonts w:ascii="Arial Narrow" w:eastAsia="Calibri" w:hAnsi="Arial Narrow" w:cs="Arial"/>
                <w:b/>
                <w:bCs/>
                <w:iCs/>
              </w:rPr>
              <w:t>ED presentations</w:t>
            </w:r>
          </w:p>
        </w:tc>
      </w:tr>
      <w:tr w:rsidR="00E54C11" w:rsidRPr="007538ED" w14:paraId="59112BA6" w14:textId="77777777" w:rsidTr="00D91580">
        <w:trPr>
          <w:cantSplit/>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CA95B2"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A</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9DD7992"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4,316</w:t>
            </w:r>
          </w:p>
          <w:p w14:paraId="708DC0CF"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2ABF30"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0.16</w:t>
            </w:r>
            <w:r>
              <w:rPr>
                <w:rFonts w:ascii="Arial Narrow" w:eastAsia="Calibri" w:hAnsi="Arial Narrow" w:cs="Arial"/>
              </w:rPr>
              <w:t xml:space="preserve"> </w:t>
            </w:r>
          </w:p>
          <w:p w14:paraId="47F53CD3"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2B40D2"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4628DC8"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2,853</w:t>
            </w:r>
          </w:p>
          <w:p w14:paraId="33E61529"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(66.10)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CC6A821"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0.15</w:t>
            </w:r>
            <w:r>
              <w:rPr>
                <w:rFonts w:ascii="Arial Narrow" w:eastAsia="Calibri" w:hAnsi="Arial Narrow" w:cs="Arial"/>
              </w:rPr>
              <w:t xml:space="preserve"> </w:t>
            </w:r>
          </w:p>
          <w:p w14:paraId="0C2CB27D"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(0.62)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C8173D"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C3050FA" w14:textId="4DB7026E"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-0.01</w:t>
            </w:r>
            <w:r>
              <w:rPr>
                <w:rFonts w:ascii="Arial Narrow" w:eastAsia="Calibri" w:hAnsi="Arial Narrow" w:cs="Arial"/>
              </w:rPr>
              <w:t xml:space="preserve"> (</w:t>
            </w:r>
            <w:r w:rsidRPr="007538ED">
              <w:rPr>
                <w:rFonts w:ascii="Arial Narrow" w:eastAsia="Calibri" w:hAnsi="Arial Narrow" w:cs="Arial"/>
              </w:rPr>
              <w:t>-0.04</w:t>
            </w:r>
            <w:r w:rsidR="009D6089">
              <w:rPr>
                <w:rFonts w:ascii="Arial Narrow" w:eastAsia="Calibri" w:hAnsi="Arial Narrow" w:cs="Arial"/>
              </w:rPr>
              <w:t xml:space="preserve">, </w:t>
            </w:r>
            <w:r w:rsidRPr="007538ED">
              <w:rPr>
                <w:rFonts w:ascii="Arial Narrow" w:eastAsia="Calibri" w:hAnsi="Arial Narrow" w:cs="Arial"/>
              </w:rPr>
              <w:t>0.01</w:t>
            </w:r>
            <w:r>
              <w:rPr>
                <w:rFonts w:ascii="Arial Narrow" w:eastAsia="Calibri" w:hAnsi="Arial Narrow" w:cs="Arial"/>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49F9482" w14:textId="3E522CF6"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0.67</w:t>
            </w:r>
            <w:r w:rsidR="0038343B" w:rsidRPr="0038343B">
              <w:rPr>
                <w:rFonts w:ascii="Arial Narrow" w:eastAsia="Calibri" w:hAnsi="Arial Narrow" w:cs="Arial"/>
                <w:vertAlign w:val="superscript"/>
              </w:rPr>
              <w:t>a</w:t>
            </w:r>
          </w:p>
        </w:tc>
      </w:tr>
      <w:tr w:rsidR="00E54C11" w:rsidRPr="007538ED" w14:paraId="7F936094" w14:textId="77777777" w:rsidTr="00D91580">
        <w:trPr>
          <w:cantSplit/>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C452C7"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B</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A85D1B"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3,923</w:t>
            </w:r>
          </w:p>
          <w:p w14:paraId="1608B339"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D05717"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0.16</w:t>
            </w:r>
            <w:r>
              <w:rPr>
                <w:rFonts w:ascii="Arial Narrow" w:eastAsia="Calibri" w:hAnsi="Arial Narrow" w:cs="Arial"/>
              </w:rPr>
              <w:t xml:space="preserve"> </w:t>
            </w:r>
          </w:p>
          <w:p w14:paraId="61A9EED6"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(0.69)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3C6DA5"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472DFA"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1,521</w:t>
            </w:r>
          </w:p>
          <w:p w14:paraId="31BBC443"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(38.77)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64FC29"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0.14</w:t>
            </w:r>
            <w:r>
              <w:rPr>
                <w:rFonts w:ascii="Arial Narrow" w:eastAsia="Calibri" w:hAnsi="Arial Narrow" w:cs="Arial"/>
              </w:rPr>
              <w:t xml:space="preserve"> </w:t>
            </w:r>
          </w:p>
          <w:p w14:paraId="3C2A5EC0"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81CBE2"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7778AA" w14:textId="00E50F48"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-0.02</w:t>
            </w:r>
            <w:r>
              <w:rPr>
                <w:rFonts w:ascii="Arial Narrow" w:eastAsia="Calibri" w:hAnsi="Arial Narrow" w:cs="Arial"/>
              </w:rPr>
              <w:t xml:space="preserve"> (</w:t>
            </w:r>
            <w:r w:rsidRPr="007538ED">
              <w:rPr>
                <w:rFonts w:ascii="Arial Narrow" w:eastAsia="Calibri" w:hAnsi="Arial Narrow" w:cs="Arial"/>
              </w:rPr>
              <w:t>-0.03</w:t>
            </w:r>
            <w:r w:rsidR="009D6089">
              <w:rPr>
                <w:rFonts w:ascii="Arial Narrow" w:eastAsia="Calibri" w:hAnsi="Arial Narrow" w:cs="Arial"/>
              </w:rPr>
              <w:t xml:space="preserve">, </w:t>
            </w:r>
            <w:r w:rsidRPr="007538ED">
              <w:rPr>
                <w:rFonts w:ascii="Arial Narrow" w:eastAsia="Calibri" w:hAnsi="Arial Narrow" w:cs="Arial"/>
              </w:rPr>
              <w:t>0.01</w:t>
            </w:r>
            <w:r>
              <w:rPr>
                <w:rFonts w:ascii="Arial Narrow" w:eastAsia="Calibri" w:hAnsi="Arial Narrow" w:cs="Arial"/>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5CEA3F" w14:textId="4BCFF898"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0.40</w:t>
            </w:r>
            <w:r w:rsidR="0038343B" w:rsidRPr="0038343B">
              <w:rPr>
                <w:rFonts w:ascii="Arial Narrow" w:eastAsia="Calibri" w:hAnsi="Arial Narrow" w:cs="Arial"/>
                <w:vertAlign w:val="superscript"/>
              </w:rPr>
              <w:t>a</w:t>
            </w:r>
          </w:p>
        </w:tc>
      </w:tr>
      <w:tr w:rsidR="00E54C11" w:rsidRPr="007538ED" w14:paraId="47CABA03" w14:textId="77777777" w:rsidTr="00D91580">
        <w:trPr>
          <w:cantSplit/>
          <w:jc w:val="center"/>
        </w:trPr>
        <w:tc>
          <w:tcPr>
            <w:tcW w:w="892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53ED0AF8" w14:textId="77777777" w:rsidR="00E54C11" w:rsidRPr="00074876" w:rsidRDefault="00E54C11" w:rsidP="00D91580">
            <w:pPr>
              <w:suppressAutoHyphens/>
              <w:autoSpaceDN w:val="0"/>
              <w:spacing w:before="0" w:after="0"/>
              <w:jc w:val="both"/>
              <w:textAlignment w:val="baseline"/>
              <w:rPr>
                <w:rFonts w:ascii="Calibri" w:hAnsi="Calibri" w:cs="Tahoma"/>
              </w:rPr>
            </w:pPr>
            <w:r w:rsidRPr="00074876">
              <w:rPr>
                <w:rFonts w:ascii="Arial Narrow" w:eastAsia="Calibri" w:hAnsi="Arial Narrow" w:cs="Arial"/>
                <w:b/>
                <w:bCs/>
                <w:iCs/>
              </w:rPr>
              <w:t>Hospital admissions</w:t>
            </w:r>
          </w:p>
        </w:tc>
      </w:tr>
      <w:tr w:rsidR="00E54C11" w:rsidRPr="007538ED" w14:paraId="623F2ED3" w14:textId="77777777" w:rsidTr="00D91580">
        <w:trPr>
          <w:cantSplit/>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4EF0D6"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A</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7A2339"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4,316</w:t>
            </w:r>
            <w:r>
              <w:rPr>
                <w:rFonts w:ascii="Arial Narrow" w:eastAsia="Calibri" w:hAnsi="Arial Narrow" w:cs="Arial"/>
              </w:rPr>
              <w:t xml:space="preserve"> (100.00)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A6279B"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0.10</w:t>
            </w:r>
            <w:r>
              <w:rPr>
                <w:rFonts w:ascii="Arial Narrow" w:eastAsia="Calibri" w:hAnsi="Arial Narrow" w:cs="Arial"/>
              </w:rPr>
              <w:t xml:space="preserve"> </w:t>
            </w:r>
          </w:p>
          <w:p w14:paraId="534A66B5"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(0.47)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532244"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5675D9"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2,853</w:t>
            </w:r>
          </w:p>
          <w:p w14:paraId="07F3FC4C"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(66.10)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22A9C1"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0.09</w:t>
            </w:r>
            <w:r>
              <w:rPr>
                <w:rFonts w:ascii="Arial Narrow" w:eastAsia="Calibri" w:hAnsi="Arial Narrow" w:cs="Arial"/>
              </w:rPr>
              <w:t xml:space="preserve"> </w:t>
            </w:r>
          </w:p>
          <w:p w14:paraId="6AD72927"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52A76A"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ED7D3B" w14:textId="6E87DE0C"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-0.00</w:t>
            </w:r>
            <w:r>
              <w:rPr>
                <w:rFonts w:ascii="Arial Narrow" w:eastAsia="Calibri" w:hAnsi="Arial Narrow" w:cs="Arial"/>
              </w:rPr>
              <w:t xml:space="preserve"> (</w:t>
            </w:r>
            <w:r w:rsidRPr="007538ED">
              <w:rPr>
                <w:rFonts w:ascii="Arial Narrow" w:eastAsia="Calibri" w:hAnsi="Arial Narrow" w:cs="Arial"/>
              </w:rPr>
              <w:t>-0.01</w:t>
            </w:r>
            <w:r w:rsidR="009D6089">
              <w:rPr>
                <w:rFonts w:ascii="Arial Narrow" w:eastAsia="Calibri" w:hAnsi="Arial Narrow" w:cs="Arial"/>
              </w:rPr>
              <w:t xml:space="preserve">, </w:t>
            </w:r>
            <w:r w:rsidRPr="007538ED">
              <w:rPr>
                <w:rFonts w:ascii="Arial Narrow" w:eastAsia="Calibri" w:hAnsi="Arial Narrow" w:cs="Arial"/>
              </w:rPr>
              <w:t>0.00</w:t>
            </w:r>
            <w:r>
              <w:rPr>
                <w:rFonts w:ascii="Arial Narrow" w:eastAsia="Calibri" w:hAnsi="Arial Narrow" w:cs="Arial"/>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E9ED3E" w14:textId="5CB21ECE"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0.26</w:t>
            </w:r>
            <w:r w:rsidR="0038343B" w:rsidRPr="0038343B">
              <w:rPr>
                <w:rFonts w:ascii="Arial Narrow" w:eastAsia="Calibri" w:hAnsi="Arial Narrow" w:cs="Arial"/>
                <w:vertAlign w:val="superscript"/>
              </w:rPr>
              <w:t>a</w:t>
            </w:r>
          </w:p>
        </w:tc>
      </w:tr>
      <w:tr w:rsidR="00E54C11" w:rsidRPr="007538ED" w14:paraId="6B60494D" w14:textId="77777777" w:rsidTr="00D91580">
        <w:trPr>
          <w:cantSplit/>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F4438C" w14:textId="77777777" w:rsidR="00E54C11" w:rsidRPr="007538ED" w:rsidRDefault="00E54C11" w:rsidP="00D91580">
            <w:pPr>
              <w:suppressAutoHyphens/>
              <w:autoSpaceDN w:val="0"/>
              <w:spacing w:before="0" w:after="0"/>
              <w:jc w:val="both"/>
              <w:textAlignment w:val="baseline"/>
              <w:rPr>
                <w:rFonts w:ascii="Arial Narrow" w:eastAsia="Calibri" w:hAnsi="Arial Narrow" w:cs="Arial"/>
                <w:b/>
                <w:bCs/>
              </w:rPr>
            </w:pPr>
            <w:r w:rsidRPr="007538ED">
              <w:rPr>
                <w:rFonts w:ascii="Arial Narrow" w:eastAsia="Calibri" w:hAnsi="Arial Narrow" w:cs="Arial"/>
                <w:b/>
                <w:bCs/>
              </w:rPr>
              <w:t>Group B</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D0251B"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3,923</w:t>
            </w:r>
            <w:r>
              <w:rPr>
                <w:rFonts w:ascii="Arial Narrow" w:eastAsia="Calibri" w:hAnsi="Arial Narrow" w:cs="Arial"/>
              </w:rPr>
              <w:t xml:space="preserve"> (100.00)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2C4F15"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0.10</w:t>
            </w:r>
            <w:r>
              <w:rPr>
                <w:rFonts w:ascii="Arial Narrow" w:eastAsia="Calibri" w:hAnsi="Arial Narrow" w:cs="Arial"/>
              </w:rPr>
              <w:t xml:space="preserve"> </w:t>
            </w:r>
          </w:p>
          <w:p w14:paraId="53E29D0A"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AF5C41"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72F85D"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1,521</w:t>
            </w:r>
          </w:p>
          <w:p w14:paraId="1EAEDDF4"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Pr>
                <w:rFonts w:ascii="Arial Narrow" w:eastAsia="Calibri" w:hAnsi="Arial Narrow" w:cs="Arial"/>
              </w:rPr>
              <w:t>(38.77)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85AF23" w14:textId="77777777" w:rsidR="00E54C11"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0.09</w:t>
            </w:r>
            <w:r>
              <w:rPr>
                <w:rFonts w:ascii="Arial Narrow" w:eastAsia="Calibri" w:hAnsi="Arial Narrow" w:cs="Arial"/>
              </w:rPr>
              <w:t xml:space="preserve"> </w:t>
            </w:r>
          </w:p>
          <w:p w14:paraId="649C8EDB"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(0.46)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2149CA" w14:textId="77777777"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18A93E" w14:textId="6D5E6898"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-0.00</w:t>
            </w:r>
            <w:r>
              <w:rPr>
                <w:rFonts w:ascii="Arial Narrow" w:eastAsia="Calibri" w:hAnsi="Arial Narrow" w:cs="Arial"/>
              </w:rPr>
              <w:t xml:space="preserve"> (</w:t>
            </w:r>
            <w:r w:rsidRPr="007538ED">
              <w:rPr>
                <w:rFonts w:ascii="Arial Narrow" w:eastAsia="Calibri" w:hAnsi="Arial Narrow" w:cs="Arial"/>
              </w:rPr>
              <w:t>-0.01</w:t>
            </w:r>
            <w:r w:rsidR="009D6089">
              <w:rPr>
                <w:rFonts w:ascii="Arial Narrow" w:eastAsia="Calibri" w:hAnsi="Arial Narrow" w:cs="Arial"/>
              </w:rPr>
              <w:t xml:space="preserve">, </w:t>
            </w:r>
            <w:r w:rsidRPr="007538ED">
              <w:rPr>
                <w:rFonts w:ascii="Arial Narrow" w:eastAsia="Calibri" w:hAnsi="Arial Narrow" w:cs="Arial"/>
              </w:rPr>
              <w:t>0.00</w:t>
            </w:r>
            <w:r>
              <w:rPr>
                <w:rFonts w:ascii="Arial Narrow" w:eastAsia="Calibri" w:hAnsi="Arial Narrow" w:cs="Arial"/>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2187B7" w14:textId="2340CE89" w:rsidR="00E54C11" w:rsidRPr="007538ED" w:rsidRDefault="00E54C11" w:rsidP="00D91580">
            <w:pPr>
              <w:suppressAutoHyphens/>
              <w:autoSpaceDN w:val="0"/>
              <w:spacing w:before="0" w:after="0"/>
              <w:jc w:val="both"/>
              <w:textAlignment w:val="baseline"/>
              <w:rPr>
                <w:rFonts w:ascii="Arial Narrow" w:eastAsia="Calibri" w:hAnsi="Arial Narrow" w:cs="Arial"/>
              </w:rPr>
            </w:pPr>
            <w:r w:rsidRPr="007538ED">
              <w:rPr>
                <w:rFonts w:ascii="Arial Narrow" w:eastAsia="Calibri" w:hAnsi="Arial Narrow" w:cs="Arial"/>
              </w:rPr>
              <w:t>0.50</w:t>
            </w:r>
            <w:r w:rsidR="0038343B" w:rsidRPr="0038343B">
              <w:rPr>
                <w:rFonts w:ascii="Arial Narrow" w:eastAsia="Calibri" w:hAnsi="Arial Narrow" w:cs="Arial"/>
                <w:vertAlign w:val="superscript"/>
              </w:rPr>
              <w:t>a</w:t>
            </w:r>
          </w:p>
        </w:tc>
      </w:tr>
    </w:tbl>
    <w:p w14:paraId="67E8F64C" w14:textId="77777777" w:rsidR="00E54C11" w:rsidRPr="00431366" w:rsidRDefault="00E54C11" w:rsidP="00E54C11">
      <w:pPr>
        <w:pStyle w:val="Instructionaltext"/>
        <w:keepNext/>
        <w:tabs>
          <w:tab w:val="left" w:pos="2172"/>
        </w:tabs>
        <w:spacing w:before="0" w:after="0"/>
        <w:jc w:val="both"/>
        <w:rPr>
          <w:rFonts w:ascii="Arial Narrow" w:hAnsi="Arial Narrow"/>
          <w:color w:val="auto"/>
          <w:sz w:val="18"/>
          <w:szCs w:val="20"/>
        </w:rPr>
      </w:pPr>
      <w:r w:rsidRPr="00431366">
        <w:rPr>
          <w:rFonts w:ascii="Arial Narrow" w:hAnsi="Arial Narrow"/>
          <w:color w:val="auto"/>
          <w:sz w:val="18"/>
          <w:szCs w:val="20"/>
        </w:rPr>
        <w:t>Source:</w:t>
      </w:r>
      <w:r>
        <w:rPr>
          <w:rFonts w:ascii="Arial Narrow" w:hAnsi="Arial Narrow"/>
          <w:color w:val="auto"/>
          <w:sz w:val="18"/>
          <w:szCs w:val="20"/>
        </w:rPr>
        <w:t xml:space="preserve"> Table 58 of ADAR</w:t>
      </w:r>
    </w:p>
    <w:p w14:paraId="6F3DAE07" w14:textId="5E2B46B3" w:rsidR="00E54C11" w:rsidRDefault="00E54C11" w:rsidP="00E54C11">
      <w:pPr>
        <w:pStyle w:val="Instructionaltext"/>
        <w:spacing w:before="0" w:after="0"/>
        <w:jc w:val="both"/>
        <w:rPr>
          <w:rFonts w:ascii="Arial Narrow" w:eastAsia="Times New Roman" w:hAnsi="Arial Narrow" w:cs="Tahoma"/>
          <w:color w:val="auto"/>
          <w:sz w:val="18"/>
          <w:szCs w:val="18"/>
          <w:lang w:eastAsia="en-AU"/>
        </w:rPr>
      </w:pPr>
      <w:r w:rsidRPr="007538ED">
        <w:rPr>
          <w:rFonts w:ascii="Arial Narrow" w:eastAsia="Times New Roman" w:hAnsi="Arial Narrow" w:cs="Tahoma"/>
          <w:color w:val="auto"/>
          <w:sz w:val="18"/>
          <w:szCs w:val="18"/>
          <w:lang w:eastAsia="en-AU"/>
        </w:rPr>
        <w:t xml:space="preserve">Abbreviations: CI, Confidence interval; ED, Emergency </w:t>
      </w:r>
      <w:r w:rsidR="00A27899">
        <w:rPr>
          <w:rFonts w:ascii="Arial Narrow" w:eastAsia="Times New Roman" w:hAnsi="Arial Narrow" w:cs="Tahoma"/>
          <w:color w:val="auto"/>
          <w:sz w:val="18"/>
          <w:szCs w:val="18"/>
          <w:lang w:eastAsia="en-AU"/>
        </w:rPr>
        <w:t>D</w:t>
      </w:r>
      <w:r w:rsidRPr="007538ED">
        <w:rPr>
          <w:rFonts w:ascii="Arial Narrow" w:eastAsia="Times New Roman" w:hAnsi="Arial Narrow" w:cs="Tahoma"/>
          <w:color w:val="auto"/>
          <w:sz w:val="18"/>
          <w:szCs w:val="18"/>
          <w:lang w:eastAsia="en-AU"/>
        </w:rPr>
        <w:t>epartment; SD, Standard deviation</w:t>
      </w:r>
    </w:p>
    <w:p w14:paraId="2C4A3C61" w14:textId="77777777" w:rsidR="00E54C11" w:rsidRPr="004B3CBC" w:rsidRDefault="00E54C11" w:rsidP="00E54C11">
      <w:pPr>
        <w:pStyle w:val="Instructionaltext"/>
        <w:spacing w:before="0" w:after="0"/>
        <w:jc w:val="both"/>
        <w:rPr>
          <w:rFonts w:ascii="Arial Narrow" w:eastAsia="Times New Roman" w:hAnsi="Arial Narrow" w:cs="Tahoma"/>
          <w:b/>
          <w:color w:val="auto"/>
          <w:sz w:val="18"/>
          <w:szCs w:val="18"/>
          <w:lang w:eastAsia="en-AU"/>
        </w:rPr>
      </w:pPr>
      <w:r w:rsidRPr="004B3CBC">
        <w:rPr>
          <w:rFonts w:ascii="Arial Narrow" w:eastAsia="Times New Roman" w:hAnsi="Arial Narrow" w:cs="Tahoma"/>
          <w:b/>
          <w:color w:val="auto"/>
          <w:sz w:val="18"/>
          <w:szCs w:val="18"/>
          <w:lang w:eastAsia="en-AU"/>
        </w:rPr>
        <w:t xml:space="preserve">Note: Bolded values signify </w:t>
      </w:r>
      <w:r>
        <w:rPr>
          <w:rFonts w:ascii="Arial Narrow" w:eastAsia="Times New Roman" w:hAnsi="Arial Narrow" w:cs="Tahoma"/>
          <w:b/>
          <w:color w:val="auto"/>
          <w:sz w:val="18"/>
          <w:szCs w:val="18"/>
          <w:lang w:eastAsia="en-AU"/>
        </w:rPr>
        <w:t xml:space="preserve">a </w:t>
      </w:r>
      <w:r w:rsidRPr="004B3CBC">
        <w:rPr>
          <w:rFonts w:ascii="Arial Narrow" w:eastAsia="Times New Roman" w:hAnsi="Arial Narrow" w:cs="Tahoma"/>
          <w:b/>
          <w:color w:val="auto"/>
          <w:sz w:val="18"/>
          <w:szCs w:val="18"/>
          <w:lang w:eastAsia="en-AU"/>
        </w:rPr>
        <w:t xml:space="preserve">statistically significant </w:t>
      </w:r>
      <w:r>
        <w:rPr>
          <w:rFonts w:ascii="Arial Narrow" w:eastAsia="Times New Roman" w:hAnsi="Arial Narrow" w:cs="Tahoma"/>
          <w:b/>
          <w:color w:val="auto"/>
          <w:sz w:val="18"/>
          <w:szCs w:val="18"/>
          <w:lang w:eastAsia="en-AU"/>
        </w:rPr>
        <w:t>change</w:t>
      </w:r>
      <w:r w:rsidRPr="004B3CBC">
        <w:rPr>
          <w:rFonts w:ascii="Arial Narrow" w:eastAsia="Times New Roman" w:hAnsi="Arial Narrow" w:cs="Tahoma"/>
          <w:b/>
          <w:color w:val="auto"/>
          <w:sz w:val="18"/>
          <w:szCs w:val="18"/>
          <w:lang w:eastAsia="en-AU"/>
        </w:rPr>
        <w:t xml:space="preserve"> (p&lt;0.05)</w:t>
      </w:r>
    </w:p>
    <w:p w14:paraId="36FB1634" w14:textId="592452C5" w:rsidR="00E54C11" w:rsidRDefault="0038343B" w:rsidP="00E54C11">
      <w:pPr>
        <w:pStyle w:val="Instructionaltext"/>
        <w:spacing w:before="0" w:after="0"/>
        <w:jc w:val="both"/>
        <w:rPr>
          <w:rFonts w:ascii="Arial Narrow" w:eastAsia="Times New Roman" w:hAnsi="Arial Narrow" w:cs="Tahoma"/>
          <w:color w:val="auto"/>
          <w:sz w:val="18"/>
          <w:szCs w:val="18"/>
          <w:lang w:eastAsia="en-AU"/>
        </w:rPr>
      </w:pPr>
      <w:r w:rsidRPr="0038343B">
        <w:rPr>
          <w:rFonts w:ascii="Arial Narrow" w:eastAsia="Times New Roman" w:hAnsi="Arial Narrow" w:cs="Tahoma"/>
          <w:color w:val="auto"/>
          <w:sz w:val="18"/>
          <w:szCs w:val="18"/>
          <w:vertAlign w:val="superscript"/>
          <w:lang w:eastAsia="en-AU"/>
        </w:rPr>
        <w:t>a</w:t>
      </w:r>
      <w:r>
        <w:rPr>
          <w:rFonts w:ascii="Arial Narrow" w:eastAsia="Times New Roman" w:hAnsi="Arial Narrow" w:cs="Tahoma"/>
          <w:color w:val="auto"/>
          <w:sz w:val="18"/>
          <w:szCs w:val="18"/>
          <w:lang w:eastAsia="en-AU"/>
        </w:rPr>
        <w:t xml:space="preserve"> M</w:t>
      </w:r>
      <w:r w:rsidR="00E54C11" w:rsidRPr="00CF6947">
        <w:rPr>
          <w:rFonts w:ascii="Arial Narrow" w:eastAsia="Times New Roman" w:hAnsi="Arial Narrow" w:cs="Tahoma"/>
          <w:color w:val="auto"/>
          <w:sz w:val="18"/>
          <w:szCs w:val="18"/>
          <w:lang w:eastAsia="en-AU"/>
        </w:rPr>
        <w:t>ultilevel mixed-effects linear regression with time as the fixed effect and pharmacy and individual as the random effects, adjusted for pain severity and pain interference</w:t>
      </w:r>
    </w:p>
    <w:p w14:paraId="598F8EDF" w14:textId="38684FA4" w:rsidR="00E54C11" w:rsidRDefault="0038343B" w:rsidP="00E54C11">
      <w:pPr>
        <w:pStyle w:val="Instructionaltext"/>
        <w:spacing w:before="0" w:after="0"/>
        <w:jc w:val="both"/>
        <w:rPr>
          <w:rFonts w:ascii="Arial Narrow" w:eastAsia="Times New Roman" w:hAnsi="Arial Narrow" w:cs="Tahoma"/>
          <w:color w:val="auto"/>
          <w:sz w:val="18"/>
          <w:szCs w:val="18"/>
          <w:lang w:eastAsia="en-AU"/>
        </w:rPr>
      </w:pPr>
      <w:r w:rsidRPr="0038343B">
        <w:rPr>
          <w:rFonts w:ascii="Arial Narrow" w:eastAsia="Times New Roman" w:hAnsi="Arial Narrow" w:cs="Tahoma"/>
          <w:color w:val="auto"/>
          <w:sz w:val="18"/>
          <w:szCs w:val="18"/>
          <w:vertAlign w:val="superscript"/>
          <w:lang w:eastAsia="en-AU"/>
        </w:rPr>
        <w:t>b</w:t>
      </w:r>
      <w:r>
        <w:rPr>
          <w:rFonts w:ascii="Arial Narrow" w:eastAsia="Times New Roman" w:hAnsi="Arial Narrow" w:cs="Tahoma"/>
          <w:color w:val="auto"/>
          <w:sz w:val="18"/>
          <w:szCs w:val="18"/>
          <w:lang w:eastAsia="en-AU"/>
        </w:rPr>
        <w:t xml:space="preserve"> </w:t>
      </w:r>
      <w:r w:rsidR="00E54C11" w:rsidRPr="00CF6947">
        <w:rPr>
          <w:rFonts w:ascii="Arial Narrow" w:eastAsia="Times New Roman" w:hAnsi="Arial Narrow" w:cs="Tahoma"/>
          <w:color w:val="auto"/>
          <w:sz w:val="18"/>
          <w:szCs w:val="18"/>
          <w:lang w:eastAsia="en-AU"/>
        </w:rPr>
        <w:t>Multilevel mixed-effects linear regression with time as the fixed effect and pharmacy and individual as the random effects</w:t>
      </w:r>
    </w:p>
    <w:p w14:paraId="7368F3E0" w14:textId="460FE717" w:rsidR="00E54C11" w:rsidRDefault="0038343B" w:rsidP="00E54C11">
      <w:pPr>
        <w:pStyle w:val="Instructionaltext"/>
        <w:spacing w:before="0" w:after="0"/>
        <w:jc w:val="both"/>
        <w:rPr>
          <w:rFonts w:ascii="Arial Narrow" w:eastAsia="Times New Roman" w:hAnsi="Arial Narrow" w:cs="Tahoma"/>
          <w:color w:val="auto"/>
          <w:sz w:val="18"/>
          <w:szCs w:val="18"/>
          <w:lang w:eastAsia="en-AU"/>
        </w:rPr>
      </w:pPr>
      <w:r w:rsidRPr="0038343B">
        <w:rPr>
          <w:rFonts w:ascii="Arial Narrow" w:eastAsia="Times New Roman" w:hAnsi="Arial Narrow" w:cs="Tahoma"/>
          <w:color w:val="auto"/>
          <w:sz w:val="18"/>
          <w:szCs w:val="18"/>
          <w:vertAlign w:val="superscript"/>
          <w:lang w:eastAsia="en-AU"/>
        </w:rPr>
        <w:t>c</w:t>
      </w:r>
      <w:r w:rsidR="00E54C11">
        <w:rPr>
          <w:rFonts w:ascii="Arial Narrow" w:eastAsia="Times New Roman" w:hAnsi="Arial Narrow" w:cs="Tahoma"/>
          <w:color w:val="auto"/>
          <w:sz w:val="18"/>
          <w:szCs w:val="18"/>
          <w:lang w:eastAsia="en-AU"/>
        </w:rPr>
        <w:t xml:space="preserve"> It is unclear how many participants used opioid medication; this may or may not represent all of the eligible population for this outcome</w:t>
      </w:r>
    </w:p>
    <w:p w14:paraId="3A1E6C8D" w14:textId="59DF8CB9" w:rsidR="00E54C11" w:rsidRPr="00E54C11" w:rsidRDefault="0038343B" w:rsidP="00F611E3">
      <w:pPr>
        <w:pStyle w:val="Instructionaltext"/>
        <w:spacing w:before="0"/>
        <w:jc w:val="both"/>
        <w:rPr>
          <w:lang w:eastAsia="en-AU"/>
        </w:rPr>
      </w:pPr>
      <w:r w:rsidRPr="0038343B">
        <w:rPr>
          <w:rFonts w:ascii="Arial Narrow" w:eastAsia="Times New Roman" w:hAnsi="Arial Narrow" w:cs="Tahoma"/>
          <w:color w:val="auto"/>
          <w:sz w:val="18"/>
          <w:szCs w:val="18"/>
          <w:vertAlign w:val="superscript"/>
          <w:lang w:eastAsia="en-AU"/>
        </w:rPr>
        <w:t>d</w:t>
      </w:r>
      <w:r w:rsidR="00E54C11">
        <w:rPr>
          <w:rFonts w:ascii="Arial Narrow" w:eastAsia="Times New Roman" w:hAnsi="Arial Narrow" w:cs="Tahoma"/>
          <w:color w:val="auto"/>
          <w:sz w:val="18"/>
          <w:szCs w:val="18"/>
          <w:lang w:eastAsia="en-AU"/>
        </w:rPr>
        <w:t xml:space="preserve"> Collected at evaluation sites only</w:t>
      </w:r>
    </w:p>
    <w:p w14:paraId="7DA5A7EF" w14:textId="16FC6ABE" w:rsidR="00D95972" w:rsidRDefault="004E1F23" w:rsidP="00C515CE">
      <w:pPr>
        <w:pStyle w:val="Instructionaltext"/>
        <w:rPr>
          <w:i/>
          <w:color w:val="auto"/>
        </w:rPr>
      </w:pPr>
      <w:r>
        <w:rPr>
          <w:color w:val="auto"/>
        </w:rPr>
        <w:t>The ADAR reported s</w:t>
      </w:r>
      <w:r w:rsidR="00544421" w:rsidRPr="00544421">
        <w:rPr>
          <w:color w:val="auto"/>
        </w:rPr>
        <w:t xml:space="preserve">tatistically significant improvements in </w:t>
      </w:r>
      <w:r w:rsidR="00544421">
        <w:rPr>
          <w:color w:val="auto"/>
        </w:rPr>
        <w:t xml:space="preserve">most </w:t>
      </w:r>
      <w:r w:rsidR="00544421" w:rsidRPr="00544421">
        <w:rPr>
          <w:color w:val="auto"/>
        </w:rPr>
        <w:t xml:space="preserve">outcomes </w:t>
      </w:r>
      <w:r w:rsidR="00B4105F">
        <w:rPr>
          <w:color w:val="auto"/>
        </w:rPr>
        <w:t>in both</w:t>
      </w:r>
      <w:r w:rsidR="00544421" w:rsidRPr="00544421">
        <w:rPr>
          <w:color w:val="auto"/>
        </w:rPr>
        <w:t xml:space="preserve"> intervention </w:t>
      </w:r>
      <w:r w:rsidR="00B4105F">
        <w:rPr>
          <w:color w:val="auto"/>
        </w:rPr>
        <w:t>g</w:t>
      </w:r>
      <w:r w:rsidR="00B4105F" w:rsidRPr="00544421">
        <w:rPr>
          <w:color w:val="auto"/>
        </w:rPr>
        <w:t xml:space="preserve">roups </w:t>
      </w:r>
      <w:r w:rsidR="00544421" w:rsidRPr="00544421">
        <w:rPr>
          <w:color w:val="auto"/>
        </w:rPr>
        <w:t>when compared to baseline</w:t>
      </w:r>
      <w:r w:rsidR="00544421">
        <w:rPr>
          <w:color w:val="auto"/>
        </w:rPr>
        <w:t>. A</w:t>
      </w:r>
      <w:r w:rsidR="00544421" w:rsidRPr="00544421">
        <w:rPr>
          <w:color w:val="auto"/>
        </w:rPr>
        <w:t>verage morphine equivalence dose</w:t>
      </w:r>
      <w:r w:rsidR="00544421">
        <w:rPr>
          <w:color w:val="auto"/>
        </w:rPr>
        <w:t>,</w:t>
      </w:r>
      <w:r w:rsidR="00544421" w:rsidRPr="00544421">
        <w:rPr>
          <w:color w:val="auto"/>
        </w:rPr>
        <w:t xml:space="preserve"> health literacy</w:t>
      </w:r>
      <w:r w:rsidR="00544421">
        <w:rPr>
          <w:color w:val="auto"/>
        </w:rPr>
        <w:t>, d</w:t>
      </w:r>
      <w:r w:rsidR="00544421" w:rsidRPr="00544421">
        <w:rPr>
          <w:color w:val="auto"/>
        </w:rPr>
        <w:t>ecreases in ED presentations (Grade 1 and 2) and hospitalisations which would be indicative of a Grade 3 and above adverse event</w:t>
      </w:r>
      <w:r w:rsidR="00A33020">
        <w:rPr>
          <w:color w:val="auto"/>
        </w:rPr>
        <w:t>s</w:t>
      </w:r>
      <w:r w:rsidR="00544421" w:rsidRPr="00544421">
        <w:rPr>
          <w:color w:val="auto"/>
        </w:rPr>
        <w:t xml:space="preserve"> (using Common Terminology Criteria for Adverse Events [CTCAE v5.0]), were not statistically significant.</w:t>
      </w:r>
      <w:r w:rsidR="0056744E">
        <w:rPr>
          <w:i/>
          <w:color w:val="auto"/>
        </w:rPr>
        <w:t xml:space="preserve"> </w:t>
      </w:r>
    </w:p>
    <w:p w14:paraId="32571303" w14:textId="10058CDB" w:rsidR="00DA03BF" w:rsidRPr="002E6226" w:rsidRDefault="00D95972" w:rsidP="00C515CE">
      <w:pPr>
        <w:pStyle w:val="Instructionaltext"/>
        <w:rPr>
          <w:color w:val="auto"/>
        </w:rPr>
      </w:pPr>
      <w:r w:rsidRPr="002E6226">
        <w:rPr>
          <w:color w:val="auto"/>
        </w:rPr>
        <w:t xml:space="preserve">The use of the word ‘improvements’ here is slightly misleading as the sample for the baseline and </w:t>
      </w:r>
      <w:r w:rsidR="00DB50F9">
        <w:rPr>
          <w:color w:val="auto"/>
        </w:rPr>
        <w:t xml:space="preserve">follow-up </w:t>
      </w:r>
      <w:r w:rsidRPr="002E6226">
        <w:rPr>
          <w:color w:val="auto"/>
        </w:rPr>
        <w:t xml:space="preserve">measurements is different due to loss to follow up. These comparisons assume that the baseline scores of those loss to </w:t>
      </w:r>
      <w:r w:rsidR="00DB50F9">
        <w:rPr>
          <w:color w:val="auto"/>
        </w:rPr>
        <w:t xml:space="preserve">follow-up </w:t>
      </w:r>
      <w:r w:rsidRPr="002E6226">
        <w:rPr>
          <w:color w:val="auto"/>
        </w:rPr>
        <w:t xml:space="preserve">are the same as those followed up and that the change in outcomes for those lost to follow-up will be the same as those followed up.  </w:t>
      </w:r>
      <w:r w:rsidR="00EA5559" w:rsidRPr="002E6226">
        <w:rPr>
          <w:color w:val="auto"/>
        </w:rPr>
        <w:t xml:space="preserve">It should be noted that </w:t>
      </w:r>
      <w:r w:rsidR="0056744E" w:rsidRPr="002E6226">
        <w:rPr>
          <w:color w:val="auto"/>
        </w:rPr>
        <w:t xml:space="preserve">Group B </w:t>
      </w:r>
      <w:r w:rsidR="001609D5" w:rsidRPr="002E6226">
        <w:rPr>
          <w:color w:val="auto"/>
        </w:rPr>
        <w:t xml:space="preserve">was underpowered for AQoL utility score, self-management total </w:t>
      </w:r>
      <w:r w:rsidR="001609D5" w:rsidRPr="002E6226">
        <w:rPr>
          <w:color w:val="auto"/>
        </w:rPr>
        <w:lastRenderedPageBreak/>
        <w:t>score, average morphine equivalent dose, and health literacy total score</w:t>
      </w:r>
      <w:r w:rsidRPr="002E6226">
        <w:rPr>
          <w:color w:val="auto"/>
        </w:rPr>
        <w:t xml:space="preserve"> partly due to the large loss to follow up</w:t>
      </w:r>
      <w:r w:rsidR="004662D6" w:rsidRPr="002E6226">
        <w:rPr>
          <w:color w:val="auto"/>
        </w:rPr>
        <w:t xml:space="preserve">. </w:t>
      </w:r>
      <w:r w:rsidR="00B4105F" w:rsidRPr="002E6226">
        <w:rPr>
          <w:color w:val="auto"/>
        </w:rPr>
        <w:t>There were n</w:t>
      </w:r>
      <w:r w:rsidR="004662D6" w:rsidRPr="002E6226">
        <w:rPr>
          <w:color w:val="auto"/>
        </w:rPr>
        <w:t xml:space="preserve">o </w:t>
      </w:r>
      <w:r w:rsidR="00B4105F" w:rsidRPr="002E6226">
        <w:rPr>
          <w:color w:val="auto"/>
        </w:rPr>
        <w:t xml:space="preserve">statistical </w:t>
      </w:r>
      <w:r w:rsidR="004662D6" w:rsidRPr="002E6226">
        <w:rPr>
          <w:color w:val="auto"/>
        </w:rPr>
        <w:t>adjustment</w:t>
      </w:r>
      <w:r w:rsidR="00B4105F" w:rsidRPr="002E6226">
        <w:rPr>
          <w:color w:val="auto"/>
        </w:rPr>
        <w:t>s</w:t>
      </w:r>
      <w:r w:rsidR="004662D6" w:rsidRPr="002E6226">
        <w:rPr>
          <w:color w:val="auto"/>
        </w:rPr>
        <w:t xml:space="preserve"> for multiple comparisons outside of the primary outcomes</w:t>
      </w:r>
      <w:r w:rsidR="00B4105F" w:rsidRPr="002E6226">
        <w:rPr>
          <w:color w:val="auto"/>
        </w:rPr>
        <w:t>.</w:t>
      </w:r>
      <w:r w:rsidR="007E2347" w:rsidRPr="002E6226">
        <w:rPr>
          <w:color w:val="auto"/>
        </w:rPr>
        <w:t xml:space="preserve"> </w:t>
      </w:r>
      <w:r w:rsidR="00B4105F" w:rsidRPr="002E6226">
        <w:rPr>
          <w:color w:val="auto"/>
        </w:rPr>
        <w:t xml:space="preserve">Given </w:t>
      </w:r>
      <w:r w:rsidR="004662D6" w:rsidRPr="002E6226">
        <w:rPr>
          <w:color w:val="auto"/>
        </w:rPr>
        <w:t>the large number of comparisons, the likelihood of spurious differences cannot be excluded.</w:t>
      </w:r>
    </w:p>
    <w:p w14:paraId="0AC45408" w14:textId="3FF9551F" w:rsidR="00216BAE" w:rsidRPr="002E6226" w:rsidRDefault="00DA03BF" w:rsidP="00C515CE">
      <w:pPr>
        <w:pStyle w:val="Instructionaltext"/>
        <w:rPr>
          <w:color w:val="auto"/>
        </w:rPr>
      </w:pPr>
      <w:r w:rsidRPr="002E6226">
        <w:rPr>
          <w:color w:val="auto"/>
        </w:rPr>
        <w:t>Also</w:t>
      </w:r>
      <w:r w:rsidR="00EA5559" w:rsidRPr="002E6226">
        <w:rPr>
          <w:color w:val="auto"/>
        </w:rPr>
        <w:t>,</w:t>
      </w:r>
      <w:r w:rsidRPr="002E6226">
        <w:rPr>
          <w:color w:val="auto"/>
        </w:rPr>
        <w:t xml:space="preserve"> while </w:t>
      </w:r>
      <w:r w:rsidR="004662D6" w:rsidRPr="002E6226">
        <w:rPr>
          <w:color w:val="auto"/>
        </w:rPr>
        <w:t xml:space="preserve">there are </w:t>
      </w:r>
      <w:r w:rsidRPr="002E6226">
        <w:rPr>
          <w:color w:val="auto"/>
        </w:rPr>
        <w:t xml:space="preserve">differences in outcomes at baseline and </w:t>
      </w:r>
      <w:r w:rsidR="00DB50F9">
        <w:rPr>
          <w:color w:val="auto"/>
        </w:rPr>
        <w:t xml:space="preserve">follow-up </w:t>
      </w:r>
      <w:r w:rsidRPr="002E6226">
        <w:rPr>
          <w:color w:val="auto"/>
        </w:rPr>
        <w:t>of those included at each measurement point</w:t>
      </w:r>
      <w:r w:rsidR="0008592F" w:rsidRPr="002E6226">
        <w:rPr>
          <w:color w:val="auto"/>
        </w:rPr>
        <w:t>,</w:t>
      </w:r>
      <w:r w:rsidRPr="002E6226">
        <w:rPr>
          <w:color w:val="auto"/>
        </w:rPr>
        <w:t xml:space="preserve"> the expected changes in outcomes in the comparator (usual care)</w:t>
      </w:r>
      <w:r w:rsidR="008D5BB1" w:rsidRPr="002E6226">
        <w:rPr>
          <w:color w:val="auto"/>
        </w:rPr>
        <w:t xml:space="preserve"> are not known</w:t>
      </w:r>
      <w:r w:rsidRPr="002E6226">
        <w:rPr>
          <w:color w:val="auto"/>
        </w:rPr>
        <w:t>. Like with other chronic pain studies</w:t>
      </w:r>
      <w:r w:rsidR="008D5BB1" w:rsidRPr="002E6226">
        <w:rPr>
          <w:color w:val="auto"/>
        </w:rPr>
        <w:t>,</w:t>
      </w:r>
      <w:r w:rsidRPr="002E6226">
        <w:rPr>
          <w:color w:val="auto"/>
        </w:rPr>
        <w:t xml:space="preserve"> regression to the mean is highly likely whereby some recruited individual</w:t>
      </w:r>
      <w:r w:rsidR="004662D6" w:rsidRPr="002E6226">
        <w:rPr>
          <w:color w:val="auto"/>
        </w:rPr>
        <w:t>s</w:t>
      </w:r>
      <w:r w:rsidRPr="002E6226">
        <w:rPr>
          <w:color w:val="auto"/>
        </w:rPr>
        <w:t xml:space="preserve"> improve over time unrelated to the current intervention.</w:t>
      </w:r>
      <w:r w:rsidR="004916C6" w:rsidRPr="002E6226">
        <w:rPr>
          <w:rStyle w:val="FootnoteReference"/>
          <w:color w:val="auto"/>
        </w:rPr>
        <w:footnoteReference w:id="4"/>
      </w:r>
      <w:r w:rsidR="00587BEE" w:rsidRPr="002E6226">
        <w:rPr>
          <w:color w:val="auto"/>
        </w:rPr>
        <w:t xml:space="preserve"> </w:t>
      </w:r>
      <w:r w:rsidR="004662D6" w:rsidRPr="002E6226">
        <w:rPr>
          <w:color w:val="auto"/>
        </w:rPr>
        <w:t>Overall, g</w:t>
      </w:r>
      <w:r w:rsidR="00216BAE" w:rsidRPr="002E6226">
        <w:rPr>
          <w:color w:val="auto"/>
        </w:rPr>
        <w:t>iven the large attrition</w:t>
      </w:r>
      <w:r w:rsidR="00D95972" w:rsidRPr="002E6226">
        <w:rPr>
          <w:color w:val="auto"/>
        </w:rPr>
        <w:t xml:space="preserve"> and possible regression to the mean</w:t>
      </w:r>
      <w:r w:rsidR="00216BAE" w:rsidRPr="002E6226">
        <w:rPr>
          <w:color w:val="auto"/>
        </w:rPr>
        <w:t>, there is low confidence that these results reflect improvement</w:t>
      </w:r>
      <w:r w:rsidR="004662D6" w:rsidRPr="002E6226">
        <w:rPr>
          <w:color w:val="auto"/>
        </w:rPr>
        <w:t>s</w:t>
      </w:r>
      <w:r w:rsidR="00216BAE" w:rsidRPr="002E6226">
        <w:rPr>
          <w:color w:val="auto"/>
        </w:rPr>
        <w:t xml:space="preserve"> </w:t>
      </w:r>
      <w:r w:rsidR="00A44E97" w:rsidRPr="002E6226">
        <w:rPr>
          <w:color w:val="auto"/>
        </w:rPr>
        <w:t xml:space="preserve">solely </w:t>
      </w:r>
      <w:r w:rsidR="00216BAE" w:rsidRPr="002E6226">
        <w:rPr>
          <w:color w:val="auto"/>
        </w:rPr>
        <w:t xml:space="preserve">due to the CPMC intervention. </w:t>
      </w:r>
    </w:p>
    <w:p w14:paraId="1FE69787" w14:textId="10B16261" w:rsidR="00D16BB7" w:rsidRPr="002E6226" w:rsidRDefault="00DA03BF" w:rsidP="00C515CE">
      <w:pPr>
        <w:pStyle w:val="Instructionaltext"/>
        <w:rPr>
          <w:color w:val="auto"/>
        </w:rPr>
      </w:pPr>
      <w:r w:rsidRPr="002E6226">
        <w:rPr>
          <w:color w:val="auto"/>
        </w:rPr>
        <w:t>T</w:t>
      </w:r>
      <w:r w:rsidR="00216BAE" w:rsidRPr="002E6226">
        <w:rPr>
          <w:color w:val="auto"/>
        </w:rPr>
        <w:t xml:space="preserve">he </w:t>
      </w:r>
      <w:r w:rsidRPr="002E6226">
        <w:rPr>
          <w:color w:val="auto"/>
        </w:rPr>
        <w:t xml:space="preserve">difference </w:t>
      </w:r>
      <w:r w:rsidR="00216BAE" w:rsidRPr="002E6226">
        <w:rPr>
          <w:color w:val="auto"/>
        </w:rPr>
        <w:t xml:space="preserve">in </w:t>
      </w:r>
      <w:r w:rsidRPr="002E6226">
        <w:rPr>
          <w:color w:val="auto"/>
        </w:rPr>
        <w:t xml:space="preserve">secondary </w:t>
      </w:r>
      <w:r w:rsidR="00216BAE" w:rsidRPr="002E6226">
        <w:rPr>
          <w:color w:val="auto"/>
        </w:rPr>
        <w:t xml:space="preserve">outcomes </w:t>
      </w:r>
      <w:r w:rsidRPr="002E6226">
        <w:rPr>
          <w:color w:val="auto"/>
        </w:rPr>
        <w:t xml:space="preserve">between baseline and </w:t>
      </w:r>
      <w:r w:rsidR="00DB50F9">
        <w:rPr>
          <w:color w:val="auto"/>
        </w:rPr>
        <w:t>follow-</w:t>
      </w:r>
      <w:r w:rsidRPr="002E6226">
        <w:rPr>
          <w:color w:val="auto"/>
        </w:rPr>
        <w:t>up were also</w:t>
      </w:r>
      <w:r w:rsidR="00216BAE" w:rsidRPr="002E6226">
        <w:rPr>
          <w:color w:val="auto"/>
        </w:rPr>
        <w:t xml:space="preserve"> statistically significant</w:t>
      </w:r>
      <w:r w:rsidRPr="002E6226">
        <w:rPr>
          <w:color w:val="auto"/>
        </w:rPr>
        <w:t xml:space="preserve"> but again they suffer from the same issues as the primary outcomes. Also</w:t>
      </w:r>
      <w:r w:rsidR="0050643C" w:rsidRPr="002E6226">
        <w:rPr>
          <w:color w:val="auto"/>
        </w:rPr>
        <w:t xml:space="preserve">, </w:t>
      </w:r>
      <w:r w:rsidR="00216BAE" w:rsidRPr="002E6226">
        <w:rPr>
          <w:color w:val="auto"/>
        </w:rPr>
        <w:t>the</w:t>
      </w:r>
      <w:r w:rsidR="00EA5559" w:rsidRPr="002E6226">
        <w:rPr>
          <w:color w:val="auto"/>
        </w:rPr>
        <w:t>se</w:t>
      </w:r>
      <w:r w:rsidR="00216BAE" w:rsidRPr="002E6226">
        <w:rPr>
          <w:color w:val="auto"/>
        </w:rPr>
        <w:t xml:space="preserve"> outcomes were not necessarily considered clinically significant. </w:t>
      </w:r>
      <w:bookmarkStart w:id="26" w:name="_Hlk102403274"/>
      <w:r w:rsidR="00BF2DB5" w:rsidRPr="002E6226">
        <w:rPr>
          <w:color w:val="auto"/>
        </w:rPr>
        <w:t>A 1-point decrease in pain interference (measured using the Brief Pain Inventory) is the threshold for minimally important change.</w:t>
      </w:r>
      <w:r w:rsidR="00BF2DB5" w:rsidRPr="002E6226">
        <w:rPr>
          <w:rStyle w:val="FootnoteReference"/>
          <w:color w:val="auto"/>
        </w:rPr>
        <w:footnoteReference w:id="5"/>
      </w:r>
      <w:r w:rsidR="00BF2DB5" w:rsidRPr="002E6226">
        <w:rPr>
          <w:color w:val="auto"/>
        </w:rPr>
        <w:t xml:space="preserve"> </w:t>
      </w:r>
      <w:bookmarkStart w:id="27" w:name="_Hlk102403345"/>
      <w:bookmarkEnd w:id="26"/>
      <w:r w:rsidR="00BF2DB5" w:rsidRPr="002E6226">
        <w:rPr>
          <w:color w:val="auto"/>
        </w:rPr>
        <w:t xml:space="preserve">Group B met </w:t>
      </w:r>
      <w:r w:rsidR="00451082" w:rsidRPr="002E6226">
        <w:rPr>
          <w:color w:val="auto"/>
        </w:rPr>
        <w:t xml:space="preserve">this minimally important change in pain interference, while Group A did not. </w:t>
      </w:r>
      <w:bookmarkEnd w:id="27"/>
      <w:r w:rsidR="00190BEC" w:rsidRPr="002E6226">
        <w:rPr>
          <w:color w:val="auto"/>
        </w:rPr>
        <w:t>For</w:t>
      </w:r>
      <w:r w:rsidR="00216BAE" w:rsidRPr="002E6226">
        <w:rPr>
          <w:color w:val="auto"/>
        </w:rPr>
        <w:t xml:space="preserve"> both</w:t>
      </w:r>
      <w:r w:rsidR="00190BEC" w:rsidRPr="002E6226">
        <w:rPr>
          <w:color w:val="auto"/>
        </w:rPr>
        <w:t xml:space="preserve"> </w:t>
      </w:r>
      <w:r w:rsidR="0097389C" w:rsidRPr="002E6226">
        <w:rPr>
          <w:color w:val="auto"/>
        </w:rPr>
        <w:t>pain severity (</w:t>
      </w:r>
      <w:r w:rsidR="00BF2DB5" w:rsidRPr="002E6226">
        <w:rPr>
          <w:color w:val="auto"/>
        </w:rPr>
        <w:t>measured using</w:t>
      </w:r>
      <w:r w:rsidR="00190BEC" w:rsidRPr="002E6226">
        <w:rPr>
          <w:color w:val="auto"/>
        </w:rPr>
        <w:t xml:space="preserve"> the </w:t>
      </w:r>
      <w:r w:rsidR="00F0365B" w:rsidRPr="002E6226">
        <w:rPr>
          <w:color w:val="auto"/>
        </w:rPr>
        <w:t>Brief Pain Inventory short form)</w:t>
      </w:r>
      <w:r w:rsidR="00190BEC" w:rsidRPr="002E6226">
        <w:rPr>
          <w:color w:val="auto"/>
        </w:rPr>
        <w:t>,</w:t>
      </w:r>
      <w:r w:rsidR="00216BAE" w:rsidRPr="002E6226">
        <w:rPr>
          <w:color w:val="auto"/>
        </w:rPr>
        <w:t xml:space="preserve"> and the Partners in Health scale (measuring self-management), </w:t>
      </w:r>
      <w:r w:rsidR="00190BEC" w:rsidRPr="002E6226">
        <w:rPr>
          <w:color w:val="auto"/>
        </w:rPr>
        <w:t>a 10% change is considered to be of clinical interest</w:t>
      </w:r>
      <w:r w:rsidR="004F4ECA" w:rsidRPr="002E6226">
        <w:rPr>
          <w:rStyle w:val="FootnoteReference"/>
          <w:color w:val="auto"/>
        </w:rPr>
        <w:footnoteReference w:id="6"/>
      </w:r>
      <w:r w:rsidR="007822AC" w:rsidRPr="002E6226">
        <w:rPr>
          <w:color w:val="auto"/>
          <w:vertAlign w:val="superscript"/>
        </w:rPr>
        <w:t>,</w:t>
      </w:r>
      <w:r w:rsidR="0022571D" w:rsidRPr="002E6226">
        <w:rPr>
          <w:rStyle w:val="FootnoteReference"/>
          <w:color w:val="auto"/>
        </w:rPr>
        <w:footnoteReference w:id="7"/>
      </w:r>
      <w:r w:rsidR="00190BEC" w:rsidRPr="002E6226">
        <w:rPr>
          <w:color w:val="auto"/>
        </w:rPr>
        <w:t xml:space="preserve">. </w:t>
      </w:r>
      <w:r w:rsidR="00451082" w:rsidRPr="002E6226">
        <w:rPr>
          <w:color w:val="auto"/>
        </w:rPr>
        <w:t>In both Groups A and B, p</w:t>
      </w:r>
      <w:r w:rsidR="00976E40" w:rsidRPr="002E6226">
        <w:rPr>
          <w:color w:val="auto"/>
        </w:rPr>
        <w:t>ain severity</w:t>
      </w:r>
      <w:r w:rsidR="00BF2DB5" w:rsidRPr="002E6226">
        <w:rPr>
          <w:color w:val="auto"/>
        </w:rPr>
        <w:t xml:space="preserve"> reached this 10% threshold, </w:t>
      </w:r>
      <w:r w:rsidR="00451082" w:rsidRPr="002E6226">
        <w:rPr>
          <w:color w:val="auto"/>
        </w:rPr>
        <w:t>and</w:t>
      </w:r>
      <w:r w:rsidR="00BF2DB5" w:rsidRPr="002E6226">
        <w:rPr>
          <w:color w:val="auto"/>
        </w:rPr>
        <w:t xml:space="preserve"> self-management did not. </w:t>
      </w:r>
      <w:r w:rsidR="00C325A4" w:rsidRPr="002E6226">
        <w:rPr>
          <w:color w:val="auto"/>
        </w:rPr>
        <w:t>The minimal clinically important difference</w:t>
      </w:r>
      <w:r w:rsidR="0083273B">
        <w:rPr>
          <w:color w:val="auto"/>
        </w:rPr>
        <w:t>s</w:t>
      </w:r>
      <w:r w:rsidR="00C325A4" w:rsidRPr="002E6226">
        <w:rPr>
          <w:color w:val="auto"/>
        </w:rPr>
        <w:t xml:space="preserve"> for the other outcomes were not defined.</w:t>
      </w:r>
    </w:p>
    <w:p w14:paraId="1F473D2F" w14:textId="43567FD1" w:rsidR="001F1500" w:rsidRPr="002E6226" w:rsidRDefault="00014684" w:rsidP="00C515CE">
      <w:pPr>
        <w:pStyle w:val="Instructionaltext"/>
        <w:rPr>
          <w:color w:val="auto"/>
        </w:rPr>
      </w:pPr>
      <w:r>
        <w:rPr>
          <w:color w:val="auto"/>
        </w:rPr>
        <w:t xml:space="preserve">Randomisation occurred at the pharmacy level, with no matching of pharmacies (for example, on characteristics such as size or socioeconomic status). </w:t>
      </w:r>
      <w:r w:rsidR="00AB31CE" w:rsidRPr="002E6226">
        <w:rPr>
          <w:color w:val="auto"/>
        </w:rPr>
        <w:t>Despite more pharmacies being</w:t>
      </w:r>
      <w:r>
        <w:rPr>
          <w:color w:val="auto"/>
        </w:rPr>
        <w:t xml:space="preserve"> randomly</w:t>
      </w:r>
      <w:r w:rsidR="00AB31CE" w:rsidRPr="002E6226">
        <w:rPr>
          <w:color w:val="auto"/>
        </w:rPr>
        <w:t xml:space="preserve"> allocated to Group B (n=283 vs n=267 in Group A), the overall number of participants recruited in Group B was lower, particularly in the evaluation sites. </w:t>
      </w:r>
      <w:r w:rsidR="001F1500" w:rsidRPr="002E6226">
        <w:rPr>
          <w:color w:val="auto"/>
        </w:rPr>
        <w:t xml:space="preserve">The lower recruitment may have reflected the higher time commitment required by the additional service and outcomes collected. Reasons for </w:t>
      </w:r>
      <w:r w:rsidR="00944D8B" w:rsidRPr="002E6226">
        <w:rPr>
          <w:color w:val="auto"/>
        </w:rPr>
        <w:t xml:space="preserve">participants </w:t>
      </w:r>
      <w:r w:rsidR="001F1500" w:rsidRPr="002E6226">
        <w:rPr>
          <w:color w:val="auto"/>
        </w:rPr>
        <w:t>declining to participate in the trial were not reported in the ADAR. This information may be useful to assess if there is a difference that suggests patients have a preference for one of the interventions</w:t>
      </w:r>
      <w:r w:rsidR="00944D8B" w:rsidRPr="002E6226">
        <w:rPr>
          <w:color w:val="auto"/>
        </w:rPr>
        <w:t xml:space="preserve"> and whether differences in outcomes may at least partly be due to difference in the participants recruited into each group</w:t>
      </w:r>
      <w:r w:rsidR="001F1500" w:rsidRPr="002E6226">
        <w:rPr>
          <w:color w:val="auto"/>
        </w:rPr>
        <w:t>.</w:t>
      </w:r>
      <w:r>
        <w:rPr>
          <w:color w:val="auto"/>
        </w:rPr>
        <w:t xml:space="preserve"> </w:t>
      </w:r>
      <w:r w:rsidR="00F73907">
        <w:rPr>
          <w:color w:val="auto"/>
        </w:rPr>
        <w:t>The difference in attrition suggests some underlying difference between Group A and Group B.</w:t>
      </w:r>
    </w:p>
    <w:p w14:paraId="1A41EC1B" w14:textId="6262B1A2" w:rsidR="00AB31CE" w:rsidRPr="002E6226" w:rsidRDefault="00AB31CE" w:rsidP="00C515CE">
      <w:pPr>
        <w:pStyle w:val="Instructionaltext"/>
        <w:rPr>
          <w:color w:val="auto"/>
        </w:rPr>
      </w:pPr>
      <w:r w:rsidRPr="002E6226">
        <w:rPr>
          <w:color w:val="auto"/>
        </w:rPr>
        <w:t>Pharmacies were randomly allocated to a study arm, and</w:t>
      </w:r>
      <w:r w:rsidR="008D38B8" w:rsidRPr="002E6226">
        <w:rPr>
          <w:color w:val="auto"/>
        </w:rPr>
        <w:t xml:space="preserve"> then randomly allocated</w:t>
      </w:r>
      <w:r w:rsidRPr="002E6226">
        <w:rPr>
          <w:color w:val="auto"/>
        </w:rPr>
        <w:t xml:space="preserve"> into the ‘evaluation’ or ‘main trial’ groups</w:t>
      </w:r>
      <w:r w:rsidR="008D38B8" w:rsidRPr="002E6226">
        <w:rPr>
          <w:color w:val="auto"/>
        </w:rPr>
        <w:t xml:space="preserve"> for the ‘evaluation trial’ sub-study</w:t>
      </w:r>
      <w:r w:rsidRPr="002E6226">
        <w:rPr>
          <w:color w:val="auto"/>
        </w:rPr>
        <w:t>.</w:t>
      </w:r>
      <w:r w:rsidR="008D38B8" w:rsidRPr="002E6226">
        <w:rPr>
          <w:color w:val="auto"/>
        </w:rPr>
        <w:t xml:space="preserve"> The ADAR did not state how randomisation occurred.</w:t>
      </w:r>
      <w:r w:rsidRPr="002E6226">
        <w:rPr>
          <w:color w:val="auto"/>
        </w:rPr>
        <w:t xml:space="preserve"> </w:t>
      </w:r>
      <w:r w:rsidR="008D38B8" w:rsidRPr="002E6226">
        <w:rPr>
          <w:color w:val="auto"/>
        </w:rPr>
        <w:t>The evaluation trial</w:t>
      </w:r>
      <w:r w:rsidR="001F1500" w:rsidRPr="002E6226">
        <w:rPr>
          <w:color w:val="auto"/>
        </w:rPr>
        <w:t xml:space="preserve"> Group A and Group B appear to have similar gender balance compared to the overall Group A and B, but are more metropolitan and experience more socioeconomic disadvantage. In Group A, 52% of participants were living in areas with decile numbers 1-5, compared with 59% in Group A evaluation. In Group B, 55% of participants were living in areas with decile numbers 1-5, compared with 63% in Group B evaluation. </w:t>
      </w:r>
      <w:r w:rsidR="00CC5371">
        <w:rPr>
          <w:color w:val="auto"/>
        </w:rPr>
        <w:t xml:space="preserve">The </w:t>
      </w:r>
      <w:r w:rsidR="00CC5371">
        <w:rPr>
          <w:color w:val="auto"/>
        </w:rPr>
        <w:lastRenderedPageBreak/>
        <w:t>commentary considered that i</w:t>
      </w:r>
      <w:r w:rsidR="001F1500" w:rsidRPr="002E6226">
        <w:rPr>
          <w:color w:val="auto"/>
        </w:rPr>
        <w:t>t is difficult to understand how the baseline health status compares</w:t>
      </w:r>
      <w:r w:rsidR="00B37D73" w:rsidRPr="002E6226">
        <w:rPr>
          <w:color w:val="auto"/>
        </w:rPr>
        <w:t xml:space="preserve"> between the </w:t>
      </w:r>
      <w:r w:rsidR="00EE6C26" w:rsidRPr="002E6226">
        <w:rPr>
          <w:color w:val="auto"/>
        </w:rPr>
        <w:t xml:space="preserve">main </w:t>
      </w:r>
      <w:r w:rsidR="00470EC6">
        <w:rPr>
          <w:color w:val="auto"/>
        </w:rPr>
        <w:t>t</w:t>
      </w:r>
      <w:r w:rsidR="00B37D73" w:rsidRPr="002E6226">
        <w:rPr>
          <w:color w:val="auto"/>
        </w:rPr>
        <w:t xml:space="preserve">rial and </w:t>
      </w:r>
      <w:r w:rsidR="00EE6C26" w:rsidRPr="002E6226">
        <w:rPr>
          <w:color w:val="auto"/>
        </w:rPr>
        <w:t>evaluation trial sub-study</w:t>
      </w:r>
      <w:r w:rsidR="001F1500" w:rsidRPr="002E6226">
        <w:rPr>
          <w:color w:val="auto"/>
        </w:rPr>
        <w:t>.</w:t>
      </w:r>
    </w:p>
    <w:p w14:paraId="213924C6" w14:textId="11D5654C" w:rsidR="00772829" w:rsidRPr="00223664" w:rsidRDefault="00772829" w:rsidP="00C515CE">
      <w:pPr>
        <w:tabs>
          <w:tab w:val="left" w:pos="720"/>
          <w:tab w:val="left" w:pos="1140"/>
        </w:tabs>
        <w:spacing w:before="240" w:after="120"/>
        <w:rPr>
          <w:b/>
          <w:bCs/>
        </w:rPr>
      </w:pPr>
      <w:r w:rsidRPr="00223664">
        <w:rPr>
          <w:b/>
          <w:bCs/>
        </w:rPr>
        <w:t>Clinical claim</w:t>
      </w:r>
    </w:p>
    <w:p w14:paraId="0D62DC76" w14:textId="45FD1788" w:rsidR="00EA5559" w:rsidRDefault="00965D14" w:rsidP="00C515CE">
      <w:pPr>
        <w:pStyle w:val="Instructionaltext"/>
        <w:rPr>
          <w:color w:val="auto"/>
        </w:rPr>
      </w:pPr>
      <w:r>
        <w:rPr>
          <w:color w:val="auto"/>
        </w:rPr>
        <w:t xml:space="preserve">The ADAR’s clinical claim was that </w:t>
      </w:r>
      <w:r w:rsidRPr="00965D14">
        <w:rPr>
          <w:color w:val="auto"/>
        </w:rPr>
        <w:t xml:space="preserve">relative to </w:t>
      </w:r>
      <w:r>
        <w:rPr>
          <w:color w:val="auto"/>
        </w:rPr>
        <w:t>treatment as usual</w:t>
      </w:r>
      <w:r w:rsidR="00CE5660">
        <w:rPr>
          <w:color w:val="auto"/>
        </w:rPr>
        <w:t xml:space="preserve"> </w:t>
      </w:r>
      <w:r w:rsidR="00CE5660" w:rsidRPr="002E6226">
        <w:rPr>
          <w:color w:val="auto"/>
        </w:rPr>
        <w:t>(</w:t>
      </w:r>
      <w:r w:rsidR="00C325A4" w:rsidRPr="002E6226">
        <w:rPr>
          <w:color w:val="auto"/>
        </w:rPr>
        <w:t xml:space="preserve">which it considered to </w:t>
      </w:r>
      <w:r w:rsidR="00A44E97" w:rsidRPr="002E6226">
        <w:rPr>
          <w:color w:val="auto"/>
        </w:rPr>
        <w:t xml:space="preserve">have the same outcomes as </w:t>
      </w:r>
      <w:r w:rsidR="00C325A4" w:rsidRPr="002E6226">
        <w:rPr>
          <w:color w:val="auto"/>
        </w:rPr>
        <w:t xml:space="preserve">the </w:t>
      </w:r>
      <w:r w:rsidR="004954CA" w:rsidRPr="002E6226">
        <w:rPr>
          <w:color w:val="auto"/>
        </w:rPr>
        <w:t>baseline</w:t>
      </w:r>
      <w:r w:rsidR="00CE5660" w:rsidRPr="002E6226">
        <w:rPr>
          <w:color w:val="auto"/>
        </w:rPr>
        <w:t xml:space="preserve"> measurements)</w:t>
      </w:r>
      <w:r w:rsidRPr="002E6226">
        <w:rPr>
          <w:color w:val="auto"/>
        </w:rPr>
        <w:t xml:space="preserve">, </w:t>
      </w:r>
      <w:r w:rsidRPr="00965D14">
        <w:rPr>
          <w:color w:val="auto"/>
        </w:rPr>
        <w:t>the intervention</w:t>
      </w:r>
      <w:r w:rsidR="00E71077">
        <w:rPr>
          <w:color w:val="auto"/>
        </w:rPr>
        <w:t>s</w:t>
      </w:r>
      <w:r w:rsidRPr="00965D14">
        <w:rPr>
          <w:color w:val="auto"/>
        </w:rPr>
        <w:t xml:space="preserve"> ha</w:t>
      </w:r>
      <w:r>
        <w:rPr>
          <w:color w:val="auto"/>
        </w:rPr>
        <w:t>d</w:t>
      </w:r>
      <w:r w:rsidRPr="00965D14">
        <w:rPr>
          <w:color w:val="auto"/>
        </w:rPr>
        <w:t xml:space="preserve"> non-inferior safety and superior effectiveness.</w:t>
      </w:r>
      <w:r>
        <w:rPr>
          <w:color w:val="auto"/>
        </w:rPr>
        <w:t xml:space="preserve"> The ADAR also claimed that t</w:t>
      </w:r>
      <w:r w:rsidRPr="00965D14">
        <w:rPr>
          <w:color w:val="auto"/>
        </w:rPr>
        <w:t xml:space="preserve">he Group B intervention with the additional midpoint consultation (i.e. three consultations) showed greater improvements in most of the participant health outcomes from initial to follow-up compared to Group A (i.e. two consultations). </w:t>
      </w:r>
    </w:p>
    <w:p w14:paraId="249140CA" w14:textId="2DC892F0" w:rsidR="00965D14" w:rsidRPr="002E6226" w:rsidRDefault="00CE5660" w:rsidP="00C515CE">
      <w:pPr>
        <w:pStyle w:val="Instructionaltext"/>
        <w:rPr>
          <w:color w:val="auto"/>
        </w:rPr>
      </w:pPr>
      <w:r w:rsidRPr="002E6226">
        <w:rPr>
          <w:color w:val="auto"/>
        </w:rPr>
        <w:t xml:space="preserve">Based on the evidence presented, it is difficult to have confidence that these claims are </w:t>
      </w:r>
      <w:r w:rsidR="00EA5559" w:rsidRPr="002E6226">
        <w:rPr>
          <w:color w:val="auto"/>
        </w:rPr>
        <w:t xml:space="preserve">well </w:t>
      </w:r>
      <w:r w:rsidRPr="002E6226">
        <w:rPr>
          <w:color w:val="auto"/>
        </w:rPr>
        <w:t>supported.</w:t>
      </w:r>
      <w:r w:rsidR="007747A1" w:rsidRPr="002E6226">
        <w:rPr>
          <w:color w:val="auto"/>
        </w:rPr>
        <w:t xml:space="preserve"> </w:t>
      </w:r>
      <w:r w:rsidR="004954CA" w:rsidRPr="002E6226">
        <w:rPr>
          <w:color w:val="auto"/>
        </w:rPr>
        <w:t xml:space="preserve">The use of baseline measurements </w:t>
      </w:r>
      <w:r w:rsidR="00EA5559" w:rsidRPr="002E6226">
        <w:rPr>
          <w:color w:val="auto"/>
        </w:rPr>
        <w:t xml:space="preserve">to estimate the likely future outcome for </w:t>
      </w:r>
      <w:r w:rsidR="004954CA" w:rsidRPr="002E6226">
        <w:rPr>
          <w:color w:val="auto"/>
        </w:rPr>
        <w:t xml:space="preserve">‘treatment as usual’ </w:t>
      </w:r>
      <w:r w:rsidR="00EA5559" w:rsidRPr="002E6226">
        <w:rPr>
          <w:color w:val="auto"/>
        </w:rPr>
        <w:t>is</w:t>
      </w:r>
      <w:r w:rsidR="00C325A4" w:rsidRPr="002E6226">
        <w:rPr>
          <w:color w:val="auto"/>
        </w:rPr>
        <w:t xml:space="preserve"> also</w:t>
      </w:r>
      <w:r w:rsidR="00EA5559" w:rsidRPr="002E6226">
        <w:rPr>
          <w:color w:val="auto"/>
        </w:rPr>
        <w:t xml:space="preserve"> likely to be problematic in this setting </w:t>
      </w:r>
      <w:r w:rsidR="004954CA" w:rsidRPr="002E6226">
        <w:rPr>
          <w:color w:val="auto"/>
        </w:rPr>
        <w:t>and does not show how participants’ health status would have changed over time, without</w:t>
      </w:r>
      <w:r w:rsidR="00074876" w:rsidRPr="002E6226">
        <w:rPr>
          <w:color w:val="auto"/>
        </w:rPr>
        <w:t xml:space="preserve"> the CPMC</w:t>
      </w:r>
      <w:r w:rsidR="004954CA" w:rsidRPr="002E6226">
        <w:rPr>
          <w:color w:val="auto"/>
        </w:rPr>
        <w:t xml:space="preserve"> intervention. The</w:t>
      </w:r>
      <w:r w:rsidR="00FB63F8" w:rsidRPr="002E6226">
        <w:rPr>
          <w:color w:val="auto"/>
        </w:rPr>
        <w:t xml:space="preserve">re was </w:t>
      </w:r>
      <w:r w:rsidR="004954CA" w:rsidRPr="002E6226">
        <w:rPr>
          <w:color w:val="auto"/>
        </w:rPr>
        <w:t xml:space="preserve">large attrition in the trial and </w:t>
      </w:r>
      <w:r w:rsidR="00FB63F8" w:rsidRPr="002E6226">
        <w:rPr>
          <w:color w:val="auto"/>
        </w:rPr>
        <w:t xml:space="preserve">the </w:t>
      </w:r>
      <w:r w:rsidR="004954CA" w:rsidRPr="002E6226">
        <w:rPr>
          <w:color w:val="auto"/>
        </w:rPr>
        <w:t xml:space="preserve">analysis did not </w:t>
      </w:r>
      <w:r w:rsidR="00EA5559" w:rsidRPr="002E6226">
        <w:rPr>
          <w:color w:val="auto"/>
        </w:rPr>
        <w:t>explore</w:t>
      </w:r>
      <w:r w:rsidR="004954CA" w:rsidRPr="002E6226">
        <w:rPr>
          <w:color w:val="auto"/>
        </w:rPr>
        <w:t xml:space="preserve"> </w:t>
      </w:r>
      <w:r w:rsidR="00FB63F8" w:rsidRPr="002E6226">
        <w:rPr>
          <w:color w:val="auto"/>
        </w:rPr>
        <w:t xml:space="preserve">the potential bias that </w:t>
      </w:r>
      <w:r w:rsidR="00EA5559" w:rsidRPr="002E6226">
        <w:rPr>
          <w:color w:val="auto"/>
        </w:rPr>
        <w:t xml:space="preserve">this </w:t>
      </w:r>
      <w:r w:rsidR="00FB63F8" w:rsidRPr="002E6226">
        <w:rPr>
          <w:color w:val="auto"/>
        </w:rPr>
        <w:t>introduces</w:t>
      </w:r>
      <w:r w:rsidR="00E71077" w:rsidRPr="002E6226">
        <w:rPr>
          <w:color w:val="auto"/>
        </w:rPr>
        <w:t xml:space="preserve">, or present an </w:t>
      </w:r>
      <w:r w:rsidR="00A33020">
        <w:rPr>
          <w:color w:val="auto"/>
        </w:rPr>
        <w:t>intention to treat (</w:t>
      </w:r>
      <w:r w:rsidR="00E71077" w:rsidRPr="002E6226">
        <w:rPr>
          <w:color w:val="auto"/>
        </w:rPr>
        <w:t>ITT</w:t>
      </w:r>
      <w:r w:rsidR="00A33020">
        <w:rPr>
          <w:color w:val="auto"/>
        </w:rPr>
        <w:t>)</w:t>
      </w:r>
      <w:r w:rsidR="00E71077" w:rsidRPr="002E6226">
        <w:rPr>
          <w:color w:val="auto"/>
        </w:rPr>
        <w:t xml:space="preserve"> analysis imputing missing data</w:t>
      </w:r>
      <w:r w:rsidR="00FB63F8" w:rsidRPr="002E6226">
        <w:rPr>
          <w:color w:val="auto"/>
        </w:rPr>
        <w:t>.</w:t>
      </w:r>
      <w:r w:rsidRPr="002E6226">
        <w:rPr>
          <w:color w:val="auto"/>
        </w:rPr>
        <w:t xml:space="preserve"> </w:t>
      </w:r>
      <w:r w:rsidR="00E71077" w:rsidRPr="002E6226">
        <w:rPr>
          <w:color w:val="auto"/>
        </w:rPr>
        <w:t xml:space="preserve">Safety was not measured as part of the trial and with no usual care arm, evaluating the level of adverse events expected in usual care is difficult. </w:t>
      </w:r>
      <w:r w:rsidR="00C325A4" w:rsidRPr="002E6226">
        <w:rPr>
          <w:color w:val="auto"/>
        </w:rPr>
        <w:t>Overall, t</w:t>
      </w:r>
      <w:r w:rsidR="00EA5559" w:rsidRPr="002E6226">
        <w:rPr>
          <w:color w:val="auto"/>
        </w:rPr>
        <w:t>he impact of the service itself compared to usual care is highly uncertain.</w:t>
      </w:r>
    </w:p>
    <w:p w14:paraId="183D714A" w14:textId="47EF014E" w:rsidR="00AB31CE" w:rsidRPr="002E6226" w:rsidRDefault="001C59AA" w:rsidP="00C515CE">
      <w:pPr>
        <w:pStyle w:val="Instructionaltext"/>
        <w:rPr>
          <w:color w:val="auto"/>
        </w:rPr>
      </w:pPr>
      <w:r w:rsidRPr="002E6226">
        <w:rPr>
          <w:color w:val="auto"/>
        </w:rPr>
        <w:t xml:space="preserve">The evidence supporting the claim that the Group B intervention was superior is similarly uncertain. </w:t>
      </w:r>
      <w:r w:rsidR="0056545F" w:rsidRPr="002E6226">
        <w:rPr>
          <w:color w:val="auto"/>
        </w:rPr>
        <w:t>Due to low recruitment</w:t>
      </w:r>
      <w:r w:rsidR="00F76405" w:rsidRPr="002E6226">
        <w:rPr>
          <w:color w:val="auto"/>
        </w:rPr>
        <w:t xml:space="preserve"> and high attrition</w:t>
      </w:r>
      <w:r w:rsidR="0056545F" w:rsidRPr="002E6226">
        <w:rPr>
          <w:color w:val="auto"/>
        </w:rPr>
        <w:t xml:space="preserve">, </w:t>
      </w:r>
      <w:r w:rsidRPr="002E6226">
        <w:rPr>
          <w:color w:val="auto"/>
        </w:rPr>
        <w:t xml:space="preserve">Group B </w:t>
      </w:r>
      <w:r w:rsidR="0056545F" w:rsidRPr="002E6226">
        <w:rPr>
          <w:color w:val="auto"/>
        </w:rPr>
        <w:t>was not powered to detect differences in quality of life, self-management, pain severity and pain interference. The ADAR did not present the literature review or details of expert advice supporting the inclusion of the extra telephone consultation.</w:t>
      </w:r>
      <w:r w:rsidR="00E15045" w:rsidRPr="002E6226">
        <w:rPr>
          <w:color w:val="auto"/>
        </w:rPr>
        <w:t xml:space="preserve"> </w:t>
      </w:r>
      <w:bookmarkStart w:id="28" w:name="_Hlk102403469"/>
      <w:r w:rsidR="00E15045" w:rsidRPr="002E6226">
        <w:rPr>
          <w:color w:val="auto"/>
        </w:rPr>
        <w:t xml:space="preserve">The ADAR cited one study (Gammaitoni et al. 2000) on the use of telephone-based prescription and medication counselling services </w:t>
      </w:r>
      <w:r w:rsidR="00CE5D3C" w:rsidRPr="002E6226">
        <w:rPr>
          <w:color w:val="auto"/>
        </w:rPr>
        <w:t xml:space="preserve">delivered by palliative-care specialists, </w:t>
      </w:r>
      <w:r w:rsidR="00E15045" w:rsidRPr="002E6226">
        <w:rPr>
          <w:color w:val="auto"/>
        </w:rPr>
        <w:t xml:space="preserve">for treating chronic pain, which found </w:t>
      </w:r>
      <w:r w:rsidR="0056661D" w:rsidRPr="002E6226">
        <w:rPr>
          <w:color w:val="auto"/>
        </w:rPr>
        <w:t xml:space="preserve">significantly </w:t>
      </w:r>
      <w:r w:rsidR="00E15045" w:rsidRPr="002E6226">
        <w:rPr>
          <w:color w:val="auto"/>
        </w:rPr>
        <w:t>increased patient satisfaction and increase</w:t>
      </w:r>
      <w:r w:rsidR="0056661D" w:rsidRPr="002E6226">
        <w:rPr>
          <w:color w:val="auto"/>
        </w:rPr>
        <w:t>d</w:t>
      </w:r>
      <w:r w:rsidR="00E15045" w:rsidRPr="002E6226">
        <w:rPr>
          <w:color w:val="auto"/>
        </w:rPr>
        <w:t xml:space="preserve"> </w:t>
      </w:r>
      <w:r w:rsidR="0056661D" w:rsidRPr="002E6226">
        <w:rPr>
          <w:color w:val="auto"/>
        </w:rPr>
        <w:t>in</w:t>
      </w:r>
      <w:r w:rsidR="00E15045" w:rsidRPr="002E6226">
        <w:rPr>
          <w:color w:val="auto"/>
        </w:rPr>
        <w:t xml:space="preserve"> relief from medication</w:t>
      </w:r>
      <w:r w:rsidR="0056661D" w:rsidRPr="002E6226">
        <w:rPr>
          <w:color w:val="auto"/>
        </w:rPr>
        <w:t>, but no significant change in quality of life</w:t>
      </w:r>
      <w:r w:rsidR="00E15045" w:rsidRPr="002E6226">
        <w:rPr>
          <w:color w:val="auto"/>
        </w:rPr>
        <w:t>.</w:t>
      </w:r>
      <w:r w:rsidR="0056661D" w:rsidRPr="002E6226">
        <w:rPr>
          <w:color w:val="auto"/>
        </w:rPr>
        <w:t xml:space="preserve"> Gammaitoni’s intervention was completely via telephone, rather than the mixed delivery of the Group B CPMC intervention, and many of the patient satisfaction benefits may not apply.</w:t>
      </w:r>
      <w:bookmarkEnd w:id="28"/>
      <w:r w:rsidR="0056661D" w:rsidRPr="002E6226">
        <w:rPr>
          <w:color w:val="auto"/>
        </w:rPr>
        <w:t xml:space="preserve"> It </w:t>
      </w:r>
      <w:r w:rsidR="008D667C" w:rsidRPr="002E6226">
        <w:rPr>
          <w:color w:val="auto"/>
        </w:rPr>
        <w:t xml:space="preserve">is </w:t>
      </w:r>
      <w:r w:rsidR="0056661D" w:rsidRPr="002E6226">
        <w:rPr>
          <w:color w:val="auto"/>
        </w:rPr>
        <w:t xml:space="preserve">difficult to assess whether Group B’s greater </w:t>
      </w:r>
      <w:r w:rsidR="00F76405" w:rsidRPr="002E6226">
        <w:rPr>
          <w:color w:val="auto"/>
        </w:rPr>
        <w:t>difference</w:t>
      </w:r>
      <w:r w:rsidR="0056661D" w:rsidRPr="002E6226">
        <w:rPr>
          <w:color w:val="auto"/>
        </w:rPr>
        <w:t xml:space="preserve"> in </w:t>
      </w:r>
      <w:r w:rsidR="00F76405" w:rsidRPr="002E6226">
        <w:rPr>
          <w:color w:val="auto"/>
        </w:rPr>
        <w:t xml:space="preserve">mean </w:t>
      </w:r>
      <w:r w:rsidR="0056661D" w:rsidRPr="002E6226">
        <w:rPr>
          <w:color w:val="auto"/>
        </w:rPr>
        <w:t xml:space="preserve">health outcomes </w:t>
      </w:r>
      <w:r w:rsidR="00F76405" w:rsidRPr="002E6226">
        <w:rPr>
          <w:color w:val="auto"/>
        </w:rPr>
        <w:t xml:space="preserve">between baseline and </w:t>
      </w:r>
      <w:r w:rsidR="00DB50F9">
        <w:rPr>
          <w:color w:val="auto"/>
        </w:rPr>
        <w:t xml:space="preserve">follow-up </w:t>
      </w:r>
      <w:r w:rsidR="0056661D" w:rsidRPr="002E6226">
        <w:rPr>
          <w:color w:val="auto"/>
        </w:rPr>
        <w:t xml:space="preserve">can be attributed to the </w:t>
      </w:r>
      <w:bookmarkStart w:id="29" w:name="_Hlk102403431"/>
      <w:r w:rsidR="0056661D" w:rsidRPr="002E6226">
        <w:rPr>
          <w:color w:val="auto"/>
        </w:rPr>
        <w:t>extra 15-minute telephone consultation</w:t>
      </w:r>
      <w:bookmarkEnd w:id="29"/>
      <w:r w:rsidR="0056661D" w:rsidRPr="002E6226">
        <w:rPr>
          <w:color w:val="auto"/>
        </w:rPr>
        <w:t>.</w:t>
      </w:r>
    </w:p>
    <w:p w14:paraId="0D09C9E4" w14:textId="3BF08C07" w:rsidR="00772829" w:rsidRPr="00CE28E3" w:rsidRDefault="00772829" w:rsidP="00C7722F">
      <w:pPr>
        <w:pStyle w:val="Heading2"/>
        <w:numPr>
          <w:ilvl w:val="0"/>
          <w:numId w:val="18"/>
        </w:numPr>
        <w:ind w:hanging="720"/>
        <w:jc w:val="both"/>
      </w:pPr>
      <w:bookmarkStart w:id="30" w:name="_Toc69491425"/>
      <w:r w:rsidRPr="00CE28E3">
        <w:t>Economic evaluation</w:t>
      </w:r>
      <w:bookmarkEnd w:id="30"/>
    </w:p>
    <w:p w14:paraId="27B61AF2" w14:textId="551D4FBD" w:rsidR="00F77E3D" w:rsidRPr="002E6226" w:rsidRDefault="004954CA" w:rsidP="00C515CE">
      <w:pPr>
        <w:pStyle w:val="Instructionaltext"/>
        <w:rPr>
          <w:color w:val="auto"/>
        </w:rPr>
      </w:pPr>
      <w:r w:rsidRPr="004954CA">
        <w:rPr>
          <w:color w:val="auto"/>
        </w:rPr>
        <w:t>The ADAR economic evaluation comprises</w:t>
      </w:r>
      <w:r w:rsidR="00955AB2">
        <w:rPr>
          <w:color w:val="auto"/>
        </w:rPr>
        <w:t xml:space="preserve"> </w:t>
      </w:r>
      <w:r w:rsidR="00955AB2" w:rsidRPr="00955AB2">
        <w:rPr>
          <w:color w:val="auto"/>
        </w:rPr>
        <w:t xml:space="preserve">a cost-utility analysis (CUA) for </w:t>
      </w:r>
      <w:r w:rsidR="00955AB2">
        <w:rPr>
          <w:color w:val="auto"/>
        </w:rPr>
        <w:t xml:space="preserve">the </w:t>
      </w:r>
      <w:r w:rsidR="00955AB2" w:rsidRPr="00955AB2">
        <w:rPr>
          <w:color w:val="auto"/>
        </w:rPr>
        <w:t>primary outcome (QALYs) and a cost effectiveness analysis (CEA) for secondary outcomes</w:t>
      </w:r>
      <w:r w:rsidR="00AF2592">
        <w:rPr>
          <w:color w:val="auto"/>
        </w:rPr>
        <w:t xml:space="preserve"> (</w:t>
      </w:r>
      <w:r w:rsidR="008D667C" w:rsidRPr="00470EC6">
        <w:rPr>
          <w:color w:val="auto"/>
        </w:rPr>
        <w:fldChar w:fldCharType="begin"/>
      </w:r>
      <w:r w:rsidR="008D667C" w:rsidRPr="00470EC6">
        <w:rPr>
          <w:color w:val="auto"/>
        </w:rPr>
        <w:instrText xml:space="preserve"> REF _Ref69725820 \h </w:instrText>
      </w:r>
      <w:r w:rsidR="008D667C" w:rsidRPr="00470EC6">
        <w:rPr>
          <w:color w:val="auto"/>
        </w:rPr>
      </w:r>
      <w:r w:rsidR="008D667C" w:rsidRPr="00470EC6">
        <w:rPr>
          <w:color w:val="auto"/>
        </w:rPr>
        <w:fldChar w:fldCharType="separate"/>
      </w:r>
      <w:r w:rsidR="00656985" w:rsidRPr="00E6785A">
        <w:rPr>
          <w:color w:val="auto"/>
        </w:rPr>
        <w:t>Table </w:t>
      </w:r>
      <w:r w:rsidR="00656985" w:rsidRPr="00E6785A">
        <w:rPr>
          <w:noProof/>
          <w:color w:val="auto"/>
        </w:rPr>
        <w:t>9</w:t>
      </w:r>
      <w:r w:rsidR="008D667C" w:rsidRPr="00470EC6">
        <w:rPr>
          <w:color w:val="auto"/>
        </w:rPr>
        <w:fldChar w:fldCharType="end"/>
      </w:r>
      <w:r w:rsidR="00AF2592">
        <w:rPr>
          <w:color w:val="auto"/>
        </w:rPr>
        <w:t>)</w:t>
      </w:r>
      <w:r w:rsidRPr="004954CA">
        <w:rPr>
          <w:color w:val="auto"/>
        </w:rPr>
        <w:t>.</w:t>
      </w:r>
      <w:r w:rsidR="00955AB2">
        <w:rPr>
          <w:color w:val="auto"/>
        </w:rPr>
        <w:t xml:space="preserve"> </w:t>
      </w:r>
      <w:r w:rsidR="00F77E3D" w:rsidRPr="002E6226">
        <w:rPr>
          <w:color w:val="auto"/>
        </w:rPr>
        <w:t>The primary outcome analysis is the focus of the commentary</w:t>
      </w:r>
      <w:r w:rsidR="006209DF" w:rsidRPr="002E6226">
        <w:rPr>
          <w:color w:val="auto"/>
        </w:rPr>
        <w:t xml:space="preserve"> and most useful to consider </w:t>
      </w:r>
      <w:r w:rsidR="00666C62" w:rsidRPr="002E6226">
        <w:rPr>
          <w:color w:val="auto"/>
        </w:rPr>
        <w:t>for the funding decision</w:t>
      </w:r>
      <w:r w:rsidR="00F77E3D" w:rsidRPr="002E6226">
        <w:rPr>
          <w:color w:val="auto"/>
        </w:rPr>
        <w:t>.</w:t>
      </w:r>
    </w:p>
    <w:p w14:paraId="7FD877C8" w14:textId="44C77C0E" w:rsidR="004954CA" w:rsidRPr="004954CA" w:rsidRDefault="00955AB2" w:rsidP="00C515CE">
      <w:pPr>
        <w:pStyle w:val="Instructionaltext"/>
        <w:rPr>
          <w:color w:val="auto"/>
        </w:rPr>
      </w:pPr>
      <w:r>
        <w:rPr>
          <w:color w:val="auto"/>
        </w:rPr>
        <w:t xml:space="preserve">The ADAR </w:t>
      </w:r>
      <w:r w:rsidRPr="00955AB2">
        <w:rPr>
          <w:color w:val="auto"/>
        </w:rPr>
        <w:t>present</w:t>
      </w:r>
      <w:r>
        <w:rPr>
          <w:color w:val="auto"/>
        </w:rPr>
        <w:t>ed</w:t>
      </w:r>
      <w:r w:rsidRPr="00955AB2">
        <w:rPr>
          <w:color w:val="auto"/>
        </w:rPr>
        <w:t xml:space="preserve"> a modelled economic evaluation based on baseline versus follow-up results from the CPMC trial (i.e. pre vs post). Costs and outcomes at baseline were assumed to be </w:t>
      </w:r>
      <w:r w:rsidR="008D667C" w:rsidRPr="008C2079">
        <w:rPr>
          <w:color w:val="auto"/>
          <w:szCs w:val="20"/>
        </w:rPr>
        <w:t>Treatment-As-Usual (</w:t>
      </w:r>
      <w:r w:rsidRPr="00F418A8">
        <w:rPr>
          <w:color w:val="auto"/>
        </w:rPr>
        <w:t>TAU</w:t>
      </w:r>
      <w:r w:rsidR="008D667C">
        <w:rPr>
          <w:color w:val="auto"/>
        </w:rPr>
        <w:t>)</w:t>
      </w:r>
      <w:r w:rsidRPr="00955AB2">
        <w:rPr>
          <w:color w:val="auto"/>
        </w:rPr>
        <w:t xml:space="preserve">. Results of the 3-month </w:t>
      </w:r>
      <w:r w:rsidR="00DB50F9">
        <w:rPr>
          <w:color w:val="auto"/>
        </w:rPr>
        <w:t xml:space="preserve">follow-up </w:t>
      </w:r>
      <w:r w:rsidRPr="00955AB2">
        <w:rPr>
          <w:color w:val="auto"/>
        </w:rPr>
        <w:t>were used to determine whether the intervention was effective in providing benefits to trial participants.</w:t>
      </w:r>
    </w:p>
    <w:p w14:paraId="7832FEBA" w14:textId="74084E95" w:rsidR="00C107C3" w:rsidRPr="00552065" w:rsidRDefault="00C107C3" w:rsidP="0001555C">
      <w:pPr>
        <w:pStyle w:val="Caption"/>
        <w:tabs>
          <w:tab w:val="left" w:pos="1134"/>
        </w:tabs>
        <w:ind w:left="1134" w:hanging="1134"/>
        <w:jc w:val="both"/>
      </w:pPr>
      <w:bookmarkStart w:id="31" w:name="_Ref69725820"/>
      <w:r w:rsidRPr="00552065">
        <w:lastRenderedPageBreak/>
        <w:t>Table</w:t>
      </w:r>
      <w:r w:rsidR="004A4FDF" w:rsidRPr="00552065">
        <w:t> </w:t>
      </w:r>
      <w:r w:rsidRPr="00552065">
        <w:rPr>
          <w:noProof/>
        </w:rPr>
        <w:fldChar w:fldCharType="begin"/>
      </w:r>
      <w:r w:rsidRPr="00552065">
        <w:rPr>
          <w:noProof/>
        </w:rPr>
        <w:instrText xml:space="preserve"> SEQ Table \* ARABIC </w:instrText>
      </w:r>
      <w:r w:rsidRPr="00552065">
        <w:rPr>
          <w:noProof/>
        </w:rPr>
        <w:fldChar w:fldCharType="separate"/>
      </w:r>
      <w:r w:rsidR="00656985">
        <w:rPr>
          <w:noProof/>
        </w:rPr>
        <w:t>9</w:t>
      </w:r>
      <w:r w:rsidRPr="00552065">
        <w:rPr>
          <w:noProof/>
        </w:rPr>
        <w:fldChar w:fldCharType="end"/>
      </w:r>
      <w:bookmarkEnd w:id="31"/>
      <w:r w:rsidRPr="00552065">
        <w:tab/>
        <w:t xml:space="preserve">Summary of the economic evaluation </w:t>
      </w:r>
    </w:p>
    <w:tbl>
      <w:tblPr>
        <w:tblStyle w:val="TableGrid1"/>
        <w:tblW w:w="0" w:type="auto"/>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405"/>
        <w:gridCol w:w="6379"/>
      </w:tblGrid>
      <w:tr w:rsidR="00816549" w:rsidRPr="00CE28E3" w14:paraId="3C0DF1BD" w14:textId="2726922C" w:rsidTr="00127276">
        <w:trPr>
          <w:cnfStyle w:val="100000000000" w:firstRow="1" w:lastRow="0" w:firstColumn="0" w:lastColumn="0" w:oddVBand="0" w:evenVBand="0" w:oddHBand="0" w:evenHBand="0" w:firstRowFirstColumn="0" w:firstRowLastColumn="0" w:lastRowFirstColumn="0" w:lastRowLastColumn="0"/>
          <w:tblHeader/>
        </w:trPr>
        <w:tc>
          <w:tcPr>
            <w:tcW w:w="2405" w:type="dxa"/>
          </w:tcPr>
          <w:p w14:paraId="57632985" w14:textId="77777777" w:rsidR="00816549" w:rsidRPr="000449D1" w:rsidRDefault="00816549" w:rsidP="0001555C">
            <w:pPr>
              <w:pStyle w:val="TableHeading"/>
              <w:jc w:val="both"/>
            </w:pPr>
            <w:bookmarkStart w:id="32" w:name="Title_Table5"/>
            <w:bookmarkStart w:id="33" w:name="_Hlk68276446"/>
            <w:bookmarkEnd w:id="32"/>
            <w:r w:rsidRPr="000449D1">
              <w:t>Component</w:t>
            </w:r>
          </w:p>
        </w:tc>
        <w:tc>
          <w:tcPr>
            <w:tcW w:w="6379" w:type="dxa"/>
          </w:tcPr>
          <w:p w14:paraId="123CA837" w14:textId="77777777" w:rsidR="00816549" w:rsidRPr="000449D1" w:rsidRDefault="00816549" w:rsidP="0001555C">
            <w:pPr>
              <w:pStyle w:val="TableHeading"/>
              <w:jc w:val="both"/>
            </w:pPr>
            <w:r w:rsidRPr="000449D1">
              <w:t>Description</w:t>
            </w:r>
          </w:p>
        </w:tc>
      </w:tr>
      <w:tr w:rsidR="00816549" w:rsidRPr="000449D1" w14:paraId="31113E27" w14:textId="755DAA21" w:rsidTr="00127276">
        <w:tc>
          <w:tcPr>
            <w:tcW w:w="2405" w:type="dxa"/>
          </w:tcPr>
          <w:p w14:paraId="7DFFBC7E" w14:textId="77777777" w:rsidR="00816549" w:rsidRPr="000449D1" w:rsidRDefault="00816549" w:rsidP="0001555C">
            <w:pPr>
              <w:pStyle w:val="TableText"/>
              <w:keepNext/>
              <w:jc w:val="both"/>
            </w:pPr>
            <w:r w:rsidRPr="000449D1">
              <w:t>Perspective</w:t>
            </w:r>
          </w:p>
        </w:tc>
        <w:tc>
          <w:tcPr>
            <w:tcW w:w="6379" w:type="dxa"/>
          </w:tcPr>
          <w:p w14:paraId="56EF2FFF" w14:textId="79B76A09" w:rsidR="00816549" w:rsidRPr="000449D1" w:rsidRDefault="004F745C" w:rsidP="0001555C">
            <w:pPr>
              <w:pStyle w:val="TableText"/>
              <w:keepNext/>
              <w:jc w:val="both"/>
            </w:pPr>
            <w:r>
              <w:t>Healthcare system</w:t>
            </w:r>
            <w:r w:rsidR="00816549">
              <w:t xml:space="preserve"> </w:t>
            </w:r>
          </w:p>
        </w:tc>
      </w:tr>
      <w:tr w:rsidR="00816549" w:rsidRPr="000449D1" w14:paraId="3AE7C53E" w14:textId="3AF3CBC2" w:rsidTr="00127276">
        <w:trPr>
          <w:tblHeader/>
        </w:trPr>
        <w:tc>
          <w:tcPr>
            <w:tcW w:w="2405" w:type="dxa"/>
          </w:tcPr>
          <w:p w14:paraId="7D8A22F3" w14:textId="77777777" w:rsidR="00816549" w:rsidRPr="000449D1" w:rsidRDefault="00816549" w:rsidP="0001555C">
            <w:pPr>
              <w:pStyle w:val="TableText"/>
              <w:keepNext/>
              <w:jc w:val="both"/>
            </w:pPr>
            <w:r w:rsidRPr="000449D1">
              <w:t>Population</w:t>
            </w:r>
          </w:p>
        </w:tc>
        <w:tc>
          <w:tcPr>
            <w:tcW w:w="6379" w:type="dxa"/>
          </w:tcPr>
          <w:p w14:paraId="376BBABD" w14:textId="1AA7C275" w:rsidR="00816549" w:rsidRPr="00127276" w:rsidRDefault="00127276" w:rsidP="0001555C">
            <w:pPr>
              <w:pStyle w:val="TableText"/>
              <w:keepNext/>
              <w:jc w:val="both"/>
            </w:pPr>
            <w:r>
              <w:t>Adults with chronic pain (&gt;=3 months), taking medication for their pain</w:t>
            </w:r>
            <w:r w:rsidR="00074876">
              <w:t>, experiencing self-management or dependency issues,</w:t>
            </w:r>
            <w:r>
              <w:t xml:space="preserve"> and living at home in a community setting</w:t>
            </w:r>
          </w:p>
        </w:tc>
      </w:tr>
      <w:tr w:rsidR="00816549" w:rsidRPr="000449D1" w14:paraId="750830A5" w14:textId="33978BE8" w:rsidTr="00127276">
        <w:tc>
          <w:tcPr>
            <w:tcW w:w="2405" w:type="dxa"/>
          </w:tcPr>
          <w:p w14:paraId="59B80C68" w14:textId="77777777" w:rsidR="00816549" w:rsidRPr="000449D1" w:rsidRDefault="00816549" w:rsidP="0001555C">
            <w:pPr>
              <w:pStyle w:val="TableText"/>
              <w:keepNext/>
              <w:jc w:val="both"/>
            </w:pPr>
            <w:r w:rsidRPr="000449D1">
              <w:t>Comparator</w:t>
            </w:r>
          </w:p>
        </w:tc>
        <w:tc>
          <w:tcPr>
            <w:tcW w:w="6379" w:type="dxa"/>
          </w:tcPr>
          <w:p w14:paraId="04C0D717" w14:textId="39FC58D7" w:rsidR="00816549" w:rsidRPr="004F745C" w:rsidRDefault="004F745C" w:rsidP="0001555C">
            <w:pPr>
              <w:pStyle w:val="TableText"/>
              <w:keepNext/>
              <w:jc w:val="both"/>
              <w:rPr>
                <w:i/>
              </w:rPr>
            </w:pPr>
            <w:r w:rsidRPr="004F745C">
              <w:t>Treatment-As-Usual (TAU</w:t>
            </w:r>
            <w:r w:rsidRPr="00ED1823">
              <w:t>), baseline measurements</w:t>
            </w:r>
          </w:p>
        </w:tc>
      </w:tr>
      <w:tr w:rsidR="00816549" w:rsidRPr="000449D1" w14:paraId="352DFBB5" w14:textId="23E331A7" w:rsidTr="00127276">
        <w:tc>
          <w:tcPr>
            <w:tcW w:w="2405" w:type="dxa"/>
          </w:tcPr>
          <w:p w14:paraId="563F18FC" w14:textId="77777777" w:rsidR="00816549" w:rsidRPr="000449D1" w:rsidRDefault="00816549" w:rsidP="0001555C">
            <w:pPr>
              <w:pStyle w:val="TableText"/>
              <w:keepNext/>
              <w:jc w:val="both"/>
            </w:pPr>
            <w:r w:rsidRPr="000449D1">
              <w:t>Type(s) of analysis</w:t>
            </w:r>
          </w:p>
        </w:tc>
        <w:tc>
          <w:tcPr>
            <w:tcW w:w="6379" w:type="dxa"/>
          </w:tcPr>
          <w:p w14:paraId="4DAE5CE1" w14:textId="1774136B" w:rsidR="00816549" w:rsidRPr="000449D1" w:rsidRDefault="004F745C" w:rsidP="0001555C">
            <w:pPr>
              <w:pStyle w:val="TableText"/>
              <w:keepNext/>
              <w:jc w:val="both"/>
            </w:pPr>
            <w:r w:rsidRPr="004F745C">
              <w:t xml:space="preserve">Cost utility analysis and cost effectiveness analysis </w:t>
            </w:r>
          </w:p>
        </w:tc>
      </w:tr>
      <w:tr w:rsidR="00816549" w:rsidRPr="000449D1" w14:paraId="6CB6FA6B" w14:textId="0CFF196E" w:rsidTr="00127276">
        <w:tc>
          <w:tcPr>
            <w:tcW w:w="2405" w:type="dxa"/>
          </w:tcPr>
          <w:p w14:paraId="401E0BAC" w14:textId="77777777" w:rsidR="00816549" w:rsidRPr="000449D1" w:rsidRDefault="00816549" w:rsidP="0001555C">
            <w:pPr>
              <w:pStyle w:val="TableText"/>
              <w:keepNext/>
              <w:jc w:val="both"/>
            </w:pPr>
            <w:r w:rsidRPr="000449D1">
              <w:t>Outcomes</w:t>
            </w:r>
          </w:p>
        </w:tc>
        <w:tc>
          <w:tcPr>
            <w:tcW w:w="6379" w:type="dxa"/>
          </w:tcPr>
          <w:p w14:paraId="6A79E8EA" w14:textId="77777777" w:rsidR="0065714D" w:rsidRPr="0065714D" w:rsidRDefault="0065714D" w:rsidP="0001555C">
            <w:pPr>
              <w:pStyle w:val="TableText"/>
              <w:keepNext/>
              <w:jc w:val="both"/>
              <w:rPr>
                <w:b/>
              </w:rPr>
            </w:pPr>
            <w:r w:rsidRPr="0065714D">
              <w:rPr>
                <w:b/>
              </w:rPr>
              <w:t>Primary outcome:</w:t>
            </w:r>
          </w:p>
          <w:p w14:paraId="61E95C21" w14:textId="77777777" w:rsidR="0065714D" w:rsidRPr="0065714D" w:rsidRDefault="0065714D" w:rsidP="0001555C">
            <w:pPr>
              <w:pStyle w:val="TableText"/>
              <w:keepNext/>
              <w:jc w:val="both"/>
            </w:pPr>
            <w:r w:rsidRPr="0065714D">
              <w:t>Cost per QALY</w:t>
            </w:r>
          </w:p>
          <w:p w14:paraId="5080593F" w14:textId="77777777" w:rsidR="0065714D" w:rsidRPr="0065714D" w:rsidRDefault="0065714D" w:rsidP="0001555C">
            <w:pPr>
              <w:pStyle w:val="TableText"/>
              <w:keepNext/>
              <w:jc w:val="both"/>
              <w:rPr>
                <w:b/>
              </w:rPr>
            </w:pPr>
            <w:r w:rsidRPr="0065714D">
              <w:rPr>
                <w:b/>
              </w:rPr>
              <w:t>Secondary Outcomes:</w:t>
            </w:r>
          </w:p>
          <w:p w14:paraId="66EC9802" w14:textId="77777777" w:rsidR="0065714D" w:rsidRPr="0065714D" w:rsidRDefault="0065714D" w:rsidP="0001555C">
            <w:pPr>
              <w:pStyle w:val="TableText"/>
              <w:keepNext/>
              <w:jc w:val="both"/>
            </w:pPr>
            <w:r w:rsidRPr="0065714D">
              <w:t>Cost per unit reduction in pain interference measured using the BPI as part of the mini-ePPOC</w:t>
            </w:r>
          </w:p>
          <w:p w14:paraId="1D906191" w14:textId="77777777" w:rsidR="0065714D" w:rsidRPr="0065714D" w:rsidRDefault="0065714D" w:rsidP="0001555C">
            <w:pPr>
              <w:pStyle w:val="TableText"/>
              <w:keepNext/>
              <w:jc w:val="both"/>
            </w:pPr>
            <w:r w:rsidRPr="0065714D">
              <w:t>Cost per unit reduction in pain severity measured using the BPI as part of the mini-ePPOC</w:t>
            </w:r>
          </w:p>
          <w:p w14:paraId="46FBAD2D" w14:textId="77777777" w:rsidR="0065714D" w:rsidRPr="0065714D" w:rsidRDefault="0065714D" w:rsidP="0001555C">
            <w:pPr>
              <w:pStyle w:val="TableText"/>
              <w:keepNext/>
              <w:jc w:val="both"/>
            </w:pPr>
            <w:r w:rsidRPr="0065714D">
              <w:t>Cost per unit reduction in pain self-efficacy measured using the PSEQ-2 as part of the mini-ePPOC</w:t>
            </w:r>
          </w:p>
          <w:p w14:paraId="402F6559" w14:textId="77777777" w:rsidR="0065714D" w:rsidRPr="0065714D" w:rsidRDefault="0065714D" w:rsidP="0001555C">
            <w:pPr>
              <w:pStyle w:val="TableText"/>
              <w:keepNext/>
              <w:jc w:val="both"/>
            </w:pPr>
            <w:r w:rsidRPr="0065714D">
              <w:t>Cost per unit increase in self-management measured using the PIH</w:t>
            </w:r>
          </w:p>
          <w:p w14:paraId="754FE48A" w14:textId="77777777" w:rsidR="0065714D" w:rsidRPr="0065714D" w:rsidRDefault="0065714D" w:rsidP="0001555C">
            <w:pPr>
              <w:pStyle w:val="TableText"/>
              <w:keepNext/>
              <w:jc w:val="both"/>
            </w:pPr>
            <w:r w:rsidRPr="0065714D">
              <w:t>Cost per unit reduction in morphine equivalent units</w:t>
            </w:r>
          </w:p>
          <w:p w14:paraId="14FF80D7" w14:textId="77777777" w:rsidR="0065714D" w:rsidRPr="0065714D" w:rsidRDefault="0065714D" w:rsidP="0001555C">
            <w:pPr>
              <w:pStyle w:val="TableText"/>
              <w:keepNext/>
              <w:jc w:val="both"/>
            </w:pPr>
            <w:r w:rsidRPr="0065714D">
              <w:t>Cost per PBS script reduction</w:t>
            </w:r>
          </w:p>
          <w:p w14:paraId="5BB292CF" w14:textId="28FE7194" w:rsidR="00816549" w:rsidRPr="000449D1" w:rsidRDefault="0065714D" w:rsidP="0001555C">
            <w:pPr>
              <w:pStyle w:val="TableText"/>
              <w:keepNext/>
              <w:jc w:val="both"/>
            </w:pPr>
            <w:r w:rsidRPr="0065714D">
              <w:t>Cost per MBS service reduction</w:t>
            </w:r>
          </w:p>
        </w:tc>
      </w:tr>
      <w:tr w:rsidR="00816549" w:rsidRPr="000449D1" w14:paraId="643C0794" w14:textId="7BA4E085" w:rsidTr="00127276">
        <w:tc>
          <w:tcPr>
            <w:tcW w:w="2405" w:type="dxa"/>
          </w:tcPr>
          <w:p w14:paraId="42B1D84D" w14:textId="77777777" w:rsidR="00816549" w:rsidRPr="000449D1" w:rsidRDefault="00816549" w:rsidP="0001555C">
            <w:pPr>
              <w:pStyle w:val="TableText"/>
              <w:keepNext/>
              <w:jc w:val="both"/>
            </w:pPr>
            <w:r w:rsidRPr="000449D1">
              <w:t>Time horizon</w:t>
            </w:r>
          </w:p>
        </w:tc>
        <w:tc>
          <w:tcPr>
            <w:tcW w:w="6379" w:type="dxa"/>
          </w:tcPr>
          <w:p w14:paraId="3BC3DE82" w14:textId="1B7D47A3" w:rsidR="00816549" w:rsidRPr="000449D1" w:rsidRDefault="004F745C" w:rsidP="0001555C">
            <w:pPr>
              <w:pStyle w:val="TableText"/>
              <w:keepNext/>
              <w:jc w:val="both"/>
            </w:pPr>
            <w:r w:rsidRPr="004F745C">
              <w:t>Six months</w:t>
            </w:r>
          </w:p>
        </w:tc>
      </w:tr>
      <w:tr w:rsidR="00816549" w:rsidRPr="000449D1" w14:paraId="0949BCCC" w14:textId="4456977C" w:rsidTr="00127276">
        <w:tc>
          <w:tcPr>
            <w:tcW w:w="2405" w:type="dxa"/>
          </w:tcPr>
          <w:p w14:paraId="6DFB973F" w14:textId="77777777" w:rsidR="00816549" w:rsidRPr="000449D1" w:rsidRDefault="00816549" w:rsidP="0001555C">
            <w:pPr>
              <w:pStyle w:val="TableText"/>
              <w:keepNext/>
              <w:jc w:val="both"/>
            </w:pPr>
            <w:r w:rsidRPr="000449D1">
              <w:t>Computational method</w:t>
            </w:r>
          </w:p>
        </w:tc>
        <w:tc>
          <w:tcPr>
            <w:tcW w:w="6379" w:type="dxa"/>
          </w:tcPr>
          <w:p w14:paraId="67E64DF6" w14:textId="334E0363" w:rsidR="00816549" w:rsidRPr="000449D1" w:rsidRDefault="00127276" w:rsidP="0001555C">
            <w:pPr>
              <w:pStyle w:val="TableText"/>
              <w:keepNext/>
              <w:jc w:val="both"/>
            </w:pPr>
            <w:r w:rsidRPr="00127276">
              <w:t>Trial based. A quasi-experiment of pre vs post intervention</w:t>
            </w:r>
          </w:p>
        </w:tc>
      </w:tr>
      <w:tr w:rsidR="00816549" w:rsidRPr="000449D1" w14:paraId="780AB6C6" w14:textId="5D51678D" w:rsidTr="00127276">
        <w:tc>
          <w:tcPr>
            <w:tcW w:w="2405" w:type="dxa"/>
          </w:tcPr>
          <w:p w14:paraId="6CDC9D32" w14:textId="77777777" w:rsidR="00816549" w:rsidRPr="000449D1" w:rsidRDefault="00816549" w:rsidP="0001555C">
            <w:pPr>
              <w:pStyle w:val="TableText"/>
              <w:keepNext/>
              <w:jc w:val="both"/>
            </w:pPr>
            <w:r w:rsidRPr="000449D1">
              <w:t>Generation of the base case</w:t>
            </w:r>
          </w:p>
        </w:tc>
        <w:tc>
          <w:tcPr>
            <w:tcW w:w="6379" w:type="dxa"/>
          </w:tcPr>
          <w:p w14:paraId="6687851E" w14:textId="16E19CF2" w:rsidR="00816549" w:rsidRPr="000449D1" w:rsidRDefault="00127276" w:rsidP="0001555C">
            <w:pPr>
              <w:pStyle w:val="TableText"/>
              <w:keepNext/>
              <w:jc w:val="both"/>
            </w:pPr>
            <w:r>
              <w:t>Trial based</w:t>
            </w:r>
          </w:p>
        </w:tc>
      </w:tr>
      <w:tr w:rsidR="00816549" w:rsidRPr="000449D1" w14:paraId="0619B77B" w14:textId="65D0CC25" w:rsidTr="00127276">
        <w:tc>
          <w:tcPr>
            <w:tcW w:w="2405" w:type="dxa"/>
          </w:tcPr>
          <w:p w14:paraId="3B8D14D8" w14:textId="77777777" w:rsidR="00816549" w:rsidRPr="000449D1" w:rsidRDefault="00816549" w:rsidP="0001555C">
            <w:pPr>
              <w:pStyle w:val="TableText"/>
              <w:keepNext/>
              <w:jc w:val="both"/>
            </w:pPr>
            <w:r w:rsidRPr="000449D1">
              <w:t>Discount rate</w:t>
            </w:r>
          </w:p>
        </w:tc>
        <w:tc>
          <w:tcPr>
            <w:tcW w:w="6379" w:type="dxa"/>
          </w:tcPr>
          <w:p w14:paraId="2E657A83" w14:textId="5F96F857" w:rsidR="00816549" w:rsidRPr="000449D1" w:rsidRDefault="004F745C" w:rsidP="0001555C">
            <w:pPr>
              <w:pStyle w:val="TableText"/>
              <w:keepNext/>
              <w:jc w:val="both"/>
            </w:pPr>
            <w:r w:rsidRPr="004F745C">
              <w:t>Not applicable as the model duration is less than one year</w:t>
            </w:r>
          </w:p>
        </w:tc>
      </w:tr>
      <w:tr w:rsidR="00816549" w:rsidRPr="000449D1" w14:paraId="507E6356" w14:textId="7BFC4306" w:rsidTr="00127276">
        <w:tc>
          <w:tcPr>
            <w:tcW w:w="2405" w:type="dxa"/>
          </w:tcPr>
          <w:p w14:paraId="23A08C87" w14:textId="77777777" w:rsidR="00816549" w:rsidRPr="000449D1" w:rsidRDefault="00816549" w:rsidP="0001555C">
            <w:pPr>
              <w:pStyle w:val="TableText"/>
              <w:keepNext/>
              <w:jc w:val="both"/>
            </w:pPr>
            <w:r w:rsidRPr="000449D1">
              <w:t>Software</w:t>
            </w:r>
          </w:p>
        </w:tc>
        <w:tc>
          <w:tcPr>
            <w:tcW w:w="6379" w:type="dxa"/>
          </w:tcPr>
          <w:p w14:paraId="613BDC46" w14:textId="44C35B4E" w:rsidR="00816549" w:rsidRPr="000449D1" w:rsidRDefault="004F745C" w:rsidP="0001555C">
            <w:pPr>
              <w:pStyle w:val="TableText"/>
              <w:keepNext/>
              <w:jc w:val="both"/>
            </w:pPr>
            <w:r w:rsidRPr="004F745C">
              <w:t>Microsoft Excel 2016</w:t>
            </w:r>
          </w:p>
        </w:tc>
      </w:tr>
    </w:tbl>
    <w:bookmarkEnd w:id="33"/>
    <w:p w14:paraId="5106B2C0" w14:textId="77777777" w:rsidR="0038343B" w:rsidRPr="00127276" w:rsidRDefault="0038343B" w:rsidP="0038343B">
      <w:pPr>
        <w:pStyle w:val="Instructionaltext-afterfiguretable"/>
        <w:spacing w:before="0" w:after="0"/>
        <w:jc w:val="both"/>
        <w:rPr>
          <w:rFonts w:ascii="Arial Narrow" w:eastAsia="Times New Roman" w:hAnsi="Arial Narrow" w:cs="Arial"/>
          <w:snapToGrid w:val="0"/>
          <w:color w:val="auto"/>
          <w:sz w:val="18"/>
          <w:lang w:eastAsia="en-AU"/>
        </w:rPr>
      </w:pPr>
      <w:r>
        <w:rPr>
          <w:rFonts w:ascii="Arial Narrow" w:eastAsia="Times New Roman" w:hAnsi="Arial Narrow" w:cs="Arial"/>
          <w:snapToGrid w:val="0"/>
          <w:color w:val="auto"/>
          <w:sz w:val="18"/>
          <w:lang w:eastAsia="en-AU"/>
        </w:rPr>
        <w:t>Source: Table 85 of ADAR</w:t>
      </w:r>
    </w:p>
    <w:p w14:paraId="52D6A892" w14:textId="6DEE4E26" w:rsidR="00127276" w:rsidRDefault="00127276" w:rsidP="008C2079">
      <w:pPr>
        <w:pStyle w:val="Instructionaltext-afterfiguretable"/>
        <w:spacing w:before="0" w:after="0"/>
        <w:jc w:val="both"/>
        <w:rPr>
          <w:rFonts w:ascii="Arial Narrow" w:eastAsia="Times New Roman" w:hAnsi="Arial Narrow" w:cs="Arial"/>
          <w:snapToGrid w:val="0"/>
          <w:color w:val="auto"/>
          <w:sz w:val="18"/>
          <w:lang w:eastAsia="en-AU"/>
        </w:rPr>
      </w:pPr>
      <w:r w:rsidRPr="00127276">
        <w:rPr>
          <w:rFonts w:ascii="Arial Narrow" w:eastAsia="Times New Roman" w:hAnsi="Arial Narrow" w:cs="Arial"/>
          <w:snapToGrid w:val="0"/>
          <w:color w:val="auto"/>
          <w:sz w:val="18"/>
          <w:lang w:eastAsia="en-AU"/>
        </w:rPr>
        <w:t xml:space="preserve">Abbreviations: BPI: Brief pain inventory; MBS, Medicare </w:t>
      </w:r>
      <w:r w:rsidR="00A27899">
        <w:rPr>
          <w:rFonts w:ascii="Arial Narrow" w:eastAsia="Times New Roman" w:hAnsi="Arial Narrow" w:cs="Arial"/>
          <w:snapToGrid w:val="0"/>
          <w:color w:val="auto"/>
          <w:sz w:val="18"/>
          <w:lang w:eastAsia="en-AU"/>
        </w:rPr>
        <w:t>B</w:t>
      </w:r>
      <w:r w:rsidRPr="00127276">
        <w:rPr>
          <w:rFonts w:ascii="Arial Narrow" w:eastAsia="Times New Roman" w:hAnsi="Arial Narrow" w:cs="Arial"/>
          <w:snapToGrid w:val="0"/>
          <w:color w:val="auto"/>
          <w:sz w:val="18"/>
          <w:lang w:eastAsia="en-AU"/>
        </w:rPr>
        <w:t xml:space="preserve">enefits </w:t>
      </w:r>
      <w:r w:rsidR="00A27899">
        <w:rPr>
          <w:rFonts w:ascii="Arial Narrow" w:eastAsia="Times New Roman" w:hAnsi="Arial Narrow" w:cs="Arial"/>
          <w:snapToGrid w:val="0"/>
          <w:color w:val="auto"/>
          <w:sz w:val="18"/>
          <w:lang w:eastAsia="en-AU"/>
        </w:rPr>
        <w:t>S</w:t>
      </w:r>
      <w:r w:rsidRPr="00127276">
        <w:rPr>
          <w:rFonts w:ascii="Arial Narrow" w:eastAsia="Times New Roman" w:hAnsi="Arial Narrow" w:cs="Arial"/>
          <w:snapToGrid w:val="0"/>
          <w:color w:val="auto"/>
          <w:sz w:val="18"/>
          <w:lang w:eastAsia="en-AU"/>
        </w:rPr>
        <w:t xml:space="preserve">chedule; mini-ePPOC, The miniature electronic persistent pain outcomes collaboration questionnaire; QALY, Quality adjusted life years; PBS, Pharmaceutical </w:t>
      </w:r>
      <w:r w:rsidR="00A27899">
        <w:rPr>
          <w:rFonts w:ascii="Arial Narrow" w:eastAsia="Times New Roman" w:hAnsi="Arial Narrow" w:cs="Arial"/>
          <w:snapToGrid w:val="0"/>
          <w:color w:val="auto"/>
          <w:sz w:val="18"/>
          <w:lang w:eastAsia="en-AU"/>
        </w:rPr>
        <w:t>B</w:t>
      </w:r>
      <w:r w:rsidRPr="00127276">
        <w:rPr>
          <w:rFonts w:ascii="Arial Narrow" w:eastAsia="Times New Roman" w:hAnsi="Arial Narrow" w:cs="Arial"/>
          <w:snapToGrid w:val="0"/>
          <w:color w:val="auto"/>
          <w:sz w:val="18"/>
          <w:lang w:eastAsia="en-AU"/>
        </w:rPr>
        <w:t xml:space="preserve">enefits </w:t>
      </w:r>
      <w:r w:rsidR="00A27899">
        <w:rPr>
          <w:rFonts w:ascii="Arial Narrow" w:eastAsia="Times New Roman" w:hAnsi="Arial Narrow" w:cs="Arial"/>
          <w:snapToGrid w:val="0"/>
          <w:color w:val="auto"/>
          <w:sz w:val="18"/>
          <w:lang w:eastAsia="en-AU"/>
        </w:rPr>
        <w:t>S</w:t>
      </w:r>
      <w:r w:rsidRPr="00127276">
        <w:rPr>
          <w:rFonts w:ascii="Arial Narrow" w:eastAsia="Times New Roman" w:hAnsi="Arial Narrow" w:cs="Arial"/>
          <w:snapToGrid w:val="0"/>
          <w:color w:val="auto"/>
          <w:sz w:val="18"/>
          <w:lang w:eastAsia="en-AU"/>
        </w:rPr>
        <w:t xml:space="preserve">cheme; PIH, The Partners in </w:t>
      </w:r>
      <w:r w:rsidR="00A27899">
        <w:rPr>
          <w:rFonts w:ascii="Arial Narrow" w:eastAsia="Times New Roman" w:hAnsi="Arial Narrow" w:cs="Arial"/>
          <w:snapToGrid w:val="0"/>
          <w:color w:val="auto"/>
          <w:sz w:val="18"/>
          <w:lang w:eastAsia="en-AU"/>
        </w:rPr>
        <w:t>H</w:t>
      </w:r>
      <w:r w:rsidRPr="00127276">
        <w:rPr>
          <w:rFonts w:ascii="Arial Narrow" w:eastAsia="Times New Roman" w:hAnsi="Arial Narrow" w:cs="Arial"/>
          <w:snapToGrid w:val="0"/>
          <w:color w:val="auto"/>
          <w:sz w:val="18"/>
          <w:lang w:eastAsia="en-AU"/>
        </w:rPr>
        <w:t xml:space="preserve">ealth </w:t>
      </w:r>
      <w:r w:rsidR="00A27899">
        <w:rPr>
          <w:rFonts w:ascii="Arial Narrow" w:eastAsia="Times New Roman" w:hAnsi="Arial Narrow" w:cs="Arial"/>
          <w:snapToGrid w:val="0"/>
          <w:color w:val="auto"/>
          <w:sz w:val="18"/>
          <w:lang w:eastAsia="en-AU"/>
        </w:rPr>
        <w:t>S</w:t>
      </w:r>
      <w:r w:rsidRPr="00127276">
        <w:rPr>
          <w:rFonts w:ascii="Arial Narrow" w:eastAsia="Times New Roman" w:hAnsi="Arial Narrow" w:cs="Arial"/>
          <w:snapToGrid w:val="0"/>
          <w:color w:val="auto"/>
          <w:sz w:val="18"/>
          <w:lang w:eastAsia="en-AU"/>
        </w:rPr>
        <w:t xml:space="preserve">cale; PSEQ-2, Pain self-efficacy questionnaire; TAU, treatment as usual </w:t>
      </w:r>
    </w:p>
    <w:p w14:paraId="2D9BD3B7" w14:textId="74FE2FF8" w:rsidR="00666C62" w:rsidRDefault="00AF2592" w:rsidP="00C515CE">
      <w:pPr>
        <w:pStyle w:val="Instructionaltext"/>
        <w:rPr>
          <w:iCs/>
          <w:color w:val="auto"/>
        </w:rPr>
      </w:pPr>
      <w:bookmarkStart w:id="34" w:name="_Ref88809135"/>
      <w:r w:rsidRPr="00AF2592">
        <w:rPr>
          <w:color w:val="auto"/>
        </w:rPr>
        <w:t xml:space="preserve">The inputs to the economic evaluation are </w:t>
      </w:r>
      <w:r w:rsidR="00666C62">
        <w:rPr>
          <w:color w:val="auto"/>
        </w:rPr>
        <w:t>the difference</w:t>
      </w:r>
      <w:r w:rsidR="00C325A4">
        <w:rPr>
          <w:color w:val="auto"/>
        </w:rPr>
        <w:t xml:space="preserve"> in</w:t>
      </w:r>
      <w:r w:rsidR="00666C62">
        <w:rPr>
          <w:color w:val="auto"/>
        </w:rPr>
        <w:t xml:space="preserve"> </w:t>
      </w:r>
      <w:r w:rsidRPr="00AF2592">
        <w:rPr>
          <w:color w:val="auto"/>
        </w:rPr>
        <w:t>costs and outcomes</w:t>
      </w:r>
      <w:r w:rsidR="00666C62">
        <w:rPr>
          <w:color w:val="auto"/>
        </w:rPr>
        <w:t xml:space="preserve"> for each group compared to treatment as usual</w:t>
      </w:r>
      <w:r w:rsidRPr="00AF2592">
        <w:rPr>
          <w:color w:val="auto"/>
        </w:rPr>
        <w:t xml:space="preserve">. </w:t>
      </w:r>
      <w:r w:rsidRPr="00A73EB1">
        <w:rPr>
          <w:iCs/>
          <w:color w:val="auto"/>
        </w:rPr>
        <w:t xml:space="preserve">Usage </w:t>
      </w:r>
      <w:r w:rsidR="0050643C">
        <w:rPr>
          <w:iCs/>
          <w:color w:val="auto"/>
        </w:rPr>
        <w:t>pre</w:t>
      </w:r>
      <w:r w:rsidR="0050643C" w:rsidRPr="00A73EB1">
        <w:rPr>
          <w:iCs/>
          <w:color w:val="auto"/>
        </w:rPr>
        <w:t>-baseline</w:t>
      </w:r>
      <w:r w:rsidRPr="00A73EB1">
        <w:rPr>
          <w:iCs/>
          <w:color w:val="auto"/>
        </w:rPr>
        <w:t xml:space="preserve"> was assumed to be TAU, while usage </w:t>
      </w:r>
      <w:r w:rsidR="00666C62">
        <w:rPr>
          <w:iCs/>
          <w:color w:val="auto"/>
        </w:rPr>
        <w:t>in the</w:t>
      </w:r>
      <w:r w:rsidR="00666C62" w:rsidRPr="00A73EB1">
        <w:rPr>
          <w:iCs/>
          <w:color w:val="auto"/>
        </w:rPr>
        <w:t xml:space="preserve"> </w:t>
      </w:r>
      <w:r w:rsidRPr="00A73EB1">
        <w:rPr>
          <w:iCs/>
          <w:color w:val="auto"/>
        </w:rPr>
        <w:t xml:space="preserve">three months </w:t>
      </w:r>
      <w:r w:rsidR="00666C62">
        <w:rPr>
          <w:iCs/>
          <w:color w:val="auto"/>
        </w:rPr>
        <w:t xml:space="preserve">after </w:t>
      </w:r>
      <w:r w:rsidRPr="00A73EB1">
        <w:rPr>
          <w:iCs/>
          <w:color w:val="auto"/>
        </w:rPr>
        <w:t xml:space="preserve">was expected to have changed </w:t>
      </w:r>
      <w:r w:rsidR="00666C62">
        <w:rPr>
          <w:iCs/>
          <w:color w:val="auto"/>
        </w:rPr>
        <w:t xml:space="preserve">solely </w:t>
      </w:r>
      <w:r w:rsidRPr="00A73EB1">
        <w:rPr>
          <w:iCs/>
          <w:color w:val="auto"/>
        </w:rPr>
        <w:t>due to the pharmacist-led intervention</w:t>
      </w:r>
      <w:r w:rsidR="008B7438" w:rsidRPr="00A73EB1">
        <w:rPr>
          <w:iCs/>
          <w:color w:val="auto"/>
        </w:rPr>
        <w:t xml:space="preserve"> (Table </w:t>
      </w:r>
      <w:r w:rsidR="003E710D">
        <w:rPr>
          <w:iCs/>
          <w:color w:val="auto"/>
        </w:rPr>
        <w:t>10</w:t>
      </w:r>
      <w:r w:rsidR="008B7438" w:rsidRPr="00A73EB1">
        <w:rPr>
          <w:iCs/>
          <w:color w:val="auto"/>
        </w:rPr>
        <w:t>)</w:t>
      </w:r>
      <w:r w:rsidRPr="00A73EB1">
        <w:rPr>
          <w:iCs/>
          <w:color w:val="auto"/>
        </w:rPr>
        <w:t>.</w:t>
      </w:r>
      <w:r w:rsidR="004765A6" w:rsidRPr="00A73EB1">
        <w:rPr>
          <w:iCs/>
          <w:color w:val="auto"/>
        </w:rPr>
        <w:t xml:space="preserve"> </w:t>
      </w:r>
    </w:p>
    <w:p w14:paraId="3570901A" w14:textId="6A38F99E" w:rsidR="00602EA9" w:rsidRPr="002E6226" w:rsidRDefault="004765A6" w:rsidP="00C515CE">
      <w:pPr>
        <w:pStyle w:val="Instructionaltext"/>
        <w:rPr>
          <w:iCs/>
          <w:color w:val="auto"/>
        </w:rPr>
      </w:pPr>
      <w:r w:rsidRPr="002E6226">
        <w:rPr>
          <w:iCs/>
          <w:color w:val="auto"/>
        </w:rPr>
        <w:t xml:space="preserve">There is a high degree of uncertainty around both of these assumptions. </w:t>
      </w:r>
      <w:r w:rsidR="004916C6" w:rsidRPr="002E6226">
        <w:rPr>
          <w:iCs/>
          <w:color w:val="auto"/>
        </w:rPr>
        <w:t xml:space="preserve">For example, there was low confidence in the estimated clinical benefits in the economic model due to the </w:t>
      </w:r>
      <w:r w:rsidR="00F76405" w:rsidRPr="002E6226">
        <w:rPr>
          <w:iCs/>
          <w:color w:val="auto"/>
        </w:rPr>
        <w:t xml:space="preserve">study design (lack of usual care group) and attrition </w:t>
      </w:r>
      <w:r w:rsidR="004916C6" w:rsidRPr="002E6226">
        <w:rPr>
          <w:iCs/>
          <w:color w:val="auto"/>
        </w:rPr>
        <w:t>reasons outlined in the assessment of clinical evidence.</w:t>
      </w:r>
    </w:p>
    <w:p w14:paraId="6891FF38" w14:textId="2F151142" w:rsidR="00602EA9" w:rsidRPr="002E6226" w:rsidRDefault="00602EA9" w:rsidP="00C515CE">
      <w:pPr>
        <w:pStyle w:val="Instructionaltext"/>
        <w:rPr>
          <w:iCs/>
          <w:color w:val="auto"/>
        </w:rPr>
      </w:pPr>
      <w:r w:rsidRPr="002E6226">
        <w:rPr>
          <w:iCs/>
          <w:color w:val="auto"/>
        </w:rPr>
        <w:t>There is also a large degree of uncertainty around the costs and outcomes</w:t>
      </w:r>
      <w:r w:rsidR="00666C62" w:rsidRPr="002E6226">
        <w:rPr>
          <w:iCs/>
          <w:color w:val="auto"/>
        </w:rPr>
        <w:t xml:space="preserve"> due to the following reasons</w:t>
      </w:r>
      <w:r w:rsidRPr="002E6226">
        <w:rPr>
          <w:iCs/>
          <w:color w:val="auto"/>
        </w:rPr>
        <w:t>:</w:t>
      </w:r>
    </w:p>
    <w:p w14:paraId="5E20ECF1" w14:textId="26CD1F4E" w:rsidR="003438A6" w:rsidRPr="002E6226" w:rsidRDefault="003438A6" w:rsidP="00C7722F">
      <w:pPr>
        <w:pStyle w:val="Instructionaltext"/>
        <w:numPr>
          <w:ilvl w:val="0"/>
          <w:numId w:val="14"/>
        </w:numPr>
        <w:rPr>
          <w:iCs/>
          <w:color w:val="auto"/>
        </w:rPr>
      </w:pPr>
      <w:r w:rsidRPr="002E6226">
        <w:rPr>
          <w:iCs/>
          <w:color w:val="auto"/>
        </w:rPr>
        <w:t xml:space="preserve">Quality of life was measured using AQoL-4D, and only included as an outcome in the evaluation groups. The economic evaluation has generalised the results of the evaluation groups to the entire cohort. Both Group A evaluation and Group B evaluation appear to have similar gender balance compared to the overall Group A and B, but are more </w:t>
      </w:r>
      <w:r w:rsidR="000C4AA5" w:rsidRPr="002E6226">
        <w:rPr>
          <w:iCs/>
          <w:color w:val="auto"/>
        </w:rPr>
        <w:t xml:space="preserve">likely to live in a </w:t>
      </w:r>
      <w:r w:rsidRPr="002E6226">
        <w:rPr>
          <w:iCs/>
          <w:color w:val="auto"/>
        </w:rPr>
        <w:t xml:space="preserve">metropolitan </w:t>
      </w:r>
      <w:r w:rsidR="000C4AA5" w:rsidRPr="002E6226">
        <w:rPr>
          <w:iCs/>
          <w:color w:val="auto"/>
        </w:rPr>
        <w:t xml:space="preserve">location </w:t>
      </w:r>
      <w:r w:rsidRPr="002E6226">
        <w:rPr>
          <w:iCs/>
          <w:color w:val="auto"/>
        </w:rPr>
        <w:t xml:space="preserve">and experience more socioeconomic disadvantage. </w:t>
      </w:r>
    </w:p>
    <w:p w14:paraId="61795A16" w14:textId="2636C54F" w:rsidR="003438A6" w:rsidRPr="002E6226" w:rsidRDefault="003438A6" w:rsidP="00C7722F">
      <w:pPr>
        <w:pStyle w:val="Instructionaltext"/>
        <w:numPr>
          <w:ilvl w:val="0"/>
          <w:numId w:val="14"/>
        </w:numPr>
        <w:rPr>
          <w:iCs/>
          <w:color w:val="auto"/>
        </w:rPr>
      </w:pPr>
      <w:r w:rsidRPr="002E6226">
        <w:rPr>
          <w:iCs/>
          <w:color w:val="auto"/>
        </w:rPr>
        <w:t>Consis</w:t>
      </w:r>
      <w:r w:rsidR="00E41896" w:rsidRPr="002E6226">
        <w:rPr>
          <w:iCs/>
          <w:color w:val="auto"/>
        </w:rPr>
        <w:t>tent with other outcomes, t</w:t>
      </w:r>
      <w:r w:rsidRPr="002E6226">
        <w:rPr>
          <w:iCs/>
          <w:color w:val="auto"/>
        </w:rPr>
        <w:t xml:space="preserve">here was large attrition </w:t>
      </w:r>
      <w:r w:rsidR="00E41896" w:rsidRPr="002E6226">
        <w:rPr>
          <w:iCs/>
          <w:color w:val="auto"/>
        </w:rPr>
        <w:t xml:space="preserve">in </w:t>
      </w:r>
      <w:r w:rsidR="00DB50F9">
        <w:rPr>
          <w:iCs/>
          <w:color w:val="auto"/>
        </w:rPr>
        <w:t xml:space="preserve">follow-up </w:t>
      </w:r>
      <w:r w:rsidR="00E41896" w:rsidRPr="002E6226">
        <w:rPr>
          <w:iCs/>
          <w:color w:val="auto"/>
        </w:rPr>
        <w:t>for quality of life</w:t>
      </w:r>
      <w:r w:rsidRPr="002E6226">
        <w:rPr>
          <w:iCs/>
          <w:color w:val="auto"/>
        </w:rPr>
        <w:t xml:space="preserve"> (50% in Group A and 58% in Group B)</w:t>
      </w:r>
      <w:r w:rsidR="004916C6" w:rsidRPr="002E6226">
        <w:rPr>
          <w:iCs/>
          <w:color w:val="auto"/>
        </w:rPr>
        <w:t xml:space="preserve">. </w:t>
      </w:r>
      <w:r w:rsidRPr="002E6226">
        <w:rPr>
          <w:iCs/>
          <w:color w:val="auto"/>
        </w:rPr>
        <w:t xml:space="preserve"> The participants who returned the AQoL-4D questionnaire had different characteristics to the participants who provided the baseline AQoL-4D. For example, participants who provided responses were generally older than </w:t>
      </w:r>
      <w:r w:rsidRPr="002E6226">
        <w:rPr>
          <w:iCs/>
          <w:color w:val="auto"/>
        </w:rPr>
        <w:lastRenderedPageBreak/>
        <w:t>the baseline participants (72.7% vs 44.6% for Group A and 65.8% vs 40.18% for Group B were aged 65 years or older).</w:t>
      </w:r>
    </w:p>
    <w:p w14:paraId="12D324FF" w14:textId="782CE27A" w:rsidR="00E41896" w:rsidRPr="002E6226" w:rsidRDefault="00E41896" w:rsidP="00C7722F">
      <w:pPr>
        <w:pStyle w:val="Instructionaltext"/>
        <w:numPr>
          <w:ilvl w:val="0"/>
          <w:numId w:val="14"/>
        </w:numPr>
        <w:rPr>
          <w:iCs/>
          <w:color w:val="auto"/>
        </w:rPr>
      </w:pPr>
      <w:r w:rsidRPr="002E6226">
        <w:rPr>
          <w:iCs/>
          <w:color w:val="auto"/>
        </w:rPr>
        <w:t xml:space="preserve">The utility gain (quality of life) appears to be calculated using the change in mean </w:t>
      </w:r>
      <w:r w:rsidR="00F76405" w:rsidRPr="002E6226">
        <w:rPr>
          <w:iCs/>
          <w:color w:val="auto"/>
        </w:rPr>
        <w:t xml:space="preserve">score </w:t>
      </w:r>
      <w:r w:rsidRPr="002E6226">
        <w:rPr>
          <w:iCs/>
          <w:color w:val="auto"/>
        </w:rPr>
        <w:t>from baseline to follow-up, without any adjustment</w:t>
      </w:r>
      <w:r w:rsidR="00F76405" w:rsidRPr="002E6226">
        <w:rPr>
          <w:iCs/>
          <w:color w:val="auto"/>
        </w:rPr>
        <w:t xml:space="preserve"> for the time spent in different health states or</w:t>
      </w:r>
      <w:r w:rsidRPr="002E6226">
        <w:rPr>
          <w:iCs/>
          <w:color w:val="auto"/>
        </w:rPr>
        <w:t xml:space="preserve"> account</w:t>
      </w:r>
      <w:r w:rsidR="00F76405" w:rsidRPr="002E6226">
        <w:rPr>
          <w:iCs/>
          <w:color w:val="auto"/>
        </w:rPr>
        <w:t>ing</w:t>
      </w:r>
      <w:r w:rsidRPr="002E6226">
        <w:rPr>
          <w:iCs/>
          <w:color w:val="auto"/>
        </w:rPr>
        <w:t xml:space="preserve"> for the large loss in follow up. In the </w:t>
      </w:r>
      <w:r w:rsidR="008D667C" w:rsidRPr="002E6226">
        <w:rPr>
          <w:iCs/>
          <w:color w:val="auto"/>
        </w:rPr>
        <w:t>quality adjusted life year (</w:t>
      </w:r>
      <w:r w:rsidRPr="002E6226">
        <w:rPr>
          <w:iCs/>
          <w:color w:val="auto"/>
        </w:rPr>
        <w:t>QALY</w:t>
      </w:r>
      <w:r w:rsidR="008D667C" w:rsidRPr="002E6226">
        <w:rPr>
          <w:iCs/>
          <w:color w:val="auto"/>
        </w:rPr>
        <w:t>)</w:t>
      </w:r>
      <w:r w:rsidRPr="002E6226">
        <w:rPr>
          <w:iCs/>
          <w:color w:val="auto"/>
        </w:rPr>
        <w:t xml:space="preserve"> calculation, the ADAR </w:t>
      </w:r>
      <w:bookmarkStart w:id="35" w:name="_Hlk102403815"/>
      <w:r w:rsidR="00F76405" w:rsidRPr="002E6226">
        <w:rPr>
          <w:iCs/>
          <w:color w:val="auto"/>
        </w:rPr>
        <w:t xml:space="preserve">implicitly </w:t>
      </w:r>
      <w:r w:rsidR="003D665E" w:rsidRPr="002E6226">
        <w:rPr>
          <w:iCs/>
          <w:color w:val="auto"/>
        </w:rPr>
        <w:t>assume</w:t>
      </w:r>
      <w:r w:rsidR="00F76405" w:rsidRPr="002E6226">
        <w:rPr>
          <w:iCs/>
          <w:color w:val="auto"/>
        </w:rPr>
        <w:t>s</w:t>
      </w:r>
      <w:r w:rsidR="003D665E" w:rsidRPr="002E6226">
        <w:rPr>
          <w:iCs/>
          <w:color w:val="auto"/>
        </w:rPr>
        <w:t xml:space="preserve"> </w:t>
      </w:r>
      <w:r w:rsidR="00F76405" w:rsidRPr="002E6226">
        <w:rPr>
          <w:iCs/>
          <w:color w:val="auto"/>
        </w:rPr>
        <w:t xml:space="preserve">that the </w:t>
      </w:r>
      <w:r w:rsidR="003D665E" w:rsidRPr="002E6226">
        <w:rPr>
          <w:iCs/>
          <w:color w:val="auto"/>
        </w:rPr>
        <w:t xml:space="preserve">utility </w:t>
      </w:r>
      <w:r w:rsidR="00F76405" w:rsidRPr="002E6226">
        <w:rPr>
          <w:iCs/>
          <w:color w:val="auto"/>
        </w:rPr>
        <w:t xml:space="preserve">change from baseline to </w:t>
      </w:r>
      <w:r w:rsidR="003D665E" w:rsidRPr="002E6226">
        <w:rPr>
          <w:iCs/>
          <w:color w:val="auto"/>
        </w:rPr>
        <w:t xml:space="preserve">3-month </w:t>
      </w:r>
      <w:r w:rsidR="00DB50F9">
        <w:rPr>
          <w:iCs/>
          <w:color w:val="auto"/>
        </w:rPr>
        <w:t xml:space="preserve">follow-up </w:t>
      </w:r>
      <w:r w:rsidR="00F76405" w:rsidRPr="002E6226">
        <w:rPr>
          <w:iCs/>
          <w:color w:val="auto"/>
        </w:rPr>
        <w:t xml:space="preserve">would last from day 1 post baseline for a whole year (even past </w:t>
      </w:r>
      <w:r w:rsidR="003D665E" w:rsidRPr="002E6226">
        <w:rPr>
          <w:iCs/>
          <w:color w:val="auto"/>
        </w:rPr>
        <w:t>their six-month time horizon</w:t>
      </w:r>
      <w:r w:rsidR="00F76405" w:rsidRPr="002E6226">
        <w:rPr>
          <w:iCs/>
          <w:color w:val="auto"/>
        </w:rPr>
        <w:t>)</w:t>
      </w:r>
      <w:bookmarkEnd w:id="35"/>
      <w:r w:rsidRPr="002E6226">
        <w:rPr>
          <w:iCs/>
          <w:color w:val="auto"/>
        </w:rPr>
        <w:t>.</w:t>
      </w:r>
    </w:p>
    <w:p w14:paraId="011E0D5F" w14:textId="7CC32ACF" w:rsidR="00E827EE" w:rsidRPr="002E6226" w:rsidRDefault="00E827EE" w:rsidP="00C7722F">
      <w:pPr>
        <w:pStyle w:val="Instructionaltext"/>
        <w:numPr>
          <w:ilvl w:val="0"/>
          <w:numId w:val="14"/>
        </w:numPr>
        <w:rPr>
          <w:iCs/>
          <w:color w:val="auto"/>
        </w:rPr>
      </w:pPr>
      <w:bookmarkStart w:id="36" w:name="_Hlk102403966"/>
      <w:r w:rsidRPr="002E6226">
        <w:rPr>
          <w:iCs/>
          <w:color w:val="auto"/>
        </w:rPr>
        <w:t xml:space="preserve">The cost of the interventions assumes that all individuals attend all follow-up visits. </w:t>
      </w:r>
      <w:r w:rsidR="00930ACF" w:rsidRPr="002E6226">
        <w:rPr>
          <w:iCs/>
          <w:color w:val="auto"/>
        </w:rPr>
        <w:t xml:space="preserve">This overestimates the cost per patient recruited but it also needs to be balanced with whether those who do not complete follow-up would actually receive the same benefits as those followed up. </w:t>
      </w:r>
      <w:r w:rsidRPr="002E6226">
        <w:rPr>
          <w:iCs/>
          <w:color w:val="auto"/>
        </w:rPr>
        <w:t>Based on the trial results this is highly unlikely.</w:t>
      </w:r>
    </w:p>
    <w:p w14:paraId="3FCA8D0F" w14:textId="5C0F7105" w:rsidR="003561FB" w:rsidRPr="002E6226" w:rsidRDefault="003561FB" w:rsidP="00C7722F">
      <w:pPr>
        <w:pStyle w:val="Instructionaltext"/>
        <w:numPr>
          <w:ilvl w:val="0"/>
          <w:numId w:val="14"/>
        </w:numPr>
        <w:rPr>
          <w:iCs/>
          <w:color w:val="auto"/>
        </w:rPr>
      </w:pPr>
      <w:r w:rsidRPr="002E6226">
        <w:rPr>
          <w:iCs/>
          <w:color w:val="auto"/>
        </w:rPr>
        <w:t>The hospitalisation</w:t>
      </w:r>
      <w:r w:rsidR="00C52AEF" w:rsidRPr="002E6226">
        <w:rPr>
          <w:iCs/>
          <w:color w:val="auto"/>
        </w:rPr>
        <w:t xml:space="preserve"> and ED presentation</w:t>
      </w:r>
      <w:r w:rsidRPr="002E6226">
        <w:rPr>
          <w:iCs/>
          <w:color w:val="auto"/>
        </w:rPr>
        <w:t xml:space="preserve"> costs were inflated from 2017-18 from the Independent Hospital Pricing Authority. The derived cost per acute hospitalisation was $4,864.14. This was an underestimate; in the most recent update from the Independent Hospital Pricing Authority, for 2019</w:t>
      </w:r>
      <w:r w:rsidR="00C52AEF" w:rsidRPr="002E6226">
        <w:rPr>
          <w:iCs/>
          <w:color w:val="auto"/>
        </w:rPr>
        <w:t>-20</w:t>
      </w:r>
      <w:r w:rsidRPr="002E6226">
        <w:rPr>
          <w:iCs/>
          <w:color w:val="auto"/>
        </w:rPr>
        <w:t>, the average cost per acute hospitalisation was $5</w:t>
      </w:r>
      <w:r w:rsidR="00C52AEF" w:rsidRPr="002E6226">
        <w:rPr>
          <w:iCs/>
          <w:color w:val="auto"/>
        </w:rPr>
        <w:t>,335</w:t>
      </w:r>
      <w:r w:rsidRPr="002E6226">
        <w:rPr>
          <w:iCs/>
          <w:color w:val="auto"/>
        </w:rPr>
        <w:t xml:space="preserve">. The derived cost per ED presentation, $732, was </w:t>
      </w:r>
      <w:r w:rsidR="00C52AEF" w:rsidRPr="002E6226">
        <w:rPr>
          <w:iCs/>
          <w:color w:val="auto"/>
        </w:rPr>
        <w:t>also a slight underestimate, compared to the 2019-20 average cost of $775</w:t>
      </w:r>
      <w:r w:rsidRPr="002E6226">
        <w:rPr>
          <w:iCs/>
          <w:color w:val="auto"/>
        </w:rPr>
        <w:t>.</w:t>
      </w:r>
    </w:p>
    <w:p w14:paraId="1AFD07C6" w14:textId="346679CB" w:rsidR="003561FB" w:rsidRPr="002E6226" w:rsidRDefault="003561FB" w:rsidP="00C7722F">
      <w:pPr>
        <w:pStyle w:val="Instructionaltext"/>
        <w:numPr>
          <w:ilvl w:val="0"/>
          <w:numId w:val="14"/>
        </w:numPr>
        <w:rPr>
          <w:iCs/>
          <w:color w:val="auto"/>
        </w:rPr>
      </w:pPr>
      <w:r w:rsidRPr="002E6226">
        <w:rPr>
          <w:iCs/>
          <w:color w:val="auto"/>
        </w:rPr>
        <w:t>The population providing the PBS costs data is small and not well characterised</w:t>
      </w:r>
      <w:r w:rsidR="007A3F58" w:rsidRPr="002E6226">
        <w:rPr>
          <w:iCs/>
          <w:color w:val="auto"/>
        </w:rPr>
        <w:t>.</w:t>
      </w:r>
      <w:r w:rsidR="00E5267D" w:rsidRPr="002E6226">
        <w:rPr>
          <w:iCs/>
          <w:color w:val="auto"/>
        </w:rPr>
        <w:t xml:space="preserve"> In Group A, there was PBS utilisation data</w:t>
      </w:r>
      <w:r w:rsidR="00F54550" w:rsidRPr="002E6226">
        <w:rPr>
          <w:iCs/>
          <w:color w:val="auto"/>
        </w:rPr>
        <w:t xml:space="preserve"> for</w:t>
      </w:r>
      <w:r w:rsidR="00E5267D" w:rsidRPr="002E6226">
        <w:rPr>
          <w:iCs/>
          <w:color w:val="auto"/>
        </w:rPr>
        <w:t xml:space="preserve"> 12%</w:t>
      </w:r>
      <w:r w:rsidR="00114724">
        <w:rPr>
          <w:iCs/>
          <w:color w:val="auto"/>
        </w:rPr>
        <w:t xml:space="preserve"> (n=497/4316)</w:t>
      </w:r>
      <w:r w:rsidR="00E5267D" w:rsidRPr="002E6226">
        <w:rPr>
          <w:iCs/>
          <w:color w:val="auto"/>
        </w:rPr>
        <w:t xml:space="preserve"> of participants at baseline</w:t>
      </w:r>
      <w:r w:rsidRPr="002E6226">
        <w:rPr>
          <w:iCs/>
          <w:color w:val="auto"/>
        </w:rPr>
        <w:t xml:space="preserve"> and </w:t>
      </w:r>
      <w:r w:rsidR="00E5267D" w:rsidRPr="002E6226">
        <w:rPr>
          <w:iCs/>
          <w:color w:val="auto"/>
        </w:rPr>
        <w:t xml:space="preserve">6% </w:t>
      </w:r>
      <w:r w:rsidR="00114724">
        <w:rPr>
          <w:iCs/>
          <w:color w:val="auto"/>
        </w:rPr>
        <w:t xml:space="preserve">(n=171/2853) </w:t>
      </w:r>
      <w:r w:rsidR="00E5267D" w:rsidRPr="002E6226">
        <w:rPr>
          <w:iCs/>
          <w:color w:val="auto"/>
        </w:rPr>
        <w:t xml:space="preserve">of participants who completed follow up. In Group B, it was 7% </w:t>
      </w:r>
      <w:r w:rsidR="00114724">
        <w:rPr>
          <w:iCs/>
          <w:color w:val="auto"/>
        </w:rPr>
        <w:t xml:space="preserve">(n=275/3923) </w:t>
      </w:r>
      <w:r w:rsidR="00E5267D" w:rsidRPr="002E6226">
        <w:rPr>
          <w:iCs/>
          <w:color w:val="auto"/>
        </w:rPr>
        <w:t>of participants at baseline and 6%</w:t>
      </w:r>
      <w:r w:rsidR="00114724">
        <w:rPr>
          <w:iCs/>
          <w:color w:val="auto"/>
        </w:rPr>
        <w:t xml:space="preserve"> (n=90/1521)</w:t>
      </w:r>
      <w:r w:rsidR="00E5267D" w:rsidRPr="002E6226">
        <w:rPr>
          <w:iCs/>
          <w:color w:val="auto"/>
        </w:rPr>
        <w:t xml:space="preserve"> of participants who completed follow up</w:t>
      </w:r>
      <w:r w:rsidR="00800F8E">
        <w:rPr>
          <w:iCs/>
          <w:color w:val="auto"/>
        </w:rPr>
        <w:t>.</w:t>
      </w:r>
      <w:r w:rsidRPr="002E6226">
        <w:rPr>
          <w:iCs/>
          <w:color w:val="auto"/>
        </w:rPr>
        <w:t xml:space="preserve"> </w:t>
      </w:r>
      <w:r w:rsidR="00E5267D" w:rsidRPr="002E6226">
        <w:rPr>
          <w:iCs/>
          <w:color w:val="auto"/>
        </w:rPr>
        <w:t>I</w:t>
      </w:r>
      <w:r w:rsidRPr="002E6226">
        <w:rPr>
          <w:iCs/>
          <w:color w:val="auto"/>
        </w:rPr>
        <w:t>t is unclear which medication classes are included and excluded. There were several inconsistencies in the data presented. It is unclear why an ‘average cost per script at baseline’ was used to adjust the PBS usage post the CPMC intervention when the real data were available, and no other costs or outcomes were similarly adjusted.</w:t>
      </w:r>
    </w:p>
    <w:p w14:paraId="0597AD79" w14:textId="77777777" w:rsidR="003561FB" w:rsidRPr="002E6226" w:rsidRDefault="003561FB" w:rsidP="00C7722F">
      <w:pPr>
        <w:pStyle w:val="Instructionaltext"/>
        <w:numPr>
          <w:ilvl w:val="0"/>
          <w:numId w:val="14"/>
        </w:numPr>
        <w:rPr>
          <w:iCs/>
          <w:color w:val="auto"/>
        </w:rPr>
      </w:pPr>
      <w:r w:rsidRPr="002E6226">
        <w:rPr>
          <w:iCs/>
          <w:color w:val="auto"/>
        </w:rPr>
        <w:t xml:space="preserve">The MBS usage data had similar limitations to the PBS usage data: some inconsistencies in the reporting, large attrition, and small sample sizes that were not well characterised. </w:t>
      </w:r>
      <w:r w:rsidR="00F54550" w:rsidRPr="002E6226">
        <w:rPr>
          <w:iCs/>
          <w:color w:val="auto"/>
        </w:rPr>
        <w:t xml:space="preserve">In Group A, there was MBS utilisation data for 12% of participants at baseline and 5% of participants who completed follow up. In Group B, it was 12% of participants at baseline and 10% of participants who completed follow up. </w:t>
      </w:r>
      <w:r w:rsidRPr="002E6226">
        <w:rPr>
          <w:iCs/>
          <w:color w:val="auto"/>
        </w:rPr>
        <w:t>The MBS costs were used without any adjustment. The process of extracting these data from Services Australia was unclear; the attrition seen here may be due to low consent rates from participants.</w:t>
      </w:r>
    </w:p>
    <w:p w14:paraId="6D74D55E" w14:textId="2C69827D" w:rsidR="003561FB" w:rsidRPr="002E6226" w:rsidRDefault="003561FB" w:rsidP="00C7722F">
      <w:pPr>
        <w:pStyle w:val="Instructionaltext"/>
        <w:numPr>
          <w:ilvl w:val="0"/>
          <w:numId w:val="14"/>
        </w:numPr>
        <w:rPr>
          <w:iCs/>
          <w:color w:val="auto"/>
        </w:rPr>
      </w:pPr>
      <w:r w:rsidRPr="002E6226">
        <w:rPr>
          <w:iCs/>
          <w:color w:val="auto"/>
        </w:rPr>
        <w:t xml:space="preserve">The change in hospitalisation and ED usage had similar </w:t>
      </w:r>
      <w:r w:rsidR="00CC5371" w:rsidRPr="002E6226">
        <w:rPr>
          <w:iCs/>
          <w:color w:val="auto"/>
        </w:rPr>
        <w:t>limitations and</w:t>
      </w:r>
      <w:r w:rsidRPr="002E6226">
        <w:rPr>
          <w:iCs/>
          <w:color w:val="auto"/>
        </w:rPr>
        <w:t xml:space="preserve"> </w:t>
      </w:r>
      <w:r w:rsidR="00C0051B">
        <w:rPr>
          <w:iCs/>
          <w:color w:val="auto"/>
        </w:rPr>
        <w:t>was</w:t>
      </w:r>
      <w:r w:rsidR="00C0051B" w:rsidRPr="002E6226">
        <w:rPr>
          <w:iCs/>
          <w:color w:val="auto"/>
        </w:rPr>
        <w:t xml:space="preserve"> </w:t>
      </w:r>
      <w:r w:rsidRPr="002E6226">
        <w:rPr>
          <w:iCs/>
          <w:color w:val="auto"/>
        </w:rPr>
        <w:t>also based on self-reported data from participants. Participants were asked how many times in the last three months they visited an ED because of their pain and/or been admitted to hospital because of their pain. This method has several limitations. The reliability of these outcomes is decreased, as participants may forget, or misremember episodes. Participants may also have different understandings of what ‘because of their pain’ means within the context of the trial.</w:t>
      </w:r>
    </w:p>
    <w:p w14:paraId="6618B270" w14:textId="633B5DBB" w:rsidR="00A73EB1" w:rsidRPr="002E6226" w:rsidRDefault="00A73EB1" w:rsidP="00C7722F">
      <w:pPr>
        <w:pStyle w:val="Instructionaltext"/>
        <w:numPr>
          <w:ilvl w:val="0"/>
          <w:numId w:val="14"/>
        </w:numPr>
        <w:rPr>
          <w:iCs/>
          <w:color w:val="auto"/>
        </w:rPr>
      </w:pPr>
      <w:r w:rsidRPr="002E6226">
        <w:rPr>
          <w:iCs/>
          <w:color w:val="auto"/>
        </w:rPr>
        <w:t xml:space="preserve">The </w:t>
      </w:r>
      <w:r w:rsidR="00E41896" w:rsidRPr="002E6226">
        <w:rPr>
          <w:iCs/>
          <w:color w:val="auto"/>
        </w:rPr>
        <w:t xml:space="preserve">estimated cost savings are derived by </w:t>
      </w:r>
      <w:r w:rsidRPr="002E6226">
        <w:rPr>
          <w:iCs/>
          <w:color w:val="auto"/>
        </w:rPr>
        <w:t>compar</w:t>
      </w:r>
      <w:r w:rsidR="00E41896" w:rsidRPr="002E6226">
        <w:rPr>
          <w:iCs/>
          <w:color w:val="auto"/>
        </w:rPr>
        <w:t>ing</w:t>
      </w:r>
      <w:r w:rsidRPr="002E6226">
        <w:rPr>
          <w:iCs/>
          <w:color w:val="auto"/>
        </w:rPr>
        <w:t xml:space="preserve"> the mean value of the complete baseline cohort with the mean value of an incomplete </w:t>
      </w:r>
      <w:r w:rsidR="00DB50F9">
        <w:rPr>
          <w:iCs/>
          <w:color w:val="auto"/>
        </w:rPr>
        <w:t xml:space="preserve">follow-up </w:t>
      </w:r>
      <w:r w:rsidRPr="002E6226">
        <w:rPr>
          <w:iCs/>
          <w:color w:val="auto"/>
        </w:rPr>
        <w:t xml:space="preserve">cohort. The ADAR did not report full characteristics for participants who completed and were lost to </w:t>
      </w:r>
      <w:r w:rsidR="00DB50F9">
        <w:rPr>
          <w:iCs/>
          <w:color w:val="auto"/>
        </w:rPr>
        <w:t xml:space="preserve">follow-up </w:t>
      </w:r>
      <w:r w:rsidRPr="002E6226">
        <w:rPr>
          <w:iCs/>
          <w:color w:val="auto"/>
        </w:rPr>
        <w:t>in Group A and B, but the difference in the raw PBS usage pre- and post-intervention suggests th</w:t>
      </w:r>
      <w:r w:rsidR="005C711D" w:rsidRPr="002E6226">
        <w:rPr>
          <w:iCs/>
          <w:color w:val="auto"/>
        </w:rPr>
        <w:t>at</w:t>
      </w:r>
      <w:r w:rsidR="009944E3" w:rsidRPr="002E6226">
        <w:rPr>
          <w:iCs/>
          <w:color w:val="auto"/>
        </w:rPr>
        <w:t xml:space="preserve"> the characteristics of</w:t>
      </w:r>
      <w:r w:rsidRPr="002E6226">
        <w:rPr>
          <w:iCs/>
          <w:color w:val="auto"/>
        </w:rPr>
        <w:t xml:space="preserve"> those who completed </w:t>
      </w:r>
      <w:r w:rsidR="00DB50F9">
        <w:rPr>
          <w:iCs/>
          <w:color w:val="auto"/>
        </w:rPr>
        <w:t xml:space="preserve">follow-up </w:t>
      </w:r>
      <w:r w:rsidRPr="002E6226">
        <w:rPr>
          <w:iCs/>
          <w:color w:val="auto"/>
        </w:rPr>
        <w:t xml:space="preserve">and those lost to </w:t>
      </w:r>
      <w:r w:rsidR="00DB50F9">
        <w:rPr>
          <w:iCs/>
          <w:color w:val="auto"/>
        </w:rPr>
        <w:t xml:space="preserve">follow-up </w:t>
      </w:r>
      <w:r w:rsidRPr="002E6226">
        <w:rPr>
          <w:iCs/>
          <w:color w:val="auto"/>
        </w:rPr>
        <w:t>were not balanced.</w:t>
      </w:r>
    </w:p>
    <w:p w14:paraId="50D3EB4F" w14:textId="257CBD37" w:rsidR="00074876" w:rsidRPr="002E6226" w:rsidRDefault="00074876" w:rsidP="00C7722F">
      <w:pPr>
        <w:pStyle w:val="Instructionaltext"/>
        <w:numPr>
          <w:ilvl w:val="0"/>
          <w:numId w:val="14"/>
        </w:numPr>
        <w:rPr>
          <w:iCs/>
          <w:color w:val="auto"/>
        </w:rPr>
      </w:pPr>
      <w:r w:rsidRPr="002E6226">
        <w:rPr>
          <w:iCs/>
          <w:color w:val="auto"/>
        </w:rPr>
        <w:lastRenderedPageBreak/>
        <w:t xml:space="preserve">While the MBS usage should have included any referrals generated within 6 months as a result of the intervention, </w:t>
      </w:r>
      <w:r w:rsidR="00DC2E9C" w:rsidRPr="002E6226">
        <w:rPr>
          <w:iCs/>
          <w:color w:val="auto"/>
        </w:rPr>
        <w:t>referrals to allied health services made by the pharmacists as a result of the CPMC were not subsidised by Medicare.</w:t>
      </w:r>
      <w:r w:rsidR="00D109BD" w:rsidRPr="002E6226">
        <w:rPr>
          <w:iCs/>
          <w:color w:val="auto"/>
        </w:rPr>
        <w:t xml:space="preserve"> </w:t>
      </w:r>
      <w:r w:rsidR="00DC2E9C" w:rsidRPr="002E6226">
        <w:rPr>
          <w:iCs/>
          <w:color w:val="auto"/>
        </w:rPr>
        <w:t>Patients who wanted to access subsidised allied health services needed to be referred first to a general practitioner. Any additional flow</w:t>
      </w:r>
      <w:r w:rsidR="00A33020">
        <w:rPr>
          <w:iCs/>
          <w:color w:val="auto"/>
        </w:rPr>
        <w:t>-</w:t>
      </w:r>
      <w:r w:rsidR="00DC2E9C" w:rsidRPr="002E6226">
        <w:rPr>
          <w:iCs/>
          <w:color w:val="auto"/>
        </w:rPr>
        <w:t>on costs here are not estimated.</w:t>
      </w:r>
      <w:bookmarkEnd w:id="36"/>
    </w:p>
    <w:p w14:paraId="7D5F5B15" w14:textId="18550D57" w:rsidR="003D38AA" w:rsidRPr="003D38AA" w:rsidRDefault="0094264D" w:rsidP="003D38AA">
      <w:pPr>
        <w:pStyle w:val="Caption"/>
        <w:jc w:val="both"/>
      </w:pPr>
      <w:r w:rsidRPr="00CE28E3">
        <w:t>Table</w:t>
      </w:r>
      <w:r>
        <w:t> </w:t>
      </w:r>
      <w:fldSimple w:instr=" SEQ Table \* ARABIC ">
        <w:r w:rsidR="00656985">
          <w:rPr>
            <w:noProof/>
          </w:rPr>
          <w:t>10</w:t>
        </w:r>
      </w:fldSimple>
      <w:bookmarkEnd w:id="34"/>
      <w:r w:rsidR="003E710D">
        <w:rPr>
          <w:noProof/>
        </w:rPr>
        <w:tab/>
      </w:r>
      <w:r w:rsidRPr="00CE28E3">
        <w:tab/>
      </w:r>
      <w:r>
        <w:t xml:space="preserve">Cost </w:t>
      </w:r>
      <w:r w:rsidR="009E4EA3">
        <w:t>of the intervention</w:t>
      </w:r>
      <w:r>
        <w:t xml:space="preserve"> produced in</w:t>
      </w:r>
      <w:r w:rsidRPr="00CE28E3">
        <w:t xml:space="preserve"> the economic evaluation</w:t>
      </w:r>
      <w:r>
        <w:t xml:space="preserve"> presented in the </w:t>
      </w:r>
      <w:r w:rsidR="000A082A">
        <w:t>ADAR</w:t>
      </w:r>
      <w:r w:rsidR="005C711D">
        <w:t>.</w:t>
      </w:r>
    </w:p>
    <w:tbl>
      <w:tblPr>
        <w:tblStyle w:val="TableGrid1"/>
        <w:tblW w:w="0" w:type="auto"/>
        <w:tblLayout w:type="fixed"/>
        <w:tblCellMar>
          <w:left w:w="10" w:type="dxa"/>
          <w:right w:w="10" w:type="dxa"/>
        </w:tblCellMar>
        <w:tblLook w:val="04A0" w:firstRow="1" w:lastRow="0" w:firstColumn="1" w:lastColumn="0" w:noHBand="0" w:noVBand="1"/>
      </w:tblPr>
      <w:tblGrid>
        <w:gridCol w:w="1980"/>
        <w:gridCol w:w="1134"/>
        <w:gridCol w:w="1134"/>
        <w:gridCol w:w="1135"/>
        <w:gridCol w:w="1134"/>
        <w:gridCol w:w="1134"/>
        <w:gridCol w:w="1135"/>
      </w:tblGrid>
      <w:tr w:rsidR="003D38AA" w14:paraId="2C82D900" w14:textId="77777777" w:rsidTr="00D109BD">
        <w:trPr>
          <w:cnfStyle w:val="100000000000" w:firstRow="1" w:lastRow="0" w:firstColumn="0" w:lastColumn="0" w:oddVBand="0" w:evenVBand="0" w:oddHBand="0" w:evenHBand="0" w:firstRowFirstColumn="0" w:firstRowLastColumn="0" w:lastRowFirstColumn="0" w:lastRowLastColumn="0"/>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24EE3" w14:textId="77777777" w:rsidR="003D38AA" w:rsidRDefault="003D38AA" w:rsidP="00D97C22">
            <w:pPr>
              <w:spacing w:before="40"/>
              <w:jc w:val="both"/>
              <w:rPr>
                <w:rFonts w:ascii="Arial Narrow" w:hAnsi="Arial Narrow" w:cs="Calibri"/>
                <w:color w:val="000000"/>
                <w:shd w:val="clear" w:color="auto" w:fill="FFFFFF"/>
              </w:rPr>
            </w:pPr>
          </w:p>
        </w:tc>
        <w:tc>
          <w:tcPr>
            <w:tcW w:w="3403"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CA93D12" w14:textId="77777777" w:rsidR="003D38AA" w:rsidRDefault="003D38AA" w:rsidP="00D97C22">
            <w:pPr>
              <w:spacing w:before="40"/>
              <w:jc w:val="center"/>
              <w:rPr>
                <w:rFonts w:ascii="Arial Narrow" w:hAnsi="Arial Narrow" w:cs="Calibri"/>
                <w:b/>
                <w:bCs/>
                <w:color w:val="000000"/>
                <w:shd w:val="clear" w:color="auto" w:fill="FFFFFF"/>
              </w:rPr>
            </w:pPr>
            <w:r>
              <w:rPr>
                <w:rFonts w:ascii="Arial Narrow" w:hAnsi="Arial Narrow" w:cs="Calibri"/>
                <w:b/>
                <w:bCs/>
                <w:color w:val="000000"/>
                <w:shd w:val="clear" w:color="auto" w:fill="FFFFFF"/>
              </w:rPr>
              <w:t>Group A</w:t>
            </w:r>
          </w:p>
          <w:p w14:paraId="7398B6E0" w14:textId="77777777" w:rsidR="003D38AA" w:rsidRDefault="003D38AA" w:rsidP="00D97C22">
            <w:pPr>
              <w:spacing w:before="40"/>
              <w:jc w:val="center"/>
              <w:rPr>
                <w:rFonts w:ascii="Arial Narrow" w:hAnsi="Arial Narrow" w:cs="Calibri"/>
                <w:b/>
                <w:bCs/>
                <w:color w:val="000000"/>
                <w:shd w:val="clear" w:color="auto" w:fill="FFFFFF"/>
              </w:rPr>
            </w:pPr>
          </w:p>
        </w:tc>
        <w:tc>
          <w:tcPr>
            <w:tcW w:w="3403" w:type="dxa"/>
            <w:gridSpan w:val="3"/>
            <w:tcBorders>
              <w:top w:val="single" w:sz="4" w:space="0" w:color="000000"/>
              <w:left w:val="single" w:sz="4" w:space="0" w:color="auto"/>
              <w:bottom w:val="single" w:sz="4" w:space="0" w:color="000000"/>
              <w:right w:val="single" w:sz="4" w:space="0" w:color="000000"/>
            </w:tcBorders>
          </w:tcPr>
          <w:p w14:paraId="44AC9953" w14:textId="77777777" w:rsidR="003D38AA" w:rsidRDefault="003D38AA" w:rsidP="00D97C22">
            <w:pPr>
              <w:spacing w:before="40"/>
              <w:jc w:val="center"/>
              <w:rPr>
                <w:rFonts w:ascii="Arial Narrow" w:hAnsi="Arial Narrow" w:cs="Calibri"/>
                <w:b/>
                <w:bCs/>
                <w:color w:val="000000"/>
                <w:shd w:val="clear" w:color="auto" w:fill="FFFFFF"/>
              </w:rPr>
            </w:pPr>
            <w:r>
              <w:rPr>
                <w:rFonts w:ascii="Arial Narrow" w:hAnsi="Arial Narrow" w:cs="Calibri"/>
                <w:b/>
                <w:bCs/>
                <w:color w:val="000000"/>
                <w:shd w:val="clear" w:color="auto" w:fill="FFFFFF"/>
              </w:rPr>
              <w:t>Group B</w:t>
            </w:r>
          </w:p>
        </w:tc>
      </w:tr>
      <w:tr w:rsidR="003D38AA" w14:paraId="10C00A87" w14:textId="77777777" w:rsidTr="00D109BD">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B924B" w14:textId="77777777" w:rsidR="003D38AA" w:rsidRDefault="003D38AA" w:rsidP="00D97C22">
            <w:pPr>
              <w:spacing w:before="40"/>
              <w:jc w:val="both"/>
              <w:rPr>
                <w:rFonts w:ascii="Arial Narrow" w:hAnsi="Arial Narrow" w:cs="Calibri"/>
                <w:color w:val="000000"/>
                <w:shd w:val="clear" w:color="auto" w:fill="FFFFFF"/>
              </w:rPr>
            </w:pPr>
            <w:r w:rsidRPr="0094264D">
              <w:rPr>
                <w:rFonts w:ascii="Arial Narrow" w:hAnsi="Arial Narrow"/>
                <w:b/>
                <w:bCs/>
              </w:rPr>
              <w:t>Cost</w:t>
            </w:r>
            <w:r>
              <w:rPr>
                <w:rFonts w:ascii="Arial Narrow" w:hAnsi="Arial Narrow"/>
                <w:b/>
                <w:bCs/>
              </w:rPr>
              <w:t>s</w:t>
            </w:r>
            <w:r w:rsidRPr="0094264D">
              <w:rPr>
                <w:rFonts w:ascii="Arial Narrow" w:hAnsi="Arial Narrow"/>
                <w:b/>
                <w:bCs/>
              </w:rPr>
              <w:t xml:space="preserve"> per </w:t>
            </w:r>
            <w:r>
              <w:rPr>
                <w:rFonts w:ascii="Arial Narrow" w:hAnsi="Arial Narrow"/>
                <w:b/>
                <w:bCs/>
              </w:rPr>
              <w:t>person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8110D" w14:textId="052B1CDC" w:rsidR="003D38AA" w:rsidRDefault="003D38AA" w:rsidP="00D97C22">
            <w:pPr>
              <w:spacing w:before="40"/>
              <w:jc w:val="center"/>
              <w:rPr>
                <w:rFonts w:ascii="Arial Narrow" w:hAnsi="Arial Narrow" w:cs="Calibri"/>
                <w:color w:val="000000"/>
                <w:shd w:val="clear" w:color="auto" w:fill="FFFFFF"/>
              </w:rPr>
            </w:pPr>
            <w:r>
              <w:rPr>
                <w:rFonts w:ascii="Arial Narrow" w:hAnsi="Arial Narrow"/>
                <w:b/>
                <w:bCs/>
              </w:rPr>
              <w:t>Pre-baseline* ($)</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E72F658" w14:textId="77777777" w:rsidR="003D38AA" w:rsidRDefault="003D38AA" w:rsidP="00D97C22">
            <w:pPr>
              <w:spacing w:before="40"/>
              <w:jc w:val="center"/>
              <w:rPr>
                <w:rFonts w:ascii="Arial Narrow" w:hAnsi="Arial Narrow" w:cs="Calibri"/>
                <w:color w:val="000000"/>
                <w:shd w:val="clear" w:color="auto" w:fill="FFFFFF"/>
              </w:rPr>
            </w:pPr>
            <w:r>
              <w:rPr>
                <w:rFonts w:ascii="Arial Narrow" w:hAnsi="Arial Narrow"/>
                <w:b/>
                <w:bCs/>
              </w:rPr>
              <w:t>Post CPMC ($)</w:t>
            </w:r>
          </w:p>
        </w:tc>
        <w:tc>
          <w:tcPr>
            <w:tcW w:w="1135" w:type="dxa"/>
            <w:tcBorders>
              <w:top w:val="single" w:sz="4" w:space="0" w:color="000000"/>
              <w:left w:val="single" w:sz="4" w:space="0" w:color="000000"/>
              <w:bottom w:val="single" w:sz="4" w:space="0" w:color="000000"/>
              <w:right w:val="single" w:sz="4" w:space="0" w:color="auto"/>
            </w:tcBorders>
          </w:tcPr>
          <w:p w14:paraId="3B61408C" w14:textId="77777777" w:rsidR="003D38AA" w:rsidRPr="00246D95" w:rsidRDefault="003D38AA" w:rsidP="00D97C22">
            <w:pPr>
              <w:spacing w:before="40"/>
              <w:jc w:val="center"/>
              <w:rPr>
                <w:rFonts w:ascii="Arial Narrow" w:hAnsi="Arial Narrow"/>
                <w:b/>
                <w:bCs/>
                <w:i/>
              </w:rPr>
            </w:pPr>
            <w:r w:rsidRPr="00246D95">
              <w:rPr>
                <w:rFonts w:ascii="Arial Narrow" w:hAnsi="Arial Narrow"/>
                <w:b/>
                <w:bCs/>
                <w:i/>
              </w:rPr>
              <w:t>Cost differences</w:t>
            </w:r>
          </w:p>
          <w:p w14:paraId="1CF605A4" w14:textId="77777777" w:rsidR="003D38AA" w:rsidRDefault="003D38AA" w:rsidP="00D97C22">
            <w:pPr>
              <w:spacing w:before="40"/>
              <w:jc w:val="center"/>
              <w:rPr>
                <w:rFonts w:ascii="Arial Narrow" w:hAnsi="Arial Narrow" w:cs="Calibri"/>
                <w:color w:val="000000"/>
                <w:shd w:val="clear" w:color="auto" w:fill="FFFFFF"/>
              </w:rPr>
            </w:pPr>
            <w:r w:rsidRPr="00246D95">
              <w:rPr>
                <w:rFonts w:ascii="Arial Narrow" w:hAnsi="Arial Narrow"/>
                <w:b/>
                <w:bCs/>
                <w:i/>
              </w:rPr>
              <w:t>(CPMC – pre baseline)</w:t>
            </w:r>
          </w:p>
        </w:tc>
        <w:tc>
          <w:tcPr>
            <w:tcW w:w="113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254322B2" w14:textId="74A3709A" w:rsidR="003D38AA" w:rsidRDefault="003D38AA" w:rsidP="00D97C22">
            <w:pPr>
              <w:spacing w:before="40"/>
              <w:jc w:val="center"/>
              <w:rPr>
                <w:rFonts w:ascii="Arial Narrow" w:hAnsi="Arial Narrow" w:cs="Calibri"/>
                <w:color w:val="000000"/>
                <w:shd w:val="clear" w:color="auto" w:fill="FFFFFF"/>
              </w:rPr>
            </w:pPr>
            <w:r>
              <w:rPr>
                <w:rFonts w:ascii="Arial Narrow" w:hAnsi="Arial Narrow"/>
                <w:b/>
                <w:bCs/>
              </w:rPr>
              <w:t>Pre-baseline</w:t>
            </w:r>
            <w:r w:rsidR="00F611E3">
              <w:rPr>
                <w:rFonts w:ascii="Arial Narrow" w:hAnsi="Arial Narrow"/>
                <w:b/>
                <w:bCs/>
              </w:rPr>
              <w:t> </w:t>
            </w:r>
            <w:r w:rsidR="008633DE" w:rsidRPr="008633DE">
              <w:rPr>
                <w:rFonts w:ascii="Arial Narrow" w:hAnsi="Arial Narrow"/>
                <w:b/>
                <w:bCs/>
                <w:vertAlign w:val="superscript"/>
              </w:rPr>
              <w:t>a</w:t>
            </w:r>
            <w:r w:rsidRPr="008633DE">
              <w:rPr>
                <w:rFonts w:ascii="Arial Narrow" w:hAnsi="Arial Narrow"/>
                <w:b/>
                <w:bCs/>
                <w:vertAlign w:val="superscript"/>
              </w:rPr>
              <w:t xml:space="preserve"> </w:t>
            </w:r>
            <w:r>
              <w:rPr>
                <w:rFonts w:ascii="Arial Narrow" w:hAnsi="Arial Narrow"/>
                <w:b/>
                <w:bCs/>
              </w:rPr>
              <w:t>($)</w:t>
            </w:r>
          </w:p>
        </w:tc>
        <w:tc>
          <w:tcPr>
            <w:tcW w:w="113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14:paraId="1B96D065" w14:textId="77777777" w:rsidR="003D38AA" w:rsidRDefault="003D38AA" w:rsidP="00D97C22">
            <w:pPr>
              <w:spacing w:before="40"/>
              <w:jc w:val="center"/>
              <w:rPr>
                <w:rFonts w:ascii="Arial Narrow" w:hAnsi="Arial Narrow" w:cs="Calibri"/>
                <w:color w:val="000000"/>
                <w:shd w:val="clear" w:color="auto" w:fill="FFFFFF"/>
              </w:rPr>
            </w:pPr>
            <w:r>
              <w:rPr>
                <w:rFonts w:ascii="Arial Narrow" w:hAnsi="Arial Narrow"/>
                <w:b/>
                <w:bCs/>
              </w:rPr>
              <w:t>Post CPMC ($)</w:t>
            </w:r>
          </w:p>
        </w:tc>
        <w:tc>
          <w:tcPr>
            <w:tcW w:w="1135" w:type="dxa"/>
            <w:tcBorders>
              <w:top w:val="single" w:sz="4" w:space="0" w:color="auto"/>
              <w:left w:val="single" w:sz="4" w:space="0" w:color="auto"/>
              <w:bottom w:val="single" w:sz="4" w:space="0" w:color="000000"/>
              <w:right w:val="single" w:sz="4" w:space="0" w:color="000000"/>
            </w:tcBorders>
          </w:tcPr>
          <w:p w14:paraId="03C58258" w14:textId="77777777" w:rsidR="003D38AA" w:rsidRPr="00C351D2" w:rsidRDefault="003D38AA" w:rsidP="00D97C22">
            <w:pPr>
              <w:spacing w:before="40"/>
              <w:jc w:val="center"/>
              <w:rPr>
                <w:rFonts w:ascii="Arial Narrow" w:hAnsi="Arial Narrow"/>
                <w:b/>
                <w:bCs/>
                <w:i/>
              </w:rPr>
            </w:pPr>
            <w:r w:rsidRPr="00C351D2">
              <w:rPr>
                <w:rFonts w:ascii="Arial Narrow" w:hAnsi="Arial Narrow"/>
                <w:b/>
                <w:bCs/>
                <w:i/>
              </w:rPr>
              <w:t>Cost differences</w:t>
            </w:r>
          </w:p>
          <w:p w14:paraId="4B2620AB" w14:textId="77777777" w:rsidR="003D38AA" w:rsidRDefault="003D38AA" w:rsidP="00D97C22">
            <w:pPr>
              <w:spacing w:before="40"/>
              <w:jc w:val="center"/>
              <w:rPr>
                <w:rFonts w:ascii="Arial Narrow" w:hAnsi="Arial Narrow" w:cs="Calibri"/>
                <w:color w:val="000000"/>
                <w:shd w:val="clear" w:color="auto" w:fill="FFFFFF"/>
              </w:rPr>
            </w:pPr>
            <w:r w:rsidRPr="00C351D2">
              <w:rPr>
                <w:rFonts w:ascii="Arial Narrow" w:hAnsi="Arial Narrow"/>
                <w:b/>
                <w:bCs/>
                <w:i/>
              </w:rPr>
              <w:t>(CPMC – pre baseline)</w:t>
            </w:r>
          </w:p>
        </w:tc>
      </w:tr>
      <w:tr w:rsidR="003D38AA" w:rsidRPr="006F0E68" w14:paraId="3FB4578C" w14:textId="77777777" w:rsidTr="00D109BD">
        <w:tc>
          <w:tcPr>
            <w:tcW w:w="8786"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bottom"/>
          </w:tcPr>
          <w:p w14:paraId="32609EAE" w14:textId="77777777" w:rsidR="003D38AA" w:rsidRPr="006F0E68" w:rsidRDefault="003D38AA" w:rsidP="00D97C22">
            <w:pPr>
              <w:spacing w:before="40"/>
              <w:rPr>
                <w:rFonts w:ascii="Arial Narrow" w:hAnsi="Arial Narrow"/>
                <w:b/>
              </w:rPr>
            </w:pPr>
            <w:r w:rsidRPr="006F0E68">
              <w:rPr>
                <w:rFonts w:ascii="Arial Narrow" w:hAnsi="Arial Narrow"/>
                <w:b/>
              </w:rPr>
              <w:t>Intervention costs</w:t>
            </w:r>
          </w:p>
        </w:tc>
      </w:tr>
      <w:tr w:rsidR="003D38AA" w14:paraId="4CD3B357" w14:textId="77777777" w:rsidTr="00D109BD">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48F63A4" w14:textId="77777777" w:rsidR="003D38AA" w:rsidRDefault="003D38AA" w:rsidP="00D97C22">
            <w:pPr>
              <w:spacing w:before="40"/>
              <w:jc w:val="both"/>
              <w:rPr>
                <w:rFonts w:ascii="Arial Narrow" w:hAnsi="Arial Narrow" w:cs="Calibri"/>
                <w:color w:val="000000"/>
                <w:shd w:val="clear" w:color="auto" w:fill="FFFFFF"/>
              </w:rPr>
            </w:pPr>
            <w:r>
              <w:rPr>
                <w:rFonts w:ascii="Arial Narrow" w:hAnsi="Arial Narrow" w:cs="Calibri"/>
                <w:color w:val="000000"/>
                <w:shd w:val="clear" w:color="auto" w:fill="FFFFFF"/>
              </w:rPr>
              <w:t>Pharmacy intervention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E2C86" w14:textId="77777777" w:rsidR="003D38AA" w:rsidRDefault="003D38AA" w:rsidP="00D97C22">
            <w:pPr>
              <w:spacing w:before="40"/>
              <w:jc w:val="center"/>
              <w:rPr>
                <w:rFonts w:ascii="Arial Narrow" w:hAnsi="Arial Narrow"/>
              </w:rPr>
            </w:pPr>
            <w:r>
              <w:rPr>
                <w:rFonts w:ascii="Arial Narrow" w:hAnsi="Arial Narrow"/>
              </w:rPr>
              <w:t>NA</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14:paraId="4B2ECF05" w14:textId="77777777" w:rsidR="003D38AA" w:rsidRDefault="003D38AA" w:rsidP="00D97C22">
            <w:pPr>
              <w:spacing w:before="40"/>
              <w:jc w:val="center"/>
              <w:rPr>
                <w:rFonts w:ascii="Arial Narrow" w:hAnsi="Arial Narrow" w:cs="Calibri"/>
                <w:color w:val="000000"/>
              </w:rPr>
            </w:pPr>
            <w:r>
              <w:rPr>
                <w:rFonts w:ascii="Arial Narrow" w:hAnsi="Arial Narrow" w:cs="Calibri"/>
                <w:color w:val="000000"/>
              </w:rPr>
              <w:t>131.22</w:t>
            </w:r>
          </w:p>
        </w:tc>
        <w:tc>
          <w:tcPr>
            <w:tcW w:w="1135" w:type="dxa"/>
            <w:tcBorders>
              <w:top w:val="single" w:sz="4" w:space="0" w:color="000000"/>
              <w:left w:val="single" w:sz="4" w:space="0" w:color="auto"/>
              <w:bottom w:val="single" w:sz="4" w:space="0" w:color="000000"/>
              <w:right w:val="single" w:sz="4" w:space="0" w:color="auto"/>
            </w:tcBorders>
            <w:vAlign w:val="bottom"/>
          </w:tcPr>
          <w:p w14:paraId="5DC8D173" w14:textId="77777777" w:rsidR="003D38AA" w:rsidRPr="00C351D2" w:rsidRDefault="003D38AA" w:rsidP="00D97C22">
            <w:pPr>
              <w:spacing w:before="40"/>
              <w:jc w:val="center"/>
              <w:rPr>
                <w:rFonts w:ascii="Arial Narrow" w:hAnsi="Arial Narrow" w:cs="Calibri"/>
                <w:i/>
                <w:color w:val="000000"/>
              </w:rPr>
            </w:pPr>
            <w:r w:rsidRPr="00C351D2">
              <w:rPr>
                <w:rFonts w:ascii="Arial Narrow" w:hAnsi="Arial Narrow" w:cs="Calibri"/>
                <w:i/>
                <w:color w:val="000000"/>
              </w:rPr>
              <w:t>131.22</w:t>
            </w:r>
          </w:p>
        </w:tc>
        <w:tc>
          <w:tcPr>
            <w:tcW w:w="113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C18126C" w14:textId="77777777" w:rsidR="003D38AA" w:rsidRDefault="003D38AA" w:rsidP="00D97C22">
            <w:pPr>
              <w:spacing w:before="40"/>
              <w:jc w:val="center"/>
              <w:rPr>
                <w:rFonts w:ascii="Arial Narrow" w:hAnsi="Arial Narrow"/>
              </w:rPr>
            </w:pPr>
            <w:r>
              <w:rPr>
                <w:rFonts w:ascii="Arial Narrow" w:hAnsi="Arial Narrow"/>
              </w:rPr>
              <w:t>NA</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287BDC8" w14:textId="77777777" w:rsidR="003D38AA" w:rsidRDefault="003D38AA" w:rsidP="00D97C22">
            <w:pPr>
              <w:spacing w:before="40"/>
              <w:jc w:val="center"/>
              <w:rPr>
                <w:rFonts w:ascii="Arial Narrow" w:hAnsi="Arial Narrow"/>
              </w:rPr>
            </w:pPr>
            <w:r>
              <w:rPr>
                <w:rFonts w:ascii="Arial Narrow" w:hAnsi="Arial Narrow"/>
              </w:rPr>
              <w:t>164.03</w:t>
            </w:r>
          </w:p>
        </w:tc>
        <w:tc>
          <w:tcPr>
            <w:tcW w:w="1135" w:type="dxa"/>
            <w:tcBorders>
              <w:top w:val="single" w:sz="4" w:space="0" w:color="000000"/>
              <w:left w:val="single" w:sz="4" w:space="0" w:color="auto"/>
              <w:bottom w:val="single" w:sz="4" w:space="0" w:color="000000"/>
              <w:right w:val="single" w:sz="4" w:space="0" w:color="000000"/>
            </w:tcBorders>
          </w:tcPr>
          <w:p w14:paraId="6C8887EE" w14:textId="77777777" w:rsidR="003D38AA" w:rsidRPr="00C351D2" w:rsidRDefault="003D38AA" w:rsidP="00D97C22">
            <w:pPr>
              <w:spacing w:before="40"/>
              <w:jc w:val="center"/>
              <w:rPr>
                <w:rFonts w:ascii="Arial Narrow" w:hAnsi="Arial Narrow"/>
                <w:i/>
              </w:rPr>
            </w:pPr>
            <w:r w:rsidRPr="00C351D2">
              <w:rPr>
                <w:rFonts w:ascii="Arial Narrow" w:hAnsi="Arial Narrow"/>
                <w:i/>
              </w:rPr>
              <w:t>164.03</w:t>
            </w:r>
          </w:p>
        </w:tc>
      </w:tr>
      <w:tr w:rsidR="003D38AA" w:rsidRPr="006F0E68" w14:paraId="767BDEBD" w14:textId="77777777" w:rsidTr="00D109BD">
        <w:tc>
          <w:tcPr>
            <w:tcW w:w="8786"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bottom"/>
          </w:tcPr>
          <w:p w14:paraId="7093F070" w14:textId="77777777" w:rsidR="003D38AA" w:rsidRPr="006F0E68" w:rsidRDefault="003D38AA" w:rsidP="00D97C22">
            <w:pPr>
              <w:spacing w:before="40"/>
              <w:rPr>
                <w:rFonts w:ascii="Arial Narrow" w:hAnsi="Arial Narrow"/>
                <w:b/>
              </w:rPr>
            </w:pPr>
            <w:r w:rsidRPr="006F0E68">
              <w:rPr>
                <w:rFonts w:ascii="Arial Narrow" w:hAnsi="Arial Narrow"/>
                <w:b/>
              </w:rPr>
              <w:t>Estimated</w:t>
            </w:r>
            <w:r>
              <w:rPr>
                <w:rFonts w:ascii="Arial Narrow" w:hAnsi="Arial Narrow"/>
                <w:b/>
              </w:rPr>
              <w:t xml:space="preserve"> future</w:t>
            </w:r>
            <w:r w:rsidRPr="006F0E68">
              <w:rPr>
                <w:rFonts w:ascii="Arial Narrow" w:hAnsi="Arial Narrow"/>
                <w:b/>
              </w:rPr>
              <w:t xml:space="preserve"> cost </w:t>
            </w:r>
            <w:r>
              <w:rPr>
                <w:rFonts w:ascii="Arial Narrow" w:hAnsi="Arial Narrow"/>
                <w:b/>
              </w:rPr>
              <w:t>implications</w:t>
            </w:r>
          </w:p>
        </w:tc>
      </w:tr>
      <w:tr w:rsidR="003D38AA" w14:paraId="5E5DF29A" w14:textId="77777777" w:rsidTr="00D109BD">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1CE1CA" w14:textId="77777777" w:rsidR="003D38AA" w:rsidRDefault="003D38AA" w:rsidP="00D97C22">
            <w:pPr>
              <w:spacing w:before="40"/>
              <w:jc w:val="both"/>
              <w:rPr>
                <w:rFonts w:ascii="Arial Narrow" w:hAnsi="Arial Narrow" w:cs="Calibri"/>
                <w:color w:val="000000"/>
                <w:shd w:val="clear" w:color="auto" w:fill="FFFFFF"/>
              </w:rPr>
            </w:pPr>
            <w:r>
              <w:rPr>
                <w:rFonts w:ascii="Arial Narrow" w:hAnsi="Arial Narrow" w:cs="Calibri"/>
                <w:color w:val="000000"/>
                <w:shd w:val="clear" w:color="auto" w:fill="FFFFFF"/>
              </w:rPr>
              <w:t>PBS costs</w:t>
            </w:r>
          </w:p>
          <w:p w14:paraId="340EAFDE" w14:textId="77777777" w:rsidR="003D38AA" w:rsidRDefault="003D38AA" w:rsidP="00D97C22">
            <w:pPr>
              <w:spacing w:before="40"/>
              <w:jc w:val="both"/>
              <w:rPr>
                <w:rFonts w:ascii="Arial Narrow" w:hAnsi="Arial Narrow" w:cs="Calibri"/>
                <w:color w:val="00000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D94F1" w14:textId="77777777" w:rsidR="003D38AA" w:rsidRDefault="003D38AA" w:rsidP="00D97C22">
            <w:pPr>
              <w:spacing w:before="40"/>
              <w:jc w:val="center"/>
              <w:rPr>
                <w:rFonts w:ascii="Arial Narrow" w:hAnsi="Arial Narrow" w:cs="Calibri"/>
                <w:color w:val="000000"/>
                <w:shd w:val="clear" w:color="auto" w:fill="FFFFFF"/>
              </w:rPr>
            </w:pPr>
            <w:r>
              <w:rPr>
                <w:rFonts w:ascii="Arial Narrow" w:hAnsi="Arial Narrow"/>
              </w:rPr>
              <w:t>310.94</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hideMark/>
          </w:tcPr>
          <w:p w14:paraId="16C7AB5C" w14:textId="6326F20C" w:rsidR="003D38AA" w:rsidRDefault="003D38AA" w:rsidP="00D97C22">
            <w:pPr>
              <w:spacing w:before="40"/>
              <w:jc w:val="center"/>
              <w:rPr>
                <w:rFonts w:ascii="Arial Narrow" w:hAnsi="Arial Narrow" w:cs="Calibri"/>
                <w:color w:val="000000"/>
                <w:shd w:val="clear" w:color="auto" w:fill="FFFFFF"/>
              </w:rPr>
            </w:pPr>
            <w:r>
              <w:rPr>
                <w:rFonts w:ascii="Arial Narrow" w:hAnsi="Arial Narrow" w:cs="Calibri"/>
                <w:color w:val="000000"/>
              </w:rPr>
              <w:t>250.91</w:t>
            </w:r>
            <w:r w:rsidR="008633DE" w:rsidRPr="008633DE">
              <w:rPr>
                <w:rFonts w:ascii="Arial Narrow" w:hAnsi="Arial Narrow" w:cs="Calibri"/>
                <w:color w:val="000000"/>
                <w:vertAlign w:val="superscript"/>
              </w:rPr>
              <w:t>b</w:t>
            </w:r>
          </w:p>
        </w:tc>
        <w:tc>
          <w:tcPr>
            <w:tcW w:w="1135" w:type="dxa"/>
            <w:tcBorders>
              <w:top w:val="single" w:sz="4" w:space="0" w:color="000000"/>
              <w:left w:val="single" w:sz="4" w:space="0" w:color="auto"/>
              <w:bottom w:val="single" w:sz="4" w:space="0" w:color="000000"/>
              <w:right w:val="single" w:sz="4" w:space="0" w:color="000000"/>
            </w:tcBorders>
            <w:vAlign w:val="bottom"/>
          </w:tcPr>
          <w:p w14:paraId="050598AE" w14:textId="77777777" w:rsidR="003D38AA" w:rsidRPr="00C351D2" w:rsidRDefault="003D38AA" w:rsidP="00D97C22">
            <w:pPr>
              <w:spacing w:before="40"/>
              <w:jc w:val="center"/>
              <w:rPr>
                <w:rFonts w:ascii="Arial Narrow" w:hAnsi="Arial Narrow" w:cs="Calibri"/>
                <w:i/>
                <w:color w:val="000000"/>
                <w:shd w:val="clear" w:color="auto" w:fill="FFFFFF"/>
              </w:rPr>
            </w:pPr>
            <w:r w:rsidRPr="00C351D2">
              <w:rPr>
                <w:rFonts w:ascii="Arial Narrow" w:hAnsi="Arial Narrow" w:cs="Calibri"/>
                <w:i/>
                <w:color w:val="000000"/>
                <w:shd w:val="clear" w:color="auto" w:fill="FFFFFF"/>
              </w:rPr>
              <w:t>-60.03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EFDCA" w14:textId="77777777" w:rsidR="003D38AA" w:rsidRDefault="003D38AA" w:rsidP="00D97C22">
            <w:pPr>
              <w:spacing w:before="40"/>
              <w:jc w:val="center"/>
              <w:rPr>
                <w:rFonts w:ascii="Arial Narrow" w:hAnsi="Arial Narrow" w:cs="Calibri"/>
                <w:color w:val="000000"/>
                <w:shd w:val="clear" w:color="auto" w:fill="FFFFFF"/>
              </w:rPr>
            </w:pPr>
            <w:r>
              <w:rPr>
                <w:rFonts w:ascii="Arial Narrow" w:hAnsi="Arial Narrow"/>
              </w:rPr>
              <w:t>216.92</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41AF92A" w14:textId="467C2CDA" w:rsidR="003D38AA" w:rsidRDefault="003D38AA" w:rsidP="00D97C22">
            <w:pPr>
              <w:spacing w:before="40"/>
              <w:jc w:val="center"/>
              <w:rPr>
                <w:rFonts w:ascii="Arial Narrow" w:hAnsi="Arial Narrow" w:cs="Calibri"/>
                <w:color w:val="000000"/>
                <w:shd w:val="clear" w:color="auto" w:fill="FFFFFF"/>
              </w:rPr>
            </w:pPr>
            <w:r>
              <w:rPr>
                <w:rFonts w:ascii="Arial Narrow" w:hAnsi="Arial Narrow"/>
              </w:rPr>
              <w:t>145.94</w:t>
            </w:r>
            <w:r w:rsidR="008633DE" w:rsidRPr="008633DE">
              <w:rPr>
                <w:rFonts w:ascii="Arial Narrow" w:hAnsi="Arial Narrow"/>
                <w:vertAlign w:val="superscript"/>
              </w:rPr>
              <w:t>b</w:t>
            </w:r>
          </w:p>
        </w:tc>
        <w:tc>
          <w:tcPr>
            <w:tcW w:w="1135" w:type="dxa"/>
            <w:tcBorders>
              <w:top w:val="single" w:sz="4" w:space="0" w:color="000000"/>
              <w:left w:val="single" w:sz="4" w:space="0" w:color="auto"/>
              <w:bottom w:val="single" w:sz="4" w:space="0" w:color="000000"/>
              <w:right w:val="single" w:sz="4" w:space="0" w:color="000000"/>
            </w:tcBorders>
          </w:tcPr>
          <w:p w14:paraId="09D57E61" w14:textId="77777777" w:rsidR="003D38AA" w:rsidRPr="00C351D2" w:rsidRDefault="003D38AA" w:rsidP="00D97C22">
            <w:pPr>
              <w:spacing w:before="40"/>
              <w:jc w:val="center"/>
              <w:rPr>
                <w:rFonts w:ascii="Arial Narrow" w:hAnsi="Arial Narrow" w:cs="Calibri"/>
                <w:i/>
                <w:color w:val="000000"/>
                <w:shd w:val="clear" w:color="auto" w:fill="FFFFFF"/>
              </w:rPr>
            </w:pPr>
            <w:r w:rsidRPr="00C351D2">
              <w:rPr>
                <w:rFonts w:ascii="Arial Narrow" w:hAnsi="Arial Narrow" w:cs="Calibri"/>
                <w:i/>
                <w:color w:val="000000"/>
                <w:shd w:val="clear" w:color="auto" w:fill="FFFFFF"/>
              </w:rPr>
              <w:t>-70.98</w:t>
            </w:r>
          </w:p>
        </w:tc>
      </w:tr>
      <w:tr w:rsidR="003D38AA" w14:paraId="5C2695D1" w14:textId="77777777" w:rsidTr="00D109BD">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530F3F5" w14:textId="77777777" w:rsidR="003D38AA" w:rsidRDefault="003D38AA" w:rsidP="00D97C22">
            <w:pPr>
              <w:spacing w:before="40"/>
              <w:jc w:val="both"/>
              <w:rPr>
                <w:rFonts w:ascii="Arial Narrow" w:hAnsi="Arial Narrow" w:cs="Calibri"/>
                <w:color w:val="000000"/>
                <w:shd w:val="clear" w:color="auto" w:fill="FFFFFF"/>
              </w:rPr>
            </w:pPr>
            <w:r>
              <w:rPr>
                <w:rFonts w:ascii="Arial Narrow" w:hAnsi="Arial Narrow" w:cs="Calibri"/>
                <w:color w:val="000000"/>
                <w:shd w:val="clear" w:color="auto" w:fill="FFFFFF"/>
              </w:rPr>
              <w:t>MBS costs</w:t>
            </w:r>
          </w:p>
          <w:p w14:paraId="520BDB10" w14:textId="77777777" w:rsidR="003D38AA" w:rsidRDefault="003D38AA" w:rsidP="00D97C22">
            <w:pPr>
              <w:spacing w:before="40"/>
              <w:jc w:val="both"/>
              <w:rPr>
                <w:rFonts w:ascii="Arial Narrow" w:hAnsi="Arial Narrow" w:cs="Calibri"/>
                <w:color w:val="00000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FE595" w14:textId="77777777" w:rsidR="003D38AA" w:rsidRDefault="003D38AA" w:rsidP="00D97C22">
            <w:pPr>
              <w:spacing w:before="40"/>
              <w:jc w:val="center"/>
              <w:rPr>
                <w:rFonts w:ascii="Arial Narrow" w:hAnsi="Arial Narrow" w:cs="Calibri"/>
                <w:color w:val="000000"/>
                <w:shd w:val="clear" w:color="auto" w:fill="FFFFFF"/>
              </w:rPr>
            </w:pPr>
            <w:r>
              <w:rPr>
                <w:rFonts w:ascii="Arial Narrow" w:hAnsi="Arial Narrow"/>
              </w:rPr>
              <w:t>590.07</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hideMark/>
          </w:tcPr>
          <w:p w14:paraId="477746C4" w14:textId="77777777" w:rsidR="003D38AA" w:rsidRDefault="003D38AA" w:rsidP="00D97C22">
            <w:pPr>
              <w:spacing w:before="40"/>
              <w:jc w:val="center"/>
              <w:rPr>
                <w:rFonts w:ascii="Arial Narrow" w:hAnsi="Arial Narrow" w:cs="Calibri"/>
                <w:color w:val="000000"/>
                <w:shd w:val="clear" w:color="auto" w:fill="FFFFFF"/>
              </w:rPr>
            </w:pPr>
            <w:r>
              <w:rPr>
                <w:rFonts w:ascii="Arial Narrow" w:hAnsi="Arial Narrow" w:cs="Calibri"/>
                <w:color w:val="000000"/>
              </w:rPr>
              <w:t>449.01</w:t>
            </w:r>
          </w:p>
        </w:tc>
        <w:tc>
          <w:tcPr>
            <w:tcW w:w="1135" w:type="dxa"/>
            <w:tcBorders>
              <w:top w:val="single" w:sz="4" w:space="0" w:color="000000"/>
              <w:left w:val="single" w:sz="4" w:space="0" w:color="auto"/>
              <w:bottom w:val="single" w:sz="4" w:space="0" w:color="000000"/>
              <w:right w:val="single" w:sz="4" w:space="0" w:color="000000"/>
            </w:tcBorders>
            <w:vAlign w:val="bottom"/>
          </w:tcPr>
          <w:p w14:paraId="45E2AB8A" w14:textId="77777777" w:rsidR="003D38AA" w:rsidRPr="00C351D2" w:rsidRDefault="003D38AA" w:rsidP="00D97C22">
            <w:pPr>
              <w:spacing w:before="40"/>
              <w:jc w:val="center"/>
              <w:rPr>
                <w:rFonts w:ascii="Arial Narrow" w:hAnsi="Arial Narrow" w:cs="Calibri"/>
                <w:i/>
                <w:color w:val="000000"/>
                <w:shd w:val="clear" w:color="auto" w:fill="FFFFFF"/>
              </w:rPr>
            </w:pPr>
            <w:r w:rsidRPr="00C351D2">
              <w:rPr>
                <w:rFonts w:ascii="Arial Narrow" w:hAnsi="Arial Narrow" w:cs="Calibri"/>
                <w:i/>
                <w:color w:val="000000"/>
                <w:shd w:val="clear" w:color="auto" w:fill="FFFFFF"/>
              </w:rPr>
              <w:t>-141.06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B9AE9" w14:textId="77777777" w:rsidR="003D38AA" w:rsidRDefault="003D38AA" w:rsidP="00D97C22">
            <w:pPr>
              <w:spacing w:before="40"/>
              <w:jc w:val="center"/>
              <w:rPr>
                <w:rFonts w:ascii="Arial Narrow" w:hAnsi="Arial Narrow" w:cs="Calibri"/>
                <w:color w:val="000000"/>
                <w:shd w:val="clear" w:color="auto" w:fill="FFFFFF"/>
              </w:rPr>
            </w:pPr>
            <w:r>
              <w:rPr>
                <w:rFonts w:ascii="Arial Narrow" w:hAnsi="Arial Narrow"/>
              </w:rPr>
              <w:t>560.16</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AD2A4F3" w14:textId="77777777" w:rsidR="003D38AA" w:rsidRDefault="003D38AA" w:rsidP="00D97C22">
            <w:pPr>
              <w:spacing w:before="40"/>
              <w:jc w:val="center"/>
              <w:rPr>
                <w:rFonts w:ascii="Arial Narrow" w:hAnsi="Arial Narrow" w:cs="Calibri"/>
                <w:color w:val="000000"/>
                <w:shd w:val="clear" w:color="auto" w:fill="FFFFFF"/>
              </w:rPr>
            </w:pPr>
            <w:r>
              <w:rPr>
                <w:rFonts w:ascii="Arial Narrow" w:hAnsi="Arial Narrow"/>
              </w:rPr>
              <w:t>311.07</w:t>
            </w:r>
          </w:p>
        </w:tc>
        <w:tc>
          <w:tcPr>
            <w:tcW w:w="1135" w:type="dxa"/>
            <w:tcBorders>
              <w:top w:val="single" w:sz="4" w:space="0" w:color="000000"/>
              <w:left w:val="single" w:sz="4" w:space="0" w:color="auto"/>
              <w:bottom w:val="single" w:sz="4" w:space="0" w:color="000000"/>
              <w:right w:val="single" w:sz="4" w:space="0" w:color="000000"/>
            </w:tcBorders>
          </w:tcPr>
          <w:p w14:paraId="3E0EE2FB" w14:textId="77777777" w:rsidR="003D38AA" w:rsidRPr="00C351D2" w:rsidRDefault="003D38AA" w:rsidP="00D97C22">
            <w:pPr>
              <w:spacing w:before="40"/>
              <w:jc w:val="center"/>
              <w:rPr>
                <w:rFonts w:ascii="Arial Narrow" w:hAnsi="Arial Narrow" w:cs="Calibri"/>
                <w:i/>
                <w:color w:val="000000"/>
                <w:shd w:val="clear" w:color="auto" w:fill="FFFFFF"/>
              </w:rPr>
            </w:pPr>
            <w:r w:rsidRPr="00C351D2">
              <w:rPr>
                <w:rFonts w:ascii="Arial Narrow" w:hAnsi="Arial Narrow" w:cs="Calibri"/>
                <w:i/>
                <w:color w:val="000000"/>
                <w:shd w:val="clear" w:color="auto" w:fill="FFFFFF"/>
              </w:rPr>
              <w:t>-249.09</w:t>
            </w:r>
          </w:p>
        </w:tc>
      </w:tr>
      <w:tr w:rsidR="003D38AA" w14:paraId="5FC3D308" w14:textId="77777777" w:rsidTr="00D109BD">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F4E5C93" w14:textId="77777777" w:rsidR="003D38AA" w:rsidRDefault="003D38AA" w:rsidP="00D97C22">
            <w:pPr>
              <w:spacing w:before="40"/>
              <w:jc w:val="both"/>
              <w:rPr>
                <w:rFonts w:ascii="Arial Narrow" w:hAnsi="Arial Narrow" w:cs="Calibri"/>
                <w:color w:val="000000"/>
                <w:shd w:val="clear" w:color="auto" w:fill="FFFFFF"/>
              </w:rPr>
            </w:pPr>
            <w:r>
              <w:rPr>
                <w:rFonts w:ascii="Arial Narrow" w:hAnsi="Arial Narrow" w:cs="Calibri"/>
                <w:color w:val="000000"/>
                <w:shd w:val="clear" w:color="auto" w:fill="FFFFFF"/>
              </w:rPr>
              <w:t>Hospitalisation costs</w:t>
            </w:r>
          </w:p>
          <w:p w14:paraId="0C425197" w14:textId="77777777" w:rsidR="003D38AA" w:rsidRDefault="003D38AA" w:rsidP="00D97C22">
            <w:pPr>
              <w:spacing w:before="40"/>
              <w:jc w:val="both"/>
              <w:rPr>
                <w:rFonts w:ascii="Arial Narrow" w:hAnsi="Arial Narrow" w:cs="Calibri"/>
                <w:color w:val="00000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0CDB1" w14:textId="4B823B85" w:rsidR="003D38AA" w:rsidRDefault="003D38AA" w:rsidP="00D97C22">
            <w:pPr>
              <w:spacing w:before="40"/>
              <w:jc w:val="center"/>
              <w:rPr>
                <w:rFonts w:ascii="Arial Narrow" w:hAnsi="Arial Narrow" w:cs="Calibri"/>
                <w:color w:val="000000"/>
                <w:shd w:val="clear" w:color="auto" w:fill="FFFFFF"/>
              </w:rPr>
            </w:pPr>
            <w:r>
              <w:rPr>
                <w:rFonts w:ascii="Arial Narrow" w:hAnsi="Arial Narrow"/>
              </w:rPr>
              <w:t>498.13</w:t>
            </w:r>
            <w:r w:rsidR="008633DE" w:rsidRPr="008633DE">
              <w:rPr>
                <w:rFonts w:ascii="Arial Narrow" w:hAnsi="Arial Narrow"/>
                <w:vertAlign w:val="superscript"/>
              </w:rPr>
              <w:t>c</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hideMark/>
          </w:tcPr>
          <w:p w14:paraId="3C1FF636" w14:textId="16EC75EA" w:rsidR="003D38AA" w:rsidRDefault="003D38AA" w:rsidP="00D97C22">
            <w:pPr>
              <w:spacing w:before="40"/>
              <w:jc w:val="center"/>
              <w:rPr>
                <w:rFonts w:ascii="Arial Narrow" w:hAnsi="Arial Narrow" w:cs="Calibri"/>
                <w:color w:val="000000"/>
                <w:shd w:val="clear" w:color="auto" w:fill="FFFFFF"/>
              </w:rPr>
            </w:pPr>
            <w:r>
              <w:rPr>
                <w:rFonts w:ascii="Arial Narrow" w:hAnsi="Arial Narrow" w:cs="Calibri"/>
                <w:color w:val="000000"/>
              </w:rPr>
              <w:t>438.16</w:t>
            </w:r>
            <w:r w:rsidR="008633DE" w:rsidRPr="008633DE">
              <w:rPr>
                <w:rFonts w:ascii="Arial Narrow" w:hAnsi="Arial Narrow" w:cs="Calibri"/>
                <w:color w:val="000000"/>
                <w:vertAlign w:val="superscript"/>
              </w:rPr>
              <w:t>c</w:t>
            </w:r>
          </w:p>
        </w:tc>
        <w:tc>
          <w:tcPr>
            <w:tcW w:w="1135" w:type="dxa"/>
            <w:tcBorders>
              <w:top w:val="single" w:sz="4" w:space="0" w:color="000000"/>
              <w:left w:val="single" w:sz="4" w:space="0" w:color="auto"/>
              <w:bottom w:val="single" w:sz="4" w:space="0" w:color="000000"/>
              <w:right w:val="single" w:sz="4" w:space="0" w:color="000000"/>
            </w:tcBorders>
            <w:vAlign w:val="bottom"/>
          </w:tcPr>
          <w:p w14:paraId="31355993" w14:textId="77777777" w:rsidR="003D38AA" w:rsidRPr="00C351D2" w:rsidRDefault="003D38AA" w:rsidP="00D97C22">
            <w:pPr>
              <w:spacing w:before="40"/>
              <w:jc w:val="center"/>
              <w:rPr>
                <w:rFonts w:ascii="Arial Narrow" w:hAnsi="Arial Narrow" w:cs="Calibri"/>
                <w:i/>
                <w:color w:val="000000"/>
                <w:shd w:val="clear" w:color="auto" w:fill="FFFFFF"/>
              </w:rPr>
            </w:pPr>
            <w:r w:rsidRPr="00C351D2">
              <w:rPr>
                <w:rFonts w:ascii="Arial Narrow" w:hAnsi="Arial Narrow" w:cs="Calibri"/>
                <w:i/>
                <w:color w:val="000000"/>
                <w:shd w:val="clear" w:color="auto" w:fill="FFFFFF"/>
              </w:rPr>
              <w:t>-59.97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A1BB7" w14:textId="1176FDF6" w:rsidR="003D38AA" w:rsidRDefault="003D38AA" w:rsidP="00D97C22">
            <w:pPr>
              <w:spacing w:before="40"/>
              <w:jc w:val="center"/>
              <w:rPr>
                <w:rFonts w:ascii="Arial Narrow" w:hAnsi="Arial Narrow" w:cs="Calibri"/>
                <w:color w:val="000000"/>
                <w:shd w:val="clear" w:color="auto" w:fill="FFFFFF"/>
              </w:rPr>
            </w:pPr>
            <w:r>
              <w:rPr>
                <w:rFonts w:ascii="Arial Narrow" w:hAnsi="Arial Narrow"/>
              </w:rPr>
              <w:t>494.85</w:t>
            </w:r>
            <w:r w:rsidR="008633DE" w:rsidRPr="008633DE">
              <w:rPr>
                <w:rFonts w:ascii="Arial Narrow" w:hAnsi="Arial Narrow"/>
                <w:vertAlign w:val="superscript"/>
              </w:rPr>
              <w:t>c</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CC627FB" w14:textId="37F371A9" w:rsidR="003D38AA" w:rsidRDefault="003D38AA" w:rsidP="00D97C22">
            <w:pPr>
              <w:spacing w:before="40"/>
              <w:jc w:val="center"/>
              <w:rPr>
                <w:rFonts w:ascii="Arial Narrow" w:hAnsi="Arial Narrow" w:cs="Calibri"/>
                <w:color w:val="000000"/>
                <w:shd w:val="clear" w:color="auto" w:fill="FFFFFF"/>
              </w:rPr>
            </w:pPr>
            <w:r>
              <w:rPr>
                <w:rFonts w:ascii="Arial Narrow" w:hAnsi="Arial Narrow"/>
              </w:rPr>
              <w:t>457.31</w:t>
            </w:r>
            <w:r w:rsidR="008633DE" w:rsidRPr="008633DE">
              <w:rPr>
                <w:rFonts w:ascii="Arial Narrow" w:hAnsi="Arial Narrow"/>
                <w:vertAlign w:val="superscript"/>
              </w:rPr>
              <w:t>c</w:t>
            </w:r>
          </w:p>
        </w:tc>
        <w:tc>
          <w:tcPr>
            <w:tcW w:w="1135" w:type="dxa"/>
            <w:tcBorders>
              <w:top w:val="single" w:sz="4" w:space="0" w:color="000000"/>
              <w:left w:val="single" w:sz="4" w:space="0" w:color="auto"/>
              <w:bottom w:val="single" w:sz="4" w:space="0" w:color="000000"/>
              <w:right w:val="single" w:sz="4" w:space="0" w:color="000000"/>
            </w:tcBorders>
          </w:tcPr>
          <w:p w14:paraId="28F87C43" w14:textId="77777777" w:rsidR="003D38AA" w:rsidRPr="00C351D2" w:rsidRDefault="003D38AA" w:rsidP="00D97C22">
            <w:pPr>
              <w:spacing w:before="40"/>
              <w:jc w:val="center"/>
              <w:rPr>
                <w:rFonts w:ascii="Arial Narrow" w:hAnsi="Arial Narrow" w:cs="Calibri"/>
                <w:i/>
                <w:color w:val="000000"/>
                <w:shd w:val="clear" w:color="auto" w:fill="FFFFFF"/>
              </w:rPr>
            </w:pPr>
            <w:r w:rsidRPr="00C351D2">
              <w:rPr>
                <w:rFonts w:ascii="Arial Narrow" w:hAnsi="Arial Narrow" w:cs="Calibri"/>
                <w:i/>
                <w:color w:val="000000"/>
                <w:shd w:val="clear" w:color="auto" w:fill="FFFFFF"/>
              </w:rPr>
              <w:t>-37.54</w:t>
            </w:r>
          </w:p>
        </w:tc>
      </w:tr>
      <w:tr w:rsidR="003D38AA" w14:paraId="002E8669" w14:textId="77777777" w:rsidTr="00D109BD">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683B8B0" w14:textId="77777777" w:rsidR="003D38AA" w:rsidRDefault="003D38AA" w:rsidP="00D97C22">
            <w:pPr>
              <w:spacing w:before="40"/>
              <w:jc w:val="both"/>
              <w:rPr>
                <w:rFonts w:ascii="Arial Narrow" w:hAnsi="Arial Narrow" w:cs="Calibri"/>
                <w:color w:val="000000"/>
                <w:shd w:val="clear" w:color="auto" w:fill="FFFFFF"/>
              </w:rPr>
            </w:pPr>
            <w:r>
              <w:rPr>
                <w:rFonts w:ascii="Arial Narrow" w:hAnsi="Arial Narrow" w:cs="Calibri"/>
                <w:color w:val="000000"/>
                <w:shd w:val="clear" w:color="auto" w:fill="FFFFFF"/>
              </w:rPr>
              <w:t>ED presentation costs</w:t>
            </w:r>
          </w:p>
          <w:p w14:paraId="36512F86" w14:textId="77777777" w:rsidR="003D38AA" w:rsidRDefault="003D38AA" w:rsidP="00D97C22">
            <w:pPr>
              <w:spacing w:before="40"/>
              <w:jc w:val="both"/>
              <w:rPr>
                <w:rFonts w:ascii="Arial Narrow" w:hAnsi="Arial Narrow" w:cs="Calibri"/>
                <w:color w:val="00000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8FD9F" w14:textId="196D67E9" w:rsidR="003D38AA" w:rsidRDefault="003D38AA" w:rsidP="00D97C22">
            <w:pPr>
              <w:spacing w:before="40"/>
              <w:jc w:val="center"/>
              <w:rPr>
                <w:rFonts w:ascii="Arial Narrow" w:hAnsi="Arial Narrow" w:cs="Calibri"/>
                <w:color w:val="000000"/>
                <w:shd w:val="clear" w:color="auto" w:fill="FFFFFF"/>
              </w:rPr>
            </w:pPr>
            <w:r>
              <w:rPr>
                <w:rFonts w:ascii="Arial Narrow" w:hAnsi="Arial Narrow"/>
              </w:rPr>
              <w:t>114.43</w:t>
            </w:r>
            <w:r w:rsidR="008633DE" w:rsidRPr="008633DE">
              <w:rPr>
                <w:rFonts w:ascii="Arial Narrow" w:hAnsi="Arial Narrow"/>
                <w:vertAlign w:val="superscript"/>
              </w:rPr>
              <w:t>c</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hideMark/>
          </w:tcPr>
          <w:p w14:paraId="7F46A3B6" w14:textId="7C432AB7" w:rsidR="003D38AA" w:rsidRDefault="003D38AA" w:rsidP="00D97C22">
            <w:pPr>
              <w:spacing w:before="40"/>
              <w:jc w:val="center"/>
              <w:rPr>
                <w:rFonts w:ascii="Arial Narrow" w:hAnsi="Arial Narrow" w:cs="Calibri"/>
                <w:color w:val="000000"/>
                <w:shd w:val="clear" w:color="auto" w:fill="FFFFFF"/>
              </w:rPr>
            </w:pPr>
            <w:r>
              <w:rPr>
                <w:rFonts w:ascii="Arial Narrow" w:hAnsi="Arial Narrow" w:cs="Calibri"/>
                <w:color w:val="000000"/>
              </w:rPr>
              <w:t>109.15</w:t>
            </w:r>
            <w:r w:rsidR="008633DE" w:rsidRPr="008633DE">
              <w:rPr>
                <w:rFonts w:ascii="Arial Narrow" w:hAnsi="Arial Narrow" w:cs="Calibri"/>
                <w:color w:val="000000"/>
                <w:vertAlign w:val="superscript"/>
              </w:rPr>
              <w:t>c</w:t>
            </w:r>
          </w:p>
        </w:tc>
        <w:tc>
          <w:tcPr>
            <w:tcW w:w="1135" w:type="dxa"/>
            <w:tcBorders>
              <w:top w:val="single" w:sz="4" w:space="0" w:color="000000"/>
              <w:left w:val="single" w:sz="4" w:space="0" w:color="auto"/>
              <w:bottom w:val="single" w:sz="4" w:space="0" w:color="000000"/>
              <w:right w:val="single" w:sz="4" w:space="0" w:color="000000"/>
            </w:tcBorders>
            <w:vAlign w:val="bottom"/>
          </w:tcPr>
          <w:p w14:paraId="54036CFC" w14:textId="77777777" w:rsidR="003D38AA" w:rsidRPr="00C351D2" w:rsidRDefault="003D38AA" w:rsidP="00D97C22">
            <w:pPr>
              <w:spacing w:before="40"/>
              <w:jc w:val="center"/>
              <w:rPr>
                <w:rFonts w:ascii="Arial Narrow" w:hAnsi="Arial Narrow" w:cs="Calibri"/>
                <w:i/>
                <w:color w:val="000000"/>
                <w:shd w:val="clear" w:color="auto" w:fill="FFFFFF"/>
              </w:rPr>
            </w:pPr>
            <w:r w:rsidRPr="00C351D2">
              <w:rPr>
                <w:rFonts w:ascii="Arial Narrow" w:hAnsi="Arial Narrow" w:cs="Calibri"/>
                <w:i/>
                <w:color w:val="000000"/>
                <w:shd w:val="clear" w:color="auto" w:fill="FFFFFF"/>
              </w:rPr>
              <w:t>-5.28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8E0BB" w14:textId="3F1A47DD" w:rsidR="003D38AA" w:rsidRDefault="003D38AA" w:rsidP="00D97C22">
            <w:pPr>
              <w:spacing w:before="40"/>
              <w:jc w:val="center"/>
              <w:rPr>
                <w:rFonts w:ascii="Arial Narrow" w:hAnsi="Arial Narrow" w:cs="Calibri"/>
                <w:color w:val="000000"/>
                <w:shd w:val="clear" w:color="auto" w:fill="FFFFFF"/>
              </w:rPr>
            </w:pPr>
            <w:r>
              <w:rPr>
                <w:rFonts w:ascii="Arial Narrow" w:hAnsi="Arial Narrow"/>
              </w:rPr>
              <w:t>114.34</w:t>
            </w:r>
            <w:r w:rsidR="008633DE" w:rsidRPr="008633DE">
              <w:rPr>
                <w:rFonts w:ascii="Arial Narrow" w:hAnsi="Arial Narrow"/>
                <w:vertAlign w:val="superscript"/>
              </w:rPr>
              <w:t>c</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2522FF7" w14:textId="2D9C2385" w:rsidR="003D38AA" w:rsidRDefault="003D38AA" w:rsidP="00D97C22">
            <w:pPr>
              <w:spacing w:before="40"/>
              <w:jc w:val="center"/>
              <w:rPr>
                <w:rFonts w:ascii="Arial Narrow" w:hAnsi="Arial Narrow" w:cs="Calibri"/>
                <w:color w:val="000000"/>
                <w:shd w:val="clear" w:color="auto" w:fill="FFFFFF"/>
              </w:rPr>
            </w:pPr>
            <w:r>
              <w:rPr>
                <w:rFonts w:ascii="Arial Narrow" w:hAnsi="Arial Narrow"/>
              </w:rPr>
              <w:t>101.65</w:t>
            </w:r>
            <w:r w:rsidR="008633DE" w:rsidRPr="008633DE">
              <w:rPr>
                <w:rFonts w:ascii="Arial Narrow" w:hAnsi="Arial Narrow"/>
                <w:vertAlign w:val="superscript"/>
              </w:rPr>
              <w:t>c</w:t>
            </w:r>
          </w:p>
        </w:tc>
        <w:tc>
          <w:tcPr>
            <w:tcW w:w="1135" w:type="dxa"/>
            <w:tcBorders>
              <w:top w:val="single" w:sz="4" w:space="0" w:color="000000"/>
              <w:left w:val="single" w:sz="4" w:space="0" w:color="auto"/>
              <w:bottom w:val="single" w:sz="4" w:space="0" w:color="000000"/>
              <w:right w:val="single" w:sz="4" w:space="0" w:color="000000"/>
            </w:tcBorders>
          </w:tcPr>
          <w:p w14:paraId="7606DBE3" w14:textId="77777777" w:rsidR="003D38AA" w:rsidRPr="00C351D2" w:rsidRDefault="003D38AA" w:rsidP="00D97C22">
            <w:pPr>
              <w:spacing w:before="40"/>
              <w:jc w:val="center"/>
              <w:rPr>
                <w:rFonts w:ascii="Arial Narrow" w:hAnsi="Arial Narrow" w:cs="Calibri"/>
                <w:i/>
                <w:color w:val="000000"/>
                <w:shd w:val="clear" w:color="auto" w:fill="FFFFFF"/>
              </w:rPr>
            </w:pPr>
            <w:r w:rsidRPr="00C351D2">
              <w:rPr>
                <w:rFonts w:ascii="Arial Narrow" w:hAnsi="Arial Narrow" w:cs="Calibri"/>
                <w:i/>
                <w:color w:val="000000"/>
                <w:shd w:val="clear" w:color="auto" w:fill="FFFFFF"/>
              </w:rPr>
              <w:t>-12.69</w:t>
            </w:r>
          </w:p>
        </w:tc>
      </w:tr>
      <w:tr w:rsidR="003D38AA" w14:paraId="5D8635E6" w14:textId="77777777" w:rsidTr="00D109BD">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70FD6" w14:textId="77777777" w:rsidR="003D38AA" w:rsidRPr="00ED2744" w:rsidRDefault="003D38AA" w:rsidP="00D97C22">
            <w:pPr>
              <w:spacing w:before="40"/>
              <w:jc w:val="both"/>
              <w:rPr>
                <w:rFonts w:ascii="Arial Narrow" w:hAnsi="Arial Narrow" w:cs="Calibri"/>
                <w:b/>
                <w:color w:val="000000"/>
                <w:shd w:val="clear" w:color="auto" w:fill="FFFFFF"/>
              </w:rPr>
            </w:pPr>
            <w:r w:rsidRPr="00ED2744">
              <w:rPr>
                <w:rFonts w:ascii="Arial Narrow" w:hAnsi="Arial Narrow" w:cs="Calibri"/>
                <w:b/>
                <w:color w:val="000000"/>
                <w:shd w:val="clear" w:color="auto" w:fill="FFFFFF"/>
              </w:rPr>
              <w:t>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57463C" w14:textId="77777777" w:rsidR="003D38AA" w:rsidRDefault="003D38AA" w:rsidP="00D97C22">
            <w:pPr>
              <w:spacing w:before="40"/>
              <w:jc w:val="center"/>
              <w:rPr>
                <w:rFonts w:ascii="Arial Narrow" w:hAnsi="Arial Narrow" w:cs="Calibri"/>
                <w:color w:val="000000"/>
                <w:shd w:val="clear" w:color="auto" w:fill="FFFFFF"/>
              </w:rPr>
            </w:pPr>
            <w:r>
              <w:rPr>
                <w:rFonts w:ascii="Arial Narrow" w:hAnsi="Arial Narrow" w:cs="Calibri"/>
                <w:color w:val="000000"/>
                <w:shd w:val="clear" w:color="auto" w:fill="FFFFFF"/>
              </w:rPr>
              <w:t>$1,513.57</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092E2434" w14:textId="77777777" w:rsidR="003D38AA" w:rsidRPr="0007296C" w:rsidRDefault="003D38AA" w:rsidP="00D97C22">
            <w:pPr>
              <w:spacing w:before="40"/>
              <w:jc w:val="center"/>
              <w:rPr>
                <w:rFonts w:ascii="Arial Narrow" w:hAnsi="Arial Narrow" w:cs="Calibri"/>
                <w:color w:val="000000"/>
                <w:shd w:val="clear" w:color="auto" w:fill="FFFFFF"/>
              </w:rPr>
            </w:pPr>
            <w:r w:rsidRPr="0007296C">
              <w:rPr>
                <w:rFonts w:ascii="Arial Narrow" w:hAnsi="Arial Narrow" w:cs="Calibri"/>
                <w:color w:val="000000"/>
                <w:shd w:val="clear" w:color="auto" w:fill="FFFFFF"/>
              </w:rPr>
              <w:t>$1,378.46</w:t>
            </w:r>
          </w:p>
        </w:tc>
        <w:tc>
          <w:tcPr>
            <w:tcW w:w="1135" w:type="dxa"/>
            <w:tcBorders>
              <w:top w:val="single" w:sz="4" w:space="0" w:color="000000"/>
              <w:left w:val="single" w:sz="4" w:space="0" w:color="auto"/>
              <w:bottom w:val="single" w:sz="4" w:space="0" w:color="000000"/>
              <w:right w:val="single" w:sz="4" w:space="0" w:color="auto"/>
            </w:tcBorders>
            <w:vAlign w:val="center"/>
          </w:tcPr>
          <w:p w14:paraId="4A2F919E" w14:textId="77777777" w:rsidR="003D38AA" w:rsidRPr="00C351D2" w:rsidRDefault="003D38AA" w:rsidP="00D97C22">
            <w:pPr>
              <w:spacing w:before="40"/>
              <w:jc w:val="center"/>
              <w:rPr>
                <w:rFonts w:ascii="Arial Narrow" w:hAnsi="Arial Narrow" w:cs="Calibri"/>
                <w:i/>
                <w:color w:val="000000"/>
                <w:shd w:val="clear" w:color="auto" w:fill="FFFFFF"/>
              </w:rPr>
            </w:pPr>
            <w:r w:rsidRPr="00C351D2">
              <w:rPr>
                <w:rFonts w:ascii="Arial Narrow" w:hAnsi="Arial Narrow" w:cs="Calibri"/>
                <w:i/>
                <w:color w:val="000000"/>
                <w:shd w:val="clear" w:color="auto" w:fill="FFFFFF"/>
              </w:rPr>
              <w:t>-135.11</w:t>
            </w:r>
          </w:p>
        </w:tc>
        <w:tc>
          <w:tcPr>
            <w:tcW w:w="113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1DF2331E" w14:textId="77777777" w:rsidR="003D38AA" w:rsidRDefault="003D38AA" w:rsidP="00D97C22">
            <w:pPr>
              <w:spacing w:before="40"/>
              <w:jc w:val="center"/>
              <w:rPr>
                <w:rFonts w:ascii="Arial Narrow" w:hAnsi="Arial Narrow" w:cs="Calibri"/>
                <w:color w:val="000000"/>
                <w:shd w:val="clear" w:color="auto" w:fill="FFFFFF"/>
              </w:rPr>
            </w:pPr>
            <w:r>
              <w:rPr>
                <w:rFonts w:ascii="Arial Narrow" w:hAnsi="Arial Narrow" w:cs="Calibri"/>
                <w:color w:val="000000"/>
                <w:shd w:val="clear" w:color="auto" w:fill="FFFFFF"/>
              </w:rPr>
              <w:t>$1,386.27</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6F9FBBC5" w14:textId="77777777" w:rsidR="003D38AA" w:rsidRDefault="003D38AA" w:rsidP="00D97C22">
            <w:pPr>
              <w:spacing w:before="40"/>
              <w:jc w:val="center"/>
              <w:rPr>
                <w:rFonts w:ascii="Arial Narrow" w:hAnsi="Arial Narrow" w:cs="Calibri"/>
                <w:color w:val="000000"/>
                <w:shd w:val="clear" w:color="auto" w:fill="FFFFFF"/>
              </w:rPr>
            </w:pPr>
            <w:r>
              <w:rPr>
                <w:rFonts w:ascii="Arial Narrow" w:hAnsi="Arial Narrow" w:cs="Calibri"/>
                <w:color w:val="000000"/>
                <w:shd w:val="clear" w:color="auto" w:fill="FFFFFF"/>
              </w:rPr>
              <w:t>$1,180.00</w:t>
            </w:r>
          </w:p>
        </w:tc>
        <w:tc>
          <w:tcPr>
            <w:tcW w:w="1135" w:type="dxa"/>
            <w:tcBorders>
              <w:top w:val="single" w:sz="4" w:space="0" w:color="000000"/>
              <w:left w:val="single" w:sz="4" w:space="0" w:color="auto"/>
              <w:bottom w:val="single" w:sz="4" w:space="0" w:color="000000"/>
              <w:right w:val="single" w:sz="4" w:space="0" w:color="000000"/>
            </w:tcBorders>
            <w:vAlign w:val="center"/>
          </w:tcPr>
          <w:p w14:paraId="5DF36568" w14:textId="77777777" w:rsidR="003D38AA" w:rsidRPr="00C351D2" w:rsidRDefault="003D38AA" w:rsidP="00D97C22">
            <w:pPr>
              <w:spacing w:before="40"/>
              <w:jc w:val="center"/>
              <w:rPr>
                <w:rFonts w:ascii="Arial Narrow" w:hAnsi="Arial Narrow" w:cs="Calibri"/>
                <w:i/>
                <w:color w:val="000000"/>
                <w:shd w:val="clear" w:color="auto" w:fill="FFFFFF"/>
              </w:rPr>
            </w:pPr>
            <w:r w:rsidRPr="00C351D2">
              <w:rPr>
                <w:rFonts w:ascii="Arial Narrow" w:hAnsi="Arial Narrow" w:cs="Calibri"/>
                <w:i/>
                <w:color w:val="000000"/>
                <w:shd w:val="clear" w:color="auto" w:fill="FFFFFF"/>
              </w:rPr>
              <w:t>-206.27</w:t>
            </w:r>
          </w:p>
        </w:tc>
      </w:tr>
    </w:tbl>
    <w:p w14:paraId="0AD34737" w14:textId="77777777" w:rsidR="008633DE" w:rsidRDefault="008633DE" w:rsidP="00FD120D">
      <w:pPr>
        <w:pStyle w:val="TableFigureFooter"/>
        <w:spacing w:before="0" w:after="0"/>
        <w:jc w:val="both"/>
        <w:rPr>
          <w:szCs w:val="18"/>
        </w:rPr>
      </w:pPr>
      <w:r w:rsidRPr="00ED2744">
        <w:rPr>
          <w:szCs w:val="18"/>
        </w:rPr>
        <w:t xml:space="preserve">Source: Tables </w:t>
      </w:r>
      <w:r>
        <w:rPr>
          <w:szCs w:val="18"/>
        </w:rPr>
        <w:t>70, 71,</w:t>
      </w:r>
      <w:r w:rsidRPr="00ED2744">
        <w:rPr>
          <w:szCs w:val="18"/>
        </w:rPr>
        <w:t xml:space="preserve"> 72, 73, 89, 90, 91, 92</w:t>
      </w:r>
      <w:r>
        <w:rPr>
          <w:szCs w:val="18"/>
        </w:rPr>
        <w:t xml:space="preserve"> of the ADAR.</w:t>
      </w:r>
    </w:p>
    <w:p w14:paraId="391E416D" w14:textId="1969CC67" w:rsidR="00FD120D" w:rsidRDefault="00FD120D" w:rsidP="00FD120D">
      <w:pPr>
        <w:pStyle w:val="TableFigureFooter"/>
        <w:spacing w:before="0" w:after="0"/>
        <w:jc w:val="both"/>
        <w:rPr>
          <w:rFonts w:eastAsia="Calibri"/>
          <w:i/>
          <w:iCs/>
          <w:szCs w:val="20"/>
        </w:rPr>
      </w:pPr>
      <w:r w:rsidRPr="00BA6994">
        <w:rPr>
          <w:rFonts w:eastAsia="Calibri"/>
          <w:i/>
          <w:iCs/>
          <w:szCs w:val="20"/>
        </w:rPr>
        <w:t>Italics indicates results generated during the evaluation.</w:t>
      </w:r>
      <w:r>
        <w:rPr>
          <w:rFonts w:eastAsia="Calibri"/>
          <w:i/>
          <w:iCs/>
          <w:szCs w:val="20"/>
        </w:rPr>
        <w:t xml:space="preserve"> </w:t>
      </w:r>
    </w:p>
    <w:p w14:paraId="34947807" w14:textId="034AAABB" w:rsidR="00F73907" w:rsidRDefault="00F73907" w:rsidP="00F73907">
      <w:pPr>
        <w:pStyle w:val="Instructionaltext"/>
        <w:spacing w:before="0" w:after="0"/>
        <w:jc w:val="both"/>
        <w:rPr>
          <w:rFonts w:ascii="Arial Narrow" w:eastAsia="Times New Roman" w:hAnsi="Arial Narrow" w:cs="Arial"/>
          <w:snapToGrid w:val="0"/>
          <w:color w:val="auto"/>
          <w:sz w:val="18"/>
          <w:lang w:eastAsia="en-AU"/>
        </w:rPr>
      </w:pPr>
      <w:r w:rsidRPr="00127276">
        <w:rPr>
          <w:rFonts w:ascii="Arial Narrow" w:eastAsia="Times New Roman" w:hAnsi="Arial Narrow" w:cs="Arial"/>
          <w:snapToGrid w:val="0"/>
          <w:color w:val="auto"/>
          <w:sz w:val="18"/>
          <w:lang w:eastAsia="en-AU"/>
        </w:rPr>
        <w:t>Abbreviations:</w:t>
      </w:r>
      <w:r>
        <w:rPr>
          <w:rFonts w:ascii="Arial Narrow" w:eastAsia="Times New Roman" w:hAnsi="Arial Narrow" w:cs="Arial"/>
          <w:snapToGrid w:val="0"/>
          <w:color w:val="auto"/>
          <w:sz w:val="18"/>
          <w:lang w:eastAsia="en-AU"/>
        </w:rPr>
        <w:t xml:space="preserve"> CPMC: Chronic </w:t>
      </w:r>
      <w:r w:rsidR="00C0051B">
        <w:rPr>
          <w:rFonts w:ascii="Arial Narrow" w:eastAsia="Times New Roman" w:hAnsi="Arial Narrow" w:cs="Arial"/>
          <w:snapToGrid w:val="0"/>
          <w:color w:val="auto"/>
          <w:sz w:val="18"/>
          <w:lang w:eastAsia="en-AU"/>
        </w:rPr>
        <w:t>P</w:t>
      </w:r>
      <w:r>
        <w:rPr>
          <w:rFonts w:ascii="Arial Narrow" w:eastAsia="Times New Roman" w:hAnsi="Arial Narrow" w:cs="Arial"/>
          <w:snapToGrid w:val="0"/>
          <w:color w:val="auto"/>
          <w:sz w:val="18"/>
          <w:lang w:eastAsia="en-AU"/>
        </w:rPr>
        <w:t>ain MedsCheck;</w:t>
      </w:r>
      <w:r w:rsidRPr="00127276">
        <w:rPr>
          <w:rFonts w:ascii="Arial Narrow" w:eastAsia="Times New Roman" w:hAnsi="Arial Narrow" w:cs="Arial"/>
          <w:snapToGrid w:val="0"/>
          <w:color w:val="auto"/>
          <w:sz w:val="18"/>
          <w:lang w:eastAsia="en-AU"/>
        </w:rPr>
        <w:t xml:space="preserve"> </w:t>
      </w:r>
      <w:r>
        <w:rPr>
          <w:rFonts w:ascii="Arial Narrow" w:eastAsia="Times New Roman" w:hAnsi="Arial Narrow" w:cs="Arial"/>
          <w:snapToGrid w:val="0"/>
          <w:color w:val="auto"/>
          <w:sz w:val="18"/>
          <w:lang w:eastAsia="en-AU"/>
        </w:rPr>
        <w:t>ED</w:t>
      </w:r>
      <w:r w:rsidRPr="00127276">
        <w:rPr>
          <w:rFonts w:ascii="Arial Narrow" w:eastAsia="Times New Roman" w:hAnsi="Arial Narrow" w:cs="Arial"/>
          <w:snapToGrid w:val="0"/>
          <w:color w:val="auto"/>
          <w:sz w:val="18"/>
          <w:lang w:eastAsia="en-AU"/>
        </w:rPr>
        <w:t xml:space="preserve">: </w:t>
      </w:r>
      <w:r>
        <w:rPr>
          <w:rFonts w:ascii="Arial Narrow" w:eastAsia="Times New Roman" w:hAnsi="Arial Narrow" w:cs="Arial"/>
          <w:snapToGrid w:val="0"/>
          <w:color w:val="auto"/>
          <w:sz w:val="18"/>
          <w:lang w:eastAsia="en-AU"/>
        </w:rPr>
        <w:t xml:space="preserve">Emergency </w:t>
      </w:r>
      <w:r w:rsidR="00A27899">
        <w:rPr>
          <w:rFonts w:ascii="Arial Narrow" w:eastAsia="Times New Roman" w:hAnsi="Arial Narrow" w:cs="Arial"/>
          <w:snapToGrid w:val="0"/>
          <w:color w:val="auto"/>
          <w:sz w:val="18"/>
          <w:lang w:eastAsia="en-AU"/>
        </w:rPr>
        <w:t>D</w:t>
      </w:r>
      <w:r>
        <w:rPr>
          <w:rFonts w:ascii="Arial Narrow" w:eastAsia="Times New Roman" w:hAnsi="Arial Narrow" w:cs="Arial"/>
          <w:snapToGrid w:val="0"/>
          <w:color w:val="auto"/>
          <w:sz w:val="18"/>
          <w:lang w:eastAsia="en-AU"/>
        </w:rPr>
        <w:t>epartment</w:t>
      </w:r>
      <w:r w:rsidRPr="00127276">
        <w:rPr>
          <w:rFonts w:ascii="Arial Narrow" w:eastAsia="Times New Roman" w:hAnsi="Arial Narrow" w:cs="Arial"/>
          <w:snapToGrid w:val="0"/>
          <w:color w:val="auto"/>
          <w:sz w:val="18"/>
          <w:lang w:eastAsia="en-AU"/>
        </w:rPr>
        <w:t xml:space="preserve">; MBS, Medicare </w:t>
      </w:r>
      <w:r w:rsidR="00C0051B">
        <w:rPr>
          <w:rFonts w:ascii="Arial Narrow" w:eastAsia="Times New Roman" w:hAnsi="Arial Narrow" w:cs="Arial"/>
          <w:snapToGrid w:val="0"/>
          <w:color w:val="auto"/>
          <w:sz w:val="18"/>
          <w:lang w:eastAsia="en-AU"/>
        </w:rPr>
        <w:t>B</w:t>
      </w:r>
      <w:r w:rsidRPr="00127276">
        <w:rPr>
          <w:rFonts w:ascii="Arial Narrow" w:eastAsia="Times New Roman" w:hAnsi="Arial Narrow" w:cs="Arial"/>
          <w:snapToGrid w:val="0"/>
          <w:color w:val="auto"/>
          <w:sz w:val="18"/>
          <w:lang w:eastAsia="en-AU"/>
        </w:rPr>
        <w:t xml:space="preserve">enefits </w:t>
      </w:r>
      <w:r w:rsidR="00C0051B">
        <w:rPr>
          <w:rFonts w:ascii="Arial Narrow" w:eastAsia="Times New Roman" w:hAnsi="Arial Narrow" w:cs="Arial"/>
          <w:snapToGrid w:val="0"/>
          <w:color w:val="auto"/>
          <w:sz w:val="18"/>
          <w:lang w:eastAsia="en-AU"/>
        </w:rPr>
        <w:t>S</w:t>
      </w:r>
      <w:r w:rsidRPr="00127276">
        <w:rPr>
          <w:rFonts w:ascii="Arial Narrow" w:eastAsia="Times New Roman" w:hAnsi="Arial Narrow" w:cs="Arial"/>
          <w:snapToGrid w:val="0"/>
          <w:color w:val="auto"/>
          <w:sz w:val="18"/>
          <w:lang w:eastAsia="en-AU"/>
        </w:rPr>
        <w:t xml:space="preserve">chedule; </w:t>
      </w:r>
      <w:r>
        <w:rPr>
          <w:rFonts w:ascii="Arial Narrow" w:eastAsia="Times New Roman" w:hAnsi="Arial Narrow" w:cs="Arial"/>
          <w:snapToGrid w:val="0"/>
          <w:color w:val="auto"/>
          <w:sz w:val="18"/>
          <w:lang w:eastAsia="en-AU"/>
        </w:rPr>
        <w:t xml:space="preserve">NA, not applicable; </w:t>
      </w:r>
      <w:r w:rsidRPr="00127276">
        <w:rPr>
          <w:rFonts w:ascii="Arial Narrow" w:eastAsia="Times New Roman" w:hAnsi="Arial Narrow" w:cs="Arial"/>
          <w:snapToGrid w:val="0"/>
          <w:color w:val="auto"/>
          <w:sz w:val="18"/>
          <w:lang w:eastAsia="en-AU"/>
        </w:rPr>
        <w:t xml:space="preserve">PBS, Pharmaceutical </w:t>
      </w:r>
      <w:r w:rsidR="00A27899">
        <w:rPr>
          <w:rFonts w:ascii="Arial Narrow" w:eastAsia="Times New Roman" w:hAnsi="Arial Narrow" w:cs="Arial"/>
          <w:snapToGrid w:val="0"/>
          <w:color w:val="auto"/>
          <w:sz w:val="18"/>
          <w:lang w:eastAsia="en-AU"/>
        </w:rPr>
        <w:t>B</w:t>
      </w:r>
      <w:r w:rsidRPr="00127276">
        <w:rPr>
          <w:rFonts w:ascii="Arial Narrow" w:eastAsia="Times New Roman" w:hAnsi="Arial Narrow" w:cs="Arial"/>
          <w:snapToGrid w:val="0"/>
          <w:color w:val="auto"/>
          <w:sz w:val="18"/>
          <w:lang w:eastAsia="en-AU"/>
        </w:rPr>
        <w:t xml:space="preserve">enefits </w:t>
      </w:r>
      <w:r w:rsidR="00A27899">
        <w:rPr>
          <w:rFonts w:ascii="Arial Narrow" w:eastAsia="Times New Roman" w:hAnsi="Arial Narrow" w:cs="Arial"/>
          <w:snapToGrid w:val="0"/>
          <w:color w:val="auto"/>
          <w:sz w:val="18"/>
          <w:lang w:eastAsia="en-AU"/>
        </w:rPr>
        <w:t>S</w:t>
      </w:r>
      <w:r w:rsidRPr="00127276">
        <w:rPr>
          <w:rFonts w:ascii="Arial Narrow" w:eastAsia="Times New Roman" w:hAnsi="Arial Narrow" w:cs="Arial"/>
          <w:snapToGrid w:val="0"/>
          <w:color w:val="auto"/>
          <w:sz w:val="18"/>
          <w:lang w:eastAsia="en-AU"/>
        </w:rPr>
        <w:t>cheme</w:t>
      </w:r>
    </w:p>
    <w:p w14:paraId="7209BE04" w14:textId="4EF091E7" w:rsidR="006F2442" w:rsidRPr="00333720" w:rsidRDefault="006F2442" w:rsidP="00F73907">
      <w:pPr>
        <w:pStyle w:val="Instructionaltext"/>
        <w:spacing w:before="0" w:after="0"/>
        <w:jc w:val="both"/>
        <w:rPr>
          <w:rFonts w:ascii="Arial Narrow" w:eastAsia="Times New Roman" w:hAnsi="Arial Narrow" w:cs="Arial"/>
          <w:i/>
          <w:snapToGrid w:val="0"/>
          <w:color w:val="auto"/>
          <w:sz w:val="18"/>
          <w:lang w:eastAsia="en-AU"/>
        </w:rPr>
      </w:pPr>
      <w:r w:rsidRPr="00333720">
        <w:rPr>
          <w:rFonts w:ascii="Arial Narrow" w:eastAsia="Times New Roman" w:hAnsi="Arial Narrow" w:cs="Arial"/>
          <w:i/>
          <w:snapToGrid w:val="0"/>
          <w:color w:val="auto"/>
          <w:sz w:val="18"/>
          <w:lang w:eastAsia="en-AU"/>
        </w:rPr>
        <w:t xml:space="preserve">Note: </w:t>
      </w:r>
      <w:r w:rsidR="00F611E3">
        <w:rPr>
          <w:rFonts w:ascii="Arial Narrow" w:eastAsia="Times New Roman" w:hAnsi="Arial Narrow" w:cs="Arial"/>
          <w:i/>
          <w:snapToGrid w:val="0"/>
          <w:color w:val="auto"/>
          <w:sz w:val="18"/>
          <w:lang w:eastAsia="en-AU"/>
        </w:rPr>
        <w:t xml:space="preserve">The </w:t>
      </w:r>
      <w:r w:rsidRPr="00333720">
        <w:rPr>
          <w:rFonts w:ascii="Arial Narrow" w:eastAsia="Times New Roman" w:hAnsi="Arial Narrow" w:cs="Arial"/>
          <w:i/>
          <w:snapToGrid w:val="0"/>
          <w:color w:val="auto"/>
          <w:sz w:val="18"/>
          <w:lang w:eastAsia="en-AU"/>
        </w:rPr>
        <w:t>significance of the cost differences were not reported</w:t>
      </w:r>
      <w:r w:rsidR="00114724">
        <w:rPr>
          <w:rFonts w:ascii="Arial Narrow" w:eastAsia="Times New Roman" w:hAnsi="Arial Narrow" w:cs="Arial"/>
          <w:i/>
          <w:snapToGrid w:val="0"/>
          <w:color w:val="auto"/>
          <w:sz w:val="18"/>
          <w:lang w:eastAsia="en-AU"/>
        </w:rPr>
        <w:t xml:space="preserve"> in the ADAR</w:t>
      </w:r>
      <w:r w:rsidRPr="00333720">
        <w:rPr>
          <w:rFonts w:ascii="Arial Narrow" w:eastAsia="Times New Roman" w:hAnsi="Arial Narrow" w:cs="Arial"/>
          <w:i/>
          <w:snapToGrid w:val="0"/>
          <w:color w:val="auto"/>
          <w:sz w:val="18"/>
          <w:lang w:eastAsia="en-AU"/>
        </w:rPr>
        <w:t>, and in some cases how the</w:t>
      </w:r>
      <w:r w:rsidR="00114724">
        <w:rPr>
          <w:rFonts w:ascii="Arial Narrow" w:eastAsia="Times New Roman" w:hAnsi="Arial Narrow" w:cs="Arial"/>
          <w:i/>
          <w:snapToGrid w:val="0"/>
          <w:color w:val="auto"/>
          <w:sz w:val="18"/>
          <w:lang w:eastAsia="en-AU"/>
        </w:rPr>
        <w:t xml:space="preserve"> cost implications</w:t>
      </w:r>
      <w:r w:rsidRPr="00333720">
        <w:rPr>
          <w:rFonts w:ascii="Arial Narrow" w:eastAsia="Times New Roman" w:hAnsi="Arial Narrow" w:cs="Arial"/>
          <w:i/>
          <w:snapToGrid w:val="0"/>
          <w:color w:val="auto"/>
          <w:sz w:val="18"/>
          <w:lang w:eastAsia="en-AU"/>
        </w:rPr>
        <w:t xml:space="preserve"> were calculated made estimating the uncertainty difficult.</w:t>
      </w:r>
    </w:p>
    <w:p w14:paraId="5EBD449D" w14:textId="6B35C1B0" w:rsidR="008633DE" w:rsidRPr="00333720" w:rsidRDefault="008633DE" w:rsidP="0001555C">
      <w:pPr>
        <w:pStyle w:val="Instructionaltext"/>
        <w:spacing w:before="0" w:after="0"/>
        <w:jc w:val="both"/>
        <w:rPr>
          <w:rFonts w:ascii="Arial Narrow" w:eastAsia="Times New Roman" w:hAnsi="Arial Narrow" w:cs="Arial"/>
          <w:i/>
          <w:snapToGrid w:val="0"/>
          <w:color w:val="auto"/>
          <w:sz w:val="18"/>
          <w:lang w:eastAsia="en-AU"/>
        </w:rPr>
      </w:pPr>
      <w:r w:rsidRPr="00333720">
        <w:rPr>
          <w:rFonts w:ascii="Arial Narrow" w:eastAsia="Times New Roman" w:hAnsi="Arial Narrow" w:cs="Arial"/>
          <w:i/>
          <w:snapToGrid w:val="0"/>
          <w:color w:val="auto"/>
          <w:sz w:val="18"/>
          <w:vertAlign w:val="superscript"/>
          <w:lang w:eastAsia="en-AU"/>
        </w:rPr>
        <w:t>a</w:t>
      </w:r>
      <w:r w:rsidRPr="00333720">
        <w:rPr>
          <w:rFonts w:ascii="Arial Narrow" w:eastAsia="Times New Roman" w:hAnsi="Arial Narrow" w:cs="Arial"/>
          <w:i/>
          <w:snapToGrid w:val="0"/>
          <w:color w:val="auto"/>
          <w:sz w:val="18"/>
          <w:lang w:eastAsia="en-AU"/>
        </w:rPr>
        <w:t xml:space="preserve"> </w:t>
      </w:r>
      <w:r w:rsidR="003D38AA" w:rsidRPr="00333720">
        <w:rPr>
          <w:rFonts w:ascii="Arial Narrow" w:eastAsia="Times New Roman" w:hAnsi="Arial Narrow" w:cs="Arial"/>
          <w:i/>
          <w:snapToGrid w:val="0"/>
          <w:color w:val="auto"/>
          <w:sz w:val="18"/>
          <w:lang w:eastAsia="en-AU"/>
        </w:rPr>
        <w:t xml:space="preserve">Used to proxy for potential TAU costs </w:t>
      </w:r>
    </w:p>
    <w:p w14:paraId="3A8463BE" w14:textId="02B6749A" w:rsidR="008633DE" w:rsidRPr="00333720" w:rsidRDefault="008633DE" w:rsidP="0001555C">
      <w:pPr>
        <w:pStyle w:val="Instructionaltext"/>
        <w:spacing w:before="0" w:after="0"/>
        <w:jc w:val="both"/>
        <w:rPr>
          <w:rFonts w:ascii="Arial Narrow" w:eastAsia="Times New Roman" w:hAnsi="Arial Narrow" w:cs="Arial"/>
          <w:i/>
          <w:snapToGrid w:val="0"/>
          <w:color w:val="auto"/>
          <w:sz w:val="18"/>
          <w:lang w:eastAsia="en-AU"/>
        </w:rPr>
      </w:pPr>
      <w:r w:rsidRPr="00333720">
        <w:rPr>
          <w:rFonts w:ascii="Arial Narrow" w:eastAsia="Times New Roman" w:hAnsi="Arial Narrow" w:cs="Arial"/>
          <w:i/>
          <w:snapToGrid w:val="0"/>
          <w:color w:val="auto"/>
          <w:sz w:val="18"/>
          <w:vertAlign w:val="superscript"/>
          <w:lang w:eastAsia="en-AU"/>
        </w:rPr>
        <w:t>b</w:t>
      </w:r>
      <w:r w:rsidRPr="00333720">
        <w:rPr>
          <w:rFonts w:ascii="Arial Narrow" w:eastAsia="Times New Roman" w:hAnsi="Arial Narrow" w:cs="Arial"/>
          <w:i/>
          <w:snapToGrid w:val="0"/>
          <w:color w:val="auto"/>
          <w:sz w:val="18"/>
          <w:lang w:eastAsia="en-AU"/>
        </w:rPr>
        <w:t xml:space="preserve"> </w:t>
      </w:r>
      <w:r w:rsidR="003D38AA" w:rsidRPr="00333720">
        <w:rPr>
          <w:rFonts w:ascii="Arial Narrow" w:eastAsia="Times New Roman" w:hAnsi="Arial Narrow" w:cs="Arial"/>
          <w:i/>
          <w:snapToGrid w:val="0"/>
          <w:color w:val="auto"/>
          <w:sz w:val="18"/>
          <w:lang w:eastAsia="en-AU"/>
        </w:rPr>
        <w:t>Adjusted cost based on average script price at baseline;</w:t>
      </w:r>
      <w:r w:rsidR="00A44E97" w:rsidRPr="00333720">
        <w:rPr>
          <w:rFonts w:ascii="Arial Narrow" w:eastAsia="Times New Roman" w:hAnsi="Arial Narrow" w:cs="Arial"/>
          <w:i/>
          <w:snapToGrid w:val="0"/>
          <w:color w:val="auto"/>
          <w:sz w:val="18"/>
          <w:lang w:eastAsia="en-AU"/>
        </w:rPr>
        <w:t xml:space="preserve"> </w:t>
      </w:r>
      <w:r w:rsidR="00F73907" w:rsidRPr="00333720">
        <w:rPr>
          <w:rFonts w:ascii="Arial Narrow" w:eastAsia="Times New Roman" w:hAnsi="Arial Narrow" w:cs="Arial"/>
          <w:i/>
          <w:snapToGrid w:val="0"/>
          <w:color w:val="auto"/>
          <w:sz w:val="18"/>
          <w:lang w:eastAsia="en-AU"/>
        </w:rPr>
        <w:t xml:space="preserve">The script price in PBS data is the price for </w:t>
      </w:r>
      <w:r w:rsidR="000A15B7" w:rsidRPr="00333720">
        <w:rPr>
          <w:rFonts w:ascii="Arial Narrow" w:eastAsia="Times New Roman" w:hAnsi="Arial Narrow" w:cs="Arial"/>
          <w:i/>
          <w:snapToGrid w:val="0"/>
          <w:color w:val="auto"/>
          <w:sz w:val="18"/>
          <w:lang w:eastAsia="en-AU"/>
        </w:rPr>
        <w:t>the quantity dispensed.</w:t>
      </w:r>
    </w:p>
    <w:p w14:paraId="66B46692" w14:textId="5CE1A0AF" w:rsidR="00ED2744" w:rsidRPr="00333720" w:rsidRDefault="008633DE" w:rsidP="0001555C">
      <w:pPr>
        <w:pStyle w:val="Instructionaltext"/>
        <w:spacing w:before="0" w:after="0"/>
        <w:jc w:val="both"/>
        <w:rPr>
          <w:rFonts w:ascii="Arial Narrow" w:eastAsia="Times New Roman" w:hAnsi="Arial Narrow" w:cs="Arial"/>
          <w:i/>
          <w:snapToGrid w:val="0"/>
          <w:color w:val="auto"/>
          <w:sz w:val="18"/>
          <w:lang w:eastAsia="en-AU"/>
        </w:rPr>
      </w:pPr>
      <w:r w:rsidRPr="00333720">
        <w:rPr>
          <w:rFonts w:ascii="Arial Narrow" w:eastAsia="Times New Roman" w:hAnsi="Arial Narrow" w:cs="Arial"/>
          <w:i/>
          <w:snapToGrid w:val="0"/>
          <w:color w:val="auto"/>
          <w:sz w:val="18"/>
          <w:vertAlign w:val="superscript"/>
          <w:lang w:eastAsia="en-AU"/>
        </w:rPr>
        <w:t>c</w:t>
      </w:r>
      <w:r w:rsidRPr="00333720">
        <w:rPr>
          <w:rFonts w:ascii="Arial Narrow" w:eastAsia="Times New Roman" w:hAnsi="Arial Narrow" w:cs="Arial"/>
          <w:i/>
          <w:snapToGrid w:val="0"/>
          <w:color w:val="auto"/>
          <w:sz w:val="18"/>
          <w:lang w:eastAsia="en-AU"/>
        </w:rPr>
        <w:t xml:space="preserve"> </w:t>
      </w:r>
      <w:r w:rsidR="003D38AA" w:rsidRPr="00333720">
        <w:rPr>
          <w:rFonts w:ascii="Arial Narrow" w:eastAsia="Times New Roman" w:hAnsi="Arial Narrow" w:cs="Arial"/>
          <w:i/>
          <w:snapToGrid w:val="0"/>
          <w:color w:val="auto"/>
          <w:sz w:val="18"/>
          <w:lang w:eastAsia="en-AU"/>
        </w:rPr>
        <w:t>3 months of data</w:t>
      </w:r>
    </w:p>
    <w:p w14:paraId="12A1436D" w14:textId="394001CA" w:rsidR="006B1059" w:rsidRPr="00316466" w:rsidRDefault="001C7A20" w:rsidP="00C7722F">
      <w:pPr>
        <w:pStyle w:val="Instructionaltext-afterfiguretable"/>
        <w:keepNext/>
        <w:spacing w:before="120"/>
        <w:rPr>
          <w:color w:val="auto"/>
        </w:rPr>
      </w:pPr>
      <w:r w:rsidRPr="006F0785">
        <w:rPr>
          <w:color w:val="auto"/>
        </w:rPr>
        <w:t>The resul</w:t>
      </w:r>
      <w:r w:rsidR="006F0785" w:rsidRPr="006F0785">
        <w:rPr>
          <w:color w:val="auto"/>
        </w:rPr>
        <w:t xml:space="preserve">ts of the economic evaluation are presented </w:t>
      </w:r>
      <w:r w:rsidR="00B76E79">
        <w:rPr>
          <w:color w:val="auto"/>
        </w:rPr>
        <w:t>in tables below.</w:t>
      </w:r>
      <w:r w:rsidR="007D43C0">
        <w:rPr>
          <w:color w:val="auto"/>
        </w:rPr>
        <w:t xml:space="preserve"> </w:t>
      </w:r>
      <w:r w:rsidR="007D43C0" w:rsidRPr="002E6226">
        <w:rPr>
          <w:color w:val="auto"/>
        </w:rPr>
        <w:t xml:space="preserve">The commentary has included a revised </w:t>
      </w:r>
      <w:r w:rsidR="000A15B7">
        <w:rPr>
          <w:color w:val="auto"/>
        </w:rPr>
        <w:t xml:space="preserve">stepped </w:t>
      </w:r>
      <w:r w:rsidR="007D43C0" w:rsidRPr="002E6226">
        <w:rPr>
          <w:color w:val="auto"/>
        </w:rPr>
        <w:t xml:space="preserve">economic </w:t>
      </w:r>
      <w:r w:rsidR="000A15B7">
        <w:rPr>
          <w:color w:val="auto"/>
        </w:rPr>
        <w:t>analysis</w:t>
      </w:r>
      <w:r w:rsidR="000A15B7" w:rsidRPr="002E6226">
        <w:rPr>
          <w:color w:val="auto"/>
        </w:rPr>
        <w:t xml:space="preserve"> </w:t>
      </w:r>
      <w:r w:rsidR="00A54868" w:rsidRPr="002E6226">
        <w:rPr>
          <w:color w:val="auto"/>
        </w:rPr>
        <w:t>for Grou</w:t>
      </w:r>
      <w:r w:rsidR="00A54868" w:rsidRPr="00800F8E">
        <w:rPr>
          <w:color w:val="auto"/>
        </w:rPr>
        <w:t xml:space="preserve">p A in </w:t>
      </w:r>
      <w:r w:rsidR="009A30DB" w:rsidRPr="00800F8E">
        <w:rPr>
          <w:iCs/>
        </w:rPr>
        <w:fldChar w:fldCharType="begin"/>
      </w:r>
      <w:r w:rsidR="009A30DB" w:rsidRPr="00800F8E">
        <w:rPr>
          <w:iCs/>
          <w:color w:val="auto"/>
        </w:rPr>
        <w:instrText xml:space="preserve"> REF _Ref69726284 \h </w:instrText>
      </w:r>
      <w:r w:rsidR="00B76E79" w:rsidRPr="00800F8E">
        <w:rPr>
          <w:iCs/>
          <w:color w:val="auto"/>
        </w:rPr>
        <w:instrText xml:space="preserve"> \* MERGEFORMAT </w:instrText>
      </w:r>
      <w:r w:rsidR="009A30DB" w:rsidRPr="00800F8E">
        <w:rPr>
          <w:iCs/>
        </w:rPr>
      </w:r>
      <w:r w:rsidR="009A30DB" w:rsidRPr="00800F8E">
        <w:rPr>
          <w:iCs/>
        </w:rPr>
        <w:fldChar w:fldCharType="separate"/>
      </w:r>
      <w:r w:rsidR="00656985" w:rsidRPr="00656985">
        <w:rPr>
          <w:color w:val="auto"/>
        </w:rPr>
        <w:t>Table 11</w:t>
      </w:r>
      <w:r w:rsidR="009A30DB" w:rsidRPr="00800F8E">
        <w:rPr>
          <w:iCs/>
        </w:rPr>
        <w:fldChar w:fldCharType="end"/>
      </w:r>
      <w:r w:rsidR="00A54868" w:rsidRPr="00800F8E">
        <w:rPr>
          <w:color w:val="auto"/>
        </w:rPr>
        <w:t xml:space="preserve"> and Group </w:t>
      </w:r>
      <w:r w:rsidR="00321D41" w:rsidRPr="00800F8E">
        <w:rPr>
          <w:color w:val="auto"/>
        </w:rPr>
        <w:t>B in</w:t>
      </w:r>
      <w:r w:rsidR="009A30DB" w:rsidRPr="00316466">
        <w:rPr>
          <w:color w:val="auto"/>
        </w:rPr>
        <w:fldChar w:fldCharType="begin"/>
      </w:r>
      <w:r w:rsidR="009A30DB" w:rsidRPr="00316466">
        <w:rPr>
          <w:color w:val="auto"/>
        </w:rPr>
        <w:instrText xml:space="preserve"> REF _Ref102521839 \h </w:instrText>
      </w:r>
      <w:r w:rsidR="00B76E79" w:rsidRPr="00316466">
        <w:rPr>
          <w:color w:val="auto"/>
        </w:rPr>
        <w:instrText xml:space="preserve"> \* MERGEFORMAT </w:instrText>
      </w:r>
      <w:r w:rsidR="009A30DB" w:rsidRPr="00316466">
        <w:rPr>
          <w:color w:val="auto"/>
        </w:rPr>
      </w:r>
      <w:r w:rsidR="009A30DB" w:rsidRPr="00316466">
        <w:rPr>
          <w:color w:val="auto"/>
        </w:rPr>
        <w:fldChar w:fldCharType="separate"/>
      </w:r>
      <w:r w:rsidR="00A33020">
        <w:rPr>
          <w:color w:val="auto"/>
        </w:rPr>
        <w:t xml:space="preserve"> </w:t>
      </w:r>
      <w:r w:rsidR="00656985" w:rsidRPr="00316466">
        <w:rPr>
          <w:color w:val="auto"/>
        </w:rPr>
        <w:t>Table </w:t>
      </w:r>
      <w:r w:rsidR="00656985" w:rsidRPr="00316466">
        <w:rPr>
          <w:noProof/>
          <w:color w:val="auto"/>
        </w:rPr>
        <w:t>12</w:t>
      </w:r>
      <w:r w:rsidR="009A30DB" w:rsidRPr="00316466">
        <w:rPr>
          <w:color w:val="auto"/>
        </w:rPr>
        <w:fldChar w:fldCharType="end"/>
      </w:r>
      <w:r w:rsidR="00ED7F5E" w:rsidRPr="00316466">
        <w:rPr>
          <w:color w:val="auto"/>
        </w:rPr>
        <w:t xml:space="preserve"> which addresses some of the key issues identified</w:t>
      </w:r>
      <w:r w:rsidR="005433E1" w:rsidRPr="00316466">
        <w:rPr>
          <w:color w:val="auto"/>
        </w:rPr>
        <w:t>.</w:t>
      </w:r>
    </w:p>
    <w:p w14:paraId="31474F6F" w14:textId="048F0657" w:rsidR="00ED1823" w:rsidRDefault="00ED1823" w:rsidP="00C7722F">
      <w:pPr>
        <w:pStyle w:val="Instructionaltext-afterfiguretable"/>
        <w:keepNext/>
        <w:numPr>
          <w:ilvl w:val="0"/>
          <w:numId w:val="16"/>
        </w:numPr>
        <w:spacing w:before="120"/>
        <w:rPr>
          <w:color w:val="auto"/>
        </w:rPr>
      </w:pPr>
      <w:r>
        <w:rPr>
          <w:color w:val="auto"/>
        </w:rPr>
        <w:t xml:space="preserve">Step 1 is the base case economic evaluation presented in the ADAR. </w:t>
      </w:r>
    </w:p>
    <w:p w14:paraId="7D2C3A71" w14:textId="1B3587A3" w:rsidR="00ED1823" w:rsidRDefault="00ED1823" w:rsidP="00C7722F">
      <w:pPr>
        <w:pStyle w:val="Instructionaltext-afterfiguretable"/>
        <w:keepNext/>
        <w:numPr>
          <w:ilvl w:val="0"/>
          <w:numId w:val="16"/>
        </w:numPr>
        <w:spacing w:before="120"/>
        <w:rPr>
          <w:color w:val="auto"/>
        </w:rPr>
      </w:pPr>
      <w:r>
        <w:rPr>
          <w:color w:val="auto"/>
        </w:rPr>
        <w:t>Step 2 r</w:t>
      </w:r>
      <w:r w:rsidRPr="00ED1823">
        <w:rPr>
          <w:color w:val="auto"/>
        </w:rPr>
        <w:t>evise</w:t>
      </w:r>
      <w:r>
        <w:rPr>
          <w:color w:val="auto"/>
        </w:rPr>
        <w:t>s the</w:t>
      </w:r>
      <w:r w:rsidRPr="00ED1823">
        <w:rPr>
          <w:color w:val="auto"/>
        </w:rPr>
        <w:t xml:space="preserve"> cost</w:t>
      </w:r>
      <w:r>
        <w:rPr>
          <w:color w:val="auto"/>
        </w:rPr>
        <w:t xml:space="preserve"> of the intervention</w:t>
      </w:r>
      <w:r w:rsidRPr="00ED1823">
        <w:rPr>
          <w:color w:val="auto"/>
        </w:rPr>
        <w:t xml:space="preserve">, </w:t>
      </w:r>
      <w:r>
        <w:rPr>
          <w:color w:val="auto"/>
        </w:rPr>
        <w:t xml:space="preserve">and </w:t>
      </w:r>
      <w:r w:rsidRPr="00ED1823">
        <w:rPr>
          <w:color w:val="auto"/>
        </w:rPr>
        <w:t>assum</w:t>
      </w:r>
      <w:r>
        <w:rPr>
          <w:color w:val="auto"/>
        </w:rPr>
        <w:t>es</w:t>
      </w:r>
      <w:r w:rsidRPr="00ED1823">
        <w:rPr>
          <w:color w:val="auto"/>
        </w:rPr>
        <w:t xml:space="preserve"> there is no change in PBS and MBS usage, hospitalisations or emergency department presentations, due to the large uncertainty in the impact of the intervention on these outcomes. </w:t>
      </w:r>
      <w:r w:rsidRPr="002E6226">
        <w:rPr>
          <w:color w:val="auto"/>
        </w:rPr>
        <w:t xml:space="preserve">The intervention fee has been included as the only cost of the intervention with usual care having no incremental cost (given the large uncertainty in </w:t>
      </w:r>
      <w:r w:rsidR="005433E1">
        <w:rPr>
          <w:color w:val="auto"/>
        </w:rPr>
        <w:t xml:space="preserve">the </w:t>
      </w:r>
      <w:r w:rsidRPr="002E6226">
        <w:rPr>
          <w:color w:val="auto"/>
        </w:rPr>
        <w:t>cost implications</w:t>
      </w:r>
      <w:r w:rsidR="005433E1">
        <w:rPr>
          <w:color w:val="auto"/>
        </w:rPr>
        <w:t xml:space="preserve"> of </w:t>
      </w:r>
      <w:r w:rsidR="005433E1" w:rsidRPr="00ED1823">
        <w:rPr>
          <w:color w:val="auto"/>
        </w:rPr>
        <w:t xml:space="preserve">PBS and MBS usage, hospitalisations </w:t>
      </w:r>
      <w:r w:rsidR="005433E1">
        <w:rPr>
          <w:color w:val="auto"/>
        </w:rPr>
        <w:t xml:space="preserve">and </w:t>
      </w:r>
      <w:r w:rsidR="005433E1" w:rsidRPr="00ED1823">
        <w:rPr>
          <w:color w:val="auto"/>
        </w:rPr>
        <w:t>emergency department presentations</w:t>
      </w:r>
      <w:r w:rsidR="005433E1">
        <w:rPr>
          <w:color w:val="auto"/>
        </w:rPr>
        <w:t>,</w:t>
      </w:r>
      <w:r w:rsidRPr="002E6226">
        <w:rPr>
          <w:color w:val="auto"/>
        </w:rPr>
        <w:t xml:space="preserve"> no cost differences have been assumed).  </w:t>
      </w:r>
    </w:p>
    <w:p w14:paraId="6DCF182A" w14:textId="6EBC030C" w:rsidR="00ED1823" w:rsidRDefault="00ED1823" w:rsidP="00C7722F">
      <w:pPr>
        <w:pStyle w:val="Instructionaltext-afterfiguretable"/>
        <w:keepNext/>
        <w:numPr>
          <w:ilvl w:val="0"/>
          <w:numId w:val="16"/>
        </w:numPr>
        <w:spacing w:before="120"/>
        <w:rPr>
          <w:color w:val="auto"/>
        </w:rPr>
      </w:pPr>
      <w:r>
        <w:rPr>
          <w:color w:val="auto"/>
        </w:rPr>
        <w:t>Step 3 r</w:t>
      </w:r>
      <w:r w:rsidRPr="00ED1823">
        <w:rPr>
          <w:color w:val="auto"/>
        </w:rPr>
        <w:t>evise</w:t>
      </w:r>
      <w:r>
        <w:rPr>
          <w:color w:val="auto"/>
        </w:rPr>
        <w:t>s the</w:t>
      </w:r>
      <w:r w:rsidRPr="00ED1823">
        <w:rPr>
          <w:color w:val="auto"/>
        </w:rPr>
        <w:t xml:space="preserve"> QALYs </w:t>
      </w:r>
      <w:r>
        <w:rPr>
          <w:color w:val="auto"/>
        </w:rPr>
        <w:t xml:space="preserve">to include </w:t>
      </w:r>
      <w:r w:rsidRPr="00ED1823">
        <w:rPr>
          <w:color w:val="auto"/>
        </w:rPr>
        <w:t>time spent in the health state,</w:t>
      </w:r>
      <w:r>
        <w:rPr>
          <w:color w:val="auto"/>
        </w:rPr>
        <w:t xml:space="preserve"> and</w:t>
      </w:r>
      <w:r w:rsidRPr="00ED1823">
        <w:rPr>
          <w:color w:val="auto"/>
        </w:rPr>
        <w:t xml:space="preserve"> assum</w:t>
      </w:r>
      <w:r>
        <w:rPr>
          <w:color w:val="auto"/>
        </w:rPr>
        <w:t>es</w:t>
      </w:r>
      <w:r w:rsidRPr="00ED1823">
        <w:rPr>
          <w:color w:val="auto"/>
        </w:rPr>
        <w:t xml:space="preserve"> all participants achieve</w:t>
      </w:r>
      <w:r>
        <w:rPr>
          <w:color w:val="auto"/>
        </w:rPr>
        <w:t>d</w:t>
      </w:r>
      <w:r w:rsidRPr="00ED1823">
        <w:rPr>
          <w:color w:val="auto"/>
        </w:rPr>
        <w:t xml:space="preserve"> the improved AQoL-4D score immediately following the intervention </w:t>
      </w:r>
      <w:r w:rsidRPr="00ED1823">
        <w:rPr>
          <w:color w:val="auto"/>
        </w:rPr>
        <w:lastRenderedPageBreak/>
        <w:t>and spend three months at the improved health state. This also assumes that those lost to follow-up would have received this same benefit which is highly uncertain.</w:t>
      </w:r>
    </w:p>
    <w:p w14:paraId="3DCDC4C4" w14:textId="0C8E1EB5" w:rsidR="00ED1823" w:rsidRPr="002E6226" w:rsidRDefault="00ED1823" w:rsidP="00C7722F">
      <w:pPr>
        <w:pStyle w:val="Instructionaltext-afterfiguretable"/>
        <w:keepNext/>
        <w:numPr>
          <w:ilvl w:val="0"/>
          <w:numId w:val="16"/>
        </w:numPr>
        <w:spacing w:before="120"/>
        <w:rPr>
          <w:color w:val="auto"/>
        </w:rPr>
      </w:pPr>
      <w:r>
        <w:rPr>
          <w:color w:val="auto"/>
        </w:rPr>
        <w:t>Step 4 applies the</w:t>
      </w:r>
      <w:r w:rsidRPr="00ED1823">
        <w:rPr>
          <w:color w:val="auto"/>
        </w:rPr>
        <w:t xml:space="preserve"> study attrition rates (</w:t>
      </w:r>
      <w:r>
        <w:rPr>
          <w:color w:val="auto"/>
        </w:rPr>
        <w:t xml:space="preserve">34% in Group A and </w:t>
      </w:r>
      <w:r w:rsidRPr="00ED1823">
        <w:rPr>
          <w:color w:val="auto"/>
        </w:rPr>
        <w:t xml:space="preserve">61% in Group B) to </w:t>
      </w:r>
      <w:r>
        <w:rPr>
          <w:color w:val="auto"/>
        </w:rPr>
        <w:t xml:space="preserve">the </w:t>
      </w:r>
      <w:r w:rsidRPr="00ED1823">
        <w:rPr>
          <w:color w:val="auto"/>
        </w:rPr>
        <w:t xml:space="preserve">cost of the intervention and </w:t>
      </w:r>
      <w:r>
        <w:rPr>
          <w:color w:val="auto"/>
        </w:rPr>
        <w:t xml:space="preserve">the </w:t>
      </w:r>
      <w:r w:rsidRPr="00ED1823">
        <w:rPr>
          <w:color w:val="auto"/>
        </w:rPr>
        <w:t xml:space="preserve">QALYs, </w:t>
      </w:r>
      <w:r>
        <w:rPr>
          <w:color w:val="auto"/>
        </w:rPr>
        <w:t xml:space="preserve">and </w:t>
      </w:r>
      <w:r w:rsidRPr="00ED1823">
        <w:rPr>
          <w:color w:val="auto"/>
        </w:rPr>
        <w:t>assum</w:t>
      </w:r>
      <w:r>
        <w:rPr>
          <w:color w:val="auto"/>
        </w:rPr>
        <w:t>es</w:t>
      </w:r>
      <w:r w:rsidRPr="00ED1823">
        <w:rPr>
          <w:color w:val="auto"/>
        </w:rPr>
        <w:t xml:space="preserve"> that participants lost to </w:t>
      </w:r>
      <w:r w:rsidR="00DB50F9">
        <w:rPr>
          <w:color w:val="auto"/>
        </w:rPr>
        <w:t xml:space="preserve">follow-up </w:t>
      </w:r>
      <w:r w:rsidRPr="00ED1823">
        <w:rPr>
          <w:color w:val="auto"/>
        </w:rPr>
        <w:t xml:space="preserve">did not experience any change in AQoL-4D score </w:t>
      </w:r>
      <w:r>
        <w:rPr>
          <w:color w:val="auto"/>
        </w:rPr>
        <w:t>while</w:t>
      </w:r>
      <w:r w:rsidRPr="00ED1823">
        <w:rPr>
          <w:color w:val="auto"/>
        </w:rPr>
        <w:t xml:space="preserve"> participants who completed </w:t>
      </w:r>
      <w:r w:rsidR="00DB50F9">
        <w:rPr>
          <w:color w:val="auto"/>
        </w:rPr>
        <w:t xml:space="preserve">follow-up </w:t>
      </w:r>
      <w:r w:rsidRPr="00ED1823">
        <w:rPr>
          <w:color w:val="auto"/>
        </w:rPr>
        <w:t>experienced the full improvement in AQoL-4D score immediately following the intervention. Regression to the mean is still not considered.</w:t>
      </w:r>
    </w:p>
    <w:p w14:paraId="5279437E" w14:textId="679172C7" w:rsidR="00890194" w:rsidRPr="002E6226" w:rsidRDefault="00815215" w:rsidP="00C7722F">
      <w:pPr>
        <w:pStyle w:val="Instructionaltext-afterfiguretable"/>
        <w:keepNext/>
        <w:spacing w:before="120"/>
        <w:rPr>
          <w:color w:val="auto"/>
        </w:rPr>
      </w:pPr>
      <w:bookmarkStart w:id="37" w:name="_Hlk102524072"/>
      <w:r w:rsidRPr="002E6226">
        <w:rPr>
          <w:color w:val="auto"/>
        </w:rPr>
        <w:t>The revised base case results</w:t>
      </w:r>
      <w:r w:rsidR="00566BD1">
        <w:rPr>
          <w:color w:val="auto"/>
        </w:rPr>
        <w:t xml:space="preserve"> (Step 4)</w:t>
      </w:r>
      <w:r w:rsidRPr="002E6226">
        <w:rPr>
          <w:color w:val="auto"/>
        </w:rPr>
        <w:t xml:space="preserve"> indicated</w:t>
      </w:r>
      <w:r w:rsidR="00A33020">
        <w:rPr>
          <w:color w:val="auto"/>
        </w:rPr>
        <w:t xml:space="preserve"> Incremental Cost-Effectiveness Ratios</w:t>
      </w:r>
      <w:r w:rsidRPr="002E6226">
        <w:rPr>
          <w:color w:val="auto"/>
        </w:rPr>
        <w:t xml:space="preserve"> </w:t>
      </w:r>
      <w:r w:rsidR="00A33020">
        <w:rPr>
          <w:color w:val="auto"/>
        </w:rPr>
        <w:t>(</w:t>
      </w:r>
      <w:r w:rsidR="00AF2C13" w:rsidRPr="002E6226">
        <w:rPr>
          <w:color w:val="auto"/>
        </w:rPr>
        <w:t>ICERs</w:t>
      </w:r>
      <w:r w:rsidR="00A33020">
        <w:rPr>
          <w:color w:val="auto"/>
        </w:rPr>
        <w:t>)</w:t>
      </w:r>
      <w:r w:rsidR="00AF2C13" w:rsidRPr="002E6226">
        <w:rPr>
          <w:color w:val="auto"/>
        </w:rPr>
        <w:t xml:space="preserve"> </w:t>
      </w:r>
      <w:r w:rsidRPr="002E6226">
        <w:rPr>
          <w:color w:val="auto"/>
        </w:rPr>
        <w:t>of $14,552 and $7,897</w:t>
      </w:r>
      <w:r w:rsidR="00AF2C13" w:rsidRPr="002E6226">
        <w:rPr>
          <w:color w:val="auto"/>
        </w:rPr>
        <w:t xml:space="preserve"> per QALY gained</w:t>
      </w:r>
      <w:r w:rsidR="002D7531">
        <w:rPr>
          <w:color w:val="auto"/>
        </w:rPr>
        <w:t xml:space="preserve"> for Group A and B, respectively</w:t>
      </w:r>
      <w:r w:rsidR="00AF2C13" w:rsidRPr="002E6226">
        <w:rPr>
          <w:color w:val="auto"/>
        </w:rPr>
        <w:t xml:space="preserve">, </w:t>
      </w:r>
      <w:r w:rsidR="002D7531" w:rsidRPr="002E6226">
        <w:rPr>
          <w:color w:val="auto"/>
        </w:rPr>
        <w:t>However</w:t>
      </w:r>
      <w:r w:rsidR="002D7531">
        <w:rPr>
          <w:color w:val="auto"/>
        </w:rPr>
        <w:t>,</w:t>
      </w:r>
      <w:r w:rsidR="002D7531" w:rsidRPr="002E6226">
        <w:rPr>
          <w:color w:val="auto"/>
        </w:rPr>
        <w:t xml:space="preserve"> </w:t>
      </w:r>
      <w:r w:rsidR="00AF2C13" w:rsidRPr="002E6226">
        <w:rPr>
          <w:color w:val="auto"/>
        </w:rPr>
        <w:t xml:space="preserve">these are still highly uncertain </w:t>
      </w:r>
      <w:r w:rsidR="002D7531">
        <w:rPr>
          <w:color w:val="auto"/>
        </w:rPr>
        <w:t>g</w:t>
      </w:r>
      <w:r w:rsidR="00AF2C13" w:rsidRPr="002E6226">
        <w:rPr>
          <w:color w:val="auto"/>
        </w:rPr>
        <w:t>iven the uncertain clinical benefit</w:t>
      </w:r>
      <w:r w:rsidR="005433E1">
        <w:rPr>
          <w:color w:val="auto"/>
        </w:rPr>
        <w:t xml:space="preserve"> compared to usual care.</w:t>
      </w:r>
      <w:r w:rsidR="00AF2C13" w:rsidRPr="002E6226">
        <w:rPr>
          <w:color w:val="auto"/>
        </w:rPr>
        <w:t xml:space="preserve"> </w:t>
      </w:r>
      <w:r w:rsidR="005433E1">
        <w:rPr>
          <w:color w:val="auto"/>
        </w:rPr>
        <w:t>T</w:t>
      </w:r>
      <w:r w:rsidR="00AF2C13" w:rsidRPr="002E6226">
        <w:rPr>
          <w:color w:val="auto"/>
        </w:rPr>
        <w:t xml:space="preserve">he likelihood that both Group A and Group B are </w:t>
      </w:r>
      <w:r w:rsidR="005433E1">
        <w:rPr>
          <w:color w:val="auto"/>
        </w:rPr>
        <w:t>less cost effective than</w:t>
      </w:r>
      <w:r w:rsidR="00AF2C13" w:rsidRPr="002E6226">
        <w:rPr>
          <w:color w:val="auto"/>
        </w:rPr>
        <w:t xml:space="preserve"> </w:t>
      </w:r>
      <w:r w:rsidR="005433E1">
        <w:rPr>
          <w:color w:val="auto"/>
        </w:rPr>
        <w:t>usual care</w:t>
      </w:r>
      <w:r w:rsidR="00AF2C13" w:rsidRPr="002E6226">
        <w:rPr>
          <w:color w:val="auto"/>
        </w:rPr>
        <w:t xml:space="preserve"> </w:t>
      </w:r>
      <w:r w:rsidR="005433E1">
        <w:rPr>
          <w:color w:val="auto"/>
        </w:rPr>
        <w:t>can</w:t>
      </w:r>
      <w:r w:rsidR="00AF2C13" w:rsidRPr="002E6226">
        <w:rPr>
          <w:color w:val="auto"/>
        </w:rPr>
        <w:t>not be excluded.</w:t>
      </w:r>
    </w:p>
    <w:p w14:paraId="1B770181" w14:textId="1B73F2DC" w:rsidR="002F32FB" w:rsidRPr="00CE28E3" w:rsidRDefault="002F32FB" w:rsidP="0001555C">
      <w:pPr>
        <w:pStyle w:val="Caption"/>
        <w:jc w:val="both"/>
      </w:pPr>
      <w:bookmarkStart w:id="38" w:name="_Ref69726284"/>
      <w:bookmarkStart w:id="39" w:name="_Ref100063318"/>
      <w:bookmarkEnd w:id="37"/>
      <w:r w:rsidRPr="00CE28E3">
        <w:t>Table</w:t>
      </w:r>
      <w:r w:rsidR="003571C2">
        <w:t> </w:t>
      </w:r>
      <w:fldSimple w:instr=" SEQ Table \* ARABIC ">
        <w:r w:rsidR="00656985">
          <w:rPr>
            <w:noProof/>
          </w:rPr>
          <w:t>11</w:t>
        </w:r>
      </w:fldSimple>
      <w:bookmarkEnd w:id="38"/>
      <w:r w:rsidRPr="00CE28E3">
        <w:tab/>
      </w:r>
      <w:r w:rsidR="00BB7A48">
        <w:tab/>
      </w:r>
      <w:r w:rsidRPr="00CE28E3">
        <w:t>Results of the economic evaluation</w:t>
      </w:r>
      <w:bookmarkEnd w:id="39"/>
      <w:r w:rsidR="00321D41">
        <w:t xml:space="preserve"> and stepped economic analysis for Group A</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99200D" w:rsidRPr="00CE28E3" w14:paraId="53D609F0" w14:textId="77777777" w:rsidTr="00D91580">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1B167420" w14:textId="77777777" w:rsidR="0099200D" w:rsidRPr="00CE28E3" w:rsidRDefault="0099200D" w:rsidP="00D91580">
            <w:pPr>
              <w:pStyle w:val="TableHeading"/>
            </w:pPr>
            <w:r>
              <w:t>Step</w:t>
            </w:r>
          </w:p>
        </w:tc>
        <w:tc>
          <w:tcPr>
            <w:tcW w:w="734" w:type="pct"/>
            <w:noWrap/>
            <w:hideMark/>
          </w:tcPr>
          <w:p w14:paraId="4771A559" w14:textId="77777777" w:rsidR="0099200D" w:rsidRPr="00CE28E3" w:rsidRDefault="0099200D" w:rsidP="00D91580">
            <w:pPr>
              <w:pStyle w:val="TableHeading"/>
              <w:jc w:val="center"/>
            </w:pPr>
            <w:r>
              <w:t>CMPC Intervention</w:t>
            </w:r>
          </w:p>
        </w:tc>
        <w:tc>
          <w:tcPr>
            <w:tcW w:w="734" w:type="pct"/>
            <w:noWrap/>
            <w:hideMark/>
          </w:tcPr>
          <w:p w14:paraId="6DE12A3C" w14:textId="77777777" w:rsidR="0099200D" w:rsidRPr="00CE28E3" w:rsidRDefault="0099200D" w:rsidP="00D91580">
            <w:pPr>
              <w:pStyle w:val="TableHeading"/>
              <w:jc w:val="center"/>
            </w:pPr>
            <w:r>
              <w:t>Baseline</w:t>
            </w:r>
          </w:p>
        </w:tc>
        <w:tc>
          <w:tcPr>
            <w:tcW w:w="734" w:type="pct"/>
            <w:noWrap/>
            <w:hideMark/>
          </w:tcPr>
          <w:p w14:paraId="721E3701" w14:textId="77777777" w:rsidR="0099200D" w:rsidRPr="00CE28E3" w:rsidRDefault="0099200D" w:rsidP="00D91580">
            <w:pPr>
              <w:pStyle w:val="TableHeading"/>
              <w:jc w:val="center"/>
            </w:pPr>
            <w:r w:rsidRPr="009E23EC">
              <w:t>Increment</w:t>
            </w:r>
          </w:p>
        </w:tc>
        <w:tc>
          <w:tcPr>
            <w:tcW w:w="835" w:type="pct"/>
          </w:tcPr>
          <w:p w14:paraId="0C312145" w14:textId="77777777" w:rsidR="0099200D" w:rsidRPr="00CE28E3" w:rsidRDefault="0099200D" w:rsidP="00D91580">
            <w:pPr>
              <w:pStyle w:val="TableHeading"/>
              <w:jc w:val="center"/>
            </w:pPr>
            <w:r w:rsidRPr="00CE28E3">
              <w:t>ICER</w:t>
            </w:r>
          </w:p>
        </w:tc>
      </w:tr>
      <w:tr w:rsidR="0099200D" w:rsidRPr="00CE28E3" w14:paraId="4CF45483" w14:textId="77777777" w:rsidTr="00D91580">
        <w:trPr>
          <w:cantSplit/>
          <w:trHeight w:val="300"/>
        </w:trPr>
        <w:tc>
          <w:tcPr>
            <w:tcW w:w="5000" w:type="pct"/>
            <w:gridSpan w:val="5"/>
            <w:tcBorders>
              <w:bottom w:val="single" w:sz="4" w:space="0" w:color="auto"/>
            </w:tcBorders>
            <w:noWrap/>
            <w:hideMark/>
          </w:tcPr>
          <w:p w14:paraId="55482D07" w14:textId="6F9C3715" w:rsidR="0099200D" w:rsidRPr="00CE28E3" w:rsidRDefault="0099200D" w:rsidP="00D91580">
            <w:pPr>
              <w:pStyle w:val="Tabletext0"/>
              <w:jc w:val="left"/>
            </w:pPr>
            <w:r w:rsidRPr="00CE28E3">
              <w:t xml:space="preserve">Step 1 – </w:t>
            </w:r>
            <w:r w:rsidR="00DC7255">
              <w:t xml:space="preserve">Base case presented in Table 103 of </w:t>
            </w:r>
            <w:r>
              <w:t>ADAR</w:t>
            </w:r>
          </w:p>
        </w:tc>
      </w:tr>
      <w:tr w:rsidR="0099200D" w:rsidRPr="00CE28E3" w14:paraId="3DF28460" w14:textId="77777777" w:rsidTr="00D91580">
        <w:trPr>
          <w:cantSplit/>
          <w:trHeight w:val="300"/>
        </w:trPr>
        <w:tc>
          <w:tcPr>
            <w:tcW w:w="1963" w:type="pct"/>
            <w:tcBorders>
              <w:bottom w:val="nil"/>
            </w:tcBorders>
            <w:noWrap/>
          </w:tcPr>
          <w:p w14:paraId="545AFFCD" w14:textId="77777777" w:rsidR="0099200D" w:rsidRPr="00CE28E3" w:rsidRDefault="0099200D" w:rsidP="00D91580">
            <w:pPr>
              <w:pStyle w:val="Tabletext0"/>
            </w:pPr>
            <w:r>
              <w:t>Costs</w:t>
            </w:r>
          </w:p>
        </w:tc>
        <w:tc>
          <w:tcPr>
            <w:tcW w:w="734" w:type="pct"/>
            <w:tcBorders>
              <w:bottom w:val="nil"/>
            </w:tcBorders>
            <w:noWrap/>
          </w:tcPr>
          <w:p w14:paraId="42144FFD" w14:textId="77777777" w:rsidR="0099200D" w:rsidRPr="00CE28E3" w:rsidRDefault="0099200D" w:rsidP="00D91580">
            <w:pPr>
              <w:pStyle w:val="Tabletext0"/>
              <w:jc w:val="right"/>
            </w:pPr>
            <w:r>
              <w:t>$1,378.46</w:t>
            </w:r>
          </w:p>
        </w:tc>
        <w:tc>
          <w:tcPr>
            <w:tcW w:w="734" w:type="pct"/>
            <w:tcBorders>
              <w:bottom w:val="nil"/>
            </w:tcBorders>
            <w:noWrap/>
          </w:tcPr>
          <w:p w14:paraId="204D61B2" w14:textId="77777777" w:rsidR="0099200D" w:rsidRPr="00CE28E3" w:rsidRDefault="0099200D" w:rsidP="00D91580">
            <w:pPr>
              <w:pStyle w:val="Tabletext0"/>
              <w:jc w:val="right"/>
            </w:pPr>
            <w:r>
              <w:t>$1,513.57</w:t>
            </w:r>
          </w:p>
        </w:tc>
        <w:tc>
          <w:tcPr>
            <w:tcW w:w="734" w:type="pct"/>
            <w:tcBorders>
              <w:bottom w:val="nil"/>
            </w:tcBorders>
            <w:noWrap/>
          </w:tcPr>
          <w:p w14:paraId="53A9B9C3" w14:textId="77777777" w:rsidR="0099200D" w:rsidRPr="00CE28E3" w:rsidRDefault="0099200D" w:rsidP="00D91580">
            <w:pPr>
              <w:pStyle w:val="Tabletext0"/>
              <w:jc w:val="right"/>
            </w:pPr>
            <w:r>
              <w:t>-$135.11</w:t>
            </w:r>
          </w:p>
        </w:tc>
        <w:tc>
          <w:tcPr>
            <w:tcW w:w="835" w:type="pct"/>
            <w:tcBorders>
              <w:bottom w:val="nil"/>
            </w:tcBorders>
          </w:tcPr>
          <w:p w14:paraId="31484E59" w14:textId="77777777" w:rsidR="0099200D" w:rsidRPr="00CE28E3" w:rsidRDefault="0099200D" w:rsidP="00D91580">
            <w:pPr>
              <w:pStyle w:val="Tabletext0"/>
              <w:jc w:val="right"/>
            </w:pPr>
          </w:p>
        </w:tc>
      </w:tr>
      <w:tr w:rsidR="0099200D" w:rsidRPr="00CE28E3" w14:paraId="006FDED7" w14:textId="77777777" w:rsidTr="00D91580">
        <w:trPr>
          <w:cantSplit/>
          <w:trHeight w:val="300"/>
        </w:trPr>
        <w:tc>
          <w:tcPr>
            <w:tcW w:w="1963" w:type="pct"/>
            <w:tcBorders>
              <w:top w:val="nil"/>
            </w:tcBorders>
            <w:noWrap/>
          </w:tcPr>
          <w:p w14:paraId="1BCD1AC3" w14:textId="77777777" w:rsidR="0099200D" w:rsidRDefault="0099200D" w:rsidP="00D91580">
            <w:pPr>
              <w:pStyle w:val="Tabletext0"/>
            </w:pPr>
            <w:r>
              <w:t>QALYs</w:t>
            </w:r>
          </w:p>
        </w:tc>
        <w:tc>
          <w:tcPr>
            <w:tcW w:w="734" w:type="pct"/>
            <w:tcBorders>
              <w:top w:val="nil"/>
            </w:tcBorders>
            <w:noWrap/>
          </w:tcPr>
          <w:p w14:paraId="2688740C" w14:textId="77777777" w:rsidR="0099200D" w:rsidRPr="00CE28E3" w:rsidRDefault="0099200D" w:rsidP="00D91580">
            <w:pPr>
              <w:pStyle w:val="Tabletext0"/>
              <w:jc w:val="right"/>
            </w:pPr>
            <w:r>
              <w:t>0.63</w:t>
            </w:r>
          </w:p>
        </w:tc>
        <w:tc>
          <w:tcPr>
            <w:tcW w:w="734" w:type="pct"/>
            <w:tcBorders>
              <w:top w:val="nil"/>
            </w:tcBorders>
            <w:noWrap/>
          </w:tcPr>
          <w:p w14:paraId="5BD8B597" w14:textId="77777777" w:rsidR="0099200D" w:rsidRPr="00CE28E3" w:rsidRDefault="0099200D" w:rsidP="00D91580">
            <w:pPr>
              <w:pStyle w:val="Tabletext0"/>
              <w:jc w:val="right"/>
            </w:pPr>
            <w:r>
              <w:t>0.58</w:t>
            </w:r>
          </w:p>
        </w:tc>
        <w:tc>
          <w:tcPr>
            <w:tcW w:w="734" w:type="pct"/>
            <w:tcBorders>
              <w:top w:val="nil"/>
            </w:tcBorders>
            <w:noWrap/>
          </w:tcPr>
          <w:p w14:paraId="23BB5BC4" w14:textId="77777777" w:rsidR="0099200D" w:rsidRPr="00CE28E3" w:rsidRDefault="0099200D" w:rsidP="00D91580">
            <w:pPr>
              <w:pStyle w:val="Tabletext0"/>
              <w:jc w:val="right"/>
            </w:pPr>
            <w:r>
              <w:t>0.05</w:t>
            </w:r>
          </w:p>
        </w:tc>
        <w:tc>
          <w:tcPr>
            <w:tcW w:w="835" w:type="pct"/>
            <w:tcBorders>
              <w:top w:val="nil"/>
            </w:tcBorders>
          </w:tcPr>
          <w:p w14:paraId="65BC35FC" w14:textId="77777777" w:rsidR="0099200D" w:rsidRPr="00CE28E3" w:rsidRDefault="0099200D" w:rsidP="00D91580">
            <w:pPr>
              <w:pStyle w:val="Tabletext0"/>
              <w:jc w:val="right"/>
            </w:pPr>
            <w:r>
              <w:t>DOMINANT</w:t>
            </w:r>
          </w:p>
        </w:tc>
      </w:tr>
      <w:tr w:rsidR="0099200D" w:rsidRPr="00333720" w14:paraId="355CBAF3" w14:textId="77777777" w:rsidTr="00D91580">
        <w:trPr>
          <w:cantSplit/>
          <w:trHeight w:val="300"/>
        </w:trPr>
        <w:tc>
          <w:tcPr>
            <w:tcW w:w="5000" w:type="pct"/>
            <w:gridSpan w:val="5"/>
            <w:tcBorders>
              <w:bottom w:val="single" w:sz="4" w:space="0" w:color="auto"/>
            </w:tcBorders>
            <w:noWrap/>
            <w:hideMark/>
          </w:tcPr>
          <w:p w14:paraId="5EC48CDC" w14:textId="5AA0212E" w:rsidR="0099200D" w:rsidRPr="00333720" w:rsidRDefault="0099200D" w:rsidP="00D91580">
            <w:pPr>
              <w:pStyle w:val="Tabletext0"/>
              <w:jc w:val="left"/>
              <w:rPr>
                <w:i/>
              </w:rPr>
            </w:pPr>
            <w:r w:rsidRPr="00333720">
              <w:rPr>
                <w:i/>
              </w:rPr>
              <w:t xml:space="preserve">Step 2 – </w:t>
            </w:r>
            <w:r w:rsidR="002D7531" w:rsidRPr="00333720">
              <w:rPr>
                <w:i/>
              </w:rPr>
              <w:t>Revised cost of the intervention due to the large uncertainty in the cost implications</w:t>
            </w:r>
          </w:p>
        </w:tc>
      </w:tr>
      <w:tr w:rsidR="0099200D" w:rsidRPr="00333720" w14:paraId="2B05F20D" w14:textId="77777777" w:rsidTr="00D91580">
        <w:trPr>
          <w:cantSplit/>
          <w:trHeight w:val="300"/>
        </w:trPr>
        <w:tc>
          <w:tcPr>
            <w:tcW w:w="1963" w:type="pct"/>
            <w:tcBorders>
              <w:bottom w:val="nil"/>
            </w:tcBorders>
            <w:noWrap/>
          </w:tcPr>
          <w:p w14:paraId="417CD837" w14:textId="77777777" w:rsidR="0099200D" w:rsidRPr="00333720" w:rsidRDefault="0099200D" w:rsidP="00D91580">
            <w:pPr>
              <w:pStyle w:val="Tabletext0"/>
              <w:rPr>
                <w:i/>
              </w:rPr>
            </w:pPr>
            <w:r w:rsidRPr="00333720">
              <w:rPr>
                <w:i/>
              </w:rPr>
              <w:t>Costs</w:t>
            </w:r>
          </w:p>
        </w:tc>
        <w:tc>
          <w:tcPr>
            <w:tcW w:w="734" w:type="pct"/>
            <w:tcBorders>
              <w:bottom w:val="nil"/>
            </w:tcBorders>
            <w:noWrap/>
          </w:tcPr>
          <w:p w14:paraId="6D7F8AF2" w14:textId="77777777" w:rsidR="0099200D" w:rsidRPr="00333720" w:rsidRDefault="0099200D" w:rsidP="00D91580">
            <w:pPr>
              <w:pStyle w:val="Tabletext0"/>
              <w:jc w:val="right"/>
              <w:rPr>
                <w:i/>
              </w:rPr>
            </w:pPr>
            <w:r w:rsidRPr="00333720">
              <w:rPr>
                <w:i/>
              </w:rPr>
              <w:t>$1,644.54</w:t>
            </w:r>
          </w:p>
        </w:tc>
        <w:tc>
          <w:tcPr>
            <w:tcW w:w="734" w:type="pct"/>
            <w:tcBorders>
              <w:bottom w:val="nil"/>
            </w:tcBorders>
            <w:noWrap/>
          </w:tcPr>
          <w:p w14:paraId="5102655E" w14:textId="77777777" w:rsidR="0099200D" w:rsidRPr="00333720" w:rsidRDefault="0099200D" w:rsidP="00D91580">
            <w:pPr>
              <w:pStyle w:val="Tabletext0"/>
              <w:jc w:val="right"/>
              <w:rPr>
                <w:i/>
              </w:rPr>
            </w:pPr>
            <w:r w:rsidRPr="00333720">
              <w:rPr>
                <w:i/>
              </w:rPr>
              <w:t>$1,513.57</w:t>
            </w:r>
          </w:p>
        </w:tc>
        <w:tc>
          <w:tcPr>
            <w:tcW w:w="734" w:type="pct"/>
            <w:tcBorders>
              <w:bottom w:val="nil"/>
            </w:tcBorders>
            <w:noWrap/>
          </w:tcPr>
          <w:p w14:paraId="63F79FF0" w14:textId="77777777" w:rsidR="0099200D" w:rsidRPr="00333720" w:rsidRDefault="0099200D" w:rsidP="00D91580">
            <w:pPr>
              <w:pStyle w:val="Tabletext0"/>
              <w:jc w:val="right"/>
              <w:rPr>
                <w:i/>
              </w:rPr>
            </w:pPr>
            <w:r w:rsidRPr="00333720">
              <w:rPr>
                <w:i/>
              </w:rPr>
              <w:t>$131.22</w:t>
            </w:r>
          </w:p>
        </w:tc>
        <w:tc>
          <w:tcPr>
            <w:tcW w:w="835" w:type="pct"/>
            <w:tcBorders>
              <w:bottom w:val="nil"/>
            </w:tcBorders>
          </w:tcPr>
          <w:p w14:paraId="2DBF9D65" w14:textId="77777777" w:rsidR="0099200D" w:rsidRPr="00333720" w:rsidRDefault="0099200D" w:rsidP="00D91580">
            <w:pPr>
              <w:pStyle w:val="Tabletext0"/>
              <w:jc w:val="right"/>
              <w:rPr>
                <w:i/>
              </w:rPr>
            </w:pPr>
          </w:p>
        </w:tc>
      </w:tr>
      <w:tr w:rsidR="0099200D" w:rsidRPr="00333720" w14:paraId="027FCA3E" w14:textId="77777777" w:rsidTr="00D91580">
        <w:trPr>
          <w:cantSplit/>
          <w:trHeight w:val="300"/>
        </w:trPr>
        <w:tc>
          <w:tcPr>
            <w:tcW w:w="1963" w:type="pct"/>
            <w:tcBorders>
              <w:top w:val="nil"/>
            </w:tcBorders>
            <w:noWrap/>
          </w:tcPr>
          <w:p w14:paraId="1E23A5B5" w14:textId="77777777" w:rsidR="0099200D" w:rsidRPr="00333720" w:rsidRDefault="0099200D" w:rsidP="00D91580">
            <w:pPr>
              <w:pStyle w:val="Tabletext0"/>
              <w:rPr>
                <w:i/>
              </w:rPr>
            </w:pPr>
            <w:r w:rsidRPr="00333720">
              <w:rPr>
                <w:i/>
              </w:rPr>
              <w:t>QALYs</w:t>
            </w:r>
          </w:p>
        </w:tc>
        <w:tc>
          <w:tcPr>
            <w:tcW w:w="734" w:type="pct"/>
            <w:tcBorders>
              <w:top w:val="nil"/>
            </w:tcBorders>
            <w:noWrap/>
          </w:tcPr>
          <w:p w14:paraId="5898C115" w14:textId="77777777" w:rsidR="0099200D" w:rsidRPr="00333720" w:rsidRDefault="0099200D" w:rsidP="00D91580">
            <w:pPr>
              <w:pStyle w:val="Tabletext0"/>
              <w:jc w:val="right"/>
              <w:rPr>
                <w:i/>
              </w:rPr>
            </w:pPr>
            <w:r w:rsidRPr="00333720">
              <w:rPr>
                <w:i/>
              </w:rPr>
              <w:t>0.63</w:t>
            </w:r>
          </w:p>
        </w:tc>
        <w:tc>
          <w:tcPr>
            <w:tcW w:w="734" w:type="pct"/>
            <w:tcBorders>
              <w:top w:val="nil"/>
            </w:tcBorders>
            <w:noWrap/>
          </w:tcPr>
          <w:p w14:paraId="77342289" w14:textId="77777777" w:rsidR="0099200D" w:rsidRPr="00333720" w:rsidRDefault="0099200D" w:rsidP="00D91580">
            <w:pPr>
              <w:pStyle w:val="Tabletext0"/>
              <w:jc w:val="right"/>
              <w:rPr>
                <w:i/>
              </w:rPr>
            </w:pPr>
            <w:r w:rsidRPr="00333720">
              <w:rPr>
                <w:i/>
              </w:rPr>
              <w:t>0.58</w:t>
            </w:r>
          </w:p>
        </w:tc>
        <w:tc>
          <w:tcPr>
            <w:tcW w:w="734" w:type="pct"/>
            <w:tcBorders>
              <w:top w:val="nil"/>
            </w:tcBorders>
            <w:noWrap/>
          </w:tcPr>
          <w:p w14:paraId="261DCECB" w14:textId="77777777" w:rsidR="0099200D" w:rsidRPr="00333720" w:rsidRDefault="0099200D" w:rsidP="00D91580">
            <w:pPr>
              <w:pStyle w:val="Tabletext0"/>
              <w:jc w:val="right"/>
              <w:rPr>
                <w:i/>
              </w:rPr>
            </w:pPr>
            <w:r w:rsidRPr="00333720">
              <w:rPr>
                <w:i/>
              </w:rPr>
              <w:t>0.05</w:t>
            </w:r>
          </w:p>
        </w:tc>
        <w:tc>
          <w:tcPr>
            <w:tcW w:w="835" w:type="pct"/>
            <w:tcBorders>
              <w:top w:val="nil"/>
            </w:tcBorders>
          </w:tcPr>
          <w:p w14:paraId="6093004F" w14:textId="77777777" w:rsidR="0099200D" w:rsidRPr="00333720" w:rsidRDefault="0099200D" w:rsidP="00D91580">
            <w:pPr>
              <w:pStyle w:val="Tabletext0"/>
              <w:jc w:val="right"/>
              <w:rPr>
                <w:i/>
              </w:rPr>
            </w:pPr>
            <w:r w:rsidRPr="00333720">
              <w:rPr>
                <w:i/>
              </w:rPr>
              <w:t>$2,624.40</w:t>
            </w:r>
          </w:p>
        </w:tc>
      </w:tr>
      <w:tr w:rsidR="0099200D" w:rsidRPr="00333720" w14:paraId="3AB9EBBA" w14:textId="77777777" w:rsidTr="00D91580">
        <w:trPr>
          <w:cantSplit/>
          <w:trHeight w:val="300"/>
        </w:trPr>
        <w:tc>
          <w:tcPr>
            <w:tcW w:w="5000" w:type="pct"/>
            <w:gridSpan w:val="5"/>
            <w:tcBorders>
              <w:bottom w:val="single" w:sz="4" w:space="0" w:color="auto"/>
            </w:tcBorders>
            <w:noWrap/>
          </w:tcPr>
          <w:p w14:paraId="7B7E6371" w14:textId="589AA011" w:rsidR="0099200D" w:rsidRPr="00333720" w:rsidRDefault="0099200D" w:rsidP="00D91580">
            <w:pPr>
              <w:pStyle w:val="Tabletext0"/>
              <w:jc w:val="left"/>
              <w:rPr>
                <w:i/>
              </w:rPr>
            </w:pPr>
            <w:r w:rsidRPr="00333720">
              <w:rPr>
                <w:i/>
              </w:rPr>
              <w:t xml:space="preserve">Step 3 – </w:t>
            </w:r>
            <w:r w:rsidR="002D7531" w:rsidRPr="00333720">
              <w:rPr>
                <w:i/>
              </w:rPr>
              <w:t>Revised cost of the intervention due to the large uncertainty in the cost implications and study QALYs transformed to the appropriate time horizon</w:t>
            </w:r>
          </w:p>
        </w:tc>
      </w:tr>
      <w:tr w:rsidR="0099200D" w:rsidRPr="00333720" w14:paraId="12C79F0E" w14:textId="77777777" w:rsidTr="00D91580">
        <w:trPr>
          <w:cantSplit/>
          <w:trHeight w:val="300"/>
        </w:trPr>
        <w:tc>
          <w:tcPr>
            <w:tcW w:w="1963" w:type="pct"/>
            <w:tcBorders>
              <w:bottom w:val="nil"/>
            </w:tcBorders>
            <w:noWrap/>
          </w:tcPr>
          <w:p w14:paraId="09950AED" w14:textId="77777777" w:rsidR="0099200D" w:rsidRPr="00333720" w:rsidRDefault="0099200D" w:rsidP="00D91580">
            <w:pPr>
              <w:pStyle w:val="Tabletext0"/>
              <w:rPr>
                <w:i/>
              </w:rPr>
            </w:pPr>
            <w:r w:rsidRPr="00333720">
              <w:rPr>
                <w:i/>
              </w:rPr>
              <w:t>Costs</w:t>
            </w:r>
          </w:p>
        </w:tc>
        <w:tc>
          <w:tcPr>
            <w:tcW w:w="734" w:type="pct"/>
            <w:tcBorders>
              <w:bottom w:val="nil"/>
            </w:tcBorders>
            <w:noWrap/>
          </w:tcPr>
          <w:p w14:paraId="35D0DD19" w14:textId="77777777" w:rsidR="0099200D" w:rsidRPr="00333720" w:rsidRDefault="0099200D" w:rsidP="00D91580">
            <w:pPr>
              <w:pStyle w:val="Tabletext0"/>
              <w:jc w:val="right"/>
              <w:rPr>
                <w:i/>
              </w:rPr>
            </w:pPr>
            <w:r w:rsidRPr="00333720">
              <w:rPr>
                <w:i/>
              </w:rPr>
              <w:t>$1,644.54</w:t>
            </w:r>
          </w:p>
        </w:tc>
        <w:tc>
          <w:tcPr>
            <w:tcW w:w="734" w:type="pct"/>
            <w:tcBorders>
              <w:bottom w:val="nil"/>
            </w:tcBorders>
            <w:noWrap/>
          </w:tcPr>
          <w:p w14:paraId="28BEC7FF" w14:textId="77777777" w:rsidR="0099200D" w:rsidRPr="00333720" w:rsidRDefault="0099200D" w:rsidP="00D91580">
            <w:pPr>
              <w:pStyle w:val="Tabletext0"/>
              <w:jc w:val="right"/>
              <w:rPr>
                <w:i/>
              </w:rPr>
            </w:pPr>
            <w:r w:rsidRPr="00333720">
              <w:rPr>
                <w:i/>
              </w:rPr>
              <w:t>$1,513.57</w:t>
            </w:r>
          </w:p>
        </w:tc>
        <w:tc>
          <w:tcPr>
            <w:tcW w:w="734" w:type="pct"/>
            <w:tcBorders>
              <w:bottom w:val="nil"/>
            </w:tcBorders>
            <w:noWrap/>
          </w:tcPr>
          <w:p w14:paraId="3A0B5927" w14:textId="77777777" w:rsidR="0099200D" w:rsidRPr="00333720" w:rsidRDefault="0099200D" w:rsidP="00D91580">
            <w:pPr>
              <w:pStyle w:val="Tabletext0"/>
              <w:jc w:val="right"/>
              <w:rPr>
                <w:i/>
              </w:rPr>
            </w:pPr>
            <w:r w:rsidRPr="00333720">
              <w:rPr>
                <w:i/>
              </w:rPr>
              <w:t>$131.22</w:t>
            </w:r>
          </w:p>
        </w:tc>
        <w:tc>
          <w:tcPr>
            <w:tcW w:w="835" w:type="pct"/>
            <w:tcBorders>
              <w:bottom w:val="nil"/>
            </w:tcBorders>
          </w:tcPr>
          <w:p w14:paraId="60680D00" w14:textId="77777777" w:rsidR="0099200D" w:rsidRPr="00333720" w:rsidRDefault="0099200D" w:rsidP="00D91580">
            <w:pPr>
              <w:pStyle w:val="Tabletext0"/>
              <w:jc w:val="right"/>
              <w:rPr>
                <w:i/>
              </w:rPr>
            </w:pPr>
          </w:p>
        </w:tc>
      </w:tr>
      <w:tr w:rsidR="0099200D" w:rsidRPr="00333720" w14:paraId="2488686C" w14:textId="77777777" w:rsidTr="00D91580">
        <w:trPr>
          <w:cantSplit/>
          <w:trHeight w:val="300"/>
        </w:trPr>
        <w:tc>
          <w:tcPr>
            <w:tcW w:w="1963" w:type="pct"/>
            <w:tcBorders>
              <w:top w:val="nil"/>
            </w:tcBorders>
            <w:noWrap/>
          </w:tcPr>
          <w:p w14:paraId="0F2D9EB3" w14:textId="77777777" w:rsidR="0099200D" w:rsidRPr="00333720" w:rsidRDefault="0099200D" w:rsidP="00D91580">
            <w:pPr>
              <w:pStyle w:val="Tabletext0"/>
              <w:rPr>
                <w:i/>
              </w:rPr>
            </w:pPr>
            <w:r w:rsidRPr="00333720">
              <w:rPr>
                <w:i/>
              </w:rPr>
              <w:t>QALYs</w:t>
            </w:r>
          </w:p>
        </w:tc>
        <w:tc>
          <w:tcPr>
            <w:tcW w:w="734" w:type="pct"/>
            <w:tcBorders>
              <w:top w:val="nil"/>
            </w:tcBorders>
            <w:noWrap/>
          </w:tcPr>
          <w:p w14:paraId="642DFEDC" w14:textId="77777777" w:rsidR="0099200D" w:rsidRPr="00333720" w:rsidRDefault="0099200D" w:rsidP="00D91580">
            <w:pPr>
              <w:pStyle w:val="Tabletext0"/>
              <w:jc w:val="right"/>
              <w:rPr>
                <w:i/>
              </w:rPr>
            </w:pPr>
            <w:r w:rsidRPr="00333720">
              <w:rPr>
                <w:i/>
              </w:rPr>
              <w:t>0.1575</w:t>
            </w:r>
          </w:p>
        </w:tc>
        <w:tc>
          <w:tcPr>
            <w:tcW w:w="734" w:type="pct"/>
            <w:tcBorders>
              <w:top w:val="nil"/>
            </w:tcBorders>
            <w:noWrap/>
          </w:tcPr>
          <w:p w14:paraId="539722D9" w14:textId="77777777" w:rsidR="0099200D" w:rsidRPr="00333720" w:rsidRDefault="0099200D" w:rsidP="00D91580">
            <w:pPr>
              <w:pStyle w:val="Tabletext0"/>
              <w:jc w:val="right"/>
              <w:rPr>
                <w:i/>
              </w:rPr>
            </w:pPr>
            <w:r w:rsidRPr="00333720">
              <w:rPr>
                <w:i/>
              </w:rPr>
              <w:t>0.145</w:t>
            </w:r>
          </w:p>
        </w:tc>
        <w:tc>
          <w:tcPr>
            <w:tcW w:w="734" w:type="pct"/>
            <w:tcBorders>
              <w:top w:val="nil"/>
            </w:tcBorders>
            <w:noWrap/>
          </w:tcPr>
          <w:p w14:paraId="6820D25F" w14:textId="77777777" w:rsidR="0099200D" w:rsidRPr="00333720" w:rsidRDefault="0099200D" w:rsidP="00D91580">
            <w:pPr>
              <w:pStyle w:val="Tabletext0"/>
              <w:jc w:val="right"/>
              <w:rPr>
                <w:i/>
              </w:rPr>
            </w:pPr>
            <w:r w:rsidRPr="00333720">
              <w:rPr>
                <w:i/>
              </w:rPr>
              <w:t>0.0125</w:t>
            </w:r>
          </w:p>
        </w:tc>
        <w:tc>
          <w:tcPr>
            <w:tcW w:w="835" w:type="pct"/>
            <w:tcBorders>
              <w:top w:val="nil"/>
            </w:tcBorders>
          </w:tcPr>
          <w:p w14:paraId="4E3363CC" w14:textId="77777777" w:rsidR="0099200D" w:rsidRPr="00333720" w:rsidRDefault="0099200D" w:rsidP="00D91580">
            <w:pPr>
              <w:pStyle w:val="Tabletext0"/>
              <w:jc w:val="right"/>
              <w:rPr>
                <w:i/>
              </w:rPr>
            </w:pPr>
            <w:r w:rsidRPr="00333720">
              <w:rPr>
                <w:i/>
              </w:rPr>
              <w:t>$10,497.60</w:t>
            </w:r>
          </w:p>
        </w:tc>
      </w:tr>
      <w:tr w:rsidR="0099200D" w:rsidRPr="00333720" w14:paraId="3A58D6B0" w14:textId="77777777" w:rsidTr="00D91580">
        <w:trPr>
          <w:cantSplit/>
          <w:trHeight w:val="300"/>
        </w:trPr>
        <w:tc>
          <w:tcPr>
            <w:tcW w:w="5000" w:type="pct"/>
            <w:gridSpan w:val="5"/>
            <w:noWrap/>
          </w:tcPr>
          <w:p w14:paraId="201AAC83" w14:textId="370EB599" w:rsidR="0099200D" w:rsidRPr="00333720" w:rsidRDefault="0099200D" w:rsidP="00233FB0">
            <w:pPr>
              <w:pStyle w:val="Tabletext0"/>
              <w:rPr>
                <w:i/>
              </w:rPr>
            </w:pPr>
            <w:r w:rsidRPr="00333720">
              <w:rPr>
                <w:i/>
              </w:rPr>
              <w:t xml:space="preserve">Step 4 – </w:t>
            </w:r>
            <w:r w:rsidR="002D7531" w:rsidRPr="00333720">
              <w:rPr>
                <w:i/>
              </w:rPr>
              <w:t xml:space="preserve">Revised cost of the intervention due to the large uncertainty in the cost implications, study QALYs transformed to the appropriate time horizon, and the study attrition rate of 34% in Group A </w:t>
            </w:r>
          </w:p>
        </w:tc>
      </w:tr>
      <w:tr w:rsidR="0099200D" w:rsidRPr="00333720" w14:paraId="414C4E3B" w14:textId="77777777" w:rsidTr="00D91580">
        <w:trPr>
          <w:cantSplit/>
          <w:trHeight w:val="300"/>
        </w:trPr>
        <w:tc>
          <w:tcPr>
            <w:tcW w:w="1963" w:type="pct"/>
            <w:tcBorders>
              <w:bottom w:val="nil"/>
            </w:tcBorders>
            <w:noWrap/>
          </w:tcPr>
          <w:p w14:paraId="7D30E125" w14:textId="77777777" w:rsidR="0099200D" w:rsidRPr="00333720" w:rsidRDefault="0099200D" w:rsidP="00D91580">
            <w:pPr>
              <w:pStyle w:val="Tabletext0"/>
              <w:rPr>
                <w:i/>
              </w:rPr>
            </w:pPr>
            <w:r w:rsidRPr="00333720">
              <w:rPr>
                <w:i/>
              </w:rPr>
              <w:t>Costs</w:t>
            </w:r>
          </w:p>
        </w:tc>
        <w:tc>
          <w:tcPr>
            <w:tcW w:w="734" w:type="pct"/>
            <w:tcBorders>
              <w:bottom w:val="nil"/>
            </w:tcBorders>
            <w:noWrap/>
          </w:tcPr>
          <w:p w14:paraId="573A4605" w14:textId="77777777" w:rsidR="0099200D" w:rsidRPr="00333720" w:rsidRDefault="0099200D" w:rsidP="00D91580">
            <w:pPr>
              <w:pStyle w:val="Tabletext0"/>
              <w:jc w:val="right"/>
              <w:rPr>
                <w:i/>
              </w:rPr>
            </w:pPr>
            <w:r w:rsidRPr="00333720">
              <w:rPr>
                <w:i/>
              </w:rPr>
              <w:t>$1,633.63</w:t>
            </w:r>
          </w:p>
        </w:tc>
        <w:tc>
          <w:tcPr>
            <w:tcW w:w="734" w:type="pct"/>
            <w:tcBorders>
              <w:bottom w:val="nil"/>
            </w:tcBorders>
            <w:noWrap/>
          </w:tcPr>
          <w:p w14:paraId="719D1823" w14:textId="77777777" w:rsidR="0099200D" w:rsidRPr="00333720" w:rsidRDefault="0099200D" w:rsidP="00D91580">
            <w:pPr>
              <w:pStyle w:val="Tabletext0"/>
              <w:jc w:val="right"/>
              <w:rPr>
                <w:i/>
              </w:rPr>
            </w:pPr>
            <w:r w:rsidRPr="00333720">
              <w:rPr>
                <w:i/>
              </w:rPr>
              <w:t>$1,513.57</w:t>
            </w:r>
          </w:p>
        </w:tc>
        <w:tc>
          <w:tcPr>
            <w:tcW w:w="734" w:type="pct"/>
            <w:tcBorders>
              <w:bottom w:val="nil"/>
            </w:tcBorders>
            <w:noWrap/>
          </w:tcPr>
          <w:p w14:paraId="32B3ED41" w14:textId="77777777" w:rsidR="0099200D" w:rsidRPr="00333720" w:rsidRDefault="0099200D" w:rsidP="00D91580">
            <w:pPr>
              <w:pStyle w:val="Tabletext0"/>
              <w:jc w:val="right"/>
              <w:rPr>
                <w:i/>
              </w:rPr>
            </w:pPr>
            <w:r w:rsidRPr="00333720">
              <w:rPr>
                <w:i/>
              </w:rPr>
              <w:t>$120.06</w:t>
            </w:r>
          </w:p>
        </w:tc>
        <w:tc>
          <w:tcPr>
            <w:tcW w:w="835" w:type="pct"/>
            <w:tcBorders>
              <w:bottom w:val="nil"/>
            </w:tcBorders>
          </w:tcPr>
          <w:p w14:paraId="3BA197E0" w14:textId="77777777" w:rsidR="0099200D" w:rsidRPr="00333720" w:rsidRDefault="0099200D" w:rsidP="00D91580">
            <w:pPr>
              <w:pStyle w:val="Tabletext0"/>
              <w:jc w:val="right"/>
              <w:rPr>
                <w:i/>
              </w:rPr>
            </w:pPr>
          </w:p>
        </w:tc>
      </w:tr>
      <w:tr w:rsidR="0099200D" w:rsidRPr="00333720" w14:paraId="33D84E2F" w14:textId="77777777" w:rsidTr="00D91580">
        <w:trPr>
          <w:cantSplit/>
          <w:trHeight w:val="300"/>
        </w:trPr>
        <w:tc>
          <w:tcPr>
            <w:tcW w:w="1963" w:type="pct"/>
            <w:tcBorders>
              <w:top w:val="nil"/>
            </w:tcBorders>
            <w:noWrap/>
          </w:tcPr>
          <w:p w14:paraId="27620FD1" w14:textId="77777777" w:rsidR="0099200D" w:rsidRPr="00333720" w:rsidRDefault="0099200D" w:rsidP="00D91580">
            <w:pPr>
              <w:pStyle w:val="Tabletext0"/>
              <w:rPr>
                <w:i/>
              </w:rPr>
            </w:pPr>
            <w:r w:rsidRPr="00333720">
              <w:rPr>
                <w:i/>
              </w:rPr>
              <w:t>QALYs</w:t>
            </w:r>
          </w:p>
        </w:tc>
        <w:tc>
          <w:tcPr>
            <w:tcW w:w="734" w:type="pct"/>
            <w:tcBorders>
              <w:top w:val="nil"/>
            </w:tcBorders>
            <w:noWrap/>
          </w:tcPr>
          <w:p w14:paraId="78058B5B" w14:textId="77777777" w:rsidR="0099200D" w:rsidRPr="00333720" w:rsidRDefault="0099200D" w:rsidP="00D91580">
            <w:pPr>
              <w:pStyle w:val="Tabletext0"/>
              <w:jc w:val="right"/>
              <w:rPr>
                <w:i/>
              </w:rPr>
            </w:pPr>
            <w:r w:rsidRPr="00333720">
              <w:rPr>
                <w:i/>
              </w:rPr>
              <w:t>0.15325</w:t>
            </w:r>
          </w:p>
        </w:tc>
        <w:tc>
          <w:tcPr>
            <w:tcW w:w="734" w:type="pct"/>
            <w:tcBorders>
              <w:top w:val="nil"/>
            </w:tcBorders>
            <w:noWrap/>
          </w:tcPr>
          <w:p w14:paraId="07C01860" w14:textId="77777777" w:rsidR="0099200D" w:rsidRPr="00333720" w:rsidRDefault="0099200D" w:rsidP="00D91580">
            <w:pPr>
              <w:pStyle w:val="Tabletext0"/>
              <w:jc w:val="right"/>
              <w:rPr>
                <w:i/>
              </w:rPr>
            </w:pPr>
            <w:r w:rsidRPr="00333720">
              <w:rPr>
                <w:i/>
              </w:rPr>
              <w:t>0.145</w:t>
            </w:r>
          </w:p>
        </w:tc>
        <w:tc>
          <w:tcPr>
            <w:tcW w:w="734" w:type="pct"/>
            <w:tcBorders>
              <w:top w:val="nil"/>
            </w:tcBorders>
            <w:noWrap/>
          </w:tcPr>
          <w:p w14:paraId="6F73C728" w14:textId="77777777" w:rsidR="0099200D" w:rsidRPr="00333720" w:rsidRDefault="0099200D" w:rsidP="00D91580">
            <w:pPr>
              <w:pStyle w:val="Tabletext0"/>
              <w:jc w:val="right"/>
              <w:rPr>
                <w:i/>
              </w:rPr>
            </w:pPr>
            <w:r w:rsidRPr="00333720">
              <w:rPr>
                <w:i/>
              </w:rPr>
              <w:t>0.00825</w:t>
            </w:r>
          </w:p>
        </w:tc>
        <w:tc>
          <w:tcPr>
            <w:tcW w:w="835" w:type="pct"/>
            <w:tcBorders>
              <w:top w:val="nil"/>
            </w:tcBorders>
          </w:tcPr>
          <w:p w14:paraId="47AC30C8" w14:textId="77777777" w:rsidR="0099200D" w:rsidRPr="00333720" w:rsidRDefault="0099200D" w:rsidP="00D91580">
            <w:pPr>
              <w:pStyle w:val="Tabletext0"/>
              <w:jc w:val="right"/>
              <w:rPr>
                <w:i/>
              </w:rPr>
            </w:pPr>
            <w:r w:rsidRPr="00333720">
              <w:rPr>
                <w:i/>
              </w:rPr>
              <w:t>$14,552.73</w:t>
            </w:r>
          </w:p>
        </w:tc>
      </w:tr>
    </w:tbl>
    <w:p w14:paraId="7E620C87" w14:textId="0AA034B5" w:rsidR="0099200D" w:rsidRDefault="0099200D" w:rsidP="0099200D">
      <w:pPr>
        <w:pStyle w:val="TableFigureFooter"/>
        <w:spacing w:before="0" w:after="0"/>
        <w:jc w:val="both"/>
        <w:rPr>
          <w:rFonts w:eastAsia="Calibri"/>
          <w:iCs/>
          <w:szCs w:val="20"/>
        </w:rPr>
      </w:pPr>
      <w:r w:rsidRPr="00D76B8B">
        <w:rPr>
          <w:rFonts w:eastAsia="Calibri"/>
          <w:iCs/>
          <w:szCs w:val="20"/>
        </w:rPr>
        <w:t xml:space="preserve">Source: </w:t>
      </w:r>
      <w:r>
        <w:rPr>
          <w:rFonts w:eastAsia="Calibri"/>
          <w:iCs/>
          <w:szCs w:val="20"/>
        </w:rPr>
        <w:t xml:space="preserve">Tables </w:t>
      </w:r>
      <w:r>
        <w:rPr>
          <w:szCs w:val="18"/>
        </w:rPr>
        <w:t xml:space="preserve">94, </w:t>
      </w:r>
      <w:r>
        <w:rPr>
          <w:rFonts w:eastAsia="Calibri"/>
          <w:iCs/>
          <w:szCs w:val="20"/>
        </w:rPr>
        <w:t xml:space="preserve">103, 104 of ADAR. </w:t>
      </w:r>
    </w:p>
    <w:p w14:paraId="3F12AD31" w14:textId="3B03E76C" w:rsidR="00260A80" w:rsidRPr="00260A80" w:rsidRDefault="00260A80" w:rsidP="0099200D">
      <w:pPr>
        <w:pStyle w:val="TableFigureFooter"/>
        <w:spacing w:before="0" w:after="0"/>
        <w:jc w:val="both"/>
        <w:rPr>
          <w:rFonts w:eastAsia="Calibri"/>
          <w:i/>
          <w:iCs/>
          <w:szCs w:val="20"/>
        </w:rPr>
      </w:pPr>
      <w:r w:rsidRPr="00BA6994">
        <w:rPr>
          <w:rFonts w:eastAsia="Calibri"/>
          <w:i/>
          <w:iCs/>
          <w:szCs w:val="20"/>
        </w:rPr>
        <w:t>Italics indicates results generated during the evaluation.</w:t>
      </w:r>
      <w:r>
        <w:rPr>
          <w:rFonts w:eastAsia="Calibri"/>
          <w:i/>
          <w:iCs/>
          <w:szCs w:val="20"/>
        </w:rPr>
        <w:t xml:space="preserve"> </w:t>
      </w:r>
    </w:p>
    <w:p w14:paraId="7E3A261C" w14:textId="6CF947D9" w:rsidR="004D08BB" w:rsidRPr="00447A43" w:rsidRDefault="0099200D" w:rsidP="00447A43">
      <w:pPr>
        <w:pStyle w:val="TableFigureFooter"/>
        <w:spacing w:before="0" w:after="100" w:afterAutospacing="1"/>
        <w:jc w:val="both"/>
        <w:rPr>
          <w:rFonts w:eastAsia="Calibri"/>
          <w:szCs w:val="20"/>
        </w:rPr>
      </w:pPr>
      <w:r>
        <w:rPr>
          <w:rFonts w:eastAsia="Calibri"/>
          <w:szCs w:val="20"/>
        </w:rPr>
        <w:t xml:space="preserve">Abbreviations: CMPC: Chronic Pain MedsCheck; </w:t>
      </w:r>
      <w:r w:rsidRPr="00CE28E3">
        <w:rPr>
          <w:rFonts w:eastAsia="Calibri"/>
          <w:szCs w:val="20"/>
        </w:rPr>
        <w:t>QALY</w:t>
      </w:r>
      <w:r>
        <w:rPr>
          <w:rFonts w:eastAsia="Calibri"/>
          <w:szCs w:val="20"/>
        </w:rPr>
        <w:t>:</w:t>
      </w:r>
      <w:r w:rsidRPr="00CE28E3">
        <w:rPr>
          <w:rFonts w:eastAsia="Calibri"/>
          <w:szCs w:val="20"/>
        </w:rPr>
        <w:t xml:space="preserve"> quality</w:t>
      </w:r>
      <w:r>
        <w:rPr>
          <w:rFonts w:eastAsia="Calibri"/>
          <w:szCs w:val="20"/>
        </w:rPr>
        <w:t>-</w:t>
      </w:r>
      <w:r w:rsidRPr="00CE28E3">
        <w:rPr>
          <w:rFonts w:eastAsia="Calibri"/>
          <w:szCs w:val="20"/>
        </w:rPr>
        <w:t>adjusted life year.</w:t>
      </w:r>
      <w:bookmarkStart w:id="40" w:name="_Ref102521839"/>
      <w:r w:rsidR="004D08BB">
        <w:br w:type="page"/>
      </w:r>
    </w:p>
    <w:p w14:paraId="36E23839" w14:textId="4319CE0A" w:rsidR="00321D41" w:rsidRPr="00CE28E3" w:rsidRDefault="00321D41" w:rsidP="00321D41">
      <w:pPr>
        <w:pStyle w:val="Caption"/>
        <w:jc w:val="both"/>
      </w:pPr>
      <w:r w:rsidRPr="00CE28E3">
        <w:lastRenderedPageBreak/>
        <w:t>Table</w:t>
      </w:r>
      <w:r>
        <w:t> </w:t>
      </w:r>
      <w:fldSimple w:instr=" SEQ Table \* ARABIC ">
        <w:r w:rsidR="00656985">
          <w:rPr>
            <w:noProof/>
          </w:rPr>
          <w:t>12</w:t>
        </w:r>
      </w:fldSimple>
      <w:bookmarkEnd w:id="40"/>
      <w:r w:rsidRPr="00CE28E3">
        <w:tab/>
      </w:r>
      <w:r>
        <w:tab/>
      </w:r>
      <w:r w:rsidRPr="00CE28E3">
        <w:t xml:space="preserve">Results of the </w:t>
      </w:r>
      <w:r>
        <w:t xml:space="preserve">economic evaluation and stepped </w:t>
      </w:r>
      <w:r w:rsidRPr="00CE28E3">
        <w:t xml:space="preserve">economic </w:t>
      </w:r>
      <w:r>
        <w:t>analysis for Group B</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321D41" w:rsidRPr="00CE28E3" w14:paraId="5B9E4FDC" w14:textId="77777777" w:rsidTr="003D38AC">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49F17754" w14:textId="77777777" w:rsidR="00321D41" w:rsidRPr="00CE28E3" w:rsidRDefault="00321D41" w:rsidP="003D38AC">
            <w:pPr>
              <w:pStyle w:val="TableHeading"/>
            </w:pPr>
            <w:r>
              <w:t>Step – Group B</w:t>
            </w:r>
          </w:p>
        </w:tc>
        <w:tc>
          <w:tcPr>
            <w:tcW w:w="734" w:type="pct"/>
            <w:noWrap/>
            <w:hideMark/>
          </w:tcPr>
          <w:p w14:paraId="4F7BBC96" w14:textId="77777777" w:rsidR="00321D41" w:rsidRPr="00CE28E3" w:rsidRDefault="00321D41" w:rsidP="003D38AC">
            <w:pPr>
              <w:pStyle w:val="TableHeading"/>
              <w:jc w:val="center"/>
            </w:pPr>
            <w:r>
              <w:t>CMPC Intervention</w:t>
            </w:r>
          </w:p>
        </w:tc>
        <w:tc>
          <w:tcPr>
            <w:tcW w:w="734" w:type="pct"/>
            <w:noWrap/>
            <w:hideMark/>
          </w:tcPr>
          <w:p w14:paraId="58FEB5FC" w14:textId="77777777" w:rsidR="00321D41" w:rsidRPr="00CE28E3" w:rsidRDefault="00321D41" w:rsidP="003D38AC">
            <w:pPr>
              <w:pStyle w:val="TableHeading"/>
              <w:jc w:val="center"/>
            </w:pPr>
            <w:r>
              <w:t>Baseline</w:t>
            </w:r>
          </w:p>
        </w:tc>
        <w:tc>
          <w:tcPr>
            <w:tcW w:w="734" w:type="pct"/>
            <w:noWrap/>
            <w:hideMark/>
          </w:tcPr>
          <w:p w14:paraId="3E98692D" w14:textId="77777777" w:rsidR="00321D41" w:rsidRPr="00CE28E3" w:rsidRDefault="00321D41" w:rsidP="003D38AC">
            <w:pPr>
              <w:pStyle w:val="TableHeading"/>
              <w:jc w:val="center"/>
            </w:pPr>
            <w:r w:rsidRPr="009E23EC">
              <w:t>Increment</w:t>
            </w:r>
          </w:p>
        </w:tc>
        <w:tc>
          <w:tcPr>
            <w:tcW w:w="835" w:type="pct"/>
          </w:tcPr>
          <w:p w14:paraId="7807BB03" w14:textId="77777777" w:rsidR="00321D41" w:rsidRPr="00CE28E3" w:rsidRDefault="00321D41" w:rsidP="003D38AC">
            <w:pPr>
              <w:pStyle w:val="TableHeading"/>
              <w:jc w:val="center"/>
            </w:pPr>
            <w:r w:rsidRPr="00CE28E3">
              <w:t>ICER</w:t>
            </w:r>
          </w:p>
        </w:tc>
      </w:tr>
      <w:tr w:rsidR="00321D41" w:rsidRPr="00CE28E3" w14:paraId="090F3788" w14:textId="77777777" w:rsidTr="003D38AC">
        <w:trPr>
          <w:cantSplit/>
          <w:trHeight w:val="300"/>
        </w:trPr>
        <w:tc>
          <w:tcPr>
            <w:tcW w:w="5000" w:type="pct"/>
            <w:gridSpan w:val="5"/>
            <w:tcBorders>
              <w:bottom w:val="single" w:sz="4" w:space="0" w:color="auto"/>
            </w:tcBorders>
            <w:noWrap/>
            <w:hideMark/>
          </w:tcPr>
          <w:p w14:paraId="636A88CE" w14:textId="56FA2134" w:rsidR="00321D41" w:rsidRPr="00CE28E3" w:rsidRDefault="00321D41" w:rsidP="003D38AC">
            <w:pPr>
              <w:pStyle w:val="Tabletext0"/>
              <w:jc w:val="left"/>
            </w:pPr>
            <w:r w:rsidRPr="00CE28E3">
              <w:t xml:space="preserve">Step 1 – </w:t>
            </w:r>
            <w:r w:rsidR="00DC7255">
              <w:t xml:space="preserve">Base case presented in Table 104 of </w:t>
            </w:r>
            <w:r>
              <w:t>ADAR</w:t>
            </w:r>
          </w:p>
        </w:tc>
      </w:tr>
      <w:tr w:rsidR="00321D41" w:rsidRPr="00CE28E3" w14:paraId="5273B840" w14:textId="77777777" w:rsidTr="003D38AC">
        <w:trPr>
          <w:cantSplit/>
          <w:trHeight w:val="300"/>
        </w:trPr>
        <w:tc>
          <w:tcPr>
            <w:tcW w:w="1963" w:type="pct"/>
            <w:tcBorders>
              <w:bottom w:val="nil"/>
            </w:tcBorders>
            <w:noWrap/>
          </w:tcPr>
          <w:p w14:paraId="27D21714" w14:textId="77777777" w:rsidR="00321D41" w:rsidRPr="00CE28E3" w:rsidRDefault="00321D41" w:rsidP="003D38AC">
            <w:pPr>
              <w:pStyle w:val="Tabletext0"/>
            </w:pPr>
            <w:r>
              <w:t>Costs</w:t>
            </w:r>
          </w:p>
        </w:tc>
        <w:tc>
          <w:tcPr>
            <w:tcW w:w="734" w:type="pct"/>
            <w:tcBorders>
              <w:bottom w:val="nil"/>
            </w:tcBorders>
            <w:noWrap/>
          </w:tcPr>
          <w:p w14:paraId="41CC165C" w14:textId="77777777" w:rsidR="00321D41" w:rsidRPr="00CE28E3" w:rsidRDefault="00321D41" w:rsidP="003D38AC">
            <w:pPr>
              <w:pStyle w:val="Tabletext0"/>
              <w:jc w:val="right"/>
            </w:pPr>
            <w:r>
              <w:t>$</w:t>
            </w:r>
            <w:r w:rsidRPr="00232349">
              <w:t>1,180.00</w:t>
            </w:r>
          </w:p>
        </w:tc>
        <w:tc>
          <w:tcPr>
            <w:tcW w:w="734" w:type="pct"/>
            <w:tcBorders>
              <w:bottom w:val="nil"/>
            </w:tcBorders>
            <w:noWrap/>
          </w:tcPr>
          <w:p w14:paraId="4D8294D3" w14:textId="77777777" w:rsidR="00321D41" w:rsidRPr="00CE28E3" w:rsidRDefault="00321D41" w:rsidP="003D38AC">
            <w:pPr>
              <w:pStyle w:val="Tabletext0"/>
              <w:jc w:val="right"/>
            </w:pPr>
            <w:r>
              <w:t>$</w:t>
            </w:r>
            <w:r w:rsidRPr="00232349">
              <w:t>1,386.27</w:t>
            </w:r>
          </w:p>
        </w:tc>
        <w:tc>
          <w:tcPr>
            <w:tcW w:w="734" w:type="pct"/>
            <w:tcBorders>
              <w:bottom w:val="nil"/>
            </w:tcBorders>
            <w:noWrap/>
          </w:tcPr>
          <w:p w14:paraId="25942E7B" w14:textId="77777777" w:rsidR="00321D41" w:rsidRPr="00CE28E3" w:rsidRDefault="00321D41" w:rsidP="003D38AC">
            <w:pPr>
              <w:pStyle w:val="Tabletext0"/>
              <w:jc w:val="right"/>
            </w:pPr>
            <w:r w:rsidRPr="00232349">
              <w:t>-$206.27</w:t>
            </w:r>
          </w:p>
        </w:tc>
        <w:tc>
          <w:tcPr>
            <w:tcW w:w="835" w:type="pct"/>
            <w:tcBorders>
              <w:bottom w:val="nil"/>
            </w:tcBorders>
          </w:tcPr>
          <w:p w14:paraId="40C7F7A1" w14:textId="77777777" w:rsidR="00321D41" w:rsidRPr="00CE28E3" w:rsidRDefault="00321D41" w:rsidP="003D38AC">
            <w:pPr>
              <w:pStyle w:val="Tabletext0"/>
              <w:jc w:val="right"/>
            </w:pPr>
          </w:p>
        </w:tc>
      </w:tr>
      <w:tr w:rsidR="00321D41" w:rsidRPr="00CE28E3" w14:paraId="2141437A" w14:textId="77777777" w:rsidTr="003D38AC">
        <w:trPr>
          <w:cantSplit/>
          <w:trHeight w:val="300"/>
        </w:trPr>
        <w:tc>
          <w:tcPr>
            <w:tcW w:w="1963" w:type="pct"/>
            <w:tcBorders>
              <w:top w:val="nil"/>
            </w:tcBorders>
            <w:noWrap/>
          </w:tcPr>
          <w:p w14:paraId="3C704425" w14:textId="77777777" w:rsidR="00321D41" w:rsidRDefault="00321D41" w:rsidP="003D38AC">
            <w:pPr>
              <w:pStyle w:val="Tabletext0"/>
            </w:pPr>
            <w:r>
              <w:t>QALYs</w:t>
            </w:r>
          </w:p>
        </w:tc>
        <w:tc>
          <w:tcPr>
            <w:tcW w:w="734" w:type="pct"/>
            <w:tcBorders>
              <w:top w:val="nil"/>
            </w:tcBorders>
            <w:noWrap/>
          </w:tcPr>
          <w:p w14:paraId="39F31190" w14:textId="77777777" w:rsidR="00321D41" w:rsidRPr="00CE28E3" w:rsidRDefault="00321D41" w:rsidP="003D38AC">
            <w:pPr>
              <w:pStyle w:val="Tabletext0"/>
              <w:jc w:val="right"/>
            </w:pPr>
            <w:r>
              <w:t>0.70</w:t>
            </w:r>
          </w:p>
        </w:tc>
        <w:tc>
          <w:tcPr>
            <w:tcW w:w="734" w:type="pct"/>
            <w:tcBorders>
              <w:top w:val="nil"/>
            </w:tcBorders>
            <w:noWrap/>
          </w:tcPr>
          <w:p w14:paraId="3CF59E26" w14:textId="77777777" w:rsidR="00321D41" w:rsidRPr="00CE28E3" w:rsidRDefault="00321D41" w:rsidP="003D38AC">
            <w:pPr>
              <w:pStyle w:val="Tabletext0"/>
              <w:jc w:val="right"/>
            </w:pPr>
            <w:r>
              <w:t>0.53</w:t>
            </w:r>
          </w:p>
        </w:tc>
        <w:tc>
          <w:tcPr>
            <w:tcW w:w="734" w:type="pct"/>
            <w:tcBorders>
              <w:top w:val="nil"/>
            </w:tcBorders>
            <w:noWrap/>
          </w:tcPr>
          <w:p w14:paraId="35C0F3AB" w14:textId="77777777" w:rsidR="00321D41" w:rsidRPr="00CE28E3" w:rsidRDefault="00321D41" w:rsidP="003D38AC">
            <w:pPr>
              <w:pStyle w:val="Tabletext0"/>
              <w:jc w:val="right"/>
            </w:pPr>
            <w:r>
              <w:t>0.17</w:t>
            </w:r>
          </w:p>
        </w:tc>
        <w:tc>
          <w:tcPr>
            <w:tcW w:w="835" w:type="pct"/>
            <w:tcBorders>
              <w:top w:val="nil"/>
            </w:tcBorders>
          </w:tcPr>
          <w:p w14:paraId="4650B51F" w14:textId="77777777" w:rsidR="00321D41" w:rsidRPr="00CE28E3" w:rsidRDefault="00321D41" w:rsidP="003D38AC">
            <w:pPr>
              <w:pStyle w:val="Tabletext0"/>
              <w:jc w:val="right"/>
            </w:pPr>
            <w:r>
              <w:t>DOMINANT</w:t>
            </w:r>
          </w:p>
        </w:tc>
      </w:tr>
      <w:tr w:rsidR="00321D41" w:rsidRPr="00260A80" w14:paraId="5629B05E" w14:textId="77777777" w:rsidTr="003D38AC">
        <w:trPr>
          <w:cantSplit/>
          <w:trHeight w:val="300"/>
        </w:trPr>
        <w:tc>
          <w:tcPr>
            <w:tcW w:w="5000" w:type="pct"/>
            <w:gridSpan w:val="5"/>
            <w:tcBorders>
              <w:bottom w:val="single" w:sz="4" w:space="0" w:color="auto"/>
            </w:tcBorders>
            <w:noWrap/>
            <w:hideMark/>
          </w:tcPr>
          <w:p w14:paraId="5FC6514C" w14:textId="3E8B6393" w:rsidR="00321D41" w:rsidRPr="00260A80" w:rsidRDefault="00321D41" w:rsidP="003D38AC">
            <w:pPr>
              <w:pStyle w:val="Tabletext0"/>
              <w:jc w:val="left"/>
              <w:rPr>
                <w:i/>
              </w:rPr>
            </w:pPr>
            <w:r w:rsidRPr="00260A80">
              <w:rPr>
                <w:i/>
              </w:rPr>
              <w:t xml:space="preserve">Step 2 </w:t>
            </w:r>
            <w:r w:rsidR="00333C65" w:rsidRPr="00260A80">
              <w:rPr>
                <w:i/>
              </w:rPr>
              <w:t>–</w:t>
            </w:r>
            <w:r w:rsidR="00C26402" w:rsidRPr="00260A80">
              <w:rPr>
                <w:i/>
              </w:rPr>
              <w:t xml:space="preserve"> </w:t>
            </w:r>
            <w:r w:rsidR="00566BD1" w:rsidRPr="00260A80">
              <w:rPr>
                <w:i/>
              </w:rPr>
              <w:t xml:space="preserve">Revised cost of the intervention due to the large uncertainty in the cost implications </w:t>
            </w:r>
          </w:p>
        </w:tc>
      </w:tr>
      <w:tr w:rsidR="00321D41" w:rsidRPr="00260A80" w14:paraId="1D8E296C" w14:textId="77777777" w:rsidTr="003D38AC">
        <w:trPr>
          <w:cantSplit/>
          <w:trHeight w:val="300"/>
        </w:trPr>
        <w:tc>
          <w:tcPr>
            <w:tcW w:w="1963" w:type="pct"/>
            <w:tcBorders>
              <w:bottom w:val="nil"/>
            </w:tcBorders>
            <w:noWrap/>
          </w:tcPr>
          <w:p w14:paraId="185FE53C" w14:textId="77777777" w:rsidR="00321D41" w:rsidRPr="00260A80" w:rsidRDefault="00321D41" w:rsidP="003D38AC">
            <w:pPr>
              <w:pStyle w:val="Tabletext0"/>
              <w:rPr>
                <w:i/>
              </w:rPr>
            </w:pPr>
            <w:r w:rsidRPr="00260A80">
              <w:rPr>
                <w:i/>
              </w:rPr>
              <w:t>Costs</w:t>
            </w:r>
          </w:p>
        </w:tc>
        <w:tc>
          <w:tcPr>
            <w:tcW w:w="734" w:type="pct"/>
            <w:tcBorders>
              <w:bottom w:val="nil"/>
            </w:tcBorders>
            <w:noWrap/>
          </w:tcPr>
          <w:p w14:paraId="31E9F588" w14:textId="77777777" w:rsidR="00321D41" w:rsidRPr="00260A80" w:rsidRDefault="00321D41" w:rsidP="003D38AC">
            <w:pPr>
              <w:pStyle w:val="Tabletext0"/>
              <w:jc w:val="right"/>
              <w:rPr>
                <w:i/>
              </w:rPr>
            </w:pPr>
            <w:r w:rsidRPr="00260A80">
              <w:rPr>
                <w:i/>
              </w:rPr>
              <w:t>$1,550.30</w:t>
            </w:r>
          </w:p>
        </w:tc>
        <w:tc>
          <w:tcPr>
            <w:tcW w:w="734" w:type="pct"/>
            <w:tcBorders>
              <w:bottom w:val="nil"/>
            </w:tcBorders>
            <w:noWrap/>
          </w:tcPr>
          <w:p w14:paraId="777D27DD" w14:textId="77777777" w:rsidR="00321D41" w:rsidRPr="00260A80" w:rsidRDefault="00321D41" w:rsidP="003D38AC">
            <w:pPr>
              <w:pStyle w:val="Tabletext0"/>
              <w:jc w:val="right"/>
              <w:rPr>
                <w:i/>
              </w:rPr>
            </w:pPr>
            <w:r w:rsidRPr="00260A80">
              <w:rPr>
                <w:i/>
              </w:rPr>
              <w:t>$1,386.27</w:t>
            </w:r>
          </w:p>
        </w:tc>
        <w:tc>
          <w:tcPr>
            <w:tcW w:w="734" w:type="pct"/>
            <w:tcBorders>
              <w:bottom w:val="nil"/>
            </w:tcBorders>
            <w:noWrap/>
          </w:tcPr>
          <w:p w14:paraId="176F31BD" w14:textId="77777777" w:rsidR="00321D41" w:rsidRPr="00260A80" w:rsidRDefault="00321D41" w:rsidP="003D38AC">
            <w:pPr>
              <w:pStyle w:val="Tabletext0"/>
              <w:jc w:val="right"/>
              <w:rPr>
                <w:i/>
              </w:rPr>
            </w:pPr>
            <w:r w:rsidRPr="00260A80">
              <w:rPr>
                <w:i/>
              </w:rPr>
              <w:t>$164.03</w:t>
            </w:r>
          </w:p>
        </w:tc>
        <w:tc>
          <w:tcPr>
            <w:tcW w:w="835" w:type="pct"/>
            <w:tcBorders>
              <w:bottom w:val="nil"/>
            </w:tcBorders>
          </w:tcPr>
          <w:p w14:paraId="1FD3DB3B" w14:textId="77777777" w:rsidR="00321D41" w:rsidRPr="00260A80" w:rsidRDefault="00321D41" w:rsidP="003D38AC">
            <w:pPr>
              <w:pStyle w:val="Tabletext0"/>
              <w:jc w:val="right"/>
              <w:rPr>
                <w:i/>
              </w:rPr>
            </w:pPr>
          </w:p>
        </w:tc>
      </w:tr>
      <w:tr w:rsidR="00321D41" w:rsidRPr="00260A80" w14:paraId="2DBD2725" w14:textId="77777777" w:rsidTr="003D38AC">
        <w:trPr>
          <w:cantSplit/>
          <w:trHeight w:val="300"/>
        </w:trPr>
        <w:tc>
          <w:tcPr>
            <w:tcW w:w="1963" w:type="pct"/>
            <w:tcBorders>
              <w:top w:val="nil"/>
            </w:tcBorders>
            <w:noWrap/>
          </w:tcPr>
          <w:p w14:paraId="71D7D68B" w14:textId="77777777" w:rsidR="00321D41" w:rsidRPr="00260A80" w:rsidRDefault="00321D41" w:rsidP="003D38AC">
            <w:pPr>
              <w:pStyle w:val="Tabletext0"/>
              <w:rPr>
                <w:i/>
              </w:rPr>
            </w:pPr>
            <w:r w:rsidRPr="00260A80">
              <w:rPr>
                <w:i/>
              </w:rPr>
              <w:t>QALYs</w:t>
            </w:r>
          </w:p>
        </w:tc>
        <w:tc>
          <w:tcPr>
            <w:tcW w:w="734" w:type="pct"/>
            <w:tcBorders>
              <w:top w:val="nil"/>
            </w:tcBorders>
            <w:noWrap/>
          </w:tcPr>
          <w:p w14:paraId="004E8930" w14:textId="77777777" w:rsidR="00321D41" w:rsidRPr="00260A80" w:rsidRDefault="00321D41" w:rsidP="003D38AC">
            <w:pPr>
              <w:pStyle w:val="Tabletext0"/>
              <w:jc w:val="right"/>
              <w:rPr>
                <w:i/>
              </w:rPr>
            </w:pPr>
            <w:r w:rsidRPr="00260A80">
              <w:rPr>
                <w:i/>
              </w:rPr>
              <w:t>0.70</w:t>
            </w:r>
          </w:p>
        </w:tc>
        <w:tc>
          <w:tcPr>
            <w:tcW w:w="734" w:type="pct"/>
            <w:tcBorders>
              <w:top w:val="nil"/>
            </w:tcBorders>
            <w:noWrap/>
          </w:tcPr>
          <w:p w14:paraId="5FF19F1F" w14:textId="77777777" w:rsidR="00321D41" w:rsidRPr="00260A80" w:rsidRDefault="00321D41" w:rsidP="003D38AC">
            <w:pPr>
              <w:pStyle w:val="Tabletext0"/>
              <w:jc w:val="right"/>
              <w:rPr>
                <w:i/>
              </w:rPr>
            </w:pPr>
            <w:r w:rsidRPr="00260A80">
              <w:rPr>
                <w:i/>
              </w:rPr>
              <w:t>0.53</w:t>
            </w:r>
          </w:p>
        </w:tc>
        <w:tc>
          <w:tcPr>
            <w:tcW w:w="734" w:type="pct"/>
            <w:tcBorders>
              <w:top w:val="nil"/>
            </w:tcBorders>
            <w:noWrap/>
          </w:tcPr>
          <w:p w14:paraId="53725A4E" w14:textId="77777777" w:rsidR="00321D41" w:rsidRPr="00260A80" w:rsidRDefault="00321D41" w:rsidP="003D38AC">
            <w:pPr>
              <w:pStyle w:val="Tabletext0"/>
              <w:jc w:val="right"/>
              <w:rPr>
                <w:i/>
              </w:rPr>
            </w:pPr>
            <w:r w:rsidRPr="00260A80">
              <w:rPr>
                <w:i/>
              </w:rPr>
              <w:t>0.17</w:t>
            </w:r>
          </w:p>
        </w:tc>
        <w:tc>
          <w:tcPr>
            <w:tcW w:w="835" w:type="pct"/>
            <w:tcBorders>
              <w:top w:val="nil"/>
            </w:tcBorders>
          </w:tcPr>
          <w:p w14:paraId="64FF35BB" w14:textId="77777777" w:rsidR="00321D41" w:rsidRPr="00260A80" w:rsidRDefault="00321D41" w:rsidP="003D38AC">
            <w:pPr>
              <w:pStyle w:val="Tabletext0"/>
              <w:jc w:val="right"/>
              <w:rPr>
                <w:i/>
              </w:rPr>
            </w:pPr>
            <w:r w:rsidRPr="00260A80">
              <w:rPr>
                <w:i/>
              </w:rPr>
              <w:t>$964.88</w:t>
            </w:r>
          </w:p>
        </w:tc>
      </w:tr>
      <w:tr w:rsidR="00321D41" w:rsidRPr="00260A80" w14:paraId="4FA09F0A" w14:textId="77777777" w:rsidTr="003D38AC">
        <w:trPr>
          <w:cantSplit/>
          <w:trHeight w:val="300"/>
        </w:trPr>
        <w:tc>
          <w:tcPr>
            <w:tcW w:w="5000" w:type="pct"/>
            <w:gridSpan w:val="5"/>
            <w:tcBorders>
              <w:bottom w:val="single" w:sz="4" w:space="0" w:color="auto"/>
            </w:tcBorders>
            <w:noWrap/>
          </w:tcPr>
          <w:p w14:paraId="4C93729C" w14:textId="5705E316" w:rsidR="00321D41" w:rsidRPr="00260A80" w:rsidRDefault="00321D41" w:rsidP="003D38AC">
            <w:pPr>
              <w:pStyle w:val="Tabletext0"/>
              <w:jc w:val="left"/>
              <w:rPr>
                <w:i/>
              </w:rPr>
            </w:pPr>
            <w:r w:rsidRPr="00260A80">
              <w:rPr>
                <w:i/>
              </w:rPr>
              <w:t xml:space="preserve">Step 3 </w:t>
            </w:r>
            <w:r w:rsidR="00566BD1" w:rsidRPr="00260A80">
              <w:rPr>
                <w:i/>
              </w:rPr>
              <w:t>- Revised cost of the intervention due to the large uncertainty in the cost implications and study QALYs transformed to the appropriate time horizon</w:t>
            </w:r>
          </w:p>
        </w:tc>
      </w:tr>
      <w:tr w:rsidR="00321D41" w:rsidRPr="00260A80" w14:paraId="3B51BDD7" w14:textId="77777777" w:rsidTr="003D38AC">
        <w:trPr>
          <w:cantSplit/>
          <w:trHeight w:val="300"/>
        </w:trPr>
        <w:tc>
          <w:tcPr>
            <w:tcW w:w="1963" w:type="pct"/>
            <w:tcBorders>
              <w:bottom w:val="nil"/>
            </w:tcBorders>
            <w:noWrap/>
          </w:tcPr>
          <w:p w14:paraId="600230B3" w14:textId="77777777" w:rsidR="00321D41" w:rsidRPr="00260A80" w:rsidRDefault="00321D41" w:rsidP="003D38AC">
            <w:pPr>
              <w:pStyle w:val="Tabletext0"/>
              <w:rPr>
                <w:i/>
              </w:rPr>
            </w:pPr>
            <w:r w:rsidRPr="00260A80">
              <w:rPr>
                <w:i/>
              </w:rPr>
              <w:t>Costs</w:t>
            </w:r>
          </w:p>
        </w:tc>
        <w:tc>
          <w:tcPr>
            <w:tcW w:w="734" w:type="pct"/>
            <w:tcBorders>
              <w:bottom w:val="nil"/>
            </w:tcBorders>
            <w:noWrap/>
          </w:tcPr>
          <w:p w14:paraId="4F133CB6" w14:textId="77777777" w:rsidR="00321D41" w:rsidRPr="00260A80" w:rsidRDefault="00321D41" w:rsidP="003D38AC">
            <w:pPr>
              <w:pStyle w:val="Tabletext0"/>
              <w:jc w:val="right"/>
              <w:rPr>
                <w:i/>
              </w:rPr>
            </w:pPr>
            <w:r w:rsidRPr="00260A80">
              <w:rPr>
                <w:i/>
              </w:rPr>
              <w:t>$1,550.30</w:t>
            </w:r>
          </w:p>
        </w:tc>
        <w:tc>
          <w:tcPr>
            <w:tcW w:w="734" w:type="pct"/>
            <w:tcBorders>
              <w:bottom w:val="nil"/>
            </w:tcBorders>
            <w:noWrap/>
          </w:tcPr>
          <w:p w14:paraId="300CEB5C" w14:textId="77777777" w:rsidR="00321D41" w:rsidRPr="00260A80" w:rsidRDefault="00321D41" w:rsidP="003D38AC">
            <w:pPr>
              <w:pStyle w:val="Tabletext0"/>
              <w:jc w:val="right"/>
              <w:rPr>
                <w:i/>
              </w:rPr>
            </w:pPr>
            <w:r w:rsidRPr="00260A80">
              <w:rPr>
                <w:i/>
              </w:rPr>
              <w:t>$1,386.27</w:t>
            </w:r>
          </w:p>
        </w:tc>
        <w:tc>
          <w:tcPr>
            <w:tcW w:w="734" w:type="pct"/>
            <w:tcBorders>
              <w:bottom w:val="nil"/>
            </w:tcBorders>
            <w:noWrap/>
          </w:tcPr>
          <w:p w14:paraId="7AADE8B5" w14:textId="77777777" w:rsidR="00321D41" w:rsidRPr="00260A80" w:rsidRDefault="00321D41" w:rsidP="003D38AC">
            <w:pPr>
              <w:pStyle w:val="Tabletext0"/>
              <w:jc w:val="right"/>
              <w:rPr>
                <w:i/>
              </w:rPr>
            </w:pPr>
            <w:r w:rsidRPr="00260A80">
              <w:rPr>
                <w:i/>
              </w:rPr>
              <w:t>$164.03</w:t>
            </w:r>
          </w:p>
        </w:tc>
        <w:tc>
          <w:tcPr>
            <w:tcW w:w="835" w:type="pct"/>
            <w:tcBorders>
              <w:bottom w:val="nil"/>
            </w:tcBorders>
          </w:tcPr>
          <w:p w14:paraId="7CC5621C" w14:textId="77777777" w:rsidR="00321D41" w:rsidRPr="00260A80" w:rsidRDefault="00321D41" w:rsidP="003D38AC">
            <w:pPr>
              <w:pStyle w:val="Tabletext0"/>
              <w:jc w:val="right"/>
              <w:rPr>
                <w:i/>
              </w:rPr>
            </w:pPr>
          </w:p>
        </w:tc>
      </w:tr>
      <w:tr w:rsidR="00321D41" w:rsidRPr="00260A80" w14:paraId="1D6AA291" w14:textId="77777777" w:rsidTr="003D38AC">
        <w:trPr>
          <w:cantSplit/>
          <w:trHeight w:val="300"/>
        </w:trPr>
        <w:tc>
          <w:tcPr>
            <w:tcW w:w="1963" w:type="pct"/>
            <w:tcBorders>
              <w:top w:val="nil"/>
            </w:tcBorders>
            <w:noWrap/>
          </w:tcPr>
          <w:p w14:paraId="49ECA9B6" w14:textId="77777777" w:rsidR="00321D41" w:rsidRPr="00260A80" w:rsidRDefault="00321D41" w:rsidP="003D38AC">
            <w:pPr>
              <w:pStyle w:val="Tabletext0"/>
              <w:rPr>
                <w:i/>
              </w:rPr>
            </w:pPr>
            <w:r w:rsidRPr="00260A80">
              <w:rPr>
                <w:i/>
              </w:rPr>
              <w:t>QALYs</w:t>
            </w:r>
          </w:p>
        </w:tc>
        <w:tc>
          <w:tcPr>
            <w:tcW w:w="734" w:type="pct"/>
            <w:tcBorders>
              <w:top w:val="nil"/>
            </w:tcBorders>
            <w:noWrap/>
          </w:tcPr>
          <w:p w14:paraId="17378555" w14:textId="77777777" w:rsidR="00321D41" w:rsidRPr="00260A80" w:rsidRDefault="00321D41" w:rsidP="003D38AC">
            <w:pPr>
              <w:pStyle w:val="Tabletext0"/>
              <w:jc w:val="right"/>
              <w:rPr>
                <w:i/>
              </w:rPr>
            </w:pPr>
            <w:r w:rsidRPr="00260A80">
              <w:rPr>
                <w:i/>
              </w:rPr>
              <w:t>0.175</w:t>
            </w:r>
          </w:p>
        </w:tc>
        <w:tc>
          <w:tcPr>
            <w:tcW w:w="734" w:type="pct"/>
            <w:tcBorders>
              <w:top w:val="nil"/>
            </w:tcBorders>
            <w:noWrap/>
          </w:tcPr>
          <w:p w14:paraId="4802DC07" w14:textId="77777777" w:rsidR="00321D41" w:rsidRPr="00260A80" w:rsidRDefault="00321D41" w:rsidP="003D38AC">
            <w:pPr>
              <w:pStyle w:val="Tabletext0"/>
              <w:jc w:val="right"/>
              <w:rPr>
                <w:i/>
              </w:rPr>
            </w:pPr>
            <w:r w:rsidRPr="00260A80">
              <w:rPr>
                <w:i/>
              </w:rPr>
              <w:t>0.1325</w:t>
            </w:r>
          </w:p>
        </w:tc>
        <w:tc>
          <w:tcPr>
            <w:tcW w:w="734" w:type="pct"/>
            <w:tcBorders>
              <w:top w:val="nil"/>
            </w:tcBorders>
            <w:noWrap/>
          </w:tcPr>
          <w:p w14:paraId="30BFE3B1" w14:textId="77777777" w:rsidR="00321D41" w:rsidRPr="00260A80" w:rsidRDefault="00321D41" w:rsidP="003D38AC">
            <w:pPr>
              <w:pStyle w:val="Tabletext0"/>
              <w:jc w:val="right"/>
              <w:rPr>
                <w:i/>
              </w:rPr>
            </w:pPr>
            <w:r w:rsidRPr="00260A80">
              <w:rPr>
                <w:i/>
              </w:rPr>
              <w:t>0.0425</w:t>
            </w:r>
          </w:p>
        </w:tc>
        <w:tc>
          <w:tcPr>
            <w:tcW w:w="835" w:type="pct"/>
            <w:tcBorders>
              <w:top w:val="nil"/>
            </w:tcBorders>
          </w:tcPr>
          <w:p w14:paraId="4C8ECD66" w14:textId="77777777" w:rsidR="00321D41" w:rsidRPr="00260A80" w:rsidRDefault="00321D41" w:rsidP="003D38AC">
            <w:pPr>
              <w:pStyle w:val="Tabletext0"/>
              <w:jc w:val="right"/>
              <w:rPr>
                <w:i/>
              </w:rPr>
            </w:pPr>
            <w:r w:rsidRPr="00260A80">
              <w:rPr>
                <w:i/>
              </w:rPr>
              <w:t>$3,859.53</w:t>
            </w:r>
          </w:p>
        </w:tc>
      </w:tr>
      <w:tr w:rsidR="00321D41" w:rsidRPr="00260A80" w14:paraId="42F6D4F2" w14:textId="77777777" w:rsidTr="003D38AC">
        <w:trPr>
          <w:cantSplit/>
          <w:trHeight w:val="300"/>
        </w:trPr>
        <w:tc>
          <w:tcPr>
            <w:tcW w:w="5000" w:type="pct"/>
            <w:gridSpan w:val="5"/>
            <w:noWrap/>
          </w:tcPr>
          <w:p w14:paraId="1EEB465B" w14:textId="17FAE03F" w:rsidR="00321D41" w:rsidRPr="00260A80" w:rsidRDefault="00321D41" w:rsidP="003D38AC">
            <w:pPr>
              <w:pStyle w:val="Tabletext0"/>
              <w:jc w:val="left"/>
              <w:rPr>
                <w:i/>
              </w:rPr>
            </w:pPr>
            <w:r w:rsidRPr="00260A80">
              <w:rPr>
                <w:i/>
              </w:rPr>
              <w:t>Step 4 –</w:t>
            </w:r>
            <w:r w:rsidR="00566BD1" w:rsidRPr="00260A80">
              <w:rPr>
                <w:i/>
              </w:rPr>
              <w:t xml:space="preserve">Revised cost of the intervention due to the large uncertainty in the cost implications, study QALYs transformed to the appropriate time horizon, and the study attrition rate of </w:t>
            </w:r>
            <w:r w:rsidRPr="00260A80">
              <w:rPr>
                <w:i/>
              </w:rPr>
              <w:t>61%</w:t>
            </w:r>
            <w:r w:rsidR="00AA403A" w:rsidRPr="00260A80">
              <w:rPr>
                <w:i/>
              </w:rPr>
              <w:t xml:space="preserve"> </w:t>
            </w:r>
            <w:r w:rsidRPr="00260A80">
              <w:rPr>
                <w:i/>
              </w:rPr>
              <w:t>in Group B</w:t>
            </w:r>
            <w:r w:rsidR="00566BD1" w:rsidRPr="00260A80">
              <w:rPr>
                <w:i/>
              </w:rPr>
              <w:t xml:space="preserve"> </w:t>
            </w:r>
          </w:p>
        </w:tc>
      </w:tr>
      <w:tr w:rsidR="00321D41" w:rsidRPr="00260A80" w14:paraId="4788EB86" w14:textId="77777777" w:rsidTr="003D38AC">
        <w:trPr>
          <w:cantSplit/>
          <w:trHeight w:val="300"/>
        </w:trPr>
        <w:tc>
          <w:tcPr>
            <w:tcW w:w="1963" w:type="pct"/>
            <w:tcBorders>
              <w:bottom w:val="nil"/>
            </w:tcBorders>
            <w:noWrap/>
          </w:tcPr>
          <w:p w14:paraId="1254111F" w14:textId="77777777" w:rsidR="00321D41" w:rsidRPr="00260A80" w:rsidRDefault="00321D41" w:rsidP="003D38AC">
            <w:pPr>
              <w:pStyle w:val="Tabletext0"/>
              <w:rPr>
                <w:i/>
              </w:rPr>
            </w:pPr>
            <w:r w:rsidRPr="00260A80">
              <w:rPr>
                <w:i/>
              </w:rPr>
              <w:t>Costs</w:t>
            </w:r>
          </w:p>
        </w:tc>
        <w:tc>
          <w:tcPr>
            <w:tcW w:w="734" w:type="pct"/>
            <w:tcBorders>
              <w:bottom w:val="nil"/>
            </w:tcBorders>
            <w:noWrap/>
          </w:tcPr>
          <w:p w14:paraId="3E21977F" w14:textId="77777777" w:rsidR="00321D41" w:rsidRPr="00260A80" w:rsidRDefault="00321D41" w:rsidP="003D38AC">
            <w:pPr>
              <w:pStyle w:val="Tabletext0"/>
              <w:jc w:val="right"/>
              <w:rPr>
                <w:i/>
              </w:rPr>
            </w:pPr>
            <w:r w:rsidRPr="00260A80">
              <w:rPr>
                <w:i/>
              </w:rPr>
              <w:t>$1,517.17</w:t>
            </w:r>
          </w:p>
        </w:tc>
        <w:tc>
          <w:tcPr>
            <w:tcW w:w="734" w:type="pct"/>
            <w:tcBorders>
              <w:bottom w:val="nil"/>
            </w:tcBorders>
            <w:noWrap/>
          </w:tcPr>
          <w:p w14:paraId="29BDB6AF" w14:textId="77777777" w:rsidR="00321D41" w:rsidRPr="00260A80" w:rsidRDefault="00321D41" w:rsidP="003D38AC">
            <w:pPr>
              <w:pStyle w:val="Tabletext0"/>
              <w:jc w:val="right"/>
              <w:rPr>
                <w:i/>
              </w:rPr>
            </w:pPr>
            <w:r w:rsidRPr="00260A80">
              <w:rPr>
                <w:i/>
              </w:rPr>
              <w:t>$1,386.27</w:t>
            </w:r>
          </w:p>
        </w:tc>
        <w:tc>
          <w:tcPr>
            <w:tcW w:w="734" w:type="pct"/>
            <w:tcBorders>
              <w:bottom w:val="nil"/>
            </w:tcBorders>
            <w:noWrap/>
          </w:tcPr>
          <w:p w14:paraId="6E161F5A" w14:textId="77777777" w:rsidR="00321D41" w:rsidRPr="00260A80" w:rsidRDefault="00321D41" w:rsidP="003D38AC">
            <w:pPr>
              <w:pStyle w:val="Tabletext0"/>
              <w:jc w:val="right"/>
              <w:rPr>
                <w:i/>
              </w:rPr>
            </w:pPr>
            <w:r w:rsidRPr="00260A80">
              <w:rPr>
                <w:i/>
              </w:rPr>
              <w:t>$130.90</w:t>
            </w:r>
          </w:p>
        </w:tc>
        <w:tc>
          <w:tcPr>
            <w:tcW w:w="835" w:type="pct"/>
            <w:tcBorders>
              <w:bottom w:val="nil"/>
            </w:tcBorders>
          </w:tcPr>
          <w:p w14:paraId="61BDC058" w14:textId="77777777" w:rsidR="00321D41" w:rsidRPr="00260A80" w:rsidRDefault="00321D41" w:rsidP="003D38AC">
            <w:pPr>
              <w:pStyle w:val="Tabletext0"/>
              <w:jc w:val="right"/>
              <w:rPr>
                <w:i/>
              </w:rPr>
            </w:pPr>
          </w:p>
        </w:tc>
      </w:tr>
      <w:tr w:rsidR="00321D41" w:rsidRPr="00260A80" w14:paraId="4FBB669E" w14:textId="77777777" w:rsidTr="003D38AC">
        <w:trPr>
          <w:cantSplit/>
          <w:trHeight w:val="300"/>
        </w:trPr>
        <w:tc>
          <w:tcPr>
            <w:tcW w:w="1963" w:type="pct"/>
            <w:tcBorders>
              <w:top w:val="nil"/>
            </w:tcBorders>
            <w:noWrap/>
          </w:tcPr>
          <w:p w14:paraId="6AC061AC" w14:textId="77777777" w:rsidR="00321D41" w:rsidRPr="00260A80" w:rsidRDefault="00321D41" w:rsidP="003D38AC">
            <w:pPr>
              <w:pStyle w:val="Tabletext0"/>
              <w:rPr>
                <w:i/>
              </w:rPr>
            </w:pPr>
            <w:r w:rsidRPr="00260A80">
              <w:rPr>
                <w:i/>
              </w:rPr>
              <w:t>QALYs</w:t>
            </w:r>
          </w:p>
        </w:tc>
        <w:tc>
          <w:tcPr>
            <w:tcW w:w="734" w:type="pct"/>
            <w:tcBorders>
              <w:top w:val="nil"/>
            </w:tcBorders>
            <w:noWrap/>
          </w:tcPr>
          <w:p w14:paraId="716FF632" w14:textId="77777777" w:rsidR="00321D41" w:rsidRPr="00260A80" w:rsidRDefault="00321D41" w:rsidP="003D38AC">
            <w:pPr>
              <w:pStyle w:val="Tabletext0"/>
              <w:jc w:val="right"/>
              <w:rPr>
                <w:i/>
              </w:rPr>
            </w:pPr>
            <w:r w:rsidRPr="00260A80">
              <w:rPr>
                <w:i/>
              </w:rPr>
              <w:t>0.149075</w:t>
            </w:r>
          </w:p>
        </w:tc>
        <w:tc>
          <w:tcPr>
            <w:tcW w:w="734" w:type="pct"/>
            <w:tcBorders>
              <w:top w:val="nil"/>
            </w:tcBorders>
            <w:noWrap/>
          </w:tcPr>
          <w:p w14:paraId="6F44DFE3" w14:textId="77777777" w:rsidR="00321D41" w:rsidRPr="00260A80" w:rsidRDefault="00321D41" w:rsidP="003D38AC">
            <w:pPr>
              <w:pStyle w:val="Tabletext0"/>
              <w:jc w:val="right"/>
              <w:rPr>
                <w:i/>
              </w:rPr>
            </w:pPr>
            <w:r w:rsidRPr="00260A80">
              <w:rPr>
                <w:i/>
              </w:rPr>
              <w:t>0.1325</w:t>
            </w:r>
          </w:p>
        </w:tc>
        <w:tc>
          <w:tcPr>
            <w:tcW w:w="734" w:type="pct"/>
            <w:tcBorders>
              <w:top w:val="nil"/>
            </w:tcBorders>
            <w:noWrap/>
          </w:tcPr>
          <w:p w14:paraId="404DEDE4" w14:textId="77777777" w:rsidR="00321D41" w:rsidRPr="00260A80" w:rsidRDefault="00321D41" w:rsidP="003D38AC">
            <w:pPr>
              <w:pStyle w:val="Tabletext0"/>
              <w:jc w:val="right"/>
              <w:rPr>
                <w:i/>
              </w:rPr>
            </w:pPr>
            <w:r w:rsidRPr="00260A80">
              <w:rPr>
                <w:i/>
              </w:rPr>
              <w:t>0.016575</w:t>
            </w:r>
          </w:p>
        </w:tc>
        <w:tc>
          <w:tcPr>
            <w:tcW w:w="835" w:type="pct"/>
            <w:tcBorders>
              <w:top w:val="nil"/>
            </w:tcBorders>
          </w:tcPr>
          <w:p w14:paraId="08AC295C" w14:textId="77777777" w:rsidR="00321D41" w:rsidRPr="00260A80" w:rsidRDefault="00321D41" w:rsidP="003D38AC">
            <w:pPr>
              <w:pStyle w:val="Tabletext0"/>
              <w:jc w:val="right"/>
              <w:rPr>
                <w:i/>
              </w:rPr>
            </w:pPr>
            <w:r w:rsidRPr="00260A80">
              <w:rPr>
                <w:i/>
              </w:rPr>
              <w:t>$7,897.44</w:t>
            </w:r>
          </w:p>
        </w:tc>
      </w:tr>
    </w:tbl>
    <w:p w14:paraId="7ABFE4A8" w14:textId="1FD1E52A" w:rsidR="00321D41" w:rsidRDefault="00321D41" w:rsidP="00321D41">
      <w:pPr>
        <w:pStyle w:val="TableFigureFooter"/>
        <w:spacing w:before="0" w:after="0"/>
        <w:jc w:val="both"/>
        <w:rPr>
          <w:rFonts w:eastAsia="Calibri"/>
          <w:iCs/>
          <w:szCs w:val="20"/>
        </w:rPr>
      </w:pPr>
      <w:r w:rsidRPr="00D76B8B">
        <w:rPr>
          <w:rFonts w:eastAsia="Calibri"/>
          <w:iCs/>
          <w:szCs w:val="20"/>
        </w:rPr>
        <w:t xml:space="preserve">Source: </w:t>
      </w:r>
      <w:r>
        <w:rPr>
          <w:rFonts w:eastAsia="Calibri"/>
          <w:iCs/>
          <w:szCs w:val="20"/>
        </w:rPr>
        <w:t xml:space="preserve">Tables </w:t>
      </w:r>
      <w:r>
        <w:rPr>
          <w:szCs w:val="18"/>
        </w:rPr>
        <w:t xml:space="preserve">94, </w:t>
      </w:r>
      <w:r>
        <w:rPr>
          <w:rFonts w:eastAsia="Calibri"/>
          <w:iCs/>
          <w:szCs w:val="20"/>
        </w:rPr>
        <w:t xml:space="preserve">103, 104 of ADAR. </w:t>
      </w:r>
    </w:p>
    <w:p w14:paraId="5251484F" w14:textId="7B4C7F9E" w:rsidR="00260A80" w:rsidRPr="00260A80" w:rsidRDefault="00260A80" w:rsidP="00321D41">
      <w:pPr>
        <w:pStyle w:val="TableFigureFooter"/>
        <w:spacing w:before="0" w:after="0"/>
        <w:jc w:val="both"/>
        <w:rPr>
          <w:rFonts w:eastAsia="Calibri"/>
          <w:i/>
          <w:iCs/>
          <w:szCs w:val="20"/>
        </w:rPr>
      </w:pPr>
      <w:r w:rsidRPr="00BA6994">
        <w:rPr>
          <w:rFonts w:eastAsia="Calibri"/>
          <w:i/>
          <w:iCs/>
          <w:szCs w:val="20"/>
        </w:rPr>
        <w:t>Italics indicates results generated during the evaluation.</w:t>
      </w:r>
      <w:r>
        <w:rPr>
          <w:rFonts w:eastAsia="Calibri"/>
          <w:i/>
          <w:iCs/>
          <w:szCs w:val="20"/>
        </w:rPr>
        <w:t xml:space="preserve"> </w:t>
      </w:r>
    </w:p>
    <w:p w14:paraId="06A6EF23" w14:textId="77777777" w:rsidR="00321D41" w:rsidRPr="00321D41" w:rsidRDefault="00321D41" w:rsidP="00321D41">
      <w:pPr>
        <w:pStyle w:val="TableFigureFooter"/>
        <w:spacing w:before="0" w:after="0"/>
        <w:jc w:val="both"/>
        <w:rPr>
          <w:rFonts w:eastAsia="Calibri"/>
          <w:iCs/>
          <w:szCs w:val="20"/>
        </w:rPr>
      </w:pPr>
      <w:r w:rsidRPr="00321D41">
        <w:rPr>
          <w:rFonts w:eastAsia="Calibri"/>
          <w:iCs/>
          <w:szCs w:val="20"/>
        </w:rPr>
        <w:t>Abbreviations: CMPC: Chronic Pain MedsCheck; QALY: quality-adjusted life year.</w:t>
      </w:r>
    </w:p>
    <w:p w14:paraId="2E69DCE0" w14:textId="2256C1F3" w:rsidR="009B714A" w:rsidRPr="00ED1823" w:rsidRDefault="0065557E" w:rsidP="00C515CE">
      <w:pPr>
        <w:pStyle w:val="Instructionaltext"/>
        <w:rPr>
          <w:color w:val="auto"/>
        </w:rPr>
      </w:pPr>
      <w:r>
        <w:rPr>
          <w:color w:val="auto"/>
        </w:rPr>
        <w:t xml:space="preserve">The ADAR presents </w:t>
      </w:r>
      <w:r w:rsidRPr="0065557E">
        <w:rPr>
          <w:color w:val="auto"/>
        </w:rPr>
        <w:t xml:space="preserve">sensitivity analyses </w:t>
      </w:r>
      <w:r w:rsidR="0020109A">
        <w:rPr>
          <w:color w:val="auto"/>
        </w:rPr>
        <w:t xml:space="preserve">for primary and secondary outcomes, using </w:t>
      </w:r>
      <w:r w:rsidRPr="0065557E">
        <w:rPr>
          <w:color w:val="auto"/>
        </w:rPr>
        <w:t xml:space="preserve">95% </w:t>
      </w:r>
      <w:r w:rsidR="00E50777" w:rsidRPr="0065557E">
        <w:rPr>
          <w:color w:val="auto"/>
        </w:rPr>
        <w:t>upper and lower bound</w:t>
      </w:r>
      <w:r w:rsidR="00E50777">
        <w:rPr>
          <w:color w:val="auto"/>
        </w:rPr>
        <w:t xml:space="preserve"> </w:t>
      </w:r>
      <w:r w:rsidRPr="0065557E">
        <w:rPr>
          <w:color w:val="auto"/>
        </w:rPr>
        <w:t xml:space="preserve">confidence intervals (CIs). When unavailable, an arbitrary 20% was used for upper and lower bounds. </w:t>
      </w:r>
      <w:r w:rsidRPr="00ED1823">
        <w:rPr>
          <w:color w:val="auto"/>
        </w:rPr>
        <w:t>This was applied to costs</w:t>
      </w:r>
      <w:r w:rsidR="00E50777" w:rsidRPr="00ED1823">
        <w:rPr>
          <w:color w:val="auto"/>
        </w:rPr>
        <w:t xml:space="preserve"> and</w:t>
      </w:r>
      <w:r w:rsidR="00DC0708" w:rsidRPr="00ED1823">
        <w:rPr>
          <w:color w:val="auto"/>
        </w:rPr>
        <w:t xml:space="preserve"> QALYs</w:t>
      </w:r>
      <w:r w:rsidRPr="00ED1823">
        <w:rPr>
          <w:color w:val="auto"/>
        </w:rPr>
        <w:t>.</w:t>
      </w:r>
      <w:r w:rsidR="009B714A" w:rsidRPr="00ED1823">
        <w:rPr>
          <w:color w:val="auto"/>
        </w:rPr>
        <w:t xml:space="preserve"> </w:t>
      </w:r>
    </w:p>
    <w:p w14:paraId="75093F98" w14:textId="433CAEF7" w:rsidR="009B714A" w:rsidRPr="002E6226" w:rsidRDefault="009B714A" w:rsidP="00C515CE">
      <w:pPr>
        <w:pStyle w:val="Instructionaltext"/>
        <w:rPr>
          <w:color w:val="auto"/>
        </w:rPr>
      </w:pPr>
      <w:r w:rsidRPr="00FC7CB6">
        <w:rPr>
          <w:color w:val="auto"/>
        </w:rPr>
        <w:t>Hospitalisation costs and MBS service usage were the main drivers in the Group A and B analyses. For Group B vs A, the same variables in addition to QALYs were key drivers.</w:t>
      </w:r>
      <w:r>
        <w:rPr>
          <w:color w:val="auto"/>
        </w:rPr>
        <w:t xml:space="preserve"> </w:t>
      </w:r>
      <w:r w:rsidR="0042123E" w:rsidRPr="002E6226">
        <w:rPr>
          <w:color w:val="auto"/>
        </w:rPr>
        <w:t xml:space="preserve">Since the sensitivity analyses just presents the case for </w:t>
      </w:r>
      <w:r w:rsidR="00A44E97" w:rsidRPr="002E6226">
        <w:rPr>
          <w:color w:val="auto"/>
        </w:rPr>
        <w:t xml:space="preserve">percentage </w:t>
      </w:r>
      <w:r w:rsidR="0042123E" w:rsidRPr="002E6226">
        <w:rPr>
          <w:color w:val="auto"/>
        </w:rPr>
        <w:t xml:space="preserve">higher or lower costs in each of the inputs (hospitalisations, ED presentations, trial costs, PBS/MBS costs, QALYs), this </w:t>
      </w:r>
      <w:r w:rsidR="00C0051B">
        <w:rPr>
          <w:color w:val="auto"/>
        </w:rPr>
        <w:t>simply</w:t>
      </w:r>
      <w:r w:rsidR="00C0051B" w:rsidRPr="002E6226">
        <w:rPr>
          <w:color w:val="auto"/>
        </w:rPr>
        <w:t xml:space="preserve"> </w:t>
      </w:r>
      <w:r w:rsidR="0042123E" w:rsidRPr="002E6226">
        <w:rPr>
          <w:color w:val="auto"/>
        </w:rPr>
        <w:t>show</w:t>
      </w:r>
      <w:r w:rsidR="00A44E97" w:rsidRPr="002E6226">
        <w:rPr>
          <w:color w:val="auto"/>
        </w:rPr>
        <w:t>s</w:t>
      </w:r>
      <w:r w:rsidR="0042123E" w:rsidRPr="002E6226">
        <w:rPr>
          <w:color w:val="auto"/>
        </w:rPr>
        <w:t xml:space="preserve"> which inputs made up a higher proportion</w:t>
      </w:r>
      <w:r w:rsidR="00A44E97" w:rsidRPr="002E6226">
        <w:rPr>
          <w:color w:val="auto"/>
        </w:rPr>
        <w:t xml:space="preserve"> of total cost</w:t>
      </w:r>
      <w:r w:rsidR="00FE73FA" w:rsidRPr="002E6226">
        <w:rPr>
          <w:color w:val="auto"/>
        </w:rPr>
        <w:t xml:space="preserve"> implications</w:t>
      </w:r>
      <w:r w:rsidR="00A44E97" w:rsidRPr="002E6226">
        <w:rPr>
          <w:color w:val="auto"/>
        </w:rPr>
        <w:t>.</w:t>
      </w:r>
    </w:p>
    <w:p w14:paraId="3515B7CB" w14:textId="7B970276" w:rsidR="00DC0708" w:rsidRPr="002E6226" w:rsidRDefault="00DC0708" w:rsidP="00C515CE">
      <w:pPr>
        <w:pStyle w:val="Instructionaltext"/>
        <w:rPr>
          <w:color w:val="auto"/>
        </w:rPr>
      </w:pPr>
      <w:r w:rsidRPr="002E6226">
        <w:rPr>
          <w:color w:val="auto"/>
        </w:rPr>
        <w:t xml:space="preserve">The sensitivity analyses did not explore the uncertainty introduced by the high attrition, for example by modelling potential scenarios such as if participants lost to follow-up received no health gain, or </w:t>
      </w:r>
      <w:r w:rsidR="00336BC5" w:rsidRPr="002E6226">
        <w:rPr>
          <w:color w:val="auto"/>
        </w:rPr>
        <w:t xml:space="preserve">the usual care arm </w:t>
      </w:r>
      <w:r w:rsidRPr="002E6226">
        <w:rPr>
          <w:color w:val="auto"/>
        </w:rPr>
        <w:t>had some level of regression to the mean seen in previous chronic pain trials.</w:t>
      </w:r>
      <w:r w:rsidR="0042123E" w:rsidRPr="002E6226">
        <w:rPr>
          <w:color w:val="auto"/>
        </w:rPr>
        <w:t xml:space="preserve"> It would also have been useful to present sensitivity analyses exploring some of the assumptions made in the economic model, including the arbitrary choice of using 6 months’ PBS and MBS data and the method used to adjust the post-intervention PBS costs.</w:t>
      </w:r>
    </w:p>
    <w:p w14:paraId="25AE2BAC" w14:textId="0B79E04E" w:rsidR="00772829" w:rsidRPr="00CE28E3" w:rsidRDefault="00772829" w:rsidP="00C7722F">
      <w:pPr>
        <w:pStyle w:val="Heading2"/>
        <w:numPr>
          <w:ilvl w:val="0"/>
          <w:numId w:val="18"/>
        </w:numPr>
        <w:ind w:hanging="720"/>
        <w:jc w:val="both"/>
      </w:pPr>
      <w:bookmarkStart w:id="41" w:name="_Toc69491426"/>
      <w:r w:rsidRPr="00CE28E3">
        <w:t>Financial/budgetary impacts</w:t>
      </w:r>
      <w:bookmarkEnd w:id="41"/>
    </w:p>
    <w:p w14:paraId="5881294E" w14:textId="755B58DF" w:rsidR="00AA5BC3" w:rsidRPr="002E6226" w:rsidRDefault="00AA5BC3" w:rsidP="00C515CE">
      <w:r w:rsidRPr="00AA5BC3">
        <w:t xml:space="preserve">The ADAR uses an epidemiological approach to estimating financial impact using the proportion of the population who would be eligible for </w:t>
      </w:r>
      <w:r>
        <w:t>a CPMC service</w:t>
      </w:r>
      <w:r w:rsidRPr="00AA5BC3">
        <w:t xml:space="preserve">. The ADAR </w:t>
      </w:r>
      <w:r>
        <w:t>presents a</w:t>
      </w:r>
      <w:r w:rsidRPr="00AA5BC3">
        <w:t xml:space="preserve"> financial impact analysis</w:t>
      </w:r>
      <w:r>
        <w:t xml:space="preserve"> for both Group A and Group B</w:t>
      </w:r>
      <w:r w:rsidRPr="00AA5BC3">
        <w:t>.</w:t>
      </w:r>
      <w:r>
        <w:t xml:space="preserve"> </w:t>
      </w:r>
    </w:p>
    <w:p w14:paraId="2E8587D8" w14:textId="03743BF5" w:rsidR="00D7710B" w:rsidRPr="002E6226" w:rsidRDefault="00012738" w:rsidP="00C515CE">
      <w:r w:rsidRPr="002E6226">
        <w:t>Table 1</w:t>
      </w:r>
      <w:r w:rsidR="003E710D" w:rsidRPr="002E6226">
        <w:t>3</w:t>
      </w:r>
      <w:r w:rsidRPr="002E6226">
        <w:t xml:space="preserve"> presents the population parameters used in the financial impact analysis. </w:t>
      </w:r>
      <w:r w:rsidR="00D7710B" w:rsidRPr="002E6226">
        <w:t>The ADAR has applied the estimated prevalence of chronic pain and chronic cancer pain to a population aged 18 years and older.</w:t>
      </w:r>
      <w:r w:rsidR="001D5E90" w:rsidRPr="002E6226">
        <w:t xml:space="preserve"> There are a number of assumptions:</w:t>
      </w:r>
    </w:p>
    <w:p w14:paraId="189AD7A5" w14:textId="30688FA9" w:rsidR="001D5E90" w:rsidRPr="002E6226" w:rsidRDefault="001D5E90" w:rsidP="00C7722F">
      <w:pPr>
        <w:pStyle w:val="Instructionaltext-afterfiguretable"/>
        <w:numPr>
          <w:ilvl w:val="0"/>
          <w:numId w:val="13"/>
        </w:numPr>
        <w:spacing w:before="0" w:after="0"/>
        <w:ind w:left="714" w:hanging="357"/>
        <w:rPr>
          <w:iCs/>
          <w:color w:val="auto"/>
        </w:rPr>
      </w:pPr>
      <w:r w:rsidRPr="002E6226">
        <w:rPr>
          <w:iCs/>
          <w:color w:val="auto"/>
        </w:rPr>
        <w:t xml:space="preserve">The chronic pain </w:t>
      </w:r>
      <w:r w:rsidRPr="002E6226">
        <w:rPr>
          <w:color w:val="auto"/>
        </w:rPr>
        <w:t>prevalence</w:t>
      </w:r>
      <w:r w:rsidRPr="002E6226">
        <w:rPr>
          <w:iCs/>
          <w:color w:val="auto"/>
        </w:rPr>
        <w:t xml:space="preserve"> rate of 15.4% obtained from Miller (2017)</w:t>
      </w:r>
      <w:r w:rsidR="001A63A0" w:rsidRPr="002E6226">
        <w:rPr>
          <w:iCs/>
          <w:color w:val="auto"/>
        </w:rPr>
        <w:t xml:space="preserve"> was for </w:t>
      </w:r>
      <w:r w:rsidRPr="002E6226">
        <w:rPr>
          <w:iCs/>
          <w:color w:val="auto"/>
        </w:rPr>
        <w:t xml:space="preserve">people aged 15 or older, while the ADAR is applying the prevalence rate to a population aged 18 </w:t>
      </w:r>
      <w:r w:rsidRPr="002E6226">
        <w:rPr>
          <w:iCs/>
          <w:color w:val="auto"/>
        </w:rPr>
        <w:lastRenderedPageBreak/>
        <w:t xml:space="preserve">or older. </w:t>
      </w:r>
      <w:r w:rsidRPr="002E6226">
        <w:rPr>
          <w:color w:val="auto"/>
        </w:rPr>
        <w:t>However</w:t>
      </w:r>
      <w:r w:rsidR="001A63A0" w:rsidRPr="002E6226">
        <w:rPr>
          <w:iCs/>
          <w:color w:val="auto"/>
        </w:rPr>
        <w:t>,</w:t>
      </w:r>
      <w:r w:rsidRPr="002E6226">
        <w:rPr>
          <w:iCs/>
          <w:color w:val="auto"/>
        </w:rPr>
        <w:t xml:space="preserve"> the prevalence rate in people aged 16-19 was less than 10%; it is unlikely to have a large impact on the estimates.</w:t>
      </w:r>
    </w:p>
    <w:p w14:paraId="07F4F03D" w14:textId="6863B1A5" w:rsidR="001D5E90" w:rsidRPr="002E6226" w:rsidRDefault="001D5E90" w:rsidP="00C7722F">
      <w:pPr>
        <w:pStyle w:val="Instructionaltext"/>
        <w:numPr>
          <w:ilvl w:val="0"/>
          <w:numId w:val="14"/>
        </w:numPr>
        <w:rPr>
          <w:iCs/>
          <w:color w:val="auto"/>
        </w:rPr>
      </w:pPr>
      <w:r w:rsidRPr="002E6226">
        <w:rPr>
          <w:iCs/>
          <w:color w:val="auto"/>
        </w:rPr>
        <w:t>The chronic cancer pain prevalence rate of 7.1% obtained from the AIHW</w:t>
      </w:r>
      <w:r w:rsidR="001A63A0" w:rsidRPr="002E6226">
        <w:rPr>
          <w:iCs/>
          <w:color w:val="auto"/>
        </w:rPr>
        <w:t xml:space="preserve"> uses</w:t>
      </w:r>
      <w:r w:rsidRPr="002E6226">
        <w:rPr>
          <w:iCs/>
          <w:color w:val="auto"/>
        </w:rPr>
        <w:t xml:space="preserve"> results from the Survey of Health Care 2016. The Survey of Health Care participants were aged 45 and over. Applying this rate to a population aged 18 years and over likely overestimates the prevalence.</w:t>
      </w:r>
    </w:p>
    <w:p w14:paraId="019D0753" w14:textId="47B33572" w:rsidR="00D422C8" w:rsidRPr="00CE28E3" w:rsidRDefault="001D5E90" w:rsidP="0001555C">
      <w:pPr>
        <w:pStyle w:val="Caption"/>
        <w:jc w:val="both"/>
      </w:pPr>
      <w:r w:rsidRPr="00CE28E3">
        <w:t>Table</w:t>
      </w:r>
      <w:r>
        <w:t> </w:t>
      </w:r>
      <w:r>
        <w:fldChar w:fldCharType="begin"/>
      </w:r>
      <w:r>
        <w:instrText>SEQ Table \* ARABIC</w:instrText>
      </w:r>
      <w:r>
        <w:fldChar w:fldCharType="separate"/>
      </w:r>
      <w:r w:rsidR="00656985">
        <w:rPr>
          <w:noProof/>
        </w:rPr>
        <w:t>13</w:t>
      </w:r>
      <w:r>
        <w:fldChar w:fldCharType="end"/>
      </w:r>
      <w:r w:rsidR="00D422C8">
        <w:t xml:space="preserve"> </w:t>
      </w:r>
      <w:r w:rsidR="00BB7A48">
        <w:tab/>
      </w:r>
      <w:r w:rsidR="00D422C8">
        <w:t>Population d</w:t>
      </w:r>
      <w:r w:rsidR="00D422C8" w:rsidRPr="00CE28E3">
        <w:t xml:space="preserve">ata sources applied in financial estimates </w:t>
      </w:r>
    </w:p>
    <w:tbl>
      <w:tblPr>
        <w:tblStyle w:val="TableGrid1"/>
        <w:tblW w:w="0" w:type="auto"/>
        <w:tblLook w:val="04A0" w:firstRow="1" w:lastRow="0" w:firstColumn="1" w:lastColumn="0" w:noHBand="0" w:noVBand="1"/>
      </w:tblPr>
      <w:tblGrid>
        <w:gridCol w:w="3539"/>
        <w:gridCol w:w="2977"/>
        <w:gridCol w:w="2500"/>
      </w:tblGrid>
      <w:tr w:rsidR="00D422C8" w:rsidRPr="00365B14" w14:paraId="594D0E40" w14:textId="77777777" w:rsidTr="00E63DBA">
        <w:trPr>
          <w:cnfStyle w:val="100000000000" w:firstRow="1" w:lastRow="0" w:firstColumn="0" w:lastColumn="0" w:oddVBand="0" w:evenVBand="0" w:oddHBand="0" w:evenHBand="0" w:firstRowFirstColumn="0" w:firstRowLastColumn="0" w:lastRowFirstColumn="0" w:lastRowLastColumn="0"/>
          <w:tblHeader/>
        </w:trPr>
        <w:tc>
          <w:tcPr>
            <w:tcW w:w="3539" w:type="dxa"/>
          </w:tcPr>
          <w:p w14:paraId="002EA065" w14:textId="77777777" w:rsidR="00D422C8" w:rsidRPr="00365B14" w:rsidRDefault="00D422C8" w:rsidP="0001555C">
            <w:pPr>
              <w:pStyle w:val="TableHeading"/>
              <w:keepNext w:val="0"/>
              <w:jc w:val="both"/>
            </w:pPr>
            <w:r w:rsidRPr="00365B14">
              <w:t>Data</w:t>
            </w:r>
          </w:p>
        </w:tc>
        <w:tc>
          <w:tcPr>
            <w:tcW w:w="2977" w:type="dxa"/>
          </w:tcPr>
          <w:p w14:paraId="17CC00BC" w14:textId="77777777" w:rsidR="00D422C8" w:rsidRPr="00365B14" w:rsidRDefault="00D422C8" w:rsidP="0001555C">
            <w:pPr>
              <w:pStyle w:val="TableHeading"/>
              <w:keepNext w:val="0"/>
              <w:jc w:val="both"/>
            </w:pPr>
            <w:r w:rsidRPr="00365B14">
              <w:t>Source and value</w:t>
            </w:r>
          </w:p>
        </w:tc>
        <w:tc>
          <w:tcPr>
            <w:tcW w:w="2500" w:type="dxa"/>
          </w:tcPr>
          <w:p w14:paraId="0844FA90" w14:textId="77777777" w:rsidR="00D422C8" w:rsidRPr="00365B14" w:rsidRDefault="00D422C8" w:rsidP="0001555C">
            <w:pPr>
              <w:pStyle w:val="TableHeading"/>
              <w:keepNext w:val="0"/>
              <w:jc w:val="both"/>
            </w:pPr>
            <w:r w:rsidRPr="00365B14">
              <w:t>Justification</w:t>
            </w:r>
          </w:p>
        </w:tc>
      </w:tr>
      <w:tr w:rsidR="00D422C8" w:rsidRPr="00365B14" w14:paraId="1F27F3A9" w14:textId="77777777" w:rsidTr="00E63DBA">
        <w:trPr>
          <w:cnfStyle w:val="100000000000" w:firstRow="1" w:lastRow="0" w:firstColumn="0" w:lastColumn="0" w:oddVBand="0" w:evenVBand="0" w:oddHBand="0" w:evenHBand="0" w:firstRowFirstColumn="0" w:firstRowLastColumn="0" w:lastRowFirstColumn="0" w:lastRowLastColumn="0"/>
          <w:tblHeader/>
        </w:trPr>
        <w:tc>
          <w:tcPr>
            <w:tcW w:w="3539" w:type="dxa"/>
          </w:tcPr>
          <w:p w14:paraId="7C287FF8" w14:textId="77777777" w:rsidR="00D422C8" w:rsidRPr="00365B14" w:rsidRDefault="00BD19C2" w:rsidP="0001555C">
            <w:pPr>
              <w:pStyle w:val="TableText"/>
              <w:jc w:val="both"/>
            </w:pPr>
            <w:r w:rsidRPr="00BD19C2">
              <w:t>Population of Australia</w:t>
            </w:r>
          </w:p>
        </w:tc>
        <w:tc>
          <w:tcPr>
            <w:tcW w:w="2977" w:type="dxa"/>
          </w:tcPr>
          <w:p w14:paraId="38C23B50" w14:textId="77777777" w:rsidR="00D422C8" w:rsidRPr="00744F3B" w:rsidRDefault="00D422C8" w:rsidP="0001555C">
            <w:pPr>
              <w:pStyle w:val="TableText"/>
              <w:jc w:val="both"/>
            </w:pPr>
            <w:r w:rsidRPr="00744F3B">
              <w:t xml:space="preserve">ABS </w:t>
            </w:r>
          </w:p>
        </w:tc>
        <w:tc>
          <w:tcPr>
            <w:tcW w:w="2500" w:type="dxa"/>
          </w:tcPr>
          <w:p w14:paraId="0E6A4D66" w14:textId="77777777" w:rsidR="00D422C8" w:rsidRPr="00365B14" w:rsidRDefault="00D422C8" w:rsidP="0001555C">
            <w:pPr>
              <w:pStyle w:val="TableText"/>
              <w:jc w:val="both"/>
            </w:pPr>
            <w:r w:rsidRPr="00365B14">
              <w:t>-</w:t>
            </w:r>
          </w:p>
        </w:tc>
      </w:tr>
      <w:tr w:rsidR="00BD19C2" w:rsidRPr="00365B14" w14:paraId="33087281" w14:textId="77777777" w:rsidTr="00E63DBA">
        <w:trPr>
          <w:cnfStyle w:val="100000000000" w:firstRow="1" w:lastRow="0" w:firstColumn="0" w:lastColumn="0" w:oddVBand="0" w:evenVBand="0" w:oddHBand="0" w:evenHBand="0" w:firstRowFirstColumn="0" w:firstRowLastColumn="0" w:lastRowFirstColumn="0" w:lastRowLastColumn="0"/>
          <w:tblHeader/>
        </w:trPr>
        <w:tc>
          <w:tcPr>
            <w:tcW w:w="3539" w:type="dxa"/>
          </w:tcPr>
          <w:p w14:paraId="5ABB574F" w14:textId="77777777" w:rsidR="00BD19C2" w:rsidRPr="00365B14" w:rsidRDefault="00BD19C2" w:rsidP="0001555C">
            <w:pPr>
              <w:pStyle w:val="TableText"/>
              <w:jc w:val="both"/>
            </w:pPr>
            <w:r w:rsidRPr="00365B14">
              <w:t xml:space="preserve">Population of Australia aged </w:t>
            </w:r>
            <w:r w:rsidR="00BF2507">
              <w:t>under 16</w:t>
            </w:r>
          </w:p>
        </w:tc>
        <w:tc>
          <w:tcPr>
            <w:tcW w:w="2977" w:type="dxa"/>
          </w:tcPr>
          <w:p w14:paraId="60116563" w14:textId="77777777" w:rsidR="00BD19C2" w:rsidRPr="00744F3B" w:rsidRDefault="00BF2507" w:rsidP="0001555C">
            <w:pPr>
              <w:pStyle w:val="TableText"/>
              <w:jc w:val="both"/>
            </w:pPr>
            <w:r>
              <w:t>ABS – 18.7%</w:t>
            </w:r>
          </w:p>
        </w:tc>
        <w:tc>
          <w:tcPr>
            <w:tcW w:w="2500" w:type="dxa"/>
          </w:tcPr>
          <w:p w14:paraId="166B7231" w14:textId="77777777" w:rsidR="00BD19C2" w:rsidRPr="00365B14" w:rsidRDefault="00BF2507" w:rsidP="0001555C">
            <w:pPr>
              <w:pStyle w:val="TableText"/>
              <w:jc w:val="both"/>
            </w:pPr>
            <w:r>
              <w:t>Average of proportions projected over 5 years</w:t>
            </w:r>
          </w:p>
        </w:tc>
      </w:tr>
      <w:tr w:rsidR="00D422C8" w:rsidRPr="00365B14" w14:paraId="308C7E03" w14:textId="77777777" w:rsidTr="00E63DBA">
        <w:trPr>
          <w:cnfStyle w:val="100000000000" w:firstRow="1" w:lastRow="0" w:firstColumn="0" w:lastColumn="0" w:oddVBand="0" w:evenVBand="0" w:oddHBand="0" w:evenHBand="0" w:firstRowFirstColumn="0" w:firstRowLastColumn="0" w:lastRowFirstColumn="0" w:lastRowLastColumn="0"/>
          <w:tblHeader/>
        </w:trPr>
        <w:tc>
          <w:tcPr>
            <w:tcW w:w="3539" w:type="dxa"/>
          </w:tcPr>
          <w:p w14:paraId="661D9B3F" w14:textId="77777777" w:rsidR="00D422C8" w:rsidRPr="00365B14" w:rsidRDefault="00BD19C2" w:rsidP="0001555C">
            <w:pPr>
              <w:pStyle w:val="TableText"/>
              <w:jc w:val="both"/>
            </w:pPr>
            <w:r w:rsidRPr="00365B14">
              <w:t xml:space="preserve">Population of Australia aged </w:t>
            </w:r>
            <w:r>
              <w:t>15 -17</w:t>
            </w:r>
          </w:p>
        </w:tc>
        <w:tc>
          <w:tcPr>
            <w:tcW w:w="2977" w:type="dxa"/>
          </w:tcPr>
          <w:p w14:paraId="18D9BEAB" w14:textId="77777777" w:rsidR="00D422C8" w:rsidRPr="00744F3B" w:rsidRDefault="00BD19C2" w:rsidP="0001555C">
            <w:pPr>
              <w:pStyle w:val="TableText"/>
              <w:jc w:val="both"/>
            </w:pPr>
            <w:r>
              <w:t>ABS</w:t>
            </w:r>
            <w:r w:rsidR="00D422C8" w:rsidRPr="00744F3B">
              <w:t xml:space="preserve"> </w:t>
            </w:r>
            <w:r>
              <w:t>–</w:t>
            </w:r>
            <w:r w:rsidR="00D422C8" w:rsidRPr="00744F3B">
              <w:t xml:space="preserve"> </w:t>
            </w:r>
            <w:r>
              <w:t>3.6</w:t>
            </w:r>
            <w:r w:rsidR="00D422C8" w:rsidRPr="00744F3B">
              <w:t>%</w:t>
            </w:r>
          </w:p>
        </w:tc>
        <w:tc>
          <w:tcPr>
            <w:tcW w:w="2500" w:type="dxa"/>
          </w:tcPr>
          <w:p w14:paraId="7474667B" w14:textId="77777777" w:rsidR="00D422C8" w:rsidRPr="00365B14" w:rsidRDefault="00D422C8" w:rsidP="0001555C">
            <w:pPr>
              <w:pStyle w:val="TableText"/>
              <w:jc w:val="both"/>
            </w:pPr>
            <w:r w:rsidRPr="00365B14">
              <w:t>-</w:t>
            </w:r>
          </w:p>
        </w:tc>
      </w:tr>
      <w:tr w:rsidR="00D422C8" w:rsidRPr="00365B14" w14:paraId="092AD7F7" w14:textId="77777777" w:rsidTr="00E63DBA">
        <w:trPr>
          <w:cnfStyle w:val="100000000000" w:firstRow="1" w:lastRow="0" w:firstColumn="0" w:lastColumn="0" w:oddVBand="0" w:evenVBand="0" w:oddHBand="0" w:evenHBand="0" w:firstRowFirstColumn="0" w:firstRowLastColumn="0" w:lastRowFirstColumn="0" w:lastRowLastColumn="0"/>
          <w:tblHeader/>
        </w:trPr>
        <w:tc>
          <w:tcPr>
            <w:tcW w:w="3539" w:type="dxa"/>
          </w:tcPr>
          <w:p w14:paraId="18CB0059" w14:textId="77777777" w:rsidR="00D422C8" w:rsidRPr="00365B14" w:rsidRDefault="00D422C8" w:rsidP="0001555C">
            <w:pPr>
              <w:pStyle w:val="TableText"/>
              <w:jc w:val="both"/>
            </w:pPr>
            <w:r w:rsidRPr="00365B14">
              <w:t xml:space="preserve">Prevalence of </w:t>
            </w:r>
            <w:r w:rsidR="00BD19C2">
              <w:t>chronic pain, aged 15 and over</w:t>
            </w:r>
          </w:p>
        </w:tc>
        <w:tc>
          <w:tcPr>
            <w:tcW w:w="2977" w:type="dxa"/>
          </w:tcPr>
          <w:p w14:paraId="3ED92635" w14:textId="77777777" w:rsidR="00D422C8" w:rsidRPr="00744F3B" w:rsidRDefault="00BD19C2" w:rsidP="0001555C">
            <w:pPr>
              <w:pStyle w:val="TableText"/>
              <w:jc w:val="both"/>
            </w:pPr>
            <w:r>
              <w:t>Miller et al (2017)</w:t>
            </w:r>
            <w:r w:rsidR="00D422C8" w:rsidRPr="00744F3B">
              <w:t xml:space="preserve"> </w:t>
            </w:r>
            <w:r w:rsidR="0022349B">
              <w:t xml:space="preserve">– </w:t>
            </w:r>
            <w:r w:rsidR="00D422C8" w:rsidRPr="00744F3B">
              <w:t>1</w:t>
            </w:r>
            <w:r>
              <w:t>5</w:t>
            </w:r>
            <w:r w:rsidR="00D422C8" w:rsidRPr="00744F3B">
              <w:t>.</w:t>
            </w:r>
            <w:r>
              <w:t>4</w:t>
            </w:r>
            <w:r w:rsidR="00D422C8" w:rsidRPr="00744F3B">
              <w:t>%</w:t>
            </w:r>
          </w:p>
        </w:tc>
        <w:tc>
          <w:tcPr>
            <w:tcW w:w="2500" w:type="dxa"/>
          </w:tcPr>
          <w:p w14:paraId="2B9B8ADC" w14:textId="77777777" w:rsidR="00D422C8" w:rsidRPr="00365B14" w:rsidRDefault="00D422C8" w:rsidP="0001555C">
            <w:pPr>
              <w:pStyle w:val="TableText"/>
              <w:jc w:val="both"/>
            </w:pPr>
            <w:r w:rsidRPr="00365B14">
              <w:t>-</w:t>
            </w:r>
          </w:p>
        </w:tc>
      </w:tr>
      <w:tr w:rsidR="00D422C8" w:rsidRPr="00365B14" w14:paraId="6B40A7FF" w14:textId="77777777" w:rsidTr="00E63DBA">
        <w:trPr>
          <w:cnfStyle w:val="100000000000" w:firstRow="1" w:lastRow="0" w:firstColumn="0" w:lastColumn="0" w:oddVBand="0" w:evenVBand="0" w:oddHBand="0" w:evenHBand="0" w:firstRowFirstColumn="0" w:firstRowLastColumn="0" w:lastRowFirstColumn="0" w:lastRowLastColumn="0"/>
          <w:tblHeader/>
        </w:trPr>
        <w:tc>
          <w:tcPr>
            <w:tcW w:w="3539" w:type="dxa"/>
          </w:tcPr>
          <w:p w14:paraId="4BABE17E" w14:textId="77777777" w:rsidR="00D422C8" w:rsidRPr="00365B14" w:rsidRDefault="00BD19C2" w:rsidP="0001555C">
            <w:pPr>
              <w:pStyle w:val="TableText"/>
              <w:jc w:val="both"/>
            </w:pPr>
            <w:r w:rsidRPr="00365B14">
              <w:t xml:space="preserve">Prevalence of </w:t>
            </w:r>
            <w:r>
              <w:t>chronic cancer pain, aged 45 and over</w:t>
            </w:r>
          </w:p>
        </w:tc>
        <w:tc>
          <w:tcPr>
            <w:tcW w:w="2977" w:type="dxa"/>
          </w:tcPr>
          <w:p w14:paraId="1BF6728C" w14:textId="77777777" w:rsidR="00D422C8" w:rsidRPr="00365B14" w:rsidRDefault="00BD19C2" w:rsidP="0001555C">
            <w:pPr>
              <w:pStyle w:val="TableText"/>
              <w:jc w:val="both"/>
            </w:pPr>
            <w:r>
              <w:t>AIHW</w:t>
            </w:r>
            <w:r w:rsidR="00D422C8" w:rsidRPr="00365B14">
              <w:t xml:space="preserve"> – 7</w:t>
            </w:r>
            <w:r>
              <w:t>.</w:t>
            </w:r>
            <w:r w:rsidR="00D422C8" w:rsidRPr="00365B14">
              <w:t>1%</w:t>
            </w:r>
          </w:p>
        </w:tc>
        <w:tc>
          <w:tcPr>
            <w:tcW w:w="2500" w:type="dxa"/>
          </w:tcPr>
          <w:p w14:paraId="58951B2E" w14:textId="77777777" w:rsidR="00D422C8" w:rsidRPr="00365B14" w:rsidRDefault="00D422C8" w:rsidP="0001555C">
            <w:pPr>
              <w:pStyle w:val="TableText"/>
              <w:jc w:val="both"/>
            </w:pPr>
            <w:r w:rsidRPr="00365B14">
              <w:t>-</w:t>
            </w:r>
          </w:p>
        </w:tc>
      </w:tr>
    </w:tbl>
    <w:p w14:paraId="2A79DE3E" w14:textId="60519D1A" w:rsidR="00D422C8" w:rsidRDefault="00D76B8B" w:rsidP="00D746EE">
      <w:pPr>
        <w:spacing w:before="0" w:after="0"/>
        <w:jc w:val="both"/>
        <w:rPr>
          <w:rFonts w:ascii="Arial Narrow" w:eastAsia="Times New Roman" w:hAnsi="Arial Narrow" w:cs="Arial"/>
          <w:snapToGrid w:val="0"/>
          <w:sz w:val="18"/>
          <w:lang w:eastAsia="en-AU"/>
        </w:rPr>
      </w:pPr>
      <w:r>
        <w:rPr>
          <w:rFonts w:ascii="Arial Narrow" w:eastAsia="Times New Roman" w:hAnsi="Arial Narrow" w:cs="Arial"/>
          <w:snapToGrid w:val="0"/>
          <w:sz w:val="18"/>
          <w:lang w:eastAsia="en-AU"/>
        </w:rPr>
        <w:t>Source: Section E1 of ADAR</w:t>
      </w:r>
    </w:p>
    <w:p w14:paraId="3604E32F" w14:textId="3F31C97E" w:rsidR="00D746EE" w:rsidRPr="00D746EE" w:rsidRDefault="00D746EE" w:rsidP="00D76B8B">
      <w:pPr>
        <w:spacing w:before="0"/>
        <w:jc w:val="both"/>
        <w:rPr>
          <w:rFonts w:ascii="Arial Narrow" w:eastAsia="Times New Roman" w:hAnsi="Arial Narrow" w:cs="Arial"/>
          <w:snapToGrid w:val="0"/>
          <w:sz w:val="18"/>
          <w:lang w:eastAsia="en-AU"/>
        </w:rPr>
      </w:pPr>
      <w:r w:rsidRPr="00D746EE">
        <w:rPr>
          <w:rFonts w:ascii="Arial Narrow" w:eastAsia="Times New Roman" w:hAnsi="Arial Narrow" w:cs="Arial"/>
          <w:snapToGrid w:val="0"/>
          <w:sz w:val="18"/>
          <w:lang w:eastAsia="en-AU"/>
        </w:rPr>
        <w:t>Abbreviations</w:t>
      </w:r>
      <w:r>
        <w:rPr>
          <w:rFonts w:ascii="Arial Narrow" w:eastAsia="Times New Roman" w:hAnsi="Arial Narrow" w:cs="Arial"/>
          <w:snapToGrid w:val="0"/>
          <w:sz w:val="18"/>
          <w:lang w:eastAsia="en-AU"/>
        </w:rPr>
        <w:t>: ABS, Australian Bureau of Statistics; AIHW, Australian Institute of Health and Welfare</w:t>
      </w:r>
    </w:p>
    <w:p w14:paraId="54C212EA" w14:textId="77777777" w:rsidR="00246290" w:rsidRDefault="00012738" w:rsidP="00C515CE">
      <w:pPr>
        <w:rPr>
          <w:i/>
        </w:rPr>
      </w:pPr>
      <w:r w:rsidRPr="00012738">
        <w:t>The uptake of the eligible population is the key parameter that influences the overall financial impact</w:t>
      </w:r>
      <w:r w:rsidRPr="002A08D9">
        <w:rPr>
          <w:i/>
        </w:rPr>
        <w:t xml:space="preserve">. </w:t>
      </w:r>
    </w:p>
    <w:p w14:paraId="2BCD93DC" w14:textId="2C76E921" w:rsidR="00D422C8" w:rsidRPr="002E6226" w:rsidRDefault="002A08D9" w:rsidP="00C515CE">
      <w:r w:rsidRPr="002E6226">
        <w:t xml:space="preserve">The ADAR assumes all adults with chronic non-cancer pain would be eligible for a CPMC service, but uptake is limited by estimating that only 34% of pharmacies in Australia (n=1,920) will administer the CPMC program, based on uptake of the </w:t>
      </w:r>
      <w:r w:rsidR="00470EC6">
        <w:t>t</w:t>
      </w:r>
      <w:r w:rsidRPr="002E6226">
        <w:t>rial.</w:t>
      </w:r>
      <w:r w:rsidR="00246290" w:rsidRPr="002E6226">
        <w:t xml:space="preserve"> </w:t>
      </w:r>
      <w:bookmarkStart w:id="42" w:name="_Hlk100063897"/>
      <w:r w:rsidR="00246290" w:rsidRPr="002E6226">
        <w:t>If rolled out in practice and longer-term income was possible, more pharmacies may be willing to administer the program.</w:t>
      </w:r>
      <w:r w:rsidRPr="002E6226">
        <w:t xml:space="preserve"> </w:t>
      </w:r>
      <w:bookmarkEnd w:id="42"/>
      <w:r w:rsidRPr="002E6226">
        <w:t xml:space="preserve">Also based on trial recruitment, the ADAR assumes that pharmacies will deliver an average of 15 CPMC services per year. Recent MedsCheck and Diabetes MedsCheck claims data suggest this is an underestimate. For example, there were 142,418 Diabetes MedsCheck services paid in 2021. The estimated prevalence of adults with diabetes in Australia is 5.4%, much lower than the chronic pain estimate of 15.4%. </w:t>
      </w:r>
      <w:r w:rsidR="008120C0" w:rsidRPr="002E6226">
        <w:t xml:space="preserve">It should be noted that the uptake of Diabetes MedsCheck services in 2021 may have been restricted by a claiming limit of 20 MedsChecks and/or Diabetes MedsChecks per pharmacy per month. The ADAR did not mention any claiming limit in the proposal for public funding, or considered a claiming limit in the financial implications. </w:t>
      </w:r>
      <w:r w:rsidRPr="002E6226">
        <w:t>The uptake of a funded program is likely to differ from participation in a research trial</w:t>
      </w:r>
      <w:r w:rsidR="00246290" w:rsidRPr="002E6226">
        <w:t xml:space="preserve"> due to patient expectations and different financial incentives</w:t>
      </w:r>
      <w:r w:rsidRPr="002E6226">
        <w:t>.</w:t>
      </w:r>
    </w:p>
    <w:p w14:paraId="54C823A5" w14:textId="51649566" w:rsidR="002A08D9" w:rsidRDefault="002A08D9" w:rsidP="00C515CE">
      <w:pPr>
        <w:pStyle w:val="Instructionaltext-afterfiguretable"/>
        <w:spacing w:before="0"/>
        <w:rPr>
          <w:color w:val="auto"/>
        </w:rPr>
      </w:pPr>
      <w:r w:rsidRPr="00316466">
        <w:rPr>
          <w:color w:val="auto"/>
        </w:rPr>
        <w:t xml:space="preserve">The financial implications </w:t>
      </w:r>
      <w:r w:rsidR="00071958" w:rsidRPr="00316466">
        <w:rPr>
          <w:rStyle w:val="InstructionaltextChar"/>
          <w:color w:val="auto"/>
        </w:rPr>
        <w:t xml:space="preserve">over 5 years </w:t>
      </w:r>
      <w:r w:rsidRPr="00316466">
        <w:rPr>
          <w:color w:val="auto"/>
        </w:rPr>
        <w:t xml:space="preserve">presented in </w:t>
      </w:r>
      <w:r w:rsidR="00FB35CC" w:rsidRPr="00316466">
        <w:rPr>
          <w:color w:val="auto"/>
        </w:rPr>
        <w:fldChar w:fldCharType="begin"/>
      </w:r>
      <w:r w:rsidR="00FB35CC" w:rsidRPr="00316466">
        <w:rPr>
          <w:color w:val="auto"/>
        </w:rPr>
        <w:instrText xml:space="preserve"> REF _Ref69726382 \h </w:instrText>
      </w:r>
      <w:r w:rsidR="00FB35CC" w:rsidRPr="00316466">
        <w:rPr>
          <w:color w:val="auto"/>
        </w:rPr>
      </w:r>
      <w:r w:rsidR="00FB35CC" w:rsidRPr="00316466">
        <w:rPr>
          <w:color w:val="auto"/>
        </w:rPr>
        <w:fldChar w:fldCharType="separate"/>
      </w:r>
      <w:r w:rsidR="00656985" w:rsidRPr="00316466">
        <w:rPr>
          <w:color w:val="auto"/>
        </w:rPr>
        <w:t>Table </w:t>
      </w:r>
      <w:r w:rsidR="00656985" w:rsidRPr="00316466">
        <w:rPr>
          <w:noProof/>
          <w:color w:val="auto"/>
        </w:rPr>
        <w:t>14</w:t>
      </w:r>
      <w:r w:rsidR="00FB35CC" w:rsidRPr="00316466">
        <w:rPr>
          <w:color w:val="auto"/>
        </w:rPr>
        <w:fldChar w:fldCharType="end"/>
      </w:r>
      <w:r w:rsidR="00FB35CC" w:rsidRPr="00316466">
        <w:rPr>
          <w:color w:val="auto"/>
        </w:rPr>
        <w:t xml:space="preserve"> </w:t>
      </w:r>
      <w:r w:rsidR="003E710D" w:rsidRPr="00316466">
        <w:rPr>
          <w:color w:val="auto"/>
        </w:rPr>
        <w:t xml:space="preserve">for Group A and </w:t>
      </w:r>
      <w:r w:rsidR="00FB35CC" w:rsidRPr="00316466">
        <w:rPr>
          <w:rStyle w:val="InstructionaltextChar"/>
          <w:color w:val="auto"/>
        </w:rPr>
        <w:fldChar w:fldCharType="begin"/>
      </w:r>
      <w:r w:rsidR="00FB35CC" w:rsidRPr="00316466">
        <w:rPr>
          <w:rStyle w:val="InstructionaltextChar"/>
          <w:color w:val="auto"/>
        </w:rPr>
        <w:instrText xml:space="preserve"> REF _Ref102522941 \h </w:instrText>
      </w:r>
      <w:r w:rsidR="00FB35CC" w:rsidRPr="00316466">
        <w:rPr>
          <w:rStyle w:val="InstructionaltextChar"/>
          <w:color w:val="auto"/>
        </w:rPr>
      </w:r>
      <w:r w:rsidR="00FB35CC" w:rsidRPr="00316466">
        <w:rPr>
          <w:rStyle w:val="InstructionaltextChar"/>
          <w:color w:val="auto"/>
        </w:rPr>
        <w:fldChar w:fldCharType="separate"/>
      </w:r>
      <w:r w:rsidR="00656985" w:rsidRPr="00316466">
        <w:rPr>
          <w:color w:val="auto"/>
        </w:rPr>
        <w:t>Table </w:t>
      </w:r>
      <w:r w:rsidR="00656985" w:rsidRPr="00316466">
        <w:rPr>
          <w:noProof/>
          <w:color w:val="auto"/>
        </w:rPr>
        <w:t>15</w:t>
      </w:r>
      <w:r w:rsidR="00FB35CC" w:rsidRPr="00316466">
        <w:rPr>
          <w:rStyle w:val="InstructionaltextChar"/>
          <w:color w:val="auto"/>
        </w:rPr>
        <w:fldChar w:fldCharType="end"/>
      </w:r>
      <w:r w:rsidR="00FB35CC" w:rsidRPr="00316466">
        <w:rPr>
          <w:rStyle w:val="InstructionaltextChar"/>
          <w:color w:val="auto"/>
        </w:rPr>
        <w:t xml:space="preserve"> </w:t>
      </w:r>
      <w:r w:rsidR="00B42647" w:rsidRPr="00316466">
        <w:rPr>
          <w:rStyle w:val="InstructionaltextChar"/>
          <w:color w:val="auto"/>
        </w:rPr>
        <w:t xml:space="preserve">for Group </w:t>
      </w:r>
      <w:r w:rsidR="003E710D">
        <w:rPr>
          <w:rStyle w:val="InstructionaltextChar"/>
          <w:color w:val="auto"/>
        </w:rPr>
        <w:t>B</w:t>
      </w:r>
      <w:r w:rsidR="00071958">
        <w:rPr>
          <w:rStyle w:val="InstructionaltextChar"/>
          <w:color w:val="auto"/>
        </w:rPr>
        <w:t xml:space="preserve"> </w:t>
      </w:r>
      <w:r w:rsidRPr="00D422C8">
        <w:rPr>
          <w:color w:val="auto"/>
        </w:rPr>
        <w:t>are</w:t>
      </w:r>
      <w:r>
        <w:rPr>
          <w:color w:val="auto"/>
        </w:rPr>
        <w:t xml:space="preserve"> based on</w:t>
      </w:r>
      <w:r w:rsidRPr="00D422C8">
        <w:rPr>
          <w:color w:val="auto"/>
        </w:rPr>
        <w:t>:</w:t>
      </w:r>
    </w:p>
    <w:p w14:paraId="1D0C5A85" w14:textId="42DD05F9" w:rsidR="002A08D9" w:rsidRPr="002E6226" w:rsidRDefault="00B42647" w:rsidP="00C7722F">
      <w:pPr>
        <w:pStyle w:val="Instructionaltext-afterfiguretable"/>
        <w:numPr>
          <w:ilvl w:val="0"/>
          <w:numId w:val="13"/>
        </w:numPr>
        <w:spacing w:before="120"/>
        <w:ind w:left="714" w:hanging="357"/>
        <w:rPr>
          <w:color w:val="auto"/>
        </w:rPr>
      </w:pPr>
      <w:r>
        <w:rPr>
          <w:color w:val="auto"/>
        </w:rPr>
        <w:t xml:space="preserve">For Group A, </w:t>
      </w:r>
      <w:r w:rsidR="003E710D" w:rsidRPr="00246290">
        <w:rPr>
          <w:color w:val="auto"/>
        </w:rPr>
        <w:t>an</w:t>
      </w:r>
      <w:r w:rsidR="002A08D9" w:rsidRPr="00246290">
        <w:rPr>
          <w:color w:val="auto"/>
        </w:rPr>
        <w:t xml:space="preserve"> average cost of the CMPC program per patient per year of $1</w:t>
      </w:r>
      <w:r>
        <w:rPr>
          <w:color w:val="auto"/>
        </w:rPr>
        <w:t>31</w:t>
      </w:r>
      <w:r w:rsidR="002A08D9" w:rsidRPr="00246290">
        <w:rPr>
          <w:color w:val="auto"/>
        </w:rPr>
        <w:t>.</w:t>
      </w:r>
      <w:r>
        <w:rPr>
          <w:color w:val="auto"/>
        </w:rPr>
        <w:t>11</w:t>
      </w:r>
      <w:r w:rsidR="00246290" w:rsidRPr="00246290">
        <w:rPr>
          <w:color w:val="auto"/>
        </w:rPr>
        <w:t xml:space="preserve"> based on an </w:t>
      </w:r>
      <w:r w:rsidR="00246290" w:rsidRPr="00EF66F7">
        <w:rPr>
          <w:color w:val="auto"/>
        </w:rPr>
        <w:t>ave</w:t>
      </w:r>
      <w:r w:rsidR="00246290" w:rsidRPr="00BA6994">
        <w:rPr>
          <w:color w:val="auto"/>
        </w:rPr>
        <w:t>rage frequency of use of the CPMC of t</w:t>
      </w:r>
      <w:r>
        <w:rPr>
          <w:color w:val="auto"/>
        </w:rPr>
        <w:t>wo</w:t>
      </w:r>
      <w:r w:rsidR="00246290" w:rsidRPr="00BA6994">
        <w:rPr>
          <w:color w:val="auto"/>
        </w:rPr>
        <w:t xml:space="preserve"> services (an initial and</w:t>
      </w:r>
      <w:r>
        <w:rPr>
          <w:color w:val="auto"/>
        </w:rPr>
        <w:t xml:space="preserve"> a</w:t>
      </w:r>
      <w:r w:rsidR="00246290" w:rsidRPr="00BA6994">
        <w:rPr>
          <w:color w:val="auto"/>
        </w:rPr>
        <w:t xml:space="preserve"> </w:t>
      </w:r>
      <w:r w:rsidR="00DB50F9">
        <w:rPr>
          <w:color w:val="auto"/>
        </w:rPr>
        <w:t xml:space="preserve">follow-up </w:t>
      </w:r>
      <w:r w:rsidR="00246290" w:rsidRPr="00BA6994">
        <w:rPr>
          <w:color w:val="auto"/>
        </w:rPr>
        <w:t>consultations) per year.</w:t>
      </w:r>
      <w:r w:rsidR="00246290" w:rsidRPr="00C83E70">
        <w:rPr>
          <w:color w:val="auto"/>
        </w:rPr>
        <w:t xml:space="preserve"> </w:t>
      </w:r>
      <w:r>
        <w:rPr>
          <w:color w:val="auto"/>
        </w:rPr>
        <w:t>For Group B, a</w:t>
      </w:r>
      <w:r w:rsidRPr="00246290">
        <w:rPr>
          <w:color w:val="auto"/>
        </w:rPr>
        <w:t>n</w:t>
      </w:r>
      <w:r w:rsidR="002A08D9" w:rsidRPr="00246290">
        <w:rPr>
          <w:color w:val="auto"/>
        </w:rPr>
        <w:t xml:space="preserve"> average cost of the CMPC program per patient per year of $164.03</w:t>
      </w:r>
      <w:r w:rsidR="00246290" w:rsidRPr="00246290">
        <w:rPr>
          <w:color w:val="auto"/>
        </w:rPr>
        <w:t xml:space="preserve"> based on an </w:t>
      </w:r>
      <w:r w:rsidR="00246290" w:rsidRPr="00EF66F7">
        <w:rPr>
          <w:color w:val="auto"/>
        </w:rPr>
        <w:t>ave</w:t>
      </w:r>
      <w:r w:rsidR="00246290" w:rsidRPr="00BA6994">
        <w:rPr>
          <w:color w:val="auto"/>
        </w:rPr>
        <w:t xml:space="preserve">rage frequency of use of the CPMC of three services (an initial and two </w:t>
      </w:r>
      <w:r w:rsidR="00DB50F9">
        <w:rPr>
          <w:color w:val="auto"/>
        </w:rPr>
        <w:t xml:space="preserve">follow-up </w:t>
      </w:r>
      <w:r w:rsidR="00246290" w:rsidRPr="00BA6994">
        <w:rPr>
          <w:color w:val="auto"/>
        </w:rPr>
        <w:t>consultations) per year.</w:t>
      </w:r>
      <w:r w:rsidR="00246290" w:rsidRPr="00C83E70">
        <w:rPr>
          <w:color w:val="auto"/>
        </w:rPr>
        <w:t xml:space="preserve"> </w:t>
      </w:r>
      <w:r w:rsidR="00246290" w:rsidRPr="002E6226">
        <w:rPr>
          <w:color w:val="auto"/>
        </w:rPr>
        <w:t xml:space="preserve">This is likely an over estimate as it is likely that many who attend their first visit </w:t>
      </w:r>
      <w:r w:rsidR="00A44E97" w:rsidRPr="002E6226">
        <w:rPr>
          <w:color w:val="auto"/>
        </w:rPr>
        <w:t xml:space="preserve">will </w:t>
      </w:r>
      <w:r w:rsidR="00246290" w:rsidRPr="002E6226">
        <w:rPr>
          <w:color w:val="auto"/>
        </w:rPr>
        <w:t xml:space="preserve">not attend their mid-point visit or </w:t>
      </w:r>
      <w:r w:rsidR="00DB50F9">
        <w:rPr>
          <w:color w:val="auto"/>
        </w:rPr>
        <w:t xml:space="preserve">follow-up </w:t>
      </w:r>
      <w:r w:rsidR="00246290" w:rsidRPr="002E6226">
        <w:rPr>
          <w:color w:val="auto"/>
        </w:rPr>
        <w:t xml:space="preserve">visit. The large </w:t>
      </w:r>
      <w:r w:rsidR="0008592F" w:rsidRPr="002E6226">
        <w:rPr>
          <w:color w:val="auto"/>
        </w:rPr>
        <w:t>attrition</w:t>
      </w:r>
      <w:r w:rsidR="00246290" w:rsidRPr="002E6226">
        <w:rPr>
          <w:color w:val="auto"/>
        </w:rPr>
        <w:t xml:space="preserve"> in the trial is likely to translate into</w:t>
      </w:r>
      <w:r w:rsidR="0008592F" w:rsidRPr="002E6226">
        <w:rPr>
          <w:color w:val="auto"/>
        </w:rPr>
        <w:t xml:space="preserve"> real-world</w:t>
      </w:r>
      <w:r w:rsidR="00246290" w:rsidRPr="002E6226">
        <w:rPr>
          <w:color w:val="auto"/>
        </w:rPr>
        <w:t xml:space="preserve"> practice.</w:t>
      </w:r>
    </w:p>
    <w:p w14:paraId="08569349" w14:textId="68DA60DE" w:rsidR="00071958" w:rsidRPr="002E6226" w:rsidRDefault="002A08D9" w:rsidP="00C7722F">
      <w:pPr>
        <w:pStyle w:val="Instructionaltext-afterfiguretable"/>
        <w:numPr>
          <w:ilvl w:val="0"/>
          <w:numId w:val="13"/>
        </w:numPr>
        <w:spacing w:before="120"/>
        <w:ind w:left="714" w:hanging="357"/>
        <w:rPr>
          <w:color w:val="auto"/>
        </w:rPr>
      </w:pPr>
      <w:r>
        <w:rPr>
          <w:color w:val="auto"/>
        </w:rPr>
        <w:t>There are no out-of-pocket costs to the patient</w:t>
      </w:r>
      <w:r w:rsidR="006824B7">
        <w:rPr>
          <w:color w:val="auto"/>
        </w:rPr>
        <w:t xml:space="preserve"> for the CPMC service</w:t>
      </w:r>
      <w:r w:rsidR="00246290">
        <w:rPr>
          <w:color w:val="auto"/>
        </w:rPr>
        <w:t xml:space="preserve"> in the trial </w:t>
      </w:r>
      <w:r w:rsidR="00F55044">
        <w:rPr>
          <w:color w:val="auto"/>
        </w:rPr>
        <w:t>and it is assumed this would also be the case if funded in practice</w:t>
      </w:r>
      <w:r>
        <w:rPr>
          <w:color w:val="auto"/>
        </w:rPr>
        <w:t>.</w:t>
      </w:r>
      <w:r w:rsidR="006824B7">
        <w:rPr>
          <w:color w:val="auto"/>
        </w:rPr>
        <w:t xml:space="preserve"> </w:t>
      </w:r>
      <w:r w:rsidR="006824B7" w:rsidRPr="002E6226">
        <w:rPr>
          <w:color w:val="auto"/>
        </w:rPr>
        <w:t xml:space="preserve">The ADAR reported 54% of trial </w:t>
      </w:r>
      <w:r w:rsidR="006824B7" w:rsidRPr="002E6226">
        <w:rPr>
          <w:color w:val="auto"/>
        </w:rPr>
        <w:lastRenderedPageBreak/>
        <w:t>participants were referred to another medical or health service as a result of the initial consultation</w:t>
      </w:r>
      <w:r w:rsidR="00D109BD" w:rsidRPr="002E6226">
        <w:rPr>
          <w:color w:val="auto"/>
        </w:rPr>
        <w:t xml:space="preserve"> (although it was also noted that a quirk in some </w:t>
      </w:r>
      <w:r w:rsidR="00470EC6">
        <w:rPr>
          <w:color w:val="auto"/>
        </w:rPr>
        <w:t>t</w:t>
      </w:r>
      <w:r w:rsidR="00D109BD" w:rsidRPr="002E6226">
        <w:rPr>
          <w:color w:val="auto"/>
        </w:rPr>
        <w:t>rial software may have resulted in some unnecessary referrals)</w:t>
      </w:r>
      <w:r w:rsidR="006824B7" w:rsidRPr="002E6226">
        <w:rPr>
          <w:color w:val="auto"/>
        </w:rPr>
        <w:t xml:space="preserve">. As referrals from a pharmacist to allied health services are not subsidised by Medicare, participants may have borne these costs out-of-pocket. </w:t>
      </w:r>
      <w:r w:rsidR="00F55044" w:rsidRPr="002E6226">
        <w:rPr>
          <w:color w:val="auto"/>
        </w:rPr>
        <w:t>The impact of these referrals on patient costs were not recorded in the trial.</w:t>
      </w:r>
      <w:r w:rsidR="006824B7" w:rsidRPr="002E6226">
        <w:rPr>
          <w:color w:val="auto"/>
        </w:rPr>
        <w:t xml:space="preserve"> </w:t>
      </w:r>
    </w:p>
    <w:p w14:paraId="066CB5F2" w14:textId="1CC3023D" w:rsidR="00071958" w:rsidRPr="002E6226" w:rsidRDefault="00071958" w:rsidP="00C7722F">
      <w:pPr>
        <w:pStyle w:val="Instructionaltext-afterfiguretable"/>
        <w:numPr>
          <w:ilvl w:val="0"/>
          <w:numId w:val="13"/>
        </w:numPr>
        <w:spacing w:before="120"/>
        <w:ind w:left="714" w:hanging="357"/>
        <w:rPr>
          <w:color w:val="auto"/>
        </w:rPr>
      </w:pPr>
      <w:r w:rsidRPr="002E6226">
        <w:rPr>
          <w:color w:val="auto"/>
        </w:rPr>
        <w:t>T</w:t>
      </w:r>
      <w:r w:rsidR="00D13D48" w:rsidRPr="002E6226">
        <w:rPr>
          <w:color w:val="auto"/>
        </w:rPr>
        <w:t>he</w:t>
      </w:r>
      <w:r w:rsidR="00EF66F7" w:rsidRPr="002E6226">
        <w:rPr>
          <w:color w:val="auto"/>
        </w:rPr>
        <w:t xml:space="preserve"> trial outcomes were reported at</w:t>
      </w:r>
      <w:r w:rsidR="00D13D48" w:rsidRPr="002E6226">
        <w:rPr>
          <w:color w:val="auto"/>
        </w:rPr>
        <w:t xml:space="preserve"> 3</w:t>
      </w:r>
      <w:r w:rsidR="00A33020">
        <w:rPr>
          <w:color w:val="auto"/>
        </w:rPr>
        <w:t xml:space="preserve"> </w:t>
      </w:r>
      <w:r w:rsidR="00D13D48" w:rsidRPr="002E6226">
        <w:rPr>
          <w:color w:val="auto"/>
        </w:rPr>
        <w:t>month</w:t>
      </w:r>
      <w:r w:rsidR="00A33020">
        <w:rPr>
          <w:color w:val="auto"/>
        </w:rPr>
        <w:t>s</w:t>
      </w:r>
      <w:r w:rsidR="00EF66F7" w:rsidRPr="002E6226">
        <w:rPr>
          <w:color w:val="auto"/>
        </w:rPr>
        <w:t xml:space="preserve"> for hospitalisation and ED presentations</w:t>
      </w:r>
      <w:r w:rsidR="00A54F29" w:rsidRPr="002E6226">
        <w:rPr>
          <w:color w:val="auto"/>
        </w:rPr>
        <w:t xml:space="preserve"> as these were applied in the financial estimates without adjustment</w:t>
      </w:r>
      <w:r w:rsidR="00BA6994" w:rsidRPr="002E6226">
        <w:rPr>
          <w:color w:val="auto"/>
        </w:rPr>
        <w:t>.</w:t>
      </w:r>
      <w:r w:rsidR="00EF66F7" w:rsidRPr="002E6226">
        <w:rPr>
          <w:color w:val="auto"/>
        </w:rPr>
        <w:t xml:space="preserve"> </w:t>
      </w:r>
      <w:r w:rsidR="00A54F29" w:rsidRPr="002E6226">
        <w:rPr>
          <w:color w:val="auto"/>
        </w:rPr>
        <w:t xml:space="preserve">The application </w:t>
      </w:r>
      <w:r w:rsidR="00BA6994" w:rsidRPr="002E6226">
        <w:rPr>
          <w:color w:val="auto"/>
        </w:rPr>
        <w:t>implicitly assumes</w:t>
      </w:r>
      <w:r w:rsidR="00D13D48" w:rsidRPr="002E6226">
        <w:rPr>
          <w:color w:val="auto"/>
        </w:rPr>
        <w:t xml:space="preserve"> that there will be no further changes in hospitalisations</w:t>
      </w:r>
      <w:r w:rsidR="00A54F29" w:rsidRPr="002E6226">
        <w:rPr>
          <w:color w:val="auto"/>
        </w:rPr>
        <w:t xml:space="preserve"> or</w:t>
      </w:r>
      <w:r w:rsidR="00D13D48" w:rsidRPr="002E6226">
        <w:rPr>
          <w:color w:val="auto"/>
        </w:rPr>
        <w:t xml:space="preserve"> ED presentations from 3 months to 12 months.</w:t>
      </w:r>
    </w:p>
    <w:p w14:paraId="1A8E2A6E" w14:textId="56FAF671" w:rsidR="00071958" w:rsidRPr="002E6226" w:rsidRDefault="00071958" w:rsidP="00C7722F">
      <w:pPr>
        <w:pStyle w:val="Instructionaltext-afterfiguretable"/>
        <w:numPr>
          <w:ilvl w:val="0"/>
          <w:numId w:val="13"/>
        </w:numPr>
        <w:spacing w:before="120"/>
        <w:ind w:left="714" w:hanging="357"/>
        <w:rPr>
          <w:color w:val="auto"/>
        </w:rPr>
      </w:pPr>
      <w:r w:rsidRPr="002E6226">
        <w:rPr>
          <w:color w:val="auto"/>
        </w:rPr>
        <w:t>A</w:t>
      </w:r>
      <w:r w:rsidR="00D13D48" w:rsidRPr="002E6226">
        <w:rPr>
          <w:color w:val="auto"/>
        </w:rPr>
        <w:t xml:space="preserve"> sustained reduction in outcomes, such as scripts and MBS services over five years, which is unlikely given the episodic nature of chronic pain. The reduction in outcomes </w:t>
      </w:r>
      <w:r w:rsidR="00C0051B">
        <w:rPr>
          <w:color w:val="auto"/>
        </w:rPr>
        <w:t>was</w:t>
      </w:r>
      <w:r w:rsidR="00C0051B" w:rsidRPr="002E6226">
        <w:rPr>
          <w:color w:val="auto"/>
        </w:rPr>
        <w:t xml:space="preserve"> </w:t>
      </w:r>
      <w:r w:rsidR="00D13D48" w:rsidRPr="002E6226">
        <w:rPr>
          <w:color w:val="auto"/>
        </w:rPr>
        <w:t xml:space="preserve">calculated using un-matched cohorts, so it is unclear whether the reductions represent a real decrease or reflected a </w:t>
      </w:r>
      <w:r w:rsidR="00841355" w:rsidRPr="002E6226">
        <w:rPr>
          <w:color w:val="auto"/>
        </w:rPr>
        <w:t>different</w:t>
      </w:r>
      <w:r w:rsidR="00D13D48" w:rsidRPr="002E6226">
        <w:rPr>
          <w:color w:val="auto"/>
        </w:rPr>
        <w:t xml:space="preserve"> </w:t>
      </w:r>
      <w:r w:rsidR="00DB50F9">
        <w:rPr>
          <w:color w:val="auto"/>
        </w:rPr>
        <w:t xml:space="preserve">follow-up </w:t>
      </w:r>
      <w:r w:rsidR="00D13D48" w:rsidRPr="002E6226">
        <w:rPr>
          <w:color w:val="auto"/>
        </w:rPr>
        <w:t>population.</w:t>
      </w:r>
    </w:p>
    <w:p w14:paraId="5DB8EBBD" w14:textId="003109C9" w:rsidR="00071958" w:rsidRPr="002E6226" w:rsidRDefault="00071958" w:rsidP="00C7722F">
      <w:pPr>
        <w:pStyle w:val="Instructionaltext-afterfiguretable"/>
        <w:numPr>
          <w:ilvl w:val="0"/>
          <w:numId w:val="13"/>
        </w:numPr>
        <w:spacing w:before="120"/>
        <w:ind w:left="714" w:hanging="357"/>
        <w:rPr>
          <w:color w:val="auto"/>
        </w:rPr>
      </w:pPr>
      <w:bookmarkStart w:id="43" w:name="_Hlk100151374"/>
      <w:r w:rsidRPr="002E6226">
        <w:rPr>
          <w:color w:val="auto"/>
        </w:rPr>
        <w:t>A</w:t>
      </w:r>
      <w:r w:rsidR="00D13D48" w:rsidRPr="002E6226">
        <w:rPr>
          <w:color w:val="auto"/>
        </w:rPr>
        <w:t xml:space="preserve"> stable cost for total provider benefits paid and total out of pocket cost (</w:t>
      </w:r>
      <w:r w:rsidR="0028216A" w:rsidRPr="002E6226">
        <w:rPr>
          <w:color w:val="auto"/>
        </w:rPr>
        <w:t xml:space="preserve">for Group </w:t>
      </w:r>
      <w:r w:rsidR="00B42647" w:rsidRPr="002E6226">
        <w:rPr>
          <w:color w:val="auto"/>
        </w:rPr>
        <w:t>A this was $</w:t>
      </w:r>
      <w:r w:rsidR="008147B0" w:rsidRPr="002E6226">
        <w:rPr>
          <w:color w:val="auto"/>
        </w:rPr>
        <w:t>60.03</w:t>
      </w:r>
      <w:r w:rsidR="00B42647" w:rsidRPr="002E6226">
        <w:rPr>
          <w:color w:val="auto"/>
        </w:rPr>
        <w:t xml:space="preserve"> and $</w:t>
      </w:r>
      <w:r w:rsidR="008147B0" w:rsidRPr="002E6226">
        <w:rPr>
          <w:color w:val="auto"/>
        </w:rPr>
        <w:t>49.05</w:t>
      </w:r>
      <w:r w:rsidR="00B42647" w:rsidRPr="002E6226">
        <w:rPr>
          <w:color w:val="auto"/>
        </w:rPr>
        <w:t xml:space="preserve">, respectively; </w:t>
      </w:r>
      <w:r w:rsidR="0028216A" w:rsidRPr="002E6226">
        <w:rPr>
          <w:color w:val="auto"/>
        </w:rPr>
        <w:t xml:space="preserve">for Group B this was </w:t>
      </w:r>
      <w:r w:rsidR="00D13D48" w:rsidRPr="002E6226">
        <w:rPr>
          <w:color w:val="auto"/>
        </w:rPr>
        <w:t>$</w:t>
      </w:r>
      <w:r w:rsidR="0028216A" w:rsidRPr="002E6226">
        <w:rPr>
          <w:color w:val="auto"/>
        </w:rPr>
        <w:t>70</w:t>
      </w:r>
      <w:r w:rsidR="00D13D48" w:rsidRPr="002E6226">
        <w:rPr>
          <w:color w:val="auto"/>
        </w:rPr>
        <w:t>.</w:t>
      </w:r>
      <w:r w:rsidR="0028216A" w:rsidRPr="002E6226">
        <w:rPr>
          <w:color w:val="auto"/>
        </w:rPr>
        <w:t>98</w:t>
      </w:r>
      <w:r w:rsidR="00D13D48" w:rsidRPr="002E6226">
        <w:rPr>
          <w:color w:val="auto"/>
        </w:rPr>
        <w:t xml:space="preserve"> and $46.14, respectively) over five years to estimate savings to the PBS. These costs were derived by subtracting the adjusted PBS price at </w:t>
      </w:r>
      <w:r w:rsidR="00DB50F9">
        <w:rPr>
          <w:color w:val="auto"/>
        </w:rPr>
        <w:t xml:space="preserve">follow-up </w:t>
      </w:r>
      <w:r w:rsidR="00D13D48" w:rsidRPr="002E6226">
        <w:rPr>
          <w:color w:val="auto"/>
        </w:rPr>
        <w:t>from the baseline PBS price.</w:t>
      </w:r>
      <w:r w:rsidR="00697EE0" w:rsidRPr="002E6226">
        <w:rPr>
          <w:color w:val="auto"/>
        </w:rPr>
        <w:t xml:space="preserve"> There is large uncertainty over the calculation of the adjusted price at </w:t>
      </w:r>
      <w:r w:rsidR="00DB50F9">
        <w:rPr>
          <w:color w:val="auto"/>
        </w:rPr>
        <w:t xml:space="preserve">follow-up </w:t>
      </w:r>
      <w:r w:rsidR="00697EE0" w:rsidRPr="002E6226">
        <w:rPr>
          <w:color w:val="auto"/>
        </w:rPr>
        <w:t>and</w:t>
      </w:r>
      <w:r w:rsidR="00D7710B" w:rsidRPr="002E6226">
        <w:rPr>
          <w:color w:val="auto"/>
        </w:rPr>
        <w:t xml:space="preserve"> therefore</w:t>
      </w:r>
      <w:r w:rsidR="00697EE0" w:rsidRPr="002E6226">
        <w:rPr>
          <w:color w:val="auto"/>
        </w:rPr>
        <w:t xml:space="preserve"> how representative th</w:t>
      </w:r>
      <w:r w:rsidR="00D7710B" w:rsidRPr="002E6226">
        <w:rPr>
          <w:color w:val="auto"/>
        </w:rPr>
        <w:t>e savings to the PBS are of the true impact of the intervention on PBS usage.</w:t>
      </w:r>
      <w:bookmarkEnd w:id="43"/>
      <w:r w:rsidR="00D7710B" w:rsidRPr="002E6226">
        <w:rPr>
          <w:color w:val="auto"/>
        </w:rPr>
        <w:t xml:space="preserve"> </w:t>
      </w:r>
      <w:r w:rsidR="006F454B" w:rsidRPr="002E6226">
        <w:rPr>
          <w:color w:val="auto"/>
        </w:rPr>
        <w:t>Functionally, this results in a total cost to the PBS of $</w:t>
      </w:r>
      <w:r w:rsidR="008147B0" w:rsidRPr="002E6226">
        <w:rPr>
          <w:color w:val="auto"/>
        </w:rPr>
        <w:t xml:space="preserve">10.98 per script in Group A and </w:t>
      </w:r>
      <w:r w:rsidR="006F454B" w:rsidRPr="002E6226">
        <w:rPr>
          <w:color w:val="auto"/>
        </w:rPr>
        <w:t>$24.84 per script in Group B.</w:t>
      </w:r>
    </w:p>
    <w:p w14:paraId="4ADDA480" w14:textId="5870FEFA" w:rsidR="00D428B9" w:rsidRPr="002E6226" w:rsidRDefault="00EB4274" w:rsidP="00C515CE">
      <w:pPr>
        <w:pStyle w:val="Instructionaltext-afterfiguretable"/>
        <w:rPr>
          <w:color w:val="auto"/>
        </w:rPr>
      </w:pPr>
      <w:r w:rsidRPr="002E6226">
        <w:rPr>
          <w:color w:val="auto"/>
        </w:rPr>
        <w:t xml:space="preserve">The calculation of the total costs to the MBS and PBS seems to have accounted for a decrease in services twice, by using a per person cost decrease and then multiplying that by decrease in </w:t>
      </w:r>
      <w:r w:rsidR="002C3B21" w:rsidRPr="002E6226">
        <w:rPr>
          <w:color w:val="auto"/>
        </w:rPr>
        <w:t xml:space="preserve">number of </w:t>
      </w:r>
      <w:r w:rsidRPr="002E6226">
        <w:rPr>
          <w:color w:val="auto"/>
        </w:rPr>
        <w:t>MBS and PBS services</w:t>
      </w:r>
      <w:r w:rsidR="005D4941" w:rsidRPr="002E6226">
        <w:rPr>
          <w:color w:val="auto"/>
        </w:rPr>
        <w:t xml:space="preserve">. A revised financial impact has been presented </w:t>
      </w:r>
      <w:r w:rsidR="00D13D48" w:rsidRPr="002E6226">
        <w:rPr>
          <w:color w:val="auto"/>
        </w:rPr>
        <w:t>correcting this, but still maintaining the PBS price</w:t>
      </w:r>
      <w:r w:rsidR="00300433" w:rsidRPr="002E6226">
        <w:rPr>
          <w:color w:val="auto"/>
        </w:rPr>
        <w:t xml:space="preserve"> for total provider benefits paid and total out of pocket cost</w:t>
      </w:r>
      <w:r w:rsidR="00D13D48" w:rsidRPr="002E6226">
        <w:rPr>
          <w:color w:val="auto"/>
        </w:rPr>
        <w:t xml:space="preserve"> calculated in the ADAR</w:t>
      </w:r>
      <w:r w:rsidR="00300433" w:rsidRPr="002E6226">
        <w:rPr>
          <w:color w:val="auto"/>
        </w:rPr>
        <w:t xml:space="preserve"> (</w:t>
      </w:r>
      <w:r w:rsidR="008147B0" w:rsidRPr="002E6226">
        <w:rPr>
          <w:color w:val="auto"/>
        </w:rPr>
        <w:t>for Group A this was $60.03 and $49.05, respectively; for Group B this was $</w:t>
      </w:r>
      <w:r w:rsidR="0028216A" w:rsidRPr="002E6226">
        <w:rPr>
          <w:color w:val="auto"/>
        </w:rPr>
        <w:t>70</w:t>
      </w:r>
      <w:r w:rsidR="00300433" w:rsidRPr="002E6226">
        <w:rPr>
          <w:color w:val="auto"/>
        </w:rPr>
        <w:t>.</w:t>
      </w:r>
      <w:r w:rsidR="0028216A" w:rsidRPr="002E6226">
        <w:rPr>
          <w:color w:val="auto"/>
        </w:rPr>
        <w:t>98</w:t>
      </w:r>
      <w:r w:rsidR="00300433" w:rsidRPr="002E6226">
        <w:rPr>
          <w:color w:val="auto"/>
        </w:rPr>
        <w:t xml:space="preserve"> and $46.14, respectively)</w:t>
      </w:r>
      <w:r w:rsidR="00AA6350" w:rsidRPr="002E6226">
        <w:rPr>
          <w:color w:val="auto"/>
        </w:rPr>
        <w:t xml:space="preserve"> due to the uncertainty in the outcome presented</w:t>
      </w:r>
      <w:r w:rsidR="00D13D48" w:rsidRPr="002E6226">
        <w:rPr>
          <w:color w:val="auto"/>
        </w:rPr>
        <w:t xml:space="preserve">. </w:t>
      </w:r>
    </w:p>
    <w:p w14:paraId="09B3774F" w14:textId="4216844C" w:rsidR="00B42647" w:rsidRPr="00CE28E3" w:rsidRDefault="00D428B9" w:rsidP="00B42647">
      <w:pPr>
        <w:pStyle w:val="Caption"/>
        <w:jc w:val="both"/>
      </w:pPr>
      <w:bookmarkStart w:id="44" w:name="_Ref69726382"/>
      <w:r w:rsidRPr="00CE28E3">
        <w:lastRenderedPageBreak/>
        <w:t>Table</w:t>
      </w:r>
      <w:r w:rsidR="003571C2">
        <w:t> </w:t>
      </w:r>
      <w:fldSimple w:instr=" SEQ Table \* ARABIC ">
        <w:r w:rsidR="00656985">
          <w:rPr>
            <w:noProof/>
          </w:rPr>
          <w:t>14</w:t>
        </w:r>
      </w:fldSimple>
      <w:bookmarkEnd w:id="44"/>
      <w:r w:rsidR="00BB7A48">
        <w:rPr>
          <w:noProof/>
        </w:rPr>
        <w:tab/>
      </w:r>
      <w:r w:rsidRPr="00CE28E3">
        <w:tab/>
      </w:r>
      <w:bookmarkStart w:id="45" w:name="_Hlk100150742"/>
      <w:r w:rsidRPr="00CE28E3">
        <w:t>Net financial implications of</w:t>
      </w:r>
      <w:r w:rsidR="00352ED7">
        <w:t xml:space="preserve"> Chronic Pain MedsCheck</w:t>
      </w:r>
      <w:r w:rsidRPr="00CE28E3">
        <w:t xml:space="preserve"> </w:t>
      </w:r>
      <w:r w:rsidR="00B42647">
        <w:t>(Group A intervention)</w:t>
      </w:r>
      <w:r w:rsidR="00B42647" w:rsidRPr="00CE28E3">
        <w:t xml:space="preserve"> to </w:t>
      </w:r>
      <w:r w:rsidR="00B42647">
        <w:t>government</w:t>
      </w:r>
    </w:p>
    <w:tbl>
      <w:tblPr>
        <w:tblStyle w:val="TableGrid1"/>
        <w:tblW w:w="9346" w:type="dxa"/>
        <w:tblLayout w:type="fixed"/>
        <w:tblCellMar>
          <w:left w:w="0" w:type="dxa"/>
          <w:right w:w="0" w:type="dxa"/>
        </w:tblCellMar>
        <w:tblLook w:val="04A0" w:firstRow="1" w:lastRow="0" w:firstColumn="1" w:lastColumn="0" w:noHBand="0" w:noVBand="1"/>
      </w:tblPr>
      <w:tblGrid>
        <w:gridCol w:w="2967"/>
        <w:gridCol w:w="1275"/>
        <w:gridCol w:w="1276"/>
        <w:gridCol w:w="1276"/>
        <w:gridCol w:w="1275"/>
        <w:gridCol w:w="1277"/>
      </w:tblGrid>
      <w:tr w:rsidR="00B42647" w:rsidRPr="00AC3F1B" w14:paraId="15FD3A34" w14:textId="77777777" w:rsidTr="00C7722F">
        <w:trPr>
          <w:cnfStyle w:val="100000000000" w:firstRow="1" w:lastRow="0" w:firstColumn="0" w:lastColumn="0" w:oddVBand="0" w:evenVBand="0" w:oddHBand="0" w:evenHBand="0" w:firstRowFirstColumn="0" w:firstRowLastColumn="0" w:lastRowFirstColumn="0" w:lastRowLastColumn="0"/>
          <w:tblHeader/>
        </w:trPr>
        <w:tc>
          <w:tcPr>
            <w:tcW w:w="2967" w:type="dxa"/>
            <w:tcMar>
              <w:top w:w="0" w:type="dxa"/>
              <w:left w:w="108" w:type="dxa"/>
              <w:bottom w:w="0" w:type="dxa"/>
              <w:right w:w="108" w:type="dxa"/>
            </w:tcMar>
          </w:tcPr>
          <w:p w14:paraId="44F4C540" w14:textId="77777777" w:rsidR="00B42647" w:rsidRPr="00AC3F1B" w:rsidRDefault="00B42647" w:rsidP="00B42647">
            <w:pPr>
              <w:pStyle w:val="TableText"/>
              <w:keepNext/>
              <w:jc w:val="both"/>
              <w:rPr>
                <w:b/>
                <w:bCs/>
              </w:rPr>
            </w:pPr>
            <w:r w:rsidRPr="00AC3F1B">
              <w:rPr>
                <w:b/>
                <w:bCs/>
              </w:rPr>
              <w:t xml:space="preserve">Parameter </w:t>
            </w:r>
          </w:p>
        </w:tc>
        <w:tc>
          <w:tcPr>
            <w:tcW w:w="1275" w:type="dxa"/>
            <w:tcMar>
              <w:top w:w="0" w:type="dxa"/>
              <w:left w:w="108" w:type="dxa"/>
              <w:bottom w:w="0" w:type="dxa"/>
              <w:right w:w="108" w:type="dxa"/>
            </w:tcMar>
            <w:vAlign w:val="center"/>
            <w:hideMark/>
          </w:tcPr>
          <w:p w14:paraId="7D4000E3" w14:textId="77777777" w:rsidR="00B42647" w:rsidRPr="00AC3F1B" w:rsidRDefault="00B42647" w:rsidP="00B42647">
            <w:pPr>
              <w:pStyle w:val="TableText"/>
              <w:keepNext/>
              <w:jc w:val="center"/>
              <w:rPr>
                <w:b/>
                <w:bCs/>
              </w:rPr>
            </w:pPr>
            <w:r w:rsidRPr="00AC3F1B">
              <w:rPr>
                <w:b/>
                <w:bCs/>
              </w:rPr>
              <w:t>2021</w:t>
            </w:r>
          </w:p>
        </w:tc>
        <w:tc>
          <w:tcPr>
            <w:tcW w:w="1276" w:type="dxa"/>
            <w:tcMar>
              <w:top w:w="0" w:type="dxa"/>
              <w:left w:w="108" w:type="dxa"/>
              <w:bottom w:w="0" w:type="dxa"/>
              <w:right w:w="108" w:type="dxa"/>
            </w:tcMar>
            <w:vAlign w:val="center"/>
            <w:hideMark/>
          </w:tcPr>
          <w:p w14:paraId="1B6F0019" w14:textId="77777777" w:rsidR="00B42647" w:rsidRPr="00AC3F1B" w:rsidRDefault="00B42647" w:rsidP="00B42647">
            <w:pPr>
              <w:pStyle w:val="TableText"/>
              <w:keepNext/>
              <w:jc w:val="center"/>
              <w:rPr>
                <w:b/>
                <w:bCs/>
              </w:rPr>
            </w:pPr>
            <w:r w:rsidRPr="00AC3F1B">
              <w:rPr>
                <w:b/>
                <w:bCs/>
              </w:rPr>
              <w:t>2022</w:t>
            </w:r>
          </w:p>
        </w:tc>
        <w:tc>
          <w:tcPr>
            <w:tcW w:w="1276" w:type="dxa"/>
            <w:tcMar>
              <w:top w:w="0" w:type="dxa"/>
              <w:left w:w="108" w:type="dxa"/>
              <w:bottom w:w="0" w:type="dxa"/>
              <w:right w:w="108" w:type="dxa"/>
            </w:tcMar>
            <w:vAlign w:val="center"/>
            <w:hideMark/>
          </w:tcPr>
          <w:p w14:paraId="0C638DD6" w14:textId="77777777" w:rsidR="00B42647" w:rsidRPr="00AC3F1B" w:rsidRDefault="00B42647" w:rsidP="00B42647">
            <w:pPr>
              <w:pStyle w:val="TableText"/>
              <w:keepNext/>
              <w:jc w:val="center"/>
              <w:rPr>
                <w:b/>
                <w:bCs/>
              </w:rPr>
            </w:pPr>
            <w:r w:rsidRPr="00AC3F1B">
              <w:rPr>
                <w:b/>
                <w:bCs/>
              </w:rPr>
              <w:t>2023</w:t>
            </w:r>
          </w:p>
        </w:tc>
        <w:tc>
          <w:tcPr>
            <w:tcW w:w="1275" w:type="dxa"/>
            <w:tcMar>
              <w:top w:w="0" w:type="dxa"/>
              <w:left w:w="108" w:type="dxa"/>
              <w:bottom w:w="0" w:type="dxa"/>
              <w:right w:w="108" w:type="dxa"/>
            </w:tcMar>
            <w:vAlign w:val="center"/>
            <w:hideMark/>
          </w:tcPr>
          <w:p w14:paraId="6244FA8B" w14:textId="77777777" w:rsidR="00B42647" w:rsidRPr="00AC3F1B" w:rsidRDefault="00B42647" w:rsidP="00B42647">
            <w:pPr>
              <w:pStyle w:val="TableText"/>
              <w:keepNext/>
              <w:jc w:val="center"/>
              <w:rPr>
                <w:b/>
                <w:bCs/>
              </w:rPr>
            </w:pPr>
            <w:r w:rsidRPr="00AC3F1B">
              <w:rPr>
                <w:b/>
                <w:bCs/>
              </w:rPr>
              <w:t>2024</w:t>
            </w:r>
          </w:p>
        </w:tc>
        <w:tc>
          <w:tcPr>
            <w:tcW w:w="1277" w:type="dxa"/>
            <w:tcMar>
              <w:top w:w="0" w:type="dxa"/>
              <w:left w:w="108" w:type="dxa"/>
              <w:bottom w:w="0" w:type="dxa"/>
              <w:right w:w="108" w:type="dxa"/>
            </w:tcMar>
            <w:vAlign w:val="center"/>
            <w:hideMark/>
          </w:tcPr>
          <w:p w14:paraId="0B4CA25B" w14:textId="77777777" w:rsidR="00B42647" w:rsidRPr="00AC3F1B" w:rsidRDefault="00B42647" w:rsidP="00B42647">
            <w:pPr>
              <w:pStyle w:val="TableText"/>
              <w:keepNext/>
              <w:jc w:val="center"/>
              <w:rPr>
                <w:b/>
                <w:bCs/>
              </w:rPr>
            </w:pPr>
            <w:r w:rsidRPr="00AC3F1B">
              <w:rPr>
                <w:b/>
                <w:bCs/>
              </w:rPr>
              <w:t>2025</w:t>
            </w:r>
          </w:p>
        </w:tc>
      </w:tr>
      <w:tr w:rsidR="00B42647" w:rsidRPr="00AC3F1B" w14:paraId="7B272955" w14:textId="77777777" w:rsidTr="00C7722F">
        <w:tc>
          <w:tcPr>
            <w:tcW w:w="9346" w:type="dxa"/>
            <w:gridSpan w:val="6"/>
            <w:shd w:val="clear" w:color="auto" w:fill="D9D9D9" w:themeFill="background1" w:themeFillShade="D9"/>
            <w:tcMar>
              <w:top w:w="0" w:type="dxa"/>
              <w:left w:w="108" w:type="dxa"/>
              <w:bottom w:w="0" w:type="dxa"/>
              <w:right w:w="108" w:type="dxa"/>
            </w:tcMar>
            <w:vAlign w:val="center"/>
            <w:hideMark/>
          </w:tcPr>
          <w:p w14:paraId="2EAE98C2" w14:textId="77777777" w:rsidR="00B42647" w:rsidRPr="00AC3F1B" w:rsidRDefault="00B42647" w:rsidP="00B42647">
            <w:pPr>
              <w:pStyle w:val="TableText"/>
              <w:keepNext/>
              <w:rPr>
                <w:b/>
                <w:bCs/>
              </w:rPr>
            </w:pPr>
            <w:r w:rsidRPr="00AC3F1B">
              <w:rPr>
                <w:b/>
                <w:bCs/>
              </w:rPr>
              <w:t>Estimated use and cost of the proposed health technology</w:t>
            </w:r>
          </w:p>
        </w:tc>
      </w:tr>
      <w:tr w:rsidR="00B42647" w:rsidRPr="00AC3F1B" w14:paraId="175BABCF" w14:textId="77777777" w:rsidTr="00C7722F">
        <w:tc>
          <w:tcPr>
            <w:tcW w:w="2967" w:type="dxa"/>
            <w:tcMar>
              <w:top w:w="0" w:type="dxa"/>
              <w:left w:w="108" w:type="dxa"/>
              <w:bottom w:w="0" w:type="dxa"/>
              <w:right w:w="108" w:type="dxa"/>
            </w:tcMar>
            <w:hideMark/>
          </w:tcPr>
          <w:p w14:paraId="2869A06F" w14:textId="77777777" w:rsidR="00B42647" w:rsidRPr="00AC3F1B" w:rsidRDefault="00B42647" w:rsidP="00B42647">
            <w:pPr>
              <w:pStyle w:val="TableText"/>
              <w:keepNext/>
              <w:jc w:val="both"/>
            </w:pPr>
            <w:r w:rsidRPr="00AC3F1B">
              <w:t>Number of people eligible for a CPMC</w:t>
            </w:r>
          </w:p>
        </w:tc>
        <w:tc>
          <w:tcPr>
            <w:tcW w:w="1275" w:type="dxa"/>
            <w:tcMar>
              <w:top w:w="0" w:type="dxa"/>
              <w:left w:w="108" w:type="dxa"/>
              <w:bottom w:w="0" w:type="dxa"/>
              <w:right w:w="108" w:type="dxa"/>
            </w:tcMar>
            <w:vAlign w:val="center"/>
          </w:tcPr>
          <w:p w14:paraId="773C9438" w14:textId="77777777" w:rsidR="00B42647" w:rsidRPr="00AC3F1B" w:rsidRDefault="00B42647" w:rsidP="00B42647">
            <w:pPr>
              <w:pStyle w:val="TableText"/>
              <w:keepNext/>
              <w:jc w:val="center"/>
            </w:pPr>
            <w:r w:rsidRPr="00AC3F1B">
              <w:t>2,901,074</w:t>
            </w:r>
          </w:p>
        </w:tc>
        <w:tc>
          <w:tcPr>
            <w:tcW w:w="1276" w:type="dxa"/>
            <w:tcMar>
              <w:top w:w="0" w:type="dxa"/>
              <w:left w:w="108" w:type="dxa"/>
              <w:bottom w:w="0" w:type="dxa"/>
              <w:right w:w="108" w:type="dxa"/>
            </w:tcMar>
            <w:vAlign w:val="center"/>
          </w:tcPr>
          <w:p w14:paraId="6A0F16A3" w14:textId="77777777" w:rsidR="00B42647" w:rsidRPr="00AC3F1B" w:rsidRDefault="00B42647" w:rsidP="00B42647">
            <w:pPr>
              <w:pStyle w:val="TableText"/>
              <w:keepNext/>
              <w:jc w:val="center"/>
            </w:pPr>
            <w:r w:rsidRPr="00AC3F1B">
              <w:t>2,949,041</w:t>
            </w:r>
          </w:p>
        </w:tc>
        <w:tc>
          <w:tcPr>
            <w:tcW w:w="1276" w:type="dxa"/>
            <w:tcMar>
              <w:top w:w="0" w:type="dxa"/>
              <w:left w:w="108" w:type="dxa"/>
              <w:bottom w:w="0" w:type="dxa"/>
              <w:right w:w="108" w:type="dxa"/>
            </w:tcMar>
            <w:vAlign w:val="center"/>
          </w:tcPr>
          <w:p w14:paraId="5FE45370" w14:textId="77777777" w:rsidR="00B42647" w:rsidRPr="00AC3F1B" w:rsidRDefault="00B42647" w:rsidP="00B42647">
            <w:pPr>
              <w:pStyle w:val="TableText"/>
              <w:keepNext/>
              <w:jc w:val="center"/>
            </w:pPr>
            <w:r w:rsidRPr="00AC3F1B">
              <w:t>2,996,778</w:t>
            </w:r>
          </w:p>
        </w:tc>
        <w:tc>
          <w:tcPr>
            <w:tcW w:w="1275" w:type="dxa"/>
            <w:tcMar>
              <w:top w:w="0" w:type="dxa"/>
              <w:left w:w="108" w:type="dxa"/>
              <w:bottom w:w="0" w:type="dxa"/>
              <w:right w:w="108" w:type="dxa"/>
            </w:tcMar>
            <w:vAlign w:val="center"/>
          </w:tcPr>
          <w:p w14:paraId="5561E2ED" w14:textId="77777777" w:rsidR="00B42647" w:rsidRPr="00AC3F1B" w:rsidRDefault="00B42647" w:rsidP="00B42647">
            <w:pPr>
              <w:pStyle w:val="TableText"/>
              <w:keepNext/>
              <w:jc w:val="center"/>
            </w:pPr>
            <w:r w:rsidRPr="00AC3F1B">
              <w:t>3,043,891</w:t>
            </w:r>
          </w:p>
        </w:tc>
        <w:tc>
          <w:tcPr>
            <w:tcW w:w="1277" w:type="dxa"/>
            <w:tcMar>
              <w:top w:w="0" w:type="dxa"/>
              <w:left w:w="108" w:type="dxa"/>
              <w:bottom w:w="0" w:type="dxa"/>
              <w:right w:w="108" w:type="dxa"/>
            </w:tcMar>
            <w:vAlign w:val="center"/>
          </w:tcPr>
          <w:p w14:paraId="274B85E0" w14:textId="77777777" w:rsidR="00B42647" w:rsidRPr="00AC3F1B" w:rsidRDefault="00B42647" w:rsidP="00B42647">
            <w:pPr>
              <w:pStyle w:val="TableText"/>
              <w:keepNext/>
              <w:jc w:val="center"/>
            </w:pPr>
            <w:r w:rsidRPr="00AC3F1B">
              <w:t>3,090,422</w:t>
            </w:r>
          </w:p>
        </w:tc>
      </w:tr>
      <w:tr w:rsidR="00B42647" w:rsidRPr="00AC3F1B" w14:paraId="47A2A8C2" w14:textId="77777777" w:rsidTr="00C7722F">
        <w:tc>
          <w:tcPr>
            <w:tcW w:w="2967" w:type="dxa"/>
            <w:tcMar>
              <w:top w:w="0" w:type="dxa"/>
              <w:left w:w="108" w:type="dxa"/>
              <w:bottom w:w="0" w:type="dxa"/>
              <w:right w:w="108" w:type="dxa"/>
            </w:tcMar>
            <w:hideMark/>
          </w:tcPr>
          <w:p w14:paraId="32DAD7FA" w14:textId="77777777" w:rsidR="00B42647" w:rsidRPr="00AC3F1B" w:rsidRDefault="00B42647" w:rsidP="00B42647">
            <w:pPr>
              <w:pStyle w:val="TableText"/>
              <w:keepNext/>
              <w:jc w:val="both"/>
            </w:pPr>
            <w:r w:rsidRPr="00AC3F1B">
              <w:t>Number of people who receive a CPMC</w:t>
            </w:r>
          </w:p>
        </w:tc>
        <w:tc>
          <w:tcPr>
            <w:tcW w:w="1275" w:type="dxa"/>
            <w:tcMar>
              <w:top w:w="0" w:type="dxa"/>
              <w:left w:w="108" w:type="dxa"/>
              <w:bottom w:w="0" w:type="dxa"/>
              <w:right w:w="108" w:type="dxa"/>
            </w:tcMar>
            <w:vAlign w:val="center"/>
          </w:tcPr>
          <w:p w14:paraId="109C5901" w14:textId="77777777" w:rsidR="00B42647" w:rsidRPr="00AC3F1B" w:rsidRDefault="00B42647" w:rsidP="00B42647">
            <w:pPr>
              <w:pStyle w:val="TableText"/>
              <w:keepNext/>
              <w:jc w:val="center"/>
            </w:pPr>
            <w:r w:rsidRPr="00AC3F1B">
              <w:t>28,814</w:t>
            </w:r>
          </w:p>
        </w:tc>
        <w:tc>
          <w:tcPr>
            <w:tcW w:w="1276" w:type="dxa"/>
            <w:tcMar>
              <w:top w:w="0" w:type="dxa"/>
              <w:left w:w="108" w:type="dxa"/>
              <w:bottom w:w="0" w:type="dxa"/>
              <w:right w:w="108" w:type="dxa"/>
            </w:tcMar>
            <w:vAlign w:val="center"/>
          </w:tcPr>
          <w:p w14:paraId="590F4444" w14:textId="77777777" w:rsidR="00B42647" w:rsidRPr="00AC3F1B" w:rsidRDefault="00B42647" w:rsidP="00B42647">
            <w:pPr>
              <w:pStyle w:val="TableText"/>
              <w:keepNext/>
              <w:jc w:val="center"/>
            </w:pPr>
            <w:r w:rsidRPr="00AC3F1B">
              <w:t>29,290</w:t>
            </w:r>
          </w:p>
        </w:tc>
        <w:tc>
          <w:tcPr>
            <w:tcW w:w="1276" w:type="dxa"/>
            <w:tcMar>
              <w:top w:w="0" w:type="dxa"/>
              <w:left w:w="108" w:type="dxa"/>
              <w:bottom w:w="0" w:type="dxa"/>
              <w:right w:w="108" w:type="dxa"/>
            </w:tcMar>
            <w:vAlign w:val="center"/>
          </w:tcPr>
          <w:p w14:paraId="39BADACA" w14:textId="77777777" w:rsidR="00B42647" w:rsidRPr="00AC3F1B" w:rsidRDefault="00B42647" w:rsidP="00B42647">
            <w:pPr>
              <w:pStyle w:val="TableText"/>
              <w:keepNext/>
              <w:jc w:val="center"/>
            </w:pPr>
            <w:r w:rsidRPr="00AC3F1B">
              <w:t>29,765</w:t>
            </w:r>
          </w:p>
        </w:tc>
        <w:tc>
          <w:tcPr>
            <w:tcW w:w="1275" w:type="dxa"/>
            <w:tcMar>
              <w:top w:w="0" w:type="dxa"/>
              <w:left w:w="108" w:type="dxa"/>
              <w:bottom w:w="0" w:type="dxa"/>
              <w:right w:w="108" w:type="dxa"/>
            </w:tcMar>
            <w:vAlign w:val="center"/>
          </w:tcPr>
          <w:p w14:paraId="50685B69" w14:textId="77777777" w:rsidR="00B42647" w:rsidRPr="00AC3F1B" w:rsidRDefault="00B42647" w:rsidP="00B42647">
            <w:pPr>
              <w:pStyle w:val="TableText"/>
              <w:keepNext/>
              <w:jc w:val="center"/>
            </w:pPr>
            <w:r w:rsidRPr="00AC3F1B">
              <w:t>30,232</w:t>
            </w:r>
          </w:p>
        </w:tc>
        <w:tc>
          <w:tcPr>
            <w:tcW w:w="1277" w:type="dxa"/>
            <w:tcMar>
              <w:top w:w="0" w:type="dxa"/>
              <w:left w:w="108" w:type="dxa"/>
              <w:bottom w:w="0" w:type="dxa"/>
              <w:right w:w="108" w:type="dxa"/>
            </w:tcMar>
            <w:vAlign w:val="center"/>
          </w:tcPr>
          <w:p w14:paraId="4E87B7CA" w14:textId="77777777" w:rsidR="00B42647" w:rsidRPr="00AC3F1B" w:rsidRDefault="00B42647" w:rsidP="00B42647">
            <w:pPr>
              <w:pStyle w:val="TableText"/>
              <w:keepNext/>
              <w:jc w:val="center"/>
            </w:pPr>
            <w:r w:rsidRPr="00AC3F1B">
              <w:t>30,695</w:t>
            </w:r>
          </w:p>
        </w:tc>
      </w:tr>
      <w:tr w:rsidR="00B42647" w:rsidRPr="00AC3F1B" w14:paraId="073F762B" w14:textId="77777777" w:rsidTr="00C7722F">
        <w:tc>
          <w:tcPr>
            <w:tcW w:w="2967" w:type="dxa"/>
            <w:tcMar>
              <w:top w:w="0" w:type="dxa"/>
              <w:left w:w="108" w:type="dxa"/>
              <w:bottom w:w="0" w:type="dxa"/>
              <w:right w:w="108" w:type="dxa"/>
            </w:tcMar>
            <w:hideMark/>
          </w:tcPr>
          <w:p w14:paraId="4630F54A" w14:textId="77777777" w:rsidR="00B42647" w:rsidRPr="00AC3F1B" w:rsidRDefault="00B42647" w:rsidP="00B42647">
            <w:pPr>
              <w:pStyle w:val="TableText"/>
              <w:keepNext/>
              <w:jc w:val="both"/>
            </w:pPr>
            <w:r w:rsidRPr="00AC3F1B">
              <w:t>Number of services of CPMC (</w:t>
            </w:r>
            <w:r>
              <w:t>two</w:t>
            </w:r>
            <w:r w:rsidRPr="00AC3F1B">
              <w:t xml:space="preserve"> services per person, as </w:t>
            </w:r>
            <w:r>
              <w:t xml:space="preserve">in </w:t>
            </w:r>
            <w:r w:rsidRPr="00AC3F1B">
              <w:t xml:space="preserve">Group </w:t>
            </w:r>
            <w:r>
              <w:t>A</w:t>
            </w:r>
            <w:r w:rsidRPr="00AC3F1B">
              <w:t>)</w:t>
            </w:r>
          </w:p>
        </w:tc>
        <w:tc>
          <w:tcPr>
            <w:tcW w:w="1275" w:type="dxa"/>
            <w:tcMar>
              <w:top w:w="0" w:type="dxa"/>
              <w:left w:w="108" w:type="dxa"/>
              <w:bottom w:w="0" w:type="dxa"/>
              <w:right w:w="108" w:type="dxa"/>
            </w:tcMar>
            <w:vAlign w:val="center"/>
          </w:tcPr>
          <w:p w14:paraId="5F3EF76A" w14:textId="77777777" w:rsidR="00B42647" w:rsidRPr="00AC3F1B" w:rsidRDefault="00B42647" w:rsidP="00B42647">
            <w:pPr>
              <w:pStyle w:val="TableText"/>
              <w:keepNext/>
              <w:jc w:val="center"/>
              <w:rPr>
                <w:i/>
              </w:rPr>
            </w:pPr>
            <w:r>
              <w:rPr>
                <w:i/>
              </w:rPr>
              <w:t>57,628</w:t>
            </w:r>
          </w:p>
        </w:tc>
        <w:tc>
          <w:tcPr>
            <w:tcW w:w="1276" w:type="dxa"/>
            <w:tcMar>
              <w:top w:w="0" w:type="dxa"/>
              <w:left w:w="108" w:type="dxa"/>
              <w:bottom w:w="0" w:type="dxa"/>
              <w:right w:w="108" w:type="dxa"/>
            </w:tcMar>
            <w:vAlign w:val="center"/>
          </w:tcPr>
          <w:p w14:paraId="0DA68E0E" w14:textId="77777777" w:rsidR="00B42647" w:rsidRPr="00AC3F1B" w:rsidRDefault="00B42647" w:rsidP="00B42647">
            <w:pPr>
              <w:pStyle w:val="TableText"/>
              <w:keepNext/>
              <w:jc w:val="center"/>
              <w:rPr>
                <w:i/>
              </w:rPr>
            </w:pPr>
            <w:r>
              <w:rPr>
                <w:i/>
              </w:rPr>
              <w:t>58,580</w:t>
            </w:r>
          </w:p>
        </w:tc>
        <w:tc>
          <w:tcPr>
            <w:tcW w:w="1276" w:type="dxa"/>
            <w:tcMar>
              <w:top w:w="0" w:type="dxa"/>
              <w:left w:w="108" w:type="dxa"/>
              <w:bottom w:w="0" w:type="dxa"/>
              <w:right w:w="108" w:type="dxa"/>
            </w:tcMar>
            <w:vAlign w:val="center"/>
          </w:tcPr>
          <w:p w14:paraId="49A45BD1" w14:textId="77777777" w:rsidR="00B42647" w:rsidRPr="00AC3F1B" w:rsidRDefault="00B42647" w:rsidP="00B42647">
            <w:pPr>
              <w:pStyle w:val="TableText"/>
              <w:keepNext/>
              <w:jc w:val="center"/>
              <w:rPr>
                <w:i/>
              </w:rPr>
            </w:pPr>
            <w:r>
              <w:rPr>
                <w:i/>
              </w:rPr>
              <w:t>59,530</w:t>
            </w:r>
          </w:p>
        </w:tc>
        <w:tc>
          <w:tcPr>
            <w:tcW w:w="1275" w:type="dxa"/>
            <w:tcMar>
              <w:top w:w="0" w:type="dxa"/>
              <w:left w:w="108" w:type="dxa"/>
              <w:bottom w:w="0" w:type="dxa"/>
              <w:right w:w="108" w:type="dxa"/>
            </w:tcMar>
            <w:vAlign w:val="center"/>
          </w:tcPr>
          <w:p w14:paraId="41634BA0" w14:textId="77777777" w:rsidR="00B42647" w:rsidRPr="00AC3F1B" w:rsidRDefault="00B42647" w:rsidP="00B42647">
            <w:pPr>
              <w:pStyle w:val="TableText"/>
              <w:keepNext/>
              <w:jc w:val="center"/>
              <w:rPr>
                <w:i/>
              </w:rPr>
            </w:pPr>
            <w:r>
              <w:rPr>
                <w:i/>
              </w:rPr>
              <w:t>60,464</w:t>
            </w:r>
          </w:p>
        </w:tc>
        <w:tc>
          <w:tcPr>
            <w:tcW w:w="1277" w:type="dxa"/>
            <w:tcMar>
              <w:top w:w="0" w:type="dxa"/>
              <w:left w:w="108" w:type="dxa"/>
              <w:bottom w:w="0" w:type="dxa"/>
              <w:right w:w="108" w:type="dxa"/>
            </w:tcMar>
            <w:vAlign w:val="center"/>
          </w:tcPr>
          <w:p w14:paraId="195905C8" w14:textId="77777777" w:rsidR="00B42647" w:rsidRPr="00AC3F1B" w:rsidRDefault="00B42647" w:rsidP="00B42647">
            <w:pPr>
              <w:pStyle w:val="TableText"/>
              <w:keepNext/>
              <w:jc w:val="center"/>
              <w:rPr>
                <w:i/>
              </w:rPr>
            </w:pPr>
            <w:r>
              <w:rPr>
                <w:i/>
              </w:rPr>
              <w:t>61,390</w:t>
            </w:r>
          </w:p>
        </w:tc>
      </w:tr>
      <w:tr w:rsidR="00B42647" w:rsidRPr="00AC3F1B" w14:paraId="48111D59" w14:textId="77777777" w:rsidTr="00C7722F">
        <w:tc>
          <w:tcPr>
            <w:tcW w:w="2967" w:type="dxa"/>
            <w:tcMar>
              <w:top w:w="0" w:type="dxa"/>
              <w:left w:w="108" w:type="dxa"/>
              <w:bottom w:w="0" w:type="dxa"/>
              <w:right w:w="108" w:type="dxa"/>
            </w:tcMar>
            <w:hideMark/>
          </w:tcPr>
          <w:p w14:paraId="28A4FF0D" w14:textId="77777777" w:rsidR="00B42647" w:rsidRPr="00AC3F1B" w:rsidRDefault="00B42647" w:rsidP="00B42647">
            <w:pPr>
              <w:pStyle w:val="TableText"/>
              <w:keepNext/>
              <w:jc w:val="both"/>
            </w:pPr>
            <w:r w:rsidRPr="00AC3F1B">
              <w:t>Cost to the [Community Pharmacy Agreement*] (with appropriate copayments excluded)</w:t>
            </w:r>
          </w:p>
        </w:tc>
        <w:tc>
          <w:tcPr>
            <w:tcW w:w="1275" w:type="dxa"/>
            <w:tcMar>
              <w:top w:w="0" w:type="dxa"/>
              <w:left w:w="108" w:type="dxa"/>
              <w:bottom w:w="0" w:type="dxa"/>
              <w:right w:w="108" w:type="dxa"/>
            </w:tcMar>
            <w:vAlign w:val="center"/>
          </w:tcPr>
          <w:p w14:paraId="5CD96EBC" w14:textId="77777777" w:rsidR="00B42647" w:rsidRPr="00AC3F1B" w:rsidRDefault="00B42647" w:rsidP="00B42647">
            <w:pPr>
              <w:pStyle w:val="TableText"/>
              <w:keepNext/>
              <w:jc w:val="center"/>
            </w:pPr>
            <w:r w:rsidRPr="00AC3F1B">
              <w:t>$</w:t>
            </w:r>
            <w:r>
              <w:t>3,780,972</w:t>
            </w:r>
          </w:p>
        </w:tc>
        <w:tc>
          <w:tcPr>
            <w:tcW w:w="1276" w:type="dxa"/>
            <w:tcMar>
              <w:top w:w="0" w:type="dxa"/>
              <w:left w:w="108" w:type="dxa"/>
              <w:bottom w:w="0" w:type="dxa"/>
              <w:right w:w="108" w:type="dxa"/>
            </w:tcMar>
            <w:vAlign w:val="center"/>
          </w:tcPr>
          <w:p w14:paraId="1C7A1A69" w14:textId="77777777" w:rsidR="00B42647" w:rsidRPr="00AC3F1B" w:rsidRDefault="00B42647" w:rsidP="00B42647">
            <w:pPr>
              <w:pStyle w:val="TableText"/>
              <w:keepNext/>
              <w:jc w:val="center"/>
            </w:pPr>
            <w:r w:rsidRPr="00AC3F1B">
              <w:t>$</w:t>
            </w:r>
            <w:r>
              <w:t>3,843,487</w:t>
            </w:r>
          </w:p>
        </w:tc>
        <w:tc>
          <w:tcPr>
            <w:tcW w:w="1276" w:type="dxa"/>
            <w:tcMar>
              <w:top w:w="0" w:type="dxa"/>
              <w:left w:w="108" w:type="dxa"/>
              <w:bottom w:w="0" w:type="dxa"/>
              <w:right w:w="108" w:type="dxa"/>
            </w:tcMar>
            <w:vAlign w:val="center"/>
          </w:tcPr>
          <w:p w14:paraId="1353E824" w14:textId="77777777" w:rsidR="00B42647" w:rsidRPr="00AC3F1B" w:rsidRDefault="00B42647" w:rsidP="00B42647">
            <w:pPr>
              <w:pStyle w:val="TableText"/>
              <w:keepNext/>
              <w:jc w:val="center"/>
            </w:pPr>
            <w:r w:rsidRPr="00AC3F1B">
              <w:t>$</w:t>
            </w:r>
            <w:r>
              <w:t>3,905,703</w:t>
            </w:r>
          </w:p>
        </w:tc>
        <w:tc>
          <w:tcPr>
            <w:tcW w:w="1275" w:type="dxa"/>
            <w:tcMar>
              <w:top w:w="0" w:type="dxa"/>
              <w:left w:w="108" w:type="dxa"/>
              <w:bottom w:w="0" w:type="dxa"/>
              <w:right w:w="108" w:type="dxa"/>
            </w:tcMar>
            <w:vAlign w:val="center"/>
          </w:tcPr>
          <w:p w14:paraId="14FD772F" w14:textId="77777777" w:rsidR="00B42647" w:rsidRPr="00AC3F1B" w:rsidRDefault="00B42647" w:rsidP="00B42647">
            <w:pPr>
              <w:pStyle w:val="TableText"/>
              <w:keepNext/>
              <w:jc w:val="center"/>
            </w:pPr>
            <w:r w:rsidRPr="00AC3F1B">
              <w:t>$</w:t>
            </w:r>
            <w:r>
              <w:t>3,967,104</w:t>
            </w:r>
          </w:p>
        </w:tc>
        <w:tc>
          <w:tcPr>
            <w:tcW w:w="1277" w:type="dxa"/>
            <w:tcMar>
              <w:top w:w="0" w:type="dxa"/>
              <w:left w:w="108" w:type="dxa"/>
              <w:bottom w:w="0" w:type="dxa"/>
              <w:right w:w="108" w:type="dxa"/>
            </w:tcMar>
            <w:vAlign w:val="center"/>
          </w:tcPr>
          <w:p w14:paraId="5AD21233" w14:textId="77777777" w:rsidR="00B42647" w:rsidRPr="00AC3F1B" w:rsidRDefault="00B42647" w:rsidP="00B42647">
            <w:pPr>
              <w:pStyle w:val="TableText"/>
              <w:keepNext/>
              <w:jc w:val="center"/>
            </w:pPr>
            <w:r w:rsidRPr="00AC3F1B">
              <w:t>$</w:t>
            </w:r>
            <w:r>
              <w:t>4,027,749</w:t>
            </w:r>
          </w:p>
        </w:tc>
      </w:tr>
      <w:tr w:rsidR="00B42647" w:rsidRPr="00AC3F1B" w14:paraId="2F875611" w14:textId="77777777" w:rsidTr="00C7722F">
        <w:tc>
          <w:tcPr>
            <w:tcW w:w="9346" w:type="dxa"/>
            <w:gridSpan w:val="6"/>
            <w:shd w:val="clear" w:color="auto" w:fill="D9D9D9" w:themeFill="background1" w:themeFillShade="D9"/>
            <w:tcMar>
              <w:top w:w="0" w:type="dxa"/>
              <w:left w:w="108" w:type="dxa"/>
              <w:bottom w:w="0" w:type="dxa"/>
              <w:right w:w="108" w:type="dxa"/>
            </w:tcMar>
            <w:vAlign w:val="center"/>
            <w:hideMark/>
          </w:tcPr>
          <w:p w14:paraId="539FAB9C" w14:textId="77777777" w:rsidR="00B42647" w:rsidRPr="00AC3F1B" w:rsidRDefault="00B42647" w:rsidP="00B42647">
            <w:pPr>
              <w:pStyle w:val="TableText"/>
              <w:keepNext/>
              <w:rPr>
                <w:b/>
                <w:bCs/>
              </w:rPr>
            </w:pPr>
            <w:r w:rsidRPr="00AC3F1B">
              <w:rPr>
                <w:b/>
                <w:bCs/>
              </w:rPr>
              <w:t>Financial impact</w:t>
            </w:r>
          </w:p>
        </w:tc>
      </w:tr>
      <w:tr w:rsidR="00B42647" w:rsidRPr="00AC3F1B" w14:paraId="4AFC96EE" w14:textId="77777777" w:rsidTr="00C7722F">
        <w:tc>
          <w:tcPr>
            <w:tcW w:w="2967" w:type="dxa"/>
            <w:tcMar>
              <w:top w:w="0" w:type="dxa"/>
              <w:left w:w="108" w:type="dxa"/>
              <w:bottom w:w="0" w:type="dxa"/>
              <w:right w:w="108" w:type="dxa"/>
            </w:tcMar>
            <w:hideMark/>
          </w:tcPr>
          <w:p w14:paraId="75FD8E35" w14:textId="77777777" w:rsidR="00B42647" w:rsidRPr="00AC3F1B" w:rsidRDefault="00B42647" w:rsidP="00B42647">
            <w:pPr>
              <w:pStyle w:val="TableText"/>
              <w:keepNext/>
              <w:jc w:val="both"/>
            </w:pPr>
            <w:r w:rsidRPr="00AC3F1B">
              <w:t>Change in use of hospital inpatient services costs</w:t>
            </w:r>
          </w:p>
        </w:tc>
        <w:tc>
          <w:tcPr>
            <w:tcW w:w="1275" w:type="dxa"/>
            <w:tcMar>
              <w:top w:w="0" w:type="dxa"/>
              <w:left w:w="108" w:type="dxa"/>
              <w:bottom w:w="0" w:type="dxa"/>
              <w:right w:w="108" w:type="dxa"/>
            </w:tcMar>
            <w:vAlign w:val="center"/>
          </w:tcPr>
          <w:p w14:paraId="1B4584C3" w14:textId="77777777" w:rsidR="00B42647" w:rsidRPr="00AC3F1B" w:rsidRDefault="00B42647" w:rsidP="00B42647">
            <w:pPr>
              <w:pStyle w:val="TableText"/>
              <w:keepNext/>
              <w:jc w:val="center"/>
            </w:pPr>
            <w:r w:rsidRPr="00AC3F1B">
              <w:t>-$1,</w:t>
            </w:r>
            <w:r>
              <w:t>681,864</w:t>
            </w:r>
          </w:p>
        </w:tc>
        <w:tc>
          <w:tcPr>
            <w:tcW w:w="1276" w:type="dxa"/>
            <w:tcMar>
              <w:top w:w="0" w:type="dxa"/>
              <w:left w:w="108" w:type="dxa"/>
              <w:bottom w:w="0" w:type="dxa"/>
              <w:right w:w="108" w:type="dxa"/>
            </w:tcMar>
            <w:vAlign w:val="center"/>
          </w:tcPr>
          <w:p w14:paraId="5502E9E8" w14:textId="77777777" w:rsidR="00B42647" w:rsidRPr="00AC3F1B" w:rsidRDefault="00B42647" w:rsidP="00B42647">
            <w:pPr>
              <w:pStyle w:val="TableText"/>
              <w:keepNext/>
              <w:jc w:val="center"/>
            </w:pPr>
            <w:r w:rsidRPr="00AC3F1B">
              <w:t>-$1,</w:t>
            </w:r>
            <w:r>
              <w:t>709,672</w:t>
            </w:r>
          </w:p>
        </w:tc>
        <w:tc>
          <w:tcPr>
            <w:tcW w:w="1276" w:type="dxa"/>
            <w:tcMar>
              <w:top w:w="0" w:type="dxa"/>
              <w:left w:w="108" w:type="dxa"/>
              <w:bottom w:w="0" w:type="dxa"/>
              <w:right w:w="108" w:type="dxa"/>
            </w:tcMar>
            <w:vAlign w:val="center"/>
          </w:tcPr>
          <w:p w14:paraId="6BD4448B" w14:textId="77777777" w:rsidR="00B42647" w:rsidRPr="00AC3F1B" w:rsidRDefault="00B42647" w:rsidP="00B42647">
            <w:pPr>
              <w:pStyle w:val="TableText"/>
              <w:keepNext/>
              <w:jc w:val="center"/>
            </w:pPr>
            <w:r w:rsidRPr="00AC3F1B">
              <w:rPr>
                <w:rFonts w:cs="Calibri"/>
              </w:rPr>
              <w:t>-$1,</w:t>
            </w:r>
            <w:r>
              <w:t>764,660</w:t>
            </w:r>
          </w:p>
        </w:tc>
        <w:tc>
          <w:tcPr>
            <w:tcW w:w="1275" w:type="dxa"/>
            <w:tcMar>
              <w:top w:w="0" w:type="dxa"/>
              <w:left w:w="108" w:type="dxa"/>
              <w:bottom w:w="0" w:type="dxa"/>
              <w:right w:w="108" w:type="dxa"/>
            </w:tcMar>
            <w:vAlign w:val="center"/>
          </w:tcPr>
          <w:p w14:paraId="49566B7A" w14:textId="77777777" w:rsidR="00B42647" w:rsidRPr="00AC3F1B" w:rsidRDefault="00B42647" w:rsidP="00B42647">
            <w:pPr>
              <w:pStyle w:val="TableText"/>
              <w:keepNext/>
              <w:jc w:val="center"/>
            </w:pPr>
            <w:r w:rsidRPr="00AC3F1B">
              <w:rPr>
                <w:rFonts w:cs="Calibri"/>
              </w:rPr>
              <w:t>-$1,</w:t>
            </w:r>
            <w:r>
              <w:t>764,660</w:t>
            </w:r>
          </w:p>
        </w:tc>
        <w:tc>
          <w:tcPr>
            <w:tcW w:w="1277" w:type="dxa"/>
            <w:tcMar>
              <w:top w:w="0" w:type="dxa"/>
              <w:left w:w="108" w:type="dxa"/>
              <w:bottom w:w="0" w:type="dxa"/>
              <w:right w:w="108" w:type="dxa"/>
            </w:tcMar>
            <w:vAlign w:val="center"/>
          </w:tcPr>
          <w:p w14:paraId="1365FF37" w14:textId="77777777" w:rsidR="00B42647" w:rsidRPr="00AC3F1B" w:rsidRDefault="00B42647" w:rsidP="00B42647">
            <w:pPr>
              <w:pStyle w:val="TableText"/>
              <w:keepNext/>
              <w:jc w:val="center"/>
            </w:pPr>
            <w:r w:rsidRPr="00AC3F1B">
              <w:rPr>
                <w:rFonts w:cs="Calibri"/>
              </w:rPr>
              <w:t>-$1,</w:t>
            </w:r>
            <w:r>
              <w:t>791,636</w:t>
            </w:r>
          </w:p>
        </w:tc>
      </w:tr>
      <w:tr w:rsidR="00B42647" w:rsidRPr="00AC3F1B" w14:paraId="1A4A10AC" w14:textId="77777777" w:rsidTr="00C7722F">
        <w:tc>
          <w:tcPr>
            <w:tcW w:w="2967" w:type="dxa"/>
            <w:tcMar>
              <w:top w:w="0" w:type="dxa"/>
              <w:left w:w="108" w:type="dxa"/>
              <w:bottom w:w="0" w:type="dxa"/>
              <w:right w:w="108" w:type="dxa"/>
            </w:tcMar>
            <w:hideMark/>
          </w:tcPr>
          <w:p w14:paraId="5736F9E8" w14:textId="77777777" w:rsidR="00B42647" w:rsidRPr="00AC3F1B" w:rsidRDefault="00B42647" w:rsidP="00B42647">
            <w:pPr>
              <w:pStyle w:val="TableText"/>
              <w:keepNext/>
              <w:jc w:val="both"/>
            </w:pPr>
            <w:r w:rsidRPr="00AC3F1B">
              <w:t>Change in use and costs of ED visits</w:t>
            </w:r>
          </w:p>
        </w:tc>
        <w:tc>
          <w:tcPr>
            <w:tcW w:w="1275" w:type="dxa"/>
            <w:tcMar>
              <w:top w:w="0" w:type="dxa"/>
              <w:left w:w="108" w:type="dxa"/>
              <w:bottom w:w="0" w:type="dxa"/>
              <w:right w:w="108" w:type="dxa"/>
            </w:tcMar>
            <w:vAlign w:val="center"/>
          </w:tcPr>
          <w:p w14:paraId="731E2420" w14:textId="77777777" w:rsidR="00B42647" w:rsidRPr="00AC3F1B" w:rsidRDefault="00B42647" w:rsidP="00B42647">
            <w:pPr>
              <w:pStyle w:val="TableText"/>
              <w:keepNext/>
              <w:jc w:val="center"/>
            </w:pPr>
            <w:r w:rsidRPr="00AC3F1B">
              <w:rPr>
                <w:rFonts w:cs="Calibri"/>
              </w:rPr>
              <w:t>-$</w:t>
            </w:r>
            <w:r>
              <w:t>190,018</w:t>
            </w:r>
          </w:p>
        </w:tc>
        <w:tc>
          <w:tcPr>
            <w:tcW w:w="1276" w:type="dxa"/>
            <w:tcMar>
              <w:top w:w="0" w:type="dxa"/>
              <w:left w:w="108" w:type="dxa"/>
              <w:bottom w:w="0" w:type="dxa"/>
              <w:right w:w="108" w:type="dxa"/>
            </w:tcMar>
            <w:vAlign w:val="center"/>
          </w:tcPr>
          <w:p w14:paraId="665CE093" w14:textId="77777777" w:rsidR="00B42647" w:rsidRPr="00AC3F1B" w:rsidRDefault="00B42647" w:rsidP="00B42647">
            <w:pPr>
              <w:pStyle w:val="TableText"/>
              <w:keepNext/>
              <w:jc w:val="center"/>
            </w:pPr>
            <w:r w:rsidRPr="00AC3F1B">
              <w:rPr>
                <w:rFonts w:cs="Calibri"/>
              </w:rPr>
              <w:t>-$</w:t>
            </w:r>
            <w:r>
              <w:t>193,160</w:t>
            </w:r>
          </w:p>
        </w:tc>
        <w:tc>
          <w:tcPr>
            <w:tcW w:w="1276" w:type="dxa"/>
            <w:tcMar>
              <w:top w:w="0" w:type="dxa"/>
              <w:left w:w="108" w:type="dxa"/>
              <w:bottom w:w="0" w:type="dxa"/>
              <w:right w:w="108" w:type="dxa"/>
            </w:tcMar>
            <w:vAlign w:val="center"/>
          </w:tcPr>
          <w:p w14:paraId="14205879" w14:textId="77777777" w:rsidR="00B42647" w:rsidRPr="00AC3F1B" w:rsidRDefault="00B42647" w:rsidP="00B42647">
            <w:pPr>
              <w:pStyle w:val="TableText"/>
              <w:keepNext/>
              <w:jc w:val="center"/>
            </w:pPr>
            <w:r w:rsidRPr="00AC3F1B">
              <w:rPr>
                <w:rFonts w:cs="Calibri"/>
              </w:rPr>
              <w:t>-$</w:t>
            </w:r>
            <w:r>
              <w:t>196,287</w:t>
            </w:r>
          </w:p>
        </w:tc>
        <w:tc>
          <w:tcPr>
            <w:tcW w:w="1275" w:type="dxa"/>
            <w:tcMar>
              <w:top w:w="0" w:type="dxa"/>
              <w:left w:w="108" w:type="dxa"/>
              <w:bottom w:w="0" w:type="dxa"/>
              <w:right w:w="108" w:type="dxa"/>
            </w:tcMar>
            <w:vAlign w:val="center"/>
          </w:tcPr>
          <w:p w14:paraId="37EED11B" w14:textId="77777777" w:rsidR="00B42647" w:rsidRPr="00AC3F1B" w:rsidRDefault="00B42647" w:rsidP="00B42647">
            <w:pPr>
              <w:pStyle w:val="TableText"/>
              <w:keepNext/>
              <w:jc w:val="center"/>
            </w:pPr>
            <w:r w:rsidRPr="00AC3F1B">
              <w:rPr>
                <w:rFonts w:cs="Calibri"/>
              </w:rPr>
              <w:t>-$</w:t>
            </w:r>
            <w:r>
              <w:t>199,373</w:t>
            </w:r>
          </w:p>
        </w:tc>
        <w:tc>
          <w:tcPr>
            <w:tcW w:w="1277" w:type="dxa"/>
            <w:tcMar>
              <w:top w:w="0" w:type="dxa"/>
              <w:left w:w="108" w:type="dxa"/>
              <w:bottom w:w="0" w:type="dxa"/>
              <w:right w:w="108" w:type="dxa"/>
            </w:tcMar>
            <w:vAlign w:val="center"/>
          </w:tcPr>
          <w:p w14:paraId="5FD8C6A8" w14:textId="77777777" w:rsidR="00B42647" w:rsidRPr="00AC3F1B" w:rsidRDefault="00B42647" w:rsidP="00B42647">
            <w:pPr>
              <w:pStyle w:val="TableText"/>
              <w:keepNext/>
              <w:jc w:val="center"/>
            </w:pPr>
            <w:r w:rsidRPr="00AC3F1B">
              <w:rPr>
                <w:rFonts w:cs="Calibri"/>
              </w:rPr>
              <w:t>-$</w:t>
            </w:r>
            <w:r>
              <w:t>202,420</w:t>
            </w:r>
          </w:p>
        </w:tc>
      </w:tr>
      <w:tr w:rsidR="00B42647" w:rsidRPr="00AC3F1B" w14:paraId="4615FF73" w14:textId="77777777" w:rsidTr="00C7722F">
        <w:tc>
          <w:tcPr>
            <w:tcW w:w="2967" w:type="dxa"/>
            <w:tcMar>
              <w:top w:w="0" w:type="dxa"/>
              <w:left w:w="108" w:type="dxa"/>
              <w:bottom w:w="0" w:type="dxa"/>
              <w:right w:w="108" w:type="dxa"/>
            </w:tcMar>
          </w:tcPr>
          <w:p w14:paraId="266E50B5" w14:textId="77777777" w:rsidR="00B42647" w:rsidRPr="00AC3F1B" w:rsidRDefault="00B42647" w:rsidP="00B42647">
            <w:pPr>
              <w:pStyle w:val="TableText"/>
              <w:keepNext/>
              <w:jc w:val="both"/>
            </w:pPr>
            <w:r w:rsidRPr="00AC3F1B">
              <w:rPr>
                <w:b/>
                <w:bCs/>
              </w:rPr>
              <w:t>Net financial impact to state and territory government budgets</w:t>
            </w:r>
          </w:p>
        </w:tc>
        <w:tc>
          <w:tcPr>
            <w:tcW w:w="1275" w:type="dxa"/>
            <w:tcMar>
              <w:top w:w="0" w:type="dxa"/>
              <w:left w:w="108" w:type="dxa"/>
              <w:bottom w:w="0" w:type="dxa"/>
              <w:right w:w="108" w:type="dxa"/>
            </w:tcMar>
            <w:vAlign w:val="center"/>
          </w:tcPr>
          <w:p w14:paraId="711AE866" w14:textId="77777777" w:rsidR="00B42647" w:rsidRPr="00AC3F1B" w:rsidRDefault="00B42647" w:rsidP="00B42647">
            <w:pPr>
              <w:pStyle w:val="TableText"/>
              <w:keepNext/>
              <w:jc w:val="center"/>
              <w:rPr>
                <w:b/>
              </w:rPr>
            </w:pPr>
            <w:r w:rsidRPr="00AC3F1B">
              <w:rPr>
                <w:rFonts w:cs="Calibri"/>
                <w:b/>
              </w:rPr>
              <w:t>-$1,</w:t>
            </w:r>
            <w:r>
              <w:rPr>
                <w:b/>
              </w:rPr>
              <w:t>871,883</w:t>
            </w:r>
          </w:p>
        </w:tc>
        <w:tc>
          <w:tcPr>
            <w:tcW w:w="1276" w:type="dxa"/>
            <w:tcMar>
              <w:top w:w="0" w:type="dxa"/>
              <w:left w:w="108" w:type="dxa"/>
              <w:bottom w:w="0" w:type="dxa"/>
              <w:right w:w="108" w:type="dxa"/>
            </w:tcMar>
            <w:vAlign w:val="center"/>
          </w:tcPr>
          <w:p w14:paraId="3052772F" w14:textId="77777777" w:rsidR="00B42647" w:rsidRPr="00AC3F1B" w:rsidRDefault="00B42647" w:rsidP="00B42647">
            <w:pPr>
              <w:pStyle w:val="TableText"/>
              <w:keepNext/>
              <w:jc w:val="center"/>
              <w:rPr>
                <w:b/>
              </w:rPr>
            </w:pPr>
            <w:r w:rsidRPr="00AC3F1B">
              <w:rPr>
                <w:rFonts w:cs="Calibri"/>
                <w:b/>
              </w:rPr>
              <w:t>-$1,</w:t>
            </w:r>
            <w:r>
              <w:rPr>
                <w:b/>
              </w:rPr>
              <w:t>902,832</w:t>
            </w:r>
          </w:p>
        </w:tc>
        <w:tc>
          <w:tcPr>
            <w:tcW w:w="1276" w:type="dxa"/>
            <w:tcMar>
              <w:top w:w="0" w:type="dxa"/>
              <w:left w:w="108" w:type="dxa"/>
              <w:bottom w:w="0" w:type="dxa"/>
              <w:right w:w="108" w:type="dxa"/>
            </w:tcMar>
            <w:vAlign w:val="center"/>
          </w:tcPr>
          <w:p w14:paraId="66B30FBA" w14:textId="77777777" w:rsidR="00B42647" w:rsidRPr="00AC3F1B" w:rsidRDefault="00B42647" w:rsidP="00B42647">
            <w:pPr>
              <w:pStyle w:val="TableText"/>
              <w:keepNext/>
              <w:jc w:val="center"/>
              <w:rPr>
                <w:b/>
              </w:rPr>
            </w:pPr>
            <w:r w:rsidRPr="00AC3F1B">
              <w:rPr>
                <w:rFonts w:cs="Calibri"/>
                <w:b/>
              </w:rPr>
              <w:t>-$1,</w:t>
            </w:r>
            <w:r>
              <w:rPr>
                <w:b/>
              </w:rPr>
              <w:t>933,634</w:t>
            </w:r>
          </w:p>
        </w:tc>
        <w:tc>
          <w:tcPr>
            <w:tcW w:w="1275" w:type="dxa"/>
            <w:tcMar>
              <w:top w:w="0" w:type="dxa"/>
              <w:left w:w="108" w:type="dxa"/>
              <w:bottom w:w="0" w:type="dxa"/>
              <w:right w:w="108" w:type="dxa"/>
            </w:tcMar>
            <w:vAlign w:val="center"/>
          </w:tcPr>
          <w:p w14:paraId="7E6F419C" w14:textId="77777777" w:rsidR="00B42647" w:rsidRPr="00AC3F1B" w:rsidRDefault="00B42647" w:rsidP="00B42647">
            <w:pPr>
              <w:pStyle w:val="TableText"/>
              <w:keepNext/>
              <w:jc w:val="center"/>
              <w:rPr>
                <w:b/>
              </w:rPr>
            </w:pPr>
            <w:r w:rsidRPr="00AC3F1B">
              <w:rPr>
                <w:rFonts w:cs="Calibri"/>
                <w:b/>
              </w:rPr>
              <w:t>-$1,</w:t>
            </w:r>
            <w:r>
              <w:rPr>
                <w:b/>
              </w:rPr>
              <w:t>964,033</w:t>
            </w:r>
          </w:p>
        </w:tc>
        <w:tc>
          <w:tcPr>
            <w:tcW w:w="1277" w:type="dxa"/>
            <w:tcMar>
              <w:top w:w="0" w:type="dxa"/>
              <w:left w:w="108" w:type="dxa"/>
              <w:bottom w:w="0" w:type="dxa"/>
              <w:right w:w="108" w:type="dxa"/>
            </w:tcMar>
            <w:vAlign w:val="center"/>
          </w:tcPr>
          <w:p w14:paraId="0D350538" w14:textId="77777777" w:rsidR="00B42647" w:rsidRPr="00AC3F1B" w:rsidRDefault="00B42647" w:rsidP="00B42647">
            <w:pPr>
              <w:pStyle w:val="TableText"/>
              <w:keepNext/>
              <w:jc w:val="center"/>
              <w:rPr>
                <w:b/>
              </w:rPr>
            </w:pPr>
            <w:r w:rsidRPr="00AC3F1B">
              <w:rPr>
                <w:rFonts w:cs="Calibri"/>
                <w:b/>
              </w:rPr>
              <w:t>-$1,</w:t>
            </w:r>
            <w:r>
              <w:rPr>
                <w:b/>
              </w:rPr>
              <w:t>994,057</w:t>
            </w:r>
          </w:p>
        </w:tc>
      </w:tr>
      <w:tr w:rsidR="00B42647" w:rsidRPr="00AC3F1B" w14:paraId="68F21DB4" w14:textId="77777777" w:rsidTr="00C7722F">
        <w:tc>
          <w:tcPr>
            <w:tcW w:w="2967" w:type="dxa"/>
            <w:tcMar>
              <w:top w:w="0" w:type="dxa"/>
              <w:left w:w="108" w:type="dxa"/>
              <w:bottom w:w="0" w:type="dxa"/>
              <w:right w:w="108" w:type="dxa"/>
            </w:tcMar>
          </w:tcPr>
          <w:p w14:paraId="54F5AAE7" w14:textId="77777777" w:rsidR="00B42647" w:rsidRPr="00AC3F1B" w:rsidRDefault="00B42647" w:rsidP="00B42647">
            <w:pPr>
              <w:pStyle w:val="TableText"/>
              <w:keepNext/>
              <w:jc w:val="both"/>
            </w:pPr>
            <w:r w:rsidRPr="00AC3F1B">
              <w:t>Change in use and costs of PBS medications</w:t>
            </w:r>
          </w:p>
        </w:tc>
        <w:tc>
          <w:tcPr>
            <w:tcW w:w="1275" w:type="dxa"/>
            <w:tcMar>
              <w:top w:w="0" w:type="dxa"/>
              <w:left w:w="108" w:type="dxa"/>
              <w:bottom w:w="0" w:type="dxa"/>
              <w:right w:w="108" w:type="dxa"/>
            </w:tcMar>
            <w:vAlign w:val="center"/>
          </w:tcPr>
          <w:p w14:paraId="6FAA4EBC" w14:textId="77777777" w:rsidR="00B42647" w:rsidRPr="00AC3F1B" w:rsidRDefault="00B42647" w:rsidP="00B42647">
            <w:pPr>
              <w:pStyle w:val="TableText"/>
              <w:keepNext/>
              <w:jc w:val="center"/>
            </w:pPr>
            <w:r w:rsidRPr="00AC3F1B">
              <w:t>-$</w:t>
            </w:r>
            <w:r>
              <w:t>4,428,089</w:t>
            </w:r>
          </w:p>
        </w:tc>
        <w:tc>
          <w:tcPr>
            <w:tcW w:w="1276" w:type="dxa"/>
            <w:tcMar>
              <w:top w:w="0" w:type="dxa"/>
              <w:left w:w="108" w:type="dxa"/>
              <w:bottom w:w="0" w:type="dxa"/>
              <w:right w:w="108" w:type="dxa"/>
            </w:tcMar>
            <w:vAlign w:val="center"/>
          </w:tcPr>
          <w:p w14:paraId="739B74EF" w14:textId="77777777" w:rsidR="00B42647" w:rsidRPr="00AC3F1B" w:rsidRDefault="00B42647" w:rsidP="00B42647">
            <w:pPr>
              <w:pStyle w:val="TableText"/>
              <w:keepNext/>
              <w:jc w:val="center"/>
            </w:pPr>
            <w:r w:rsidRPr="00AC3F1B">
              <w:t>-$</w:t>
            </w:r>
            <w:r>
              <w:t>4,501,304</w:t>
            </w:r>
          </w:p>
        </w:tc>
        <w:tc>
          <w:tcPr>
            <w:tcW w:w="1276" w:type="dxa"/>
            <w:tcMar>
              <w:top w:w="0" w:type="dxa"/>
              <w:left w:w="108" w:type="dxa"/>
              <w:bottom w:w="0" w:type="dxa"/>
              <w:right w:w="108" w:type="dxa"/>
            </w:tcMar>
            <w:vAlign w:val="center"/>
          </w:tcPr>
          <w:p w14:paraId="2DE1F1BB" w14:textId="77777777" w:rsidR="00B42647" w:rsidRPr="00AC3F1B" w:rsidRDefault="00B42647" w:rsidP="00B42647">
            <w:pPr>
              <w:pStyle w:val="TableText"/>
              <w:keepNext/>
              <w:jc w:val="center"/>
            </w:pPr>
            <w:r w:rsidRPr="00AC3F1B">
              <w:t>-$</w:t>
            </w:r>
            <w:r>
              <w:t>4,574,169</w:t>
            </w:r>
          </w:p>
        </w:tc>
        <w:tc>
          <w:tcPr>
            <w:tcW w:w="1275" w:type="dxa"/>
            <w:tcMar>
              <w:top w:w="0" w:type="dxa"/>
              <w:left w:w="108" w:type="dxa"/>
              <w:bottom w:w="0" w:type="dxa"/>
              <w:right w:w="108" w:type="dxa"/>
            </w:tcMar>
            <w:vAlign w:val="center"/>
          </w:tcPr>
          <w:p w14:paraId="500364FB" w14:textId="77777777" w:rsidR="00B42647" w:rsidRPr="00AC3F1B" w:rsidRDefault="00B42647" w:rsidP="00B42647">
            <w:pPr>
              <w:pStyle w:val="TableText"/>
              <w:keepNext/>
              <w:jc w:val="center"/>
            </w:pPr>
            <w:r w:rsidRPr="00AC3F1B">
              <w:t>-$</w:t>
            </w:r>
            <w:r>
              <w:t>4,646,079</w:t>
            </w:r>
          </w:p>
        </w:tc>
        <w:tc>
          <w:tcPr>
            <w:tcW w:w="1277" w:type="dxa"/>
            <w:tcMar>
              <w:top w:w="0" w:type="dxa"/>
              <w:left w:w="108" w:type="dxa"/>
              <w:bottom w:w="0" w:type="dxa"/>
              <w:right w:w="108" w:type="dxa"/>
            </w:tcMar>
            <w:vAlign w:val="center"/>
          </w:tcPr>
          <w:p w14:paraId="2D45C70E" w14:textId="77777777" w:rsidR="00B42647" w:rsidRPr="00AC3F1B" w:rsidRDefault="00B42647" w:rsidP="00B42647">
            <w:pPr>
              <w:pStyle w:val="TableText"/>
              <w:keepNext/>
              <w:jc w:val="center"/>
            </w:pPr>
            <w:r w:rsidRPr="00AC3F1B">
              <w:t>-$</w:t>
            </w:r>
            <w:r>
              <w:t>4,717,103</w:t>
            </w:r>
          </w:p>
        </w:tc>
      </w:tr>
      <w:tr w:rsidR="00B42647" w:rsidRPr="00AC3F1B" w14:paraId="0E16EFEB" w14:textId="77777777" w:rsidTr="00C7722F">
        <w:tc>
          <w:tcPr>
            <w:tcW w:w="2967" w:type="dxa"/>
            <w:tcMar>
              <w:top w:w="0" w:type="dxa"/>
              <w:left w:w="108" w:type="dxa"/>
              <w:bottom w:w="0" w:type="dxa"/>
              <w:right w:w="108" w:type="dxa"/>
            </w:tcMar>
          </w:tcPr>
          <w:p w14:paraId="2B6A7662" w14:textId="77777777" w:rsidR="00B42647" w:rsidRPr="00AC3F1B" w:rsidRDefault="00B42647" w:rsidP="00B42647">
            <w:pPr>
              <w:pStyle w:val="TableText"/>
              <w:keepNext/>
              <w:jc w:val="both"/>
            </w:pPr>
            <w:r w:rsidRPr="00AC3F1B">
              <w:t>Change in use and costs of MBS services</w:t>
            </w:r>
          </w:p>
        </w:tc>
        <w:tc>
          <w:tcPr>
            <w:tcW w:w="1275" w:type="dxa"/>
            <w:tcMar>
              <w:top w:w="0" w:type="dxa"/>
              <w:left w:w="108" w:type="dxa"/>
              <w:bottom w:w="0" w:type="dxa"/>
              <w:right w:w="108" w:type="dxa"/>
            </w:tcMar>
            <w:vAlign w:val="center"/>
          </w:tcPr>
          <w:p w14:paraId="2E4C47F9" w14:textId="77777777" w:rsidR="00B42647" w:rsidRPr="00AC3F1B" w:rsidRDefault="00B42647" w:rsidP="00B42647">
            <w:pPr>
              <w:pStyle w:val="TableText"/>
              <w:keepNext/>
              <w:jc w:val="center"/>
            </w:pPr>
            <w:r w:rsidRPr="00AC3F1B">
              <w:rPr>
                <w:rFonts w:cs="Calibri"/>
                <w:color w:val="000000"/>
              </w:rPr>
              <w:t>-$</w:t>
            </w:r>
            <w:r>
              <w:rPr>
                <w:rFonts w:cs="Calibri"/>
                <w:color w:val="000000"/>
              </w:rPr>
              <w:t>10,730,475</w:t>
            </w:r>
          </w:p>
        </w:tc>
        <w:tc>
          <w:tcPr>
            <w:tcW w:w="1276" w:type="dxa"/>
            <w:tcMar>
              <w:top w:w="0" w:type="dxa"/>
              <w:left w:w="108" w:type="dxa"/>
              <w:bottom w:w="0" w:type="dxa"/>
              <w:right w:w="108" w:type="dxa"/>
            </w:tcMar>
            <w:vAlign w:val="center"/>
          </w:tcPr>
          <w:p w14:paraId="3F71E20A" w14:textId="77777777" w:rsidR="00B42647" w:rsidRPr="00AC3F1B" w:rsidRDefault="00B42647" w:rsidP="00B42647">
            <w:pPr>
              <w:pStyle w:val="TableText"/>
              <w:keepNext/>
              <w:jc w:val="center"/>
            </w:pPr>
            <w:r w:rsidRPr="00AC3F1B">
              <w:rPr>
                <w:rFonts w:cs="Calibri"/>
                <w:color w:val="000000"/>
              </w:rPr>
              <w:t>-$</w:t>
            </w:r>
            <w:r>
              <w:rPr>
                <w:rFonts w:cs="Calibri"/>
                <w:color w:val="000000"/>
              </w:rPr>
              <w:t>10,907,894</w:t>
            </w:r>
          </w:p>
        </w:tc>
        <w:tc>
          <w:tcPr>
            <w:tcW w:w="1276" w:type="dxa"/>
            <w:tcMar>
              <w:top w:w="0" w:type="dxa"/>
              <w:left w:w="108" w:type="dxa"/>
              <w:bottom w:w="0" w:type="dxa"/>
              <w:right w:w="108" w:type="dxa"/>
            </w:tcMar>
            <w:vAlign w:val="center"/>
          </w:tcPr>
          <w:p w14:paraId="0EF97785" w14:textId="77777777" w:rsidR="00B42647" w:rsidRPr="00AC3F1B" w:rsidRDefault="00B42647" w:rsidP="00B42647">
            <w:pPr>
              <w:pStyle w:val="TableText"/>
              <w:keepNext/>
              <w:jc w:val="center"/>
            </w:pPr>
            <w:r w:rsidRPr="00AC3F1B">
              <w:rPr>
                <w:rFonts w:cs="Calibri"/>
                <w:color w:val="000000"/>
              </w:rPr>
              <w:t>-$</w:t>
            </w:r>
            <w:r>
              <w:rPr>
                <w:rFonts w:cs="Calibri"/>
                <w:color w:val="000000"/>
              </w:rPr>
              <w:t>11,084,465</w:t>
            </w:r>
          </w:p>
        </w:tc>
        <w:tc>
          <w:tcPr>
            <w:tcW w:w="1275" w:type="dxa"/>
            <w:tcMar>
              <w:top w:w="0" w:type="dxa"/>
              <w:left w:w="108" w:type="dxa"/>
              <w:bottom w:w="0" w:type="dxa"/>
              <w:right w:w="108" w:type="dxa"/>
            </w:tcMar>
            <w:vAlign w:val="center"/>
          </w:tcPr>
          <w:p w14:paraId="136AF3A6" w14:textId="77777777" w:rsidR="00B42647" w:rsidRPr="00AC3F1B" w:rsidRDefault="00B42647" w:rsidP="00B42647">
            <w:pPr>
              <w:pStyle w:val="TableText"/>
              <w:keepNext/>
              <w:jc w:val="center"/>
            </w:pPr>
            <w:r w:rsidRPr="00AC3F1B">
              <w:rPr>
                <w:rFonts w:cs="Calibri"/>
                <w:color w:val="000000"/>
              </w:rPr>
              <w:t>-$</w:t>
            </w:r>
            <w:r>
              <w:rPr>
                <w:rFonts w:cs="Calibri"/>
                <w:color w:val="000000"/>
              </w:rPr>
              <w:t>11,258,723</w:t>
            </w:r>
          </w:p>
        </w:tc>
        <w:tc>
          <w:tcPr>
            <w:tcW w:w="1277" w:type="dxa"/>
            <w:tcMar>
              <w:top w:w="0" w:type="dxa"/>
              <w:left w:w="108" w:type="dxa"/>
              <w:bottom w:w="0" w:type="dxa"/>
              <w:right w:w="108" w:type="dxa"/>
            </w:tcMar>
            <w:vAlign w:val="center"/>
          </w:tcPr>
          <w:p w14:paraId="0911E1FA" w14:textId="77777777" w:rsidR="00B42647" w:rsidRPr="00AC3F1B" w:rsidRDefault="00B42647" w:rsidP="00B42647">
            <w:pPr>
              <w:pStyle w:val="TableText"/>
              <w:keepNext/>
              <w:jc w:val="center"/>
            </w:pPr>
            <w:r w:rsidRPr="00AC3F1B">
              <w:rPr>
                <w:rFonts w:cs="Calibri"/>
                <w:color w:val="000000"/>
              </w:rPr>
              <w:t>-$</w:t>
            </w:r>
            <w:r>
              <w:rPr>
                <w:rFonts w:cs="Calibri"/>
                <w:color w:val="000000"/>
              </w:rPr>
              <w:t>11,430,834</w:t>
            </w:r>
          </w:p>
        </w:tc>
      </w:tr>
      <w:tr w:rsidR="00B42647" w:rsidRPr="00AC3F1B" w14:paraId="1D3C5FCD" w14:textId="77777777" w:rsidTr="00C7722F">
        <w:tc>
          <w:tcPr>
            <w:tcW w:w="2967" w:type="dxa"/>
            <w:tcMar>
              <w:top w:w="0" w:type="dxa"/>
              <w:left w:w="108" w:type="dxa"/>
              <w:bottom w:w="0" w:type="dxa"/>
              <w:right w:w="108" w:type="dxa"/>
            </w:tcMar>
            <w:hideMark/>
          </w:tcPr>
          <w:p w14:paraId="20FEB169" w14:textId="77777777" w:rsidR="00B42647" w:rsidRPr="00AC3F1B" w:rsidRDefault="00B42647" w:rsidP="00B42647">
            <w:pPr>
              <w:pStyle w:val="TableText"/>
              <w:keepNext/>
              <w:jc w:val="both"/>
              <w:rPr>
                <w:b/>
                <w:bCs/>
              </w:rPr>
            </w:pPr>
            <w:r w:rsidRPr="00AC3F1B">
              <w:rPr>
                <w:b/>
                <w:bCs/>
              </w:rPr>
              <w:t>Net financial impact to government budgets</w:t>
            </w:r>
          </w:p>
        </w:tc>
        <w:tc>
          <w:tcPr>
            <w:tcW w:w="1275" w:type="dxa"/>
            <w:tcMar>
              <w:top w:w="0" w:type="dxa"/>
              <w:left w:w="108" w:type="dxa"/>
              <w:bottom w:w="0" w:type="dxa"/>
              <w:right w:w="108" w:type="dxa"/>
            </w:tcMar>
            <w:vAlign w:val="center"/>
          </w:tcPr>
          <w:p w14:paraId="65E8D4F8" w14:textId="77777777" w:rsidR="00B42647" w:rsidRPr="00AC3F1B" w:rsidRDefault="00B42647" w:rsidP="00B42647">
            <w:pPr>
              <w:pStyle w:val="TableText"/>
              <w:keepNext/>
              <w:jc w:val="center"/>
              <w:rPr>
                <w:b/>
                <w:bCs/>
              </w:rPr>
            </w:pPr>
            <w:r w:rsidRPr="00AC3F1B">
              <w:rPr>
                <w:rFonts w:cs="Calibri"/>
                <w:b/>
                <w:color w:val="000000"/>
              </w:rPr>
              <w:t>-$</w:t>
            </w:r>
            <w:r>
              <w:rPr>
                <w:rFonts w:cs="Calibri"/>
                <w:b/>
                <w:color w:val="000000"/>
              </w:rPr>
              <w:t>7,759,530</w:t>
            </w:r>
          </w:p>
        </w:tc>
        <w:tc>
          <w:tcPr>
            <w:tcW w:w="1276" w:type="dxa"/>
            <w:tcMar>
              <w:top w:w="0" w:type="dxa"/>
              <w:left w:w="108" w:type="dxa"/>
              <w:bottom w:w="0" w:type="dxa"/>
              <w:right w:w="108" w:type="dxa"/>
            </w:tcMar>
            <w:vAlign w:val="center"/>
          </w:tcPr>
          <w:p w14:paraId="303F2767" w14:textId="77777777" w:rsidR="00B42647" w:rsidRPr="00AC3F1B" w:rsidRDefault="00B42647" w:rsidP="00B42647">
            <w:pPr>
              <w:pStyle w:val="TableText"/>
              <w:keepNext/>
              <w:jc w:val="center"/>
              <w:rPr>
                <w:b/>
                <w:bCs/>
              </w:rPr>
            </w:pPr>
            <w:r w:rsidRPr="00AC3F1B">
              <w:rPr>
                <w:rFonts w:cs="Calibri"/>
                <w:b/>
                <w:color w:val="000000"/>
              </w:rPr>
              <w:t>-$</w:t>
            </w:r>
            <w:r>
              <w:rPr>
                <w:rFonts w:cs="Calibri"/>
                <w:b/>
                <w:color w:val="000000"/>
              </w:rPr>
              <w:t>7,887,827</w:t>
            </w:r>
          </w:p>
        </w:tc>
        <w:tc>
          <w:tcPr>
            <w:tcW w:w="1276" w:type="dxa"/>
            <w:tcMar>
              <w:top w:w="0" w:type="dxa"/>
              <w:left w:w="108" w:type="dxa"/>
              <w:bottom w:w="0" w:type="dxa"/>
              <w:right w:w="108" w:type="dxa"/>
            </w:tcMar>
            <w:vAlign w:val="center"/>
          </w:tcPr>
          <w:p w14:paraId="01D7772F" w14:textId="77777777" w:rsidR="00B42647" w:rsidRPr="00AC3F1B" w:rsidRDefault="00B42647" w:rsidP="00B42647">
            <w:pPr>
              <w:pStyle w:val="TableText"/>
              <w:keepNext/>
              <w:jc w:val="center"/>
              <w:rPr>
                <w:b/>
                <w:bCs/>
              </w:rPr>
            </w:pPr>
            <w:r w:rsidRPr="00AC3F1B">
              <w:rPr>
                <w:rFonts w:cs="Calibri"/>
                <w:b/>
                <w:color w:val="000000"/>
              </w:rPr>
              <w:t>-$</w:t>
            </w:r>
            <w:r>
              <w:rPr>
                <w:rFonts w:cs="Calibri"/>
                <w:b/>
                <w:color w:val="000000"/>
              </w:rPr>
              <w:t>8,015,511</w:t>
            </w:r>
          </w:p>
        </w:tc>
        <w:tc>
          <w:tcPr>
            <w:tcW w:w="1275" w:type="dxa"/>
            <w:tcMar>
              <w:top w:w="0" w:type="dxa"/>
              <w:left w:w="108" w:type="dxa"/>
              <w:bottom w:w="0" w:type="dxa"/>
              <w:right w:w="108" w:type="dxa"/>
            </w:tcMar>
            <w:vAlign w:val="center"/>
          </w:tcPr>
          <w:p w14:paraId="4203F49B" w14:textId="77777777" w:rsidR="00B42647" w:rsidRPr="00AC3F1B" w:rsidRDefault="00B42647" w:rsidP="00B42647">
            <w:pPr>
              <w:pStyle w:val="TableText"/>
              <w:keepNext/>
              <w:jc w:val="center"/>
              <w:rPr>
                <w:b/>
                <w:bCs/>
              </w:rPr>
            </w:pPr>
            <w:r w:rsidRPr="00AC3F1B">
              <w:rPr>
                <w:rFonts w:cs="Calibri"/>
                <w:b/>
                <w:color w:val="000000"/>
              </w:rPr>
              <w:t>-$</w:t>
            </w:r>
            <w:r>
              <w:rPr>
                <w:rFonts w:cs="Calibri"/>
                <w:b/>
                <w:color w:val="000000"/>
              </w:rPr>
              <w:t>8,141,522</w:t>
            </w:r>
          </w:p>
        </w:tc>
        <w:tc>
          <w:tcPr>
            <w:tcW w:w="1277" w:type="dxa"/>
            <w:tcMar>
              <w:top w:w="0" w:type="dxa"/>
              <w:left w:w="108" w:type="dxa"/>
              <w:bottom w:w="0" w:type="dxa"/>
              <w:right w:w="108" w:type="dxa"/>
            </w:tcMar>
            <w:vAlign w:val="center"/>
          </w:tcPr>
          <w:p w14:paraId="2CCBB06F" w14:textId="77777777" w:rsidR="00B42647" w:rsidRPr="00AC3F1B" w:rsidRDefault="00B42647" w:rsidP="00B42647">
            <w:pPr>
              <w:pStyle w:val="TableText"/>
              <w:keepNext/>
              <w:jc w:val="center"/>
              <w:rPr>
                <w:b/>
                <w:bCs/>
              </w:rPr>
            </w:pPr>
            <w:r w:rsidRPr="00AC3F1B">
              <w:rPr>
                <w:rFonts w:cs="Calibri"/>
                <w:b/>
                <w:color w:val="000000"/>
              </w:rPr>
              <w:t>-$</w:t>
            </w:r>
            <w:r>
              <w:rPr>
                <w:rFonts w:cs="Calibri"/>
                <w:b/>
                <w:color w:val="000000"/>
              </w:rPr>
              <w:t>8,265,981</w:t>
            </w:r>
          </w:p>
        </w:tc>
      </w:tr>
      <w:tr w:rsidR="00B42647" w:rsidRPr="002D7531" w14:paraId="58143BE4" w14:textId="77777777" w:rsidTr="00C7722F">
        <w:tc>
          <w:tcPr>
            <w:tcW w:w="9346" w:type="dxa"/>
            <w:gridSpan w:val="6"/>
            <w:shd w:val="clear" w:color="auto" w:fill="D9D9D9" w:themeFill="background1" w:themeFillShade="D9"/>
            <w:tcMar>
              <w:top w:w="0" w:type="dxa"/>
              <w:left w:w="108" w:type="dxa"/>
              <w:bottom w:w="0" w:type="dxa"/>
              <w:right w:w="108" w:type="dxa"/>
            </w:tcMar>
            <w:vAlign w:val="center"/>
          </w:tcPr>
          <w:p w14:paraId="30340E45" w14:textId="77777777" w:rsidR="00B42647" w:rsidRPr="00800F8E" w:rsidRDefault="00B42647" w:rsidP="00B42647">
            <w:pPr>
              <w:pStyle w:val="TableText"/>
              <w:keepNext/>
              <w:rPr>
                <w:rFonts w:cs="Calibri"/>
                <w:b/>
                <w:i/>
                <w:color w:val="000000"/>
              </w:rPr>
            </w:pPr>
            <w:r w:rsidRPr="00800F8E">
              <w:rPr>
                <w:b/>
                <w:bCs/>
                <w:i/>
              </w:rPr>
              <w:t>Revised financial impact</w:t>
            </w:r>
          </w:p>
        </w:tc>
      </w:tr>
      <w:tr w:rsidR="00B42647" w:rsidRPr="002D7531" w14:paraId="577E2A9C" w14:textId="77777777" w:rsidTr="00C7722F">
        <w:tc>
          <w:tcPr>
            <w:tcW w:w="2967" w:type="dxa"/>
            <w:tcMar>
              <w:top w:w="0" w:type="dxa"/>
              <w:left w:w="108" w:type="dxa"/>
              <w:bottom w:w="0" w:type="dxa"/>
              <w:right w:w="108" w:type="dxa"/>
            </w:tcMar>
          </w:tcPr>
          <w:p w14:paraId="1B4A76F7" w14:textId="3FC56021" w:rsidR="00B42647" w:rsidRPr="00800F8E" w:rsidRDefault="002D7531" w:rsidP="00B42647">
            <w:pPr>
              <w:pStyle w:val="TableText"/>
              <w:keepNext/>
              <w:jc w:val="both"/>
              <w:rPr>
                <w:b/>
                <w:bCs/>
                <w:i/>
              </w:rPr>
            </w:pPr>
            <w:r w:rsidRPr="00800F8E">
              <w:rPr>
                <w:i/>
              </w:rPr>
              <w:t>Revised c</w:t>
            </w:r>
            <w:r w:rsidR="00B42647" w:rsidRPr="00800F8E">
              <w:rPr>
                <w:i/>
              </w:rPr>
              <w:t>hange in use and costs of PBS medications</w:t>
            </w:r>
          </w:p>
        </w:tc>
        <w:tc>
          <w:tcPr>
            <w:tcW w:w="1275" w:type="dxa"/>
            <w:tcMar>
              <w:top w:w="0" w:type="dxa"/>
              <w:left w:w="108" w:type="dxa"/>
              <w:bottom w:w="0" w:type="dxa"/>
              <w:right w:w="108" w:type="dxa"/>
            </w:tcMar>
            <w:vAlign w:val="center"/>
          </w:tcPr>
          <w:p w14:paraId="12C2B31B" w14:textId="77777777" w:rsidR="00B42647" w:rsidRPr="00800F8E" w:rsidRDefault="00B42647" w:rsidP="00B42647">
            <w:pPr>
              <w:pStyle w:val="TableText"/>
              <w:keepNext/>
              <w:jc w:val="center"/>
              <w:rPr>
                <w:rFonts w:cs="Calibri"/>
                <w:b/>
                <w:i/>
              </w:rPr>
            </w:pPr>
            <w:r w:rsidRPr="00800F8E">
              <w:rPr>
                <w:i/>
              </w:rPr>
              <w:t>-$316,417</w:t>
            </w:r>
          </w:p>
        </w:tc>
        <w:tc>
          <w:tcPr>
            <w:tcW w:w="1276" w:type="dxa"/>
            <w:tcMar>
              <w:top w:w="0" w:type="dxa"/>
              <w:left w:w="108" w:type="dxa"/>
              <w:bottom w:w="0" w:type="dxa"/>
              <w:right w:w="108" w:type="dxa"/>
            </w:tcMar>
            <w:vAlign w:val="center"/>
          </w:tcPr>
          <w:p w14:paraId="525DD053" w14:textId="77777777" w:rsidR="00B42647" w:rsidRPr="00800F8E" w:rsidRDefault="00B42647" w:rsidP="00B42647">
            <w:pPr>
              <w:pStyle w:val="TableText"/>
              <w:keepNext/>
              <w:jc w:val="center"/>
              <w:rPr>
                <w:rFonts w:cs="Calibri"/>
                <w:b/>
                <w:i/>
              </w:rPr>
            </w:pPr>
            <w:r w:rsidRPr="00800F8E">
              <w:rPr>
                <w:i/>
              </w:rPr>
              <w:t>-$321,648</w:t>
            </w:r>
          </w:p>
        </w:tc>
        <w:tc>
          <w:tcPr>
            <w:tcW w:w="1276" w:type="dxa"/>
            <w:tcMar>
              <w:top w:w="0" w:type="dxa"/>
              <w:left w:w="108" w:type="dxa"/>
              <w:bottom w:w="0" w:type="dxa"/>
              <w:right w:w="108" w:type="dxa"/>
            </w:tcMar>
            <w:vAlign w:val="center"/>
          </w:tcPr>
          <w:p w14:paraId="740DDEDC" w14:textId="77777777" w:rsidR="00B42647" w:rsidRPr="00800F8E" w:rsidRDefault="00B42647" w:rsidP="00B42647">
            <w:pPr>
              <w:pStyle w:val="TableText"/>
              <w:keepNext/>
              <w:jc w:val="center"/>
              <w:rPr>
                <w:rFonts w:cs="Calibri"/>
                <w:b/>
                <w:i/>
              </w:rPr>
            </w:pPr>
            <w:r w:rsidRPr="00800F8E">
              <w:rPr>
                <w:i/>
              </w:rPr>
              <w:t>-$326,855</w:t>
            </w:r>
          </w:p>
        </w:tc>
        <w:tc>
          <w:tcPr>
            <w:tcW w:w="1275" w:type="dxa"/>
            <w:tcMar>
              <w:top w:w="0" w:type="dxa"/>
              <w:left w:w="108" w:type="dxa"/>
              <w:bottom w:w="0" w:type="dxa"/>
              <w:right w:w="108" w:type="dxa"/>
            </w:tcMar>
            <w:vAlign w:val="center"/>
          </w:tcPr>
          <w:p w14:paraId="532B8E8A" w14:textId="77777777" w:rsidR="00B42647" w:rsidRPr="00800F8E" w:rsidRDefault="00B42647" w:rsidP="00B42647">
            <w:pPr>
              <w:pStyle w:val="TableText"/>
              <w:keepNext/>
              <w:jc w:val="center"/>
              <w:rPr>
                <w:rFonts w:cs="Calibri"/>
                <w:b/>
                <w:i/>
              </w:rPr>
            </w:pPr>
            <w:r w:rsidRPr="00800F8E">
              <w:rPr>
                <w:i/>
              </w:rPr>
              <w:t>-$331,994</w:t>
            </w:r>
          </w:p>
        </w:tc>
        <w:tc>
          <w:tcPr>
            <w:tcW w:w="1277" w:type="dxa"/>
            <w:tcMar>
              <w:top w:w="0" w:type="dxa"/>
              <w:left w:w="108" w:type="dxa"/>
              <w:bottom w:w="0" w:type="dxa"/>
              <w:right w:w="108" w:type="dxa"/>
            </w:tcMar>
            <w:vAlign w:val="center"/>
          </w:tcPr>
          <w:p w14:paraId="49081E45" w14:textId="77777777" w:rsidR="00B42647" w:rsidRPr="00800F8E" w:rsidRDefault="00B42647" w:rsidP="00B42647">
            <w:pPr>
              <w:pStyle w:val="TableText"/>
              <w:keepNext/>
              <w:jc w:val="center"/>
              <w:rPr>
                <w:rFonts w:cs="Calibri"/>
                <w:b/>
                <w:i/>
              </w:rPr>
            </w:pPr>
            <w:r w:rsidRPr="00800F8E">
              <w:rPr>
                <w:i/>
              </w:rPr>
              <w:t>-$337,069</w:t>
            </w:r>
          </w:p>
        </w:tc>
      </w:tr>
      <w:tr w:rsidR="00B42647" w:rsidRPr="002D7531" w14:paraId="29744D37" w14:textId="77777777" w:rsidTr="00C7722F">
        <w:tc>
          <w:tcPr>
            <w:tcW w:w="2967" w:type="dxa"/>
            <w:tcMar>
              <w:top w:w="0" w:type="dxa"/>
              <w:left w:w="108" w:type="dxa"/>
              <w:bottom w:w="0" w:type="dxa"/>
              <w:right w:w="108" w:type="dxa"/>
            </w:tcMar>
          </w:tcPr>
          <w:p w14:paraId="1E3591F1" w14:textId="2C0BDF54" w:rsidR="00B42647" w:rsidRPr="00800F8E" w:rsidRDefault="002D7531" w:rsidP="00B42647">
            <w:pPr>
              <w:pStyle w:val="TableText"/>
              <w:keepNext/>
              <w:jc w:val="both"/>
              <w:rPr>
                <w:i/>
              </w:rPr>
            </w:pPr>
            <w:r w:rsidRPr="00800F8E">
              <w:rPr>
                <w:i/>
              </w:rPr>
              <w:t>Revised c</w:t>
            </w:r>
            <w:r w:rsidR="00B42647" w:rsidRPr="00800F8E">
              <w:rPr>
                <w:i/>
              </w:rPr>
              <w:t>hange in use and costs of MBS services</w:t>
            </w:r>
          </w:p>
        </w:tc>
        <w:tc>
          <w:tcPr>
            <w:tcW w:w="1275" w:type="dxa"/>
            <w:tcMar>
              <w:top w:w="0" w:type="dxa"/>
              <w:left w:w="108" w:type="dxa"/>
              <w:bottom w:w="0" w:type="dxa"/>
              <w:right w:w="108" w:type="dxa"/>
            </w:tcMar>
            <w:vAlign w:val="center"/>
          </w:tcPr>
          <w:p w14:paraId="082C9A47" w14:textId="77777777" w:rsidR="00B42647" w:rsidRPr="00800F8E" w:rsidRDefault="00B42647" w:rsidP="00B42647">
            <w:pPr>
              <w:pStyle w:val="TableText"/>
              <w:keepNext/>
              <w:jc w:val="center"/>
              <w:rPr>
                <w:i/>
              </w:rPr>
            </w:pPr>
            <w:r w:rsidRPr="00800F8E">
              <w:rPr>
                <w:rFonts w:cs="Calibri"/>
                <w:i/>
                <w:color w:val="000000"/>
              </w:rPr>
              <w:t>-$4,064,449</w:t>
            </w:r>
          </w:p>
        </w:tc>
        <w:tc>
          <w:tcPr>
            <w:tcW w:w="1276" w:type="dxa"/>
            <w:tcMar>
              <w:top w:w="0" w:type="dxa"/>
              <w:left w:w="108" w:type="dxa"/>
              <w:bottom w:w="0" w:type="dxa"/>
              <w:right w:w="108" w:type="dxa"/>
            </w:tcMar>
            <w:vAlign w:val="center"/>
          </w:tcPr>
          <w:p w14:paraId="32275376" w14:textId="77777777" w:rsidR="00B42647" w:rsidRPr="00800F8E" w:rsidRDefault="00B42647" w:rsidP="00B42647">
            <w:pPr>
              <w:pStyle w:val="TableText"/>
              <w:keepNext/>
              <w:jc w:val="center"/>
              <w:rPr>
                <w:i/>
              </w:rPr>
            </w:pPr>
            <w:r w:rsidRPr="00800F8E">
              <w:rPr>
                <w:rFonts w:cs="Calibri"/>
                <w:i/>
                <w:color w:val="000000"/>
              </w:rPr>
              <w:t>-$4,131,651</w:t>
            </w:r>
          </w:p>
        </w:tc>
        <w:tc>
          <w:tcPr>
            <w:tcW w:w="1276" w:type="dxa"/>
            <w:tcMar>
              <w:top w:w="0" w:type="dxa"/>
              <w:left w:w="108" w:type="dxa"/>
              <w:bottom w:w="0" w:type="dxa"/>
              <w:right w:w="108" w:type="dxa"/>
            </w:tcMar>
            <w:vAlign w:val="center"/>
          </w:tcPr>
          <w:p w14:paraId="29B99C27" w14:textId="77777777" w:rsidR="00B42647" w:rsidRPr="00800F8E" w:rsidRDefault="00B42647" w:rsidP="00B42647">
            <w:pPr>
              <w:pStyle w:val="TableText"/>
              <w:keepNext/>
              <w:jc w:val="center"/>
              <w:rPr>
                <w:i/>
              </w:rPr>
            </w:pPr>
            <w:r w:rsidRPr="00800F8E">
              <w:rPr>
                <w:rFonts w:cs="Calibri"/>
                <w:i/>
                <w:color w:val="000000"/>
              </w:rPr>
              <w:t>-$4,198,532</w:t>
            </w:r>
          </w:p>
        </w:tc>
        <w:tc>
          <w:tcPr>
            <w:tcW w:w="1275" w:type="dxa"/>
            <w:tcMar>
              <w:top w:w="0" w:type="dxa"/>
              <w:left w:w="108" w:type="dxa"/>
              <w:bottom w:w="0" w:type="dxa"/>
              <w:right w:w="108" w:type="dxa"/>
            </w:tcMar>
            <w:vAlign w:val="center"/>
          </w:tcPr>
          <w:p w14:paraId="50A8462E" w14:textId="77777777" w:rsidR="00B42647" w:rsidRPr="00800F8E" w:rsidRDefault="00B42647" w:rsidP="00B42647">
            <w:pPr>
              <w:pStyle w:val="TableText"/>
              <w:keepNext/>
              <w:jc w:val="center"/>
              <w:rPr>
                <w:i/>
              </w:rPr>
            </w:pPr>
            <w:r w:rsidRPr="00800F8E">
              <w:rPr>
                <w:rFonts w:cs="Calibri"/>
                <w:i/>
                <w:color w:val="000000"/>
              </w:rPr>
              <w:t>-$4,264,536</w:t>
            </w:r>
          </w:p>
        </w:tc>
        <w:tc>
          <w:tcPr>
            <w:tcW w:w="1277" w:type="dxa"/>
            <w:tcMar>
              <w:top w:w="0" w:type="dxa"/>
              <w:left w:w="108" w:type="dxa"/>
              <w:bottom w:w="0" w:type="dxa"/>
              <w:right w:w="108" w:type="dxa"/>
            </w:tcMar>
            <w:vAlign w:val="center"/>
          </w:tcPr>
          <w:p w14:paraId="62992D86" w14:textId="77777777" w:rsidR="00B42647" w:rsidRPr="00800F8E" w:rsidRDefault="00B42647" w:rsidP="00B42647">
            <w:pPr>
              <w:pStyle w:val="TableText"/>
              <w:keepNext/>
              <w:jc w:val="center"/>
              <w:rPr>
                <w:i/>
              </w:rPr>
            </w:pPr>
            <w:r w:rsidRPr="00800F8E">
              <w:rPr>
                <w:rFonts w:cs="Calibri"/>
                <w:i/>
                <w:color w:val="000000"/>
              </w:rPr>
              <w:t>-$4,329,728</w:t>
            </w:r>
          </w:p>
        </w:tc>
      </w:tr>
      <w:tr w:rsidR="00B42647" w:rsidRPr="002D7531" w14:paraId="04A0941F" w14:textId="77777777" w:rsidTr="00C7722F">
        <w:tc>
          <w:tcPr>
            <w:tcW w:w="2967" w:type="dxa"/>
            <w:tcMar>
              <w:top w:w="0" w:type="dxa"/>
              <w:left w:w="108" w:type="dxa"/>
              <w:bottom w:w="0" w:type="dxa"/>
              <w:right w:w="108" w:type="dxa"/>
            </w:tcMar>
          </w:tcPr>
          <w:p w14:paraId="6DC30128" w14:textId="3B4F06CA" w:rsidR="00B42647" w:rsidRPr="00800F8E" w:rsidRDefault="002D7531" w:rsidP="00B42647">
            <w:pPr>
              <w:pStyle w:val="TableText"/>
              <w:keepNext/>
              <w:jc w:val="both"/>
              <w:rPr>
                <w:i/>
              </w:rPr>
            </w:pPr>
            <w:r w:rsidRPr="00800F8E">
              <w:rPr>
                <w:b/>
                <w:bCs/>
                <w:i/>
              </w:rPr>
              <w:t>Revised n</w:t>
            </w:r>
            <w:r w:rsidR="00B42647" w:rsidRPr="00800F8E">
              <w:rPr>
                <w:b/>
                <w:bCs/>
                <w:i/>
              </w:rPr>
              <w:t>et financial impact to government budgets</w:t>
            </w:r>
          </w:p>
        </w:tc>
        <w:tc>
          <w:tcPr>
            <w:tcW w:w="1275" w:type="dxa"/>
            <w:tcMar>
              <w:top w:w="0" w:type="dxa"/>
              <w:left w:w="108" w:type="dxa"/>
              <w:bottom w:w="0" w:type="dxa"/>
              <w:right w:w="108" w:type="dxa"/>
            </w:tcMar>
            <w:vAlign w:val="center"/>
          </w:tcPr>
          <w:p w14:paraId="6D1054FD" w14:textId="77777777" w:rsidR="00B42647" w:rsidRPr="00800F8E" w:rsidRDefault="00B42647" w:rsidP="00B42647">
            <w:pPr>
              <w:pStyle w:val="TableText"/>
              <w:keepNext/>
              <w:jc w:val="center"/>
              <w:rPr>
                <w:rFonts w:cs="Calibri"/>
                <w:i/>
                <w:color w:val="000000"/>
              </w:rPr>
            </w:pPr>
            <w:r w:rsidRPr="00800F8E">
              <w:rPr>
                <w:rFonts w:cs="Calibri"/>
                <w:b/>
                <w:i/>
                <w:color w:val="000000"/>
              </w:rPr>
              <w:t>-$599,894</w:t>
            </w:r>
          </w:p>
        </w:tc>
        <w:tc>
          <w:tcPr>
            <w:tcW w:w="1276" w:type="dxa"/>
            <w:tcMar>
              <w:top w:w="0" w:type="dxa"/>
              <w:left w:w="108" w:type="dxa"/>
              <w:bottom w:w="0" w:type="dxa"/>
              <w:right w:w="108" w:type="dxa"/>
            </w:tcMar>
            <w:vAlign w:val="center"/>
          </w:tcPr>
          <w:p w14:paraId="269958AF" w14:textId="77777777" w:rsidR="00B42647" w:rsidRPr="00800F8E" w:rsidRDefault="00B42647" w:rsidP="00B42647">
            <w:pPr>
              <w:pStyle w:val="TableText"/>
              <w:keepNext/>
              <w:jc w:val="center"/>
              <w:rPr>
                <w:rFonts w:cs="Calibri"/>
                <w:i/>
                <w:color w:val="000000"/>
              </w:rPr>
            </w:pPr>
            <w:r w:rsidRPr="00800F8E">
              <w:rPr>
                <w:rFonts w:cs="Calibri"/>
                <w:b/>
                <w:i/>
                <w:color w:val="000000"/>
              </w:rPr>
              <w:t>-$609,813</w:t>
            </w:r>
          </w:p>
        </w:tc>
        <w:tc>
          <w:tcPr>
            <w:tcW w:w="1276" w:type="dxa"/>
            <w:tcMar>
              <w:top w:w="0" w:type="dxa"/>
              <w:left w:w="108" w:type="dxa"/>
              <w:bottom w:w="0" w:type="dxa"/>
              <w:right w:w="108" w:type="dxa"/>
            </w:tcMar>
            <w:vAlign w:val="center"/>
          </w:tcPr>
          <w:p w14:paraId="63EC0544" w14:textId="77777777" w:rsidR="00B42647" w:rsidRPr="00800F8E" w:rsidRDefault="00B42647" w:rsidP="00B42647">
            <w:pPr>
              <w:pStyle w:val="TableText"/>
              <w:keepNext/>
              <w:jc w:val="center"/>
              <w:rPr>
                <w:rFonts w:cs="Calibri"/>
                <w:i/>
                <w:color w:val="000000"/>
              </w:rPr>
            </w:pPr>
            <w:r w:rsidRPr="00800F8E">
              <w:rPr>
                <w:rFonts w:cs="Calibri"/>
                <w:b/>
                <w:i/>
                <w:color w:val="000000"/>
              </w:rPr>
              <w:t>-$619,684</w:t>
            </w:r>
          </w:p>
        </w:tc>
        <w:tc>
          <w:tcPr>
            <w:tcW w:w="1275" w:type="dxa"/>
            <w:tcMar>
              <w:top w:w="0" w:type="dxa"/>
              <w:left w:w="108" w:type="dxa"/>
              <w:bottom w:w="0" w:type="dxa"/>
              <w:right w:w="108" w:type="dxa"/>
            </w:tcMar>
            <w:vAlign w:val="center"/>
          </w:tcPr>
          <w:p w14:paraId="7092FDC8" w14:textId="77777777" w:rsidR="00B42647" w:rsidRPr="00800F8E" w:rsidRDefault="00B42647" w:rsidP="00B42647">
            <w:pPr>
              <w:pStyle w:val="TableText"/>
              <w:keepNext/>
              <w:jc w:val="center"/>
              <w:rPr>
                <w:rFonts w:cs="Calibri"/>
                <w:i/>
                <w:color w:val="000000"/>
              </w:rPr>
            </w:pPr>
            <w:r w:rsidRPr="00800F8E">
              <w:rPr>
                <w:rFonts w:cs="Calibri"/>
                <w:b/>
                <w:i/>
                <w:color w:val="000000"/>
              </w:rPr>
              <w:t>-$629,426</w:t>
            </w:r>
          </w:p>
        </w:tc>
        <w:tc>
          <w:tcPr>
            <w:tcW w:w="1277" w:type="dxa"/>
            <w:tcMar>
              <w:top w:w="0" w:type="dxa"/>
              <w:left w:w="108" w:type="dxa"/>
              <w:bottom w:w="0" w:type="dxa"/>
              <w:right w:w="108" w:type="dxa"/>
            </w:tcMar>
            <w:vAlign w:val="center"/>
          </w:tcPr>
          <w:p w14:paraId="521EDA11" w14:textId="77777777" w:rsidR="00B42647" w:rsidRPr="00800F8E" w:rsidRDefault="00B42647" w:rsidP="00B42647">
            <w:pPr>
              <w:pStyle w:val="TableText"/>
              <w:keepNext/>
              <w:jc w:val="center"/>
              <w:rPr>
                <w:rFonts w:cs="Calibri"/>
                <w:i/>
                <w:color w:val="000000"/>
              </w:rPr>
            </w:pPr>
            <w:r w:rsidRPr="00800F8E">
              <w:rPr>
                <w:rFonts w:cs="Calibri"/>
                <w:b/>
                <w:i/>
                <w:color w:val="000000"/>
              </w:rPr>
              <w:t>-$639,048</w:t>
            </w:r>
          </w:p>
        </w:tc>
      </w:tr>
    </w:tbl>
    <w:p w14:paraId="20D559B4" w14:textId="5C0174A2" w:rsidR="00B42647" w:rsidRDefault="00B42647" w:rsidP="00B42647">
      <w:pPr>
        <w:pStyle w:val="TableFigureFooter"/>
        <w:spacing w:before="0" w:after="0"/>
        <w:jc w:val="both"/>
      </w:pPr>
      <w:r w:rsidRPr="00431366">
        <w:t xml:space="preserve">Source: Tables </w:t>
      </w:r>
      <w:r>
        <w:t xml:space="preserve">67-69, </w:t>
      </w:r>
      <w:r w:rsidRPr="00431366">
        <w:t xml:space="preserve">129-130 of ADAR. </w:t>
      </w:r>
    </w:p>
    <w:p w14:paraId="3EE442BE" w14:textId="2A9DBA9C" w:rsidR="00800F8E" w:rsidRPr="00800F8E" w:rsidRDefault="00800F8E" w:rsidP="00B42647">
      <w:pPr>
        <w:pStyle w:val="TableFigureFooter"/>
        <w:spacing w:before="0" w:after="0"/>
        <w:jc w:val="both"/>
        <w:rPr>
          <w:rFonts w:eastAsia="Calibri"/>
          <w:i/>
          <w:iCs/>
          <w:szCs w:val="20"/>
        </w:rPr>
      </w:pPr>
      <w:r w:rsidRPr="00BA6994">
        <w:rPr>
          <w:rFonts w:eastAsia="Calibri"/>
          <w:i/>
          <w:iCs/>
          <w:szCs w:val="20"/>
        </w:rPr>
        <w:t>Italics indicates results generated during the evaluation.</w:t>
      </w:r>
      <w:r>
        <w:rPr>
          <w:rFonts w:eastAsia="Calibri"/>
          <w:i/>
          <w:iCs/>
          <w:szCs w:val="20"/>
        </w:rPr>
        <w:t xml:space="preserve"> </w:t>
      </w:r>
    </w:p>
    <w:p w14:paraId="33DF0923" w14:textId="23E5097E" w:rsidR="00B42647" w:rsidRPr="00431366" w:rsidRDefault="00B42647" w:rsidP="00B42647">
      <w:pPr>
        <w:pStyle w:val="TableFigureFooter"/>
        <w:spacing w:before="0"/>
        <w:jc w:val="both"/>
      </w:pPr>
      <w:r>
        <w:t xml:space="preserve">Abbreviations: CPMC, Chronic Pain MedsCheck; ED, Emergency Department; </w:t>
      </w:r>
      <w:r w:rsidRPr="00127276">
        <w:t xml:space="preserve">MBS, Medicare </w:t>
      </w:r>
      <w:r w:rsidR="00A27899">
        <w:t>B</w:t>
      </w:r>
      <w:r w:rsidRPr="00127276">
        <w:t xml:space="preserve">enefits </w:t>
      </w:r>
      <w:r w:rsidR="00A27899">
        <w:t>S</w:t>
      </w:r>
      <w:r w:rsidRPr="00127276">
        <w:t xml:space="preserve">chedule; PBS, Pharmaceutical </w:t>
      </w:r>
      <w:r w:rsidR="00A27899">
        <w:t>B</w:t>
      </w:r>
      <w:r w:rsidRPr="00127276">
        <w:t xml:space="preserve">enefits </w:t>
      </w:r>
      <w:r w:rsidR="00A27899">
        <w:t>S</w:t>
      </w:r>
      <w:r w:rsidRPr="00127276">
        <w:t>cheme</w:t>
      </w:r>
      <w:r>
        <w:t>.</w:t>
      </w:r>
    </w:p>
    <w:p w14:paraId="33FCA9D4" w14:textId="520B56C5" w:rsidR="00D428B9" w:rsidRPr="00CE28E3" w:rsidRDefault="00D428B9" w:rsidP="0001555C">
      <w:pPr>
        <w:pStyle w:val="Caption"/>
        <w:jc w:val="both"/>
      </w:pPr>
      <w:bookmarkStart w:id="46" w:name="_Ref102522941"/>
      <w:r w:rsidRPr="00CE28E3">
        <w:lastRenderedPageBreak/>
        <w:t>Table</w:t>
      </w:r>
      <w:r w:rsidR="003571C2">
        <w:t> </w:t>
      </w:r>
      <w:fldSimple w:instr=" SEQ Table \* ARABIC ">
        <w:r w:rsidR="00656985">
          <w:rPr>
            <w:noProof/>
          </w:rPr>
          <w:t>15</w:t>
        </w:r>
      </w:fldSimple>
      <w:bookmarkEnd w:id="46"/>
      <w:r w:rsidR="00BB7A48">
        <w:rPr>
          <w:noProof/>
        </w:rPr>
        <w:tab/>
      </w:r>
      <w:r w:rsidRPr="00CE28E3">
        <w:tab/>
        <w:t>Net financial implications of</w:t>
      </w:r>
      <w:r w:rsidR="00352ED7">
        <w:t xml:space="preserve"> Chronic Pain MedsCheck</w:t>
      </w:r>
      <w:r w:rsidR="00B42647">
        <w:t xml:space="preserve"> (Group B intervention)</w:t>
      </w:r>
      <w:r w:rsidRPr="00CE28E3">
        <w:t xml:space="preserve"> to </w:t>
      </w:r>
      <w:r w:rsidR="00352ED7">
        <w:t>government</w:t>
      </w:r>
      <w:bookmarkEnd w:id="45"/>
    </w:p>
    <w:tbl>
      <w:tblPr>
        <w:tblStyle w:val="TableGrid1"/>
        <w:tblW w:w="9346" w:type="dxa"/>
        <w:tblLayout w:type="fixed"/>
        <w:tblCellMar>
          <w:left w:w="0" w:type="dxa"/>
          <w:right w:w="0" w:type="dxa"/>
        </w:tblCellMar>
        <w:tblLook w:val="04A0" w:firstRow="1" w:lastRow="0" w:firstColumn="1" w:lastColumn="0" w:noHBand="0" w:noVBand="1"/>
      </w:tblPr>
      <w:tblGrid>
        <w:gridCol w:w="2967"/>
        <w:gridCol w:w="1275"/>
        <w:gridCol w:w="1276"/>
        <w:gridCol w:w="1276"/>
        <w:gridCol w:w="1275"/>
        <w:gridCol w:w="1277"/>
      </w:tblGrid>
      <w:tr w:rsidR="00AC3F1B" w:rsidRPr="00AC3F1B" w14:paraId="10C955A8" w14:textId="77777777" w:rsidTr="00C7722F">
        <w:trPr>
          <w:cnfStyle w:val="100000000000" w:firstRow="1" w:lastRow="0" w:firstColumn="0" w:lastColumn="0" w:oddVBand="0" w:evenVBand="0" w:oddHBand="0" w:evenHBand="0" w:firstRowFirstColumn="0" w:firstRowLastColumn="0" w:lastRowFirstColumn="0" w:lastRowLastColumn="0"/>
          <w:tblHeader/>
        </w:trPr>
        <w:tc>
          <w:tcPr>
            <w:tcW w:w="2967" w:type="dxa"/>
            <w:tcMar>
              <w:top w:w="0" w:type="dxa"/>
              <w:left w:w="108" w:type="dxa"/>
              <w:bottom w:w="0" w:type="dxa"/>
              <w:right w:w="108" w:type="dxa"/>
            </w:tcMar>
          </w:tcPr>
          <w:p w14:paraId="7F0BEFFF" w14:textId="130CD43F" w:rsidR="0078061D" w:rsidRPr="00AC3F1B" w:rsidRDefault="0078061D" w:rsidP="0001555C">
            <w:pPr>
              <w:pStyle w:val="TableText"/>
              <w:keepNext/>
              <w:jc w:val="both"/>
              <w:rPr>
                <w:b/>
                <w:bCs/>
              </w:rPr>
            </w:pPr>
            <w:bookmarkStart w:id="47" w:name="Title_Table12" w:colFirst="0" w:colLast="0"/>
            <w:bookmarkStart w:id="48" w:name="_Hlk68276802"/>
            <w:r w:rsidRPr="00AC3F1B">
              <w:rPr>
                <w:b/>
                <w:bCs/>
              </w:rPr>
              <w:t xml:space="preserve">Parameter </w:t>
            </w:r>
          </w:p>
        </w:tc>
        <w:tc>
          <w:tcPr>
            <w:tcW w:w="1275" w:type="dxa"/>
            <w:tcMar>
              <w:top w:w="0" w:type="dxa"/>
              <w:left w:w="108" w:type="dxa"/>
              <w:bottom w:w="0" w:type="dxa"/>
              <w:right w:w="108" w:type="dxa"/>
            </w:tcMar>
            <w:vAlign w:val="center"/>
            <w:hideMark/>
          </w:tcPr>
          <w:p w14:paraId="0802FC81" w14:textId="2A948BD8" w:rsidR="0078061D" w:rsidRPr="00AC3F1B" w:rsidRDefault="0078061D" w:rsidP="00BA6994">
            <w:pPr>
              <w:pStyle w:val="TableText"/>
              <w:keepNext/>
              <w:jc w:val="center"/>
              <w:rPr>
                <w:b/>
                <w:bCs/>
              </w:rPr>
            </w:pPr>
            <w:r w:rsidRPr="00AC3F1B">
              <w:rPr>
                <w:b/>
                <w:bCs/>
              </w:rPr>
              <w:t>2021</w:t>
            </w:r>
          </w:p>
        </w:tc>
        <w:tc>
          <w:tcPr>
            <w:tcW w:w="1276" w:type="dxa"/>
            <w:tcMar>
              <w:top w:w="0" w:type="dxa"/>
              <w:left w:w="108" w:type="dxa"/>
              <w:bottom w:w="0" w:type="dxa"/>
              <w:right w:w="108" w:type="dxa"/>
            </w:tcMar>
            <w:vAlign w:val="center"/>
            <w:hideMark/>
          </w:tcPr>
          <w:p w14:paraId="759DA5DF" w14:textId="5ACD2136" w:rsidR="0078061D" w:rsidRPr="00AC3F1B" w:rsidRDefault="0078061D" w:rsidP="00BA6994">
            <w:pPr>
              <w:pStyle w:val="TableText"/>
              <w:keepNext/>
              <w:jc w:val="center"/>
              <w:rPr>
                <w:b/>
                <w:bCs/>
              </w:rPr>
            </w:pPr>
            <w:r w:rsidRPr="00AC3F1B">
              <w:rPr>
                <w:b/>
                <w:bCs/>
              </w:rPr>
              <w:t>2022</w:t>
            </w:r>
          </w:p>
        </w:tc>
        <w:tc>
          <w:tcPr>
            <w:tcW w:w="1276" w:type="dxa"/>
            <w:tcMar>
              <w:top w:w="0" w:type="dxa"/>
              <w:left w:w="108" w:type="dxa"/>
              <w:bottom w:w="0" w:type="dxa"/>
              <w:right w:w="108" w:type="dxa"/>
            </w:tcMar>
            <w:vAlign w:val="center"/>
            <w:hideMark/>
          </w:tcPr>
          <w:p w14:paraId="3BF14104" w14:textId="1CCA9A94" w:rsidR="0078061D" w:rsidRPr="00AC3F1B" w:rsidRDefault="0078061D" w:rsidP="00BA6994">
            <w:pPr>
              <w:pStyle w:val="TableText"/>
              <w:keepNext/>
              <w:jc w:val="center"/>
              <w:rPr>
                <w:b/>
                <w:bCs/>
              </w:rPr>
            </w:pPr>
            <w:r w:rsidRPr="00AC3F1B">
              <w:rPr>
                <w:b/>
                <w:bCs/>
              </w:rPr>
              <w:t>2023</w:t>
            </w:r>
          </w:p>
        </w:tc>
        <w:tc>
          <w:tcPr>
            <w:tcW w:w="1275" w:type="dxa"/>
            <w:tcMar>
              <w:top w:w="0" w:type="dxa"/>
              <w:left w:w="108" w:type="dxa"/>
              <w:bottom w:w="0" w:type="dxa"/>
              <w:right w:w="108" w:type="dxa"/>
            </w:tcMar>
            <w:vAlign w:val="center"/>
            <w:hideMark/>
          </w:tcPr>
          <w:p w14:paraId="31580A99" w14:textId="4D54B7CB" w:rsidR="0078061D" w:rsidRPr="00AC3F1B" w:rsidRDefault="0078061D" w:rsidP="00BA6994">
            <w:pPr>
              <w:pStyle w:val="TableText"/>
              <w:keepNext/>
              <w:jc w:val="center"/>
              <w:rPr>
                <w:b/>
                <w:bCs/>
              </w:rPr>
            </w:pPr>
            <w:r w:rsidRPr="00AC3F1B">
              <w:rPr>
                <w:b/>
                <w:bCs/>
              </w:rPr>
              <w:t>2024</w:t>
            </w:r>
          </w:p>
        </w:tc>
        <w:tc>
          <w:tcPr>
            <w:tcW w:w="1277" w:type="dxa"/>
            <w:tcMar>
              <w:top w:w="0" w:type="dxa"/>
              <w:left w:w="108" w:type="dxa"/>
              <w:bottom w:w="0" w:type="dxa"/>
              <w:right w:w="108" w:type="dxa"/>
            </w:tcMar>
            <w:vAlign w:val="center"/>
            <w:hideMark/>
          </w:tcPr>
          <w:p w14:paraId="199B68C0" w14:textId="0FE035A8" w:rsidR="0078061D" w:rsidRPr="00AC3F1B" w:rsidRDefault="0078061D" w:rsidP="00BA6994">
            <w:pPr>
              <w:pStyle w:val="TableText"/>
              <w:keepNext/>
              <w:jc w:val="center"/>
              <w:rPr>
                <w:b/>
                <w:bCs/>
              </w:rPr>
            </w:pPr>
            <w:r w:rsidRPr="00AC3F1B">
              <w:rPr>
                <w:b/>
                <w:bCs/>
              </w:rPr>
              <w:t>2025</w:t>
            </w:r>
          </w:p>
        </w:tc>
      </w:tr>
      <w:bookmarkEnd w:id="47"/>
      <w:tr w:rsidR="00AC3F1B" w:rsidRPr="00AC3F1B" w14:paraId="5778418C" w14:textId="58B36EB8" w:rsidTr="00C7722F">
        <w:tc>
          <w:tcPr>
            <w:tcW w:w="9346" w:type="dxa"/>
            <w:gridSpan w:val="6"/>
            <w:shd w:val="clear" w:color="auto" w:fill="D9D9D9" w:themeFill="background1" w:themeFillShade="D9"/>
            <w:tcMar>
              <w:top w:w="0" w:type="dxa"/>
              <w:left w:w="108" w:type="dxa"/>
              <w:bottom w:w="0" w:type="dxa"/>
              <w:right w:w="108" w:type="dxa"/>
            </w:tcMar>
            <w:vAlign w:val="center"/>
            <w:hideMark/>
          </w:tcPr>
          <w:p w14:paraId="16E7D8E3" w14:textId="77777777" w:rsidR="0078061D" w:rsidRPr="00AC3F1B" w:rsidRDefault="0078061D" w:rsidP="00BA6994">
            <w:pPr>
              <w:pStyle w:val="TableText"/>
              <w:keepNext/>
              <w:rPr>
                <w:b/>
                <w:bCs/>
              </w:rPr>
            </w:pPr>
            <w:r w:rsidRPr="00AC3F1B">
              <w:rPr>
                <w:b/>
                <w:bCs/>
              </w:rPr>
              <w:t>Estimated use and cost of the proposed health technology</w:t>
            </w:r>
          </w:p>
        </w:tc>
      </w:tr>
      <w:tr w:rsidR="00AC3F1B" w:rsidRPr="00AC3F1B" w14:paraId="16C50CDA" w14:textId="77777777" w:rsidTr="00C7722F">
        <w:tc>
          <w:tcPr>
            <w:tcW w:w="2967" w:type="dxa"/>
            <w:tcMar>
              <w:top w:w="0" w:type="dxa"/>
              <w:left w:w="108" w:type="dxa"/>
              <w:bottom w:w="0" w:type="dxa"/>
              <w:right w:w="108" w:type="dxa"/>
            </w:tcMar>
            <w:hideMark/>
          </w:tcPr>
          <w:p w14:paraId="3B7783D5" w14:textId="18604816" w:rsidR="0078061D" w:rsidRPr="00AC3F1B" w:rsidRDefault="0078061D" w:rsidP="0001555C">
            <w:pPr>
              <w:pStyle w:val="TableText"/>
              <w:keepNext/>
              <w:jc w:val="both"/>
            </w:pPr>
            <w:r w:rsidRPr="00AC3F1B">
              <w:t>Number of people eligible for a CPMC</w:t>
            </w:r>
          </w:p>
        </w:tc>
        <w:tc>
          <w:tcPr>
            <w:tcW w:w="1275" w:type="dxa"/>
            <w:tcMar>
              <w:top w:w="0" w:type="dxa"/>
              <w:left w:w="108" w:type="dxa"/>
              <w:bottom w:w="0" w:type="dxa"/>
              <w:right w:w="108" w:type="dxa"/>
            </w:tcMar>
            <w:vAlign w:val="center"/>
          </w:tcPr>
          <w:p w14:paraId="73095266" w14:textId="44A5F654" w:rsidR="0078061D" w:rsidRPr="00AC3F1B" w:rsidRDefault="0078061D" w:rsidP="00BA6994">
            <w:pPr>
              <w:pStyle w:val="TableText"/>
              <w:keepNext/>
              <w:jc w:val="center"/>
            </w:pPr>
            <w:r w:rsidRPr="00AC3F1B">
              <w:t>2,901,074</w:t>
            </w:r>
          </w:p>
        </w:tc>
        <w:tc>
          <w:tcPr>
            <w:tcW w:w="1276" w:type="dxa"/>
            <w:tcMar>
              <w:top w:w="0" w:type="dxa"/>
              <w:left w:w="108" w:type="dxa"/>
              <w:bottom w:w="0" w:type="dxa"/>
              <w:right w:w="108" w:type="dxa"/>
            </w:tcMar>
            <w:vAlign w:val="center"/>
          </w:tcPr>
          <w:p w14:paraId="47AB12F5" w14:textId="4B2A70C1" w:rsidR="0078061D" w:rsidRPr="00AC3F1B" w:rsidRDefault="0078061D" w:rsidP="00BA6994">
            <w:pPr>
              <w:pStyle w:val="TableText"/>
              <w:keepNext/>
              <w:jc w:val="center"/>
            </w:pPr>
            <w:r w:rsidRPr="00AC3F1B">
              <w:t>2,949,041</w:t>
            </w:r>
          </w:p>
        </w:tc>
        <w:tc>
          <w:tcPr>
            <w:tcW w:w="1276" w:type="dxa"/>
            <w:tcMar>
              <w:top w:w="0" w:type="dxa"/>
              <w:left w:w="108" w:type="dxa"/>
              <w:bottom w:w="0" w:type="dxa"/>
              <w:right w:w="108" w:type="dxa"/>
            </w:tcMar>
            <w:vAlign w:val="center"/>
          </w:tcPr>
          <w:p w14:paraId="09031D3F" w14:textId="6DA2145A" w:rsidR="0078061D" w:rsidRPr="00AC3F1B" w:rsidRDefault="0078061D" w:rsidP="00BA6994">
            <w:pPr>
              <w:pStyle w:val="TableText"/>
              <w:keepNext/>
              <w:jc w:val="center"/>
            </w:pPr>
            <w:r w:rsidRPr="00AC3F1B">
              <w:t>2,996,778</w:t>
            </w:r>
          </w:p>
        </w:tc>
        <w:tc>
          <w:tcPr>
            <w:tcW w:w="1275" w:type="dxa"/>
            <w:tcMar>
              <w:top w:w="0" w:type="dxa"/>
              <w:left w:w="108" w:type="dxa"/>
              <w:bottom w:w="0" w:type="dxa"/>
              <w:right w:w="108" w:type="dxa"/>
            </w:tcMar>
            <w:vAlign w:val="center"/>
          </w:tcPr>
          <w:p w14:paraId="57859E00" w14:textId="0736E4F2" w:rsidR="0078061D" w:rsidRPr="00AC3F1B" w:rsidRDefault="0078061D" w:rsidP="00BA6994">
            <w:pPr>
              <w:pStyle w:val="TableText"/>
              <w:keepNext/>
              <w:jc w:val="center"/>
            </w:pPr>
            <w:r w:rsidRPr="00AC3F1B">
              <w:t>3,043,891</w:t>
            </w:r>
          </w:p>
        </w:tc>
        <w:tc>
          <w:tcPr>
            <w:tcW w:w="1277" w:type="dxa"/>
            <w:tcMar>
              <w:top w:w="0" w:type="dxa"/>
              <w:left w:w="108" w:type="dxa"/>
              <w:bottom w:w="0" w:type="dxa"/>
              <w:right w:w="108" w:type="dxa"/>
            </w:tcMar>
            <w:vAlign w:val="center"/>
          </w:tcPr>
          <w:p w14:paraId="3C0B54F8" w14:textId="28A0686C" w:rsidR="0078061D" w:rsidRPr="00AC3F1B" w:rsidRDefault="0078061D" w:rsidP="00BA6994">
            <w:pPr>
              <w:pStyle w:val="TableText"/>
              <w:keepNext/>
              <w:jc w:val="center"/>
            </w:pPr>
            <w:r w:rsidRPr="00AC3F1B">
              <w:t>3,090,422</w:t>
            </w:r>
          </w:p>
        </w:tc>
      </w:tr>
      <w:tr w:rsidR="00AC3F1B" w:rsidRPr="00AC3F1B" w14:paraId="755DEAF4" w14:textId="77777777" w:rsidTr="00C7722F">
        <w:tc>
          <w:tcPr>
            <w:tcW w:w="2967" w:type="dxa"/>
            <w:tcMar>
              <w:top w:w="0" w:type="dxa"/>
              <w:left w:w="108" w:type="dxa"/>
              <w:bottom w:w="0" w:type="dxa"/>
              <w:right w:w="108" w:type="dxa"/>
            </w:tcMar>
            <w:hideMark/>
          </w:tcPr>
          <w:p w14:paraId="208ACBFB" w14:textId="14D191A4" w:rsidR="0078061D" w:rsidRPr="00AC3F1B" w:rsidRDefault="0078061D" w:rsidP="0001555C">
            <w:pPr>
              <w:pStyle w:val="TableText"/>
              <w:keepNext/>
              <w:jc w:val="both"/>
            </w:pPr>
            <w:r w:rsidRPr="00AC3F1B">
              <w:t>Number of people who receive a CPMC</w:t>
            </w:r>
          </w:p>
        </w:tc>
        <w:tc>
          <w:tcPr>
            <w:tcW w:w="1275" w:type="dxa"/>
            <w:tcMar>
              <w:top w:w="0" w:type="dxa"/>
              <w:left w:w="108" w:type="dxa"/>
              <w:bottom w:w="0" w:type="dxa"/>
              <w:right w:w="108" w:type="dxa"/>
            </w:tcMar>
            <w:vAlign w:val="center"/>
          </w:tcPr>
          <w:p w14:paraId="07C02C49" w14:textId="3457E268" w:rsidR="0078061D" w:rsidRPr="00AC3F1B" w:rsidRDefault="0078061D" w:rsidP="00BA6994">
            <w:pPr>
              <w:pStyle w:val="TableText"/>
              <w:keepNext/>
              <w:jc w:val="center"/>
            </w:pPr>
            <w:r w:rsidRPr="00AC3F1B">
              <w:t>28,814</w:t>
            </w:r>
          </w:p>
        </w:tc>
        <w:tc>
          <w:tcPr>
            <w:tcW w:w="1276" w:type="dxa"/>
            <w:tcMar>
              <w:top w:w="0" w:type="dxa"/>
              <w:left w:w="108" w:type="dxa"/>
              <w:bottom w:w="0" w:type="dxa"/>
              <w:right w:w="108" w:type="dxa"/>
            </w:tcMar>
            <w:vAlign w:val="center"/>
          </w:tcPr>
          <w:p w14:paraId="726FA6A9" w14:textId="3A90CDB7" w:rsidR="0078061D" w:rsidRPr="00AC3F1B" w:rsidRDefault="0078061D" w:rsidP="00BA6994">
            <w:pPr>
              <w:pStyle w:val="TableText"/>
              <w:keepNext/>
              <w:jc w:val="center"/>
            </w:pPr>
            <w:r w:rsidRPr="00AC3F1B">
              <w:t>29,290</w:t>
            </w:r>
          </w:p>
        </w:tc>
        <w:tc>
          <w:tcPr>
            <w:tcW w:w="1276" w:type="dxa"/>
            <w:tcMar>
              <w:top w:w="0" w:type="dxa"/>
              <w:left w:w="108" w:type="dxa"/>
              <w:bottom w:w="0" w:type="dxa"/>
              <w:right w:w="108" w:type="dxa"/>
            </w:tcMar>
            <w:vAlign w:val="center"/>
          </w:tcPr>
          <w:p w14:paraId="40599FCD" w14:textId="49EBF33F" w:rsidR="0078061D" w:rsidRPr="00AC3F1B" w:rsidRDefault="0078061D" w:rsidP="00BA6994">
            <w:pPr>
              <w:pStyle w:val="TableText"/>
              <w:keepNext/>
              <w:jc w:val="center"/>
            </w:pPr>
            <w:r w:rsidRPr="00AC3F1B">
              <w:t>29,765</w:t>
            </w:r>
          </w:p>
        </w:tc>
        <w:tc>
          <w:tcPr>
            <w:tcW w:w="1275" w:type="dxa"/>
            <w:tcMar>
              <w:top w:w="0" w:type="dxa"/>
              <w:left w:w="108" w:type="dxa"/>
              <w:bottom w:w="0" w:type="dxa"/>
              <w:right w:w="108" w:type="dxa"/>
            </w:tcMar>
            <w:vAlign w:val="center"/>
          </w:tcPr>
          <w:p w14:paraId="49543F6F" w14:textId="794DE59F" w:rsidR="0078061D" w:rsidRPr="00AC3F1B" w:rsidRDefault="0078061D" w:rsidP="00BA6994">
            <w:pPr>
              <w:pStyle w:val="TableText"/>
              <w:keepNext/>
              <w:jc w:val="center"/>
            </w:pPr>
            <w:r w:rsidRPr="00AC3F1B">
              <w:t>30,232</w:t>
            </w:r>
          </w:p>
        </w:tc>
        <w:tc>
          <w:tcPr>
            <w:tcW w:w="1277" w:type="dxa"/>
            <w:tcMar>
              <w:top w:w="0" w:type="dxa"/>
              <w:left w:w="108" w:type="dxa"/>
              <w:bottom w:w="0" w:type="dxa"/>
              <w:right w:w="108" w:type="dxa"/>
            </w:tcMar>
            <w:vAlign w:val="center"/>
          </w:tcPr>
          <w:p w14:paraId="4012557F" w14:textId="532C454A" w:rsidR="0078061D" w:rsidRPr="00AC3F1B" w:rsidRDefault="0078061D" w:rsidP="00BA6994">
            <w:pPr>
              <w:pStyle w:val="TableText"/>
              <w:keepNext/>
              <w:jc w:val="center"/>
            </w:pPr>
            <w:r w:rsidRPr="00AC3F1B">
              <w:t>30,695</w:t>
            </w:r>
          </w:p>
        </w:tc>
      </w:tr>
      <w:tr w:rsidR="00AC3F1B" w:rsidRPr="00AC3F1B" w14:paraId="55A6176D" w14:textId="77777777" w:rsidTr="00C7722F">
        <w:tc>
          <w:tcPr>
            <w:tcW w:w="2967" w:type="dxa"/>
            <w:tcMar>
              <w:top w:w="0" w:type="dxa"/>
              <w:left w:w="108" w:type="dxa"/>
              <w:bottom w:w="0" w:type="dxa"/>
              <w:right w:w="108" w:type="dxa"/>
            </w:tcMar>
            <w:hideMark/>
          </w:tcPr>
          <w:p w14:paraId="2F0B7D44" w14:textId="12276556" w:rsidR="0078061D" w:rsidRPr="00AC3F1B" w:rsidRDefault="0078061D" w:rsidP="0001555C">
            <w:pPr>
              <w:pStyle w:val="TableText"/>
              <w:keepNext/>
              <w:jc w:val="both"/>
            </w:pPr>
            <w:r w:rsidRPr="00AC3F1B">
              <w:t>Number of services of CPMC (</w:t>
            </w:r>
            <w:r w:rsidR="00F821E1" w:rsidRPr="00AC3F1B">
              <w:t xml:space="preserve">three services per person, as </w:t>
            </w:r>
            <w:r w:rsidR="00B144A8">
              <w:t xml:space="preserve">in </w:t>
            </w:r>
            <w:r w:rsidR="00F821E1" w:rsidRPr="00AC3F1B">
              <w:t>Group B</w:t>
            </w:r>
            <w:r w:rsidRPr="00AC3F1B">
              <w:t>)</w:t>
            </w:r>
          </w:p>
        </w:tc>
        <w:tc>
          <w:tcPr>
            <w:tcW w:w="1275" w:type="dxa"/>
            <w:tcMar>
              <w:top w:w="0" w:type="dxa"/>
              <w:left w:w="108" w:type="dxa"/>
              <w:bottom w:w="0" w:type="dxa"/>
              <w:right w:w="108" w:type="dxa"/>
            </w:tcMar>
            <w:vAlign w:val="center"/>
          </w:tcPr>
          <w:p w14:paraId="66D15F76" w14:textId="1E3A3CAE" w:rsidR="0078061D" w:rsidRPr="00AC3F1B" w:rsidRDefault="00FA0C44" w:rsidP="00BA6994">
            <w:pPr>
              <w:pStyle w:val="TableText"/>
              <w:keepNext/>
              <w:jc w:val="center"/>
              <w:rPr>
                <w:i/>
              </w:rPr>
            </w:pPr>
            <w:r w:rsidRPr="00AC3F1B">
              <w:rPr>
                <w:i/>
              </w:rPr>
              <w:t>86,442</w:t>
            </w:r>
          </w:p>
        </w:tc>
        <w:tc>
          <w:tcPr>
            <w:tcW w:w="1276" w:type="dxa"/>
            <w:tcMar>
              <w:top w:w="0" w:type="dxa"/>
              <w:left w:w="108" w:type="dxa"/>
              <w:bottom w:w="0" w:type="dxa"/>
              <w:right w:w="108" w:type="dxa"/>
            </w:tcMar>
            <w:vAlign w:val="center"/>
          </w:tcPr>
          <w:p w14:paraId="09480FD5" w14:textId="60F38743" w:rsidR="0078061D" w:rsidRPr="00AC3F1B" w:rsidRDefault="00FA0C44" w:rsidP="00BA6994">
            <w:pPr>
              <w:pStyle w:val="TableText"/>
              <w:keepNext/>
              <w:jc w:val="center"/>
              <w:rPr>
                <w:i/>
              </w:rPr>
            </w:pPr>
            <w:r w:rsidRPr="00AC3F1B">
              <w:rPr>
                <w:i/>
              </w:rPr>
              <w:t>87,870</w:t>
            </w:r>
          </w:p>
        </w:tc>
        <w:tc>
          <w:tcPr>
            <w:tcW w:w="1276" w:type="dxa"/>
            <w:tcMar>
              <w:top w:w="0" w:type="dxa"/>
              <w:left w:w="108" w:type="dxa"/>
              <w:bottom w:w="0" w:type="dxa"/>
              <w:right w:w="108" w:type="dxa"/>
            </w:tcMar>
            <w:vAlign w:val="center"/>
          </w:tcPr>
          <w:p w14:paraId="2C940950" w14:textId="43AAF254" w:rsidR="0078061D" w:rsidRPr="00AC3F1B" w:rsidRDefault="007E47EE" w:rsidP="00BA6994">
            <w:pPr>
              <w:pStyle w:val="TableText"/>
              <w:keepNext/>
              <w:jc w:val="center"/>
              <w:rPr>
                <w:i/>
              </w:rPr>
            </w:pPr>
            <w:r w:rsidRPr="00AC3F1B">
              <w:rPr>
                <w:i/>
              </w:rPr>
              <w:t>89,295</w:t>
            </w:r>
          </w:p>
        </w:tc>
        <w:tc>
          <w:tcPr>
            <w:tcW w:w="1275" w:type="dxa"/>
            <w:tcMar>
              <w:top w:w="0" w:type="dxa"/>
              <w:left w:w="108" w:type="dxa"/>
              <w:bottom w:w="0" w:type="dxa"/>
              <w:right w:w="108" w:type="dxa"/>
            </w:tcMar>
            <w:vAlign w:val="center"/>
          </w:tcPr>
          <w:p w14:paraId="46361EF9" w14:textId="61EBABFE" w:rsidR="0078061D" w:rsidRPr="00AC3F1B" w:rsidRDefault="007E47EE" w:rsidP="00BA6994">
            <w:pPr>
              <w:pStyle w:val="TableText"/>
              <w:keepNext/>
              <w:jc w:val="center"/>
              <w:rPr>
                <w:i/>
              </w:rPr>
            </w:pPr>
            <w:r w:rsidRPr="00AC3F1B">
              <w:rPr>
                <w:i/>
              </w:rPr>
              <w:t>90,696</w:t>
            </w:r>
          </w:p>
        </w:tc>
        <w:tc>
          <w:tcPr>
            <w:tcW w:w="1277" w:type="dxa"/>
            <w:tcMar>
              <w:top w:w="0" w:type="dxa"/>
              <w:left w:w="108" w:type="dxa"/>
              <w:bottom w:w="0" w:type="dxa"/>
              <w:right w:w="108" w:type="dxa"/>
            </w:tcMar>
            <w:vAlign w:val="center"/>
          </w:tcPr>
          <w:p w14:paraId="254F194A" w14:textId="502BC870" w:rsidR="0078061D" w:rsidRPr="00AC3F1B" w:rsidRDefault="007E47EE" w:rsidP="00BA6994">
            <w:pPr>
              <w:pStyle w:val="TableText"/>
              <w:keepNext/>
              <w:jc w:val="center"/>
              <w:rPr>
                <w:i/>
              </w:rPr>
            </w:pPr>
            <w:r w:rsidRPr="00AC3F1B">
              <w:rPr>
                <w:i/>
              </w:rPr>
              <w:t>92,085</w:t>
            </w:r>
          </w:p>
        </w:tc>
      </w:tr>
      <w:tr w:rsidR="00AC3F1B" w:rsidRPr="00AC3F1B" w14:paraId="17BAD6C0" w14:textId="77777777" w:rsidTr="00C7722F">
        <w:tc>
          <w:tcPr>
            <w:tcW w:w="2967" w:type="dxa"/>
            <w:tcMar>
              <w:top w:w="0" w:type="dxa"/>
              <w:left w:w="108" w:type="dxa"/>
              <w:bottom w:w="0" w:type="dxa"/>
              <w:right w:w="108" w:type="dxa"/>
            </w:tcMar>
            <w:hideMark/>
          </w:tcPr>
          <w:p w14:paraId="5FDD856A" w14:textId="7D3CAE98" w:rsidR="0078061D" w:rsidRPr="00AC3F1B" w:rsidRDefault="0078061D" w:rsidP="0001555C">
            <w:pPr>
              <w:pStyle w:val="TableText"/>
              <w:keepNext/>
              <w:jc w:val="both"/>
            </w:pPr>
            <w:r w:rsidRPr="00AC3F1B">
              <w:t>Cost to the [</w:t>
            </w:r>
            <w:r w:rsidR="007E47EE" w:rsidRPr="00AC3F1B">
              <w:t>Community Pharmacy Agreement*]</w:t>
            </w:r>
            <w:r w:rsidRPr="00AC3F1B">
              <w:t xml:space="preserve"> (with appropriate copayments excluded)</w:t>
            </w:r>
          </w:p>
        </w:tc>
        <w:tc>
          <w:tcPr>
            <w:tcW w:w="1275" w:type="dxa"/>
            <w:tcMar>
              <w:top w:w="0" w:type="dxa"/>
              <w:left w:w="108" w:type="dxa"/>
              <w:bottom w:w="0" w:type="dxa"/>
              <w:right w:w="108" w:type="dxa"/>
            </w:tcMar>
            <w:vAlign w:val="center"/>
          </w:tcPr>
          <w:p w14:paraId="50542506" w14:textId="323538D7" w:rsidR="0078061D" w:rsidRPr="00AC3F1B" w:rsidRDefault="007E47EE" w:rsidP="00BA6994">
            <w:pPr>
              <w:pStyle w:val="TableText"/>
              <w:keepNext/>
              <w:jc w:val="center"/>
            </w:pPr>
            <w:r w:rsidRPr="00AC3F1B">
              <w:t>$4,726,359</w:t>
            </w:r>
          </w:p>
        </w:tc>
        <w:tc>
          <w:tcPr>
            <w:tcW w:w="1276" w:type="dxa"/>
            <w:tcMar>
              <w:top w:w="0" w:type="dxa"/>
              <w:left w:w="108" w:type="dxa"/>
              <w:bottom w:w="0" w:type="dxa"/>
              <w:right w:w="108" w:type="dxa"/>
            </w:tcMar>
            <w:vAlign w:val="center"/>
          </w:tcPr>
          <w:p w14:paraId="471D3823" w14:textId="4CBD4450" w:rsidR="0078061D" w:rsidRPr="00AC3F1B" w:rsidRDefault="007E47EE" w:rsidP="00BA6994">
            <w:pPr>
              <w:pStyle w:val="TableText"/>
              <w:keepNext/>
              <w:jc w:val="center"/>
            </w:pPr>
            <w:r w:rsidRPr="00AC3F1B">
              <w:t>$4,804,505</w:t>
            </w:r>
          </w:p>
        </w:tc>
        <w:tc>
          <w:tcPr>
            <w:tcW w:w="1276" w:type="dxa"/>
            <w:tcMar>
              <w:top w:w="0" w:type="dxa"/>
              <w:left w:w="108" w:type="dxa"/>
              <w:bottom w:w="0" w:type="dxa"/>
              <w:right w:w="108" w:type="dxa"/>
            </w:tcMar>
            <w:vAlign w:val="center"/>
          </w:tcPr>
          <w:p w14:paraId="46FF7234" w14:textId="32BFF803" w:rsidR="0078061D" w:rsidRPr="00AC3F1B" w:rsidRDefault="007E47EE" w:rsidP="00BA6994">
            <w:pPr>
              <w:pStyle w:val="TableText"/>
              <w:keepNext/>
              <w:jc w:val="center"/>
            </w:pPr>
            <w:r w:rsidRPr="00AC3F1B">
              <w:t>$4,882,277</w:t>
            </w:r>
          </w:p>
        </w:tc>
        <w:tc>
          <w:tcPr>
            <w:tcW w:w="1275" w:type="dxa"/>
            <w:tcMar>
              <w:top w:w="0" w:type="dxa"/>
              <w:left w:w="108" w:type="dxa"/>
              <w:bottom w:w="0" w:type="dxa"/>
              <w:right w:w="108" w:type="dxa"/>
            </w:tcMar>
            <w:vAlign w:val="center"/>
          </w:tcPr>
          <w:p w14:paraId="50CD0669" w14:textId="5EB10241" w:rsidR="0078061D" w:rsidRPr="00AC3F1B" w:rsidRDefault="007E47EE" w:rsidP="00BA6994">
            <w:pPr>
              <w:pStyle w:val="TableText"/>
              <w:keepNext/>
              <w:jc w:val="center"/>
            </w:pPr>
            <w:r w:rsidRPr="00AC3F1B">
              <w:t>$4,959,031</w:t>
            </w:r>
          </w:p>
        </w:tc>
        <w:tc>
          <w:tcPr>
            <w:tcW w:w="1277" w:type="dxa"/>
            <w:tcMar>
              <w:top w:w="0" w:type="dxa"/>
              <w:left w:w="108" w:type="dxa"/>
              <w:bottom w:w="0" w:type="dxa"/>
              <w:right w:w="108" w:type="dxa"/>
            </w:tcMar>
            <w:vAlign w:val="center"/>
          </w:tcPr>
          <w:p w14:paraId="647BDBF5" w14:textId="01E827A7" w:rsidR="0078061D" w:rsidRPr="00AC3F1B" w:rsidRDefault="007E47EE" w:rsidP="00BA6994">
            <w:pPr>
              <w:pStyle w:val="TableText"/>
              <w:keepNext/>
              <w:jc w:val="center"/>
            </w:pPr>
            <w:r w:rsidRPr="00AC3F1B">
              <w:t>$5,034,839</w:t>
            </w:r>
          </w:p>
        </w:tc>
      </w:tr>
      <w:tr w:rsidR="00AC3F1B" w:rsidRPr="00AC3F1B" w14:paraId="5BC9C961" w14:textId="1A33E4FB" w:rsidTr="00C7722F">
        <w:tc>
          <w:tcPr>
            <w:tcW w:w="9346" w:type="dxa"/>
            <w:gridSpan w:val="6"/>
            <w:shd w:val="clear" w:color="auto" w:fill="D9D9D9" w:themeFill="background1" w:themeFillShade="D9"/>
            <w:tcMar>
              <w:top w:w="0" w:type="dxa"/>
              <w:left w:w="108" w:type="dxa"/>
              <w:bottom w:w="0" w:type="dxa"/>
              <w:right w:w="108" w:type="dxa"/>
            </w:tcMar>
            <w:vAlign w:val="center"/>
            <w:hideMark/>
          </w:tcPr>
          <w:p w14:paraId="75CD307B" w14:textId="0D23CD06" w:rsidR="00D13D48" w:rsidRPr="00AC3F1B" w:rsidRDefault="00D13D48" w:rsidP="00BA6994">
            <w:pPr>
              <w:pStyle w:val="TableText"/>
              <w:keepNext/>
              <w:rPr>
                <w:b/>
                <w:bCs/>
              </w:rPr>
            </w:pPr>
            <w:r w:rsidRPr="00AC3F1B">
              <w:rPr>
                <w:b/>
                <w:bCs/>
              </w:rPr>
              <w:t>Financial impact</w:t>
            </w:r>
          </w:p>
        </w:tc>
      </w:tr>
      <w:tr w:rsidR="00AC3F1B" w:rsidRPr="00AC3F1B" w14:paraId="141B431A" w14:textId="77777777" w:rsidTr="00C7722F">
        <w:tc>
          <w:tcPr>
            <w:tcW w:w="2967" w:type="dxa"/>
            <w:tcMar>
              <w:top w:w="0" w:type="dxa"/>
              <w:left w:w="108" w:type="dxa"/>
              <w:bottom w:w="0" w:type="dxa"/>
              <w:right w:w="108" w:type="dxa"/>
            </w:tcMar>
            <w:hideMark/>
          </w:tcPr>
          <w:p w14:paraId="673F8140" w14:textId="2BA72BB2" w:rsidR="00D13D48" w:rsidRPr="00AC3F1B" w:rsidRDefault="00D13D48" w:rsidP="0001555C">
            <w:pPr>
              <w:pStyle w:val="TableText"/>
              <w:keepNext/>
              <w:jc w:val="both"/>
            </w:pPr>
            <w:r w:rsidRPr="00AC3F1B">
              <w:t>Change in use of hospital inpatient services costs</w:t>
            </w:r>
          </w:p>
        </w:tc>
        <w:tc>
          <w:tcPr>
            <w:tcW w:w="1275" w:type="dxa"/>
            <w:tcMar>
              <w:top w:w="0" w:type="dxa"/>
              <w:left w:w="108" w:type="dxa"/>
              <w:bottom w:w="0" w:type="dxa"/>
              <w:right w:w="108" w:type="dxa"/>
            </w:tcMar>
            <w:vAlign w:val="center"/>
          </w:tcPr>
          <w:p w14:paraId="0A4E6D7D" w14:textId="44B40B52" w:rsidR="00D13D48" w:rsidRPr="00AC3F1B" w:rsidRDefault="00D13D48" w:rsidP="00BA6994">
            <w:pPr>
              <w:pStyle w:val="TableText"/>
              <w:keepNext/>
              <w:jc w:val="center"/>
            </w:pPr>
            <w:r w:rsidRPr="00AC3F1B">
              <w:t>-$1,121,243</w:t>
            </w:r>
          </w:p>
        </w:tc>
        <w:tc>
          <w:tcPr>
            <w:tcW w:w="1276" w:type="dxa"/>
            <w:tcMar>
              <w:top w:w="0" w:type="dxa"/>
              <w:left w:w="108" w:type="dxa"/>
              <w:bottom w:w="0" w:type="dxa"/>
              <w:right w:w="108" w:type="dxa"/>
            </w:tcMar>
            <w:vAlign w:val="center"/>
          </w:tcPr>
          <w:p w14:paraId="7DCB03D6" w14:textId="7DC5D837" w:rsidR="00D13D48" w:rsidRPr="00AC3F1B" w:rsidRDefault="00D13D48" w:rsidP="00BA6994">
            <w:pPr>
              <w:pStyle w:val="TableText"/>
              <w:keepNext/>
              <w:jc w:val="center"/>
            </w:pPr>
            <w:r w:rsidRPr="00AC3F1B">
              <w:t>-$1,139,782</w:t>
            </w:r>
          </w:p>
        </w:tc>
        <w:tc>
          <w:tcPr>
            <w:tcW w:w="1276" w:type="dxa"/>
            <w:tcMar>
              <w:top w:w="0" w:type="dxa"/>
              <w:left w:w="108" w:type="dxa"/>
              <w:bottom w:w="0" w:type="dxa"/>
              <w:right w:w="108" w:type="dxa"/>
            </w:tcMar>
            <w:vAlign w:val="center"/>
          </w:tcPr>
          <w:p w14:paraId="705F281E" w14:textId="5FB246A3" w:rsidR="00D13D48" w:rsidRPr="00AC3F1B" w:rsidRDefault="00D13D48" w:rsidP="00BA6994">
            <w:pPr>
              <w:pStyle w:val="TableText"/>
              <w:keepNext/>
              <w:jc w:val="center"/>
            </w:pPr>
            <w:r w:rsidRPr="00AC3F1B">
              <w:rPr>
                <w:rFonts w:cs="Calibri"/>
              </w:rPr>
              <w:t>-$1,</w:t>
            </w:r>
            <w:r w:rsidRPr="00AC3F1B">
              <w:t>158,232</w:t>
            </w:r>
          </w:p>
        </w:tc>
        <w:tc>
          <w:tcPr>
            <w:tcW w:w="1275" w:type="dxa"/>
            <w:tcMar>
              <w:top w:w="0" w:type="dxa"/>
              <w:left w:w="108" w:type="dxa"/>
              <w:bottom w:w="0" w:type="dxa"/>
              <w:right w:w="108" w:type="dxa"/>
            </w:tcMar>
            <w:vAlign w:val="center"/>
          </w:tcPr>
          <w:p w14:paraId="0D92FF03" w14:textId="1CD311D7" w:rsidR="00D13D48" w:rsidRPr="00AC3F1B" w:rsidRDefault="00D13D48" w:rsidP="00BA6994">
            <w:pPr>
              <w:pStyle w:val="TableText"/>
              <w:keepNext/>
              <w:jc w:val="center"/>
            </w:pPr>
            <w:r w:rsidRPr="00AC3F1B">
              <w:rPr>
                <w:rFonts w:cs="Calibri"/>
              </w:rPr>
              <w:t>-$1,</w:t>
            </w:r>
            <w:r w:rsidRPr="00AC3F1B">
              <w:t>176,440</w:t>
            </w:r>
          </w:p>
        </w:tc>
        <w:tc>
          <w:tcPr>
            <w:tcW w:w="1277" w:type="dxa"/>
            <w:tcMar>
              <w:top w:w="0" w:type="dxa"/>
              <w:left w:w="108" w:type="dxa"/>
              <w:bottom w:w="0" w:type="dxa"/>
              <w:right w:w="108" w:type="dxa"/>
            </w:tcMar>
            <w:vAlign w:val="center"/>
          </w:tcPr>
          <w:p w14:paraId="5B4DD028" w14:textId="38804A8E" w:rsidR="00D13D48" w:rsidRPr="00AC3F1B" w:rsidRDefault="00D13D48" w:rsidP="00BA6994">
            <w:pPr>
              <w:pStyle w:val="TableText"/>
              <w:keepNext/>
              <w:jc w:val="center"/>
            </w:pPr>
            <w:r w:rsidRPr="00AC3F1B">
              <w:rPr>
                <w:rFonts w:cs="Calibri"/>
              </w:rPr>
              <w:t>-$1,</w:t>
            </w:r>
            <w:r w:rsidRPr="00AC3F1B">
              <w:t>194,424</w:t>
            </w:r>
          </w:p>
        </w:tc>
      </w:tr>
      <w:tr w:rsidR="00AC3F1B" w:rsidRPr="00AC3F1B" w14:paraId="3D0475C2" w14:textId="77777777" w:rsidTr="00C7722F">
        <w:tc>
          <w:tcPr>
            <w:tcW w:w="2967" w:type="dxa"/>
            <w:tcMar>
              <w:top w:w="0" w:type="dxa"/>
              <w:left w:w="108" w:type="dxa"/>
              <w:bottom w:w="0" w:type="dxa"/>
              <w:right w:w="108" w:type="dxa"/>
            </w:tcMar>
            <w:hideMark/>
          </w:tcPr>
          <w:p w14:paraId="74EA0546" w14:textId="2A7B6696" w:rsidR="00D13D48" w:rsidRPr="00AC3F1B" w:rsidRDefault="00D13D48" w:rsidP="0001555C">
            <w:pPr>
              <w:pStyle w:val="TableText"/>
              <w:keepNext/>
              <w:jc w:val="both"/>
            </w:pPr>
            <w:r w:rsidRPr="00AC3F1B">
              <w:t>Change in use and costs of ED visits</w:t>
            </w:r>
          </w:p>
        </w:tc>
        <w:tc>
          <w:tcPr>
            <w:tcW w:w="1275" w:type="dxa"/>
            <w:tcMar>
              <w:top w:w="0" w:type="dxa"/>
              <w:left w:w="108" w:type="dxa"/>
              <w:bottom w:w="0" w:type="dxa"/>
              <w:right w:w="108" w:type="dxa"/>
            </w:tcMar>
            <w:vAlign w:val="center"/>
          </w:tcPr>
          <w:p w14:paraId="50D93D8C" w14:textId="1901FFD7" w:rsidR="00D13D48" w:rsidRPr="00AC3F1B" w:rsidRDefault="00D13D48" w:rsidP="00BA6994">
            <w:pPr>
              <w:pStyle w:val="TableText"/>
              <w:keepNext/>
              <w:jc w:val="center"/>
            </w:pPr>
            <w:r w:rsidRPr="00AC3F1B">
              <w:rPr>
                <w:rFonts w:cs="Calibri"/>
              </w:rPr>
              <w:t>-$</w:t>
            </w:r>
            <w:r w:rsidRPr="00AC3F1B">
              <w:t>358,923</w:t>
            </w:r>
          </w:p>
        </w:tc>
        <w:tc>
          <w:tcPr>
            <w:tcW w:w="1276" w:type="dxa"/>
            <w:tcMar>
              <w:top w:w="0" w:type="dxa"/>
              <w:left w:w="108" w:type="dxa"/>
              <w:bottom w:w="0" w:type="dxa"/>
              <w:right w:w="108" w:type="dxa"/>
            </w:tcMar>
            <w:vAlign w:val="center"/>
          </w:tcPr>
          <w:p w14:paraId="391B0C16" w14:textId="79992AC3" w:rsidR="00D13D48" w:rsidRPr="00AC3F1B" w:rsidRDefault="00D13D48" w:rsidP="00BA6994">
            <w:pPr>
              <w:pStyle w:val="TableText"/>
              <w:keepNext/>
              <w:jc w:val="center"/>
            </w:pPr>
            <w:r w:rsidRPr="00AC3F1B">
              <w:rPr>
                <w:rFonts w:cs="Calibri"/>
              </w:rPr>
              <w:t>-$</w:t>
            </w:r>
            <w:r w:rsidRPr="00AC3F1B">
              <w:t>364,858</w:t>
            </w:r>
          </w:p>
        </w:tc>
        <w:tc>
          <w:tcPr>
            <w:tcW w:w="1276" w:type="dxa"/>
            <w:tcMar>
              <w:top w:w="0" w:type="dxa"/>
              <w:left w:w="108" w:type="dxa"/>
              <w:bottom w:w="0" w:type="dxa"/>
              <w:right w:w="108" w:type="dxa"/>
            </w:tcMar>
            <w:vAlign w:val="center"/>
          </w:tcPr>
          <w:p w14:paraId="5DAB74DE" w14:textId="3EC3F015" w:rsidR="00D13D48" w:rsidRPr="00AC3F1B" w:rsidRDefault="00D13D48" w:rsidP="00BA6994">
            <w:pPr>
              <w:pStyle w:val="TableText"/>
              <w:keepNext/>
              <w:jc w:val="center"/>
            </w:pPr>
            <w:r w:rsidRPr="00AC3F1B">
              <w:rPr>
                <w:rFonts w:cs="Calibri"/>
              </w:rPr>
              <w:t>-$</w:t>
            </w:r>
            <w:r w:rsidRPr="00AC3F1B">
              <w:t>370,764</w:t>
            </w:r>
          </w:p>
        </w:tc>
        <w:tc>
          <w:tcPr>
            <w:tcW w:w="1275" w:type="dxa"/>
            <w:tcMar>
              <w:top w:w="0" w:type="dxa"/>
              <w:left w:w="108" w:type="dxa"/>
              <w:bottom w:w="0" w:type="dxa"/>
              <w:right w:w="108" w:type="dxa"/>
            </w:tcMar>
            <w:vAlign w:val="center"/>
          </w:tcPr>
          <w:p w14:paraId="15AF506D" w14:textId="51683DE0" w:rsidR="00D13D48" w:rsidRPr="00AC3F1B" w:rsidRDefault="00D13D48" w:rsidP="00BA6994">
            <w:pPr>
              <w:pStyle w:val="TableText"/>
              <w:keepNext/>
              <w:jc w:val="center"/>
            </w:pPr>
            <w:r w:rsidRPr="00AC3F1B">
              <w:rPr>
                <w:rFonts w:cs="Calibri"/>
              </w:rPr>
              <w:t>-$</w:t>
            </w:r>
            <w:r w:rsidRPr="00AC3F1B">
              <w:t>376,593</w:t>
            </w:r>
          </w:p>
        </w:tc>
        <w:tc>
          <w:tcPr>
            <w:tcW w:w="1277" w:type="dxa"/>
            <w:tcMar>
              <w:top w:w="0" w:type="dxa"/>
              <w:left w:w="108" w:type="dxa"/>
              <w:bottom w:w="0" w:type="dxa"/>
              <w:right w:w="108" w:type="dxa"/>
            </w:tcMar>
            <w:vAlign w:val="center"/>
          </w:tcPr>
          <w:p w14:paraId="01AD2F08" w14:textId="5B468CE9" w:rsidR="00D13D48" w:rsidRPr="00AC3F1B" w:rsidRDefault="00D13D48" w:rsidP="00BA6994">
            <w:pPr>
              <w:pStyle w:val="TableText"/>
              <w:keepNext/>
              <w:jc w:val="center"/>
            </w:pPr>
            <w:r w:rsidRPr="00AC3F1B">
              <w:rPr>
                <w:rFonts w:cs="Calibri"/>
              </w:rPr>
              <w:t>-$</w:t>
            </w:r>
            <w:r w:rsidRPr="00AC3F1B">
              <w:t>382,350</w:t>
            </w:r>
          </w:p>
        </w:tc>
      </w:tr>
      <w:tr w:rsidR="00AC3F1B" w:rsidRPr="00AC3F1B" w14:paraId="1B2C94E8" w14:textId="77777777" w:rsidTr="00C7722F">
        <w:tc>
          <w:tcPr>
            <w:tcW w:w="2967" w:type="dxa"/>
            <w:tcMar>
              <w:top w:w="0" w:type="dxa"/>
              <w:left w:w="108" w:type="dxa"/>
              <w:bottom w:w="0" w:type="dxa"/>
              <w:right w:w="108" w:type="dxa"/>
            </w:tcMar>
          </w:tcPr>
          <w:p w14:paraId="38829E50" w14:textId="63B1C2D7" w:rsidR="00D13D48" w:rsidRPr="00AC3F1B" w:rsidRDefault="00D13D48" w:rsidP="0001555C">
            <w:pPr>
              <w:pStyle w:val="TableText"/>
              <w:keepNext/>
              <w:jc w:val="both"/>
            </w:pPr>
            <w:r w:rsidRPr="00AC3F1B">
              <w:rPr>
                <w:b/>
                <w:bCs/>
              </w:rPr>
              <w:t>Net financial impact to state and territory government budgets</w:t>
            </w:r>
          </w:p>
        </w:tc>
        <w:tc>
          <w:tcPr>
            <w:tcW w:w="1275" w:type="dxa"/>
            <w:tcMar>
              <w:top w:w="0" w:type="dxa"/>
              <w:left w:w="108" w:type="dxa"/>
              <w:bottom w:w="0" w:type="dxa"/>
              <w:right w:w="108" w:type="dxa"/>
            </w:tcMar>
            <w:vAlign w:val="center"/>
          </w:tcPr>
          <w:p w14:paraId="0600460C" w14:textId="4845AA7D" w:rsidR="00D13D48" w:rsidRPr="00AC3F1B" w:rsidRDefault="00D13D48" w:rsidP="00BA6994">
            <w:pPr>
              <w:pStyle w:val="TableText"/>
              <w:keepNext/>
              <w:jc w:val="center"/>
              <w:rPr>
                <w:b/>
              </w:rPr>
            </w:pPr>
            <w:r w:rsidRPr="00AC3F1B">
              <w:rPr>
                <w:rFonts w:cs="Calibri"/>
                <w:b/>
              </w:rPr>
              <w:t>-$1,</w:t>
            </w:r>
            <w:r w:rsidRPr="00AC3F1B">
              <w:rPr>
                <w:b/>
              </w:rPr>
              <w:t>480,166</w:t>
            </w:r>
          </w:p>
        </w:tc>
        <w:tc>
          <w:tcPr>
            <w:tcW w:w="1276" w:type="dxa"/>
            <w:tcMar>
              <w:top w:w="0" w:type="dxa"/>
              <w:left w:w="108" w:type="dxa"/>
              <w:bottom w:w="0" w:type="dxa"/>
              <w:right w:w="108" w:type="dxa"/>
            </w:tcMar>
            <w:vAlign w:val="center"/>
          </w:tcPr>
          <w:p w14:paraId="538BF746" w14:textId="56513A54" w:rsidR="00D13D48" w:rsidRPr="00AC3F1B" w:rsidRDefault="00D13D48" w:rsidP="00BA6994">
            <w:pPr>
              <w:pStyle w:val="TableText"/>
              <w:keepNext/>
              <w:jc w:val="center"/>
              <w:rPr>
                <w:b/>
              </w:rPr>
            </w:pPr>
            <w:r w:rsidRPr="00AC3F1B">
              <w:rPr>
                <w:rFonts w:cs="Calibri"/>
                <w:b/>
              </w:rPr>
              <w:t>-$1,</w:t>
            </w:r>
            <w:r w:rsidRPr="00AC3F1B">
              <w:rPr>
                <w:b/>
              </w:rPr>
              <w:t>504,</w:t>
            </w:r>
            <w:r w:rsidRPr="00AC3F1B">
              <w:rPr>
                <w:rFonts w:cs="Calibri"/>
                <w:b/>
              </w:rPr>
              <w:t>639</w:t>
            </w:r>
          </w:p>
        </w:tc>
        <w:tc>
          <w:tcPr>
            <w:tcW w:w="1276" w:type="dxa"/>
            <w:tcMar>
              <w:top w:w="0" w:type="dxa"/>
              <w:left w:w="108" w:type="dxa"/>
              <w:bottom w:w="0" w:type="dxa"/>
              <w:right w:w="108" w:type="dxa"/>
            </w:tcMar>
            <w:vAlign w:val="center"/>
          </w:tcPr>
          <w:p w14:paraId="3B9A2C1F" w14:textId="54CD954C" w:rsidR="00D13D48" w:rsidRPr="00AC3F1B" w:rsidRDefault="00D13D48" w:rsidP="00BA6994">
            <w:pPr>
              <w:pStyle w:val="TableText"/>
              <w:keepNext/>
              <w:jc w:val="center"/>
              <w:rPr>
                <w:b/>
              </w:rPr>
            </w:pPr>
            <w:r w:rsidRPr="00AC3F1B">
              <w:rPr>
                <w:rFonts w:cs="Calibri"/>
                <w:b/>
              </w:rPr>
              <w:t>-$1,</w:t>
            </w:r>
            <w:r w:rsidRPr="00AC3F1B">
              <w:rPr>
                <w:b/>
              </w:rPr>
              <w:t>528,996</w:t>
            </w:r>
          </w:p>
        </w:tc>
        <w:tc>
          <w:tcPr>
            <w:tcW w:w="1275" w:type="dxa"/>
            <w:tcMar>
              <w:top w:w="0" w:type="dxa"/>
              <w:left w:w="108" w:type="dxa"/>
              <w:bottom w:w="0" w:type="dxa"/>
              <w:right w:w="108" w:type="dxa"/>
            </w:tcMar>
            <w:vAlign w:val="center"/>
          </w:tcPr>
          <w:p w14:paraId="249B661F" w14:textId="46453709" w:rsidR="00D13D48" w:rsidRPr="00AC3F1B" w:rsidRDefault="00D13D48" w:rsidP="00BA6994">
            <w:pPr>
              <w:pStyle w:val="TableText"/>
              <w:keepNext/>
              <w:jc w:val="center"/>
              <w:rPr>
                <w:b/>
              </w:rPr>
            </w:pPr>
            <w:r w:rsidRPr="00AC3F1B">
              <w:rPr>
                <w:rFonts w:cs="Calibri"/>
                <w:b/>
              </w:rPr>
              <w:t>-$1,</w:t>
            </w:r>
            <w:r w:rsidRPr="00AC3F1B">
              <w:rPr>
                <w:b/>
              </w:rPr>
              <w:t>553,033</w:t>
            </w:r>
          </w:p>
        </w:tc>
        <w:tc>
          <w:tcPr>
            <w:tcW w:w="1277" w:type="dxa"/>
            <w:tcMar>
              <w:top w:w="0" w:type="dxa"/>
              <w:left w:w="108" w:type="dxa"/>
              <w:bottom w:w="0" w:type="dxa"/>
              <w:right w:w="108" w:type="dxa"/>
            </w:tcMar>
            <w:vAlign w:val="center"/>
          </w:tcPr>
          <w:p w14:paraId="78A98A53" w14:textId="5DCA959E" w:rsidR="00D13D48" w:rsidRPr="00AC3F1B" w:rsidRDefault="00D13D48" w:rsidP="00BA6994">
            <w:pPr>
              <w:pStyle w:val="TableText"/>
              <w:keepNext/>
              <w:jc w:val="center"/>
              <w:rPr>
                <w:b/>
              </w:rPr>
            </w:pPr>
            <w:r w:rsidRPr="00AC3F1B">
              <w:rPr>
                <w:rFonts w:cs="Calibri"/>
                <w:b/>
              </w:rPr>
              <w:t>-$1,</w:t>
            </w:r>
            <w:r w:rsidRPr="00AC3F1B">
              <w:rPr>
                <w:b/>
              </w:rPr>
              <w:t>576,774</w:t>
            </w:r>
          </w:p>
        </w:tc>
      </w:tr>
      <w:tr w:rsidR="00AC3F1B" w:rsidRPr="00AC3F1B" w14:paraId="3ED95113" w14:textId="77777777" w:rsidTr="00C7722F">
        <w:tc>
          <w:tcPr>
            <w:tcW w:w="2967" w:type="dxa"/>
            <w:tcMar>
              <w:top w:w="0" w:type="dxa"/>
              <w:left w:w="108" w:type="dxa"/>
              <w:bottom w:w="0" w:type="dxa"/>
              <w:right w:w="108" w:type="dxa"/>
            </w:tcMar>
          </w:tcPr>
          <w:p w14:paraId="450A8D10" w14:textId="4467C81C" w:rsidR="00D13D48" w:rsidRPr="00AC3F1B" w:rsidRDefault="00D13D48" w:rsidP="0001555C">
            <w:pPr>
              <w:pStyle w:val="TableText"/>
              <w:keepNext/>
              <w:jc w:val="both"/>
            </w:pPr>
            <w:r w:rsidRPr="00AC3F1B">
              <w:t>Change in use and costs of PBS medications</w:t>
            </w:r>
          </w:p>
        </w:tc>
        <w:tc>
          <w:tcPr>
            <w:tcW w:w="1275" w:type="dxa"/>
            <w:tcMar>
              <w:top w:w="0" w:type="dxa"/>
              <w:left w:w="108" w:type="dxa"/>
              <w:bottom w:w="0" w:type="dxa"/>
              <w:right w:w="108" w:type="dxa"/>
            </w:tcMar>
            <w:vAlign w:val="center"/>
          </w:tcPr>
          <w:p w14:paraId="40D282B1" w14:textId="2E96EC8F" w:rsidR="00D13D48" w:rsidRPr="00AC3F1B" w:rsidRDefault="00D13D48" w:rsidP="00BA6994">
            <w:pPr>
              <w:pStyle w:val="TableText"/>
              <w:keepNext/>
              <w:jc w:val="center"/>
            </w:pPr>
            <w:r w:rsidRPr="00AC3F1B">
              <w:t>-$2,433,895</w:t>
            </w:r>
          </w:p>
        </w:tc>
        <w:tc>
          <w:tcPr>
            <w:tcW w:w="1276" w:type="dxa"/>
            <w:tcMar>
              <w:top w:w="0" w:type="dxa"/>
              <w:left w:w="108" w:type="dxa"/>
              <w:bottom w:w="0" w:type="dxa"/>
              <w:right w:w="108" w:type="dxa"/>
            </w:tcMar>
            <w:vAlign w:val="center"/>
          </w:tcPr>
          <w:p w14:paraId="66EC9F02" w14:textId="424B3567" w:rsidR="00D13D48" w:rsidRPr="00AC3F1B" w:rsidRDefault="00D13D48" w:rsidP="00BA6994">
            <w:pPr>
              <w:pStyle w:val="TableText"/>
              <w:keepNext/>
              <w:jc w:val="center"/>
            </w:pPr>
            <w:r w:rsidRPr="00AC3F1B">
              <w:t>-$2,474,137</w:t>
            </w:r>
          </w:p>
        </w:tc>
        <w:tc>
          <w:tcPr>
            <w:tcW w:w="1276" w:type="dxa"/>
            <w:tcMar>
              <w:top w:w="0" w:type="dxa"/>
              <w:left w:w="108" w:type="dxa"/>
              <w:bottom w:w="0" w:type="dxa"/>
              <w:right w:w="108" w:type="dxa"/>
            </w:tcMar>
            <w:vAlign w:val="center"/>
          </w:tcPr>
          <w:p w14:paraId="1E9D0059" w14:textId="6E697FC4" w:rsidR="00D13D48" w:rsidRPr="00AC3F1B" w:rsidRDefault="00D13D48" w:rsidP="00BA6994">
            <w:pPr>
              <w:pStyle w:val="TableText"/>
              <w:keepNext/>
              <w:jc w:val="center"/>
            </w:pPr>
            <w:r w:rsidRPr="00AC3F1B">
              <w:t>-$2,514,187</w:t>
            </w:r>
          </w:p>
        </w:tc>
        <w:tc>
          <w:tcPr>
            <w:tcW w:w="1275" w:type="dxa"/>
            <w:tcMar>
              <w:top w:w="0" w:type="dxa"/>
              <w:left w:w="108" w:type="dxa"/>
              <w:bottom w:w="0" w:type="dxa"/>
              <w:right w:w="108" w:type="dxa"/>
            </w:tcMar>
            <w:vAlign w:val="center"/>
          </w:tcPr>
          <w:p w14:paraId="08230A09" w14:textId="6D779ABD" w:rsidR="00D13D48" w:rsidRPr="00AC3F1B" w:rsidRDefault="00D13D48" w:rsidP="00BA6994">
            <w:pPr>
              <w:pStyle w:val="TableText"/>
              <w:keepNext/>
              <w:jc w:val="center"/>
            </w:pPr>
            <w:r w:rsidRPr="00AC3F1B">
              <w:t>-$2,553,713</w:t>
            </w:r>
          </w:p>
        </w:tc>
        <w:tc>
          <w:tcPr>
            <w:tcW w:w="1277" w:type="dxa"/>
            <w:tcMar>
              <w:top w:w="0" w:type="dxa"/>
              <w:left w:w="108" w:type="dxa"/>
              <w:bottom w:w="0" w:type="dxa"/>
              <w:right w:w="108" w:type="dxa"/>
            </w:tcMar>
            <w:vAlign w:val="center"/>
          </w:tcPr>
          <w:p w14:paraId="4344BB7C" w14:textId="7C4C9DF3" w:rsidR="00D13D48" w:rsidRPr="00AC3F1B" w:rsidRDefault="00D13D48" w:rsidP="00BA6994">
            <w:pPr>
              <w:pStyle w:val="TableText"/>
              <w:keepNext/>
              <w:jc w:val="center"/>
            </w:pPr>
            <w:r w:rsidRPr="00AC3F1B">
              <w:t>-$2,592,751</w:t>
            </w:r>
          </w:p>
        </w:tc>
      </w:tr>
      <w:tr w:rsidR="00AC3F1B" w:rsidRPr="00AC3F1B" w14:paraId="75FDED69" w14:textId="77777777" w:rsidTr="00C7722F">
        <w:tc>
          <w:tcPr>
            <w:tcW w:w="2967" w:type="dxa"/>
            <w:tcMar>
              <w:top w:w="0" w:type="dxa"/>
              <w:left w:w="108" w:type="dxa"/>
              <w:bottom w:w="0" w:type="dxa"/>
              <w:right w:w="108" w:type="dxa"/>
            </w:tcMar>
          </w:tcPr>
          <w:p w14:paraId="5C392D48" w14:textId="48FC8C04" w:rsidR="00D13D48" w:rsidRPr="00AC3F1B" w:rsidRDefault="00D13D48" w:rsidP="0001555C">
            <w:pPr>
              <w:pStyle w:val="TableText"/>
              <w:keepNext/>
              <w:jc w:val="both"/>
            </w:pPr>
            <w:r w:rsidRPr="00AC3F1B">
              <w:t>Change in use and costs of MBS services</w:t>
            </w:r>
          </w:p>
        </w:tc>
        <w:tc>
          <w:tcPr>
            <w:tcW w:w="1275" w:type="dxa"/>
            <w:tcMar>
              <w:top w:w="0" w:type="dxa"/>
              <w:left w:w="108" w:type="dxa"/>
              <w:bottom w:w="0" w:type="dxa"/>
              <w:right w:w="108" w:type="dxa"/>
            </w:tcMar>
            <w:vAlign w:val="center"/>
          </w:tcPr>
          <w:p w14:paraId="188B125A" w14:textId="15EADBB9" w:rsidR="00D13D48" w:rsidRPr="00AC3F1B" w:rsidRDefault="00D13D48" w:rsidP="00BA6994">
            <w:pPr>
              <w:pStyle w:val="TableText"/>
              <w:keepNext/>
              <w:jc w:val="center"/>
            </w:pPr>
            <w:r w:rsidRPr="00AC3F1B">
              <w:rPr>
                <w:rFonts w:cs="Calibri"/>
                <w:color w:val="000000"/>
              </w:rPr>
              <w:t>-$31,894,760</w:t>
            </w:r>
          </w:p>
        </w:tc>
        <w:tc>
          <w:tcPr>
            <w:tcW w:w="1276" w:type="dxa"/>
            <w:tcMar>
              <w:top w:w="0" w:type="dxa"/>
              <w:left w:w="108" w:type="dxa"/>
              <w:bottom w:w="0" w:type="dxa"/>
              <w:right w:w="108" w:type="dxa"/>
            </w:tcMar>
            <w:vAlign w:val="center"/>
          </w:tcPr>
          <w:p w14:paraId="2A4BCF74" w14:textId="4320C321" w:rsidR="00D13D48" w:rsidRPr="00AC3F1B" w:rsidRDefault="00D13D48" w:rsidP="00BA6994">
            <w:pPr>
              <w:pStyle w:val="TableText"/>
              <w:keepNext/>
              <w:jc w:val="center"/>
            </w:pPr>
            <w:r w:rsidRPr="00AC3F1B">
              <w:rPr>
                <w:rFonts w:cs="Calibri"/>
                <w:color w:val="000000"/>
              </w:rPr>
              <w:t>-$32,422,110</w:t>
            </w:r>
          </w:p>
        </w:tc>
        <w:tc>
          <w:tcPr>
            <w:tcW w:w="1276" w:type="dxa"/>
            <w:tcMar>
              <w:top w:w="0" w:type="dxa"/>
              <w:left w:w="108" w:type="dxa"/>
              <w:bottom w:w="0" w:type="dxa"/>
              <w:right w:w="108" w:type="dxa"/>
            </w:tcMar>
            <w:vAlign w:val="center"/>
          </w:tcPr>
          <w:p w14:paraId="396256EE" w14:textId="4992AB95" w:rsidR="00D13D48" w:rsidRPr="00AC3F1B" w:rsidRDefault="00D13D48" w:rsidP="00BA6994">
            <w:pPr>
              <w:pStyle w:val="TableText"/>
              <w:keepNext/>
              <w:jc w:val="center"/>
            </w:pPr>
            <w:r w:rsidRPr="00AC3F1B">
              <w:rPr>
                <w:rFonts w:cs="Calibri"/>
                <w:color w:val="000000"/>
              </w:rPr>
              <w:t>-$32,946,942</w:t>
            </w:r>
          </w:p>
        </w:tc>
        <w:tc>
          <w:tcPr>
            <w:tcW w:w="1275" w:type="dxa"/>
            <w:tcMar>
              <w:top w:w="0" w:type="dxa"/>
              <w:left w:w="108" w:type="dxa"/>
              <w:bottom w:w="0" w:type="dxa"/>
              <w:right w:w="108" w:type="dxa"/>
            </w:tcMar>
            <w:vAlign w:val="center"/>
          </w:tcPr>
          <w:p w14:paraId="0CADAE5F" w14:textId="66037ADB" w:rsidR="00D13D48" w:rsidRPr="00AC3F1B" w:rsidRDefault="00D13D48" w:rsidP="00BA6994">
            <w:pPr>
              <w:pStyle w:val="TableText"/>
              <w:keepNext/>
              <w:jc w:val="center"/>
            </w:pPr>
            <w:r w:rsidRPr="00AC3F1B">
              <w:rPr>
                <w:rFonts w:cs="Calibri"/>
                <w:color w:val="000000"/>
              </w:rPr>
              <w:t>-$33,464,899</w:t>
            </w:r>
          </w:p>
        </w:tc>
        <w:tc>
          <w:tcPr>
            <w:tcW w:w="1277" w:type="dxa"/>
            <w:tcMar>
              <w:top w:w="0" w:type="dxa"/>
              <w:left w:w="108" w:type="dxa"/>
              <w:bottom w:w="0" w:type="dxa"/>
              <w:right w:w="108" w:type="dxa"/>
            </w:tcMar>
            <w:vAlign w:val="center"/>
          </w:tcPr>
          <w:p w14:paraId="7E07380B" w14:textId="7D5AB57F" w:rsidR="00D13D48" w:rsidRPr="00AC3F1B" w:rsidRDefault="00D13D48" w:rsidP="00BA6994">
            <w:pPr>
              <w:pStyle w:val="TableText"/>
              <w:keepNext/>
              <w:jc w:val="center"/>
            </w:pPr>
            <w:r w:rsidRPr="00AC3F1B">
              <w:rPr>
                <w:rFonts w:cs="Calibri"/>
                <w:color w:val="000000"/>
              </w:rPr>
              <w:t>-$33,976,473</w:t>
            </w:r>
          </w:p>
        </w:tc>
      </w:tr>
      <w:tr w:rsidR="00AC3F1B" w:rsidRPr="00AC3F1B" w14:paraId="1D7F897A" w14:textId="77777777" w:rsidTr="00C7722F">
        <w:tc>
          <w:tcPr>
            <w:tcW w:w="2967" w:type="dxa"/>
            <w:tcMar>
              <w:top w:w="0" w:type="dxa"/>
              <w:left w:w="108" w:type="dxa"/>
              <w:bottom w:w="0" w:type="dxa"/>
              <w:right w:w="108" w:type="dxa"/>
            </w:tcMar>
            <w:hideMark/>
          </w:tcPr>
          <w:p w14:paraId="6FEA76BA" w14:textId="28E49195" w:rsidR="00D13D48" w:rsidRPr="00AC3F1B" w:rsidRDefault="00D13D48" w:rsidP="0001555C">
            <w:pPr>
              <w:pStyle w:val="TableText"/>
              <w:keepNext/>
              <w:jc w:val="both"/>
              <w:rPr>
                <w:b/>
                <w:bCs/>
              </w:rPr>
            </w:pPr>
            <w:r w:rsidRPr="00AC3F1B">
              <w:rPr>
                <w:b/>
                <w:bCs/>
              </w:rPr>
              <w:t>Net financial impact to government budgets</w:t>
            </w:r>
          </w:p>
        </w:tc>
        <w:tc>
          <w:tcPr>
            <w:tcW w:w="1275" w:type="dxa"/>
            <w:tcMar>
              <w:top w:w="0" w:type="dxa"/>
              <w:left w:w="108" w:type="dxa"/>
              <w:bottom w:w="0" w:type="dxa"/>
              <w:right w:w="108" w:type="dxa"/>
            </w:tcMar>
            <w:vAlign w:val="center"/>
          </w:tcPr>
          <w:p w14:paraId="10D9A965" w14:textId="0D3F926B" w:rsidR="00D13D48" w:rsidRPr="00AC3F1B" w:rsidRDefault="00D13D48" w:rsidP="00BA6994">
            <w:pPr>
              <w:pStyle w:val="TableText"/>
              <w:keepNext/>
              <w:jc w:val="center"/>
              <w:rPr>
                <w:b/>
                <w:bCs/>
              </w:rPr>
            </w:pPr>
            <w:r w:rsidRPr="00AC3F1B">
              <w:rPr>
                <w:rFonts w:cs="Calibri"/>
                <w:b/>
                <w:color w:val="000000"/>
              </w:rPr>
              <w:t>-$29,602,296</w:t>
            </w:r>
          </w:p>
        </w:tc>
        <w:tc>
          <w:tcPr>
            <w:tcW w:w="1276" w:type="dxa"/>
            <w:tcMar>
              <w:top w:w="0" w:type="dxa"/>
              <w:left w:w="108" w:type="dxa"/>
              <w:bottom w:w="0" w:type="dxa"/>
              <w:right w:w="108" w:type="dxa"/>
            </w:tcMar>
            <w:vAlign w:val="center"/>
          </w:tcPr>
          <w:p w14:paraId="094449DB" w14:textId="1430454B" w:rsidR="00D13D48" w:rsidRPr="00AC3F1B" w:rsidRDefault="00D13D48" w:rsidP="00BA6994">
            <w:pPr>
              <w:pStyle w:val="TableText"/>
              <w:keepNext/>
              <w:jc w:val="center"/>
              <w:rPr>
                <w:b/>
                <w:bCs/>
              </w:rPr>
            </w:pPr>
            <w:r w:rsidRPr="00AC3F1B">
              <w:rPr>
                <w:rFonts w:cs="Calibri"/>
                <w:b/>
                <w:color w:val="000000"/>
              </w:rPr>
              <w:t>-$30,091,743</w:t>
            </w:r>
          </w:p>
        </w:tc>
        <w:tc>
          <w:tcPr>
            <w:tcW w:w="1276" w:type="dxa"/>
            <w:tcMar>
              <w:top w:w="0" w:type="dxa"/>
              <w:left w:w="108" w:type="dxa"/>
              <w:bottom w:w="0" w:type="dxa"/>
              <w:right w:w="108" w:type="dxa"/>
            </w:tcMar>
            <w:vAlign w:val="center"/>
          </w:tcPr>
          <w:p w14:paraId="1BD218F3" w14:textId="76BF2EB8" w:rsidR="00D13D48" w:rsidRPr="00AC3F1B" w:rsidRDefault="00D13D48" w:rsidP="00BA6994">
            <w:pPr>
              <w:pStyle w:val="TableText"/>
              <w:keepNext/>
              <w:jc w:val="center"/>
              <w:rPr>
                <w:b/>
                <w:bCs/>
              </w:rPr>
            </w:pPr>
            <w:r w:rsidRPr="00AC3F1B">
              <w:rPr>
                <w:rFonts w:cs="Calibri"/>
                <w:b/>
                <w:color w:val="000000"/>
              </w:rPr>
              <w:t>-$30,578,852</w:t>
            </w:r>
          </w:p>
        </w:tc>
        <w:tc>
          <w:tcPr>
            <w:tcW w:w="1275" w:type="dxa"/>
            <w:tcMar>
              <w:top w:w="0" w:type="dxa"/>
              <w:left w:w="108" w:type="dxa"/>
              <w:bottom w:w="0" w:type="dxa"/>
              <w:right w:w="108" w:type="dxa"/>
            </w:tcMar>
            <w:vAlign w:val="center"/>
          </w:tcPr>
          <w:p w14:paraId="6613D334" w14:textId="1327F362" w:rsidR="00D13D48" w:rsidRPr="00AC3F1B" w:rsidRDefault="00D13D48" w:rsidP="00BA6994">
            <w:pPr>
              <w:pStyle w:val="TableText"/>
              <w:keepNext/>
              <w:jc w:val="center"/>
              <w:rPr>
                <w:b/>
                <w:bCs/>
              </w:rPr>
            </w:pPr>
            <w:r w:rsidRPr="00AC3F1B">
              <w:rPr>
                <w:rFonts w:cs="Calibri"/>
                <w:b/>
                <w:color w:val="000000"/>
              </w:rPr>
              <w:t>-$31,059,580</w:t>
            </w:r>
          </w:p>
        </w:tc>
        <w:tc>
          <w:tcPr>
            <w:tcW w:w="1277" w:type="dxa"/>
            <w:tcMar>
              <w:top w:w="0" w:type="dxa"/>
              <w:left w:w="108" w:type="dxa"/>
              <w:bottom w:w="0" w:type="dxa"/>
              <w:right w:w="108" w:type="dxa"/>
            </w:tcMar>
            <w:vAlign w:val="center"/>
          </w:tcPr>
          <w:p w14:paraId="219A632F" w14:textId="59385E50" w:rsidR="00D13D48" w:rsidRPr="00AC3F1B" w:rsidRDefault="00D13D48" w:rsidP="00BA6994">
            <w:pPr>
              <w:pStyle w:val="TableText"/>
              <w:keepNext/>
              <w:jc w:val="center"/>
              <w:rPr>
                <w:b/>
                <w:bCs/>
              </w:rPr>
            </w:pPr>
            <w:r w:rsidRPr="00AC3F1B">
              <w:rPr>
                <w:rFonts w:cs="Calibri"/>
                <w:b/>
                <w:color w:val="000000"/>
              </w:rPr>
              <w:t>-$31,534,384</w:t>
            </w:r>
          </w:p>
        </w:tc>
      </w:tr>
      <w:tr w:rsidR="00AC3F1B" w:rsidRPr="00AC3F1B" w14:paraId="45C6623B" w14:textId="77777777" w:rsidTr="00C7722F">
        <w:tc>
          <w:tcPr>
            <w:tcW w:w="9346" w:type="dxa"/>
            <w:gridSpan w:val="6"/>
            <w:shd w:val="clear" w:color="auto" w:fill="D9D9D9" w:themeFill="background1" w:themeFillShade="D9"/>
            <w:tcMar>
              <w:top w:w="0" w:type="dxa"/>
              <w:left w:w="108" w:type="dxa"/>
              <w:bottom w:w="0" w:type="dxa"/>
              <w:right w:w="108" w:type="dxa"/>
            </w:tcMar>
            <w:vAlign w:val="center"/>
          </w:tcPr>
          <w:p w14:paraId="36AA7E91" w14:textId="08BB3540" w:rsidR="002E152C" w:rsidRPr="00800F8E" w:rsidRDefault="002E152C" w:rsidP="00BA6994">
            <w:pPr>
              <w:pStyle w:val="TableText"/>
              <w:keepNext/>
              <w:rPr>
                <w:rFonts w:cs="Calibri"/>
                <w:b/>
                <w:i/>
                <w:color w:val="000000"/>
              </w:rPr>
            </w:pPr>
            <w:r w:rsidRPr="00800F8E">
              <w:rPr>
                <w:b/>
                <w:bCs/>
                <w:i/>
              </w:rPr>
              <w:t>Revised financial impact</w:t>
            </w:r>
          </w:p>
        </w:tc>
      </w:tr>
      <w:tr w:rsidR="00AC3F1B" w:rsidRPr="00AC3F1B" w14:paraId="762121A5" w14:textId="77777777" w:rsidTr="00C7722F">
        <w:tc>
          <w:tcPr>
            <w:tcW w:w="2967" w:type="dxa"/>
            <w:tcMar>
              <w:top w:w="0" w:type="dxa"/>
              <w:left w:w="108" w:type="dxa"/>
              <w:bottom w:w="0" w:type="dxa"/>
              <w:right w:w="108" w:type="dxa"/>
            </w:tcMar>
          </w:tcPr>
          <w:p w14:paraId="205887C9" w14:textId="69266AA3" w:rsidR="002E152C" w:rsidRPr="00800F8E" w:rsidRDefault="002D7531" w:rsidP="0001555C">
            <w:pPr>
              <w:pStyle w:val="TableText"/>
              <w:keepNext/>
              <w:jc w:val="both"/>
              <w:rPr>
                <w:b/>
                <w:bCs/>
                <w:i/>
              </w:rPr>
            </w:pPr>
            <w:r w:rsidRPr="00800F8E">
              <w:rPr>
                <w:i/>
              </w:rPr>
              <w:t>Revised c</w:t>
            </w:r>
            <w:r w:rsidR="002E152C" w:rsidRPr="00800F8E">
              <w:rPr>
                <w:i/>
              </w:rPr>
              <w:t>hange in use and costs of PBS medications</w:t>
            </w:r>
          </w:p>
        </w:tc>
        <w:tc>
          <w:tcPr>
            <w:tcW w:w="1275" w:type="dxa"/>
            <w:tcMar>
              <w:top w:w="0" w:type="dxa"/>
              <w:left w:w="108" w:type="dxa"/>
              <w:bottom w:w="0" w:type="dxa"/>
              <w:right w:w="108" w:type="dxa"/>
            </w:tcMar>
            <w:vAlign w:val="center"/>
          </w:tcPr>
          <w:p w14:paraId="7F5DEC2D" w14:textId="1B721CFD" w:rsidR="002E152C" w:rsidRPr="00800F8E" w:rsidRDefault="002E152C" w:rsidP="00BA6994">
            <w:pPr>
              <w:pStyle w:val="TableText"/>
              <w:keepNext/>
              <w:jc w:val="center"/>
              <w:rPr>
                <w:rFonts w:cs="Calibri"/>
                <w:b/>
                <w:i/>
              </w:rPr>
            </w:pPr>
            <w:r w:rsidRPr="00800F8E">
              <w:rPr>
                <w:i/>
              </w:rPr>
              <w:t>-$715,852</w:t>
            </w:r>
          </w:p>
        </w:tc>
        <w:tc>
          <w:tcPr>
            <w:tcW w:w="1276" w:type="dxa"/>
            <w:tcMar>
              <w:top w:w="0" w:type="dxa"/>
              <w:left w:w="108" w:type="dxa"/>
              <w:bottom w:w="0" w:type="dxa"/>
              <w:right w:w="108" w:type="dxa"/>
            </w:tcMar>
            <w:vAlign w:val="center"/>
          </w:tcPr>
          <w:p w14:paraId="513A8976" w14:textId="6DEFFC74" w:rsidR="002E152C" w:rsidRPr="00800F8E" w:rsidRDefault="002E152C" w:rsidP="00BA6994">
            <w:pPr>
              <w:pStyle w:val="TableText"/>
              <w:keepNext/>
              <w:jc w:val="center"/>
              <w:rPr>
                <w:rFonts w:cs="Calibri"/>
                <w:b/>
                <w:i/>
              </w:rPr>
            </w:pPr>
            <w:r w:rsidRPr="00800F8E">
              <w:rPr>
                <w:i/>
              </w:rPr>
              <w:t>-$727,687</w:t>
            </w:r>
          </w:p>
        </w:tc>
        <w:tc>
          <w:tcPr>
            <w:tcW w:w="1276" w:type="dxa"/>
            <w:tcMar>
              <w:top w:w="0" w:type="dxa"/>
              <w:left w:w="108" w:type="dxa"/>
              <w:bottom w:w="0" w:type="dxa"/>
              <w:right w:w="108" w:type="dxa"/>
            </w:tcMar>
            <w:vAlign w:val="center"/>
          </w:tcPr>
          <w:p w14:paraId="4DB84B4F" w14:textId="7013119A" w:rsidR="002E152C" w:rsidRPr="00800F8E" w:rsidRDefault="002E152C" w:rsidP="00BA6994">
            <w:pPr>
              <w:pStyle w:val="TableText"/>
              <w:keepNext/>
              <w:jc w:val="center"/>
              <w:rPr>
                <w:rFonts w:cs="Calibri"/>
                <w:b/>
                <w:i/>
              </w:rPr>
            </w:pPr>
            <w:r w:rsidRPr="00800F8E">
              <w:rPr>
                <w:i/>
              </w:rPr>
              <w:t>-$739,467</w:t>
            </w:r>
          </w:p>
        </w:tc>
        <w:tc>
          <w:tcPr>
            <w:tcW w:w="1275" w:type="dxa"/>
            <w:tcMar>
              <w:top w:w="0" w:type="dxa"/>
              <w:left w:w="108" w:type="dxa"/>
              <w:bottom w:w="0" w:type="dxa"/>
              <w:right w:w="108" w:type="dxa"/>
            </w:tcMar>
            <w:vAlign w:val="center"/>
          </w:tcPr>
          <w:p w14:paraId="322DEE91" w14:textId="30C60783" w:rsidR="002E152C" w:rsidRPr="00800F8E" w:rsidRDefault="002E152C" w:rsidP="00BA6994">
            <w:pPr>
              <w:pStyle w:val="TableText"/>
              <w:keepNext/>
              <w:jc w:val="center"/>
              <w:rPr>
                <w:rFonts w:cs="Calibri"/>
                <w:b/>
                <w:i/>
              </w:rPr>
            </w:pPr>
            <w:r w:rsidRPr="00800F8E">
              <w:rPr>
                <w:i/>
              </w:rPr>
              <w:t>-$751,092</w:t>
            </w:r>
          </w:p>
        </w:tc>
        <w:tc>
          <w:tcPr>
            <w:tcW w:w="1277" w:type="dxa"/>
            <w:tcMar>
              <w:top w:w="0" w:type="dxa"/>
              <w:left w:w="108" w:type="dxa"/>
              <w:bottom w:w="0" w:type="dxa"/>
              <w:right w:w="108" w:type="dxa"/>
            </w:tcMar>
            <w:vAlign w:val="center"/>
          </w:tcPr>
          <w:p w14:paraId="2725F47D" w14:textId="04F3FFFF" w:rsidR="002E152C" w:rsidRPr="00800F8E" w:rsidRDefault="002E152C" w:rsidP="00BA6994">
            <w:pPr>
              <w:pStyle w:val="TableText"/>
              <w:keepNext/>
              <w:jc w:val="center"/>
              <w:rPr>
                <w:rFonts w:cs="Calibri"/>
                <w:b/>
                <w:i/>
              </w:rPr>
            </w:pPr>
            <w:r w:rsidRPr="00800F8E">
              <w:rPr>
                <w:i/>
              </w:rPr>
              <w:t>-$762,574</w:t>
            </w:r>
          </w:p>
        </w:tc>
      </w:tr>
      <w:tr w:rsidR="00AC3F1B" w:rsidRPr="00AC3F1B" w14:paraId="1A07AF3B" w14:textId="77777777" w:rsidTr="00C7722F">
        <w:tc>
          <w:tcPr>
            <w:tcW w:w="2967" w:type="dxa"/>
            <w:tcMar>
              <w:top w:w="0" w:type="dxa"/>
              <w:left w:w="108" w:type="dxa"/>
              <w:bottom w:w="0" w:type="dxa"/>
              <w:right w:w="108" w:type="dxa"/>
            </w:tcMar>
          </w:tcPr>
          <w:p w14:paraId="56816908" w14:textId="6DB9FF46" w:rsidR="002E152C" w:rsidRPr="00800F8E" w:rsidRDefault="002D7531" w:rsidP="0001555C">
            <w:pPr>
              <w:pStyle w:val="TableText"/>
              <w:keepNext/>
              <w:jc w:val="both"/>
              <w:rPr>
                <w:i/>
              </w:rPr>
            </w:pPr>
            <w:r w:rsidRPr="00800F8E">
              <w:rPr>
                <w:i/>
              </w:rPr>
              <w:t>Revised c</w:t>
            </w:r>
            <w:r w:rsidR="002E152C" w:rsidRPr="00800F8E">
              <w:rPr>
                <w:i/>
              </w:rPr>
              <w:t>hange in use and costs of MBS services</w:t>
            </w:r>
          </w:p>
        </w:tc>
        <w:tc>
          <w:tcPr>
            <w:tcW w:w="1275" w:type="dxa"/>
            <w:tcMar>
              <w:top w:w="0" w:type="dxa"/>
              <w:left w:w="108" w:type="dxa"/>
              <w:bottom w:w="0" w:type="dxa"/>
              <w:right w:w="108" w:type="dxa"/>
            </w:tcMar>
            <w:vAlign w:val="center"/>
          </w:tcPr>
          <w:p w14:paraId="3DA73B09" w14:textId="610A4B25" w:rsidR="002E152C" w:rsidRPr="00800F8E" w:rsidRDefault="002E152C" w:rsidP="00BA6994">
            <w:pPr>
              <w:pStyle w:val="TableText"/>
              <w:keepNext/>
              <w:jc w:val="center"/>
              <w:rPr>
                <w:i/>
              </w:rPr>
            </w:pPr>
            <w:r w:rsidRPr="00800F8E">
              <w:rPr>
                <w:rFonts w:cs="Calibri"/>
                <w:i/>
                <w:color w:val="000000"/>
              </w:rPr>
              <w:t>-$7,177,418</w:t>
            </w:r>
          </w:p>
        </w:tc>
        <w:tc>
          <w:tcPr>
            <w:tcW w:w="1276" w:type="dxa"/>
            <w:tcMar>
              <w:top w:w="0" w:type="dxa"/>
              <w:left w:w="108" w:type="dxa"/>
              <w:bottom w:w="0" w:type="dxa"/>
              <w:right w:w="108" w:type="dxa"/>
            </w:tcMar>
            <w:vAlign w:val="center"/>
          </w:tcPr>
          <w:p w14:paraId="5390AE05" w14:textId="47306153" w:rsidR="002E152C" w:rsidRPr="00800F8E" w:rsidRDefault="002E152C" w:rsidP="00BA6994">
            <w:pPr>
              <w:pStyle w:val="TableText"/>
              <w:keepNext/>
              <w:jc w:val="center"/>
              <w:rPr>
                <w:i/>
              </w:rPr>
            </w:pPr>
            <w:r w:rsidRPr="00800F8E">
              <w:rPr>
                <w:rFonts w:cs="Calibri"/>
                <w:i/>
                <w:color w:val="000000"/>
              </w:rPr>
              <w:t>-$7,296,090</w:t>
            </w:r>
          </w:p>
        </w:tc>
        <w:tc>
          <w:tcPr>
            <w:tcW w:w="1276" w:type="dxa"/>
            <w:tcMar>
              <w:top w:w="0" w:type="dxa"/>
              <w:left w:w="108" w:type="dxa"/>
              <w:bottom w:w="0" w:type="dxa"/>
              <w:right w:w="108" w:type="dxa"/>
            </w:tcMar>
            <w:vAlign w:val="center"/>
          </w:tcPr>
          <w:p w14:paraId="7070E947" w14:textId="482663D8" w:rsidR="002E152C" w:rsidRPr="00800F8E" w:rsidRDefault="002E152C" w:rsidP="00BA6994">
            <w:pPr>
              <w:pStyle w:val="TableText"/>
              <w:keepNext/>
              <w:jc w:val="center"/>
              <w:rPr>
                <w:i/>
              </w:rPr>
            </w:pPr>
            <w:r w:rsidRPr="00800F8E">
              <w:rPr>
                <w:rFonts w:cs="Calibri"/>
                <w:i/>
                <w:color w:val="000000"/>
              </w:rPr>
              <w:t>-$7,414,196</w:t>
            </w:r>
          </w:p>
        </w:tc>
        <w:tc>
          <w:tcPr>
            <w:tcW w:w="1275" w:type="dxa"/>
            <w:tcMar>
              <w:top w:w="0" w:type="dxa"/>
              <w:left w:w="108" w:type="dxa"/>
              <w:bottom w:w="0" w:type="dxa"/>
              <w:right w:w="108" w:type="dxa"/>
            </w:tcMar>
            <w:vAlign w:val="center"/>
          </w:tcPr>
          <w:p w14:paraId="36B24579" w14:textId="7887E01A" w:rsidR="002E152C" w:rsidRPr="00800F8E" w:rsidRDefault="002E152C" w:rsidP="00BA6994">
            <w:pPr>
              <w:pStyle w:val="TableText"/>
              <w:keepNext/>
              <w:jc w:val="center"/>
              <w:rPr>
                <w:i/>
              </w:rPr>
            </w:pPr>
            <w:r w:rsidRPr="00800F8E">
              <w:rPr>
                <w:rFonts w:cs="Calibri"/>
                <w:i/>
                <w:color w:val="000000"/>
              </w:rPr>
              <w:t>-$7,530,754</w:t>
            </w:r>
          </w:p>
        </w:tc>
        <w:tc>
          <w:tcPr>
            <w:tcW w:w="1277" w:type="dxa"/>
            <w:tcMar>
              <w:top w:w="0" w:type="dxa"/>
              <w:left w:w="108" w:type="dxa"/>
              <w:bottom w:w="0" w:type="dxa"/>
              <w:right w:w="108" w:type="dxa"/>
            </w:tcMar>
            <w:vAlign w:val="center"/>
          </w:tcPr>
          <w:p w14:paraId="70201662" w14:textId="02BD5DC7" w:rsidR="002E152C" w:rsidRPr="00800F8E" w:rsidRDefault="002E152C" w:rsidP="00BA6994">
            <w:pPr>
              <w:pStyle w:val="TableText"/>
              <w:keepNext/>
              <w:jc w:val="center"/>
              <w:rPr>
                <w:i/>
              </w:rPr>
            </w:pPr>
            <w:r w:rsidRPr="00800F8E">
              <w:rPr>
                <w:rFonts w:cs="Calibri"/>
                <w:i/>
                <w:color w:val="000000"/>
              </w:rPr>
              <w:t>-$7,645,876</w:t>
            </w:r>
          </w:p>
        </w:tc>
      </w:tr>
      <w:tr w:rsidR="00AC3F1B" w:rsidRPr="00AC3F1B" w14:paraId="1AD53003" w14:textId="77777777" w:rsidTr="00C7722F">
        <w:tc>
          <w:tcPr>
            <w:tcW w:w="2967" w:type="dxa"/>
            <w:tcMar>
              <w:top w:w="0" w:type="dxa"/>
              <w:left w:w="108" w:type="dxa"/>
              <w:bottom w:w="0" w:type="dxa"/>
              <w:right w:w="108" w:type="dxa"/>
            </w:tcMar>
          </w:tcPr>
          <w:p w14:paraId="7B95E78E" w14:textId="51125D53" w:rsidR="002E152C" w:rsidRPr="00800F8E" w:rsidRDefault="002D7531" w:rsidP="0001555C">
            <w:pPr>
              <w:pStyle w:val="TableText"/>
              <w:keepNext/>
              <w:jc w:val="both"/>
              <w:rPr>
                <w:i/>
              </w:rPr>
            </w:pPr>
            <w:r w:rsidRPr="00800F8E">
              <w:rPr>
                <w:b/>
                <w:bCs/>
                <w:i/>
              </w:rPr>
              <w:t>Revised n</w:t>
            </w:r>
            <w:r w:rsidR="002E152C" w:rsidRPr="00800F8E">
              <w:rPr>
                <w:b/>
                <w:bCs/>
                <w:i/>
              </w:rPr>
              <w:t>et financial impact to government budgets</w:t>
            </w:r>
          </w:p>
        </w:tc>
        <w:tc>
          <w:tcPr>
            <w:tcW w:w="1275" w:type="dxa"/>
            <w:tcMar>
              <w:top w:w="0" w:type="dxa"/>
              <w:left w:w="108" w:type="dxa"/>
              <w:bottom w:w="0" w:type="dxa"/>
              <w:right w:w="108" w:type="dxa"/>
            </w:tcMar>
            <w:vAlign w:val="center"/>
          </w:tcPr>
          <w:p w14:paraId="40E11BDC" w14:textId="45D85BF9" w:rsidR="002E152C" w:rsidRPr="00800F8E" w:rsidRDefault="002E152C" w:rsidP="00BA6994">
            <w:pPr>
              <w:pStyle w:val="TableText"/>
              <w:keepNext/>
              <w:jc w:val="center"/>
              <w:rPr>
                <w:rFonts w:cs="Calibri"/>
                <w:i/>
                <w:color w:val="000000"/>
              </w:rPr>
            </w:pPr>
            <w:r w:rsidRPr="00800F8E">
              <w:rPr>
                <w:rFonts w:cs="Calibri"/>
                <w:b/>
                <w:i/>
                <w:color w:val="000000"/>
              </w:rPr>
              <w:t>-$</w:t>
            </w:r>
            <w:r w:rsidR="00504579" w:rsidRPr="00800F8E">
              <w:rPr>
                <w:rFonts w:cs="Calibri"/>
                <w:b/>
                <w:i/>
                <w:color w:val="000000"/>
              </w:rPr>
              <w:t>3,166,911</w:t>
            </w:r>
          </w:p>
        </w:tc>
        <w:tc>
          <w:tcPr>
            <w:tcW w:w="1276" w:type="dxa"/>
            <w:tcMar>
              <w:top w:w="0" w:type="dxa"/>
              <w:left w:w="108" w:type="dxa"/>
              <w:bottom w:w="0" w:type="dxa"/>
              <w:right w:w="108" w:type="dxa"/>
            </w:tcMar>
            <w:vAlign w:val="center"/>
          </w:tcPr>
          <w:p w14:paraId="16F6A8B5" w14:textId="1112379C" w:rsidR="002E152C" w:rsidRPr="00800F8E" w:rsidRDefault="002E152C" w:rsidP="00BA6994">
            <w:pPr>
              <w:pStyle w:val="TableText"/>
              <w:keepNext/>
              <w:jc w:val="center"/>
              <w:rPr>
                <w:rFonts w:cs="Calibri"/>
                <w:i/>
                <w:color w:val="000000"/>
              </w:rPr>
            </w:pPr>
            <w:r w:rsidRPr="00800F8E">
              <w:rPr>
                <w:rFonts w:cs="Calibri"/>
                <w:b/>
                <w:i/>
                <w:color w:val="000000"/>
              </w:rPr>
              <w:t>-$</w:t>
            </w:r>
            <w:r w:rsidR="00504579" w:rsidRPr="00800F8E">
              <w:rPr>
                <w:rFonts w:cs="Calibri"/>
                <w:b/>
                <w:i/>
                <w:color w:val="000000"/>
              </w:rPr>
              <w:t>3,219,273</w:t>
            </w:r>
          </w:p>
        </w:tc>
        <w:tc>
          <w:tcPr>
            <w:tcW w:w="1276" w:type="dxa"/>
            <w:tcMar>
              <w:top w:w="0" w:type="dxa"/>
              <w:left w:w="108" w:type="dxa"/>
              <w:bottom w:w="0" w:type="dxa"/>
              <w:right w:w="108" w:type="dxa"/>
            </w:tcMar>
            <w:vAlign w:val="center"/>
          </w:tcPr>
          <w:p w14:paraId="0FB2DCCE" w14:textId="51026952" w:rsidR="002E152C" w:rsidRPr="00800F8E" w:rsidRDefault="002E152C" w:rsidP="00BA6994">
            <w:pPr>
              <w:pStyle w:val="TableText"/>
              <w:keepNext/>
              <w:jc w:val="center"/>
              <w:rPr>
                <w:rFonts w:cs="Calibri"/>
                <w:i/>
                <w:color w:val="000000"/>
              </w:rPr>
            </w:pPr>
            <w:r w:rsidRPr="00800F8E">
              <w:rPr>
                <w:rFonts w:cs="Calibri"/>
                <w:b/>
                <w:i/>
                <w:color w:val="000000"/>
              </w:rPr>
              <w:t>-$</w:t>
            </w:r>
            <w:r w:rsidR="00504579" w:rsidRPr="00800F8E">
              <w:rPr>
                <w:rFonts w:cs="Calibri"/>
                <w:b/>
                <w:i/>
                <w:color w:val="000000"/>
              </w:rPr>
              <w:t>3,271,385</w:t>
            </w:r>
          </w:p>
        </w:tc>
        <w:tc>
          <w:tcPr>
            <w:tcW w:w="1275" w:type="dxa"/>
            <w:tcMar>
              <w:top w:w="0" w:type="dxa"/>
              <w:left w:w="108" w:type="dxa"/>
              <w:bottom w:w="0" w:type="dxa"/>
              <w:right w:w="108" w:type="dxa"/>
            </w:tcMar>
            <w:vAlign w:val="center"/>
          </w:tcPr>
          <w:p w14:paraId="5BCD9563" w14:textId="3C33A525" w:rsidR="002E152C" w:rsidRPr="00800F8E" w:rsidRDefault="002E152C" w:rsidP="00BA6994">
            <w:pPr>
              <w:pStyle w:val="TableText"/>
              <w:keepNext/>
              <w:jc w:val="center"/>
              <w:rPr>
                <w:rFonts w:cs="Calibri"/>
                <w:i/>
                <w:color w:val="000000"/>
              </w:rPr>
            </w:pPr>
            <w:r w:rsidRPr="00800F8E">
              <w:rPr>
                <w:rFonts w:cs="Calibri"/>
                <w:b/>
                <w:i/>
                <w:color w:val="000000"/>
              </w:rPr>
              <w:t>-$</w:t>
            </w:r>
            <w:r w:rsidR="00504579" w:rsidRPr="00800F8E">
              <w:rPr>
                <w:rFonts w:cs="Calibri"/>
                <w:b/>
                <w:i/>
                <w:color w:val="000000"/>
              </w:rPr>
              <w:t>3,322,814</w:t>
            </w:r>
          </w:p>
        </w:tc>
        <w:tc>
          <w:tcPr>
            <w:tcW w:w="1277" w:type="dxa"/>
            <w:tcMar>
              <w:top w:w="0" w:type="dxa"/>
              <w:left w:w="108" w:type="dxa"/>
              <w:bottom w:w="0" w:type="dxa"/>
              <w:right w:w="108" w:type="dxa"/>
            </w:tcMar>
            <w:vAlign w:val="center"/>
          </w:tcPr>
          <w:p w14:paraId="78E8ECE6" w14:textId="4BE69D4A" w:rsidR="002E152C" w:rsidRPr="00800F8E" w:rsidRDefault="002E152C" w:rsidP="00BA6994">
            <w:pPr>
              <w:pStyle w:val="TableText"/>
              <w:keepNext/>
              <w:jc w:val="center"/>
              <w:rPr>
                <w:rFonts w:cs="Calibri"/>
                <w:i/>
                <w:color w:val="000000"/>
              </w:rPr>
            </w:pPr>
            <w:r w:rsidRPr="00800F8E">
              <w:rPr>
                <w:rFonts w:cs="Calibri"/>
                <w:b/>
                <w:i/>
                <w:color w:val="000000"/>
              </w:rPr>
              <w:t>-$</w:t>
            </w:r>
            <w:r w:rsidR="00504579" w:rsidRPr="00800F8E">
              <w:rPr>
                <w:rFonts w:cs="Calibri"/>
                <w:b/>
                <w:i/>
                <w:color w:val="000000"/>
              </w:rPr>
              <w:t>3,373,610</w:t>
            </w:r>
          </w:p>
        </w:tc>
      </w:tr>
    </w:tbl>
    <w:p w14:paraId="44EC4C98" w14:textId="000CBD61" w:rsidR="007E47EE" w:rsidRDefault="007E47EE" w:rsidP="00D76B8B">
      <w:pPr>
        <w:pStyle w:val="TableFigureFooter"/>
        <w:spacing w:before="0" w:after="0"/>
        <w:jc w:val="both"/>
      </w:pPr>
      <w:bookmarkStart w:id="49" w:name="_Hlk100150686"/>
      <w:bookmarkStart w:id="50" w:name="_Hlk68276814"/>
      <w:bookmarkEnd w:id="48"/>
      <w:r w:rsidRPr="00431366">
        <w:t xml:space="preserve">Source: Tables </w:t>
      </w:r>
      <w:r w:rsidR="000B1C90">
        <w:t xml:space="preserve">67-69, </w:t>
      </w:r>
      <w:r w:rsidRPr="00431366">
        <w:t>129-130</w:t>
      </w:r>
      <w:r w:rsidR="00431366" w:rsidRPr="00431366">
        <w:t xml:space="preserve"> of ADAR. </w:t>
      </w:r>
    </w:p>
    <w:p w14:paraId="03C9E964" w14:textId="6FF556DA" w:rsidR="00800F8E" w:rsidRPr="00800F8E" w:rsidRDefault="00800F8E" w:rsidP="00D76B8B">
      <w:pPr>
        <w:pStyle w:val="TableFigureFooter"/>
        <w:spacing w:before="0" w:after="0"/>
        <w:jc w:val="both"/>
        <w:rPr>
          <w:rFonts w:eastAsia="Calibri"/>
          <w:i/>
          <w:iCs/>
          <w:szCs w:val="20"/>
        </w:rPr>
      </w:pPr>
      <w:r w:rsidRPr="00BA6994">
        <w:rPr>
          <w:rFonts w:eastAsia="Calibri"/>
          <w:i/>
          <w:iCs/>
          <w:szCs w:val="20"/>
        </w:rPr>
        <w:t>Italics indicates results generated during the evaluation.</w:t>
      </w:r>
      <w:r>
        <w:rPr>
          <w:rFonts w:eastAsia="Calibri"/>
          <w:i/>
          <w:iCs/>
          <w:szCs w:val="20"/>
        </w:rPr>
        <w:t xml:space="preserve"> </w:t>
      </w:r>
    </w:p>
    <w:p w14:paraId="531F62E2" w14:textId="448A9287" w:rsidR="00431366" w:rsidRPr="00431366" w:rsidRDefault="00431366" w:rsidP="0001555C">
      <w:pPr>
        <w:pStyle w:val="TableFigureFooter"/>
        <w:spacing w:before="0"/>
        <w:jc w:val="both"/>
      </w:pPr>
      <w:r>
        <w:t>Abbreviations: CPMC, Chronic Pain MedsCheck</w:t>
      </w:r>
      <w:r w:rsidR="00D76B8B">
        <w:t xml:space="preserve">; ED, Emergency Department; </w:t>
      </w:r>
      <w:r w:rsidR="00D76B8B" w:rsidRPr="00127276">
        <w:t xml:space="preserve">MBS, Medicare </w:t>
      </w:r>
      <w:r w:rsidR="00A27899">
        <w:t>B</w:t>
      </w:r>
      <w:r w:rsidR="00D76B8B" w:rsidRPr="00127276">
        <w:t xml:space="preserve">enefits </w:t>
      </w:r>
      <w:r w:rsidR="00A27899">
        <w:t>S</w:t>
      </w:r>
      <w:r w:rsidR="00D76B8B" w:rsidRPr="00127276">
        <w:t xml:space="preserve">chedule; PBS, Pharmaceutical </w:t>
      </w:r>
      <w:r w:rsidR="00A27899">
        <w:t>B</w:t>
      </w:r>
      <w:r w:rsidR="00D76B8B" w:rsidRPr="00127276">
        <w:t xml:space="preserve">enefits </w:t>
      </w:r>
      <w:r w:rsidR="00A27899">
        <w:t>S</w:t>
      </w:r>
      <w:r w:rsidR="00D76B8B" w:rsidRPr="00127276">
        <w:t>cheme</w:t>
      </w:r>
      <w:r w:rsidR="00D76B8B">
        <w:t>.</w:t>
      </w:r>
      <w:bookmarkEnd w:id="49"/>
    </w:p>
    <w:p w14:paraId="7838A9FF" w14:textId="41B66310" w:rsidR="00772829" w:rsidRPr="00CE28E3" w:rsidRDefault="00772829" w:rsidP="00C7722F">
      <w:pPr>
        <w:pStyle w:val="Heading2"/>
        <w:numPr>
          <w:ilvl w:val="0"/>
          <w:numId w:val="18"/>
        </w:numPr>
        <w:ind w:hanging="720"/>
        <w:jc w:val="both"/>
      </w:pPr>
      <w:bookmarkStart w:id="51" w:name="_Toc69491427"/>
      <w:bookmarkEnd w:id="50"/>
      <w:r w:rsidRPr="00CE28E3">
        <w:t xml:space="preserve">Other relevant </w:t>
      </w:r>
      <w:bookmarkEnd w:id="51"/>
      <w:r w:rsidR="00FA5766">
        <w:t>information</w:t>
      </w:r>
    </w:p>
    <w:p w14:paraId="261C1B22" w14:textId="13241D63" w:rsidR="00AC3F1B" w:rsidRPr="002E6226" w:rsidRDefault="00AC3F1B" w:rsidP="00C515CE">
      <w:pPr>
        <w:pStyle w:val="Instructionaltext-afterfiguretable"/>
        <w:rPr>
          <w:color w:val="auto"/>
        </w:rPr>
      </w:pPr>
      <w:r w:rsidRPr="00BA6994">
        <w:rPr>
          <w:color w:val="auto"/>
        </w:rPr>
        <w:t>The ADAR also presented a large number for qualitative results exploring pharmacists</w:t>
      </w:r>
      <w:r w:rsidR="00C0051B">
        <w:rPr>
          <w:color w:val="auto"/>
        </w:rPr>
        <w:t>’</w:t>
      </w:r>
      <w:r w:rsidRPr="00BA6994">
        <w:rPr>
          <w:color w:val="auto"/>
        </w:rPr>
        <w:t xml:space="preserve"> experience of providing the CPMC</w:t>
      </w:r>
      <w:r w:rsidR="004853A8" w:rsidRPr="00BA6994">
        <w:rPr>
          <w:color w:val="auto"/>
        </w:rPr>
        <w:t xml:space="preserve">, </w:t>
      </w:r>
      <w:r w:rsidR="00746DD0" w:rsidRPr="00BA6994">
        <w:rPr>
          <w:color w:val="auto"/>
        </w:rPr>
        <w:t xml:space="preserve">and the potential changes in </w:t>
      </w:r>
      <w:r w:rsidR="004853A8" w:rsidRPr="00BA6994">
        <w:rPr>
          <w:color w:val="auto"/>
        </w:rPr>
        <w:t xml:space="preserve">a </w:t>
      </w:r>
      <w:r w:rsidR="00746DD0" w:rsidRPr="00BA6994">
        <w:rPr>
          <w:color w:val="auto"/>
        </w:rPr>
        <w:t>pharmacist</w:t>
      </w:r>
      <w:r w:rsidR="004853A8" w:rsidRPr="00BA6994">
        <w:rPr>
          <w:color w:val="auto"/>
        </w:rPr>
        <w:t>’s</w:t>
      </w:r>
      <w:r w:rsidR="00746DD0" w:rsidRPr="00BA6994">
        <w:rPr>
          <w:color w:val="auto"/>
        </w:rPr>
        <w:t xml:space="preserve"> role as a result of providing </w:t>
      </w:r>
      <w:r w:rsidR="0024265C">
        <w:rPr>
          <w:color w:val="auto"/>
        </w:rPr>
        <w:t xml:space="preserve">the </w:t>
      </w:r>
      <w:r w:rsidR="00746DD0" w:rsidRPr="00BA6994">
        <w:rPr>
          <w:color w:val="auto"/>
        </w:rPr>
        <w:t xml:space="preserve">CPMC. </w:t>
      </w:r>
      <w:r w:rsidR="00746DD0" w:rsidRPr="002E6226">
        <w:rPr>
          <w:color w:val="auto"/>
        </w:rPr>
        <w:t xml:space="preserve">These discussions are general in nature and do not </w:t>
      </w:r>
      <w:r w:rsidR="004853A8" w:rsidRPr="002E6226">
        <w:rPr>
          <w:color w:val="auto"/>
        </w:rPr>
        <w:t xml:space="preserve">allow </w:t>
      </w:r>
      <w:r w:rsidR="00746DD0" w:rsidRPr="002E6226">
        <w:rPr>
          <w:color w:val="auto"/>
        </w:rPr>
        <w:t>better quantification of costs and benefits of the program but may offer some relevant points to assist roll out should MSAC decide to recommend the program</w:t>
      </w:r>
      <w:r w:rsidR="004853A8" w:rsidRPr="002E6226">
        <w:rPr>
          <w:color w:val="auto"/>
        </w:rPr>
        <w:t xml:space="preserve"> for funding</w:t>
      </w:r>
      <w:r w:rsidR="00746DD0" w:rsidRPr="002E6226">
        <w:rPr>
          <w:color w:val="auto"/>
        </w:rPr>
        <w:t>.</w:t>
      </w:r>
      <w:r w:rsidR="00A0458E" w:rsidRPr="002E6226">
        <w:rPr>
          <w:color w:val="auto"/>
        </w:rPr>
        <w:t xml:space="preserve"> These include:</w:t>
      </w:r>
    </w:p>
    <w:p w14:paraId="0DA7BBA3" w14:textId="4D36B918" w:rsidR="00A0458E" w:rsidRPr="002E6226" w:rsidRDefault="00A0458E" w:rsidP="00C7722F">
      <w:pPr>
        <w:pStyle w:val="Instructionaltext-afterfiguretable"/>
        <w:numPr>
          <w:ilvl w:val="0"/>
          <w:numId w:val="15"/>
        </w:numPr>
        <w:spacing w:before="120"/>
        <w:ind w:left="714" w:hanging="357"/>
        <w:rPr>
          <w:color w:val="auto"/>
        </w:rPr>
      </w:pPr>
      <w:r w:rsidRPr="002E6226">
        <w:rPr>
          <w:color w:val="auto"/>
        </w:rPr>
        <w:t>Increasing accessibility for culturally and linguistically diverse populations by providing education resources in more languages</w:t>
      </w:r>
      <w:r w:rsidR="00E700C2">
        <w:rPr>
          <w:color w:val="auto"/>
        </w:rPr>
        <w:t>.</w:t>
      </w:r>
    </w:p>
    <w:p w14:paraId="55989641" w14:textId="4767B126" w:rsidR="00DC70B5" w:rsidRPr="002E6226" w:rsidRDefault="00DC70B5" w:rsidP="00C7722F">
      <w:pPr>
        <w:pStyle w:val="Instructionaltext-afterfiguretable"/>
        <w:numPr>
          <w:ilvl w:val="0"/>
          <w:numId w:val="15"/>
        </w:numPr>
        <w:spacing w:before="120"/>
        <w:ind w:left="714" w:hanging="357"/>
        <w:rPr>
          <w:color w:val="auto"/>
        </w:rPr>
      </w:pPr>
      <w:r w:rsidRPr="002E6226">
        <w:rPr>
          <w:color w:val="auto"/>
        </w:rPr>
        <w:t>Increasing accessibility for rural and regional populations</w:t>
      </w:r>
      <w:r w:rsidR="00E700C2">
        <w:rPr>
          <w:color w:val="auto"/>
        </w:rPr>
        <w:t>.</w:t>
      </w:r>
      <w:r w:rsidRPr="002E6226">
        <w:rPr>
          <w:color w:val="auto"/>
        </w:rPr>
        <w:t xml:space="preserve"> </w:t>
      </w:r>
    </w:p>
    <w:p w14:paraId="6F27CD44" w14:textId="5F1B6081" w:rsidR="00DC70B5" w:rsidRPr="002E6226" w:rsidRDefault="00DC70B5" w:rsidP="00C7722F">
      <w:pPr>
        <w:pStyle w:val="Instructionaltext-afterfiguretable"/>
        <w:numPr>
          <w:ilvl w:val="0"/>
          <w:numId w:val="15"/>
        </w:numPr>
        <w:spacing w:before="120"/>
        <w:ind w:left="714" w:hanging="357"/>
        <w:rPr>
          <w:color w:val="auto"/>
        </w:rPr>
      </w:pPr>
      <w:r w:rsidRPr="002E6226">
        <w:rPr>
          <w:color w:val="auto"/>
        </w:rPr>
        <w:t xml:space="preserve">Reviewing the consultation schedule. Qualitative feedback suggested the consultations were time consuming and the number of </w:t>
      </w:r>
      <w:r w:rsidR="00DB50F9">
        <w:rPr>
          <w:color w:val="auto"/>
        </w:rPr>
        <w:t xml:space="preserve">follow-up </w:t>
      </w:r>
      <w:r w:rsidRPr="002E6226">
        <w:rPr>
          <w:color w:val="auto"/>
        </w:rPr>
        <w:t xml:space="preserve">services were insufficient. Some </w:t>
      </w:r>
      <w:r w:rsidRPr="002E6226">
        <w:rPr>
          <w:color w:val="auto"/>
        </w:rPr>
        <w:lastRenderedPageBreak/>
        <w:t xml:space="preserve">pharmacists and patients may prefer </w:t>
      </w:r>
      <w:r w:rsidR="0024265C">
        <w:rPr>
          <w:color w:val="auto"/>
        </w:rPr>
        <w:t>a larger number of</w:t>
      </w:r>
      <w:r w:rsidR="0024265C" w:rsidRPr="002E6226">
        <w:rPr>
          <w:color w:val="auto"/>
        </w:rPr>
        <w:t xml:space="preserve"> </w:t>
      </w:r>
      <w:r w:rsidRPr="002E6226">
        <w:rPr>
          <w:color w:val="auto"/>
        </w:rPr>
        <w:t xml:space="preserve">shorter consultations to fit into workflow and/or lifestyle. </w:t>
      </w:r>
    </w:p>
    <w:p w14:paraId="02787F68" w14:textId="36C13881" w:rsidR="00542C68" w:rsidRDefault="00542C68" w:rsidP="00C7722F">
      <w:pPr>
        <w:pStyle w:val="Instructionaltext-afterfiguretable"/>
        <w:numPr>
          <w:ilvl w:val="0"/>
          <w:numId w:val="15"/>
        </w:numPr>
        <w:spacing w:before="120"/>
        <w:ind w:left="714" w:hanging="357"/>
        <w:rPr>
          <w:color w:val="auto"/>
        </w:rPr>
      </w:pPr>
      <w:r w:rsidRPr="002E6226">
        <w:rPr>
          <w:color w:val="auto"/>
        </w:rPr>
        <w:t xml:space="preserve">Mechanisms for quality assurance. Approximately </w:t>
      </w:r>
      <w:r w:rsidR="0024265C">
        <w:rPr>
          <w:color w:val="auto"/>
        </w:rPr>
        <w:t>one</w:t>
      </w:r>
      <w:r w:rsidRPr="002E6226">
        <w:rPr>
          <w:color w:val="auto"/>
        </w:rPr>
        <w:t xml:space="preserve"> third of</w:t>
      </w:r>
      <w:r w:rsidR="00A11093" w:rsidRPr="002E6226">
        <w:rPr>
          <w:color w:val="auto"/>
        </w:rPr>
        <w:t xml:space="preserve"> respondents to the pharmacist survey rat</w:t>
      </w:r>
      <w:r w:rsidR="0024265C">
        <w:rPr>
          <w:color w:val="auto"/>
        </w:rPr>
        <w:t>ed</w:t>
      </w:r>
      <w:r w:rsidR="00A11093" w:rsidRPr="002E6226">
        <w:rPr>
          <w:color w:val="auto"/>
        </w:rPr>
        <w:t xml:space="preserve"> ‘developing an action plan’ at least somewhat difficult to perform, and there were various suggestions to improve the trial software. The proposal is not clear on whether the aspects of the trial that help to standardise service delivery, such as mandatory referral algorithms, would be included if funded. </w:t>
      </w:r>
    </w:p>
    <w:p w14:paraId="682A966D" w14:textId="4ABE9395" w:rsidR="00316466" w:rsidRDefault="00316466" w:rsidP="00316466">
      <w:pPr>
        <w:pStyle w:val="Heading2"/>
        <w:numPr>
          <w:ilvl w:val="0"/>
          <w:numId w:val="18"/>
        </w:numPr>
        <w:ind w:hanging="720"/>
        <w:jc w:val="both"/>
      </w:pPr>
      <w:bookmarkStart w:id="52" w:name="_Hlk103938359"/>
      <w:r>
        <w:t>Key issues from ESC to MSAC</w:t>
      </w:r>
    </w:p>
    <w:tbl>
      <w:tblPr>
        <w:tblStyle w:val="ASDTable1"/>
        <w:tblW w:w="9209" w:type="dxa"/>
        <w:tblInd w:w="-147" w:type="dxa"/>
        <w:tblLook w:val="04A0" w:firstRow="1" w:lastRow="0" w:firstColumn="1" w:lastColumn="0" w:noHBand="0" w:noVBand="1"/>
      </w:tblPr>
      <w:tblGrid>
        <w:gridCol w:w="9209"/>
      </w:tblGrid>
      <w:tr w:rsidR="00316466" w14:paraId="3634C75B" w14:textId="77777777" w:rsidTr="00BD5A67">
        <w:tc>
          <w:tcPr>
            <w:tcW w:w="9209" w:type="dxa"/>
            <w:tcBorders>
              <w:top w:val="single" w:sz="4" w:space="0" w:color="auto"/>
              <w:left w:val="single" w:sz="4" w:space="0" w:color="auto"/>
              <w:bottom w:val="single" w:sz="4" w:space="0" w:color="auto"/>
              <w:right w:val="single" w:sz="4" w:space="0" w:color="auto"/>
            </w:tcBorders>
            <w:hideMark/>
          </w:tcPr>
          <w:p w14:paraId="1C89952E" w14:textId="77777777" w:rsidR="00316466" w:rsidRDefault="00316466" w:rsidP="00BD5A67">
            <w:pPr>
              <w:spacing w:before="240"/>
              <w:rPr>
                <w:b/>
                <w:bCs/>
                <w:sz w:val="24"/>
                <w:szCs w:val="24"/>
              </w:rPr>
            </w:pPr>
            <w:r>
              <w:rPr>
                <w:b/>
                <w:bCs/>
                <w:sz w:val="24"/>
                <w:szCs w:val="24"/>
              </w:rPr>
              <w:t xml:space="preserve">Main issues for MSAC consideration </w:t>
            </w:r>
          </w:p>
          <w:p w14:paraId="652CCA58" w14:textId="77777777" w:rsidR="00316466" w:rsidRDefault="00316466" w:rsidP="00BD5A67">
            <w:pPr>
              <w:spacing w:after="160" w:line="256" w:lineRule="auto"/>
              <w:rPr>
                <w:rFonts w:eastAsia="Calibri" w:cs="Times New Roman"/>
                <w:b/>
              </w:rPr>
            </w:pPr>
            <w:r>
              <w:rPr>
                <w:rFonts w:eastAsia="Calibri" w:cs="Times New Roman"/>
                <w:b/>
              </w:rPr>
              <w:t>Clinical issues:</w:t>
            </w:r>
          </w:p>
          <w:p w14:paraId="025B7A7F" w14:textId="77777777" w:rsidR="00316466" w:rsidRDefault="00316466" w:rsidP="00BD5A67">
            <w:pPr>
              <w:pStyle w:val="Bullet"/>
              <w:numPr>
                <w:ilvl w:val="0"/>
                <w:numId w:val="19"/>
              </w:numPr>
              <w:ind w:left="360"/>
              <w:rPr>
                <w:rFonts w:ascii="Franklin Gothic Book" w:hAnsi="Franklin Gothic Book"/>
              </w:rPr>
            </w:pPr>
            <w:r w:rsidRPr="001C2D3A">
              <w:rPr>
                <w:rFonts w:ascii="Franklin Gothic Book" w:hAnsi="Franklin Gothic Book"/>
              </w:rPr>
              <w:t xml:space="preserve">The eligibility criteria </w:t>
            </w:r>
            <w:r>
              <w:rPr>
                <w:rFonts w:ascii="Franklin Gothic Book" w:hAnsi="Franklin Gothic Book"/>
              </w:rPr>
              <w:t xml:space="preserve">for the key trial </w:t>
            </w:r>
            <w:r w:rsidRPr="001C2D3A">
              <w:rPr>
                <w:rFonts w:ascii="Franklin Gothic Book" w:hAnsi="Franklin Gothic Book"/>
              </w:rPr>
              <w:t xml:space="preserve">were not well defined nor indicative of the participant experiencing poorly managed chronic pain – a diagnosis that should be made by a medical practitioner. </w:t>
            </w:r>
          </w:p>
          <w:p w14:paraId="0A771C87" w14:textId="77777777" w:rsidR="00316466" w:rsidRPr="004855DD" w:rsidRDefault="00316466" w:rsidP="00BD5A67">
            <w:pPr>
              <w:pStyle w:val="Bullet"/>
              <w:numPr>
                <w:ilvl w:val="0"/>
                <w:numId w:val="19"/>
              </w:numPr>
              <w:ind w:left="360"/>
              <w:rPr>
                <w:rFonts w:ascii="Franklin Gothic Book" w:hAnsi="Franklin Gothic Book"/>
              </w:rPr>
            </w:pPr>
            <w:r w:rsidRPr="001C2D3A">
              <w:rPr>
                <w:rFonts w:ascii="Franklin Gothic Book" w:hAnsi="Franklin Gothic Book"/>
              </w:rPr>
              <w:t xml:space="preserve">The intervention provided by the pharmacists was not well described. </w:t>
            </w:r>
          </w:p>
          <w:p w14:paraId="168E17FA" w14:textId="77777777" w:rsidR="00316466" w:rsidRDefault="00316466" w:rsidP="00BD5A67">
            <w:pPr>
              <w:pStyle w:val="Bullet"/>
              <w:numPr>
                <w:ilvl w:val="0"/>
                <w:numId w:val="19"/>
              </w:numPr>
              <w:ind w:left="360"/>
              <w:rPr>
                <w:rFonts w:ascii="Franklin Gothic Book" w:hAnsi="Franklin Gothic Book"/>
              </w:rPr>
            </w:pPr>
            <w:r w:rsidRPr="004855DD">
              <w:rPr>
                <w:rFonts w:ascii="Franklin Gothic Book" w:hAnsi="Franklin Gothic Book"/>
              </w:rPr>
              <w:t xml:space="preserve">Very low confidence in the estimate of effect – multiple biases in study design, results and statistical analysis mean the </w:t>
            </w:r>
            <w:r>
              <w:rPr>
                <w:rFonts w:ascii="Franklin Gothic Book" w:hAnsi="Franklin Gothic Book"/>
              </w:rPr>
              <w:t>reported data</w:t>
            </w:r>
            <w:r w:rsidRPr="004855DD">
              <w:rPr>
                <w:rFonts w:ascii="Franklin Gothic Book" w:hAnsi="Franklin Gothic Book"/>
              </w:rPr>
              <w:t xml:space="preserve"> are unlikely to provide a reliable estimate of the effect of the intervention. </w:t>
            </w:r>
          </w:p>
          <w:p w14:paraId="643A8D61" w14:textId="77777777" w:rsidR="00316466" w:rsidRPr="001C2D3A" w:rsidRDefault="00316466" w:rsidP="00BD5A67">
            <w:pPr>
              <w:pStyle w:val="Bullet"/>
              <w:numPr>
                <w:ilvl w:val="0"/>
                <w:numId w:val="19"/>
              </w:numPr>
              <w:ind w:left="360"/>
              <w:rPr>
                <w:rFonts w:ascii="Franklin Gothic Book" w:hAnsi="Franklin Gothic Book"/>
              </w:rPr>
            </w:pPr>
            <w:r w:rsidRPr="004855DD">
              <w:rPr>
                <w:rFonts w:ascii="Franklin Gothic Book" w:hAnsi="Franklin Gothic Book"/>
              </w:rPr>
              <w:t xml:space="preserve">The lack of a concurrent comparator arm meant regression to the mean cannot </w:t>
            </w:r>
            <w:r>
              <w:rPr>
                <w:rFonts w:ascii="Franklin Gothic Book" w:hAnsi="Franklin Gothic Book"/>
              </w:rPr>
              <w:t xml:space="preserve">be </w:t>
            </w:r>
            <w:r w:rsidRPr="004855DD">
              <w:rPr>
                <w:rFonts w:ascii="Franklin Gothic Book" w:hAnsi="Franklin Gothic Book"/>
              </w:rPr>
              <w:t xml:space="preserve">excluded as an explanation for the results. </w:t>
            </w:r>
          </w:p>
          <w:p w14:paraId="354E9C57" w14:textId="77777777" w:rsidR="00316466" w:rsidRPr="004855DD" w:rsidRDefault="00316466" w:rsidP="00BD5A67">
            <w:pPr>
              <w:pStyle w:val="Bullet"/>
              <w:numPr>
                <w:ilvl w:val="0"/>
                <w:numId w:val="19"/>
              </w:numPr>
              <w:ind w:left="360"/>
              <w:rPr>
                <w:rFonts w:ascii="Franklin Gothic Book" w:hAnsi="Franklin Gothic Book"/>
              </w:rPr>
            </w:pPr>
            <w:r w:rsidRPr="004855DD">
              <w:rPr>
                <w:rFonts w:ascii="Franklin Gothic Book" w:hAnsi="Franklin Gothic Book"/>
              </w:rPr>
              <w:t>Lack of care coordination – the Chronic Pain MedsCheck study design and proposed implementation do not include liaison with the patient’s GP</w:t>
            </w:r>
            <w:r>
              <w:rPr>
                <w:rFonts w:ascii="Franklin Gothic Book" w:hAnsi="Franklin Gothic Book"/>
              </w:rPr>
              <w:t xml:space="preserve"> which is integral for</w:t>
            </w:r>
            <w:r w:rsidRPr="004855DD">
              <w:rPr>
                <w:rFonts w:ascii="Franklin Gothic Book" w:hAnsi="Franklin Gothic Book"/>
              </w:rPr>
              <w:t xml:space="preserve"> </w:t>
            </w:r>
            <w:r>
              <w:rPr>
                <w:rFonts w:ascii="Franklin Gothic Book" w:hAnsi="Franklin Gothic Book"/>
              </w:rPr>
              <w:t xml:space="preserve">ensuring </w:t>
            </w:r>
            <w:r w:rsidRPr="004855DD">
              <w:rPr>
                <w:rFonts w:ascii="Franklin Gothic Book" w:hAnsi="Franklin Gothic Book"/>
              </w:rPr>
              <w:t xml:space="preserve">coordinated multidisciplinary care </w:t>
            </w:r>
            <w:r>
              <w:rPr>
                <w:rFonts w:ascii="Franklin Gothic Book" w:hAnsi="Franklin Gothic Book"/>
              </w:rPr>
              <w:t>for the management of</w:t>
            </w:r>
            <w:r w:rsidRPr="004855DD">
              <w:rPr>
                <w:rFonts w:ascii="Franklin Gothic Book" w:hAnsi="Franklin Gothic Book"/>
              </w:rPr>
              <w:t xml:space="preserve"> chronic pain. It would be more appropriate for GPs to refer patients to ensure the service is targeted</w:t>
            </w:r>
            <w:r>
              <w:rPr>
                <w:rFonts w:ascii="Franklin Gothic Book" w:hAnsi="Franklin Gothic Book"/>
              </w:rPr>
              <w:t xml:space="preserve"> to those who need it</w:t>
            </w:r>
            <w:r w:rsidRPr="004855DD">
              <w:rPr>
                <w:rFonts w:ascii="Franklin Gothic Book" w:hAnsi="Franklin Gothic Book"/>
              </w:rPr>
              <w:t xml:space="preserve">. </w:t>
            </w:r>
          </w:p>
          <w:p w14:paraId="23D08C86" w14:textId="77777777" w:rsidR="00316466" w:rsidRPr="004855DD" w:rsidRDefault="00316466" w:rsidP="00BD5A67">
            <w:pPr>
              <w:pStyle w:val="Bullet"/>
              <w:numPr>
                <w:ilvl w:val="0"/>
                <w:numId w:val="19"/>
              </w:numPr>
              <w:ind w:left="360"/>
              <w:rPr>
                <w:rFonts w:ascii="Franklin Gothic Book" w:hAnsi="Franklin Gothic Book"/>
              </w:rPr>
            </w:pPr>
            <w:r w:rsidRPr="004855DD">
              <w:rPr>
                <w:rFonts w:ascii="Franklin Gothic Book" w:hAnsi="Franklin Gothic Book"/>
              </w:rPr>
              <w:t>Safety concerns – there is a risk of inferior safety when the intervention is applied but the underlying diagnosis and rationale for prescribing is unknown.</w:t>
            </w:r>
          </w:p>
          <w:p w14:paraId="12ABBF22" w14:textId="77777777" w:rsidR="00316466" w:rsidRDefault="00316466" w:rsidP="00BD5A67">
            <w:pPr>
              <w:spacing w:after="160" w:line="256" w:lineRule="auto"/>
              <w:rPr>
                <w:rFonts w:eastAsia="Calibri" w:cs="Times New Roman"/>
                <w:b/>
              </w:rPr>
            </w:pPr>
            <w:r>
              <w:rPr>
                <w:rFonts w:eastAsia="Calibri" w:cs="Times New Roman"/>
                <w:b/>
              </w:rPr>
              <w:t>Economic issues:</w:t>
            </w:r>
          </w:p>
          <w:p w14:paraId="61D035A5" w14:textId="77777777" w:rsidR="00316466" w:rsidRPr="001C2D3A" w:rsidRDefault="00316466" w:rsidP="00BD5A67">
            <w:pPr>
              <w:pStyle w:val="Bullet"/>
              <w:numPr>
                <w:ilvl w:val="0"/>
                <w:numId w:val="19"/>
              </w:numPr>
              <w:ind w:left="360"/>
              <w:rPr>
                <w:rFonts w:ascii="Franklin Gothic Book" w:hAnsi="Franklin Gothic Book"/>
              </w:rPr>
            </w:pPr>
            <w:r w:rsidRPr="007304E3">
              <w:rPr>
                <w:rFonts w:ascii="Franklin Gothic Book" w:hAnsi="Franklin Gothic Book"/>
              </w:rPr>
              <w:t xml:space="preserve">Miscalculation of QALYs – the revised QALYs in the commentary are more appropriate. The clinical inputs and estimated QALYs remain susceptible to bias (and are likely unreliable) due to problems in the trial which favour the intervention. </w:t>
            </w:r>
          </w:p>
          <w:p w14:paraId="0BA6E0EC" w14:textId="77777777" w:rsidR="00316466" w:rsidRPr="007304E3" w:rsidRDefault="00316466" w:rsidP="00BD5A67">
            <w:pPr>
              <w:pStyle w:val="Bullet"/>
              <w:numPr>
                <w:ilvl w:val="0"/>
                <w:numId w:val="19"/>
              </w:numPr>
              <w:ind w:left="360"/>
              <w:rPr>
                <w:rFonts w:ascii="Franklin Gothic Book" w:hAnsi="Franklin Gothic Book"/>
              </w:rPr>
            </w:pPr>
            <w:r w:rsidRPr="007304E3">
              <w:rPr>
                <w:rFonts w:ascii="Franklin Gothic Book" w:hAnsi="Franklin Gothic Book"/>
              </w:rPr>
              <w:t>Costs and adjustments – costs are affected by attrition rates. The cost of the intervention may be overestimated because it does not account for attrition.</w:t>
            </w:r>
          </w:p>
          <w:p w14:paraId="1C0F7961" w14:textId="77777777" w:rsidR="00316466" w:rsidRDefault="00316466" w:rsidP="00BD5A67">
            <w:pPr>
              <w:keepNext/>
              <w:spacing w:after="160" w:line="256" w:lineRule="auto"/>
              <w:rPr>
                <w:rFonts w:eastAsia="Calibri" w:cs="Times New Roman"/>
                <w:b/>
              </w:rPr>
            </w:pPr>
            <w:r>
              <w:rPr>
                <w:rFonts w:eastAsia="Calibri" w:cs="Times New Roman"/>
                <w:b/>
              </w:rPr>
              <w:t>Financial issues:</w:t>
            </w:r>
          </w:p>
          <w:p w14:paraId="18B04832" w14:textId="77777777" w:rsidR="00316466" w:rsidRPr="001C2D3A" w:rsidRDefault="00316466" w:rsidP="00BD5A67">
            <w:pPr>
              <w:pStyle w:val="Bullet"/>
              <w:numPr>
                <w:ilvl w:val="0"/>
                <w:numId w:val="19"/>
              </w:numPr>
              <w:ind w:left="360"/>
              <w:rPr>
                <w:rFonts w:ascii="Franklin Gothic Book" w:hAnsi="Franklin Gothic Book"/>
              </w:rPr>
            </w:pPr>
            <w:r w:rsidRPr="007304E3">
              <w:rPr>
                <w:rFonts w:ascii="Franklin Gothic Book" w:hAnsi="Franklin Gothic Book"/>
              </w:rPr>
              <w:t>Varying time periods for costs – extrapolation of 3-month follow-up data and 6-month linked data to 12-month financial estimates is not likely to be realistic of resource use for a chronic condition after a short-term intervention.</w:t>
            </w:r>
          </w:p>
          <w:p w14:paraId="3DCE645B" w14:textId="77777777" w:rsidR="00316466" w:rsidRPr="007304E3" w:rsidRDefault="00316466" w:rsidP="00BD5A67">
            <w:pPr>
              <w:pStyle w:val="Bullet"/>
              <w:numPr>
                <w:ilvl w:val="0"/>
                <w:numId w:val="19"/>
              </w:numPr>
              <w:ind w:left="360"/>
              <w:rPr>
                <w:rFonts w:ascii="Franklin Gothic Book" w:hAnsi="Franklin Gothic Book"/>
              </w:rPr>
            </w:pPr>
            <w:r w:rsidRPr="007304E3">
              <w:rPr>
                <w:rFonts w:ascii="Franklin Gothic Book" w:hAnsi="Franklin Gothic Book"/>
              </w:rPr>
              <w:t>Uptake may be underestimated – the proposed number of Chronic Pain MedsChecks performed per year is low compared with other MedsChecks. If uptake is higher, this will increase costs.</w:t>
            </w:r>
          </w:p>
          <w:p w14:paraId="31ECC7C2" w14:textId="77777777" w:rsidR="00316466" w:rsidRPr="001C2D3A" w:rsidRDefault="00316466" w:rsidP="00BD5A67">
            <w:pPr>
              <w:spacing w:after="160" w:line="256" w:lineRule="auto"/>
              <w:rPr>
                <w:rFonts w:eastAsia="Calibri" w:cs="Times New Roman"/>
                <w:b/>
              </w:rPr>
            </w:pPr>
            <w:r w:rsidRPr="007304E3">
              <w:rPr>
                <w:rFonts w:eastAsia="Calibri" w:cs="Times New Roman"/>
                <w:b/>
              </w:rPr>
              <w:t>Other relevant information:</w:t>
            </w:r>
          </w:p>
          <w:p w14:paraId="63B82901" w14:textId="77777777" w:rsidR="00316466" w:rsidRPr="007304E3" w:rsidRDefault="00316466" w:rsidP="00BD5A67">
            <w:pPr>
              <w:pStyle w:val="Bullet"/>
              <w:numPr>
                <w:ilvl w:val="0"/>
                <w:numId w:val="19"/>
              </w:numPr>
              <w:ind w:left="360"/>
              <w:rPr>
                <w:rFonts w:ascii="Franklin Gothic Book" w:hAnsi="Franklin Gothic Book"/>
              </w:rPr>
            </w:pPr>
            <w:r w:rsidRPr="0067535A">
              <w:rPr>
                <w:rFonts w:ascii="Franklin Gothic Book" w:hAnsi="Franklin Gothic Book"/>
              </w:rPr>
              <w:t xml:space="preserve">There may be potential duplication of services with existing pharmacy programs and MBS items.  </w:t>
            </w:r>
          </w:p>
          <w:p w14:paraId="2B09E8CD" w14:textId="77777777" w:rsidR="00316466" w:rsidRPr="00063757" w:rsidRDefault="00316466" w:rsidP="00BD5A67">
            <w:pPr>
              <w:pStyle w:val="Bullet"/>
              <w:numPr>
                <w:ilvl w:val="0"/>
                <w:numId w:val="19"/>
              </w:numPr>
              <w:ind w:left="360"/>
            </w:pPr>
            <w:r w:rsidRPr="007304E3">
              <w:rPr>
                <w:rFonts w:ascii="Franklin Gothic Book" w:hAnsi="Franklin Gothic Book"/>
              </w:rPr>
              <w:lastRenderedPageBreak/>
              <w:t>ESC considered that the points raised regarding the limitations in the trial design and methodology could be useful to inform future trials and evaluations of chronic pain interventions.</w:t>
            </w:r>
          </w:p>
        </w:tc>
      </w:tr>
    </w:tbl>
    <w:p w14:paraId="21D0C175" w14:textId="77777777" w:rsidR="00316466" w:rsidRPr="00316466" w:rsidRDefault="00316466" w:rsidP="00316466">
      <w:pPr>
        <w:keepNext/>
        <w:keepLines/>
        <w:spacing w:before="360" w:after="240" w:line="240" w:lineRule="auto"/>
        <w:outlineLvl w:val="1"/>
        <w:rPr>
          <w:rFonts w:ascii="Franklin Gothic Medium" w:hAnsi="Franklin Gothic Medium" w:cs="Times New Roman"/>
          <w:b/>
          <w:bCs/>
          <w:color w:val="000000"/>
        </w:rPr>
      </w:pPr>
      <w:r w:rsidRPr="00316466">
        <w:rPr>
          <w:rFonts w:ascii="Franklin Gothic Medium" w:hAnsi="Franklin Gothic Medium" w:cs="Times New Roman"/>
          <w:b/>
          <w:bCs/>
          <w:color w:val="000000"/>
        </w:rPr>
        <w:lastRenderedPageBreak/>
        <w:t>ESC discussion</w:t>
      </w:r>
    </w:p>
    <w:bookmarkEnd w:id="52"/>
    <w:p w14:paraId="609A5F59" w14:textId="0F6BFCF8" w:rsidR="00316466" w:rsidRDefault="00316466" w:rsidP="00316466">
      <w:pPr>
        <w:spacing w:line="256" w:lineRule="auto"/>
        <w:rPr>
          <w:rFonts w:eastAsia="Calibri" w:cs="Times New Roman"/>
          <w:iCs/>
        </w:rPr>
      </w:pPr>
      <w:r>
        <w:rPr>
          <w:rFonts w:eastAsia="Calibri" w:cs="Times New Roman"/>
          <w:iCs/>
        </w:rPr>
        <w:t>ESC noted that this application requested funding for Chronic Pain MedsChecks under a future Community Pharmacy Agreement. The Pharmacy Guild of Australia entered into a grant agreement with the Department of Health</w:t>
      </w:r>
      <w:r w:rsidR="00063076">
        <w:rPr>
          <w:rFonts w:eastAsia="Calibri" w:cs="Times New Roman"/>
          <w:iCs/>
        </w:rPr>
        <w:t xml:space="preserve"> and Aged Care</w:t>
      </w:r>
      <w:r>
        <w:rPr>
          <w:rFonts w:eastAsia="Calibri" w:cs="Times New Roman"/>
          <w:iCs/>
        </w:rPr>
        <w:t xml:space="preserve"> to undertake the Chronic Pain MedsCheck trial</w:t>
      </w:r>
      <w:r w:rsidRPr="00DE1AAA">
        <w:t xml:space="preserve"> </w:t>
      </w:r>
      <w:r w:rsidRPr="00DE1AAA">
        <w:rPr>
          <w:rFonts w:eastAsia="Calibri" w:cs="Times New Roman"/>
          <w:iCs/>
        </w:rPr>
        <w:t>as part of the Sixth Community Pharmacy Agreement</w:t>
      </w:r>
      <w:r>
        <w:rPr>
          <w:rFonts w:eastAsia="Calibri" w:cs="Times New Roman"/>
          <w:iCs/>
        </w:rPr>
        <w:t xml:space="preserve">. The trial used a pharmacist-based intervention with aims of improving health literacy regarding patients’ pain medications, preventing incorrect use and overuse of pain medications, and improving overall quality of life. </w:t>
      </w:r>
    </w:p>
    <w:p w14:paraId="1D48BBDD" w14:textId="77777777" w:rsidR="00316466" w:rsidRDefault="00316466" w:rsidP="00316466">
      <w:pPr>
        <w:spacing w:line="256" w:lineRule="auto"/>
        <w:rPr>
          <w:rFonts w:eastAsia="Calibri" w:cs="Times New Roman"/>
          <w:iCs/>
        </w:rPr>
      </w:pPr>
      <w:r>
        <w:rPr>
          <w:rFonts w:eastAsia="Calibri" w:cs="Times New Roman"/>
          <w:iCs/>
        </w:rPr>
        <w:t>ESC noted that, in 2017, MSAC had assessed the cost-effectiveness of the MedsCheck and Diabetes MedsCheck programs and found no clear evidence that these interventions reduce hospitalisations or mortality or improve quality of life. In general, studies examining the impact of pharmacy-based medication review services did not find clear evidence to indicate that these interventions have any impact on reducing mortality or on improving appropriateness of medication prescribing.</w:t>
      </w:r>
    </w:p>
    <w:p w14:paraId="0A5BE1A8" w14:textId="77777777" w:rsidR="00316466" w:rsidRDefault="00316466" w:rsidP="00316466">
      <w:pPr>
        <w:spacing w:line="254" w:lineRule="auto"/>
        <w:ind w:right="396"/>
        <w:rPr>
          <w:rFonts w:eastAsia="Calibri" w:cs="Times New Roman"/>
        </w:rPr>
      </w:pPr>
      <w:r>
        <w:rPr>
          <w:rFonts w:eastAsia="Calibri" w:cs="Times New Roman"/>
        </w:rPr>
        <w:t xml:space="preserve">ESC noted the consultation feedback. Several submissions noted the need for a coordinated multidisciplinary approach to chronic pain care, which is not reflected in the Chronic Pain MedsCheck design. The lack of detail about the required training for Chronic Pain MedsCheck delivery was also noted, including how the training was designed or evaluated and its content, including sensitivities for patients taking opioid medications. ESC noted the </w:t>
      </w:r>
      <w:r w:rsidRPr="00BF3334">
        <w:rPr>
          <w:rFonts w:eastAsia="Calibri" w:cs="Times New Roman"/>
        </w:rPr>
        <w:t xml:space="preserve">Faculty of Pain Medicine of the Australian and New Zealand College of Anaesthetists </w:t>
      </w:r>
      <w:r>
        <w:rPr>
          <w:rFonts w:eastAsia="Calibri" w:cs="Times New Roman"/>
        </w:rPr>
        <w:t xml:space="preserve">were not supportive of the trial nor the intervention. </w:t>
      </w:r>
    </w:p>
    <w:p w14:paraId="01ECB1BE" w14:textId="77777777" w:rsidR="00316466" w:rsidRDefault="00316466" w:rsidP="00316466">
      <w:pPr>
        <w:spacing w:line="256" w:lineRule="auto"/>
        <w:rPr>
          <w:rFonts w:eastAsia="Calibri" w:cs="Times New Roman"/>
          <w:iCs/>
        </w:rPr>
      </w:pPr>
      <w:r>
        <w:rPr>
          <w:rFonts w:eastAsia="Calibri" w:cs="Times New Roman"/>
          <w:iCs/>
        </w:rPr>
        <w:t xml:space="preserve">ESC noted the population in the trial included adults who had chronic pain (as determined by the pharmacist) and were experiencing issues with self-management or pain medication dependency. Trial participants had not had a Home Medicines Review, MedsCheck, Diabetes MedsCheck or Chronic Pain MedsCheck within the previous 12 months; and were not a current client of a recognised pain management service. ESC considered that the reasons for referring patients into the trial were not well defined nor representative of an individual experiencing poorly managed chronic pain. </w:t>
      </w:r>
    </w:p>
    <w:p w14:paraId="706B72FA" w14:textId="77777777" w:rsidR="00316466" w:rsidRDefault="00316466" w:rsidP="00316466">
      <w:pPr>
        <w:spacing w:line="256" w:lineRule="auto"/>
        <w:rPr>
          <w:rFonts w:eastAsia="Calibri" w:cs="Times New Roman"/>
          <w:iCs/>
        </w:rPr>
      </w:pPr>
      <w:r>
        <w:rPr>
          <w:rFonts w:eastAsia="Calibri" w:cs="Times New Roman"/>
          <w:iCs/>
        </w:rPr>
        <w:t xml:space="preserve">ESC noted the intervention and design of the trial. Group A had two face-to-face consultations with pharmacists 3 months apart. Group B had the same two face-to-face consultations, plus an additional telephone consultation at 6 weeks. Pharmacists undertook online continuing professional development (CPD) training before taking part in the trial. ESC considered that only pharmacists with the appropriate training should provide the service. The initial consultation comprised a review and assessment of the participant’s chronic pain experience and medication use; provision of education and/or referrals; development of an action plan; and self-management strategies. ESC noted that no details were provided of what the medicines check, or action plan involved. </w:t>
      </w:r>
    </w:p>
    <w:p w14:paraId="6526E06C" w14:textId="77777777" w:rsidR="00316466" w:rsidRDefault="00316466" w:rsidP="00316466">
      <w:pPr>
        <w:spacing w:line="256" w:lineRule="auto"/>
        <w:rPr>
          <w:rFonts w:eastAsia="Calibri" w:cs="Times New Roman"/>
          <w:iCs/>
        </w:rPr>
      </w:pPr>
      <w:r>
        <w:rPr>
          <w:rFonts w:eastAsia="Calibri" w:cs="Times New Roman"/>
          <w:iCs/>
        </w:rPr>
        <w:t xml:space="preserve">ESC noted the trial and proposed implementation did not involve collaboration with general practitioners (GPs). ESC considered that this proposed model of care may introduce safety concerns as the pharmacist has no clinical records to confirm the diagnosis or prescribing intent, and may not be able to assess whether worsening pain is due to worsening of an underlying disease process or poor medication adherence. ESC considered patients may be recommended over-the-counter medications by the pharmacist that are inappropriate for their clinical situation </w:t>
      </w:r>
      <w:r>
        <w:rPr>
          <w:rFonts w:eastAsia="Calibri" w:cs="Times New Roman"/>
          <w:iCs/>
        </w:rPr>
        <w:lastRenderedPageBreak/>
        <w:t>due to the lack of coordinated care. ESC considered that it would be more appropriate for GPs to refer patients to ensure the service is better targeted. ESC also noted existing MBS items that allow GPs to treat acute and chronic pain, as well as existing MedsCheck and Home Medicines Review programs (which have a limit on services).</w:t>
      </w:r>
      <w:r w:rsidRPr="00AC7A25">
        <w:t xml:space="preserve"> </w:t>
      </w:r>
      <w:r>
        <w:rPr>
          <w:rFonts w:eastAsia="Calibri" w:cs="Times New Roman"/>
          <w:iCs/>
        </w:rPr>
        <w:t>ESC considered</w:t>
      </w:r>
      <w:r w:rsidRPr="00AC7A25">
        <w:rPr>
          <w:rFonts w:eastAsia="Calibri" w:cs="Times New Roman"/>
          <w:iCs/>
        </w:rPr>
        <w:t xml:space="preserve"> that other programs such as MedsCheck and Home Medicines Reviews already exist, so the clinical need for a Chronic Pain MedsCheck was </w:t>
      </w:r>
      <w:r>
        <w:rPr>
          <w:rFonts w:eastAsia="Calibri" w:cs="Times New Roman"/>
          <w:iCs/>
        </w:rPr>
        <w:t>unclear</w:t>
      </w:r>
      <w:r w:rsidRPr="00AC7A25">
        <w:rPr>
          <w:rFonts w:eastAsia="Calibri" w:cs="Times New Roman"/>
          <w:iCs/>
        </w:rPr>
        <w:t>.</w:t>
      </w:r>
      <w:r>
        <w:rPr>
          <w:rFonts w:eastAsia="Calibri" w:cs="Times New Roman"/>
          <w:iCs/>
        </w:rPr>
        <w:t xml:space="preserve"> ESC considered that it was unclear how the intervention would manage patients on higher doses of opioids (≥ 60 mg/day Oral Morphine Equivalent [OME]) where the underlying risk of harm to patients is greater. </w:t>
      </w:r>
    </w:p>
    <w:p w14:paraId="1F7C8CE4" w14:textId="77777777" w:rsidR="00316466" w:rsidRDefault="00316466" w:rsidP="00316466">
      <w:pPr>
        <w:spacing w:line="256" w:lineRule="auto"/>
        <w:rPr>
          <w:rFonts w:eastAsia="Calibri" w:cs="Times New Roman"/>
          <w:iCs/>
        </w:rPr>
      </w:pPr>
      <w:r>
        <w:rPr>
          <w:rFonts w:eastAsia="Calibri" w:cs="Times New Roman"/>
          <w:iCs/>
        </w:rPr>
        <w:t xml:space="preserve">ESC noted several sources of bias in the trial design, which were all judged to be at a high level. Outcomes were not </w:t>
      </w:r>
      <w:r w:rsidRPr="00E720EF">
        <w:rPr>
          <w:rFonts w:eastAsia="Calibri" w:cs="Times New Roman"/>
          <w:iCs/>
        </w:rPr>
        <w:t xml:space="preserve">reported consistently with standards outlined in the STROBE and CONSORT statements, as stated in the Trial Protocol. </w:t>
      </w:r>
      <w:r>
        <w:rPr>
          <w:rFonts w:eastAsia="Calibri" w:cs="Times New Roman"/>
          <w:iCs/>
        </w:rPr>
        <w:t xml:space="preserve">There were no data on the number of patients who were approached but not enrolled, who were randomised but dropped out, or who were excluded. No treatment-as-usual group was included as a comparison, and the randomisation of patients into groups was not described. Participants were not matched for socioeconomic status. </w:t>
      </w:r>
    </w:p>
    <w:p w14:paraId="0835D1C3" w14:textId="77777777" w:rsidR="00316466" w:rsidRDefault="00316466" w:rsidP="00316466">
      <w:pPr>
        <w:spacing w:line="256" w:lineRule="auto"/>
        <w:rPr>
          <w:rFonts w:eastAsia="Calibri" w:cs="Times New Roman"/>
          <w:iCs/>
        </w:rPr>
      </w:pPr>
      <w:r>
        <w:rPr>
          <w:rFonts w:eastAsia="Calibri" w:cs="Times New Roman"/>
          <w:iCs/>
        </w:rPr>
        <w:t xml:space="preserve">ESC noted the substantial dropout rates in the trial. A total of 1630 pharmacies registered for training, but only 550 pharmacies enrolled patients (267 pharmacies in Group A and 283 in Group B): in other words, 66% of enrolled pharmacies did not continue or did not enrol patients. Patient dropout rate and loss to follow-up were also high. A total of 8239 patients were enrolled, but a considerable proportion of patients dropped out or were lost to follow-up, and these rates differed by </w:t>
      </w:r>
      <w:r w:rsidRPr="00014242">
        <w:rPr>
          <w:rFonts w:eastAsia="Calibri" w:cs="Times New Roman"/>
          <w:iCs/>
        </w:rPr>
        <w:t>tr</w:t>
      </w:r>
      <w:r>
        <w:rPr>
          <w:rFonts w:eastAsia="Calibri" w:cs="Times New Roman"/>
          <w:iCs/>
        </w:rPr>
        <w:t>i</w:t>
      </w:r>
      <w:r w:rsidRPr="00014242">
        <w:rPr>
          <w:rFonts w:eastAsia="Calibri" w:cs="Times New Roman"/>
          <w:iCs/>
        </w:rPr>
        <w:t>al arm: 34%</w:t>
      </w:r>
      <w:r>
        <w:rPr>
          <w:rFonts w:eastAsia="Calibri" w:cs="Times New Roman"/>
          <w:iCs/>
        </w:rPr>
        <w:t xml:space="preserve"> in Group A; 61% in Group B. ESC considered that this high and inconsistent attrition of patients introduced a serious risk of bias. </w:t>
      </w:r>
    </w:p>
    <w:p w14:paraId="13BCCB88" w14:textId="77777777" w:rsidR="00316466" w:rsidRDefault="00316466" w:rsidP="00316466">
      <w:pPr>
        <w:spacing w:line="256" w:lineRule="auto"/>
        <w:rPr>
          <w:rFonts w:eastAsia="Calibri" w:cs="Times New Roman"/>
          <w:iCs/>
        </w:rPr>
      </w:pPr>
      <w:r>
        <w:rPr>
          <w:rFonts w:eastAsia="Calibri" w:cs="Times New Roman"/>
          <w:iCs/>
        </w:rPr>
        <w:t xml:space="preserve">ESC raised concerns with the statistical analysis of the trial results. There was no adjustment for multiple comparisons, and no imputation or other methods to adjust for the large loss to follow-up. The statistical analysis compared baseline scores for the entire cohort with 3-month scores for the participants who were not lost to follow-up. Outcomes such as quality of life, which were only measured in a subgroup of participants, were combined for both groups then applied to the entire cohort. ESC considered that this would likely overestimate the benefit and bias in favour of the intervention as </w:t>
      </w:r>
      <w:r w:rsidRPr="003C1141">
        <w:rPr>
          <w:rFonts w:eastAsia="Calibri" w:cs="Times New Roman"/>
          <w:iCs/>
        </w:rPr>
        <w:t xml:space="preserve">it was unlikely that participant data were missing at random </w:t>
      </w:r>
      <w:r>
        <w:rPr>
          <w:rFonts w:eastAsia="Calibri" w:cs="Times New Roman"/>
          <w:iCs/>
        </w:rPr>
        <w:t xml:space="preserve">and participants who did not benefit from the intervention would be less likely to continue. Overall, ESC considered that the although the study was presented as a randomised trial by the applicant, the study is more appropriately described as a before-and-after study as the primary outcome was not a comparison between randomised groups. </w:t>
      </w:r>
    </w:p>
    <w:p w14:paraId="4CD8E1E5" w14:textId="77777777" w:rsidR="00316466" w:rsidRPr="007304E3" w:rsidRDefault="00316466" w:rsidP="00316466">
      <w:pPr>
        <w:pStyle w:val="NormalBeforeBullet"/>
        <w:rPr>
          <w:rFonts w:ascii="Franklin Gothic Book" w:hAnsi="Franklin Gothic Book"/>
        </w:rPr>
      </w:pPr>
      <w:r>
        <w:rPr>
          <w:rFonts w:ascii="Franklin Gothic Book" w:hAnsi="Franklin Gothic Book"/>
        </w:rPr>
        <w:t xml:space="preserve">ESC </w:t>
      </w:r>
      <w:r w:rsidRPr="00837B99">
        <w:rPr>
          <w:rFonts w:ascii="Franklin Gothic Book" w:hAnsi="Franklin Gothic Book"/>
        </w:rPr>
        <w:t>noted the primary outcomes measured in the trial</w:t>
      </w:r>
      <w:r>
        <w:rPr>
          <w:rFonts w:ascii="Franklin Gothic Book" w:hAnsi="Franklin Gothic Book"/>
        </w:rPr>
        <w:t xml:space="preserve">. </w:t>
      </w:r>
      <w:r w:rsidRPr="00C1178E">
        <w:t xml:space="preserve">ESC </w:t>
      </w:r>
      <w:r w:rsidRPr="007304E3">
        <w:rPr>
          <w:rFonts w:ascii="Franklin Gothic Book" w:hAnsi="Franklin Gothic Book"/>
        </w:rPr>
        <w:t xml:space="preserve">noted that no minimum clinically important difference (MCID) was defined for the utility score using the AQoL-4D (Assessment of Quality of Life) questionnaire. </w:t>
      </w:r>
      <w:r w:rsidRPr="00956414">
        <w:rPr>
          <w:rFonts w:ascii="Franklin Gothic Book" w:hAnsi="Franklin Gothic Book"/>
        </w:rPr>
        <w:t xml:space="preserve">ESC noted that for the </w:t>
      </w:r>
      <w:r w:rsidRPr="007304E3">
        <w:rPr>
          <w:rFonts w:ascii="Franklin Gothic Book" w:hAnsi="Franklin Gothic Book"/>
        </w:rPr>
        <w:t>self-management total score using the Partners in Health scale</w:t>
      </w:r>
      <w:r w:rsidRPr="00956414">
        <w:rPr>
          <w:rFonts w:ascii="Franklin Gothic Book" w:hAnsi="Franklin Gothic Book"/>
        </w:rPr>
        <w:t xml:space="preserve"> and the </w:t>
      </w:r>
      <w:r w:rsidRPr="007304E3">
        <w:rPr>
          <w:rFonts w:ascii="Franklin Gothic Book" w:hAnsi="Franklin Gothic Book"/>
        </w:rPr>
        <w:t xml:space="preserve">pain severity </w:t>
      </w:r>
      <w:r>
        <w:rPr>
          <w:rFonts w:ascii="Franklin Gothic Book" w:hAnsi="Franklin Gothic Book"/>
        </w:rPr>
        <w:t xml:space="preserve">score </w:t>
      </w:r>
      <w:r w:rsidRPr="007304E3">
        <w:rPr>
          <w:rFonts w:ascii="Franklin Gothic Book" w:hAnsi="Franklin Gothic Book"/>
        </w:rPr>
        <w:t>using a Brief Pain Inventory (short form [BPI-sf]</w:t>
      </w:r>
      <w:r>
        <w:rPr>
          <w:rFonts w:ascii="Franklin Gothic Book" w:hAnsi="Franklin Gothic Book"/>
        </w:rPr>
        <w:t>)</w:t>
      </w:r>
      <w:r w:rsidRPr="007304E3">
        <w:rPr>
          <w:rFonts w:ascii="Franklin Gothic Book" w:hAnsi="Franklin Gothic Book"/>
        </w:rPr>
        <w:t xml:space="preserve"> item included in the mini-ePPOC</w:t>
      </w:r>
      <w:r w:rsidRPr="007304E3">
        <w:rPr>
          <w:rStyle w:val="FootnoteReference"/>
          <w:rFonts w:ascii="Franklin Gothic Book" w:hAnsi="Franklin Gothic Book"/>
        </w:rPr>
        <w:footnoteReference w:id="8"/>
      </w:r>
      <w:r w:rsidRPr="007304E3">
        <w:rPr>
          <w:rFonts w:ascii="Franklin Gothic Book" w:hAnsi="Franklin Gothic Book"/>
        </w:rPr>
        <w:t xml:space="preserve">, the MCID was defined as a 10% difference </w:t>
      </w:r>
      <w:r>
        <w:rPr>
          <w:rFonts w:ascii="Franklin Gothic Book" w:hAnsi="Franklin Gothic Book"/>
        </w:rPr>
        <w:t>in</w:t>
      </w:r>
      <w:r w:rsidRPr="007304E3">
        <w:rPr>
          <w:rFonts w:ascii="Franklin Gothic Book" w:hAnsi="Franklin Gothic Book"/>
        </w:rPr>
        <w:t xml:space="preserve"> the score. For the pain interference in general activities or sleep, ESC noted that the MCID was defined a</w:t>
      </w:r>
      <w:r>
        <w:rPr>
          <w:rFonts w:ascii="Franklin Gothic Book" w:hAnsi="Franklin Gothic Book"/>
        </w:rPr>
        <w:t>s a</w:t>
      </w:r>
      <w:r w:rsidRPr="007304E3">
        <w:rPr>
          <w:rFonts w:ascii="Franklin Gothic Book" w:hAnsi="Franklin Gothic Book"/>
        </w:rPr>
        <w:t xml:space="preserve"> 1</w:t>
      </w:r>
      <w:r>
        <w:rPr>
          <w:rFonts w:ascii="Franklin Gothic Book" w:hAnsi="Franklin Gothic Book"/>
        </w:rPr>
        <w:noBreakHyphen/>
      </w:r>
      <w:r w:rsidRPr="007304E3">
        <w:rPr>
          <w:rFonts w:ascii="Franklin Gothic Book" w:hAnsi="Franklin Gothic Book"/>
        </w:rPr>
        <w:t>point difference.</w:t>
      </w:r>
    </w:p>
    <w:p w14:paraId="375EDE97" w14:textId="77777777" w:rsidR="00316466" w:rsidRDefault="00316466" w:rsidP="00316466">
      <w:pPr>
        <w:spacing w:line="256" w:lineRule="auto"/>
        <w:rPr>
          <w:rFonts w:eastAsia="Calibri" w:cs="Times New Roman"/>
          <w:iCs/>
        </w:rPr>
      </w:pPr>
      <w:r>
        <w:rPr>
          <w:rFonts w:eastAsia="Calibri" w:cs="Times New Roman"/>
          <w:iCs/>
        </w:rPr>
        <w:t xml:space="preserve">ESC noted the secondary outcomes were health literacy total score, average morphine equivalent dose, emergency department admissions and hospital admissions. A patient satisfaction survey was also administered at the end of the 3-month visit. ESC noted the lack of blinding in measurement of subjective outcomes, including the patient satisfaction survey (which may have been administered by the pharmacist). ESC considered this introduced a further high risk of bias. In addition, quality-of-life outcomes were only measured in a subset of patients and extrapolated </w:t>
      </w:r>
      <w:r>
        <w:rPr>
          <w:rFonts w:eastAsia="Calibri" w:cs="Times New Roman"/>
          <w:iCs/>
        </w:rPr>
        <w:lastRenderedPageBreak/>
        <w:t xml:space="preserve">to all patients, including those lost to follow up. ESC considered that this method was inappropriate. </w:t>
      </w:r>
    </w:p>
    <w:p w14:paraId="4D8E1CDF" w14:textId="77777777" w:rsidR="00316466" w:rsidRDefault="00316466" w:rsidP="00316466">
      <w:pPr>
        <w:spacing w:line="256" w:lineRule="auto"/>
        <w:rPr>
          <w:rFonts w:eastAsia="Calibri" w:cs="Times New Roman"/>
          <w:iCs/>
        </w:rPr>
      </w:pPr>
      <w:r>
        <w:rPr>
          <w:rFonts w:eastAsia="Calibri" w:cs="Times New Roman"/>
          <w:iCs/>
        </w:rPr>
        <w:t xml:space="preserve">ESC noted that the results for some outcomes were statistically significantly different; however, it was not clear whether these differences were clinically meaningful. It was also unclear whether the results reflected the natural history of chronic pain, where patients seek further treatment during a period of worsening pain, as there was no usual care group in the trial for comparison. ESC considered that </w:t>
      </w:r>
      <w:r w:rsidRPr="005B28A8">
        <w:rPr>
          <w:rFonts w:eastAsia="Calibri" w:cs="Times New Roman"/>
          <w:iCs/>
        </w:rPr>
        <w:t>i</w:t>
      </w:r>
      <w:r>
        <w:rPr>
          <w:rFonts w:eastAsia="Calibri" w:cs="Times New Roman"/>
          <w:iCs/>
        </w:rPr>
        <w:t>t was not possible to exclude</w:t>
      </w:r>
      <w:r w:rsidRPr="005B28A8">
        <w:rPr>
          <w:rFonts w:eastAsia="Calibri" w:cs="Times New Roman"/>
          <w:iCs/>
        </w:rPr>
        <w:t xml:space="preserve"> regression to the mean</w:t>
      </w:r>
      <w:r>
        <w:rPr>
          <w:rFonts w:eastAsia="Calibri" w:cs="Times New Roman"/>
          <w:iCs/>
        </w:rPr>
        <w:t xml:space="preserve"> as a contributor to results of the before-and-after analysis. ESC noted there was no change in secondary outcomes of morphine equivalence dose, hospital admissions or emergency department presentations, although some of these were based on patient recall and hence may be subject to further bias. </w:t>
      </w:r>
    </w:p>
    <w:p w14:paraId="5FF684EE" w14:textId="77777777" w:rsidR="00316466" w:rsidRDefault="00316466" w:rsidP="00316466">
      <w:pPr>
        <w:spacing w:line="256" w:lineRule="auto"/>
        <w:rPr>
          <w:rFonts w:eastAsia="Calibri" w:cs="Times New Roman"/>
          <w:iCs/>
        </w:rPr>
      </w:pPr>
      <w:r>
        <w:rPr>
          <w:rFonts w:eastAsia="Calibri" w:cs="Times New Roman"/>
          <w:iCs/>
        </w:rPr>
        <w:t xml:space="preserve">ESC noted the advice from the MSAC Executive that analysis exploring patients </w:t>
      </w:r>
      <w:r w:rsidRPr="005D7361">
        <w:rPr>
          <w:rFonts w:eastAsia="Calibri" w:cs="Times New Roman"/>
          <w:iCs/>
        </w:rPr>
        <w:t>who discontinued the trial and the potential impact of attrition bias would be informative</w:t>
      </w:r>
      <w:r>
        <w:rPr>
          <w:rFonts w:eastAsia="Calibri" w:cs="Times New Roman"/>
          <w:iCs/>
        </w:rPr>
        <w:t>. The applicant provided a comparison of age, sex and postcode between participants, which did not show large differences. ESC considered that the applicant’s additional information did not resolve the issues regarding loss to follow-up and that this remained a substantial source of bias.</w:t>
      </w:r>
      <w:r w:rsidRPr="00956414">
        <w:rPr>
          <w:rFonts w:eastAsia="Calibri" w:cs="Times New Roman"/>
          <w:iCs/>
        </w:rPr>
        <w:t xml:space="preserve"> </w:t>
      </w:r>
      <w:r>
        <w:rPr>
          <w:rFonts w:eastAsia="Calibri" w:cs="Times New Roman"/>
          <w:iCs/>
        </w:rPr>
        <w:t xml:space="preserve">ESC considered that an analysis appropriately accounting for attrition would not provide a more reliable or informative estimate of effect due to the other limitations in the trial. ESC also noted that the MSAC Executive had queried the plausibility that the additional telephone consultation provided to patients in Group B contributed to better outcomes. This was not addressed in the application. </w:t>
      </w:r>
    </w:p>
    <w:p w14:paraId="0F568A36" w14:textId="77777777" w:rsidR="00316466" w:rsidRDefault="00316466" w:rsidP="00316466">
      <w:pPr>
        <w:spacing w:line="254" w:lineRule="auto"/>
        <w:ind w:right="396"/>
        <w:rPr>
          <w:rFonts w:eastAsia="Calibri" w:cs="Times New Roman"/>
        </w:rPr>
      </w:pPr>
      <w:r>
        <w:rPr>
          <w:rFonts w:eastAsia="Calibri" w:cs="Times New Roman"/>
        </w:rPr>
        <w:t>ESC noted that the clinical issues from the trial (particularly the high attrition rate and missing data) flowed through to the economic evaluation. The economic evaluation assumed that the baseline measurements were equivalent to treatment-as-usual; however ESC noted that flare-ups of chronic pain can often lead patients to seeking treatment. Consequently, baseline data should not be considered reflective of a steady state. This could also lead to reduced costs for services and medication as patients improve over time, which was not accounted for in the economic evaluation. The economic evaluation also assumed there would be no improvement from baseline without the service. Again, this may not be valid assumption as demonstrated in other trials in chronic pain that include a treatment-as-usual group. ESC noted that the cost per prescription was adjusted as the cost per prescription decreased over time. ESC considered that the approach was conservative but assumed the reduction in cost was due to the PBS safety net rather than other causes. ESC considered the true difference between groups in the trial for both costs and outcomes could also be narrower, given the high loss to follow-up and the likelihood that those lost to follow-up were not benefiting from the intervention. The applicant did not adequately address these issues in their pre-ESC response.</w:t>
      </w:r>
    </w:p>
    <w:p w14:paraId="0600F4BD" w14:textId="77777777" w:rsidR="00316466" w:rsidRDefault="00316466" w:rsidP="00316466">
      <w:pPr>
        <w:spacing w:line="254" w:lineRule="auto"/>
        <w:ind w:right="396"/>
        <w:rPr>
          <w:rFonts w:eastAsia="Calibri" w:cs="Times New Roman"/>
        </w:rPr>
      </w:pPr>
      <w:r>
        <w:rPr>
          <w:rFonts w:eastAsia="Calibri" w:cs="Times New Roman"/>
        </w:rPr>
        <w:t>ESC accepted the adjustment of quality-adjusted life years (QALYs) in the commentary to account for only 3 months of data rather than 12 months. This reduced the QALY gain from 0.05 for Group A (as presented in the ADAR) to 0.0125. The economic evaluation by the applicant assumed an immediate impact on QALYs; however, if a more reasonable assumption of a linear onset of response over time is applied, the QALY gain reduces to 0.00625.</w:t>
      </w:r>
    </w:p>
    <w:p w14:paraId="6DB9B632" w14:textId="77777777" w:rsidR="00316466" w:rsidRDefault="00316466" w:rsidP="00316466">
      <w:pPr>
        <w:spacing w:line="254" w:lineRule="auto"/>
        <w:ind w:right="396"/>
        <w:rPr>
          <w:rFonts w:eastAsia="Calibri" w:cs="Times New Roman"/>
        </w:rPr>
      </w:pPr>
      <w:r>
        <w:rPr>
          <w:rFonts w:eastAsia="Calibri" w:cs="Times New Roman"/>
        </w:rPr>
        <w:t>ESC considered the costs in the economic evaluation, noting that the Pharmaceutical Benefits Scheme (PBS) costs were substantially different between groups at baseline, and the intervention costs did not account for attrition. ESC noted the missing data on Medicare Benefits Schedule (MBS) and PBS costs and queried whether this could also be due to patients refusing consent for data linkage.</w:t>
      </w:r>
    </w:p>
    <w:p w14:paraId="088F9D92" w14:textId="77777777" w:rsidR="00316466" w:rsidRDefault="00316466" w:rsidP="00316466">
      <w:pPr>
        <w:spacing w:line="254" w:lineRule="auto"/>
        <w:ind w:right="396"/>
        <w:rPr>
          <w:rFonts w:eastAsia="Calibri" w:cs="Times New Roman"/>
        </w:rPr>
      </w:pPr>
      <w:r>
        <w:rPr>
          <w:rFonts w:eastAsia="Calibri" w:cs="Times New Roman"/>
        </w:rPr>
        <w:t xml:space="preserve">ESC noted the revised incremental cost-effectiveness ratios (ICERs) in the commentary, which changed the outcome from being dominant to an ICER of $14,552.73 for Group A and $7,897.44 for Group B. ESC noted that the secondary outcomes were subject to the same </w:t>
      </w:r>
      <w:r>
        <w:rPr>
          <w:rFonts w:eastAsia="Calibri" w:cs="Times New Roman"/>
        </w:rPr>
        <w:lastRenderedPageBreak/>
        <w:t>issues as the primary outcomes, and it was uncertain at what level these secondary outcomes would be considered cost-effective.</w:t>
      </w:r>
      <w:r w:rsidRPr="00133B2D">
        <w:rPr>
          <w:rFonts w:eastAsia="Calibri" w:cs="Times New Roman"/>
        </w:rPr>
        <w:t xml:space="preserve"> </w:t>
      </w:r>
      <w:r>
        <w:rPr>
          <w:rFonts w:eastAsia="Calibri" w:cs="Times New Roman"/>
        </w:rPr>
        <w:t xml:space="preserve">ESC also noted that patients who are referred by a pharmacist to allied health services may experience out-of-pocket costs that were not accounted for in the economic evaluation. </w:t>
      </w:r>
    </w:p>
    <w:p w14:paraId="089C91D4" w14:textId="743543A6" w:rsidR="00316466" w:rsidRDefault="00316466" w:rsidP="00316466">
      <w:pPr>
        <w:spacing w:line="254" w:lineRule="auto"/>
        <w:ind w:right="396"/>
        <w:rPr>
          <w:rFonts w:eastAsia="Calibri" w:cs="Times New Roman"/>
        </w:rPr>
      </w:pPr>
      <w:r>
        <w:rPr>
          <w:rFonts w:eastAsia="Calibri" w:cs="Times New Roman"/>
        </w:rPr>
        <w:t>ESC noted a number of issues with the financial impact analysis, including double counting in the reduction of MBS and PBS costs, and that the financial analysis was subject to the same sources of bias as the ICER. Revised estimates that removed double counting were still cost saving, but substantially less so than the ADAR. ESC considered that the extrapolation of 3-month follow-up data and 6</w:t>
      </w:r>
      <w:r>
        <w:rPr>
          <w:rFonts w:eastAsia="Calibri" w:cs="Times New Roman"/>
        </w:rPr>
        <w:noBreakHyphen/>
        <w:t>month linked data to 12-month financial estimates was not likely to be realistic. ESC also noted that the number of Chronic Pain MedsChecks per year proposed in the ADAR (around 28,000–30,000) was substantially lower than the number of Diabetes MedsChecks performed per year (142,418), although the prevalence of diabetes is 5.4% compared with 15.4% for chronic pain. If uptake of Chronic Pain MedsCheck</w:t>
      </w:r>
      <w:r w:rsidR="00197B06">
        <w:rPr>
          <w:rFonts w:eastAsia="Calibri" w:cs="Times New Roman"/>
        </w:rPr>
        <w:t>s</w:t>
      </w:r>
      <w:r>
        <w:rPr>
          <w:rFonts w:eastAsia="Calibri" w:cs="Times New Roman"/>
        </w:rPr>
        <w:t xml:space="preserve"> is higher than in the ADAR, this will also affect the financial estimates. </w:t>
      </w:r>
    </w:p>
    <w:p w14:paraId="799336CC" w14:textId="77777777" w:rsidR="00316466" w:rsidRDefault="00316466" w:rsidP="00316466">
      <w:pPr>
        <w:rPr>
          <w:rFonts w:eastAsiaTheme="minorHAnsi"/>
        </w:rPr>
      </w:pPr>
      <w:r>
        <w:t xml:space="preserve">ESC considered that the points raised regarding trial design and methodology could be useful to inform future trials and evaluations of medication management review interventions/programs and chronic pain interventions. </w:t>
      </w:r>
    </w:p>
    <w:p w14:paraId="7EC8BD99" w14:textId="24007459" w:rsidR="00316466" w:rsidRDefault="00316466" w:rsidP="00316466">
      <w:pPr>
        <w:pStyle w:val="Heading2"/>
        <w:numPr>
          <w:ilvl w:val="0"/>
          <w:numId w:val="18"/>
        </w:numPr>
        <w:ind w:hanging="720"/>
      </w:pPr>
      <w:r>
        <w:t>Applicant comments on MSAC’s Public Summary Document</w:t>
      </w:r>
    </w:p>
    <w:p w14:paraId="01829383" w14:textId="77777777" w:rsidR="003C3397" w:rsidRPr="003C3397" w:rsidRDefault="003C3397" w:rsidP="003C3397">
      <w:pPr>
        <w:pStyle w:val="paragraph"/>
        <w:spacing w:before="0" w:beforeAutospacing="0" w:after="0" w:afterAutospacing="0"/>
        <w:textAlignment w:val="baseline"/>
        <w:rPr>
          <w:rStyle w:val="eop"/>
          <w:rFonts w:ascii="Franklin Gothic Book" w:hAnsi="Franklin Gothic Book" w:cstheme="majorHAnsi"/>
          <w:sz w:val="22"/>
          <w:szCs w:val="22"/>
        </w:rPr>
      </w:pPr>
      <w:r w:rsidRPr="003C3397">
        <w:rPr>
          <w:rFonts w:ascii="Franklin Gothic Book" w:hAnsi="Franklin Gothic Book" w:cstheme="majorHAnsi"/>
          <w:sz w:val="22"/>
          <w:szCs w:val="22"/>
        </w:rPr>
        <w:t xml:space="preserve">The Pharmacy Guild of Australia (the Guild) is disappointed with MSAC’s appraisal of the CPMC trial. </w:t>
      </w:r>
      <w:r w:rsidRPr="003C3397">
        <w:rPr>
          <w:rStyle w:val="normaltextrun"/>
          <w:rFonts w:ascii="Franklin Gothic Book" w:hAnsi="Franklin Gothic Book" w:cstheme="majorHAnsi"/>
          <w:sz w:val="22"/>
          <w:szCs w:val="22"/>
        </w:rPr>
        <w:t>The Guild considers that the CPMC intervention was shown to be effective in improving a number of participant health outcomes, including pain severity, pain interference and overall level of psychological distress. Community pharmacists provide a range of services, many without the barrier of an appointment, which extend well beyond the provision of prescription medicines and, as such, pharmacies are often the first contact point of the primary health care system for many people. These services include and are not limited to referral to and collaboration with a General Practitioner or Hospital Emergency Services; and other appropriate health professionals where required. The PSD notes concerns of the lack of collaboration with GPs as part of the CPMC intervention, however with just over half of the trial participants (53.9%) being referred to another medical or health service as a result of their initial consultation, pharmacists did most commonly refer participants to GPs, making up 75% of referral across all CPMC trial sites.</w:t>
      </w:r>
      <w:r w:rsidRPr="003C3397">
        <w:rPr>
          <w:rStyle w:val="eop"/>
          <w:rFonts w:ascii="Franklin Gothic Book" w:hAnsi="Franklin Gothic Book" w:cstheme="majorHAnsi"/>
          <w:sz w:val="22"/>
          <w:szCs w:val="22"/>
        </w:rPr>
        <w:t> </w:t>
      </w:r>
    </w:p>
    <w:p w14:paraId="02D533BE" w14:textId="77777777" w:rsidR="003C3397" w:rsidRPr="003C3397" w:rsidRDefault="003C3397" w:rsidP="003C3397">
      <w:pPr>
        <w:pStyle w:val="CommentText"/>
        <w:spacing w:after="0"/>
        <w:rPr>
          <w:rFonts w:ascii="Franklin Gothic Book" w:hAnsi="Franklin Gothic Book" w:cstheme="majorHAnsi"/>
          <w:szCs w:val="22"/>
        </w:rPr>
      </w:pPr>
      <w:r w:rsidRPr="003C3397">
        <w:rPr>
          <w:rFonts w:ascii="Franklin Gothic Book" w:hAnsi="Franklin Gothic Book" w:cstheme="majorHAnsi"/>
          <w:szCs w:val="22"/>
        </w:rPr>
        <w:t>The Guild does not agree with MSAC’s view that the CPMC trial provided low quality evidence with a high risk of bias due to a number of issues with the trial design. The trial Protocol allowed for</w:t>
      </w:r>
      <w:r w:rsidRPr="003C3397">
        <w:rPr>
          <w:rFonts w:ascii="Franklin Gothic Book" w:hAnsi="Franklin Gothic Book" w:cstheme="majorHAnsi"/>
          <w:i/>
          <w:iCs/>
          <w:szCs w:val="22"/>
        </w:rPr>
        <w:t xml:space="preserve"> a “40% lost-to-follow up/dropout rate” </w:t>
      </w:r>
      <w:r w:rsidRPr="003C3397">
        <w:rPr>
          <w:rFonts w:ascii="Franklin Gothic Book" w:hAnsi="Franklin Gothic Book" w:cstheme="majorHAnsi"/>
          <w:szCs w:val="22"/>
        </w:rPr>
        <w:t>and acknowledged that “</w:t>
      </w:r>
      <w:r w:rsidRPr="003C3397">
        <w:rPr>
          <w:rFonts w:ascii="Franklin Gothic Book" w:hAnsi="Franklin Gothic Book" w:cstheme="majorHAnsi"/>
          <w:i/>
          <w:iCs/>
          <w:szCs w:val="22"/>
        </w:rPr>
        <w:t>it is likely that a reasonably high proportion of patients will drop out of the trial and not attend for their subsequent visits”.</w:t>
      </w:r>
      <w:r w:rsidRPr="003C3397">
        <w:rPr>
          <w:rFonts w:ascii="Franklin Gothic Book" w:hAnsi="Franklin Gothic Book" w:cstheme="majorHAnsi"/>
          <w:szCs w:val="22"/>
        </w:rPr>
        <w:t xml:space="preserve"> This is typical for a trial of a community-based intervention such as this one. The CPMC trial used the Intention-to-treat (ITT) principle in analysing the data, as specified in the Protocol, to minimise the risk of any bias that may have resulted from participants dropping out of the trial.</w:t>
      </w:r>
    </w:p>
    <w:p w14:paraId="42BEF230" w14:textId="53F24EA5" w:rsidR="003C3397" w:rsidRPr="003C3397" w:rsidRDefault="003C3397" w:rsidP="003C3397">
      <w:pPr>
        <w:pStyle w:val="ListBullet"/>
        <w:numPr>
          <w:ilvl w:val="0"/>
          <w:numId w:val="0"/>
        </w:numPr>
        <w:tabs>
          <w:tab w:val="left" w:pos="720"/>
        </w:tabs>
        <w:spacing w:before="240" w:after="0"/>
        <w:rPr>
          <w:rFonts w:ascii="Franklin Gothic Book" w:hAnsi="Franklin Gothic Book" w:cstheme="majorHAnsi"/>
        </w:rPr>
      </w:pPr>
      <w:r w:rsidRPr="003C3397">
        <w:rPr>
          <w:rFonts w:ascii="Franklin Gothic Book" w:hAnsi="Franklin Gothic Book" w:cstheme="majorHAnsi"/>
          <w:szCs w:val="22"/>
        </w:rPr>
        <w:t xml:space="preserve">The Guild also does not agree with MSAC’s concerns regarding the validity of the study outcomes. </w:t>
      </w:r>
      <w:r w:rsidRPr="003C3397">
        <w:rPr>
          <w:rFonts w:ascii="Franklin Gothic Book" w:hAnsi="Franklin Gothic Book" w:cstheme="majorHAnsi"/>
          <w:color w:val="auto"/>
          <w:szCs w:val="22"/>
        </w:rPr>
        <w:t xml:space="preserve">The trial design, consistent with the </w:t>
      </w:r>
      <w:r w:rsidRPr="003C3397">
        <w:rPr>
          <w:rFonts w:ascii="Franklin Gothic Book" w:hAnsi="Franklin Gothic Book" w:cstheme="majorHAnsi"/>
          <w:szCs w:val="22"/>
        </w:rPr>
        <w:t>P</w:t>
      </w:r>
      <w:r w:rsidRPr="003C3397">
        <w:rPr>
          <w:rFonts w:ascii="Franklin Gothic Book" w:hAnsi="Franklin Gothic Book" w:cstheme="majorHAnsi"/>
          <w:color w:val="auto"/>
          <w:szCs w:val="22"/>
        </w:rPr>
        <w:t>rotocol, was a pragmatic pre-post trial of two versions of the CPMC intervention (Group A – two contact points and Group B – three contact points) with community pharmacies allocated randomly into one of the two groups. Outcomes of the two versions of the CPMC intervention were compared to provide an indication of which version was more effective and cost-effective at improving participants’ self-management of chronic pain</w:t>
      </w:r>
      <w:r w:rsidRPr="003C3397">
        <w:rPr>
          <w:rFonts w:ascii="Franklin Gothic Book" w:hAnsi="Franklin Gothic Book" w:cstheme="majorHAnsi"/>
          <w:szCs w:val="22"/>
        </w:rPr>
        <w:t xml:space="preserve">. </w:t>
      </w:r>
      <w:r w:rsidRPr="003C3397">
        <w:rPr>
          <w:rFonts w:ascii="Franklin Gothic Book" w:hAnsi="Franklin Gothic Book" w:cstheme="majorHAnsi"/>
        </w:rPr>
        <w:t>It was not a randomised controlled trial (RCT) conducted under tightly controlled conditions; it was a proof of concept to see if community pharmacists delivering an intervention to chronic pain patients in the community delivered benefits.</w:t>
      </w:r>
    </w:p>
    <w:p w14:paraId="0B5B1380" w14:textId="497174F4" w:rsidR="00316466" w:rsidRDefault="00316466" w:rsidP="00316466">
      <w:pPr>
        <w:pStyle w:val="Heading2"/>
        <w:numPr>
          <w:ilvl w:val="0"/>
          <w:numId w:val="18"/>
        </w:numPr>
        <w:ind w:hanging="720"/>
      </w:pPr>
      <w:r>
        <w:lastRenderedPageBreak/>
        <w:t>Further information on MSAC</w:t>
      </w:r>
    </w:p>
    <w:p w14:paraId="743428D0" w14:textId="110C8A4B" w:rsidR="00316466" w:rsidRPr="00316466" w:rsidRDefault="00316466" w:rsidP="00316466">
      <w:pPr>
        <w:pStyle w:val="BodyText"/>
        <w:rPr>
          <w:rFonts w:ascii="Franklin Gothic Book" w:hAnsi="Franklin Gothic Book"/>
        </w:rPr>
      </w:pPr>
      <w:r>
        <w:rPr>
          <w:rFonts w:ascii="Franklin Gothic Book" w:hAnsi="Franklin Gothic Book"/>
        </w:rPr>
        <w:t xml:space="preserve">MSAC Terms of Reference and other information are available on the MSAC Website: </w:t>
      </w:r>
      <w:hyperlink r:id="rId18" w:tooltip="Link to the MSAC website" w:history="1">
        <w:r>
          <w:rPr>
            <w:rStyle w:val="Hyperlink"/>
            <w:rFonts w:ascii="Franklin Gothic Book" w:hAnsi="Franklin Gothic Book"/>
          </w:rPr>
          <w:t>visit the MSAC website</w:t>
        </w:r>
      </w:hyperlink>
    </w:p>
    <w:sectPr w:rsidR="00316466" w:rsidRPr="00316466" w:rsidSect="00784341">
      <w:headerReference w:type="even" r:id="rId19"/>
      <w:headerReference w:type="default" r:id="rId20"/>
      <w:footerReference w:type="even" r:id="rId21"/>
      <w:footerReference w:type="default" r:id="rId22"/>
      <w:headerReference w:type="first" r:id="rId23"/>
      <w:footerReference w:type="first" r:id="rId24"/>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F83E" w14:textId="77777777" w:rsidR="00E14148" w:rsidRDefault="00E14148" w:rsidP="00B62DF2">
      <w:pPr>
        <w:spacing w:after="0" w:line="240" w:lineRule="auto"/>
      </w:pPr>
      <w:r>
        <w:separator/>
      </w:r>
    </w:p>
  </w:endnote>
  <w:endnote w:type="continuationSeparator" w:id="0">
    <w:p w14:paraId="77D7165C" w14:textId="77777777" w:rsidR="00E14148" w:rsidRDefault="00E14148" w:rsidP="00B62DF2">
      <w:pPr>
        <w:spacing w:after="0" w:line="240" w:lineRule="auto"/>
      </w:pPr>
      <w:r>
        <w:continuationSeparator/>
      </w:r>
    </w:p>
  </w:endnote>
  <w:endnote w:type="continuationNotice" w:id="1">
    <w:p w14:paraId="3C2187DF" w14:textId="77777777" w:rsidR="00E14148" w:rsidRDefault="00E141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1ED8176E" w:rsidR="00E14148" w:rsidRDefault="00E14148" w:rsidP="00C7722F">
        <w:pPr>
          <w:pStyle w:val="Footer"/>
          <w:jc w:val="right"/>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78605D4F" w:rsidR="00E14148" w:rsidRDefault="00E14148" w:rsidP="00052DD3">
        <w:pPr>
          <w:pStyle w:val="Footer"/>
          <w:jc w:val="right"/>
        </w:pPr>
        <w:r>
          <w:tab/>
        </w: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BAEE" w14:textId="77777777" w:rsidR="00197B06" w:rsidRDefault="00197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7C3D" w14:textId="77777777" w:rsidR="00E14148" w:rsidRDefault="00E14148" w:rsidP="00B62DF2">
      <w:pPr>
        <w:spacing w:after="0" w:line="240" w:lineRule="auto"/>
      </w:pPr>
      <w:r>
        <w:separator/>
      </w:r>
    </w:p>
  </w:footnote>
  <w:footnote w:type="continuationSeparator" w:id="0">
    <w:p w14:paraId="0BCA5689" w14:textId="77777777" w:rsidR="00E14148" w:rsidRDefault="00E14148" w:rsidP="00B62DF2">
      <w:pPr>
        <w:spacing w:after="0" w:line="240" w:lineRule="auto"/>
      </w:pPr>
      <w:r>
        <w:continuationSeparator/>
      </w:r>
    </w:p>
  </w:footnote>
  <w:footnote w:type="continuationNotice" w:id="1">
    <w:p w14:paraId="354B74C5" w14:textId="77777777" w:rsidR="00E14148" w:rsidRDefault="00E14148">
      <w:pPr>
        <w:spacing w:before="0" w:after="0" w:line="240" w:lineRule="auto"/>
      </w:pPr>
    </w:p>
  </w:footnote>
  <w:footnote w:id="2">
    <w:p w14:paraId="3ABDD3C2" w14:textId="778BE7A8" w:rsidR="00E14148" w:rsidRPr="00CD12C7" w:rsidRDefault="00E14148" w:rsidP="003D38AC">
      <w:pPr>
        <w:pStyle w:val="FootnoteText"/>
        <w:rPr>
          <w:rFonts w:ascii="Franklin Gothic Book" w:hAnsi="Franklin Gothic Book"/>
          <w:lang w:val="en-US"/>
        </w:rPr>
      </w:pPr>
      <w:r w:rsidRPr="00CD12C7">
        <w:rPr>
          <w:rStyle w:val="FootnoteReference"/>
          <w:rFonts w:ascii="Franklin Gothic Book" w:hAnsi="Franklin Gothic Book"/>
        </w:rPr>
        <w:footnoteRef/>
      </w:r>
      <w:r w:rsidRPr="00CD12C7">
        <w:rPr>
          <w:rFonts w:ascii="Franklin Gothic Book" w:hAnsi="Franklin Gothic Book"/>
        </w:rPr>
        <w:t xml:space="preserve"> NIH Quality Assessment Tool for Before-After (Pre-Post) Studies With No Control Group, https://www.nhlbi.nih.gov/health-topics/study-quality-assessment-tools</w:t>
      </w:r>
    </w:p>
  </w:footnote>
  <w:footnote w:id="3">
    <w:p w14:paraId="11BEF090" w14:textId="5C454988" w:rsidR="00E14148" w:rsidRPr="007822AC" w:rsidRDefault="00E14148">
      <w:pPr>
        <w:pStyle w:val="FootnoteText"/>
        <w:rPr>
          <w:lang w:val="en-US"/>
        </w:rPr>
      </w:pPr>
      <w:r w:rsidRPr="00CD12C7">
        <w:rPr>
          <w:rStyle w:val="FootnoteReference"/>
          <w:rFonts w:ascii="Franklin Gothic Book" w:hAnsi="Franklin Gothic Book"/>
        </w:rPr>
        <w:footnoteRef/>
      </w:r>
      <w:r w:rsidRPr="00CD12C7">
        <w:rPr>
          <w:rFonts w:ascii="Franklin Gothic Book" w:hAnsi="Franklin Gothic Book"/>
        </w:rPr>
        <w:t xml:space="preserve"> Schulz KF and Grimes DA. (2002). Sample size slippages in randomised trials: exclusions and the lost and wayward. The Lancet. 359(9308): 781-785. 10.1016/S0140-6736(02)07882-0</w:t>
      </w:r>
    </w:p>
  </w:footnote>
  <w:footnote w:id="4">
    <w:p w14:paraId="56DB5F21" w14:textId="16A7C0D0" w:rsidR="00E14148" w:rsidRPr="004916C6" w:rsidRDefault="00E14148">
      <w:pPr>
        <w:pStyle w:val="FootnoteText"/>
        <w:rPr>
          <w:lang w:val="en-US"/>
        </w:rPr>
      </w:pPr>
      <w:r>
        <w:rPr>
          <w:rStyle w:val="FootnoteReference"/>
        </w:rPr>
        <w:footnoteRef/>
      </w:r>
      <w:r>
        <w:t xml:space="preserve"> </w:t>
      </w:r>
      <w:r w:rsidRPr="004916C6">
        <w:t>Whitney CW, Von Korff M. (1992). Regression to the mean in treated versus untreated chronic pain. Pain. 50(3): 281-285. 10.1016/0304-3959(92)90032-7</w:t>
      </w:r>
    </w:p>
  </w:footnote>
  <w:footnote w:id="5">
    <w:p w14:paraId="38B61576" w14:textId="690A8EB2" w:rsidR="00E14148" w:rsidRPr="00BF2DB5" w:rsidRDefault="00E14148">
      <w:pPr>
        <w:pStyle w:val="FootnoteText"/>
        <w:rPr>
          <w:lang w:val="en-US"/>
        </w:rPr>
      </w:pPr>
      <w:r>
        <w:rPr>
          <w:rStyle w:val="FootnoteReference"/>
        </w:rPr>
        <w:footnoteRef/>
      </w:r>
      <w:r>
        <w:t xml:space="preserve"> Dworkin RH et al. (2008). </w:t>
      </w:r>
      <w:r w:rsidRPr="00785592">
        <w:t>Interpreting the Clinical Importance of Treatment Outcomes in Chronic Pain Clinical Trials: IMMPACT Recommendations</w:t>
      </w:r>
      <w:r>
        <w:t xml:space="preserve">. The Journal of Pain. 9(2): 105-121. </w:t>
      </w:r>
      <w:r w:rsidRPr="00785592">
        <w:t>10.1016/j.jpain.2007.09.005</w:t>
      </w:r>
    </w:p>
  </w:footnote>
  <w:footnote w:id="6">
    <w:p w14:paraId="7F3CD521" w14:textId="7D367894" w:rsidR="00E14148" w:rsidRPr="004F4ECA" w:rsidRDefault="00E14148">
      <w:pPr>
        <w:pStyle w:val="FootnoteText"/>
        <w:rPr>
          <w:lang w:val="en-US"/>
        </w:rPr>
      </w:pPr>
      <w:r>
        <w:rPr>
          <w:rStyle w:val="FootnoteReference"/>
        </w:rPr>
        <w:footnoteRef/>
      </w:r>
      <w:r>
        <w:t xml:space="preserve"> Dworkin RH et al. (2008). </w:t>
      </w:r>
      <w:r w:rsidRPr="00785592">
        <w:t>Interpreting the Clinical Importance of Treatment Outcomes in Chronic Pain Clinical Trials: IMMPACT Recommendations</w:t>
      </w:r>
      <w:r>
        <w:t xml:space="preserve">. The Journal of Pain. 9(2): 105-121. </w:t>
      </w:r>
      <w:r w:rsidRPr="00785592">
        <w:t>10.1016/j.jpain.2007.09.005</w:t>
      </w:r>
    </w:p>
  </w:footnote>
  <w:footnote w:id="7">
    <w:p w14:paraId="55A2B0BC" w14:textId="0A0F68F4" w:rsidR="00E14148" w:rsidRPr="0022571D" w:rsidRDefault="00E14148">
      <w:pPr>
        <w:pStyle w:val="FootnoteText"/>
        <w:rPr>
          <w:lang w:val="en-US"/>
        </w:rPr>
      </w:pPr>
      <w:r>
        <w:rPr>
          <w:rStyle w:val="FootnoteReference"/>
        </w:rPr>
        <w:footnoteRef/>
      </w:r>
      <w:r>
        <w:t xml:space="preserve"> </w:t>
      </w:r>
      <w:r>
        <w:rPr>
          <w:lang w:val="en-US"/>
        </w:rPr>
        <w:t xml:space="preserve">Battersby M, Harris M, Smith D, Reed R, Woodman R. (2015). </w:t>
      </w:r>
      <w:r w:rsidRPr="007822AC">
        <w:rPr>
          <w:lang w:val="en-US"/>
        </w:rPr>
        <w:t>A pragmatic randomized controlled trial of the Flinders Program of chronic condition management in community health care services</w:t>
      </w:r>
      <w:r>
        <w:rPr>
          <w:lang w:val="en-US"/>
        </w:rPr>
        <w:t xml:space="preserve">. Patient Education and Counseling. 98(11): 1367-75. </w:t>
      </w:r>
      <w:r w:rsidRPr="007822AC">
        <w:rPr>
          <w:lang w:val="en-US"/>
        </w:rPr>
        <w:t>10.1016/j.pec.2015.06.003</w:t>
      </w:r>
    </w:p>
  </w:footnote>
  <w:footnote w:id="8">
    <w:p w14:paraId="1FAA2693" w14:textId="77777777" w:rsidR="00E14148" w:rsidRDefault="00E14148" w:rsidP="00316466">
      <w:pPr>
        <w:pStyle w:val="FootnoteText"/>
      </w:pPr>
      <w:r>
        <w:rPr>
          <w:rStyle w:val="FootnoteReference"/>
        </w:rPr>
        <w:footnoteRef/>
      </w:r>
      <w:r>
        <w:t xml:space="preserve"> </w:t>
      </w:r>
      <w:r w:rsidRPr="00956414">
        <w:t>electronic Persistent Pain Outcomes Collaboration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8163" w14:textId="77777777" w:rsidR="00197B06" w:rsidRDefault="00197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E490" w14:textId="77777777" w:rsidR="00197B06" w:rsidRDefault="00197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A5E8" w14:textId="77777777" w:rsidR="00197B06" w:rsidRDefault="00197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B2209"/>
    <w:multiLevelType w:val="hybridMultilevel"/>
    <w:tmpl w:val="FABC9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F1D41"/>
    <w:multiLevelType w:val="hybridMultilevel"/>
    <w:tmpl w:val="FF0AB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A12D8"/>
    <w:multiLevelType w:val="hybridMultilevel"/>
    <w:tmpl w:val="362CBF58"/>
    <w:lvl w:ilvl="0" w:tplc="135E3B1C">
      <w:numFmt w:val="bullet"/>
      <w:lvlText w:val="•"/>
      <w:lvlJc w:val="left"/>
      <w:pPr>
        <w:ind w:left="720" w:hanging="360"/>
      </w:pPr>
      <w:rPr>
        <w:rFonts w:ascii="Franklin Gothic Book" w:eastAsia="Calibri"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47118"/>
    <w:multiLevelType w:val="hybridMultilevel"/>
    <w:tmpl w:val="E878CB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6" w15:restartNumberingAfterBreak="0">
    <w:nsid w:val="24C97DE4"/>
    <w:multiLevelType w:val="hybridMultilevel"/>
    <w:tmpl w:val="D356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026BB9"/>
    <w:multiLevelType w:val="multilevel"/>
    <w:tmpl w:val="BDC00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C183DB7"/>
    <w:multiLevelType w:val="multilevel"/>
    <w:tmpl w:val="D8FA7758"/>
    <w:styleLink w:val="BodyTextbulleted"/>
    <w:lvl w:ilvl="0">
      <w:start w:val="1"/>
      <w:numFmt w:val="bullet"/>
      <w:pStyle w:val="ListBullet"/>
      <w:lvlText w:val=""/>
      <w:lvlJc w:val="left"/>
      <w:pPr>
        <w:ind w:left="454" w:hanging="454"/>
      </w:pPr>
      <w:rPr>
        <w:rFonts w:ascii="Symbol" w:hAnsi="Symbol" w:hint="default"/>
        <w:color w:val="A5A5A5" w:themeColor="accent3"/>
      </w:rPr>
    </w:lvl>
    <w:lvl w:ilvl="1">
      <w:start w:val="1"/>
      <w:numFmt w:val="bullet"/>
      <w:pStyle w:val="ListBullet2"/>
      <w:lvlText w:val="‒"/>
      <w:lvlJc w:val="left"/>
      <w:pPr>
        <w:ind w:left="907" w:hanging="453"/>
      </w:pPr>
      <w:rPr>
        <w:rFonts w:ascii="Verdana" w:hAnsi="Verdana" w:hint="default"/>
        <w:color w:val="525252" w:themeColor="accent3" w:themeShade="80"/>
      </w:rPr>
    </w:lvl>
    <w:lvl w:ilvl="2">
      <w:start w:val="1"/>
      <w:numFmt w:val="bullet"/>
      <w:pStyle w:val="ListBullet3"/>
      <w:lvlText w:val=""/>
      <w:lvlJc w:val="left"/>
      <w:pPr>
        <w:ind w:left="1361" w:hanging="454"/>
      </w:pPr>
      <w:rPr>
        <w:rFonts w:ascii="Wingdings" w:hAnsi="Wingdings" w:hint="default"/>
        <w:color w:val="A5A5A5" w:themeColor="accent3"/>
      </w:rPr>
    </w:lvl>
    <w:lvl w:ilvl="3">
      <w:start w:val="1"/>
      <w:numFmt w:val="bullet"/>
      <w:pStyle w:val="ListBullet4"/>
      <w:lvlText w:val=""/>
      <w:lvlJc w:val="left"/>
      <w:pPr>
        <w:ind w:left="1814" w:hanging="453"/>
      </w:pPr>
      <w:rPr>
        <w:rFonts w:ascii="Wingdings" w:hAnsi="Wingdings" w:hint="default"/>
        <w:color w:val="A5A5A5" w:themeColor="accent3"/>
      </w:rPr>
    </w:lvl>
    <w:lvl w:ilvl="4">
      <w:start w:val="1"/>
      <w:numFmt w:val="bullet"/>
      <w:pStyle w:val="ListBullet5"/>
      <w:lvlText w:val=""/>
      <w:lvlJc w:val="left"/>
      <w:pPr>
        <w:ind w:left="2268" w:hanging="454"/>
      </w:pPr>
      <w:rPr>
        <w:rFonts w:ascii="Symbol" w:hAnsi="Symbol" w:hint="default"/>
        <w:color w:val="A5A5A5" w:themeColor="accent3"/>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DDD2504"/>
    <w:multiLevelType w:val="hybridMultilevel"/>
    <w:tmpl w:val="A97ED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DE50B2"/>
    <w:multiLevelType w:val="hybridMultilevel"/>
    <w:tmpl w:val="E0F22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426A67"/>
    <w:multiLevelType w:val="hybridMultilevel"/>
    <w:tmpl w:val="8F262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277C15"/>
    <w:multiLevelType w:val="hybridMultilevel"/>
    <w:tmpl w:val="AB02D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96E5243"/>
    <w:multiLevelType w:val="hybridMultilevel"/>
    <w:tmpl w:val="16A08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E01F16"/>
    <w:multiLevelType w:val="hybridMultilevel"/>
    <w:tmpl w:val="10DE5B50"/>
    <w:lvl w:ilvl="0" w:tplc="135E3B1C">
      <w:numFmt w:val="bullet"/>
      <w:lvlText w:val="•"/>
      <w:lvlJc w:val="left"/>
      <w:pPr>
        <w:ind w:left="720" w:hanging="360"/>
      </w:pPr>
      <w:rPr>
        <w:rFonts w:ascii="Franklin Gothic Book" w:eastAsia="Calibri"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BD4688"/>
    <w:multiLevelType w:val="hybridMultilevel"/>
    <w:tmpl w:val="04827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AC01E5"/>
    <w:multiLevelType w:val="hybridMultilevel"/>
    <w:tmpl w:val="62283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8C2D03"/>
    <w:multiLevelType w:val="hybridMultilevel"/>
    <w:tmpl w:val="311E9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C16331"/>
    <w:multiLevelType w:val="hybridMultilevel"/>
    <w:tmpl w:val="29A06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4"/>
  </w:num>
  <w:num w:numId="2">
    <w:abstractNumId w:val="26"/>
  </w:num>
  <w:num w:numId="3">
    <w:abstractNumId w:val="0"/>
  </w:num>
  <w:num w:numId="4">
    <w:abstractNumId w:val="5"/>
  </w:num>
  <w:num w:numId="5">
    <w:abstractNumId w:val="24"/>
  </w:num>
  <w:num w:numId="6">
    <w:abstractNumId w:val="8"/>
  </w:num>
  <w:num w:numId="7">
    <w:abstractNumId w:val="9"/>
  </w:num>
  <w:num w:numId="8">
    <w:abstractNumId w:val="12"/>
  </w:num>
  <w:num w:numId="9">
    <w:abstractNumId w:val="18"/>
  </w:num>
  <w:num w:numId="10">
    <w:abstractNumId w:val="22"/>
  </w:num>
  <w:num w:numId="11">
    <w:abstractNumId w:val="19"/>
  </w:num>
  <w:num w:numId="12">
    <w:abstractNumId w:val="21"/>
  </w:num>
  <w:num w:numId="13">
    <w:abstractNumId w:val="13"/>
  </w:num>
  <w:num w:numId="14">
    <w:abstractNumId w:val="11"/>
  </w:num>
  <w:num w:numId="15">
    <w:abstractNumId w:val="6"/>
  </w:num>
  <w:num w:numId="16">
    <w:abstractNumId w:val="2"/>
  </w:num>
  <w:num w:numId="17">
    <w:abstractNumId w:val="17"/>
  </w:num>
  <w:num w:numId="18">
    <w:abstractNumId w:val="4"/>
  </w:num>
  <w:num w:numId="19">
    <w:abstractNumId w:val="0"/>
  </w:num>
  <w:num w:numId="20">
    <w:abstractNumId w:val="14"/>
  </w:num>
  <w:num w:numId="21">
    <w:abstractNumId w:val="1"/>
  </w:num>
  <w:num w:numId="22">
    <w:abstractNumId w:val="20"/>
  </w:num>
  <w:num w:numId="23">
    <w:abstractNumId w:val="3"/>
  </w:num>
  <w:num w:numId="24">
    <w:abstractNumId w:val="23"/>
  </w:num>
  <w:num w:numId="25">
    <w:abstractNumId w:val="7"/>
  </w:num>
  <w:num w:numId="26">
    <w:abstractNumId w:val="10"/>
  </w:num>
  <w:num w:numId="27">
    <w:abstractNumId w:val="15"/>
  </w:num>
  <w:num w:numId="28">
    <w:abstractNumId w:val="16"/>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70"/>
  <w:evenAndOddHeaders/>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71C"/>
    <w:rsid w:val="0000109A"/>
    <w:rsid w:val="00001AE6"/>
    <w:rsid w:val="00001D55"/>
    <w:rsid w:val="000033B1"/>
    <w:rsid w:val="00004D00"/>
    <w:rsid w:val="00004D69"/>
    <w:rsid w:val="00004F7F"/>
    <w:rsid w:val="000054C9"/>
    <w:rsid w:val="000107DF"/>
    <w:rsid w:val="00011568"/>
    <w:rsid w:val="00012738"/>
    <w:rsid w:val="00012E74"/>
    <w:rsid w:val="00014242"/>
    <w:rsid w:val="00014684"/>
    <w:rsid w:val="00014974"/>
    <w:rsid w:val="00014FCA"/>
    <w:rsid w:val="0001555C"/>
    <w:rsid w:val="00020EC0"/>
    <w:rsid w:val="000228B8"/>
    <w:rsid w:val="0002381B"/>
    <w:rsid w:val="00024EA5"/>
    <w:rsid w:val="0002755F"/>
    <w:rsid w:val="00030B09"/>
    <w:rsid w:val="00030ED3"/>
    <w:rsid w:val="00031351"/>
    <w:rsid w:val="00032E58"/>
    <w:rsid w:val="0003423A"/>
    <w:rsid w:val="0003477F"/>
    <w:rsid w:val="00034E1C"/>
    <w:rsid w:val="00036AD8"/>
    <w:rsid w:val="00037037"/>
    <w:rsid w:val="000370CC"/>
    <w:rsid w:val="00037302"/>
    <w:rsid w:val="0003772D"/>
    <w:rsid w:val="00037ADF"/>
    <w:rsid w:val="0004005D"/>
    <w:rsid w:val="00040ADF"/>
    <w:rsid w:val="00040FB4"/>
    <w:rsid w:val="0004178C"/>
    <w:rsid w:val="00041B82"/>
    <w:rsid w:val="00041F5D"/>
    <w:rsid w:val="00043A54"/>
    <w:rsid w:val="000443A6"/>
    <w:rsid w:val="000449D1"/>
    <w:rsid w:val="00045B8D"/>
    <w:rsid w:val="00045CC5"/>
    <w:rsid w:val="000466B1"/>
    <w:rsid w:val="0004671F"/>
    <w:rsid w:val="00046B6A"/>
    <w:rsid w:val="000472D4"/>
    <w:rsid w:val="00052DD3"/>
    <w:rsid w:val="0005326D"/>
    <w:rsid w:val="00053F6C"/>
    <w:rsid w:val="00054958"/>
    <w:rsid w:val="00054ECD"/>
    <w:rsid w:val="000600F3"/>
    <w:rsid w:val="0006074F"/>
    <w:rsid w:val="0006204C"/>
    <w:rsid w:val="000625BF"/>
    <w:rsid w:val="00063076"/>
    <w:rsid w:val="0006339C"/>
    <w:rsid w:val="00063757"/>
    <w:rsid w:val="00064783"/>
    <w:rsid w:val="000647C2"/>
    <w:rsid w:val="00067861"/>
    <w:rsid w:val="0007021F"/>
    <w:rsid w:val="000709A0"/>
    <w:rsid w:val="00071958"/>
    <w:rsid w:val="000727DA"/>
    <w:rsid w:val="0007296C"/>
    <w:rsid w:val="00074199"/>
    <w:rsid w:val="00074876"/>
    <w:rsid w:val="00075F44"/>
    <w:rsid w:val="00080241"/>
    <w:rsid w:val="00081778"/>
    <w:rsid w:val="00082C85"/>
    <w:rsid w:val="0008592F"/>
    <w:rsid w:val="000870B6"/>
    <w:rsid w:val="00090613"/>
    <w:rsid w:val="00090BD1"/>
    <w:rsid w:val="00090C1E"/>
    <w:rsid w:val="00091089"/>
    <w:rsid w:val="00091857"/>
    <w:rsid w:val="00091C59"/>
    <w:rsid w:val="00092A21"/>
    <w:rsid w:val="00093D9A"/>
    <w:rsid w:val="00094656"/>
    <w:rsid w:val="00094D69"/>
    <w:rsid w:val="00096B52"/>
    <w:rsid w:val="00097F66"/>
    <w:rsid w:val="000A082A"/>
    <w:rsid w:val="000A10BF"/>
    <w:rsid w:val="000A15B7"/>
    <w:rsid w:val="000A2ACD"/>
    <w:rsid w:val="000A2B65"/>
    <w:rsid w:val="000A2DA8"/>
    <w:rsid w:val="000A55B1"/>
    <w:rsid w:val="000A5C47"/>
    <w:rsid w:val="000A629E"/>
    <w:rsid w:val="000A6B30"/>
    <w:rsid w:val="000B1BBF"/>
    <w:rsid w:val="000B1C90"/>
    <w:rsid w:val="000B3330"/>
    <w:rsid w:val="000B4AD6"/>
    <w:rsid w:val="000B6CF0"/>
    <w:rsid w:val="000B720C"/>
    <w:rsid w:val="000B7665"/>
    <w:rsid w:val="000C4AA5"/>
    <w:rsid w:val="000C535E"/>
    <w:rsid w:val="000C7C46"/>
    <w:rsid w:val="000D1B52"/>
    <w:rsid w:val="000D4C1B"/>
    <w:rsid w:val="000D5523"/>
    <w:rsid w:val="000E03DC"/>
    <w:rsid w:val="000E08D2"/>
    <w:rsid w:val="000E1124"/>
    <w:rsid w:val="000E17D5"/>
    <w:rsid w:val="000E2166"/>
    <w:rsid w:val="000E5531"/>
    <w:rsid w:val="000E6410"/>
    <w:rsid w:val="000E678B"/>
    <w:rsid w:val="000E7568"/>
    <w:rsid w:val="000F0A6F"/>
    <w:rsid w:val="000F2E01"/>
    <w:rsid w:val="000F3C70"/>
    <w:rsid w:val="000F5A54"/>
    <w:rsid w:val="000F7987"/>
    <w:rsid w:val="0010051C"/>
    <w:rsid w:val="0010448B"/>
    <w:rsid w:val="00104ADA"/>
    <w:rsid w:val="0010521F"/>
    <w:rsid w:val="0010625A"/>
    <w:rsid w:val="00106429"/>
    <w:rsid w:val="0010727F"/>
    <w:rsid w:val="00107524"/>
    <w:rsid w:val="00107DCD"/>
    <w:rsid w:val="00107EF0"/>
    <w:rsid w:val="001110E2"/>
    <w:rsid w:val="00111417"/>
    <w:rsid w:val="00112F73"/>
    <w:rsid w:val="00113135"/>
    <w:rsid w:val="00113C60"/>
    <w:rsid w:val="00113F55"/>
    <w:rsid w:val="00114724"/>
    <w:rsid w:val="00114C3B"/>
    <w:rsid w:val="00115691"/>
    <w:rsid w:val="00117039"/>
    <w:rsid w:val="00117BB0"/>
    <w:rsid w:val="00117F04"/>
    <w:rsid w:val="00120BD3"/>
    <w:rsid w:val="00122AE3"/>
    <w:rsid w:val="00122EE1"/>
    <w:rsid w:val="00123658"/>
    <w:rsid w:val="001237AF"/>
    <w:rsid w:val="001247EB"/>
    <w:rsid w:val="00124D06"/>
    <w:rsid w:val="00124F3C"/>
    <w:rsid w:val="00125B61"/>
    <w:rsid w:val="00126122"/>
    <w:rsid w:val="00127088"/>
    <w:rsid w:val="00127276"/>
    <w:rsid w:val="00131D45"/>
    <w:rsid w:val="001320F0"/>
    <w:rsid w:val="001336E0"/>
    <w:rsid w:val="00133B2D"/>
    <w:rsid w:val="00133F34"/>
    <w:rsid w:val="00135273"/>
    <w:rsid w:val="00135FC9"/>
    <w:rsid w:val="00143478"/>
    <w:rsid w:val="00143F2F"/>
    <w:rsid w:val="00146624"/>
    <w:rsid w:val="0014787C"/>
    <w:rsid w:val="00150376"/>
    <w:rsid w:val="00151DBD"/>
    <w:rsid w:val="001531D6"/>
    <w:rsid w:val="001533C0"/>
    <w:rsid w:val="00155434"/>
    <w:rsid w:val="00155BDA"/>
    <w:rsid w:val="00156FA7"/>
    <w:rsid w:val="0016023A"/>
    <w:rsid w:val="001609D5"/>
    <w:rsid w:val="00162C9A"/>
    <w:rsid w:val="00162DBF"/>
    <w:rsid w:val="001643B8"/>
    <w:rsid w:val="00164CF8"/>
    <w:rsid w:val="001653AE"/>
    <w:rsid w:val="00170D5B"/>
    <w:rsid w:val="0017292D"/>
    <w:rsid w:val="00172B8F"/>
    <w:rsid w:val="001736F8"/>
    <w:rsid w:val="00173D85"/>
    <w:rsid w:val="00174FD4"/>
    <w:rsid w:val="00176AFF"/>
    <w:rsid w:val="00181103"/>
    <w:rsid w:val="00184BAE"/>
    <w:rsid w:val="00185D67"/>
    <w:rsid w:val="00187F42"/>
    <w:rsid w:val="00190855"/>
    <w:rsid w:val="00190BEC"/>
    <w:rsid w:val="001918B8"/>
    <w:rsid w:val="001933B6"/>
    <w:rsid w:val="0019362A"/>
    <w:rsid w:val="0019474E"/>
    <w:rsid w:val="00195728"/>
    <w:rsid w:val="001970C0"/>
    <w:rsid w:val="00197B06"/>
    <w:rsid w:val="001A1CB7"/>
    <w:rsid w:val="001A2AC6"/>
    <w:rsid w:val="001A420B"/>
    <w:rsid w:val="001A4B97"/>
    <w:rsid w:val="001A4F7D"/>
    <w:rsid w:val="001A63A0"/>
    <w:rsid w:val="001A7B42"/>
    <w:rsid w:val="001A7D8F"/>
    <w:rsid w:val="001A7E5A"/>
    <w:rsid w:val="001B0798"/>
    <w:rsid w:val="001B09F2"/>
    <w:rsid w:val="001B1BAB"/>
    <w:rsid w:val="001B2A97"/>
    <w:rsid w:val="001B2CD4"/>
    <w:rsid w:val="001B3105"/>
    <w:rsid w:val="001B7232"/>
    <w:rsid w:val="001B7329"/>
    <w:rsid w:val="001C174A"/>
    <w:rsid w:val="001C1D05"/>
    <w:rsid w:val="001C275A"/>
    <w:rsid w:val="001C2A48"/>
    <w:rsid w:val="001C2D3A"/>
    <w:rsid w:val="001C49A5"/>
    <w:rsid w:val="001C59AA"/>
    <w:rsid w:val="001C61B9"/>
    <w:rsid w:val="001C69E3"/>
    <w:rsid w:val="001C6DFD"/>
    <w:rsid w:val="001C7A20"/>
    <w:rsid w:val="001D1EE6"/>
    <w:rsid w:val="001D32C0"/>
    <w:rsid w:val="001D3A64"/>
    <w:rsid w:val="001D5793"/>
    <w:rsid w:val="001D5E90"/>
    <w:rsid w:val="001D692D"/>
    <w:rsid w:val="001D74A7"/>
    <w:rsid w:val="001E0444"/>
    <w:rsid w:val="001E15F2"/>
    <w:rsid w:val="001E22F7"/>
    <w:rsid w:val="001E465F"/>
    <w:rsid w:val="001F027A"/>
    <w:rsid w:val="001F1500"/>
    <w:rsid w:val="001F2902"/>
    <w:rsid w:val="001F2DE7"/>
    <w:rsid w:val="001F38CD"/>
    <w:rsid w:val="001F3F36"/>
    <w:rsid w:val="001F4398"/>
    <w:rsid w:val="001F4BB8"/>
    <w:rsid w:val="001F5C84"/>
    <w:rsid w:val="001F658C"/>
    <w:rsid w:val="001F675C"/>
    <w:rsid w:val="001F6B1F"/>
    <w:rsid w:val="001F6F44"/>
    <w:rsid w:val="001F7563"/>
    <w:rsid w:val="002008D3"/>
    <w:rsid w:val="0020109A"/>
    <w:rsid w:val="00201D36"/>
    <w:rsid w:val="002028B5"/>
    <w:rsid w:val="00202AC8"/>
    <w:rsid w:val="00207E7D"/>
    <w:rsid w:val="00207F59"/>
    <w:rsid w:val="00211DC3"/>
    <w:rsid w:val="00212D4E"/>
    <w:rsid w:val="00214185"/>
    <w:rsid w:val="00214D93"/>
    <w:rsid w:val="002155B6"/>
    <w:rsid w:val="002156D1"/>
    <w:rsid w:val="002157E4"/>
    <w:rsid w:val="00215AFB"/>
    <w:rsid w:val="00215DEA"/>
    <w:rsid w:val="002163F2"/>
    <w:rsid w:val="00216BAE"/>
    <w:rsid w:val="002200D8"/>
    <w:rsid w:val="0022349B"/>
    <w:rsid w:val="00223664"/>
    <w:rsid w:val="00223A56"/>
    <w:rsid w:val="0022571D"/>
    <w:rsid w:val="0022577A"/>
    <w:rsid w:val="00225833"/>
    <w:rsid w:val="00225EF3"/>
    <w:rsid w:val="00226095"/>
    <w:rsid w:val="00227B89"/>
    <w:rsid w:val="00227C33"/>
    <w:rsid w:val="00227F43"/>
    <w:rsid w:val="00231786"/>
    <w:rsid w:val="00233360"/>
    <w:rsid w:val="00233DC9"/>
    <w:rsid w:val="00233FB0"/>
    <w:rsid w:val="00234640"/>
    <w:rsid w:val="00240106"/>
    <w:rsid w:val="002411C7"/>
    <w:rsid w:val="00242387"/>
    <w:rsid w:val="0024265C"/>
    <w:rsid w:val="00242F4E"/>
    <w:rsid w:val="002452A0"/>
    <w:rsid w:val="002460FB"/>
    <w:rsid w:val="00246290"/>
    <w:rsid w:val="002463A6"/>
    <w:rsid w:val="00246ADB"/>
    <w:rsid w:val="002517A5"/>
    <w:rsid w:val="00251F6C"/>
    <w:rsid w:val="0025249C"/>
    <w:rsid w:val="00253050"/>
    <w:rsid w:val="002539ED"/>
    <w:rsid w:val="0025440D"/>
    <w:rsid w:val="0025450E"/>
    <w:rsid w:val="00255152"/>
    <w:rsid w:val="0025554E"/>
    <w:rsid w:val="00256CA6"/>
    <w:rsid w:val="00260A80"/>
    <w:rsid w:val="002638F4"/>
    <w:rsid w:val="0027160C"/>
    <w:rsid w:val="00271D00"/>
    <w:rsid w:val="002751D1"/>
    <w:rsid w:val="00275209"/>
    <w:rsid w:val="002763AD"/>
    <w:rsid w:val="0028216A"/>
    <w:rsid w:val="00284340"/>
    <w:rsid w:val="002857A0"/>
    <w:rsid w:val="002859C9"/>
    <w:rsid w:val="00287E78"/>
    <w:rsid w:val="00290676"/>
    <w:rsid w:val="0029103A"/>
    <w:rsid w:val="00291462"/>
    <w:rsid w:val="00291572"/>
    <w:rsid w:val="002967DE"/>
    <w:rsid w:val="002A04B4"/>
    <w:rsid w:val="002A08D9"/>
    <w:rsid w:val="002A145B"/>
    <w:rsid w:val="002A18BE"/>
    <w:rsid w:val="002A36F6"/>
    <w:rsid w:val="002A4084"/>
    <w:rsid w:val="002A4AD6"/>
    <w:rsid w:val="002A7196"/>
    <w:rsid w:val="002A76AE"/>
    <w:rsid w:val="002B1384"/>
    <w:rsid w:val="002B1AC2"/>
    <w:rsid w:val="002B1CD5"/>
    <w:rsid w:val="002B1EC6"/>
    <w:rsid w:val="002B3681"/>
    <w:rsid w:val="002B4C6A"/>
    <w:rsid w:val="002B506E"/>
    <w:rsid w:val="002B53BC"/>
    <w:rsid w:val="002B667C"/>
    <w:rsid w:val="002C06FC"/>
    <w:rsid w:val="002C11CA"/>
    <w:rsid w:val="002C3B21"/>
    <w:rsid w:val="002C45E8"/>
    <w:rsid w:val="002C70CE"/>
    <w:rsid w:val="002D5097"/>
    <w:rsid w:val="002D55E4"/>
    <w:rsid w:val="002D690D"/>
    <w:rsid w:val="002D7531"/>
    <w:rsid w:val="002E08D4"/>
    <w:rsid w:val="002E152C"/>
    <w:rsid w:val="002E2B19"/>
    <w:rsid w:val="002E2CDC"/>
    <w:rsid w:val="002E6226"/>
    <w:rsid w:val="002E63BE"/>
    <w:rsid w:val="002E63C7"/>
    <w:rsid w:val="002E7775"/>
    <w:rsid w:val="002E7AD2"/>
    <w:rsid w:val="002F044B"/>
    <w:rsid w:val="002F1399"/>
    <w:rsid w:val="002F16E0"/>
    <w:rsid w:val="002F2833"/>
    <w:rsid w:val="002F2C77"/>
    <w:rsid w:val="002F32FB"/>
    <w:rsid w:val="002F5611"/>
    <w:rsid w:val="002F5F5E"/>
    <w:rsid w:val="002F5F85"/>
    <w:rsid w:val="002F693F"/>
    <w:rsid w:val="002F6BC4"/>
    <w:rsid w:val="00300433"/>
    <w:rsid w:val="003008CC"/>
    <w:rsid w:val="00301763"/>
    <w:rsid w:val="00301EC8"/>
    <w:rsid w:val="00302252"/>
    <w:rsid w:val="00303C60"/>
    <w:rsid w:val="0030452B"/>
    <w:rsid w:val="00304FB8"/>
    <w:rsid w:val="00305B03"/>
    <w:rsid w:val="00307299"/>
    <w:rsid w:val="00307551"/>
    <w:rsid w:val="00310341"/>
    <w:rsid w:val="00310B9B"/>
    <w:rsid w:val="00310C3F"/>
    <w:rsid w:val="003135C5"/>
    <w:rsid w:val="003140D2"/>
    <w:rsid w:val="00314CF5"/>
    <w:rsid w:val="00316466"/>
    <w:rsid w:val="00316706"/>
    <w:rsid w:val="00316718"/>
    <w:rsid w:val="00316F56"/>
    <w:rsid w:val="00317714"/>
    <w:rsid w:val="00320A17"/>
    <w:rsid w:val="00321D41"/>
    <w:rsid w:val="00322DA9"/>
    <w:rsid w:val="00323AF6"/>
    <w:rsid w:val="003251C2"/>
    <w:rsid w:val="00325AFC"/>
    <w:rsid w:val="00325FA0"/>
    <w:rsid w:val="00326F1C"/>
    <w:rsid w:val="00327162"/>
    <w:rsid w:val="00330A0A"/>
    <w:rsid w:val="00332254"/>
    <w:rsid w:val="00332615"/>
    <w:rsid w:val="003328A9"/>
    <w:rsid w:val="00332F74"/>
    <w:rsid w:val="00333720"/>
    <w:rsid w:val="00333C65"/>
    <w:rsid w:val="00336BC5"/>
    <w:rsid w:val="003371B5"/>
    <w:rsid w:val="00337BAF"/>
    <w:rsid w:val="00340341"/>
    <w:rsid w:val="003417CB"/>
    <w:rsid w:val="0034209F"/>
    <w:rsid w:val="003435A9"/>
    <w:rsid w:val="003438A6"/>
    <w:rsid w:val="003439E8"/>
    <w:rsid w:val="00344649"/>
    <w:rsid w:val="00345496"/>
    <w:rsid w:val="00345BCF"/>
    <w:rsid w:val="003466F9"/>
    <w:rsid w:val="00347E1D"/>
    <w:rsid w:val="00350092"/>
    <w:rsid w:val="0035140E"/>
    <w:rsid w:val="003519AD"/>
    <w:rsid w:val="00351E0E"/>
    <w:rsid w:val="003520AB"/>
    <w:rsid w:val="00352ED7"/>
    <w:rsid w:val="00354EB4"/>
    <w:rsid w:val="003561FB"/>
    <w:rsid w:val="00356D29"/>
    <w:rsid w:val="003571C2"/>
    <w:rsid w:val="003576E4"/>
    <w:rsid w:val="003605C0"/>
    <w:rsid w:val="003614F6"/>
    <w:rsid w:val="0036155A"/>
    <w:rsid w:val="0036252C"/>
    <w:rsid w:val="00363C21"/>
    <w:rsid w:val="003640A7"/>
    <w:rsid w:val="00365447"/>
    <w:rsid w:val="0036794E"/>
    <w:rsid w:val="00371766"/>
    <w:rsid w:val="003725EF"/>
    <w:rsid w:val="00372E25"/>
    <w:rsid w:val="0038146C"/>
    <w:rsid w:val="00382609"/>
    <w:rsid w:val="00382DB8"/>
    <w:rsid w:val="0038306C"/>
    <w:rsid w:val="0038343B"/>
    <w:rsid w:val="00386124"/>
    <w:rsid w:val="003864D5"/>
    <w:rsid w:val="00390567"/>
    <w:rsid w:val="00391C02"/>
    <w:rsid w:val="00392DB7"/>
    <w:rsid w:val="00394F43"/>
    <w:rsid w:val="003966F6"/>
    <w:rsid w:val="0039677D"/>
    <w:rsid w:val="003A0660"/>
    <w:rsid w:val="003A09AE"/>
    <w:rsid w:val="003A0D52"/>
    <w:rsid w:val="003A1ADE"/>
    <w:rsid w:val="003A2ED1"/>
    <w:rsid w:val="003A4C47"/>
    <w:rsid w:val="003A6724"/>
    <w:rsid w:val="003A6E1A"/>
    <w:rsid w:val="003A6F37"/>
    <w:rsid w:val="003B0BA1"/>
    <w:rsid w:val="003B0BBE"/>
    <w:rsid w:val="003B4599"/>
    <w:rsid w:val="003B61B7"/>
    <w:rsid w:val="003C0DE1"/>
    <w:rsid w:val="003C1141"/>
    <w:rsid w:val="003C1AE2"/>
    <w:rsid w:val="003C3397"/>
    <w:rsid w:val="003C4E43"/>
    <w:rsid w:val="003C4F8F"/>
    <w:rsid w:val="003C6B59"/>
    <w:rsid w:val="003D299E"/>
    <w:rsid w:val="003D38AA"/>
    <w:rsid w:val="003D38AC"/>
    <w:rsid w:val="003D4C30"/>
    <w:rsid w:val="003D55E1"/>
    <w:rsid w:val="003D5DC8"/>
    <w:rsid w:val="003D641A"/>
    <w:rsid w:val="003D665E"/>
    <w:rsid w:val="003D6BC1"/>
    <w:rsid w:val="003D71EB"/>
    <w:rsid w:val="003D7D0B"/>
    <w:rsid w:val="003D7DBC"/>
    <w:rsid w:val="003D7FC1"/>
    <w:rsid w:val="003E1793"/>
    <w:rsid w:val="003E22CB"/>
    <w:rsid w:val="003E2343"/>
    <w:rsid w:val="003E3CFB"/>
    <w:rsid w:val="003E406B"/>
    <w:rsid w:val="003E4F96"/>
    <w:rsid w:val="003E5CCA"/>
    <w:rsid w:val="003E710D"/>
    <w:rsid w:val="003E7773"/>
    <w:rsid w:val="003F115E"/>
    <w:rsid w:val="003F14C2"/>
    <w:rsid w:val="003F2210"/>
    <w:rsid w:val="003F535C"/>
    <w:rsid w:val="003F5614"/>
    <w:rsid w:val="003F5C0A"/>
    <w:rsid w:val="003F6A40"/>
    <w:rsid w:val="003F7196"/>
    <w:rsid w:val="003F7E02"/>
    <w:rsid w:val="004008AF"/>
    <w:rsid w:val="00400B5F"/>
    <w:rsid w:val="00400F29"/>
    <w:rsid w:val="00401A7A"/>
    <w:rsid w:val="00401DBF"/>
    <w:rsid w:val="004033D9"/>
    <w:rsid w:val="00404A94"/>
    <w:rsid w:val="0040551F"/>
    <w:rsid w:val="0040771F"/>
    <w:rsid w:val="004111F7"/>
    <w:rsid w:val="00411FB1"/>
    <w:rsid w:val="0041217D"/>
    <w:rsid w:val="004125C6"/>
    <w:rsid w:val="0041275F"/>
    <w:rsid w:val="0041397F"/>
    <w:rsid w:val="0042123E"/>
    <w:rsid w:val="00421A89"/>
    <w:rsid w:val="00421EBC"/>
    <w:rsid w:val="0042304B"/>
    <w:rsid w:val="00424084"/>
    <w:rsid w:val="0042468D"/>
    <w:rsid w:val="0042668D"/>
    <w:rsid w:val="004273AD"/>
    <w:rsid w:val="0043058C"/>
    <w:rsid w:val="004305AE"/>
    <w:rsid w:val="00431366"/>
    <w:rsid w:val="00431800"/>
    <w:rsid w:val="004318B4"/>
    <w:rsid w:val="00432BAC"/>
    <w:rsid w:val="00433541"/>
    <w:rsid w:val="00434290"/>
    <w:rsid w:val="00436514"/>
    <w:rsid w:val="004423F7"/>
    <w:rsid w:val="00442A49"/>
    <w:rsid w:val="0044690B"/>
    <w:rsid w:val="00446BBE"/>
    <w:rsid w:val="0044782C"/>
    <w:rsid w:val="00447A43"/>
    <w:rsid w:val="004504B0"/>
    <w:rsid w:val="0045093D"/>
    <w:rsid w:val="00451082"/>
    <w:rsid w:val="00451645"/>
    <w:rsid w:val="00452962"/>
    <w:rsid w:val="00452E2F"/>
    <w:rsid w:val="00454E09"/>
    <w:rsid w:val="00454F8E"/>
    <w:rsid w:val="004559F5"/>
    <w:rsid w:val="00456A91"/>
    <w:rsid w:val="00462778"/>
    <w:rsid w:val="00463310"/>
    <w:rsid w:val="004638DA"/>
    <w:rsid w:val="0046462C"/>
    <w:rsid w:val="00464F6C"/>
    <w:rsid w:val="004662D6"/>
    <w:rsid w:val="004664B2"/>
    <w:rsid w:val="00466806"/>
    <w:rsid w:val="00467C36"/>
    <w:rsid w:val="00470EC6"/>
    <w:rsid w:val="00471A7E"/>
    <w:rsid w:val="00471D0D"/>
    <w:rsid w:val="004736F0"/>
    <w:rsid w:val="00473BCA"/>
    <w:rsid w:val="00474E01"/>
    <w:rsid w:val="004765A6"/>
    <w:rsid w:val="00481865"/>
    <w:rsid w:val="00482804"/>
    <w:rsid w:val="00482B47"/>
    <w:rsid w:val="0048323E"/>
    <w:rsid w:val="00483EBE"/>
    <w:rsid w:val="00484DC5"/>
    <w:rsid w:val="004853A8"/>
    <w:rsid w:val="004855DD"/>
    <w:rsid w:val="00485675"/>
    <w:rsid w:val="00487C85"/>
    <w:rsid w:val="00490DC4"/>
    <w:rsid w:val="004916C6"/>
    <w:rsid w:val="004924DD"/>
    <w:rsid w:val="00493C19"/>
    <w:rsid w:val="00494F64"/>
    <w:rsid w:val="004954CA"/>
    <w:rsid w:val="00495C9C"/>
    <w:rsid w:val="00496736"/>
    <w:rsid w:val="00497B9F"/>
    <w:rsid w:val="004A1A3B"/>
    <w:rsid w:val="004A2084"/>
    <w:rsid w:val="004A338C"/>
    <w:rsid w:val="004A4430"/>
    <w:rsid w:val="004A4FDF"/>
    <w:rsid w:val="004A5489"/>
    <w:rsid w:val="004A5E73"/>
    <w:rsid w:val="004A621E"/>
    <w:rsid w:val="004A6A3C"/>
    <w:rsid w:val="004A7270"/>
    <w:rsid w:val="004A7A52"/>
    <w:rsid w:val="004B1151"/>
    <w:rsid w:val="004B19FE"/>
    <w:rsid w:val="004B2A4D"/>
    <w:rsid w:val="004B2F45"/>
    <w:rsid w:val="004B33C2"/>
    <w:rsid w:val="004B3CBC"/>
    <w:rsid w:val="004B4214"/>
    <w:rsid w:val="004B4691"/>
    <w:rsid w:val="004B62CC"/>
    <w:rsid w:val="004B689D"/>
    <w:rsid w:val="004B6D67"/>
    <w:rsid w:val="004B7511"/>
    <w:rsid w:val="004C01BA"/>
    <w:rsid w:val="004C0E97"/>
    <w:rsid w:val="004C20AA"/>
    <w:rsid w:val="004C3F27"/>
    <w:rsid w:val="004C48C8"/>
    <w:rsid w:val="004C509C"/>
    <w:rsid w:val="004C598D"/>
    <w:rsid w:val="004D08BB"/>
    <w:rsid w:val="004D208A"/>
    <w:rsid w:val="004D3897"/>
    <w:rsid w:val="004D4425"/>
    <w:rsid w:val="004D5385"/>
    <w:rsid w:val="004D668C"/>
    <w:rsid w:val="004E1B5F"/>
    <w:rsid w:val="004E1F23"/>
    <w:rsid w:val="004E2BD6"/>
    <w:rsid w:val="004E321B"/>
    <w:rsid w:val="004E415C"/>
    <w:rsid w:val="004E5C3B"/>
    <w:rsid w:val="004E666B"/>
    <w:rsid w:val="004E7314"/>
    <w:rsid w:val="004F4ECA"/>
    <w:rsid w:val="004F6AD3"/>
    <w:rsid w:val="004F7352"/>
    <w:rsid w:val="004F745C"/>
    <w:rsid w:val="00501386"/>
    <w:rsid w:val="00501BD9"/>
    <w:rsid w:val="00501C25"/>
    <w:rsid w:val="00502724"/>
    <w:rsid w:val="005027A6"/>
    <w:rsid w:val="00502DAE"/>
    <w:rsid w:val="00502FFB"/>
    <w:rsid w:val="005038A0"/>
    <w:rsid w:val="00504579"/>
    <w:rsid w:val="00504A82"/>
    <w:rsid w:val="00505E19"/>
    <w:rsid w:val="0050643C"/>
    <w:rsid w:val="005103C5"/>
    <w:rsid w:val="005131D3"/>
    <w:rsid w:val="0051352C"/>
    <w:rsid w:val="00513C0F"/>
    <w:rsid w:val="00514FC2"/>
    <w:rsid w:val="00515BFA"/>
    <w:rsid w:val="00517A86"/>
    <w:rsid w:val="00517D8C"/>
    <w:rsid w:val="0052349D"/>
    <w:rsid w:val="00524BE8"/>
    <w:rsid w:val="0052575D"/>
    <w:rsid w:val="00525BBD"/>
    <w:rsid w:val="00525EA0"/>
    <w:rsid w:val="00526C92"/>
    <w:rsid w:val="005275FC"/>
    <w:rsid w:val="0052768C"/>
    <w:rsid w:val="0053073A"/>
    <w:rsid w:val="00530896"/>
    <w:rsid w:val="005310AF"/>
    <w:rsid w:val="0053348C"/>
    <w:rsid w:val="005342C3"/>
    <w:rsid w:val="0053448A"/>
    <w:rsid w:val="00534D46"/>
    <w:rsid w:val="005362F5"/>
    <w:rsid w:val="0053725B"/>
    <w:rsid w:val="00540C57"/>
    <w:rsid w:val="00542C68"/>
    <w:rsid w:val="005433E1"/>
    <w:rsid w:val="00544421"/>
    <w:rsid w:val="005501E5"/>
    <w:rsid w:val="00552065"/>
    <w:rsid w:val="005531BD"/>
    <w:rsid w:val="005567B2"/>
    <w:rsid w:val="00557870"/>
    <w:rsid w:val="00560277"/>
    <w:rsid w:val="00560938"/>
    <w:rsid w:val="00560AF1"/>
    <w:rsid w:val="00561562"/>
    <w:rsid w:val="00563DE6"/>
    <w:rsid w:val="0056528D"/>
    <w:rsid w:val="0056545F"/>
    <w:rsid w:val="0056628B"/>
    <w:rsid w:val="00566298"/>
    <w:rsid w:val="0056661D"/>
    <w:rsid w:val="00566BD1"/>
    <w:rsid w:val="00566F3D"/>
    <w:rsid w:val="005672D4"/>
    <w:rsid w:val="0056744E"/>
    <w:rsid w:val="0057091E"/>
    <w:rsid w:val="00571869"/>
    <w:rsid w:val="005723D6"/>
    <w:rsid w:val="00574A6E"/>
    <w:rsid w:val="00575079"/>
    <w:rsid w:val="00577145"/>
    <w:rsid w:val="005773BE"/>
    <w:rsid w:val="00582365"/>
    <w:rsid w:val="0058489B"/>
    <w:rsid w:val="00585C1B"/>
    <w:rsid w:val="005865BC"/>
    <w:rsid w:val="00587639"/>
    <w:rsid w:val="00587A36"/>
    <w:rsid w:val="00587BEE"/>
    <w:rsid w:val="00592638"/>
    <w:rsid w:val="00593138"/>
    <w:rsid w:val="00593A33"/>
    <w:rsid w:val="00593B2C"/>
    <w:rsid w:val="005947B5"/>
    <w:rsid w:val="005951A0"/>
    <w:rsid w:val="005960BB"/>
    <w:rsid w:val="00597407"/>
    <w:rsid w:val="005A0496"/>
    <w:rsid w:val="005A18AB"/>
    <w:rsid w:val="005A4047"/>
    <w:rsid w:val="005A4384"/>
    <w:rsid w:val="005A6FFD"/>
    <w:rsid w:val="005A7012"/>
    <w:rsid w:val="005A7A5E"/>
    <w:rsid w:val="005B0E3A"/>
    <w:rsid w:val="005B1C07"/>
    <w:rsid w:val="005B28A8"/>
    <w:rsid w:val="005B3432"/>
    <w:rsid w:val="005B35DE"/>
    <w:rsid w:val="005B3B7F"/>
    <w:rsid w:val="005B3BD6"/>
    <w:rsid w:val="005B593B"/>
    <w:rsid w:val="005B5CFD"/>
    <w:rsid w:val="005B7D6C"/>
    <w:rsid w:val="005C0706"/>
    <w:rsid w:val="005C30B6"/>
    <w:rsid w:val="005C5022"/>
    <w:rsid w:val="005C711D"/>
    <w:rsid w:val="005C7215"/>
    <w:rsid w:val="005C73C4"/>
    <w:rsid w:val="005D00EA"/>
    <w:rsid w:val="005D023B"/>
    <w:rsid w:val="005D02C4"/>
    <w:rsid w:val="005D2304"/>
    <w:rsid w:val="005D267B"/>
    <w:rsid w:val="005D3A04"/>
    <w:rsid w:val="005D48FE"/>
    <w:rsid w:val="005D4941"/>
    <w:rsid w:val="005D7361"/>
    <w:rsid w:val="005D7471"/>
    <w:rsid w:val="005D749D"/>
    <w:rsid w:val="005E1608"/>
    <w:rsid w:val="005E2702"/>
    <w:rsid w:val="005E5874"/>
    <w:rsid w:val="005E6765"/>
    <w:rsid w:val="005E75D5"/>
    <w:rsid w:val="005F1555"/>
    <w:rsid w:val="005F2978"/>
    <w:rsid w:val="005F4721"/>
    <w:rsid w:val="005F56A8"/>
    <w:rsid w:val="005F613E"/>
    <w:rsid w:val="005F720A"/>
    <w:rsid w:val="00602EA9"/>
    <w:rsid w:val="00602F43"/>
    <w:rsid w:val="00603B08"/>
    <w:rsid w:val="00603FED"/>
    <w:rsid w:val="00605776"/>
    <w:rsid w:val="00610162"/>
    <w:rsid w:val="00610ABA"/>
    <w:rsid w:val="00613037"/>
    <w:rsid w:val="006135AB"/>
    <w:rsid w:val="006138E4"/>
    <w:rsid w:val="006144F6"/>
    <w:rsid w:val="00616407"/>
    <w:rsid w:val="00620815"/>
    <w:rsid w:val="006209DF"/>
    <w:rsid w:val="00620E5A"/>
    <w:rsid w:val="00621840"/>
    <w:rsid w:val="00622E31"/>
    <w:rsid w:val="006248A9"/>
    <w:rsid w:val="006250E9"/>
    <w:rsid w:val="00633B2F"/>
    <w:rsid w:val="00635D97"/>
    <w:rsid w:val="00640C31"/>
    <w:rsid w:val="00641115"/>
    <w:rsid w:val="00643226"/>
    <w:rsid w:val="006459EF"/>
    <w:rsid w:val="006460B2"/>
    <w:rsid w:val="006465F3"/>
    <w:rsid w:val="006534BF"/>
    <w:rsid w:val="006537D7"/>
    <w:rsid w:val="0065444A"/>
    <w:rsid w:val="00654F68"/>
    <w:rsid w:val="0065557E"/>
    <w:rsid w:val="00655CF9"/>
    <w:rsid w:val="00655D45"/>
    <w:rsid w:val="00656985"/>
    <w:rsid w:val="0065714C"/>
    <w:rsid w:val="0065714D"/>
    <w:rsid w:val="00660A74"/>
    <w:rsid w:val="00662E0F"/>
    <w:rsid w:val="00662E5F"/>
    <w:rsid w:val="00664434"/>
    <w:rsid w:val="0066477D"/>
    <w:rsid w:val="0066561F"/>
    <w:rsid w:val="00666A58"/>
    <w:rsid w:val="00666C62"/>
    <w:rsid w:val="00670650"/>
    <w:rsid w:val="00670719"/>
    <w:rsid w:val="006712C0"/>
    <w:rsid w:val="006744AC"/>
    <w:rsid w:val="00674C7D"/>
    <w:rsid w:val="006765FF"/>
    <w:rsid w:val="00676AEA"/>
    <w:rsid w:val="00677A7C"/>
    <w:rsid w:val="006800E6"/>
    <w:rsid w:val="00680B40"/>
    <w:rsid w:val="00681EC9"/>
    <w:rsid w:val="006822FA"/>
    <w:rsid w:val="006824B7"/>
    <w:rsid w:val="0068288C"/>
    <w:rsid w:val="00683F36"/>
    <w:rsid w:val="00684E5D"/>
    <w:rsid w:val="00685589"/>
    <w:rsid w:val="0068682C"/>
    <w:rsid w:val="00687752"/>
    <w:rsid w:val="00690295"/>
    <w:rsid w:val="00690F39"/>
    <w:rsid w:val="00691411"/>
    <w:rsid w:val="006916A3"/>
    <w:rsid w:val="006938AA"/>
    <w:rsid w:val="0069474B"/>
    <w:rsid w:val="0069475D"/>
    <w:rsid w:val="00697966"/>
    <w:rsid w:val="00697EE0"/>
    <w:rsid w:val="006A358D"/>
    <w:rsid w:val="006A3A2B"/>
    <w:rsid w:val="006A49FB"/>
    <w:rsid w:val="006A516A"/>
    <w:rsid w:val="006A6BF1"/>
    <w:rsid w:val="006B1059"/>
    <w:rsid w:val="006B3032"/>
    <w:rsid w:val="006B4B4A"/>
    <w:rsid w:val="006B75C6"/>
    <w:rsid w:val="006C1904"/>
    <w:rsid w:val="006C354C"/>
    <w:rsid w:val="006C3810"/>
    <w:rsid w:val="006C3B76"/>
    <w:rsid w:val="006C445D"/>
    <w:rsid w:val="006C4572"/>
    <w:rsid w:val="006C49BD"/>
    <w:rsid w:val="006C5C1A"/>
    <w:rsid w:val="006C6564"/>
    <w:rsid w:val="006C7B03"/>
    <w:rsid w:val="006D0EC2"/>
    <w:rsid w:val="006D3DA4"/>
    <w:rsid w:val="006D4C72"/>
    <w:rsid w:val="006D4E4C"/>
    <w:rsid w:val="006D5585"/>
    <w:rsid w:val="006D5F76"/>
    <w:rsid w:val="006D600E"/>
    <w:rsid w:val="006D6D96"/>
    <w:rsid w:val="006D7211"/>
    <w:rsid w:val="006D75C8"/>
    <w:rsid w:val="006E234F"/>
    <w:rsid w:val="006F0785"/>
    <w:rsid w:val="006F0D46"/>
    <w:rsid w:val="006F0E68"/>
    <w:rsid w:val="006F23DD"/>
    <w:rsid w:val="006F2442"/>
    <w:rsid w:val="006F2C9D"/>
    <w:rsid w:val="006F2CF5"/>
    <w:rsid w:val="006F454B"/>
    <w:rsid w:val="006F4DA5"/>
    <w:rsid w:val="006F5158"/>
    <w:rsid w:val="006F6B17"/>
    <w:rsid w:val="006F6B58"/>
    <w:rsid w:val="00700779"/>
    <w:rsid w:val="00700950"/>
    <w:rsid w:val="00701136"/>
    <w:rsid w:val="0070319A"/>
    <w:rsid w:val="00703CB4"/>
    <w:rsid w:val="00707C18"/>
    <w:rsid w:val="007103A9"/>
    <w:rsid w:val="00716AD2"/>
    <w:rsid w:val="00717BEB"/>
    <w:rsid w:val="007203CA"/>
    <w:rsid w:val="00720B73"/>
    <w:rsid w:val="00721168"/>
    <w:rsid w:val="007226F5"/>
    <w:rsid w:val="00723B2C"/>
    <w:rsid w:val="00724ED0"/>
    <w:rsid w:val="00724F92"/>
    <w:rsid w:val="007253D6"/>
    <w:rsid w:val="0072578A"/>
    <w:rsid w:val="00725975"/>
    <w:rsid w:val="0072597A"/>
    <w:rsid w:val="0072705A"/>
    <w:rsid w:val="007274CD"/>
    <w:rsid w:val="007304E3"/>
    <w:rsid w:val="00730E69"/>
    <w:rsid w:val="007316BF"/>
    <w:rsid w:val="007328CC"/>
    <w:rsid w:val="00732ECE"/>
    <w:rsid w:val="00733761"/>
    <w:rsid w:val="007370FD"/>
    <w:rsid w:val="0073792C"/>
    <w:rsid w:val="0074257A"/>
    <w:rsid w:val="00746DD0"/>
    <w:rsid w:val="00747434"/>
    <w:rsid w:val="0074788B"/>
    <w:rsid w:val="0075137C"/>
    <w:rsid w:val="00751F48"/>
    <w:rsid w:val="007534EB"/>
    <w:rsid w:val="007538ED"/>
    <w:rsid w:val="00753D24"/>
    <w:rsid w:val="0075418A"/>
    <w:rsid w:val="007562AE"/>
    <w:rsid w:val="00756D05"/>
    <w:rsid w:val="00761CAB"/>
    <w:rsid w:val="0076260D"/>
    <w:rsid w:val="00762D72"/>
    <w:rsid w:val="00763B77"/>
    <w:rsid w:val="0076702C"/>
    <w:rsid w:val="00767F6C"/>
    <w:rsid w:val="00772829"/>
    <w:rsid w:val="0077364A"/>
    <w:rsid w:val="007747A1"/>
    <w:rsid w:val="00774C7F"/>
    <w:rsid w:val="0077746E"/>
    <w:rsid w:val="00777848"/>
    <w:rsid w:val="00777893"/>
    <w:rsid w:val="0078061D"/>
    <w:rsid w:val="007822AC"/>
    <w:rsid w:val="007830D2"/>
    <w:rsid w:val="00784341"/>
    <w:rsid w:val="007852E9"/>
    <w:rsid w:val="00785592"/>
    <w:rsid w:val="00790B15"/>
    <w:rsid w:val="00790F49"/>
    <w:rsid w:val="007931CB"/>
    <w:rsid w:val="007951D4"/>
    <w:rsid w:val="00797C46"/>
    <w:rsid w:val="007A19F6"/>
    <w:rsid w:val="007A231F"/>
    <w:rsid w:val="007A2B65"/>
    <w:rsid w:val="007A3F58"/>
    <w:rsid w:val="007A5617"/>
    <w:rsid w:val="007B0245"/>
    <w:rsid w:val="007B083F"/>
    <w:rsid w:val="007B0880"/>
    <w:rsid w:val="007B0D01"/>
    <w:rsid w:val="007B2085"/>
    <w:rsid w:val="007B2CC9"/>
    <w:rsid w:val="007B2FDC"/>
    <w:rsid w:val="007B38A0"/>
    <w:rsid w:val="007B38B7"/>
    <w:rsid w:val="007B4F7B"/>
    <w:rsid w:val="007B583D"/>
    <w:rsid w:val="007B6684"/>
    <w:rsid w:val="007B6B21"/>
    <w:rsid w:val="007B7024"/>
    <w:rsid w:val="007C0390"/>
    <w:rsid w:val="007C14A2"/>
    <w:rsid w:val="007C2F3A"/>
    <w:rsid w:val="007C300E"/>
    <w:rsid w:val="007C328D"/>
    <w:rsid w:val="007C336F"/>
    <w:rsid w:val="007C41B1"/>
    <w:rsid w:val="007C63F4"/>
    <w:rsid w:val="007D1459"/>
    <w:rsid w:val="007D30B7"/>
    <w:rsid w:val="007D3B6A"/>
    <w:rsid w:val="007D43C0"/>
    <w:rsid w:val="007D69F0"/>
    <w:rsid w:val="007E15AD"/>
    <w:rsid w:val="007E1BD2"/>
    <w:rsid w:val="007E2347"/>
    <w:rsid w:val="007E25ED"/>
    <w:rsid w:val="007E2BC0"/>
    <w:rsid w:val="007E47EE"/>
    <w:rsid w:val="007E4EE2"/>
    <w:rsid w:val="007E50D1"/>
    <w:rsid w:val="007F06E2"/>
    <w:rsid w:val="007F346A"/>
    <w:rsid w:val="007F58DC"/>
    <w:rsid w:val="007F67E9"/>
    <w:rsid w:val="007F7C7B"/>
    <w:rsid w:val="008005E0"/>
    <w:rsid w:val="00800F8E"/>
    <w:rsid w:val="0080299E"/>
    <w:rsid w:val="008040A2"/>
    <w:rsid w:val="00804632"/>
    <w:rsid w:val="00805489"/>
    <w:rsid w:val="008054D9"/>
    <w:rsid w:val="00806688"/>
    <w:rsid w:val="00807A3E"/>
    <w:rsid w:val="00807E60"/>
    <w:rsid w:val="00810338"/>
    <w:rsid w:val="00810AEA"/>
    <w:rsid w:val="008120C0"/>
    <w:rsid w:val="00812282"/>
    <w:rsid w:val="00812505"/>
    <w:rsid w:val="008147B0"/>
    <w:rsid w:val="008148E4"/>
    <w:rsid w:val="00815215"/>
    <w:rsid w:val="008157F1"/>
    <w:rsid w:val="00815C96"/>
    <w:rsid w:val="00816549"/>
    <w:rsid w:val="00816EC2"/>
    <w:rsid w:val="008236E1"/>
    <w:rsid w:val="00823755"/>
    <w:rsid w:val="00824458"/>
    <w:rsid w:val="008249F7"/>
    <w:rsid w:val="00824B74"/>
    <w:rsid w:val="00826D68"/>
    <w:rsid w:val="00827027"/>
    <w:rsid w:val="00831B91"/>
    <w:rsid w:val="0083273B"/>
    <w:rsid w:val="00835419"/>
    <w:rsid w:val="00835EC9"/>
    <w:rsid w:val="00837B99"/>
    <w:rsid w:val="00837E43"/>
    <w:rsid w:val="008403F2"/>
    <w:rsid w:val="00841355"/>
    <w:rsid w:val="00841388"/>
    <w:rsid w:val="00841DF8"/>
    <w:rsid w:val="00841EFB"/>
    <w:rsid w:val="00841F44"/>
    <w:rsid w:val="00842C82"/>
    <w:rsid w:val="008436D7"/>
    <w:rsid w:val="008440FE"/>
    <w:rsid w:val="00845B94"/>
    <w:rsid w:val="00846119"/>
    <w:rsid w:val="008474E3"/>
    <w:rsid w:val="00847AA8"/>
    <w:rsid w:val="008517E6"/>
    <w:rsid w:val="008527ED"/>
    <w:rsid w:val="008537F7"/>
    <w:rsid w:val="00854058"/>
    <w:rsid w:val="008546BE"/>
    <w:rsid w:val="00856074"/>
    <w:rsid w:val="00857949"/>
    <w:rsid w:val="008633DE"/>
    <w:rsid w:val="008662BC"/>
    <w:rsid w:val="00871544"/>
    <w:rsid w:val="008719C2"/>
    <w:rsid w:val="0087277A"/>
    <w:rsid w:val="00872A47"/>
    <w:rsid w:val="008736E2"/>
    <w:rsid w:val="00874565"/>
    <w:rsid w:val="00877247"/>
    <w:rsid w:val="008801AE"/>
    <w:rsid w:val="00880AA3"/>
    <w:rsid w:val="0088421C"/>
    <w:rsid w:val="0088445B"/>
    <w:rsid w:val="00890194"/>
    <w:rsid w:val="00891173"/>
    <w:rsid w:val="00891AF6"/>
    <w:rsid w:val="00891BC3"/>
    <w:rsid w:val="008937C8"/>
    <w:rsid w:val="008967C4"/>
    <w:rsid w:val="008979FF"/>
    <w:rsid w:val="008A0D2A"/>
    <w:rsid w:val="008A1693"/>
    <w:rsid w:val="008A254F"/>
    <w:rsid w:val="008A2630"/>
    <w:rsid w:val="008A5833"/>
    <w:rsid w:val="008A69C6"/>
    <w:rsid w:val="008A70A7"/>
    <w:rsid w:val="008B2173"/>
    <w:rsid w:val="008B2FC2"/>
    <w:rsid w:val="008B3A88"/>
    <w:rsid w:val="008B4BFC"/>
    <w:rsid w:val="008B51B4"/>
    <w:rsid w:val="008B5B67"/>
    <w:rsid w:val="008B5D7A"/>
    <w:rsid w:val="008B66E3"/>
    <w:rsid w:val="008B7438"/>
    <w:rsid w:val="008B7848"/>
    <w:rsid w:val="008C0437"/>
    <w:rsid w:val="008C1CAF"/>
    <w:rsid w:val="008C1E05"/>
    <w:rsid w:val="008C2079"/>
    <w:rsid w:val="008C3285"/>
    <w:rsid w:val="008C34BB"/>
    <w:rsid w:val="008C45E2"/>
    <w:rsid w:val="008C7469"/>
    <w:rsid w:val="008C7D12"/>
    <w:rsid w:val="008D1476"/>
    <w:rsid w:val="008D15D2"/>
    <w:rsid w:val="008D3726"/>
    <w:rsid w:val="008D38B8"/>
    <w:rsid w:val="008D42DE"/>
    <w:rsid w:val="008D4CB0"/>
    <w:rsid w:val="008D5BB1"/>
    <w:rsid w:val="008D6397"/>
    <w:rsid w:val="008D667C"/>
    <w:rsid w:val="008D73C9"/>
    <w:rsid w:val="008E16BF"/>
    <w:rsid w:val="008E3049"/>
    <w:rsid w:val="008E35A3"/>
    <w:rsid w:val="008E7274"/>
    <w:rsid w:val="008F0562"/>
    <w:rsid w:val="008F14B8"/>
    <w:rsid w:val="008F18AB"/>
    <w:rsid w:val="008F260B"/>
    <w:rsid w:val="00904BF4"/>
    <w:rsid w:val="00906821"/>
    <w:rsid w:val="00906E65"/>
    <w:rsid w:val="00907FF3"/>
    <w:rsid w:val="009108CC"/>
    <w:rsid w:val="00910D90"/>
    <w:rsid w:val="00911150"/>
    <w:rsid w:val="00913B15"/>
    <w:rsid w:val="009144D5"/>
    <w:rsid w:val="00915F98"/>
    <w:rsid w:val="00915FA3"/>
    <w:rsid w:val="009217F8"/>
    <w:rsid w:val="0092470E"/>
    <w:rsid w:val="00925187"/>
    <w:rsid w:val="0092709C"/>
    <w:rsid w:val="0092717F"/>
    <w:rsid w:val="009275E4"/>
    <w:rsid w:val="00927744"/>
    <w:rsid w:val="00927B05"/>
    <w:rsid w:val="00930ACF"/>
    <w:rsid w:val="00930F4E"/>
    <w:rsid w:val="00931949"/>
    <w:rsid w:val="009320B7"/>
    <w:rsid w:val="00936062"/>
    <w:rsid w:val="00936CD0"/>
    <w:rsid w:val="00937CBE"/>
    <w:rsid w:val="009400F4"/>
    <w:rsid w:val="00941C6C"/>
    <w:rsid w:val="0094264D"/>
    <w:rsid w:val="00944087"/>
    <w:rsid w:val="00944D8B"/>
    <w:rsid w:val="00944E74"/>
    <w:rsid w:val="00945381"/>
    <w:rsid w:val="009475A0"/>
    <w:rsid w:val="0095012E"/>
    <w:rsid w:val="00950C23"/>
    <w:rsid w:val="00951934"/>
    <w:rsid w:val="0095207B"/>
    <w:rsid w:val="00954490"/>
    <w:rsid w:val="0095460C"/>
    <w:rsid w:val="00954C8C"/>
    <w:rsid w:val="00955333"/>
    <w:rsid w:val="00955895"/>
    <w:rsid w:val="00955AB2"/>
    <w:rsid w:val="00956414"/>
    <w:rsid w:val="00956ACE"/>
    <w:rsid w:val="009572A0"/>
    <w:rsid w:val="009577D0"/>
    <w:rsid w:val="00957D24"/>
    <w:rsid w:val="00960DCF"/>
    <w:rsid w:val="00961B53"/>
    <w:rsid w:val="00963264"/>
    <w:rsid w:val="0096389D"/>
    <w:rsid w:val="009647E6"/>
    <w:rsid w:val="00965D14"/>
    <w:rsid w:val="009676C0"/>
    <w:rsid w:val="009703D1"/>
    <w:rsid w:val="0097183F"/>
    <w:rsid w:val="009718F1"/>
    <w:rsid w:val="0097389C"/>
    <w:rsid w:val="00974A0E"/>
    <w:rsid w:val="00976E40"/>
    <w:rsid w:val="00977D91"/>
    <w:rsid w:val="009803A9"/>
    <w:rsid w:val="009803CB"/>
    <w:rsid w:val="009803D4"/>
    <w:rsid w:val="00980411"/>
    <w:rsid w:val="009807A2"/>
    <w:rsid w:val="0098199C"/>
    <w:rsid w:val="0098485C"/>
    <w:rsid w:val="00985912"/>
    <w:rsid w:val="009863CA"/>
    <w:rsid w:val="0098691C"/>
    <w:rsid w:val="009873F3"/>
    <w:rsid w:val="009876B1"/>
    <w:rsid w:val="0099200D"/>
    <w:rsid w:val="00992FC1"/>
    <w:rsid w:val="009944E3"/>
    <w:rsid w:val="00995E98"/>
    <w:rsid w:val="00996331"/>
    <w:rsid w:val="00996F15"/>
    <w:rsid w:val="00997848"/>
    <w:rsid w:val="00997BA8"/>
    <w:rsid w:val="009A06F4"/>
    <w:rsid w:val="009A30DB"/>
    <w:rsid w:val="009A3778"/>
    <w:rsid w:val="009A3E2E"/>
    <w:rsid w:val="009A7F34"/>
    <w:rsid w:val="009B2245"/>
    <w:rsid w:val="009B258E"/>
    <w:rsid w:val="009B3C37"/>
    <w:rsid w:val="009B5997"/>
    <w:rsid w:val="009B5B9B"/>
    <w:rsid w:val="009B5E59"/>
    <w:rsid w:val="009B6B23"/>
    <w:rsid w:val="009B714A"/>
    <w:rsid w:val="009B723C"/>
    <w:rsid w:val="009B7ABD"/>
    <w:rsid w:val="009C1D27"/>
    <w:rsid w:val="009C27D9"/>
    <w:rsid w:val="009C3BD9"/>
    <w:rsid w:val="009C4450"/>
    <w:rsid w:val="009C5B82"/>
    <w:rsid w:val="009C5C52"/>
    <w:rsid w:val="009C756E"/>
    <w:rsid w:val="009D21BE"/>
    <w:rsid w:val="009D285E"/>
    <w:rsid w:val="009D33E0"/>
    <w:rsid w:val="009D3C3D"/>
    <w:rsid w:val="009D526A"/>
    <w:rsid w:val="009D5288"/>
    <w:rsid w:val="009D6089"/>
    <w:rsid w:val="009E1AAC"/>
    <w:rsid w:val="009E2AD3"/>
    <w:rsid w:val="009E3918"/>
    <w:rsid w:val="009E47E5"/>
    <w:rsid w:val="009E4EA3"/>
    <w:rsid w:val="009F146F"/>
    <w:rsid w:val="009F338E"/>
    <w:rsid w:val="009F3C75"/>
    <w:rsid w:val="00A0037E"/>
    <w:rsid w:val="00A01303"/>
    <w:rsid w:val="00A01D56"/>
    <w:rsid w:val="00A02C4F"/>
    <w:rsid w:val="00A02C6E"/>
    <w:rsid w:val="00A033A5"/>
    <w:rsid w:val="00A0458E"/>
    <w:rsid w:val="00A04A09"/>
    <w:rsid w:val="00A05821"/>
    <w:rsid w:val="00A05AA1"/>
    <w:rsid w:val="00A05D1D"/>
    <w:rsid w:val="00A05EA2"/>
    <w:rsid w:val="00A076CC"/>
    <w:rsid w:val="00A11093"/>
    <w:rsid w:val="00A1165C"/>
    <w:rsid w:val="00A125D6"/>
    <w:rsid w:val="00A14B60"/>
    <w:rsid w:val="00A14E53"/>
    <w:rsid w:val="00A15580"/>
    <w:rsid w:val="00A16449"/>
    <w:rsid w:val="00A2138D"/>
    <w:rsid w:val="00A22EFC"/>
    <w:rsid w:val="00A26389"/>
    <w:rsid w:val="00A27899"/>
    <w:rsid w:val="00A303B8"/>
    <w:rsid w:val="00A33020"/>
    <w:rsid w:val="00A34735"/>
    <w:rsid w:val="00A361C3"/>
    <w:rsid w:val="00A411FA"/>
    <w:rsid w:val="00A44E97"/>
    <w:rsid w:val="00A44EC1"/>
    <w:rsid w:val="00A4503B"/>
    <w:rsid w:val="00A454B3"/>
    <w:rsid w:val="00A45D2E"/>
    <w:rsid w:val="00A45E52"/>
    <w:rsid w:val="00A46652"/>
    <w:rsid w:val="00A46D15"/>
    <w:rsid w:val="00A4713D"/>
    <w:rsid w:val="00A478CF"/>
    <w:rsid w:val="00A47AC9"/>
    <w:rsid w:val="00A5243C"/>
    <w:rsid w:val="00A5323B"/>
    <w:rsid w:val="00A54868"/>
    <w:rsid w:val="00A54F29"/>
    <w:rsid w:val="00A54FB4"/>
    <w:rsid w:val="00A56DE0"/>
    <w:rsid w:val="00A63C18"/>
    <w:rsid w:val="00A63F6F"/>
    <w:rsid w:val="00A662DC"/>
    <w:rsid w:val="00A66671"/>
    <w:rsid w:val="00A6691D"/>
    <w:rsid w:val="00A6741B"/>
    <w:rsid w:val="00A73EB1"/>
    <w:rsid w:val="00A74226"/>
    <w:rsid w:val="00A74A50"/>
    <w:rsid w:val="00A757B0"/>
    <w:rsid w:val="00A776A4"/>
    <w:rsid w:val="00A8049D"/>
    <w:rsid w:val="00A80E2B"/>
    <w:rsid w:val="00A822C2"/>
    <w:rsid w:val="00A82959"/>
    <w:rsid w:val="00A8298F"/>
    <w:rsid w:val="00A82990"/>
    <w:rsid w:val="00A90401"/>
    <w:rsid w:val="00A90DA2"/>
    <w:rsid w:val="00A921E3"/>
    <w:rsid w:val="00A937E7"/>
    <w:rsid w:val="00A94D20"/>
    <w:rsid w:val="00A97465"/>
    <w:rsid w:val="00A9752B"/>
    <w:rsid w:val="00AA2461"/>
    <w:rsid w:val="00AA2865"/>
    <w:rsid w:val="00AA3A9B"/>
    <w:rsid w:val="00AA3BF1"/>
    <w:rsid w:val="00AA403A"/>
    <w:rsid w:val="00AA5410"/>
    <w:rsid w:val="00AA5BC3"/>
    <w:rsid w:val="00AA6350"/>
    <w:rsid w:val="00AB1464"/>
    <w:rsid w:val="00AB21C6"/>
    <w:rsid w:val="00AB2841"/>
    <w:rsid w:val="00AB31CE"/>
    <w:rsid w:val="00AB5C07"/>
    <w:rsid w:val="00AC09C3"/>
    <w:rsid w:val="00AC2A2C"/>
    <w:rsid w:val="00AC2FB5"/>
    <w:rsid w:val="00AC36AE"/>
    <w:rsid w:val="00AC3F1B"/>
    <w:rsid w:val="00AC5A2B"/>
    <w:rsid w:val="00AC6F7D"/>
    <w:rsid w:val="00AC720A"/>
    <w:rsid w:val="00AC7A25"/>
    <w:rsid w:val="00AD3817"/>
    <w:rsid w:val="00AD5F0D"/>
    <w:rsid w:val="00AD60EA"/>
    <w:rsid w:val="00AD645B"/>
    <w:rsid w:val="00AD67D4"/>
    <w:rsid w:val="00AD6FA6"/>
    <w:rsid w:val="00AE164C"/>
    <w:rsid w:val="00AE1944"/>
    <w:rsid w:val="00AE2D0A"/>
    <w:rsid w:val="00AE3CA1"/>
    <w:rsid w:val="00AE4331"/>
    <w:rsid w:val="00AE614D"/>
    <w:rsid w:val="00AE75CC"/>
    <w:rsid w:val="00AE7849"/>
    <w:rsid w:val="00AE7977"/>
    <w:rsid w:val="00AF1F10"/>
    <w:rsid w:val="00AF2592"/>
    <w:rsid w:val="00AF2C13"/>
    <w:rsid w:val="00AF3032"/>
    <w:rsid w:val="00AF3D39"/>
    <w:rsid w:val="00AF497B"/>
    <w:rsid w:val="00AF6A4C"/>
    <w:rsid w:val="00AF6F95"/>
    <w:rsid w:val="00AF716C"/>
    <w:rsid w:val="00B00A27"/>
    <w:rsid w:val="00B0188B"/>
    <w:rsid w:val="00B01AE7"/>
    <w:rsid w:val="00B01C48"/>
    <w:rsid w:val="00B02183"/>
    <w:rsid w:val="00B02B91"/>
    <w:rsid w:val="00B0400B"/>
    <w:rsid w:val="00B047C2"/>
    <w:rsid w:val="00B04CB1"/>
    <w:rsid w:val="00B05635"/>
    <w:rsid w:val="00B07620"/>
    <w:rsid w:val="00B07F67"/>
    <w:rsid w:val="00B1194B"/>
    <w:rsid w:val="00B1314F"/>
    <w:rsid w:val="00B13CC2"/>
    <w:rsid w:val="00B144A8"/>
    <w:rsid w:val="00B151CF"/>
    <w:rsid w:val="00B15D85"/>
    <w:rsid w:val="00B15EEE"/>
    <w:rsid w:val="00B20412"/>
    <w:rsid w:val="00B20445"/>
    <w:rsid w:val="00B247AD"/>
    <w:rsid w:val="00B25D05"/>
    <w:rsid w:val="00B2660D"/>
    <w:rsid w:val="00B26622"/>
    <w:rsid w:val="00B26669"/>
    <w:rsid w:val="00B26CE5"/>
    <w:rsid w:val="00B276B4"/>
    <w:rsid w:val="00B303F6"/>
    <w:rsid w:val="00B307B7"/>
    <w:rsid w:val="00B36028"/>
    <w:rsid w:val="00B365BD"/>
    <w:rsid w:val="00B37D73"/>
    <w:rsid w:val="00B40064"/>
    <w:rsid w:val="00B4042F"/>
    <w:rsid w:val="00B4105F"/>
    <w:rsid w:val="00B422F8"/>
    <w:rsid w:val="00B42647"/>
    <w:rsid w:val="00B43CE5"/>
    <w:rsid w:val="00B47E57"/>
    <w:rsid w:val="00B50A44"/>
    <w:rsid w:val="00B51358"/>
    <w:rsid w:val="00B51F03"/>
    <w:rsid w:val="00B52888"/>
    <w:rsid w:val="00B5391E"/>
    <w:rsid w:val="00B55524"/>
    <w:rsid w:val="00B575BF"/>
    <w:rsid w:val="00B612EA"/>
    <w:rsid w:val="00B61C66"/>
    <w:rsid w:val="00B62604"/>
    <w:rsid w:val="00B62DF2"/>
    <w:rsid w:val="00B63879"/>
    <w:rsid w:val="00B648A7"/>
    <w:rsid w:val="00B66A87"/>
    <w:rsid w:val="00B676D5"/>
    <w:rsid w:val="00B712D0"/>
    <w:rsid w:val="00B719A8"/>
    <w:rsid w:val="00B757E5"/>
    <w:rsid w:val="00B76E79"/>
    <w:rsid w:val="00B81F38"/>
    <w:rsid w:val="00B83B62"/>
    <w:rsid w:val="00B8535F"/>
    <w:rsid w:val="00B86395"/>
    <w:rsid w:val="00B878CD"/>
    <w:rsid w:val="00B91CB1"/>
    <w:rsid w:val="00B92096"/>
    <w:rsid w:val="00B9249B"/>
    <w:rsid w:val="00B9536C"/>
    <w:rsid w:val="00BA1FFB"/>
    <w:rsid w:val="00BA2B3F"/>
    <w:rsid w:val="00BA35CD"/>
    <w:rsid w:val="00BA3680"/>
    <w:rsid w:val="00BA4A0D"/>
    <w:rsid w:val="00BA4E45"/>
    <w:rsid w:val="00BA59FB"/>
    <w:rsid w:val="00BA6994"/>
    <w:rsid w:val="00BB14A3"/>
    <w:rsid w:val="00BB4E48"/>
    <w:rsid w:val="00BB5CE0"/>
    <w:rsid w:val="00BB7A48"/>
    <w:rsid w:val="00BC15DE"/>
    <w:rsid w:val="00BC17C8"/>
    <w:rsid w:val="00BC2E0E"/>
    <w:rsid w:val="00BC369C"/>
    <w:rsid w:val="00BC4972"/>
    <w:rsid w:val="00BC58CF"/>
    <w:rsid w:val="00BC6897"/>
    <w:rsid w:val="00BD19C2"/>
    <w:rsid w:val="00BD1B8D"/>
    <w:rsid w:val="00BD210C"/>
    <w:rsid w:val="00BD32EA"/>
    <w:rsid w:val="00BD33D4"/>
    <w:rsid w:val="00BD40B1"/>
    <w:rsid w:val="00BD5A67"/>
    <w:rsid w:val="00BE47BF"/>
    <w:rsid w:val="00BE499E"/>
    <w:rsid w:val="00BE5374"/>
    <w:rsid w:val="00BE627A"/>
    <w:rsid w:val="00BE6CE8"/>
    <w:rsid w:val="00BF2507"/>
    <w:rsid w:val="00BF2DB5"/>
    <w:rsid w:val="00BF3334"/>
    <w:rsid w:val="00BF7C54"/>
    <w:rsid w:val="00BF7C73"/>
    <w:rsid w:val="00C0051B"/>
    <w:rsid w:val="00C01D5F"/>
    <w:rsid w:val="00C02CFC"/>
    <w:rsid w:val="00C0345A"/>
    <w:rsid w:val="00C034F2"/>
    <w:rsid w:val="00C03511"/>
    <w:rsid w:val="00C04C3A"/>
    <w:rsid w:val="00C05700"/>
    <w:rsid w:val="00C05764"/>
    <w:rsid w:val="00C074CD"/>
    <w:rsid w:val="00C107C3"/>
    <w:rsid w:val="00C13520"/>
    <w:rsid w:val="00C13C46"/>
    <w:rsid w:val="00C14F9B"/>
    <w:rsid w:val="00C14FAB"/>
    <w:rsid w:val="00C15F42"/>
    <w:rsid w:val="00C1610B"/>
    <w:rsid w:val="00C1611D"/>
    <w:rsid w:val="00C16C9A"/>
    <w:rsid w:val="00C175E4"/>
    <w:rsid w:val="00C21EB2"/>
    <w:rsid w:val="00C22B37"/>
    <w:rsid w:val="00C22E8F"/>
    <w:rsid w:val="00C232E0"/>
    <w:rsid w:val="00C23BB1"/>
    <w:rsid w:val="00C24B5E"/>
    <w:rsid w:val="00C25173"/>
    <w:rsid w:val="00C2534F"/>
    <w:rsid w:val="00C26402"/>
    <w:rsid w:val="00C30058"/>
    <w:rsid w:val="00C31110"/>
    <w:rsid w:val="00C317A2"/>
    <w:rsid w:val="00C325A4"/>
    <w:rsid w:val="00C343FC"/>
    <w:rsid w:val="00C346FC"/>
    <w:rsid w:val="00C36032"/>
    <w:rsid w:val="00C3651F"/>
    <w:rsid w:val="00C36633"/>
    <w:rsid w:val="00C36E9D"/>
    <w:rsid w:val="00C37C86"/>
    <w:rsid w:val="00C412B1"/>
    <w:rsid w:val="00C41350"/>
    <w:rsid w:val="00C42CDE"/>
    <w:rsid w:val="00C43C80"/>
    <w:rsid w:val="00C4436C"/>
    <w:rsid w:val="00C44EE9"/>
    <w:rsid w:val="00C461B2"/>
    <w:rsid w:val="00C465C4"/>
    <w:rsid w:val="00C47C8E"/>
    <w:rsid w:val="00C515CE"/>
    <w:rsid w:val="00C52AEF"/>
    <w:rsid w:val="00C52FD1"/>
    <w:rsid w:val="00C5359B"/>
    <w:rsid w:val="00C53AF7"/>
    <w:rsid w:val="00C554B5"/>
    <w:rsid w:val="00C55B53"/>
    <w:rsid w:val="00C56EF2"/>
    <w:rsid w:val="00C570A6"/>
    <w:rsid w:val="00C579F3"/>
    <w:rsid w:val="00C600B3"/>
    <w:rsid w:val="00C60DE1"/>
    <w:rsid w:val="00C61464"/>
    <w:rsid w:val="00C65B4D"/>
    <w:rsid w:val="00C67E8E"/>
    <w:rsid w:val="00C72177"/>
    <w:rsid w:val="00C74B8C"/>
    <w:rsid w:val="00C7722F"/>
    <w:rsid w:val="00C8268F"/>
    <w:rsid w:val="00C83535"/>
    <w:rsid w:val="00C83863"/>
    <w:rsid w:val="00C83D84"/>
    <w:rsid w:val="00C83E70"/>
    <w:rsid w:val="00C8697A"/>
    <w:rsid w:val="00C87436"/>
    <w:rsid w:val="00C8750F"/>
    <w:rsid w:val="00C9141E"/>
    <w:rsid w:val="00C91651"/>
    <w:rsid w:val="00C917A4"/>
    <w:rsid w:val="00C922A2"/>
    <w:rsid w:val="00C94849"/>
    <w:rsid w:val="00C94D86"/>
    <w:rsid w:val="00C96F2D"/>
    <w:rsid w:val="00C97CEE"/>
    <w:rsid w:val="00CA035D"/>
    <w:rsid w:val="00CA26EA"/>
    <w:rsid w:val="00CA2FB2"/>
    <w:rsid w:val="00CA3D3A"/>
    <w:rsid w:val="00CA42D6"/>
    <w:rsid w:val="00CA4EFF"/>
    <w:rsid w:val="00CA528A"/>
    <w:rsid w:val="00CA7945"/>
    <w:rsid w:val="00CB15E9"/>
    <w:rsid w:val="00CB2BD5"/>
    <w:rsid w:val="00CB5BA5"/>
    <w:rsid w:val="00CB5C55"/>
    <w:rsid w:val="00CC11FF"/>
    <w:rsid w:val="00CC147F"/>
    <w:rsid w:val="00CC1D1A"/>
    <w:rsid w:val="00CC3D2D"/>
    <w:rsid w:val="00CC3DA7"/>
    <w:rsid w:val="00CC5371"/>
    <w:rsid w:val="00CC5956"/>
    <w:rsid w:val="00CC6260"/>
    <w:rsid w:val="00CD06DD"/>
    <w:rsid w:val="00CD1098"/>
    <w:rsid w:val="00CD12C7"/>
    <w:rsid w:val="00CD1404"/>
    <w:rsid w:val="00CD14A4"/>
    <w:rsid w:val="00CD23D7"/>
    <w:rsid w:val="00CE1BEE"/>
    <w:rsid w:val="00CE28E3"/>
    <w:rsid w:val="00CE3C73"/>
    <w:rsid w:val="00CE5660"/>
    <w:rsid w:val="00CE59D1"/>
    <w:rsid w:val="00CE5D3C"/>
    <w:rsid w:val="00CE5F55"/>
    <w:rsid w:val="00CF1A2D"/>
    <w:rsid w:val="00CF2849"/>
    <w:rsid w:val="00CF2913"/>
    <w:rsid w:val="00CF2E0E"/>
    <w:rsid w:val="00CF439F"/>
    <w:rsid w:val="00CF6947"/>
    <w:rsid w:val="00CF7120"/>
    <w:rsid w:val="00CF724C"/>
    <w:rsid w:val="00D001B4"/>
    <w:rsid w:val="00D003B7"/>
    <w:rsid w:val="00D00E36"/>
    <w:rsid w:val="00D02F4F"/>
    <w:rsid w:val="00D0398B"/>
    <w:rsid w:val="00D04790"/>
    <w:rsid w:val="00D04CB3"/>
    <w:rsid w:val="00D0556F"/>
    <w:rsid w:val="00D05F45"/>
    <w:rsid w:val="00D07099"/>
    <w:rsid w:val="00D076FE"/>
    <w:rsid w:val="00D104DE"/>
    <w:rsid w:val="00D109BD"/>
    <w:rsid w:val="00D11770"/>
    <w:rsid w:val="00D11BC9"/>
    <w:rsid w:val="00D13D48"/>
    <w:rsid w:val="00D14E59"/>
    <w:rsid w:val="00D16BB7"/>
    <w:rsid w:val="00D1756A"/>
    <w:rsid w:val="00D20031"/>
    <w:rsid w:val="00D20A96"/>
    <w:rsid w:val="00D217BE"/>
    <w:rsid w:val="00D22B8D"/>
    <w:rsid w:val="00D2441F"/>
    <w:rsid w:val="00D313B3"/>
    <w:rsid w:val="00D31A9E"/>
    <w:rsid w:val="00D3292B"/>
    <w:rsid w:val="00D33F02"/>
    <w:rsid w:val="00D358F7"/>
    <w:rsid w:val="00D36376"/>
    <w:rsid w:val="00D36E67"/>
    <w:rsid w:val="00D378CC"/>
    <w:rsid w:val="00D37EF5"/>
    <w:rsid w:val="00D40FA2"/>
    <w:rsid w:val="00D4154C"/>
    <w:rsid w:val="00D419C9"/>
    <w:rsid w:val="00D422C8"/>
    <w:rsid w:val="00D428B9"/>
    <w:rsid w:val="00D43246"/>
    <w:rsid w:val="00D4396A"/>
    <w:rsid w:val="00D4563B"/>
    <w:rsid w:val="00D45750"/>
    <w:rsid w:val="00D457EA"/>
    <w:rsid w:val="00D45C42"/>
    <w:rsid w:val="00D45CDF"/>
    <w:rsid w:val="00D50C82"/>
    <w:rsid w:val="00D52E54"/>
    <w:rsid w:val="00D52FF5"/>
    <w:rsid w:val="00D53D62"/>
    <w:rsid w:val="00D56DFA"/>
    <w:rsid w:val="00D60E22"/>
    <w:rsid w:val="00D61302"/>
    <w:rsid w:val="00D62F4D"/>
    <w:rsid w:val="00D63144"/>
    <w:rsid w:val="00D64906"/>
    <w:rsid w:val="00D652D9"/>
    <w:rsid w:val="00D66BF0"/>
    <w:rsid w:val="00D67F10"/>
    <w:rsid w:val="00D70DDA"/>
    <w:rsid w:val="00D71210"/>
    <w:rsid w:val="00D73AD9"/>
    <w:rsid w:val="00D741E2"/>
    <w:rsid w:val="00D746EE"/>
    <w:rsid w:val="00D74E92"/>
    <w:rsid w:val="00D75F56"/>
    <w:rsid w:val="00D76B8B"/>
    <w:rsid w:val="00D7710B"/>
    <w:rsid w:val="00D80C29"/>
    <w:rsid w:val="00D8316D"/>
    <w:rsid w:val="00D83B51"/>
    <w:rsid w:val="00D84ECA"/>
    <w:rsid w:val="00D84F6F"/>
    <w:rsid w:val="00D8525E"/>
    <w:rsid w:val="00D8786D"/>
    <w:rsid w:val="00D9041B"/>
    <w:rsid w:val="00D90DBB"/>
    <w:rsid w:val="00D9141D"/>
    <w:rsid w:val="00D91580"/>
    <w:rsid w:val="00D93CB5"/>
    <w:rsid w:val="00D946C9"/>
    <w:rsid w:val="00D94CF3"/>
    <w:rsid w:val="00D95972"/>
    <w:rsid w:val="00D967A8"/>
    <w:rsid w:val="00D97A8B"/>
    <w:rsid w:val="00D97C22"/>
    <w:rsid w:val="00D97C79"/>
    <w:rsid w:val="00DA03BF"/>
    <w:rsid w:val="00DA058E"/>
    <w:rsid w:val="00DA18BF"/>
    <w:rsid w:val="00DA512C"/>
    <w:rsid w:val="00DA6765"/>
    <w:rsid w:val="00DB003C"/>
    <w:rsid w:val="00DB1E91"/>
    <w:rsid w:val="00DB4410"/>
    <w:rsid w:val="00DB50F9"/>
    <w:rsid w:val="00DB5117"/>
    <w:rsid w:val="00DB6031"/>
    <w:rsid w:val="00DB6048"/>
    <w:rsid w:val="00DB664A"/>
    <w:rsid w:val="00DB7165"/>
    <w:rsid w:val="00DB7463"/>
    <w:rsid w:val="00DC0708"/>
    <w:rsid w:val="00DC14AF"/>
    <w:rsid w:val="00DC1720"/>
    <w:rsid w:val="00DC2E9C"/>
    <w:rsid w:val="00DC3633"/>
    <w:rsid w:val="00DC4108"/>
    <w:rsid w:val="00DC4EC7"/>
    <w:rsid w:val="00DC4F64"/>
    <w:rsid w:val="00DC50C5"/>
    <w:rsid w:val="00DC64A7"/>
    <w:rsid w:val="00DC70B5"/>
    <w:rsid w:val="00DC7232"/>
    <w:rsid w:val="00DC7255"/>
    <w:rsid w:val="00DC78C8"/>
    <w:rsid w:val="00DD031D"/>
    <w:rsid w:val="00DD0423"/>
    <w:rsid w:val="00DD0953"/>
    <w:rsid w:val="00DD1A95"/>
    <w:rsid w:val="00DD2C81"/>
    <w:rsid w:val="00DD4401"/>
    <w:rsid w:val="00DD5CC1"/>
    <w:rsid w:val="00DE1AAA"/>
    <w:rsid w:val="00DE2496"/>
    <w:rsid w:val="00DE3B50"/>
    <w:rsid w:val="00DE413D"/>
    <w:rsid w:val="00DE5100"/>
    <w:rsid w:val="00DE6B0A"/>
    <w:rsid w:val="00DE7099"/>
    <w:rsid w:val="00DF0FAA"/>
    <w:rsid w:val="00DF341B"/>
    <w:rsid w:val="00DF39E9"/>
    <w:rsid w:val="00DF431B"/>
    <w:rsid w:val="00DF61AC"/>
    <w:rsid w:val="00DF6D02"/>
    <w:rsid w:val="00DF74D9"/>
    <w:rsid w:val="00E0061B"/>
    <w:rsid w:val="00E0360B"/>
    <w:rsid w:val="00E03A96"/>
    <w:rsid w:val="00E04CD5"/>
    <w:rsid w:val="00E05D56"/>
    <w:rsid w:val="00E07726"/>
    <w:rsid w:val="00E079B8"/>
    <w:rsid w:val="00E105A9"/>
    <w:rsid w:val="00E1258E"/>
    <w:rsid w:val="00E13806"/>
    <w:rsid w:val="00E14148"/>
    <w:rsid w:val="00E15045"/>
    <w:rsid w:val="00E15056"/>
    <w:rsid w:val="00E15DB1"/>
    <w:rsid w:val="00E17552"/>
    <w:rsid w:val="00E21B03"/>
    <w:rsid w:val="00E22445"/>
    <w:rsid w:val="00E260A3"/>
    <w:rsid w:val="00E26D15"/>
    <w:rsid w:val="00E27DDB"/>
    <w:rsid w:val="00E31702"/>
    <w:rsid w:val="00E31B75"/>
    <w:rsid w:val="00E3242E"/>
    <w:rsid w:val="00E330C9"/>
    <w:rsid w:val="00E3330E"/>
    <w:rsid w:val="00E3351F"/>
    <w:rsid w:val="00E3385B"/>
    <w:rsid w:val="00E33992"/>
    <w:rsid w:val="00E339E4"/>
    <w:rsid w:val="00E40DAE"/>
    <w:rsid w:val="00E40F62"/>
    <w:rsid w:val="00E41896"/>
    <w:rsid w:val="00E42E06"/>
    <w:rsid w:val="00E43249"/>
    <w:rsid w:val="00E436A2"/>
    <w:rsid w:val="00E44409"/>
    <w:rsid w:val="00E458D8"/>
    <w:rsid w:val="00E467DE"/>
    <w:rsid w:val="00E50777"/>
    <w:rsid w:val="00E509CE"/>
    <w:rsid w:val="00E518A7"/>
    <w:rsid w:val="00E5267D"/>
    <w:rsid w:val="00E529F5"/>
    <w:rsid w:val="00E5356B"/>
    <w:rsid w:val="00E53E00"/>
    <w:rsid w:val="00E54221"/>
    <w:rsid w:val="00E5472F"/>
    <w:rsid w:val="00E54772"/>
    <w:rsid w:val="00E54C11"/>
    <w:rsid w:val="00E5650A"/>
    <w:rsid w:val="00E574EC"/>
    <w:rsid w:val="00E57F9C"/>
    <w:rsid w:val="00E615F9"/>
    <w:rsid w:val="00E6193C"/>
    <w:rsid w:val="00E62BC2"/>
    <w:rsid w:val="00E63DAA"/>
    <w:rsid w:val="00E63DBA"/>
    <w:rsid w:val="00E64561"/>
    <w:rsid w:val="00E66529"/>
    <w:rsid w:val="00E6785A"/>
    <w:rsid w:val="00E700C2"/>
    <w:rsid w:val="00E71077"/>
    <w:rsid w:val="00E720EF"/>
    <w:rsid w:val="00E7221D"/>
    <w:rsid w:val="00E75F1D"/>
    <w:rsid w:val="00E7615F"/>
    <w:rsid w:val="00E766F7"/>
    <w:rsid w:val="00E76AE0"/>
    <w:rsid w:val="00E77A9C"/>
    <w:rsid w:val="00E77AE4"/>
    <w:rsid w:val="00E81578"/>
    <w:rsid w:val="00E81A87"/>
    <w:rsid w:val="00E827EE"/>
    <w:rsid w:val="00E83948"/>
    <w:rsid w:val="00E83CF9"/>
    <w:rsid w:val="00E8546A"/>
    <w:rsid w:val="00E90A94"/>
    <w:rsid w:val="00E92974"/>
    <w:rsid w:val="00E92F98"/>
    <w:rsid w:val="00E9331D"/>
    <w:rsid w:val="00E93916"/>
    <w:rsid w:val="00E94CAA"/>
    <w:rsid w:val="00E95322"/>
    <w:rsid w:val="00E95490"/>
    <w:rsid w:val="00E968C1"/>
    <w:rsid w:val="00E971F6"/>
    <w:rsid w:val="00EA006F"/>
    <w:rsid w:val="00EA0E54"/>
    <w:rsid w:val="00EA1769"/>
    <w:rsid w:val="00EA23CA"/>
    <w:rsid w:val="00EA3671"/>
    <w:rsid w:val="00EA5413"/>
    <w:rsid w:val="00EA5559"/>
    <w:rsid w:val="00EB0DEA"/>
    <w:rsid w:val="00EB1F63"/>
    <w:rsid w:val="00EB27BC"/>
    <w:rsid w:val="00EB4274"/>
    <w:rsid w:val="00EB514A"/>
    <w:rsid w:val="00EB635E"/>
    <w:rsid w:val="00EB6A32"/>
    <w:rsid w:val="00EC33A0"/>
    <w:rsid w:val="00EC390D"/>
    <w:rsid w:val="00EC3CC4"/>
    <w:rsid w:val="00EC4836"/>
    <w:rsid w:val="00EC4DFB"/>
    <w:rsid w:val="00EC5088"/>
    <w:rsid w:val="00ED01E8"/>
    <w:rsid w:val="00ED1823"/>
    <w:rsid w:val="00ED2744"/>
    <w:rsid w:val="00ED3CD6"/>
    <w:rsid w:val="00ED40E6"/>
    <w:rsid w:val="00ED5E38"/>
    <w:rsid w:val="00ED7F5E"/>
    <w:rsid w:val="00EE4490"/>
    <w:rsid w:val="00EE4EEF"/>
    <w:rsid w:val="00EE60D2"/>
    <w:rsid w:val="00EE6832"/>
    <w:rsid w:val="00EE6C26"/>
    <w:rsid w:val="00EF1755"/>
    <w:rsid w:val="00EF36D8"/>
    <w:rsid w:val="00EF3D58"/>
    <w:rsid w:val="00EF66F7"/>
    <w:rsid w:val="00EF7063"/>
    <w:rsid w:val="00EF7084"/>
    <w:rsid w:val="00F02A37"/>
    <w:rsid w:val="00F0365B"/>
    <w:rsid w:val="00F03B39"/>
    <w:rsid w:val="00F04052"/>
    <w:rsid w:val="00F04FED"/>
    <w:rsid w:val="00F050A4"/>
    <w:rsid w:val="00F05DF7"/>
    <w:rsid w:val="00F06673"/>
    <w:rsid w:val="00F06961"/>
    <w:rsid w:val="00F07C23"/>
    <w:rsid w:val="00F1066F"/>
    <w:rsid w:val="00F10DB3"/>
    <w:rsid w:val="00F11FE8"/>
    <w:rsid w:val="00F124E9"/>
    <w:rsid w:val="00F1415F"/>
    <w:rsid w:val="00F14201"/>
    <w:rsid w:val="00F14629"/>
    <w:rsid w:val="00F1508C"/>
    <w:rsid w:val="00F1519A"/>
    <w:rsid w:val="00F1578E"/>
    <w:rsid w:val="00F20763"/>
    <w:rsid w:val="00F20CBA"/>
    <w:rsid w:val="00F227C8"/>
    <w:rsid w:val="00F23CB7"/>
    <w:rsid w:val="00F250B0"/>
    <w:rsid w:val="00F257B5"/>
    <w:rsid w:val="00F25BD1"/>
    <w:rsid w:val="00F26668"/>
    <w:rsid w:val="00F26D4F"/>
    <w:rsid w:val="00F2720E"/>
    <w:rsid w:val="00F2776D"/>
    <w:rsid w:val="00F346E6"/>
    <w:rsid w:val="00F40864"/>
    <w:rsid w:val="00F40DC2"/>
    <w:rsid w:val="00F418A8"/>
    <w:rsid w:val="00F44895"/>
    <w:rsid w:val="00F478BB"/>
    <w:rsid w:val="00F50585"/>
    <w:rsid w:val="00F516E3"/>
    <w:rsid w:val="00F54550"/>
    <w:rsid w:val="00F54832"/>
    <w:rsid w:val="00F55044"/>
    <w:rsid w:val="00F551F3"/>
    <w:rsid w:val="00F57885"/>
    <w:rsid w:val="00F611E3"/>
    <w:rsid w:val="00F66144"/>
    <w:rsid w:val="00F6713F"/>
    <w:rsid w:val="00F70A85"/>
    <w:rsid w:val="00F70BDB"/>
    <w:rsid w:val="00F71687"/>
    <w:rsid w:val="00F7333A"/>
    <w:rsid w:val="00F73907"/>
    <w:rsid w:val="00F74B51"/>
    <w:rsid w:val="00F757E2"/>
    <w:rsid w:val="00F75F72"/>
    <w:rsid w:val="00F76405"/>
    <w:rsid w:val="00F76AE8"/>
    <w:rsid w:val="00F77E3D"/>
    <w:rsid w:val="00F809B4"/>
    <w:rsid w:val="00F81362"/>
    <w:rsid w:val="00F821E1"/>
    <w:rsid w:val="00F854EE"/>
    <w:rsid w:val="00F8778C"/>
    <w:rsid w:val="00F91353"/>
    <w:rsid w:val="00F918E6"/>
    <w:rsid w:val="00F92365"/>
    <w:rsid w:val="00F9684A"/>
    <w:rsid w:val="00F96998"/>
    <w:rsid w:val="00FA0378"/>
    <w:rsid w:val="00FA0825"/>
    <w:rsid w:val="00FA08AD"/>
    <w:rsid w:val="00FA0C44"/>
    <w:rsid w:val="00FA0EF5"/>
    <w:rsid w:val="00FA2F27"/>
    <w:rsid w:val="00FA4150"/>
    <w:rsid w:val="00FA5766"/>
    <w:rsid w:val="00FA6400"/>
    <w:rsid w:val="00FA69B9"/>
    <w:rsid w:val="00FA7D7D"/>
    <w:rsid w:val="00FB0680"/>
    <w:rsid w:val="00FB1E34"/>
    <w:rsid w:val="00FB2D20"/>
    <w:rsid w:val="00FB35CC"/>
    <w:rsid w:val="00FB5875"/>
    <w:rsid w:val="00FB620D"/>
    <w:rsid w:val="00FB63F8"/>
    <w:rsid w:val="00FB6F67"/>
    <w:rsid w:val="00FC0AD7"/>
    <w:rsid w:val="00FC10DE"/>
    <w:rsid w:val="00FC2D5F"/>
    <w:rsid w:val="00FC5603"/>
    <w:rsid w:val="00FC6B7D"/>
    <w:rsid w:val="00FC7CB6"/>
    <w:rsid w:val="00FD0AFA"/>
    <w:rsid w:val="00FD0B28"/>
    <w:rsid w:val="00FD120D"/>
    <w:rsid w:val="00FD17BA"/>
    <w:rsid w:val="00FD2C9D"/>
    <w:rsid w:val="00FD2F74"/>
    <w:rsid w:val="00FD3B94"/>
    <w:rsid w:val="00FD40DD"/>
    <w:rsid w:val="00FD43B3"/>
    <w:rsid w:val="00FD540C"/>
    <w:rsid w:val="00FD6295"/>
    <w:rsid w:val="00FD7EDD"/>
    <w:rsid w:val="00FE1118"/>
    <w:rsid w:val="00FE40E5"/>
    <w:rsid w:val="00FE4739"/>
    <w:rsid w:val="00FE4DB2"/>
    <w:rsid w:val="00FE601D"/>
    <w:rsid w:val="00FE681D"/>
    <w:rsid w:val="00FE73FA"/>
    <w:rsid w:val="00FE74DF"/>
    <w:rsid w:val="00FF0DBD"/>
    <w:rsid w:val="00FF2100"/>
    <w:rsid w:val="00FF3A07"/>
    <w:rsid w:val="00FF3FEA"/>
    <w:rsid w:val="00FF4C68"/>
    <w:rsid w:val="00FF51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tabs>
        <w:tab w:val="num" w:pos="360"/>
      </w:tabs>
      <w:spacing w:after="120" w:line="240" w:lineRule="auto"/>
      <w:ind w:left="0" w:firstLine="0"/>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Cambria" w:hAnsi="Cambri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Cambria" w:hAnsi="Cambri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Cambria" w:hAnsi="Cambria"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table" w:customStyle="1" w:styleId="TableGrid3">
    <w:name w:val="Table Grid3"/>
    <w:basedOn w:val="TableNormal"/>
    <w:next w:val="TableGrid"/>
    <w:uiPriority w:val="39"/>
    <w:rsid w:val="003D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3680"/>
    <w:rPr>
      <w:color w:val="605E5C"/>
      <w:shd w:val="clear" w:color="auto" w:fill="E1DFDD"/>
    </w:rPr>
  </w:style>
  <w:style w:type="paragraph" w:customStyle="1" w:styleId="TableBullet">
    <w:name w:val="TableBullet"/>
    <w:basedOn w:val="TableText1"/>
    <w:rsid w:val="00C7722F"/>
    <w:pPr>
      <w:numPr>
        <w:numId w:val="17"/>
      </w:numPr>
      <w:tabs>
        <w:tab w:val="left" w:pos="216"/>
      </w:tabs>
      <w:spacing w:before="60" w:after="60" w:line="240" w:lineRule="auto"/>
      <w:ind w:left="216" w:hanging="216"/>
      <w:jc w:val="left"/>
    </w:pPr>
    <w:rPr>
      <w:rFonts w:ascii="Times New Roman" w:hAnsi="Times New Roman" w:cs="Times New Roman"/>
      <w:color w:val="000000"/>
      <w:sz w:val="21"/>
      <w:szCs w:val="21"/>
    </w:rPr>
  </w:style>
  <w:style w:type="table" w:customStyle="1" w:styleId="HTAtableplain1">
    <w:name w:val="HTAtableplain1"/>
    <w:basedOn w:val="TableNormal"/>
    <w:uiPriority w:val="59"/>
    <w:rsid w:val="00C7722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
    <w:name w:val="ASD Table1"/>
    <w:basedOn w:val="TableNormal"/>
    <w:next w:val="TableGrid"/>
    <w:uiPriority w:val="59"/>
    <w:rsid w:val="00231786"/>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4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qFormat/>
    <w:rsid w:val="00316466"/>
    <w:pPr>
      <w:spacing w:line="256" w:lineRule="auto"/>
    </w:pPr>
    <w:rPr>
      <w:rFonts w:asciiTheme="minorHAnsi" w:eastAsiaTheme="minorHAnsi" w:hAnsiTheme="minorHAnsi"/>
    </w:rPr>
  </w:style>
  <w:style w:type="character" w:customStyle="1" w:styleId="BodyTextChar">
    <w:name w:val="Body Text Char"/>
    <w:basedOn w:val="DefaultParagraphFont"/>
    <w:link w:val="BodyText"/>
    <w:rsid w:val="00316466"/>
    <w:rPr>
      <w:rFonts w:eastAsiaTheme="minorHAnsi"/>
    </w:rPr>
  </w:style>
  <w:style w:type="character" w:customStyle="1" w:styleId="normaltextrun">
    <w:name w:val="normaltextrun"/>
    <w:basedOn w:val="DefaultParagraphFont"/>
    <w:rsid w:val="00B51F03"/>
  </w:style>
  <w:style w:type="character" w:customStyle="1" w:styleId="eop">
    <w:name w:val="eop"/>
    <w:basedOn w:val="DefaultParagraphFont"/>
    <w:rsid w:val="00B51F03"/>
  </w:style>
  <w:style w:type="paragraph" w:styleId="NormalWeb">
    <w:name w:val="Normal (Web)"/>
    <w:basedOn w:val="Normal"/>
    <w:uiPriority w:val="99"/>
    <w:semiHidden/>
    <w:unhideWhenUsed/>
    <w:rsid w:val="00845B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3C33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BodyText"/>
    <w:uiPriority w:val="11"/>
    <w:semiHidden/>
    <w:unhideWhenUsed/>
    <w:qFormat/>
    <w:rsid w:val="003C3397"/>
    <w:pPr>
      <w:numPr>
        <w:numId w:val="26"/>
      </w:numPr>
      <w:tabs>
        <w:tab w:val="num" w:pos="360"/>
        <w:tab w:val="num" w:pos="720"/>
      </w:tabs>
      <w:spacing w:before="0" w:after="120"/>
      <w:ind w:left="0" w:firstLine="0"/>
    </w:pPr>
    <w:rPr>
      <w:color w:val="0D0D0D" w:themeColor="text1" w:themeTint="F2"/>
      <w:szCs w:val="20"/>
    </w:rPr>
  </w:style>
  <w:style w:type="paragraph" w:styleId="ListBullet2">
    <w:name w:val="List Bullet 2"/>
    <w:basedOn w:val="BodyText"/>
    <w:uiPriority w:val="11"/>
    <w:semiHidden/>
    <w:unhideWhenUsed/>
    <w:rsid w:val="003C3397"/>
    <w:pPr>
      <w:numPr>
        <w:ilvl w:val="1"/>
        <w:numId w:val="26"/>
      </w:numPr>
      <w:tabs>
        <w:tab w:val="num" w:pos="360"/>
        <w:tab w:val="num" w:pos="1440"/>
      </w:tabs>
      <w:spacing w:before="0" w:after="120"/>
      <w:ind w:left="0" w:firstLine="0"/>
    </w:pPr>
    <w:rPr>
      <w:color w:val="0D0D0D" w:themeColor="text1" w:themeTint="F2"/>
      <w:szCs w:val="20"/>
    </w:rPr>
  </w:style>
  <w:style w:type="paragraph" w:styleId="ListBullet3">
    <w:name w:val="List Bullet 3"/>
    <w:basedOn w:val="BodyText"/>
    <w:uiPriority w:val="11"/>
    <w:semiHidden/>
    <w:unhideWhenUsed/>
    <w:rsid w:val="003C3397"/>
    <w:pPr>
      <w:numPr>
        <w:ilvl w:val="2"/>
        <w:numId w:val="26"/>
      </w:numPr>
      <w:tabs>
        <w:tab w:val="num" w:pos="360"/>
        <w:tab w:val="num" w:pos="2160"/>
      </w:tabs>
      <w:spacing w:before="0" w:after="120"/>
      <w:ind w:left="0" w:firstLine="0"/>
    </w:pPr>
    <w:rPr>
      <w:color w:val="0D0D0D" w:themeColor="text1" w:themeTint="F2"/>
      <w:szCs w:val="20"/>
    </w:rPr>
  </w:style>
  <w:style w:type="paragraph" w:styleId="ListBullet4">
    <w:name w:val="List Bullet 4"/>
    <w:basedOn w:val="BodyText"/>
    <w:uiPriority w:val="11"/>
    <w:semiHidden/>
    <w:unhideWhenUsed/>
    <w:rsid w:val="003C3397"/>
    <w:pPr>
      <w:numPr>
        <w:ilvl w:val="3"/>
        <w:numId w:val="26"/>
      </w:numPr>
      <w:tabs>
        <w:tab w:val="num" w:pos="360"/>
        <w:tab w:val="num" w:pos="2880"/>
      </w:tabs>
      <w:spacing w:before="0" w:after="120"/>
      <w:ind w:left="0" w:firstLine="0"/>
    </w:pPr>
    <w:rPr>
      <w:color w:val="0D0D0D" w:themeColor="text1" w:themeTint="F2"/>
      <w:szCs w:val="20"/>
    </w:rPr>
  </w:style>
  <w:style w:type="paragraph" w:styleId="ListBullet5">
    <w:name w:val="List Bullet 5"/>
    <w:basedOn w:val="BodyText"/>
    <w:uiPriority w:val="11"/>
    <w:semiHidden/>
    <w:unhideWhenUsed/>
    <w:rsid w:val="003C3397"/>
    <w:pPr>
      <w:numPr>
        <w:ilvl w:val="4"/>
        <w:numId w:val="26"/>
      </w:numPr>
      <w:tabs>
        <w:tab w:val="num" w:pos="360"/>
        <w:tab w:val="num" w:pos="3600"/>
      </w:tabs>
      <w:spacing w:before="0" w:after="120"/>
      <w:ind w:left="0" w:firstLine="0"/>
    </w:pPr>
    <w:rPr>
      <w:color w:val="0D0D0D" w:themeColor="text1" w:themeTint="F2"/>
      <w:szCs w:val="20"/>
    </w:rPr>
  </w:style>
  <w:style w:type="numbering" w:customStyle="1" w:styleId="BodyTextbulleted">
    <w:name w:val="Body Text &gt; bulleted"/>
    <w:uiPriority w:val="99"/>
    <w:rsid w:val="003C339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76830851">
      <w:bodyDiv w:val="1"/>
      <w:marLeft w:val="0"/>
      <w:marRight w:val="0"/>
      <w:marTop w:val="0"/>
      <w:marBottom w:val="0"/>
      <w:divBdr>
        <w:top w:val="none" w:sz="0" w:space="0" w:color="auto"/>
        <w:left w:val="none" w:sz="0" w:space="0" w:color="auto"/>
        <w:bottom w:val="none" w:sz="0" w:space="0" w:color="auto"/>
        <w:right w:val="none" w:sz="0" w:space="0" w:color="auto"/>
      </w:divBdr>
    </w:div>
    <w:div w:id="96366334">
      <w:bodyDiv w:val="1"/>
      <w:marLeft w:val="0"/>
      <w:marRight w:val="0"/>
      <w:marTop w:val="0"/>
      <w:marBottom w:val="0"/>
      <w:divBdr>
        <w:top w:val="none" w:sz="0" w:space="0" w:color="auto"/>
        <w:left w:val="none" w:sz="0" w:space="0" w:color="auto"/>
        <w:bottom w:val="none" w:sz="0" w:space="0" w:color="auto"/>
        <w:right w:val="none" w:sz="0" w:space="0" w:color="auto"/>
      </w:divBdr>
    </w:div>
    <w:div w:id="102386653">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48988231">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2756269">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19543890">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85872400">
      <w:bodyDiv w:val="1"/>
      <w:marLeft w:val="0"/>
      <w:marRight w:val="0"/>
      <w:marTop w:val="0"/>
      <w:marBottom w:val="0"/>
      <w:divBdr>
        <w:top w:val="none" w:sz="0" w:space="0" w:color="auto"/>
        <w:left w:val="none" w:sz="0" w:space="0" w:color="auto"/>
        <w:bottom w:val="none" w:sz="0" w:space="0" w:color="auto"/>
        <w:right w:val="none" w:sz="0" w:space="0" w:color="auto"/>
      </w:divBdr>
    </w:div>
    <w:div w:id="904338040">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56909780">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03776486">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19627176">
      <w:bodyDiv w:val="1"/>
      <w:marLeft w:val="0"/>
      <w:marRight w:val="0"/>
      <w:marTop w:val="0"/>
      <w:marBottom w:val="0"/>
      <w:divBdr>
        <w:top w:val="none" w:sz="0" w:space="0" w:color="auto"/>
        <w:left w:val="none" w:sz="0" w:space="0" w:color="auto"/>
        <w:bottom w:val="none" w:sz="0" w:space="0" w:color="auto"/>
        <w:right w:val="none" w:sz="0" w:space="0" w:color="auto"/>
      </w:divBdr>
    </w:div>
    <w:div w:id="1022362148">
      <w:bodyDiv w:val="1"/>
      <w:marLeft w:val="0"/>
      <w:marRight w:val="0"/>
      <w:marTop w:val="0"/>
      <w:marBottom w:val="0"/>
      <w:divBdr>
        <w:top w:val="none" w:sz="0" w:space="0" w:color="auto"/>
        <w:left w:val="none" w:sz="0" w:space="0" w:color="auto"/>
        <w:bottom w:val="none" w:sz="0" w:space="0" w:color="auto"/>
        <w:right w:val="none" w:sz="0" w:space="0" w:color="auto"/>
      </w:divBdr>
    </w:div>
    <w:div w:id="1092120478">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87091994">
      <w:bodyDiv w:val="1"/>
      <w:marLeft w:val="0"/>
      <w:marRight w:val="0"/>
      <w:marTop w:val="0"/>
      <w:marBottom w:val="0"/>
      <w:divBdr>
        <w:top w:val="none" w:sz="0" w:space="0" w:color="auto"/>
        <w:left w:val="none" w:sz="0" w:space="0" w:color="auto"/>
        <w:bottom w:val="none" w:sz="0" w:space="0" w:color="auto"/>
        <w:right w:val="none" w:sz="0" w:space="0" w:color="auto"/>
      </w:divBdr>
    </w:div>
    <w:div w:id="150982670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15929883">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43817310">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74694404">
      <w:bodyDiv w:val="1"/>
      <w:marLeft w:val="0"/>
      <w:marRight w:val="0"/>
      <w:marTop w:val="0"/>
      <w:marBottom w:val="0"/>
      <w:divBdr>
        <w:top w:val="none" w:sz="0" w:space="0" w:color="auto"/>
        <w:left w:val="none" w:sz="0" w:space="0" w:color="auto"/>
        <w:bottom w:val="none" w:sz="0" w:space="0" w:color="auto"/>
        <w:right w:val="none" w:sz="0" w:space="0" w:color="auto"/>
      </w:divBdr>
    </w:div>
    <w:div w:id="2077820504">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paonline.com.au/programs/medication-management-programs/medscheck-and-diabetes-medscheck" TargetMode="External"/><Relationship Id="rId18" Type="http://schemas.openxmlformats.org/officeDocument/2006/relationships/hyperlink" Target="http://msac.gov.au/internet/msac/publishing.nsf/Content/Home-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paonline.com.au/programs/medication-management-programs/residential-medication-management-review-and-quality-use-of-medicines" TargetMode="External"/><Relationship Id="rId17" Type="http://schemas.openxmlformats.org/officeDocument/2006/relationships/hyperlink" Target="http://www.msac.gov.au/internet/msac/publishing.nsf/Content/6CPA-MMR%20Programs-publi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paonline.com.au/programs/medication-management-programs/medscheck-and-diabetes-medschec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paonline.com.au/programs/medication-management-programs/home-medicines-review"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sac.gov.au/internet/msac/publishing.nsf/Content/ACF38B24C9FEE14BCA2586FC007A0F43/$File/1677%20-%20Final%20PSD_redacted_Nov2021.pdf" TargetMode="External"/><Relationship Id="rId23" Type="http://schemas.openxmlformats.org/officeDocument/2006/relationships/header" Target="header3.xml"/><Relationship Id="rId10" Type="http://schemas.openxmlformats.org/officeDocument/2006/relationships/hyperlink" Target="https://www.pbs.gov.au/info/general/seventh-community-pharmacy-agreem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6CPA-MMR+Programs-publi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4873-394C-4D4B-A2F6-B385C786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16614</Words>
  <Characters>94701</Characters>
  <Application>Microsoft Office Word</Application>
  <DocSecurity>0</DocSecurity>
  <Lines>789</Lines>
  <Paragraphs>222</Paragraphs>
  <ScaleCrop>false</ScaleCrop>
  <Manager/>
  <Company/>
  <LinksUpToDate>false</LinksUpToDate>
  <CharactersWithSpaces>111093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2022-10-11T04:33:00Z</dcterms:created>
  <dcterms:modified xsi:type="dcterms:W3CDTF">2022-10-24T02:31:00Z</dcterms:modified>
  <cp:category/>
</cp:coreProperties>
</file>