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447205" w:rsidRDefault="006478E7" w:rsidP="006478E7">
      <w:pPr>
        <w:spacing w:before="120" w:after="120" w:line="312" w:lineRule="auto"/>
        <w:jc w:val="center"/>
      </w:pPr>
      <w:r w:rsidRPr="00447205">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9CC0389" w14:textId="41AF2110" w:rsidR="006478E7" w:rsidRDefault="00993550" w:rsidP="00E34AB3">
      <w:pPr>
        <w:pStyle w:val="Heading1"/>
        <w:spacing w:before="1800"/>
        <w:rPr>
          <w:lang w:val="en-AU"/>
        </w:rPr>
      </w:pPr>
      <w:r>
        <w:rPr>
          <w:lang w:val="en-AU"/>
        </w:rPr>
        <w:t>Ratified</w:t>
      </w:r>
      <w:r w:rsidR="00E34AB3">
        <w:rPr>
          <w:lang w:val="en-AU"/>
        </w:rPr>
        <w:br/>
      </w:r>
      <w:r w:rsidR="006478E7" w:rsidRPr="00447205">
        <w:rPr>
          <w:lang w:val="en-AU"/>
        </w:rPr>
        <w:t>PICO Confirmation</w:t>
      </w:r>
    </w:p>
    <w:p w14:paraId="7EAD0B1A" w14:textId="77777777" w:rsidR="00FC7D50" w:rsidRPr="00E34AB3" w:rsidRDefault="00FC7D50" w:rsidP="00FC7D50">
      <w:pPr>
        <w:pStyle w:val="Heading10"/>
        <w:spacing w:before="1560"/>
        <w:jc w:val="center"/>
        <w:rPr>
          <w:color w:val="auto"/>
          <w:sz w:val="48"/>
          <w:szCs w:val="48"/>
        </w:rPr>
      </w:pPr>
      <w:r w:rsidRPr="00E34AB3">
        <w:rPr>
          <w:color w:val="auto"/>
          <w:sz w:val="48"/>
          <w:szCs w:val="48"/>
        </w:rPr>
        <w:t>Application 1668:</w:t>
      </w:r>
    </w:p>
    <w:p w14:paraId="4F8FD750" w14:textId="77777777" w:rsidR="00FC7D50" w:rsidRPr="00E34AB3" w:rsidRDefault="00FC7D50" w:rsidP="00FC7D50">
      <w:pPr>
        <w:pStyle w:val="Heading10"/>
        <w:jc w:val="center"/>
        <w:rPr>
          <w:color w:val="548DD4"/>
          <w:sz w:val="48"/>
          <w:szCs w:val="48"/>
        </w:rPr>
      </w:pPr>
      <w:r w:rsidRPr="00E34AB3">
        <w:rPr>
          <w:color w:val="548DD4"/>
          <w:sz w:val="48"/>
          <w:szCs w:val="48"/>
        </w:rPr>
        <w:t xml:space="preserve">Whole body magnetic resonance imaging (WBMRI) for detection of cancer in individuals with a germline pathogenic or </w:t>
      </w:r>
      <w:r w:rsidRPr="00192A98">
        <w:rPr>
          <w:color w:val="548DD4"/>
          <w:sz w:val="48"/>
          <w:szCs w:val="48"/>
        </w:rPr>
        <w:t>likely pathogenic</w:t>
      </w:r>
      <w:r w:rsidRPr="00E34AB3">
        <w:rPr>
          <w:i/>
          <w:iCs/>
          <w:color w:val="548DD4"/>
          <w:sz w:val="48"/>
          <w:szCs w:val="48"/>
        </w:rPr>
        <w:t xml:space="preserve"> Tumor Protein 53 (TP53)</w:t>
      </w:r>
      <w:r w:rsidRPr="00E34AB3">
        <w:rPr>
          <w:color w:val="548DD4"/>
          <w:sz w:val="48"/>
          <w:szCs w:val="48"/>
        </w:rPr>
        <w:t xml:space="preserve"> variant </w:t>
      </w:r>
    </w:p>
    <w:p w14:paraId="37548384" w14:textId="77777777" w:rsidR="00FC7D50" w:rsidRPr="00FC7D50" w:rsidRDefault="00FC7D50" w:rsidP="00FC7D50">
      <w:pPr>
        <w:rPr>
          <w:lang w:eastAsia="en-AU"/>
        </w:rPr>
      </w:pPr>
    </w:p>
    <w:p w14:paraId="23900CA0" w14:textId="79E76913" w:rsidR="006478E7" w:rsidRPr="00447205" w:rsidRDefault="006478E7">
      <w:r w:rsidRPr="00447205">
        <w:br w:type="page"/>
      </w:r>
    </w:p>
    <w:p w14:paraId="219312C8" w14:textId="4C03567F" w:rsidR="006478E7" w:rsidRPr="00FC7D50" w:rsidRDefault="006478E7" w:rsidP="00FC7D50">
      <w:pPr>
        <w:pStyle w:val="Heading2"/>
        <w:rPr>
          <w:rFonts w:asciiTheme="minorHAnsi" w:hAnsiTheme="minorHAnsi" w:cstheme="minorHAnsi"/>
          <w:sz w:val="22"/>
          <w:szCs w:val="22"/>
        </w:rPr>
      </w:pPr>
      <w:r w:rsidRPr="00FC7D50">
        <w:rPr>
          <w:rFonts w:asciiTheme="minorHAnsi" w:hAnsiTheme="minorHAnsi" w:cstheme="minorHAnsi"/>
          <w:sz w:val="22"/>
          <w:szCs w:val="22"/>
        </w:rPr>
        <w:lastRenderedPageBreak/>
        <w:t>Summary of PI</w:t>
      </w:r>
      <w:r w:rsidR="00235B21" w:rsidRPr="00FC7D50">
        <w:rPr>
          <w:rFonts w:asciiTheme="minorHAnsi" w:hAnsiTheme="minorHAnsi" w:cstheme="minorHAnsi"/>
          <w:sz w:val="22"/>
          <w:szCs w:val="22"/>
        </w:rPr>
        <w:t xml:space="preserve">CO/PPICO criteria to define </w:t>
      </w:r>
      <w:r w:rsidRPr="00FC7D50">
        <w:rPr>
          <w:rFonts w:asciiTheme="minorHAnsi" w:hAnsiTheme="minorHAnsi" w:cstheme="minorHAnsi"/>
          <w:sz w:val="22"/>
          <w:szCs w:val="22"/>
        </w:rPr>
        <w:t>question(s) to be addressed in an Assessment Report to the Medical Services Advisory Committee (MSAC)</w:t>
      </w:r>
      <w:r w:rsidR="00F86826" w:rsidRPr="00FC7D50">
        <w:rPr>
          <w:rFonts w:asciiTheme="minorHAnsi" w:hAnsiTheme="minorHAnsi" w:cstheme="minorHAnsi"/>
          <w:sz w:val="22"/>
          <w:szCs w:val="22"/>
        </w:rPr>
        <w:t>.</w:t>
      </w:r>
    </w:p>
    <w:p w14:paraId="224459F3" w14:textId="7D646743" w:rsidR="00D52956" w:rsidRPr="00447205" w:rsidRDefault="00D52956" w:rsidP="00D52956">
      <w:pPr>
        <w:pStyle w:val="Caption"/>
        <w:rPr>
          <w:lang w:val="en-AU"/>
        </w:rPr>
      </w:pPr>
      <w:bookmarkStart w:id="0" w:name="_Ref69732160"/>
      <w:bookmarkStart w:id="1" w:name="_Ref69732155"/>
      <w:r w:rsidRPr="00447205">
        <w:rPr>
          <w:lang w:val="en-AU"/>
        </w:rPr>
        <w:t>Table</w:t>
      </w:r>
      <w:r w:rsidR="00FD4C65" w:rsidRPr="00447205">
        <w:rPr>
          <w:lang w:val="en-AU"/>
        </w:rPr>
        <w:t> </w:t>
      </w:r>
      <w:r w:rsidRPr="00447205">
        <w:rPr>
          <w:lang w:val="en-AU"/>
        </w:rPr>
        <w:fldChar w:fldCharType="begin"/>
      </w:r>
      <w:r w:rsidRPr="00447205">
        <w:rPr>
          <w:lang w:val="en-AU"/>
        </w:rPr>
        <w:instrText xml:space="preserve"> SEQ Table \* ARABIC </w:instrText>
      </w:r>
      <w:r w:rsidRPr="00447205">
        <w:rPr>
          <w:lang w:val="en-AU"/>
        </w:rPr>
        <w:fldChar w:fldCharType="separate"/>
      </w:r>
      <w:r w:rsidR="000628E9">
        <w:rPr>
          <w:noProof/>
          <w:lang w:val="en-AU"/>
        </w:rPr>
        <w:t>1</w:t>
      </w:r>
      <w:r w:rsidRPr="00447205">
        <w:rPr>
          <w:lang w:val="en-AU"/>
        </w:rPr>
        <w:fldChar w:fldCharType="end"/>
      </w:r>
      <w:bookmarkEnd w:id="0"/>
      <w:r w:rsidRPr="00447205">
        <w:rPr>
          <w:lang w:val="en-AU"/>
        </w:rPr>
        <w:tab/>
        <w:t xml:space="preserve">PICO for </w:t>
      </w:r>
      <w:r w:rsidR="00890F89" w:rsidRPr="00447205">
        <w:rPr>
          <w:lang w:val="en-AU"/>
        </w:rPr>
        <w:t>whole body magnetic resonance</w:t>
      </w:r>
      <w:r w:rsidR="00F415A8">
        <w:rPr>
          <w:lang w:val="en-AU"/>
        </w:rPr>
        <w:t xml:space="preserve"> </w:t>
      </w:r>
      <w:r w:rsidR="00890F89" w:rsidRPr="00447205">
        <w:rPr>
          <w:lang w:val="en-AU"/>
        </w:rPr>
        <w:t>imaging</w:t>
      </w:r>
      <w:r w:rsidRPr="00447205">
        <w:rPr>
          <w:lang w:val="en-AU"/>
        </w:rPr>
        <w:t xml:space="preserve"> </w:t>
      </w:r>
      <w:r w:rsidR="00495168">
        <w:rPr>
          <w:lang w:val="en-AU"/>
        </w:rPr>
        <w:t>(WBMRI) for surveillance of</w:t>
      </w:r>
      <w:r w:rsidRPr="00447205">
        <w:rPr>
          <w:lang w:val="en-AU"/>
        </w:rPr>
        <w:t xml:space="preserve"> </w:t>
      </w:r>
      <w:r w:rsidR="00890F89" w:rsidRPr="00447205">
        <w:rPr>
          <w:lang w:val="en-AU"/>
        </w:rPr>
        <w:t xml:space="preserve">patients with </w:t>
      </w:r>
      <w:r w:rsidR="00495168">
        <w:rPr>
          <w:lang w:val="en-AU"/>
        </w:rPr>
        <w:t xml:space="preserve">a </w:t>
      </w:r>
      <w:r w:rsidR="00890F89" w:rsidRPr="00447205">
        <w:rPr>
          <w:lang w:val="en-AU"/>
        </w:rPr>
        <w:t xml:space="preserve">pathogenic or likely pathogenic </w:t>
      </w:r>
      <w:r w:rsidR="00495168">
        <w:rPr>
          <w:i/>
          <w:iCs/>
          <w:lang w:val="en-AU"/>
        </w:rPr>
        <w:t>Tumour Protein 53 (</w:t>
      </w:r>
      <w:r w:rsidR="00890F89" w:rsidRPr="00891DF4">
        <w:rPr>
          <w:i/>
          <w:iCs/>
          <w:lang w:val="en-AU"/>
        </w:rPr>
        <w:t>TP53</w:t>
      </w:r>
      <w:r w:rsidR="00495168">
        <w:rPr>
          <w:i/>
          <w:iCs/>
          <w:lang w:val="en-AU"/>
        </w:rPr>
        <w:t>)</w:t>
      </w:r>
      <w:r w:rsidR="00890F89" w:rsidRPr="00447205">
        <w:rPr>
          <w:lang w:val="en-AU"/>
        </w:rPr>
        <w:t xml:space="preserve"> variant</w:t>
      </w:r>
      <w:r w:rsidR="00B114F2">
        <w:rPr>
          <w:lang w:val="en-AU"/>
        </w:rPr>
        <w:t>:</w:t>
      </w:r>
      <w:r w:rsidRPr="00447205">
        <w:rPr>
          <w:lang w:val="en-AU"/>
        </w:rPr>
        <w:t xml:space="preserve"> PICO Set 1</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447205" w14:paraId="2A509B30" w14:textId="77777777" w:rsidTr="00C54349">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447205" w:rsidRDefault="006478E7" w:rsidP="00C54349">
            <w:pPr>
              <w:spacing w:before="20" w:after="20" w:line="240" w:lineRule="auto"/>
              <w:rPr>
                <w:b/>
              </w:rPr>
            </w:pPr>
            <w:bookmarkStart w:id="2" w:name="Title_Table1" w:colFirst="0" w:colLast="0"/>
            <w:r w:rsidRPr="00447205">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77777777" w:rsidR="006478E7" w:rsidRPr="00447205" w:rsidRDefault="006478E7" w:rsidP="00C54349">
            <w:pPr>
              <w:spacing w:before="20" w:after="20" w:line="240" w:lineRule="auto"/>
              <w:rPr>
                <w:b/>
              </w:rPr>
            </w:pPr>
            <w:r w:rsidRPr="00447205">
              <w:rPr>
                <w:b/>
              </w:rPr>
              <w:t>Description</w:t>
            </w:r>
          </w:p>
        </w:tc>
      </w:tr>
      <w:bookmarkEnd w:id="2"/>
      <w:tr w:rsidR="006478E7" w:rsidRPr="00447205" w14:paraId="78E0BB65"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447205" w:rsidRDefault="00F660E8" w:rsidP="00E01349">
            <w:pPr>
              <w:spacing w:before="120" w:after="120" w:line="240" w:lineRule="auto"/>
              <w:rPr>
                <w:rFonts w:cs="Arial"/>
              </w:rPr>
            </w:pPr>
            <w:r w:rsidRPr="00447205">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4A4FF7C2" w14:textId="24818A65" w:rsidR="006478E7" w:rsidRPr="00447205" w:rsidRDefault="00936BEE" w:rsidP="00860F72">
            <w:r>
              <w:t>Individuals</w:t>
            </w:r>
            <w:r w:rsidRPr="00447205">
              <w:t xml:space="preserve"> </w:t>
            </w:r>
            <w:r w:rsidR="007C5299">
              <w:t xml:space="preserve">aged 65 years or less </w:t>
            </w:r>
            <w:r w:rsidR="00860F72" w:rsidRPr="00447205">
              <w:t xml:space="preserve">who have tested positive for a pathogenic or likely pathogenic germline variant of </w:t>
            </w:r>
            <w:r w:rsidR="00882C80">
              <w:t xml:space="preserve">the </w:t>
            </w:r>
            <w:r w:rsidR="00882C80">
              <w:rPr>
                <w:i/>
                <w:iCs/>
              </w:rPr>
              <w:t>Tumor Protein 53 (</w:t>
            </w:r>
            <w:r w:rsidR="00860F72" w:rsidRPr="00891DF4">
              <w:rPr>
                <w:i/>
                <w:iCs/>
              </w:rPr>
              <w:t>TP53</w:t>
            </w:r>
            <w:r w:rsidR="00882C80">
              <w:rPr>
                <w:i/>
                <w:iCs/>
              </w:rPr>
              <w:t xml:space="preserve">) </w:t>
            </w:r>
            <w:r w:rsidR="00882C80">
              <w:t>gene</w:t>
            </w:r>
            <w:r w:rsidR="00860F72" w:rsidRPr="00447205">
              <w:t>.</w:t>
            </w:r>
          </w:p>
        </w:tc>
      </w:tr>
      <w:tr w:rsidR="006478E7" w:rsidRPr="00447205" w14:paraId="2A9CC9A6"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5E49351" w14:textId="66BAC3FD" w:rsidR="006478E7" w:rsidRPr="00447205" w:rsidRDefault="006478E7" w:rsidP="00E01349">
            <w:pPr>
              <w:spacing w:before="120" w:after="120" w:line="240" w:lineRule="auto"/>
              <w:rPr>
                <w:rFonts w:cs="Arial"/>
              </w:rPr>
            </w:pPr>
            <w:r w:rsidRPr="00447205">
              <w:rPr>
                <w:rFonts w:cs="Arial"/>
              </w:rPr>
              <w:t>Prior tests</w:t>
            </w:r>
          </w:p>
        </w:tc>
        <w:tc>
          <w:tcPr>
            <w:tcW w:w="3995" w:type="pct"/>
            <w:tcBorders>
              <w:top w:val="single" w:sz="4" w:space="0" w:color="auto"/>
              <w:left w:val="single" w:sz="4" w:space="0" w:color="auto"/>
              <w:bottom w:val="single" w:sz="4" w:space="0" w:color="auto"/>
              <w:right w:val="single" w:sz="4" w:space="0" w:color="auto"/>
            </w:tcBorders>
            <w:hideMark/>
          </w:tcPr>
          <w:p w14:paraId="5CF47E43" w14:textId="0C5F3F64" w:rsidR="006478E7" w:rsidRPr="00447205" w:rsidRDefault="00860F72" w:rsidP="00860F72">
            <w:r w:rsidRPr="00447205">
              <w:t>Genetic testing</w:t>
            </w:r>
            <w:r w:rsidR="00442E69">
              <w:t xml:space="preserve"> to confirm germline</w:t>
            </w:r>
            <w:r w:rsidRPr="00447205">
              <w:t xml:space="preserve"> </w:t>
            </w:r>
            <w:r w:rsidR="00F4307F">
              <w:t xml:space="preserve">pathogenic </w:t>
            </w:r>
            <w:r w:rsidRPr="00891DF4">
              <w:rPr>
                <w:i/>
                <w:iCs/>
              </w:rPr>
              <w:t>TP53</w:t>
            </w:r>
            <w:r w:rsidR="00F4307F">
              <w:rPr>
                <w:i/>
                <w:iCs/>
              </w:rPr>
              <w:t xml:space="preserve"> </w:t>
            </w:r>
            <w:r w:rsidR="00F4307F">
              <w:t>variant status</w:t>
            </w:r>
            <w:r w:rsidRPr="00447205">
              <w:t>.</w:t>
            </w:r>
          </w:p>
        </w:tc>
      </w:tr>
      <w:tr w:rsidR="006478E7" w:rsidRPr="00447205"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447205" w:rsidRDefault="006478E7" w:rsidP="00E01349">
            <w:pPr>
              <w:spacing w:before="120" w:after="120" w:line="240" w:lineRule="auto"/>
              <w:rPr>
                <w:rFonts w:cs="Arial"/>
              </w:rPr>
            </w:pPr>
            <w:r w:rsidRPr="00447205">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E51DB12" w14:textId="4DFE9076" w:rsidR="006478E7" w:rsidRPr="00447205" w:rsidRDefault="00860F72" w:rsidP="00860F72">
            <w:r w:rsidRPr="00447205">
              <w:t xml:space="preserve">Annual </w:t>
            </w:r>
            <w:r w:rsidR="00936BEE">
              <w:t xml:space="preserve">non-contrast </w:t>
            </w:r>
            <w:r w:rsidRPr="00447205">
              <w:t xml:space="preserve">whole body magnetic resonance imaging </w:t>
            </w:r>
            <w:r w:rsidR="00882C80">
              <w:t>(WBMRI)</w:t>
            </w:r>
            <w:r w:rsidR="00442E69">
              <w:t xml:space="preserve"> surveillance for the early detection of cancer</w:t>
            </w:r>
            <w:r w:rsidR="00066A26">
              <w:t>,</w:t>
            </w:r>
            <w:r w:rsidR="00882C80">
              <w:t xml:space="preserve"> </w:t>
            </w:r>
            <w:r w:rsidRPr="00447205">
              <w:t xml:space="preserve">in addition to </w:t>
            </w:r>
            <w:r w:rsidR="00192157">
              <w:t xml:space="preserve">other </w:t>
            </w:r>
            <w:r w:rsidRPr="00447205">
              <w:t xml:space="preserve">standard </w:t>
            </w:r>
            <w:r w:rsidR="00EB4A08" w:rsidRPr="00447205">
              <w:t>risk management options</w:t>
            </w:r>
            <w:r w:rsidR="000713C8">
              <w:t xml:space="preserve"> available in current practice</w:t>
            </w:r>
            <w:r w:rsidRPr="00447205">
              <w:t xml:space="preserve"> (including but not limited to, physical examination, biochemical tests, brain and breast MRI, colonoscopy and </w:t>
            </w:r>
            <w:r w:rsidR="00447205" w:rsidRPr="00447205">
              <w:t>endoscopy</w:t>
            </w:r>
            <w:r w:rsidRPr="00447205">
              <w:t>)</w:t>
            </w:r>
            <w:r w:rsidR="00882C80">
              <w:t>.</w:t>
            </w:r>
            <w:r w:rsidR="0058364A">
              <w:t xml:space="preserve"> </w:t>
            </w:r>
          </w:p>
        </w:tc>
      </w:tr>
      <w:tr w:rsidR="006478E7" w:rsidRPr="00447205" w14:paraId="1F5647C3"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7F55173A" w14:textId="77777777" w:rsidR="006478E7" w:rsidRPr="00447205" w:rsidRDefault="006478E7" w:rsidP="00E01349">
            <w:pPr>
              <w:spacing w:before="120" w:after="120" w:line="240" w:lineRule="auto"/>
              <w:rPr>
                <w:rFonts w:cs="Arial"/>
              </w:rPr>
            </w:pPr>
            <w:r w:rsidRPr="00447205">
              <w:rPr>
                <w:rFonts w:cs="Arial"/>
              </w:rPr>
              <w:t>Comparator</w:t>
            </w:r>
            <w:r w:rsidR="00D83062" w:rsidRPr="00447205">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7E690E4B" w14:textId="7EBA5238" w:rsidR="006478E7" w:rsidRPr="00447205" w:rsidRDefault="00860F72" w:rsidP="00860F72">
            <w:r w:rsidRPr="00447205">
              <w:t>Standard</w:t>
            </w:r>
            <w:r w:rsidR="00DF44C2">
              <w:t xml:space="preserve"> Medicare Benefits Schedule</w:t>
            </w:r>
            <w:r w:rsidR="005E40A4">
              <w:t xml:space="preserve"> </w:t>
            </w:r>
            <w:r w:rsidR="00DF44C2">
              <w:t>(</w:t>
            </w:r>
            <w:r w:rsidR="00026862">
              <w:t>MBS</w:t>
            </w:r>
            <w:r w:rsidR="00DF44C2">
              <w:t>)</w:t>
            </w:r>
            <w:r w:rsidR="00026862">
              <w:t xml:space="preserve">-funded </w:t>
            </w:r>
            <w:r w:rsidR="005E40A4">
              <w:t>diagnostic</w:t>
            </w:r>
            <w:r w:rsidR="00EB4A08" w:rsidRPr="00447205">
              <w:t xml:space="preserve"> options</w:t>
            </w:r>
            <w:r w:rsidR="00442E69">
              <w:t xml:space="preserve"> available in current practice</w:t>
            </w:r>
            <w:r w:rsidRPr="00447205">
              <w:t xml:space="preserve"> (including but not limited to, physical examination, biochemical tests, brain and breast MRI, colonoscopy and </w:t>
            </w:r>
            <w:r w:rsidR="00447205" w:rsidRPr="00447205">
              <w:t>endoscopy</w:t>
            </w:r>
            <w:r w:rsidRPr="00447205">
              <w:t>)</w:t>
            </w:r>
            <w:r w:rsidR="00882C80">
              <w:t>.</w:t>
            </w:r>
          </w:p>
        </w:tc>
      </w:tr>
      <w:tr w:rsidR="00C64764" w:rsidRPr="00447205" w14:paraId="7B9D3F1A" w14:textId="77777777" w:rsidTr="006478E7">
        <w:tc>
          <w:tcPr>
            <w:tcW w:w="1005" w:type="pct"/>
            <w:tcBorders>
              <w:top w:val="single" w:sz="4" w:space="0" w:color="auto"/>
              <w:left w:val="single" w:sz="8" w:space="0" w:color="auto"/>
              <w:bottom w:val="single" w:sz="4" w:space="0" w:color="auto"/>
              <w:right w:val="single" w:sz="4" w:space="0" w:color="auto"/>
            </w:tcBorders>
          </w:tcPr>
          <w:p w14:paraId="4C0BC8B3" w14:textId="629613D0" w:rsidR="00C64764" w:rsidRPr="00447205" w:rsidRDefault="00C64764" w:rsidP="00E01349">
            <w:pPr>
              <w:spacing w:before="120" w:after="120" w:line="240" w:lineRule="auto"/>
              <w:rPr>
                <w:rFonts w:cs="Arial"/>
              </w:rPr>
            </w:pPr>
            <w:r w:rsidRPr="00447205">
              <w:rPr>
                <w:rFonts w:cs="Arial"/>
              </w:rPr>
              <w:t xml:space="preserve">Reference standard </w:t>
            </w:r>
          </w:p>
        </w:tc>
        <w:tc>
          <w:tcPr>
            <w:tcW w:w="3995" w:type="pct"/>
            <w:tcBorders>
              <w:top w:val="single" w:sz="4" w:space="0" w:color="auto"/>
              <w:left w:val="single" w:sz="4" w:space="0" w:color="auto"/>
              <w:bottom w:val="single" w:sz="4" w:space="0" w:color="auto"/>
              <w:right w:val="single" w:sz="4" w:space="0" w:color="auto"/>
            </w:tcBorders>
          </w:tcPr>
          <w:p w14:paraId="7B1F5217" w14:textId="397EEB5E" w:rsidR="004E2FB0" w:rsidRPr="004E2FB0" w:rsidRDefault="00DE1F56" w:rsidP="000713C8">
            <w:r>
              <w:t>T</w:t>
            </w:r>
            <w:r w:rsidR="000713C8">
              <w:t>he reference standard</w:t>
            </w:r>
            <w:r>
              <w:t xml:space="preserve"> for WBMRI</w:t>
            </w:r>
            <w:r w:rsidR="000713C8">
              <w:t xml:space="preserve"> is the histo</w:t>
            </w:r>
            <w:r w:rsidR="004E2FB0">
              <w:t xml:space="preserve">logical diagnosis of the lesion identified (malignant, </w:t>
            </w:r>
            <w:r w:rsidR="00936BEE">
              <w:t>pre</w:t>
            </w:r>
            <w:r w:rsidR="004E2FB0">
              <w:t>-malignant or benign).</w:t>
            </w:r>
          </w:p>
        </w:tc>
      </w:tr>
      <w:tr w:rsidR="006478E7" w:rsidRPr="00447205" w14:paraId="591B1D2D" w14:textId="77777777" w:rsidTr="00BB1698">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447205" w:rsidRDefault="006478E7" w:rsidP="00E01349">
            <w:pPr>
              <w:spacing w:before="120" w:after="120" w:line="240" w:lineRule="auto"/>
              <w:rPr>
                <w:rFonts w:cs="Arial"/>
              </w:rPr>
            </w:pPr>
            <w:r w:rsidRPr="00447205">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460F6A73" w14:textId="0D73182F" w:rsidR="00860F72" w:rsidRDefault="00860F72" w:rsidP="00860F72">
            <w:r w:rsidRPr="00447205">
              <w:t>Safety including any potential risk of harm to patient.</w:t>
            </w:r>
          </w:p>
          <w:p w14:paraId="13737FEB" w14:textId="47F19F9E" w:rsidR="007C5299" w:rsidRPr="00447205" w:rsidRDefault="007C5299" w:rsidP="00860F72">
            <w:r>
              <w:t>Number of cancers detected, number of cancers detected at curable stage.</w:t>
            </w:r>
          </w:p>
          <w:p w14:paraId="58739AC3" w14:textId="662F6C67" w:rsidR="00860F72" w:rsidRPr="00447205" w:rsidRDefault="00860F72" w:rsidP="00860F72">
            <w:r w:rsidRPr="00447205">
              <w:t>Overall survival, health</w:t>
            </w:r>
            <w:r w:rsidR="0039662A">
              <w:t>-</w:t>
            </w:r>
            <w:r w:rsidRPr="00447205">
              <w:t>related quality of life</w:t>
            </w:r>
            <w:r w:rsidR="007C5299">
              <w:t xml:space="preserve"> (including psychosocial impact and value of knowing)</w:t>
            </w:r>
            <w:r w:rsidR="00882C80">
              <w:t>.</w:t>
            </w:r>
          </w:p>
          <w:p w14:paraId="660514A3" w14:textId="32288E95" w:rsidR="00860F72" w:rsidRPr="00447205" w:rsidRDefault="00860F72" w:rsidP="00860F72">
            <w:r w:rsidRPr="00447205">
              <w:t>Diagnostic accuracy (sensitivity, specificity, false positives, false negatives rate)</w:t>
            </w:r>
            <w:r w:rsidR="00882C80">
              <w:t>.</w:t>
            </w:r>
          </w:p>
          <w:p w14:paraId="6BF59D56" w14:textId="77777777" w:rsidR="00860F72" w:rsidRPr="00447205" w:rsidRDefault="00860F72" w:rsidP="00860F72">
            <w:r w:rsidRPr="00447205">
              <w:t>Healthcare resources.</w:t>
            </w:r>
          </w:p>
          <w:p w14:paraId="48A1CA34" w14:textId="77777777" w:rsidR="00860F72" w:rsidRPr="00447205" w:rsidRDefault="00860F72" w:rsidP="00860F72">
            <w:r w:rsidRPr="00447205">
              <w:t>Cost-effectiveness.</w:t>
            </w:r>
          </w:p>
          <w:p w14:paraId="6F9242D7" w14:textId="01D6FE58" w:rsidR="00E01349" w:rsidRPr="00447205" w:rsidRDefault="00860F72" w:rsidP="00860F72">
            <w:r w:rsidRPr="00447205">
              <w:t>Total Australian Government healthcare costs.</w:t>
            </w:r>
          </w:p>
        </w:tc>
      </w:tr>
      <w:tr w:rsidR="00BB1698" w:rsidRPr="00447205" w14:paraId="4A55FFDB" w14:textId="77777777" w:rsidTr="006478E7">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447205" w:rsidRDefault="00BB1698" w:rsidP="00E01349">
            <w:pPr>
              <w:spacing w:before="120" w:after="120" w:line="240" w:lineRule="auto"/>
              <w:rPr>
                <w:rFonts w:cs="Arial"/>
              </w:rPr>
            </w:pPr>
            <w:r w:rsidRPr="00447205">
              <w:rPr>
                <w:rFonts w:cs="Arial"/>
              </w:rPr>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1E094378" w:rsidR="00BB1698" w:rsidRPr="00447205" w:rsidRDefault="00BB1698" w:rsidP="00E01349">
            <w:pPr>
              <w:spacing w:before="120" w:after="120" w:line="240" w:lineRule="auto"/>
              <w:rPr>
                <w:color w:val="000000" w:themeColor="text1"/>
              </w:rPr>
            </w:pPr>
            <w:r w:rsidRPr="00447205">
              <w:rPr>
                <w:color w:val="000000" w:themeColor="text1"/>
              </w:rPr>
              <w:t xml:space="preserve">What is the safety, effectiveness and cost-effectiveness of </w:t>
            </w:r>
            <w:r w:rsidR="00860F72" w:rsidRPr="00447205">
              <w:rPr>
                <w:color w:val="000000" w:themeColor="text1"/>
              </w:rPr>
              <w:t xml:space="preserve">annual </w:t>
            </w:r>
            <w:r w:rsidR="00A56CD5">
              <w:rPr>
                <w:color w:val="000000" w:themeColor="text1"/>
              </w:rPr>
              <w:t>surveillance</w:t>
            </w:r>
            <w:r w:rsidR="001F3D40">
              <w:rPr>
                <w:color w:val="000000" w:themeColor="text1"/>
              </w:rPr>
              <w:t xml:space="preserve"> </w:t>
            </w:r>
            <w:r w:rsidR="00860F72" w:rsidRPr="00447205">
              <w:rPr>
                <w:color w:val="000000" w:themeColor="text1"/>
              </w:rPr>
              <w:t xml:space="preserve">WBMRI plus standard </w:t>
            </w:r>
            <w:r w:rsidR="00EB4A08" w:rsidRPr="00447205">
              <w:rPr>
                <w:color w:val="000000" w:themeColor="text1"/>
              </w:rPr>
              <w:t>risk management options</w:t>
            </w:r>
            <w:r w:rsidRPr="00447205">
              <w:rPr>
                <w:color w:val="000000" w:themeColor="text1"/>
              </w:rPr>
              <w:t xml:space="preserve"> versus</w:t>
            </w:r>
            <w:r w:rsidR="00860F72" w:rsidRPr="00447205">
              <w:rPr>
                <w:color w:val="000000" w:themeColor="text1"/>
              </w:rPr>
              <w:t xml:space="preserve"> </w:t>
            </w:r>
            <w:r w:rsidR="00890F89" w:rsidRPr="00447205">
              <w:rPr>
                <w:color w:val="000000" w:themeColor="text1"/>
              </w:rPr>
              <w:t>s</w:t>
            </w:r>
            <w:r w:rsidR="00860F72" w:rsidRPr="00447205">
              <w:rPr>
                <w:color w:val="000000" w:themeColor="text1"/>
              </w:rPr>
              <w:t>tandard</w:t>
            </w:r>
            <w:r w:rsidR="00EB4A08" w:rsidRPr="00447205">
              <w:rPr>
                <w:color w:val="000000" w:themeColor="text1"/>
              </w:rPr>
              <w:t xml:space="preserve"> risk management </w:t>
            </w:r>
            <w:r w:rsidR="00860F72" w:rsidRPr="00447205">
              <w:rPr>
                <w:color w:val="000000" w:themeColor="text1"/>
              </w:rPr>
              <w:t>alone</w:t>
            </w:r>
            <w:r w:rsidRPr="00447205">
              <w:rPr>
                <w:color w:val="000000" w:themeColor="text1"/>
              </w:rPr>
              <w:t xml:space="preserve"> in </w:t>
            </w:r>
            <w:r w:rsidR="00860F72" w:rsidRPr="00447205">
              <w:rPr>
                <w:color w:val="000000" w:themeColor="text1"/>
              </w:rPr>
              <w:t xml:space="preserve">monitoring patients for early detection of cancer who have a pathogenic or likely pathogenic germline </w:t>
            </w:r>
            <w:r w:rsidR="00860F72" w:rsidRPr="00891DF4">
              <w:rPr>
                <w:i/>
                <w:iCs/>
                <w:color w:val="000000" w:themeColor="text1"/>
              </w:rPr>
              <w:t>TP53</w:t>
            </w:r>
            <w:r w:rsidR="00860F72" w:rsidRPr="00447205">
              <w:rPr>
                <w:color w:val="000000" w:themeColor="text1"/>
              </w:rPr>
              <w:t xml:space="preserve"> variant?</w:t>
            </w:r>
          </w:p>
        </w:tc>
      </w:tr>
    </w:tbl>
    <w:p w14:paraId="5D5376EF" w14:textId="28EA339D" w:rsidR="006478E7" w:rsidRPr="00447205" w:rsidRDefault="006478E7" w:rsidP="00E01349"/>
    <w:p w14:paraId="5D293DD2" w14:textId="77777777" w:rsidR="00FA118E" w:rsidRDefault="00FA118E">
      <w:pPr>
        <w:spacing w:after="160" w:line="259" w:lineRule="auto"/>
        <w:rPr>
          <w:rFonts w:ascii="Franklin Gothic Medium" w:eastAsiaTheme="majorEastAsia" w:hAnsi="Franklin Gothic Medium" w:cstheme="majorBidi"/>
          <w:color w:val="000000" w:themeColor="text1"/>
          <w:sz w:val="32"/>
          <w:szCs w:val="26"/>
        </w:rPr>
      </w:pPr>
      <w:r>
        <w:br w:type="page"/>
      </w:r>
    </w:p>
    <w:p w14:paraId="06C6174B" w14:textId="31EFF225" w:rsidR="004C2C5E" w:rsidRPr="00447205" w:rsidRDefault="00912660" w:rsidP="003013D7">
      <w:pPr>
        <w:pStyle w:val="Heading2"/>
      </w:pPr>
      <w:r w:rsidRPr="00447205">
        <w:lastRenderedPageBreak/>
        <w:t>Purpose of application</w:t>
      </w:r>
    </w:p>
    <w:p w14:paraId="0E65AD1B" w14:textId="6EC63702" w:rsidR="004C2C5E" w:rsidRPr="00447205" w:rsidRDefault="004C2C5E" w:rsidP="004C2C5E">
      <w:pPr>
        <w:spacing w:after="240"/>
        <w:rPr>
          <w:iCs/>
        </w:rPr>
      </w:pPr>
      <w:r w:rsidRPr="00447205">
        <w:rPr>
          <w:iCs/>
        </w:rPr>
        <w:t xml:space="preserve">An application requesting Medicare Benefits Schedule (MBS) listing of </w:t>
      </w:r>
      <w:r w:rsidR="003013D7" w:rsidRPr="00447205">
        <w:rPr>
          <w:iCs/>
        </w:rPr>
        <w:t xml:space="preserve">whole body magnetic resonance imaging (WBMRI) </w:t>
      </w:r>
      <w:r w:rsidRPr="00447205">
        <w:rPr>
          <w:iCs/>
        </w:rPr>
        <w:t xml:space="preserve">for </w:t>
      </w:r>
      <w:r w:rsidR="00A56CD5">
        <w:rPr>
          <w:iCs/>
        </w:rPr>
        <w:t>surveillance</w:t>
      </w:r>
      <w:r w:rsidR="003013D7" w:rsidRPr="00447205">
        <w:rPr>
          <w:iCs/>
        </w:rPr>
        <w:t xml:space="preserve"> of patients with a germline pathogenic or likely pathogenic variant </w:t>
      </w:r>
      <w:r w:rsidR="00882C80">
        <w:rPr>
          <w:iCs/>
        </w:rPr>
        <w:t xml:space="preserve">of the </w:t>
      </w:r>
      <w:r w:rsidR="00882C80">
        <w:rPr>
          <w:i/>
        </w:rPr>
        <w:t xml:space="preserve">Tumor Protein 53 (TP53) </w:t>
      </w:r>
      <w:r w:rsidR="00882C80">
        <w:rPr>
          <w:iCs/>
        </w:rPr>
        <w:t xml:space="preserve">gene </w:t>
      </w:r>
      <w:r w:rsidR="003013D7" w:rsidRPr="00447205">
        <w:rPr>
          <w:iCs/>
        </w:rPr>
        <w:t xml:space="preserve">for the early detection of cancer </w:t>
      </w:r>
      <w:r w:rsidRPr="00447205">
        <w:rPr>
          <w:iCs/>
        </w:rPr>
        <w:t xml:space="preserve">was received from the </w:t>
      </w:r>
      <w:r w:rsidR="003013D7" w:rsidRPr="00447205">
        <w:t xml:space="preserve">Australian Genomic Cancer Medicine Centre Ltd (Omico) </w:t>
      </w:r>
      <w:r w:rsidRPr="00447205">
        <w:rPr>
          <w:iCs/>
        </w:rPr>
        <w:t>by the Department of Health.</w:t>
      </w:r>
    </w:p>
    <w:p w14:paraId="2E56479E" w14:textId="47C2F37E" w:rsidR="000D1FCF" w:rsidRPr="00447205" w:rsidRDefault="003013D7" w:rsidP="003013D7">
      <w:r w:rsidRPr="00447205">
        <w:t>The application claim</w:t>
      </w:r>
      <w:r w:rsidR="008C5D04">
        <w:t>ed</w:t>
      </w:r>
      <w:r w:rsidRPr="00447205">
        <w:t xml:space="preserve"> that </w:t>
      </w:r>
      <w:r w:rsidR="000D1FCF" w:rsidRPr="00447205">
        <w:t xml:space="preserve">use of </w:t>
      </w:r>
      <w:r w:rsidRPr="00447205">
        <w:t xml:space="preserve">WBMRI </w:t>
      </w:r>
      <w:r w:rsidR="00EB4A08" w:rsidRPr="00447205">
        <w:t xml:space="preserve">in addition to standard risk management options </w:t>
      </w:r>
      <w:r w:rsidR="000D1FCF" w:rsidRPr="00447205">
        <w:t xml:space="preserve">results in superior health outcomes compared to </w:t>
      </w:r>
      <w:r w:rsidR="00EB4A08" w:rsidRPr="00447205">
        <w:t>standard risk management options alone</w:t>
      </w:r>
      <w:r w:rsidR="000D1FCF" w:rsidRPr="00447205">
        <w:t>.</w:t>
      </w:r>
    </w:p>
    <w:p w14:paraId="18E66948" w14:textId="77777777" w:rsidR="00D73332" w:rsidRPr="00447205" w:rsidRDefault="00D73332" w:rsidP="00FD4C65">
      <w:pPr>
        <w:pStyle w:val="Heading2"/>
      </w:pPr>
      <w:r w:rsidRPr="00447205">
        <w:t xml:space="preserve">PICO </w:t>
      </w:r>
      <w:r w:rsidR="00FD4E33" w:rsidRPr="00447205">
        <w:t xml:space="preserve">criteria </w:t>
      </w:r>
    </w:p>
    <w:p w14:paraId="16EE49DF" w14:textId="4FF12DFD" w:rsidR="00B1458E" w:rsidRPr="00B1458E" w:rsidRDefault="007D6B83" w:rsidP="000D0AA6">
      <w:pPr>
        <w:pStyle w:val="Heading3"/>
      </w:pPr>
      <w:r w:rsidRPr="00447205">
        <w:t>Population</w:t>
      </w:r>
    </w:p>
    <w:p w14:paraId="32633B56" w14:textId="00DC4E08" w:rsidR="000C4C95" w:rsidRPr="00447205" w:rsidRDefault="003013D7" w:rsidP="003013D7">
      <w:r w:rsidRPr="00447205">
        <w:t xml:space="preserve">The requested population </w:t>
      </w:r>
      <w:r w:rsidR="00F4307F">
        <w:t>are</w:t>
      </w:r>
      <w:r w:rsidR="00F4307F" w:rsidRPr="00447205">
        <w:t xml:space="preserve"> </w:t>
      </w:r>
      <w:r w:rsidRPr="00447205">
        <w:t xml:space="preserve">patients who have a pathogenic or likely pathogenic germline variant of the </w:t>
      </w:r>
      <w:r w:rsidRPr="0038767C">
        <w:rPr>
          <w:i/>
          <w:iCs/>
        </w:rPr>
        <w:t>TP53</w:t>
      </w:r>
      <w:r w:rsidRPr="00447205">
        <w:t xml:space="preserve"> gene, </w:t>
      </w:r>
      <w:r w:rsidR="00890F89" w:rsidRPr="00447205">
        <w:t>confirmed by an accredited molecular pathology laboratory.</w:t>
      </w:r>
    </w:p>
    <w:p w14:paraId="4A8810FA" w14:textId="6940E1DE" w:rsidR="000C4C95" w:rsidRPr="00447205" w:rsidRDefault="002B1BC4" w:rsidP="003013D7">
      <w:pPr>
        <w:rPr>
          <w:u w:val="single"/>
        </w:rPr>
      </w:pPr>
      <w:r w:rsidRPr="001C716B">
        <w:rPr>
          <w:i/>
          <w:iCs/>
          <w:u w:val="single"/>
        </w:rPr>
        <w:t>TP53</w:t>
      </w:r>
      <w:r>
        <w:rPr>
          <w:i/>
          <w:iCs/>
          <w:u w:val="single"/>
        </w:rPr>
        <w:t xml:space="preserve"> </w:t>
      </w:r>
      <w:r>
        <w:rPr>
          <w:u w:val="single"/>
        </w:rPr>
        <w:t xml:space="preserve">and </w:t>
      </w:r>
      <w:r w:rsidR="000C4C95" w:rsidRPr="00447205">
        <w:rPr>
          <w:u w:val="single"/>
        </w:rPr>
        <w:t>L</w:t>
      </w:r>
      <w:r w:rsidR="00CA50DA" w:rsidRPr="00447205">
        <w:rPr>
          <w:u w:val="single"/>
        </w:rPr>
        <w:t>i</w:t>
      </w:r>
      <w:r w:rsidR="00CF5520">
        <w:rPr>
          <w:u w:val="single"/>
        </w:rPr>
        <w:t>-</w:t>
      </w:r>
      <w:r w:rsidR="000C4C95" w:rsidRPr="00447205">
        <w:rPr>
          <w:u w:val="single"/>
        </w:rPr>
        <w:t xml:space="preserve">Fraumeni </w:t>
      </w:r>
      <w:r w:rsidR="00CA50DA" w:rsidRPr="00447205">
        <w:rPr>
          <w:u w:val="single"/>
        </w:rPr>
        <w:t>syndrome (LFS)</w:t>
      </w:r>
    </w:p>
    <w:p w14:paraId="062ACF98" w14:textId="308454E0" w:rsidR="00C77274" w:rsidRPr="00447205" w:rsidRDefault="002B1BC4" w:rsidP="007320E3">
      <w:r>
        <w:t xml:space="preserve">Germline pathogenic variants in the </w:t>
      </w:r>
      <w:r>
        <w:rPr>
          <w:i/>
          <w:iCs/>
        </w:rPr>
        <w:t xml:space="preserve">TP53 </w:t>
      </w:r>
      <w:r w:rsidRPr="0038767C">
        <w:t xml:space="preserve">gene cause </w:t>
      </w:r>
      <w:r w:rsidR="00C77274" w:rsidRPr="00447205">
        <w:t>Li Fraumeni Syndrome (LFS)</w:t>
      </w:r>
      <w:r>
        <w:t>. LFS</w:t>
      </w:r>
      <w:r w:rsidR="00C77274" w:rsidRPr="00447205">
        <w:t xml:space="preserve"> is a rare condition (</w:t>
      </w:r>
      <w:r>
        <w:t xml:space="preserve">affecting </w:t>
      </w:r>
      <w:r w:rsidR="00C77274" w:rsidRPr="00447205">
        <w:t>between 1/5</w:t>
      </w:r>
      <w:r>
        <w:t>,</w:t>
      </w:r>
      <w:r w:rsidR="00C77274" w:rsidRPr="00447205">
        <w:t>000</w:t>
      </w:r>
      <w:r>
        <w:t xml:space="preserve"> and </w:t>
      </w:r>
      <w:r w:rsidR="00C77274" w:rsidRPr="00447205">
        <w:t>1/20,000 of the population</w:t>
      </w:r>
      <w:r w:rsidR="00BD194F" w:rsidRPr="00447205">
        <w:t>; Gonzalez 2008; Lalloo 2003)</w:t>
      </w:r>
      <w:r w:rsidR="00C77274" w:rsidRPr="00447205">
        <w:t xml:space="preserve"> </w:t>
      </w:r>
      <w:r>
        <w:t xml:space="preserve">and is </w:t>
      </w:r>
      <w:r w:rsidR="00C77274" w:rsidRPr="00447205">
        <w:t xml:space="preserve">associated with a high risk of </w:t>
      </w:r>
      <w:r>
        <w:t xml:space="preserve">developing </w:t>
      </w:r>
      <w:r w:rsidR="00C77274" w:rsidRPr="00447205">
        <w:t xml:space="preserve">cancers in multiple tissues. </w:t>
      </w:r>
    </w:p>
    <w:p w14:paraId="6C13A501" w14:textId="77777777" w:rsidR="009C34DA" w:rsidRDefault="00150D9B" w:rsidP="007320E3">
      <w:r>
        <w:t xml:space="preserve">The condition is named </w:t>
      </w:r>
      <w:r w:rsidR="001F3D40">
        <w:t>after</w:t>
      </w:r>
      <w:r>
        <w:t xml:space="preserve"> </w:t>
      </w:r>
      <w:r w:rsidR="007320E3" w:rsidRPr="00447205">
        <w:t>Li and Fraumeni</w:t>
      </w:r>
      <w:r>
        <w:t xml:space="preserve"> who</w:t>
      </w:r>
      <w:r w:rsidR="007320E3" w:rsidRPr="00447205">
        <w:t xml:space="preserve"> described four families in which the high frequency of cancer suggested a familial syndrome of neoplastic diseases</w:t>
      </w:r>
      <w:r>
        <w:t xml:space="preserve"> (</w:t>
      </w:r>
      <w:r w:rsidRPr="00447205">
        <w:t>Li and Fraumeni 1969</w:t>
      </w:r>
      <w:r>
        <w:t>)</w:t>
      </w:r>
      <w:r w:rsidR="007320E3" w:rsidRPr="00447205">
        <w:t xml:space="preserve">. </w:t>
      </w:r>
      <w:r w:rsidR="00CA50DA" w:rsidRPr="00447205">
        <w:t>T</w:t>
      </w:r>
      <w:r w:rsidR="007320E3" w:rsidRPr="00447205">
        <w:t>his was</w:t>
      </w:r>
      <w:r w:rsidR="00CA50DA" w:rsidRPr="00447205">
        <w:t xml:space="preserve"> later</w:t>
      </w:r>
      <w:r w:rsidR="007320E3" w:rsidRPr="00447205">
        <w:t xml:space="preserve"> expanded to 24 families in which bone and soft tissue sarcomas, breast cancers, brain </w:t>
      </w:r>
      <w:r w:rsidR="00447205" w:rsidRPr="00447205">
        <w:t>tumours</w:t>
      </w:r>
      <w:r w:rsidR="007320E3" w:rsidRPr="00447205">
        <w:t xml:space="preserve">, leukemia and </w:t>
      </w:r>
      <w:r w:rsidR="0038767C">
        <w:t>adrenocortical cancers (ACC)</w:t>
      </w:r>
      <w:r w:rsidR="0038767C" w:rsidRPr="00447205">
        <w:t xml:space="preserve"> </w:t>
      </w:r>
      <w:r w:rsidR="007320E3" w:rsidRPr="00447205">
        <w:t xml:space="preserve">were seen in high incidence </w:t>
      </w:r>
      <w:r w:rsidR="00CA50DA" w:rsidRPr="00447205">
        <w:t xml:space="preserve">(Li and Fraumeni 1988). </w:t>
      </w:r>
      <w:r w:rsidR="00C77274" w:rsidRPr="00447205">
        <w:t xml:space="preserve">In </w:t>
      </w:r>
      <w:r w:rsidR="007320E3" w:rsidRPr="00447205">
        <w:t>1990</w:t>
      </w:r>
      <w:r w:rsidR="00C77274" w:rsidRPr="00447205">
        <w:t xml:space="preserve">, </w:t>
      </w:r>
      <w:r w:rsidR="007320E3" w:rsidRPr="00447205">
        <w:t>LFS families were found to harbo</w:t>
      </w:r>
      <w:r w:rsidR="007C5299">
        <w:t>u</w:t>
      </w:r>
      <w:r w:rsidR="007320E3" w:rsidRPr="00447205">
        <w:t xml:space="preserve">r germline </w:t>
      </w:r>
      <w:r w:rsidR="007320E3" w:rsidRPr="0038767C">
        <w:rPr>
          <w:i/>
          <w:iCs/>
        </w:rPr>
        <w:t>TP53</w:t>
      </w:r>
      <w:r w:rsidR="007320E3" w:rsidRPr="00447205">
        <w:t xml:space="preserve"> </w:t>
      </w:r>
      <w:r w:rsidR="00A74BB0">
        <w:t>variants</w:t>
      </w:r>
      <w:r w:rsidR="007320E3" w:rsidRPr="00447205">
        <w:t xml:space="preserve"> </w:t>
      </w:r>
      <w:r w:rsidR="00CA50DA" w:rsidRPr="00447205">
        <w:t>(Malkin 1990; Srivastava 1990)</w:t>
      </w:r>
      <w:r w:rsidR="007320E3" w:rsidRPr="00447205">
        <w:t xml:space="preserve">. </w:t>
      </w:r>
      <w:r w:rsidR="00CA50DA" w:rsidRPr="00447205">
        <w:t xml:space="preserve">Petitjean (2007) identified </w:t>
      </w:r>
      <w:r w:rsidR="007320E3" w:rsidRPr="00447205">
        <w:t xml:space="preserve">over 700 </w:t>
      </w:r>
      <w:r w:rsidR="007320E3" w:rsidRPr="0038767C">
        <w:rPr>
          <w:i/>
          <w:iCs/>
        </w:rPr>
        <w:t>TP53</w:t>
      </w:r>
      <w:r w:rsidR="007320E3" w:rsidRPr="00447205">
        <w:t xml:space="preserve"> </w:t>
      </w:r>
      <w:r w:rsidR="00A74BB0">
        <w:t>variants</w:t>
      </w:r>
      <w:r w:rsidR="00A74BB0" w:rsidRPr="00447205">
        <w:t xml:space="preserve"> </w:t>
      </w:r>
      <w:r w:rsidR="007320E3" w:rsidRPr="00447205">
        <w:t>in the germline of approximately 760 families.</w:t>
      </w:r>
      <w:r w:rsidR="002F49B2">
        <w:t xml:space="preserve"> </w:t>
      </w:r>
      <w:r w:rsidR="002F49B2" w:rsidRPr="002F49B2">
        <w:t>LFS is inherited in an autosomal dominant manner</w:t>
      </w:r>
      <w:r w:rsidR="002F49B2">
        <w:t xml:space="preserve"> with m</w:t>
      </w:r>
      <w:r w:rsidR="002F49B2" w:rsidRPr="002F49B2">
        <w:t xml:space="preserve">ost individuals </w:t>
      </w:r>
      <w:r w:rsidR="002F49B2">
        <w:t>inheriting</w:t>
      </w:r>
      <w:r w:rsidR="002F49B2" w:rsidRPr="002F49B2">
        <w:t xml:space="preserve"> a </w:t>
      </w:r>
      <w:r w:rsidR="002F49B2" w:rsidRPr="0038767C">
        <w:rPr>
          <w:i/>
          <w:iCs/>
        </w:rPr>
        <w:t>TP53</w:t>
      </w:r>
      <w:r w:rsidR="002F49B2" w:rsidRPr="002F49B2">
        <w:t xml:space="preserve"> pathogenic variant</w:t>
      </w:r>
      <w:r w:rsidR="0047217A">
        <w:t xml:space="preserve"> (</w:t>
      </w:r>
      <w:r w:rsidR="0047217A" w:rsidRPr="0047217A">
        <w:t>Schneider</w:t>
      </w:r>
      <w:r w:rsidR="0047217A" w:rsidRPr="0047217A">
        <w:rPr>
          <w:rStyle w:val="FootnoteReference"/>
          <w:vertAlign w:val="baseline"/>
        </w:rPr>
        <w:t xml:space="preserve"> </w:t>
      </w:r>
      <w:r w:rsidR="0047217A">
        <w:t>1999)</w:t>
      </w:r>
      <w:r w:rsidR="001F3D40">
        <w:t xml:space="preserve">; </w:t>
      </w:r>
      <w:r w:rsidR="001F3D40" w:rsidRPr="00D8208C">
        <w:rPr>
          <w:i/>
          <w:iCs/>
        </w:rPr>
        <w:t>de novo</w:t>
      </w:r>
      <w:r w:rsidR="001F3D40">
        <w:t xml:space="preserve"> variants </w:t>
      </w:r>
      <w:r w:rsidR="00A74BB0">
        <w:t>are</w:t>
      </w:r>
      <w:r w:rsidR="001F3D40">
        <w:t xml:space="preserve"> reported </w:t>
      </w:r>
      <w:r w:rsidR="00A74BB0">
        <w:t xml:space="preserve">to constitute </w:t>
      </w:r>
      <w:r w:rsidR="001F3D40">
        <w:t>between 7% and 20% of cases</w:t>
      </w:r>
      <w:r w:rsidR="00D8208C">
        <w:t xml:space="preserve"> (Renaux-Petel 2018)</w:t>
      </w:r>
      <w:r w:rsidR="002F49B2" w:rsidRPr="002F49B2">
        <w:t>.</w:t>
      </w:r>
      <w:r w:rsidR="007C5299">
        <w:t xml:space="preserve"> </w:t>
      </w:r>
    </w:p>
    <w:p w14:paraId="780C0293" w14:textId="48E09DD4" w:rsidR="00CA50DA" w:rsidRPr="00B1458E" w:rsidRDefault="007C5299" w:rsidP="007320E3">
      <w:pPr>
        <w:rPr>
          <w:i/>
          <w:iCs/>
        </w:rPr>
      </w:pPr>
      <w:r>
        <w:rPr>
          <w:i/>
          <w:iCs/>
        </w:rPr>
        <w:t xml:space="preserve">PASC noted that </w:t>
      </w:r>
      <w:r w:rsidRPr="00ED0A32">
        <w:t>TP53</w:t>
      </w:r>
      <w:r>
        <w:rPr>
          <w:i/>
          <w:iCs/>
        </w:rPr>
        <w:t xml:space="preserve"> is the only gene that has been definitively associated with LFS</w:t>
      </w:r>
      <w:r w:rsidR="00591DB4">
        <w:rPr>
          <w:i/>
          <w:iCs/>
        </w:rPr>
        <w:t>, but that not all</w:t>
      </w:r>
      <w:r w:rsidR="00094B2E">
        <w:rPr>
          <w:i/>
          <w:iCs/>
        </w:rPr>
        <w:t xml:space="preserve"> people with a </w:t>
      </w:r>
      <w:r w:rsidR="00094B2E" w:rsidRPr="00ED0A32">
        <w:t>TP53</w:t>
      </w:r>
      <w:r w:rsidR="00094B2E">
        <w:rPr>
          <w:i/>
          <w:iCs/>
        </w:rPr>
        <w:t xml:space="preserve"> variant will have LFS</w:t>
      </w:r>
      <w:r>
        <w:rPr>
          <w:i/>
          <w:iCs/>
        </w:rPr>
        <w:t>.</w:t>
      </w:r>
    </w:p>
    <w:p w14:paraId="4F427C18" w14:textId="79B9AB88" w:rsidR="007320E3" w:rsidRDefault="00E92706" w:rsidP="007320E3">
      <w:r>
        <w:t>The definition of LFS has evolved over time and t</w:t>
      </w:r>
      <w:r w:rsidR="007320E3" w:rsidRPr="00447205">
        <w:t xml:space="preserve">he Chompret criteria </w:t>
      </w:r>
      <w:r w:rsidR="002C66CC">
        <w:t>were more recently proposed</w:t>
      </w:r>
      <w:r>
        <w:t xml:space="preserve"> to </w:t>
      </w:r>
      <w:r w:rsidR="007320E3" w:rsidRPr="00447205">
        <w:t>aim to identify the</w:t>
      </w:r>
      <w:r w:rsidR="00CA50DA" w:rsidRPr="00447205">
        <w:t xml:space="preserve"> </w:t>
      </w:r>
      <w:r w:rsidR="007320E3" w:rsidRPr="00447205">
        <w:t xml:space="preserve">most suitable candidates for </w:t>
      </w:r>
      <w:r w:rsidR="007320E3" w:rsidRPr="0038767C">
        <w:rPr>
          <w:i/>
          <w:iCs/>
        </w:rPr>
        <w:t>TP53</w:t>
      </w:r>
      <w:r w:rsidR="007320E3" w:rsidRPr="00447205">
        <w:t xml:space="preserve"> genetic testing </w:t>
      </w:r>
      <w:r w:rsidR="00CA50DA" w:rsidRPr="00447205">
        <w:t>(Chompret 2001; B</w:t>
      </w:r>
      <w:r w:rsidR="00C94E3E">
        <w:t>o</w:t>
      </w:r>
      <w:r w:rsidR="00CA50DA" w:rsidRPr="00447205">
        <w:t>ugeard 2008; Tinat 2009). T</w:t>
      </w:r>
      <w:r w:rsidR="007320E3" w:rsidRPr="00447205">
        <w:t xml:space="preserve">he criteria take into account individuals with multiple malignancies (which may be due to </w:t>
      </w:r>
      <w:r w:rsidR="007320E3" w:rsidRPr="0038767C">
        <w:rPr>
          <w:i/>
          <w:iCs/>
        </w:rPr>
        <w:t>de</w:t>
      </w:r>
      <w:r w:rsidR="002B1BC4">
        <w:rPr>
          <w:i/>
          <w:iCs/>
        </w:rPr>
        <w:t xml:space="preserve"> </w:t>
      </w:r>
      <w:r w:rsidR="007320E3" w:rsidRPr="00E92706">
        <w:rPr>
          <w:i/>
          <w:iCs/>
        </w:rPr>
        <w:t>novo</w:t>
      </w:r>
      <w:r w:rsidR="007320E3" w:rsidRPr="00447205">
        <w:t xml:space="preserve"> </w:t>
      </w:r>
      <w:r w:rsidR="00A74BB0">
        <w:t>variants</w:t>
      </w:r>
      <w:r w:rsidR="007320E3" w:rsidRPr="00447205">
        <w:t>) with 21–35% of those meeting the updated criteria shown to be carriers</w:t>
      </w:r>
      <w:r w:rsidR="005E6AF5">
        <w:t xml:space="preserve"> of </w:t>
      </w:r>
      <w:r>
        <w:rPr>
          <w:i/>
          <w:iCs/>
        </w:rPr>
        <w:t xml:space="preserve">TP53 </w:t>
      </w:r>
      <w:r w:rsidRPr="00E92706">
        <w:t>variants</w:t>
      </w:r>
      <w:r w:rsidR="00BC6B60" w:rsidRPr="00447205">
        <w:t xml:space="preserve"> (B</w:t>
      </w:r>
      <w:r w:rsidR="00C94E3E">
        <w:t>o</w:t>
      </w:r>
      <w:r w:rsidR="00BC6B60" w:rsidRPr="00447205">
        <w:t>ugeard 2008; Gonzalez 2009; Ruijs 2010)</w:t>
      </w:r>
      <w:r w:rsidR="00F4307F">
        <w:t>.</w:t>
      </w:r>
      <w:r w:rsidR="00632B78">
        <w:t xml:space="preserve"> The Chompret criteria </w:t>
      </w:r>
      <w:r w:rsidR="007314F9">
        <w:t>(</w:t>
      </w:r>
      <w:r w:rsidR="007314F9" w:rsidRPr="007314F9">
        <w:t>B</w:t>
      </w:r>
      <w:r w:rsidR="00C94E3E">
        <w:t>o</w:t>
      </w:r>
      <w:r w:rsidR="007314F9" w:rsidRPr="007314F9">
        <w:t>ugeard 20</w:t>
      </w:r>
      <w:r w:rsidR="007314F9">
        <w:t xml:space="preserve">15) </w:t>
      </w:r>
      <w:r w:rsidR="00632B78">
        <w:t>are as follows:</w:t>
      </w:r>
    </w:p>
    <w:p w14:paraId="4C632469" w14:textId="76CAD832" w:rsidR="00632B78" w:rsidRDefault="00632B78" w:rsidP="0038767C">
      <w:pPr>
        <w:spacing w:after="120"/>
        <w:ind w:left="284"/>
        <w:rPr>
          <w:sz w:val="20"/>
          <w:szCs w:val="20"/>
        </w:rPr>
      </w:pPr>
      <w:r w:rsidRPr="0038767C">
        <w:rPr>
          <w:sz w:val="20"/>
          <w:szCs w:val="20"/>
        </w:rPr>
        <w:t xml:space="preserve">A proband with a tumour belonging to the LFS tumour spectrum </w:t>
      </w:r>
      <w:r w:rsidR="007314F9">
        <w:rPr>
          <w:sz w:val="20"/>
          <w:szCs w:val="20"/>
        </w:rPr>
        <w:t>(</w:t>
      </w:r>
      <w:r w:rsidR="00094B2E">
        <w:rPr>
          <w:sz w:val="20"/>
          <w:szCs w:val="20"/>
        </w:rPr>
        <w:t>p</w:t>
      </w:r>
      <w:r w:rsidR="007314F9" w:rsidRPr="007314F9">
        <w:rPr>
          <w:sz w:val="20"/>
          <w:szCs w:val="20"/>
        </w:rPr>
        <w:t>roband with tumor belonging to LFS tumor spectrum</w:t>
      </w:r>
      <w:r w:rsidR="007314F9">
        <w:rPr>
          <w:sz w:val="20"/>
          <w:szCs w:val="20"/>
        </w:rPr>
        <w:t xml:space="preserve"> </w:t>
      </w:r>
      <w:r w:rsidR="007314F9" w:rsidRPr="007314F9">
        <w:rPr>
          <w:sz w:val="20"/>
          <w:szCs w:val="20"/>
        </w:rPr>
        <w:t>(e</w:t>
      </w:r>
      <w:r w:rsidR="007314F9">
        <w:rPr>
          <w:sz w:val="20"/>
          <w:szCs w:val="20"/>
        </w:rPr>
        <w:t>.</w:t>
      </w:r>
      <w:r w:rsidR="007314F9" w:rsidRPr="007314F9">
        <w:rPr>
          <w:sz w:val="20"/>
          <w:szCs w:val="20"/>
        </w:rPr>
        <w:t>g</w:t>
      </w:r>
      <w:r w:rsidR="007314F9">
        <w:rPr>
          <w:sz w:val="20"/>
          <w:szCs w:val="20"/>
        </w:rPr>
        <w:t>.</w:t>
      </w:r>
      <w:r w:rsidR="007314F9" w:rsidRPr="007314F9">
        <w:rPr>
          <w:sz w:val="20"/>
          <w:szCs w:val="20"/>
        </w:rPr>
        <w:t>, premenopausal breast cancer, soft tissue</w:t>
      </w:r>
      <w:r w:rsidR="007314F9">
        <w:rPr>
          <w:sz w:val="20"/>
          <w:szCs w:val="20"/>
        </w:rPr>
        <w:t xml:space="preserve"> </w:t>
      </w:r>
      <w:r w:rsidR="007314F9" w:rsidRPr="007314F9">
        <w:rPr>
          <w:sz w:val="20"/>
          <w:szCs w:val="20"/>
        </w:rPr>
        <w:t>sarcoma, osteosarcoma, CNS tumor, adrenocortical</w:t>
      </w:r>
      <w:r w:rsidR="007314F9">
        <w:rPr>
          <w:sz w:val="20"/>
          <w:szCs w:val="20"/>
        </w:rPr>
        <w:t xml:space="preserve"> </w:t>
      </w:r>
      <w:r w:rsidR="007314F9" w:rsidRPr="007314F9">
        <w:rPr>
          <w:sz w:val="20"/>
          <w:szCs w:val="20"/>
        </w:rPr>
        <w:t>carcinoma</w:t>
      </w:r>
      <w:r w:rsidR="007314F9">
        <w:rPr>
          <w:sz w:val="20"/>
          <w:szCs w:val="20"/>
        </w:rPr>
        <w:t xml:space="preserve">) </w:t>
      </w:r>
      <w:r w:rsidRPr="0038767C">
        <w:rPr>
          <w:sz w:val="20"/>
          <w:szCs w:val="20"/>
        </w:rPr>
        <w:t xml:space="preserve">before the age of 46 years AND </w:t>
      </w:r>
      <w:r>
        <w:rPr>
          <w:sz w:val="20"/>
          <w:szCs w:val="20"/>
        </w:rPr>
        <w:t>a</w:t>
      </w:r>
      <w:r w:rsidRPr="0038767C">
        <w:rPr>
          <w:sz w:val="20"/>
          <w:szCs w:val="20"/>
        </w:rPr>
        <w:t xml:space="preserve">t least one first or second degree relative with an LFS tumour (except breast cancer) before the age of 56 years or with multiple tumours OR </w:t>
      </w:r>
    </w:p>
    <w:p w14:paraId="501EF50C" w14:textId="77777777" w:rsidR="001C2D9A" w:rsidRPr="0038767C" w:rsidRDefault="001C2D9A" w:rsidP="001C2D9A">
      <w:pPr>
        <w:ind w:left="284"/>
        <w:rPr>
          <w:sz w:val="20"/>
          <w:szCs w:val="20"/>
        </w:rPr>
      </w:pPr>
      <w:r>
        <w:rPr>
          <w:sz w:val="20"/>
          <w:szCs w:val="20"/>
        </w:rPr>
        <w:t>A</w:t>
      </w:r>
      <w:r w:rsidRPr="0038767C">
        <w:rPr>
          <w:sz w:val="20"/>
          <w:szCs w:val="20"/>
        </w:rPr>
        <w:t xml:space="preserve"> proband with breast </w:t>
      </w:r>
      <w:r>
        <w:rPr>
          <w:sz w:val="20"/>
          <w:szCs w:val="20"/>
        </w:rPr>
        <w:t xml:space="preserve">cancer </w:t>
      </w:r>
      <w:r w:rsidRPr="0038767C">
        <w:rPr>
          <w:sz w:val="20"/>
          <w:szCs w:val="20"/>
        </w:rPr>
        <w:t>diagnosed before the age 31 years</w:t>
      </w:r>
      <w:r>
        <w:rPr>
          <w:sz w:val="20"/>
          <w:szCs w:val="20"/>
        </w:rPr>
        <w:t>.</w:t>
      </w:r>
    </w:p>
    <w:p w14:paraId="4EABACF8" w14:textId="77777777" w:rsidR="001C2D9A" w:rsidRPr="00B1458E" w:rsidRDefault="001C2D9A" w:rsidP="001C2D9A">
      <w:pPr>
        <w:rPr>
          <w:i/>
          <w:iCs/>
        </w:rPr>
      </w:pPr>
      <w:r>
        <w:rPr>
          <w:i/>
          <w:iCs/>
        </w:rPr>
        <w:t xml:space="preserve">PASC noted that the Chompret criteria do not identify all carriers of pathogenic or likely pathogenic </w:t>
      </w:r>
      <w:r w:rsidRPr="00BA6F52">
        <w:t>TP53</w:t>
      </w:r>
      <w:r>
        <w:rPr>
          <w:i/>
          <w:iCs/>
        </w:rPr>
        <w:t xml:space="preserve"> variants. PASC also noted that broader selection criteria for genetic testing for </w:t>
      </w:r>
      <w:r w:rsidRPr="00ED0A32">
        <w:t>TP53</w:t>
      </w:r>
      <w:r>
        <w:rPr>
          <w:i/>
          <w:iCs/>
        </w:rPr>
        <w:t xml:space="preserve"> variants, such as the </w:t>
      </w:r>
      <w:r>
        <w:rPr>
          <w:i/>
          <w:iCs/>
        </w:rPr>
        <w:lastRenderedPageBreak/>
        <w:t>ERN GENTURIS criteria, might be used by jurisdictional genetics services to determine access to testing in public hospitals.</w:t>
      </w:r>
    </w:p>
    <w:p w14:paraId="2B17773E" w14:textId="77777777" w:rsidR="001C2D9A" w:rsidRPr="00447205" w:rsidRDefault="001C2D9A" w:rsidP="001C2D9A">
      <w:r w:rsidRPr="00447205">
        <w:t xml:space="preserve">Frebourg (2020) considers that the diversity of clinical presentations associated with germline </w:t>
      </w:r>
      <w:r w:rsidRPr="0038767C">
        <w:rPr>
          <w:i/>
          <w:iCs/>
        </w:rPr>
        <w:t>TP53</w:t>
      </w:r>
      <w:r w:rsidRPr="00447205">
        <w:t xml:space="preserve"> alterations justifies the expansion of the LFS concept to a wider cancer predisposition syndrome designated heritable </w:t>
      </w:r>
      <w:r w:rsidRPr="0038767C">
        <w:rPr>
          <w:i/>
          <w:iCs/>
        </w:rPr>
        <w:t>TP53</w:t>
      </w:r>
      <w:r w:rsidRPr="00447205">
        <w:t>-related cancer (h</w:t>
      </w:r>
      <w:r w:rsidRPr="00BA6F52">
        <w:rPr>
          <w:i/>
          <w:iCs/>
        </w:rPr>
        <w:t>TP53</w:t>
      </w:r>
      <w:r w:rsidRPr="00447205">
        <w:t>rc) syndrome.</w:t>
      </w:r>
    </w:p>
    <w:p w14:paraId="6B4441A3" w14:textId="264F87D4" w:rsidR="00632B78" w:rsidRPr="00AC44BF" w:rsidRDefault="001C2D9A" w:rsidP="00AC44BF">
      <w:pPr>
        <w:spacing w:after="120"/>
      </w:pPr>
      <w:r w:rsidRPr="00AC44BF">
        <w:t xml:space="preserve">The application specified that WBMRI is proposed </w:t>
      </w:r>
      <w:r w:rsidR="00632B78" w:rsidRPr="00AC44BF">
        <w:t xml:space="preserve">A proband with multiple tumours (except multiple breast tumours) two of which belong to the LFS tumour spectrum and the first of which occurred before the age of 46 years OR </w:t>
      </w:r>
      <w:r w:rsidR="00AC44BF">
        <w:t>a</w:t>
      </w:r>
      <w:r w:rsidR="00632B78" w:rsidRPr="00AC44BF">
        <w:t xml:space="preserve"> proband diagnosed with adrenocortical carcinoma, choroid plexus tumour, embryonal anaplastic rhabdomyosarcoma, irrespective of family history</w:t>
      </w:r>
      <w:r w:rsidR="00AC44BF">
        <w:t>.</w:t>
      </w:r>
    </w:p>
    <w:p w14:paraId="4B67347C" w14:textId="10DED85C" w:rsidR="007320E3" w:rsidRDefault="00BC6B60" w:rsidP="003013D7">
      <w:r w:rsidRPr="00447205">
        <w:t xml:space="preserve">only for patients with a pathogenic or likely pathogenic germline variant of </w:t>
      </w:r>
      <w:r w:rsidRPr="0038767C">
        <w:rPr>
          <w:i/>
          <w:iCs/>
        </w:rPr>
        <w:t>TP53</w:t>
      </w:r>
      <w:r w:rsidR="009D3321" w:rsidRPr="00447205">
        <w:t xml:space="preserve">, being considered clinically actionable </w:t>
      </w:r>
      <w:r w:rsidR="00A74BB0">
        <w:t>variants</w:t>
      </w:r>
      <w:r w:rsidR="009D3321" w:rsidRPr="00447205">
        <w:t xml:space="preserve"> </w:t>
      </w:r>
      <w:r w:rsidR="000F1EBF" w:rsidRPr="00447205">
        <w:t xml:space="preserve">as defined </w:t>
      </w:r>
      <w:r w:rsidR="009D3321" w:rsidRPr="00447205">
        <w:t xml:space="preserve">by the </w:t>
      </w:r>
      <w:r w:rsidR="000F1EBF" w:rsidRPr="00447205">
        <w:t>A</w:t>
      </w:r>
      <w:r w:rsidR="009D3321" w:rsidRPr="00447205">
        <w:t xml:space="preserve">merican </w:t>
      </w:r>
      <w:r w:rsidR="000F1EBF" w:rsidRPr="00447205">
        <w:t>C</w:t>
      </w:r>
      <w:r w:rsidR="009D3321" w:rsidRPr="00447205">
        <w:t xml:space="preserve">ollege of </w:t>
      </w:r>
      <w:r w:rsidR="000F1EBF" w:rsidRPr="00447205">
        <w:t>M</w:t>
      </w:r>
      <w:r w:rsidR="009D3321" w:rsidRPr="00447205">
        <w:t xml:space="preserve">edical </w:t>
      </w:r>
      <w:r w:rsidR="000F1EBF" w:rsidRPr="00447205">
        <w:t>G</w:t>
      </w:r>
      <w:r w:rsidR="009D3321" w:rsidRPr="00447205">
        <w:t>enetics</w:t>
      </w:r>
      <w:r w:rsidR="000F1EBF" w:rsidRPr="00447205">
        <w:t xml:space="preserve"> (</w:t>
      </w:r>
      <w:r w:rsidR="0038442C">
        <w:t xml:space="preserve">ACMG; </w:t>
      </w:r>
      <w:r w:rsidR="000F1EBF" w:rsidRPr="00447205">
        <w:t>Richards 2015)</w:t>
      </w:r>
      <w:r w:rsidR="009D3321" w:rsidRPr="00447205">
        <w:t xml:space="preserve">. </w:t>
      </w:r>
      <w:r w:rsidR="007B48FD">
        <w:t xml:space="preserve">The applicant further clarified that </w:t>
      </w:r>
      <w:r w:rsidR="007B48FD" w:rsidRPr="007B48FD">
        <w:t xml:space="preserve">all individuals with germline pathogenic or likely pathogenic </w:t>
      </w:r>
      <w:r w:rsidR="007B48FD" w:rsidRPr="007B48FD">
        <w:rPr>
          <w:i/>
          <w:iCs/>
        </w:rPr>
        <w:t>TP53</w:t>
      </w:r>
      <w:r w:rsidR="007B48FD" w:rsidRPr="007B48FD">
        <w:t xml:space="preserve"> variants </w:t>
      </w:r>
      <w:r w:rsidR="007B48FD">
        <w:t>be</w:t>
      </w:r>
      <w:r w:rsidR="007B48FD" w:rsidRPr="007B48FD">
        <w:t xml:space="preserve"> eligible for WBMRI whether they meet clinical criteria such as classic LFS, Chompret LFS, h</w:t>
      </w:r>
      <w:r w:rsidR="007B48FD" w:rsidRPr="00BA6F52">
        <w:rPr>
          <w:i/>
        </w:rPr>
        <w:t>TP53</w:t>
      </w:r>
      <w:r w:rsidR="007B48FD" w:rsidRPr="007B48FD">
        <w:t>rc or not</w:t>
      </w:r>
      <w:r w:rsidR="009C717E">
        <w:t>;</w:t>
      </w:r>
      <w:r w:rsidR="00A301A0">
        <w:t xml:space="preserve"> i</w:t>
      </w:r>
      <w:r w:rsidR="00A301A0" w:rsidRPr="007B48FD">
        <w:t xml:space="preserve">t </w:t>
      </w:r>
      <w:r w:rsidR="007B48FD" w:rsidRPr="007B48FD">
        <w:t xml:space="preserve">was for this reason </w:t>
      </w:r>
      <w:r w:rsidR="007B48FD">
        <w:t>that</w:t>
      </w:r>
      <w:r w:rsidR="007B48FD" w:rsidRPr="007B48FD">
        <w:t xml:space="preserve"> </w:t>
      </w:r>
      <w:r w:rsidR="007B48FD">
        <w:t>‘</w:t>
      </w:r>
      <w:r w:rsidR="007B48FD" w:rsidRPr="007B48FD">
        <w:rPr>
          <w:i/>
          <w:iCs/>
        </w:rPr>
        <w:t>TP53</w:t>
      </w:r>
      <w:r w:rsidR="007B48FD" w:rsidRPr="007B48FD">
        <w:t xml:space="preserve"> variant</w:t>
      </w:r>
      <w:r w:rsidR="007B48FD">
        <w:t>’</w:t>
      </w:r>
      <w:r w:rsidR="007B48FD" w:rsidRPr="007B48FD">
        <w:t xml:space="preserve"> carriers </w:t>
      </w:r>
      <w:r w:rsidR="007B48FD">
        <w:t xml:space="preserve">was used </w:t>
      </w:r>
      <w:r w:rsidR="007B48FD" w:rsidRPr="007B48FD">
        <w:t xml:space="preserve">in the description of the eligible population rather than other less specific terms such as LFS. </w:t>
      </w:r>
      <w:r w:rsidR="007B48FD">
        <w:t>The applicant further stated that c</w:t>
      </w:r>
      <w:r w:rsidR="007B48FD" w:rsidRPr="007B48FD">
        <w:t xml:space="preserve">onsistent with international guidelines (Frebourg 2020), individuals with germline pathogenic or likely pathogenic </w:t>
      </w:r>
      <w:r w:rsidR="007B48FD" w:rsidRPr="007B48FD">
        <w:rPr>
          <w:i/>
          <w:iCs/>
        </w:rPr>
        <w:t>TP53</w:t>
      </w:r>
      <w:r w:rsidR="007B48FD" w:rsidRPr="007B48FD">
        <w:t xml:space="preserve"> variants (including those with h</w:t>
      </w:r>
      <w:r w:rsidR="007B48FD" w:rsidRPr="00066A26">
        <w:rPr>
          <w:i/>
          <w:iCs/>
        </w:rPr>
        <w:t>TP53</w:t>
      </w:r>
      <w:r w:rsidR="007B48FD" w:rsidRPr="007B48FD">
        <w:t xml:space="preserve">rc) </w:t>
      </w:r>
      <w:r w:rsidR="007B48FD">
        <w:t>be</w:t>
      </w:r>
      <w:r w:rsidR="007B48FD" w:rsidRPr="007B48FD">
        <w:t xml:space="preserve"> eligible for surveillance including annual WBMRI. </w:t>
      </w:r>
      <w:r w:rsidR="00F4307F">
        <w:t>P</w:t>
      </w:r>
      <w:r w:rsidR="00F4307F" w:rsidRPr="00447205">
        <w:t xml:space="preserve">atients </w:t>
      </w:r>
      <w:r w:rsidR="009D3321" w:rsidRPr="00447205">
        <w:t xml:space="preserve">with </w:t>
      </w:r>
      <w:r w:rsidR="0038442C">
        <w:rPr>
          <w:i/>
          <w:iCs/>
        </w:rPr>
        <w:t xml:space="preserve">TP53 </w:t>
      </w:r>
      <w:r w:rsidR="009D3321" w:rsidRPr="00447205">
        <w:t>variants of uncertain significance (VUS) are not included in this proposal for funding.</w:t>
      </w:r>
    </w:p>
    <w:p w14:paraId="2D39B7F4" w14:textId="0BFA63AC" w:rsidR="00534AF3" w:rsidRPr="00534AF3" w:rsidRDefault="00534AF3" w:rsidP="00066A26">
      <w:pPr>
        <w:autoSpaceDE w:val="0"/>
        <w:autoSpaceDN w:val="0"/>
        <w:adjustRightInd w:val="0"/>
        <w:spacing w:line="23" w:lineRule="atLeast"/>
        <w:rPr>
          <w:rFonts w:asciiTheme="minorHAnsi" w:hAnsiTheme="minorHAnsi" w:cstheme="minorHAnsi"/>
          <w:szCs w:val="24"/>
        </w:rPr>
      </w:pPr>
      <w:r w:rsidRPr="00EA795A">
        <w:rPr>
          <w:i/>
          <w:iCs/>
        </w:rPr>
        <w:t>PASC noted that individuals with</w:t>
      </w:r>
      <w:r w:rsidR="001967DF">
        <w:rPr>
          <w:i/>
          <w:iCs/>
        </w:rPr>
        <w:t xml:space="preserve"> germline</w:t>
      </w:r>
      <w:r w:rsidRPr="00EA795A">
        <w:rPr>
          <w:i/>
          <w:iCs/>
        </w:rPr>
        <w:t xml:space="preserve"> </w:t>
      </w:r>
      <w:r w:rsidRPr="00ED0A32">
        <w:rPr>
          <w:iCs/>
        </w:rPr>
        <w:t>TP53</w:t>
      </w:r>
      <w:r w:rsidRPr="00EA795A">
        <w:rPr>
          <w:i/>
          <w:iCs/>
        </w:rPr>
        <w:t xml:space="preserve"> variants include but are not limited to patients with Li-Fraumeni syndrome (LFS), and agreed with the applicant that</w:t>
      </w:r>
      <w:r w:rsidR="001967DF">
        <w:rPr>
          <w:i/>
          <w:iCs/>
        </w:rPr>
        <w:t xml:space="preserve"> germline</w:t>
      </w:r>
      <w:r w:rsidRPr="00EA795A">
        <w:rPr>
          <w:i/>
          <w:iCs/>
        </w:rPr>
        <w:t xml:space="preserve"> </w:t>
      </w:r>
      <w:r w:rsidRPr="00ED0A32">
        <w:rPr>
          <w:iCs/>
        </w:rPr>
        <w:t>TP53</w:t>
      </w:r>
      <w:r w:rsidRPr="00EA795A">
        <w:rPr>
          <w:i/>
          <w:iCs/>
        </w:rPr>
        <w:t xml:space="preserve"> variants should be the eligibility criterion, and that the more comprehensive term, “heritable </w:t>
      </w:r>
      <w:r w:rsidRPr="00ED0A32">
        <w:t>TP53</w:t>
      </w:r>
      <w:r w:rsidRPr="00EA795A">
        <w:rPr>
          <w:i/>
          <w:iCs/>
        </w:rPr>
        <w:t>-related cancer (</w:t>
      </w:r>
      <w:r w:rsidRPr="001967DF">
        <w:rPr>
          <w:iCs/>
        </w:rPr>
        <w:t>h</w:t>
      </w:r>
      <w:r w:rsidRPr="00ED0A32">
        <w:t>TP53</w:t>
      </w:r>
      <w:r w:rsidRPr="001967DF">
        <w:rPr>
          <w:iCs/>
        </w:rPr>
        <w:t>rc</w:t>
      </w:r>
      <w:r w:rsidRPr="00EA795A">
        <w:rPr>
          <w:i/>
          <w:iCs/>
        </w:rPr>
        <w:t>) syndrome”, is preferred.</w:t>
      </w:r>
    </w:p>
    <w:p w14:paraId="5D703F60" w14:textId="00A4CC86" w:rsidR="000C4C95" w:rsidRPr="00447205" w:rsidRDefault="007320E3" w:rsidP="003013D7">
      <w:pPr>
        <w:rPr>
          <w:u w:val="single"/>
        </w:rPr>
      </w:pPr>
      <w:r w:rsidRPr="00447205">
        <w:rPr>
          <w:u w:val="single"/>
        </w:rPr>
        <w:t>Natural history of LFS</w:t>
      </w:r>
    </w:p>
    <w:p w14:paraId="1D6361AA" w14:textId="74831D3D" w:rsidR="000F1EBF" w:rsidRPr="00447205" w:rsidRDefault="008B1C2D" w:rsidP="003013D7">
      <w:r>
        <w:t>G</w:t>
      </w:r>
      <w:r w:rsidR="003013D7" w:rsidRPr="00447205">
        <w:t xml:space="preserve">ermline pathogenic </w:t>
      </w:r>
      <w:r w:rsidR="003013D7" w:rsidRPr="0038767C">
        <w:rPr>
          <w:i/>
          <w:iCs/>
        </w:rPr>
        <w:t>TP53</w:t>
      </w:r>
      <w:r w:rsidR="003013D7" w:rsidRPr="00447205">
        <w:t xml:space="preserve"> variants are</w:t>
      </w:r>
      <w:r>
        <w:t xml:space="preserve"> highly penetrant and carriers are</w:t>
      </w:r>
      <w:r w:rsidR="003013D7" w:rsidRPr="00447205">
        <w:t xml:space="preserve"> characterised by an early age of onset of several different cancer types and an extremely high lifetime cancer risk.</w:t>
      </w:r>
      <w:r w:rsidR="00C77274" w:rsidRPr="00447205">
        <w:t xml:space="preserve"> Individuals with LFS have an approximately 50% </w:t>
      </w:r>
      <w:r w:rsidR="00192A98">
        <w:t xml:space="preserve">risk </w:t>
      </w:r>
      <w:r w:rsidR="00C77274" w:rsidRPr="00447205">
        <w:t xml:space="preserve">of developing cancer by age 40, and up to a 90% percent </w:t>
      </w:r>
      <w:r w:rsidR="00192A98">
        <w:t>risk</w:t>
      </w:r>
      <w:r w:rsidR="00192A98" w:rsidRPr="00447205">
        <w:t xml:space="preserve"> </w:t>
      </w:r>
      <w:r w:rsidR="00C77274" w:rsidRPr="00447205">
        <w:t>by age 60, while females have nearly a 100% risk of developing cancer in their lifetime due to their markedly increased risk of breast cancer. Many individuals with LFS develop two or more primary cancers over their lifetime (NORD 2021)</w:t>
      </w:r>
      <w:r w:rsidR="00C77274" w:rsidRPr="00447205">
        <w:rPr>
          <w:rStyle w:val="FootnoteReference"/>
        </w:rPr>
        <w:footnoteReference w:id="1"/>
      </w:r>
      <w:r w:rsidR="00F86826">
        <w:t>.</w:t>
      </w:r>
      <w:r w:rsidR="00C77274" w:rsidRPr="00447205">
        <w:t xml:space="preserve"> </w:t>
      </w:r>
      <w:r w:rsidR="00CF5A32" w:rsidRPr="00447205">
        <w:t>T</w:t>
      </w:r>
      <w:r w:rsidR="003013D7" w:rsidRPr="00447205">
        <w:t>he most frequent cancers observed are breast cancers (28%), soft tissue sarcomas (14%), brain tumours (13%), osteosarcomas (9%) and adrenocortical tumours (11%) with many other cancer types also observed including colorectal, lung, melanoma, ovary and haematological malignancies</w:t>
      </w:r>
      <w:r w:rsidR="00CF5A32" w:rsidRPr="00447205">
        <w:t xml:space="preserve"> (</w:t>
      </w:r>
      <w:r w:rsidR="004C43D4">
        <w:t>Petitjean 2007)</w:t>
      </w:r>
      <w:r w:rsidR="003013D7" w:rsidRPr="00447205">
        <w:t xml:space="preserve">. </w:t>
      </w:r>
    </w:p>
    <w:p w14:paraId="6E0716C7" w14:textId="66E06B14" w:rsidR="00C77274" w:rsidRPr="00447205" w:rsidRDefault="009D2F07" w:rsidP="003013D7">
      <w:r w:rsidRPr="00447205">
        <w:t xml:space="preserve">The </w:t>
      </w:r>
      <w:r w:rsidR="00F4307F">
        <w:t>a</w:t>
      </w:r>
      <w:r w:rsidRPr="00447205">
        <w:t>pplication state</w:t>
      </w:r>
      <w:r w:rsidR="008C5D04">
        <w:t>d</w:t>
      </w:r>
      <w:r w:rsidRPr="00447205">
        <w:t xml:space="preserve"> that a</w:t>
      </w:r>
      <w:r w:rsidR="003013D7" w:rsidRPr="00447205">
        <w:t xml:space="preserve">drenocortical carcinomas occur mostly in young children and osteosarcomas are diagnosed mainly in adolescents and young adults. Brain tumours and soft tissue sarcomas occur often in children &lt;5 years of age with a second peak in incidence in individuals aged 20-40 years. Breast cancer commonly occurs 20-40 years of age. Many other </w:t>
      </w:r>
      <w:r w:rsidR="00447205" w:rsidRPr="00447205">
        <w:t>cancer</w:t>
      </w:r>
      <w:r w:rsidR="003013D7" w:rsidRPr="00447205">
        <w:t xml:space="preserve"> types are observed also occurring at ages much younger than the general population.</w:t>
      </w:r>
      <w:r w:rsidR="001510A6">
        <w:t xml:space="preserve"> </w:t>
      </w:r>
    </w:p>
    <w:p w14:paraId="060767E0" w14:textId="3ADE437B" w:rsidR="003013D7" w:rsidRPr="00447205" w:rsidRDefault="00C77274" w:rsidP="0055143C">
      <w:r w:rsidRPr="00447205">
        <w:t xml:space="preserve">The </w:t>
      </w:r>
      <w:r w:rsidR="009D2F07" w:rsidRPr="00447205">
        <w:t>application</w:t>
      </w:r>
      <w:r w:rsidRPr="00447205">
        <w:t xml:space="preserve"> state</w:t>
      </w:r>
      <w:r w:rsidR="008C5D04">
        <w:t>d</w:t>
      </w:r>
      <w:r w:rsidR="009D2F07" w:rsidRPr="00447205">
        <w:t xml:space="preserve"> t</w:t>
      </w:r>
      <w:r w:rsidR="003013D7" w:rsidRPr="00447205">
        <w:t xml:space="preserve">here have been no formal studies evaluating life expectancy but with the early onset of cancers and poor survival it is estimated </w:t>
      </w:r>
      <w:r w:rsidR="0014685F">
        <w:t xml:space="preserve">by </w:t>
      </w:r>
      <w:r w:rsidR="00B1458E" w:rsidRPr="00B1458E">
        <w:t>Evans and Ingham (2013)</w:t>
      </w:r>
      <w:r w:rsidR="000C2E9D">
        <w:t xml:space="preserve"> </w:t>
      </w:r>
      <w:r w:rsidR="003013D7" w:rsidRPr="00447205">
        <w:t>to be on average below 40 years of age.</w:t>
      </w:r>
    </w:p>
    <w:p w14:paraId="3A19EA9B" w14:textId="37D452C4" w:rsidR="003013D7" w:rsidRPr="00447205" w:rsidRDefault="007320E3" w:rsidP="007320E3">
      <w:pPr>
        <w:rPr>
          <w:u w:val="single"/>
        </w:rPr>
      </w:pPr>
      <w:r w:rsidRPr="00447205">
        <w:rPr>
          <w:u w:val="single"/>
        </w:rPr>
        <w:lastRenderedPageBreak/>
        <w:t>Prior testing</w:t>
      </w:r>
    </w:p>
    <w:p w14:paraId="0750035F" w14:textId="069C9131" w:rsidR="0033321B" w:rsidRPr="00447205" w:rsidRDefault="0033321B" w:rsidP="0033321B">
      <w:r w:rsidRPr="00447205">
        <w:t>The application state</w:t>
      </w:r>
      <w:r w:rsidR="008C5D04">
        <w:t>d</w:t>
      </w:r>
      <w:r w:rsidRPr="00447205">
        <w:t xml:space="preserve"> that the servic</w:t>
      </w:r>
      <w:r w:rsidR="009D2F07" w:rsidRPr="00447205">
        <w:t xml:space="preserve">e </w:t>
      </w:r>
      <w:r w:rsidRPr="00447205">
        <w:t xml:space="preserve">would apply only to individuals who are carriers of pathogenic or likely pathogenic germline </w:t>
      </w:r>
      <w:r w:rsidRPr="0038767C">
        <w:rPr>
          <w:i/>
          <w:iCs/>
        </w:rPr>
        <w:t>TP53</w:t>
      </w:r>
      <w:r w:rsidRPr="00447205">
        <w:t xml:space="preserve"> variants</w:t>
      </w:r>
      <w:r w:rsidR="008B1C2D">
        <w:t xml:space="preserve"> (including both inherited and </w:t>
      </w:r>
      <w:r w:rsidR="008B1C2D" w:rsidRPr="00601AE6">
        <w:rPr>
          <w:i/>
          <w:iCs/>
        </w:rPr>
        <w:t>de novo</w:t>
      </w:r>
      <w:r w:rsidR="008B1C2D">
        <w:t>)</w:t>
      </w:r>
      <w:r w:rsidRPr="00447205">
        <w:t>, where the diagnosis was confirmed by an accredited molecular pathology laboratory.</w:t>
      </w:r>
    </w:p>
    <w:p w14:paraId="2F8C9C20" w14:textId="27BFBFFF" w:rsidR="0033321B" w:rsidRPr="00447205" w:rsidRDefault="009D3321" w:rsidP="003C2BE8">
      <w:r w:rsidRPr="00447205">
        <w:t xml:space="preserve">Frebourg (2020) notes that whereas the interpretation of </w:t>
      </w:r>
      <w:r w:rsidRPr="0038767C">
        <w:rPr>
          <w:i/>
          <w:iCs/>
        </w:rPr>
        <w:t>TP53</w:t>
      </w:r>
      <w:r w:rsidRPr="00447205">
        <w:t xml:space="preserve"> variants </w:t>
      </w:r>
      <w:r w:rsidR="0014685F">
        <w:t xml:space="preserve">that are </w:t>
      </w:r>
      <w:r w:rsidRPr="00447205">
        <w:t>predicted to result in loss of function, such as nonsense or frameshift deletions or insertions, is usually obvious, the interpretation of missense variants, representing the majority, is often challenging and requires specific expertise. The most common consequence of germline variants causing h</w:t>
      </w:r>
      <w:r w:rsidRPr="00BA6F52">
        <w:rPr>
          <w:i/>
          <w:iCs/>
        </w:rPr>
        <w:t>TP53</w:t>
      </w:r>
      <w:r w:rsidRPr="00447205">
        <w:t xml:space="preserve">rc syndrome is the functional inactivation of the protein. </w:t>
      </w:r>
    </w:p>
    <w:p w14:paraId="5FA23E66" w14:textId="173771E0" w:rsidR="0033321B" w:rsidRPr="00447205" w:rsidRDefault="009D3321" w:rsidP="003C2BE8">
      <w:r w:rsidRPr="00447205">
        <w:t xml:space="preserve">Classification of </w:t>
      </w:r>
      <w:r w:rsidRPr="0038767C">
        <w:rPr>
          <w:i/>
          <w:iCs/>
        </w:rPr>
        <w:t>TP53</w:t>
      </w:r>
      <w:r w:rsidRPr="00447205">
        <w:t xml:space="preserve"> missense variants, in agreement with the ACMG/AMP guidelines, is based on several considerations including phenotypical data; frequency of the variant in the general population, as reported by the Genome Aggregation Database</w:t>
      </w:r>
      <w:r w:rsidR="00534AF3">
        <w:t>;</w:t>
      </w:r>
      <w:r w:rsidRPr="00447205">
        <w:t xml:space="preserve"> bioinformatic predictions of the variant</w:t>
      </w:r>
      <w:r w:rsidR="0014685F">
        <w:t>’s</w:t>
      </w:r>
      <w:r w:rsidRPr="00447205">
        <w:t xml:space="preserve"> impact on protein or RNA splicing using different algorithms</w:t>
      </w:r>
      <w:r w:rsidR="00534AF3">
        <w:t>;</w:t>
      </w:r>
      <w:r w:rsidRPr="00447205">
        <w:t xml:space="preserve"> and functional analyses of the variants performed using different </w:t>
      </w:r>
      <w:r w:rsidRPr="0038767C">
        <w:rPr>
          <w:i/>
          <w:iCs/>
        </w:rPr>
        <w:t>in vitro</w:t>
      </w:r>
      <w:r w:rsidRPr="00447205">
        <w:t xml:space="preserve"> assays performed either in yeast or cultured cells </w:t>
      </w:r>
      <w:r w:rsidR="0033321B" w:rsidRPr="00447205">
        <w:t>(Frebourg 2020)</w:t>
      </w:r>
      <w:r w:rsidR="00F4307F">
        <w:t>.</w:t>
      </w:r>
      <w:r w:rsidR="007B48FD">
        <w:t xml:space="preserve"> The applicant clarified that phenotypic data should not be restricted to those identified as fulfilling the Chompret criteria as (i) phenotypic data </w:t>
      </w:r>
      <w:r w:rsidR="007C5E85">
        <w:t xml:space="preserve">are </w:t>
      </w:r>
      <w:r w:rsidR="007B48FD">
        <w:t xml:space="preserve">not </w:t>
      </w:r>
      <w:r w:rsidR="007B48FD" w:rsidRPr="007B48FD">
        <w:t>always collected in families meeting Chompret criteria</w:t>
      </w:r>
      <w:r w:rsidR="007B48FD">
        <w:t xml:space="preserve"> and (ii) w</w:t>
      </w:r>
      <w:r w:rsidR="007B48FD" w:rsidRPr="007B48FD">
        <w:t xml:space="preserve">ith </w:t>
      </w:r>
      <w:r w:rsidR="007B48FD">
        <w:t xml:space="preserve">the </w:t>
      </w:r>
      <w:r w:rsidR="007B48FD" w:rsidRPr="007B48FD">
        <w:t xml:space="preserve">inclusion of </w:t>
      </w:r>
      <w:r w:rsidR="007B48FD" w:rsidRPr="007B48FD">
        <w:rPr>
          <w:i/>
          <w:iCs/>
        </w:rPr>
        <w:t xml:space="preserve">TP53 </w:t>
      </w:r>
      <w:r w:rsidR="007B48FD" w:rsidRPr="007B48FD">
        <w:t>on many cancer sequencing panels, variant carriers are increasingly being identified with a broad range of phenotypic features.</w:t>
      </w:r>
    </w:p>
    <w:p w14:paraId="6C205161" w14:textId="75F4B4ED" w:rsidR="000F1EBF" w:rsidRPr="00447205" w:rsidRDefault="000F1EBF" w:rsidP="003C2BE8">
      <w:pPr>
        <w:rPr>
          <w:u w:val="single"/>
        </w:rPr>
      </w:pPr>
      <w:r w:rsidRPr="00447205">
        <w:rPr>
          <w:u w:val="single"/>
        </w:rPr>
        <w:t>Access to Prior testing</w:t>
      </w:r>
    </w:p>
    <w:p w14:paraId="59214EFA" w14:textId="77777777" w:rsidR="009C34DA" w:rsidRDefault="00473A3C" w:rsidP="003C2BE8">
      <w:r w:rsidRPr="00447205">
        <w:t xml:space="preserve">The </w:t>
      </w:r>
      <w:r w:rsidR="00F4307F">
        <w:t>a</w:t>
      </w:r>
      <w:r w:rsidRPr="00447205">
        <w:t>pplicant note</w:t>
      </w:r>
      <w:r w:rsidR="008C5D04">
        <w:t>d</w:t>
      </w:r>
      <w:r w:rsidRPr="00447205">
        <w:t xml:space="preserve"> that c</w:t>
      </w:r>
      <w:r w:rsidR="003C2BE8" w:rsidRPr="00447205">
        <w:t>urrently</w:t>
      </w:r>
      <w:r w:rsidRPr="00447205">
        <w:t>,</w:t>
      </w:r>
      <w:r w:rsidR="003C2BE8" w:rsidRPr="00447205">
        <w:t xml:space="preserve"> </w:t>
      </w:r>
      <w:r w:rsidR="00A56CD5">
        <w:t xml:space="preserve">germline </w:t>
      </w:r>
      <w:r w:rsidR="003C2BE8" w:rsidRPr="0038767C">
        <w:rPr>
          <w:i/>
          <w:iCs/>
        </w:rPr>
        <w:t>TP53</w:t>
      </w:r>
      <w:r w:rsidR="003C2BE8" w:rsidRPr="00447205">
        <w:t xml:space="preserve"> testing is accessed via </w:t>
      </w:r>
      <w:r w:rsidR="00363742">
        <w:t xml:space="preserve">the </w:t>
      </w:r>
      <w:r w:rsidR="003C2BE8" w:rsidRPr="00447205">
        <w:t>MBS for individuals suspected of hereditary breast and ovarian cancer (HBOC), as one of four genes suspected to increase risk of these cancers</w:t>
      </w:r>
      <w:r w:rsidR="00363742">
        <w:t xml:space="preserve"> (MBS items 73296, 73297)</w:t>
      </w:r>
      <w:r w:rsidR="003C2BE8" w:rsidRPr="00447205">
        <w:t xml:space="preserve">. </w:t>
      </w:r>
    </w:p>
    <w:p w14:paraId="39E97D78" w14:textId="58F2B73B" w:rsidR="009C34DA" w:rsidRDefault="00926EE2" w:rsidP="003C2BE8">
      <w:pPr>
        <w:rPr>
          <w:i/>
          <w:iCs/>
        </w:rPr>
      </w:pPr>
      <w:r>
        <w:rPr>
          <w:i/>
          <w:iCs/>
        </w:rPr>
        <w:t xml:space="preserve">PASC acknowledged the </w:t>
      </w:r>
      <w:r w:rsidR="00094B2E">
        <w:rPr>
          <w:i/>
          <w:iCs/>
        </w:rPr>
        <w:t xml:space="preserve">current </w:t>
      </w:r>
      <w:r>
        <w:rPr>
          <w:i/>
          <w:iCs/>
        </w:rPr>
        <w:t xml:space="preserve">limited availability of testing for </w:t>
      </w:r>
      <w:r>
        <w:t xml:space="preserve">TP53 </w:t>
      </w:r>
      <w:r>
        <w:rPr>
          <w:i/>
          <w:iCs/>
        </w:rPr>
        <w:t xml:space="preserve">variants </w:t>
      </w:r>
      <w:r w:rsidR="00C62AAB">
        <w:rPr>
          <w:i/>
          <w:iCs/>
        </w:rPr>
        <w:t>(</w:t>
      </w:r>
      <w:r w:rsidR="00F92C1B">
        <w:rPr>
          <w:i/>
          <w:iCs/>
        </w:rPr>
        <w:t xml:space="preserve">affected individual </w:t>
      </w:r>
      <w:r w:rsidR="00C62AAB">
        <w:rPr>
          <w:i/>
          <w:iCs/>
        </w:rPr>
        <w:t xml:space="preserve">and cascade) </w:t>
      </w:r>
      <w:r>
        <w:rPr>
          <w:i/>
          <w:iCs/>
        </w:rPr>
        <w:t>on the MBS.</w:t>
      </w:r>
    </w:p>
    <w:p w14:paraId="67C7C83F" w14:textId="726C28C0" w:rsidR="003C2BE8" w:rsidRPr="00EF37D1" w:rsidRDefault="00473A3C" w:rsidP="003C2BE8">
      <w:pPr>
        <w:rPr>
          <w:i/>
          <w:iCs/>
        </w:rPr>
      </w:pPr>
      <w:r w:rsidRPr="00447205">
        <w:t xml:space="preserve">The </w:t>
      </w:r>
      <w:r w:rsidR="00F4307F">
        <w:t>a</w:t>
      </w:r>
      <w:r w:rsidRPr="00447205">
        <w:t xml:space="preserve">pplicant </w:t>
      </w:r>
      <w:r w:rsidR="00F86826" w:rsidRPr="00447205">
        <w:t>state</w:t>
      </w:r>
      <w:r w:rsidR="00F86826">
        <w:t>d</w:t>
      </w:r>
      <w:r w:rsidR="00F86826" w:rsidRPr="00447205">
        <w:t xml:space="preserve"> </w:t>
      </w:r>
      <w:r w:rsidRPr="00447205">
        <w:t xml:space="preserve">in further correspondence that </w:t>
      </w:r>
      <w:r w:rsidR="003C2BE8" w:rsidRPr="00447205">
        <w:t>LFS has been recognised and tested via various institutional and out-of-pocket mechanisms for more than 20 years</w:t>
      </w:r>
      <w:r w:rsidRPr="00447205">
        <w:t xml:space="preserve">; </w:t>
      </w:r>
      <w:r w:rsidR="00DE62FA">
        <w:t>t</w:t>
      </w:r>
      <w:r w:rsidRPr="00447205">
        <w:t>his may also include funding through hospitals and departmental funds.</w:t>
      </w:r>
      <w:r w:rsidR="00AD0BBC">
        <w:t xml:space="preserve"> The applicant further clarified that genetic testing in Australia </w:t>
      </w:r>
      <w:r w:rsidR="00094B2E">
        <w:t>takes place in public hospitals and so is</w:t>
      </w:r>
      <w:r w:rsidR="00EF37D1">
        <w:t xml:space="preserve"> </w:t>
      </w:r>
      <w:r w:rsidR="00AD0BBC">
        <w:t>State</w:t>
      </w:r>
      <w:r w:rsidR="00EF37D1">
        <w:t>/Territory</w:t>
      </w:r>
      <w:r w:rsidR="00AD0BBC">
        <w:t>-funded, with clinical criteria determining who has access to testing.</w:t>
      </w:r>
    </w:p>
    <w:p w14:paraId="1D59A446" w14:textId="3A64312E" w:rsidR="00EA795A" w:rsidRPr="00447205" w:rsidRDefault="00473A3C" w:rsidP="00473A3C">
      <w:r w:rsidRPr="00447205">
        <w:t xml:space="preserve">The </w:t>
      </w:r>
      <w:r w:rsidR="00DE62FA">
        <w:t>a</w:t>
      </w:r>
      <w:r w:rsidRPr="00447205">
        <w:t>pplicant consider</w:t>
      </w:r>
      <w:r w:rsidR="008C5D04">
        <w:t>ed</w:t>
      </w:r>
      <w:r w:rsidRPr="00447205">
        <w:t xml:space="preserve"> the current application analogous to the past MSAC </w:t>
      </w:r>
      <w:hyperlink r:id="rId9" w:history="1">
        <w:r w:rsidR="007C365C" w:rsidRPr="007C365C">
          <w:rPr>
            <w:rStyle w:val="Hyperlink"/>
            <w:rFonts w:ascii="Calibri" w:hAnsi="Calibri"/>
          </w:rPr>
          <w:t>A</w:t>
        </w:r>
        <w:r w:rsidRPr="007C365C">
          <w:rPr>
            <w:rStyle w:val="Hyperlink"/>
            <w:rFonts w:ascii="Calibri" w:hAnsi="Calibri"/>
          </w:rPr>
          <w:t>pplication</w:t>
        </w:r>
        <w:r w:rsidR="007C365C" w:rsidRPr="007C365C">
          <w:rPr>
            <w:rStyle w:val="Hyperlink"/>
            <w:rFonts w:ascii="Calibri" w:hAnsi="Calibri"/>
          </w:rPr>
          <w:t xml:space="preserve"> 1098</w:t>
        </w:r>
      </w:hyperlink>
      <w:r w:rsidRPr="00447205">
        <w:t xml:space="preserve"> for reimbursement since 2008 of breast MRI for women with HBOC, who have only recently obtained an MBS item for reimbursed genetic testing. The </w:t>
      </w:r>
      <w:r w:rsidR="00DE62FA">
        <w:t>a</w:t>
      </w:r>
      <w:r w:rsidRPr="00447205">
        <w:t xml:space="preserve">pplicant expressed confidence that existing funding mechanisms allowed for appropriate access to </w:t>
      </w:r>
      <w:r w:rsidRPr="0038767C">
        <w:rPr>
          <w:i/>
          <w:iCs/>
        </w:rPr>
        <w:t xml:space="preserve">TP53 </w:t>
      </w:r>
      <w:r w:rsidRPr="00447205">
        <w:t xml:space="preserve">testing </w:t>
      </w:r>
      <w:r w:rsidR="00447205" w:rsidRPr="00447205">
        <w:t>and</w:t>
      </w:r>
      <w:r w:rsidRPr="00447205">
        <w:t xml:space="preserve"> counselling. </w:t>
      </w:r>
      <w:r w:rsidR="008C5D04">
        <w:t xml:space="preserve">The applicant </w:t>
      </w:r>
      <w:r w:rsidR="00EF37D1">
        <w:t>stated</w:t>
      </w:r>
      <w:r w:rsidR="008C5D04">
        <w:t xml:space="preserve"> that MBS funded testing for </w:t>
      </w:r>
      <w:r w:rsidR="008C5D04">
        <w:rPr>
          <w:i/>
          <w:iCs/>
        </w:rPr>
        <w:t xml:space="preserve">TP53 </w:t>
      </w:r>
      <w:r w:rsidR="008C5D04">
        <w:t>variants would not have an impact and that currently, there was equity in access to testing.</w:t>
      </w:r>
    </w:p>
    <w:p w14:paraId="27418F4D" w14:textId="00CC15CF" w:rsidR="00534AF3" w:rsidRDefault="00534AF3" w:rsidP="00BA6F52">
      <w:pPr>
        <w:autoSpaceDE w:val="0"/>
        <w:autoSpaceDN w:val="0"/>
        <w:adjustRightInd w:val="0"/>
        <w:spacing w:line="23" w:lineRule="atLeast"/>
        <w:rPr>
          <w:i/>
          <w:iCs/>
        </w:rPr>
      </w:pPr>
      <w:r w:rsidRPr="00EA795A">
        <w:rPr>
          <w:i/>
          <w:iCs/>
        </w:rPr>
        <w:t>PASC noted that</w:t>
      </w:r>
      <w:r w:rsidRPr="00ED0A32">
        <w:t xml:space="preserve"> TP53</w:t>
      </w:r>
      <w:r w:rsidRPr="00EA795A">
        <w:rPr>
          <w:i/>
          <w:iCs/>
        </w:rPr>
        <w:t xml:space="preserve"> testing is currently funded by State/Territory genetics services; the current application does not propose to alter these </w:t>
      </w:r>
      <w:r w:rsidR="00066A26">
        <w:rPr>
          <w:i/>
          <w:iCs/>
        </w:rPr>
        <w:t>funding</w:t>
      </w:r>
      <w:r w:rsidRPr="00BA6F52">
        <w:rPr>
          <w:i/>
          <w:iCs/>
        </w:rPr>
        <w:t xml:space="preserve"> arr</w:t>
      </w:r>
      <w:r w:rsidR="001967DF">
        <w:rPr>
          <w:i/>
          <w:iCs/>
        </w:rPr>
        <w:t>a</w:t>
      </w:r>
      <w:r w:rsidRPr="00EA795A">
        <w:rPr>
          <w:i/>
          <w:iCs/>
        </w:rPr>
        <w:t>ngements. PASC also noted that rural/remote patients may incur additional accommodation and travel expenses if surveillance were to include additional testing by WBMRI.</w:t>
      </w:r>
    </w:p>
    <w:p w14:paraId="6DED375F" w14:textId="30BF8D0D" w:rsidR="00473A3C" w:rsidRPr="00447205" w:rsidRDefault="002126BC" w:rsidP="00473A3C">
      <w:pPr>
        <w:rPr>
          <w:rFonts w:eastAsia="Times New Roman" w:cs="Calibri"/>
          <w:color w:val="000000"/>
        </w:rPr>
      </w:pPr>
      <w:r>
        <w:rPr>
          <w:rFonts w:eastAsia="Times New Roman" w:cs="Calibri"/>
          <w:color w:val="000000"/>
        </w:rPr>
        <w:t>In response to the answer provided in Question 25 of the application that “</w:t>
      </w:r>
      <w:r w:rsidRPr="002126BC">
        <w:rPr>
          <w:rFonts w:eastAsia="Times New Roman" w:cs="Calibri"/>
          <w:color w:val="000000"/>
        </w:rPr>
        <w:t xml:space="preserve">Individuals are typically found to harbour germline pathogenic </w:t>
      </w:r>
      <w:r w:rsidRPr="00E92706">
        <w:rPr>
          <w:rFonts w:eastAsia="Times New Roman" w:cs="Calibri"/>
          <w:i/>
          <w:iCs/>
          <w:color w:val="000000"/>
        </w:rPr>
        <w:t>TP53</w:t>
      </w:r>
      <w:r w:rsidRPr="002126BC">
        <w:rPr>
          <w:rFonts w:eastAsia="Times New Roman" w:cs="Calibri"/>
          <w:color w:val="000000"/>
        </w:rPr>
        <w:t xml:space="preserve"> variants within the context of a family cancer or genetics clinic, and </w:t>
      </w:r>
      <w:r w:rsidRPr="002126BC">
        <w:rPr>
          <w:rFonts w:eastAsia="Times New Roman" w:cs="Calibri"/>
          <w:color w:val="000000"/>
        </w:rPr>
        <w:lastRenderedPageBreak/>
        <w:t>will have genetic testing as part of the risk assessment and management process</w:t>
      </w:r>
      <w:r>
        <w:rPr>
          <w:rFonts w:eastAsia="Times New Roman" w:cs="Calibri"/>
          <w:color w:val="000000"/>
        </w:rPr>
        <w:t xml:space="preserve">”, </w:t>
      </w:r>
      <w:r w:rsidR="007C365C">
        <w:rPr>
          <w:rFonts w:eastAsia="Times New Roman" w:cs="Calibri"/>
          <w:color w:val="000000"/>
        </w:rPr>
        <w:t>c</w:t>
      </w:r>
      <w:r w:rsidR="00473A3C" w:rsidRPr="00447205">
        <w:rPr>
          <w:rFonts w:eastAsia="Times New Roman" w:cs="Calibri"/>
          <w:color w:val="000000"/>
        </w:rPr>
        <w:t>onsultation feedback stated</w:t>
      </w:r>
      <w:r w:rsidR="00F86826">
        <w:rPr>
          <w:rFonts w:eastAsia="Times New Roman" w:cs="Calibri"/>
          <w:color w:val="000000"/>
        </w:rPr>
        <w:t>:</w:t>
      </w:r>
    </w:p>
    <w:p w14:paraId="4112BDE5" w14:textId="7383AFC4" w:rsidR="00473A3C" w:rsidRDefault="00473A3C" w:rsidP="00473A3C">
      <w:pPr>
        <w:ind w:left="720"/>
        <w:rPr>
          <w:rFonts w:eastAsia="Times New Roman" w:cs="Calibri"/>
          <w:color w:val="000000"/>
        </w:rPr>
      </w:pPr>
      <w:r w:rsidRPr="00447205">
        <w:rPr>
          <w:rFonts w:eastAsia="Times New Roman" w:cs="Calibri"/>
          <w:color w:val="000000"/>
        </w:rPr>
        <w:t>“Across Australia, genetic services are delivered under a number of different models, and not all genetics services have familial cancer clinics or offer risk management-based clinical services. While I completely agree that the intervention should only be ordered by Specialists with experience in cancer genetics, and in consultation with a qualified clinical geneticist, the stipulation of a qualified clinical geneticist in a family cancer/genetics clinic as the ordering clinician may create a barrier to access for patients in several states”.</w:t>
      </w:r>
    </w:p>
    <w:p w14:paraId="2971E3D4" w14:textId="3F92EF4F" w:rsidR="00EA3140" w:rsidRPr="00447205" w:rsidRDefault="00473A3C" w:rsidP="00473A3C">
      <w:r w:rsidRPr="00447205">
        <w:t xml:space="preserve">The </w:t>
      </w:r>
      <w:r w:rsidR="00DE62FA">
        <w:t>a</w:t>
      </w:r>
      <w:r w:rsidRPr="00447205">
        <w:t xml:space="preserve">pplicant responded that the clinical risk associated with carriage of </w:t>
      </w:r>
      <w:r w:rsidR="00A74BB0">
        <w:t>variants</w:t>
      </w:r>
      <w:r w:rsidRPr="00447205">
        <w:t xml:space="preserve"> in </w:t>
      </w:r>
      <w:r w:rsidRPr="0038767C">
        <w:rPr>
          <w:i/>
          <w:iCs/>
        </w:rPr>
        <w:t>TP53</w:t>
      </w:r>
      <w:r w:rsidRPr="00447205">
        <w:t xml:space="preserve"> is arguably the greatest for any heritable cancer syndrome, and the spectrum of cancers observed mandates access to specialist oncology and diagnostic support services. It is arguable that in the first instance, the management of affected families should be established by experts in cancer genetics, in the context of appropriate multidisciplinary services. There would be secondary benefits in terms of gathering data to extend evidence for costs, clinical and social utility.</w:t>
      </w:r>
    </w:p>
    <w:p w14:paraId="782E2849" w14:textId="402E5522" w:rsidR="003C2BE8" w:rsidRPr="00447205" w:rsidRDefault="00EA3140" w:rsidP="00473A3C">
      <w:r w:rsidRPr="00447205">
        <w:t xml:space="preserve">The </w:t>
      </w:r>
      <w:r w:rsidR="00DE62FA">
        <w:t>a</w:t>
      </w:r>
      <w:r w:rsidRPr="00447205">
        <w:t>pplicant also note</w:t>
      </w:r>
      <w:r w:rsidR="008C5D04">
        <w:t>d</w:t>
      </w:r>
      <w:r w:rsidRPr="00447205">
        <w:t>, h</w:t>
      </w:r>
      <w:r w:rsidR="00473A3C" w:rsidRPr="00447205">
        <w:t xml:space="preserve">owever, </w:t>
      </w:r>
      <w:r w:rsidRPr="00447205">
        <w:t xml:space="preserve">that </w:t>
      </w:r>
      <w:r w:rsidR="00473A3C" w:rsidRPr="00447205">
        <w:t xml:space="preserve">there are mixed models of care for such individuals, which may involve initial assessment and diagnosis of families, with subsequent care (including WBMRI) being run in joint partnership with non-specialist services. </w:t>
      </w:r>
      <w:r w:rsidRPr="00447205">
        <w:t xml:space="preserve">The application considered that there is a </w:t>
      </w:r>
      <w:r w:rsidR="00473A3C" w:rsidRPr="00447205">
        <w:t xml:space="preserve">tension </w:t>
      </w:r>
      <w:r w:rsidRPr="00447205">
        <w:t xml:space="preserve">between </w:t>
      </w:r>
      <w:r w:rsidR="00473A3C" w:rsidRPr="00447205">
        <w:t xml:space="preserve">ease of access to services that are arguably standard of care, and careful establishment of novel and complex management in centres which can over time disseminate such models of care more broadly. </w:t>
      </w:r>
      <w:r w:rsidRPr="00447205">
        <w:t xml:space="preserve">The </w:t>
      </w:r>
      <w:r w:rsidR="00DE62FA">
        <w:t>a</w:t>
      </w:r>
      <w:r w:rsidRPr="00447205">
        <w:t>pplicant stated that they had</w:t>
      </w:r>
      <w:r w:rsidR="00473A3C" w:rsidRPr="00447205">
        <w:t xml:space="preserve"> prioritised the latter, but would take advice from the </w:t>
      </w:r>
      <w:r w:rsidR="002126BC">
        <w:t>D</w:t>
      </w:r>
      <w:r w:rsidR="00473A3C" w:rsidRPr="00447205">
        <w:t>epartment.</w:t>
      </w:r>
    </w:p>
    <w:p w14:paraId="01059B16" w14:textId="5CA7EF3C" w:rsidR="007320E3" w:rsidRPr="00447205" w:rsidRDefault="0022307F" w:rsidP="007320E3">
      <w:pPr>
        <w:rPr>
          <w:u w:val="single"/>
        </w:rPr>
      </w:pPr>
      <w:r>
        <w:rPr>
          <w:u w:val="single"/>
        </w:rPr>
        <w:t>Age of the eligible</w:t>
      </w:r>
      <w:r w:rsidRPr="00447205">
        <w:rPr>
          <w:u w:val="single"/>
        </w:rPr>
        <w:t xml:space="preserve"> </w:t>
      </w:r>
      <w:r w:rsidR="007320E3" w:rsidRPr="00447205">
        <w:rPr>
          <w:u w:val="single"/>
        </w:rPr>
        <w:t>population</w:t>
      </w:r>
    </w:p>
    <w:p w14:paraId="188C51EC" w14:textId="4C84CB9F" w:rsidR="007320E3" w:rsidRPr="00447205" w:rsidRDefault="007320E3" w:rsidP="007320E3">
      <w:r w:rsidRPr="00447205">
        <w:t>The application limit</w:t>
      </w:r>
      <w:r w:rsidR="008C5D04">
        <w:t>ed</w:t>
      </w:r>
      <w:r w:rsidRPr="00447205">
        <w:t xml:space="preserve"> the population to patie</w:t>
      </w:r>
      <w:r w:rsidR="009D2F07" w:rsidRPr="00447205">
        <w:t>nt</w:t>
      </w:r>
      <w:r w:rsidRPr="00447205">
        <w:t>s between age 18 and 65.</w:t>
      </w:r>
    </w:p>
    <w:p w14:paraId="4FF89351" w14:textId="02F37D66" w:rsidR="005C1E1F" w:rsidRDefault="007320E3" w:rsidP="000F1EBF">
      <w:r w:rsidRPr="00447205">
        <w:t>After lodging the application</w:t>
      </w:r>
      <w:r w:rsidR="002126BC">
        <w:t>,</w:t>
      </w:r>
      <w:r w:rsidRPr="00447205">
        <w:t xml:space="preserve"> the </w:t>
      </w:r>
      <w:r w:rsidR="003C2BE8" w:rsidRPr="00447205">
        <w:t>a</w:t>
      </w:r>
      <w:r w:rsidRPr="00447205">
        <w:t>pplicant</w:t>
      </w:r>
      <w:r w:rsidR="003C2BE8" w:rsidRPr="00447205">
        <w:t xml:space="preserve"> </w:t>
      </w:r>
      <w:r w:rsidRPr="00447205">
        <w:t xml:space="preserve">noted in further </w:t>
      </w:r>
      <w:r w:rsidR="00447205" w:rsidRPr="00447205">
        <w:t>correspondence</w:t>
      </w:r>
      <w:r w:rsidRPr="00447205">
        <w:t xml:space="preserve"> that </w:t>
      </w:r>
      <w:r w:rsidR="00DE62FA">
        <w:t>t</w:t>
      </w:r>
      <w:r w:rsidRPr="00447205">
        <w:t xml:space="preserve">he Zero Childhood Cancer Program is being extended to most Australian children with cancer, and may well </w:t>
      </w:r>
      <w:r w:rsidR="00447205" w:rsidRPr="00447205">
        <w:t>identify</w:t>
      </w:r>
      <w:r w:rsidRPr="00447205">
        <w:t xml:space="preserve"> many patients who carry </w:t>
      </w:r>
      <w:r w:rsidRPr="0038767C">
        <w:rPr>
          <w:i/>
          <w:iCs/>
        </w:rPr>
        <w:t>TP53</w:t>
      </w:r>
      <w:r w:rsidRPr="00447205">
        <w:t xml:space="preserve"> </w:t>
      </w:r>
      <w:r w:rsidR="00A74BB0">
        <w:t>variants</w:t>
      </w:r>
      <w:r w:rsidRPr="00447205">
        <w:t xml:space="preserve">. An extension of the adult </w:t>
      </w:r>
      <w:r w:rsidR="000F1EBF" w:rsidRPr="00447205">
        <w:t>Surveillance study in Multi-Organ Cancer Prone Syndromes (</w:t>
      </w:r>
      <w:r w:rsidRPr="00447205">
        <w:t>SMOC+</w:t>
      </w:r>
      <w:r w:rsidR="000F1EBF" w:rsidRPr="00447205">
        <w:t xml:space="preserve">) programme </w:t>
      </w:r>
      <w:r w:rsidRPr="00447205">
        <w:t xml:space="preserve">in </w:t>
      </w:r>
      <w:r w:rsidR="00447205" w:rsidRPr="00447205">
        <w:t>paediatrics</w:t>
      </w:r>
      <w:r w:rsidRPr="00447205">
        <w:t xml:space="preserve"> has been developed to provide research-based access to screening. </w:t>
      </w:r>
      <w:r w:rsidR="000F1EBF" w:rsidRPr="00447205">
        <w:t xml:space="preserve">The </w:t>
      </w:r>
      <w:r w:rsidR="00DE62FA">
        <w:t>a</w:t>
      </w:r>
      <w:r w:rsidR="000F1EBF" w:rsidRPr="00447205">
        <w:t>pplication noted, h</w:t>
      </w:r>
      <w:r w:rsidRPr="00447205">
        <w:t>owever, issues such as the requirement for sedation, complications of consent, and the smaller amount of data available for children lead the applicant to make this current application solely for adults.</w:t>
      </w:r>
    </w:p>
    <w:p w14:paraId="618AAB3D" w14:textId="5F88D000" w:rsidR="00534AF3" w:rsidRPr="00534AF3" w:rsidRDefault="00534AF3" w:rsidP="00EA795A">
      <w:pPr>
        <w:autoSpaceDE w:val="0"/>
        <w:autoSpaceDN w:val="0"/>
        <w:adjustRightInd w:val="0"/>
        <w:spacing w:line="23" w:lineRule="atLeast"/>
        <w:rPr>
          <w:rFonts w:asciiTheme="minorHAnsi" w:hAnsiTheme="minorHAnsi" w:cstheme="minorHAnsi"/>
          <w:szCs w:val="24"/>
        </w:rPr>
      </w:pPr>
      <w:r w:rsidRPr="00EA795A">
        <w:rPr>
          <w:i/>
          <w:iCs/>
        </w:rPr>
        <w:t xml:space="preserve">PASC considered the meta-analysis of </w:t>
      </w:r>
      <w:r w:rsidRPr="00ED0A32">
        <w:rPr>
          <w:iCs/>
        </w:rPr>
        <w:t xml:space="preserve">TP53 </w:t>
      </w:r>
      <w:r w:rsidRPr="00EA795A">
        <w:rPr>
          <w:i/>
          <w:iCs/>
        </w:rPr>
        <w:t xml:space="preserve">variant carriers reported in Bougeard (2015), in which the age at first tumour onset was 18 years or less in 41% of the cohort, and noted that neither the </w:t>
      </w:r>
      <w:r w:rsidRPr="00827180">
        <w:rPr>
          <w:i/>
          <w:iCs/>
        </w:rPr>
        <w:t xml:space="preserve">eviQ risk management guidelines </w:t>
      </w:r>
      <w:r w:rsidR="00827180" w:rsidRPr="00827180">
        <w:rPr>
          <w:i/>
          <w:iCs/>
        </w:rPr>
        <w:t>(Kratz 2017)</w:t>
      </w:r>
      <w:r w:rsidR="00827180" w:rsidRPr="00447205">
        <w:t xml:space="preserve"> </w:t>
      </w:r>
      <w:r w:rsidRPr="00EA795A">
        <w:rPr>
          <w:i/>
          <w:iCs/>
        </w:rPr>
        <w:t>nor the ERN GENTURIS (European Reference Network – Genetic Tumour Risk Syndrome) guideline</w:t>
      </w:r>
      <w:r w:rsidRPr="00827180">
        <w:rPr>
          <w:i/>
          <w:iCs/>
        </w:rPr>
        <w:t xml:space="preserve">s </w:t>
      </w:r>
      <w:r w:rsidRPr="00EA795A">
        <w:rPr>
          <w:i/>
          <w:iCs/>
        </w:rPr>
        <w:t>limited WBMRI to adult carriers. PASC advised that children should also be included in the proposed population.</w:t>
      </w:r>
    </w:p>
    <w:p w14:paraId="25D5B6A3" w14:textId="521E6169" w:rsidR="009C34DA" w:rsidRDefault="002126BC" w:rsidP="000F1EBF">
      <w:r w:rsidRPr="0038767C">
        <w:t>The application note</w:t>
      </w:r>
      <w:r w:rsidR="008C5D04">
        <w:t>d</w:t>
      </w:r>
      <w:r w:rsidRPr="0038767C">
        <w:t xml:space="preserve"> that above 65 years of age, the background incidence of cancer and competing causes of mortality begin to rise, and it is arguable that WBMRI may not provide the same benefit as in younger populations.</w:t>
      </w:r>
    </w:p>
    <w:p w14:paraId="05EB52B5" w14:textId="728BCB31" w:rsidR="002126BC" w:rsidRPr="0038767C" w:rsidRDefault="006558C2" w:rsidP="000F1EBF">
      <w:pPr>
        <w:rPr>
          <w:i/>
          <w:iCs/>
        </w:rPr>
      </w:pPr>
      <w:r>
        <w:rPr>
          <w:i/>
          <w:iCs/>
        </w:rPr>
        <w:t>PASC accepted the applicant’s rationale for excluding those aged over 65 years in the proposed population.</w:t>
      </w:r>
    </w:p>
    <w:p w14:paraId="28670274" w14:textId="43A84380" w:rsidR="009D2F07" w:rsidRPr="00447205" w:rsidRDefault="009D2F07" w:rsidP="000F1EBF">
      <w:r w:rsidRPr="00447205">
        <w:t xml:space="preserve">Figure 1 presents the </w:t>
      </w:r>
      <w:r w:rsidR="0057790B">
        <w:t>prior tests</w:t>
      </w:r>
      <w:r w:rsidRPr="00447205">
        <w:t xml:space="preserve"> </w:t>
      </w:r>
      <w:r w:rsidR="00341D47">
        <w:t xml:space="preserve">to identify those with pathogenic or likely pathogenic </w:t>
      </w:r>
      <w:r w:rsidR="00341D47">
        <w:rPr>
          <w:i/>
          <w:iCs/>
        </w:rPr>
        <w:t xml:space="preserve">TP53 </w:t>
      </w:r>
      <w:r w:rsidR="00341D47">
        <w:t xml:space="preserve">variants who would then be </w:t>
      </w:r>
      <w:r w:rsidRPr="00447205">
        <w:t xml:space="preserve">eligible for the requested service. </w:t>
      </w:r>
    </w:p>
    <w:p w14:paraId="6BD0FE0B" w14:textId="77777777" w:rsidR="007637C7" w:rsidRPr="00447205" w:rsidRDefault="007637C7" w:rsidP="007637C7">
      <w:pPr>
        <w:ind w:left="426"/>
        <w:rPr>
          <w:szCs w:val="20"/>
        </w:rPr>
      </w:pPr>
      <w:r w:rsidRPr="00447205">
        <w:rPr>
          <w:noProof/>
          <w:szCs w:val="20"/>
          <w:lang w:eastAsia="en-AU"/>
        </w:rPr>
        <w:lastRenderedPageBreak/>
        <w:drawing>
          <wp:inline distT="0" distB="0" distL="0" distR="0" wp14:anchorId="10EA4F61" wp14:editId="37BC2205">
            <wp:extent cx="5143500" cy="3365500"/>
            <wp:effectExtent l="0" t="0" r="0" b="0"/>
            <wp:docPr id="11" name="Graphic 11" descr="Figure 1  Current prior testing pathway before patients would be eligible for the proposed medica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igure 1  Current prior testing pathway before patients would be eligible for the proposed medical service"/>
                    <pic:cNvPicPr/>
                  </pic:nvPicPr>
                  <pic:blipFill>
                    <a:blip r:embed="rId10">
                      <a:extLst>
                        <a:ext uri="{96DAC541-7B7A-43D3-8B79-37D633B846F1}">
                          <asvg:svgBlip xmlns:asvg="http://schemas.microsoft.com/office/drawing/2016/SVG/main" r:embed="rId11"/>
                        </a:ext>
                      </a:extLst>
                    </a:blip>
                    <a:stretch>
                      <a:fillRect/>
                    </a:stretch>
                  </pic:blipFill>
                  <pic:spPr>
                    <a:xfrm>
                      <a:off x="0" y="0"/>
                      <a:ext cx="5143500" cy="3365500"/>
                    </a:xfrm>
                    <a:prstGeom prst="rect">
                      <a:avLst/>
                    </a:prstGeom>
                  </pic:spPr>
                </pic:pic>
              </a:graphicData>
            </a:graphic>
          </wp:inline>
        </w:drawing>
      </w:r>
    </w:p>
    <w:p w14:paraId="7A54A4BB" w14:textId="29324E2F" w:rsidR="008D7250" w:rsidRPr="00447205" w:rsidRDefault="008D7250" w:rsidP="008D7250">
      <w:pPr>
        <w:pStyle w:val="TableHeading"/>
      </w:pPr>
      <w:r w:rsidRPr="00447205">
        <w:rPr>
          <w:rStyle w:val="CommentReference"/>
          <w:sz w:val="20"/>
          <w:szCs w:val="20"/>
        </w:rPr>
        <w:t>Figure </w:t>
      </w:r>
      <w:r w:rsidRPr="00447205">
        <w:rPr>
          <w:rStyle w:val="CommentReference"/>
          <w:sz w:val="20"/>
          <w:szCs w:val="20"/>
        </w:rPr>
        <w:fldChar w:fldCharType="begin"/>
      </w:r>
      <w:r w:rsidRPr="00447205">
        <w:rPr>
          <w:rStyle w:val="CommentReference"/>
          <w:sz w:val="20"/>
          <w:szCs w:val="20"/>
        </w:rPr>
        <w:instrText xml:space="preserve"> SEQ Figure \* ARABIC </w:instrText>
      </w:r>
      <w:r w:rsidRPr="00447205">
        <w:rPr>
          <w:rStyle w:val="CommentReference"/>
          <w:sz w:val="20"/>
          <w:szCs w:val="20"/>
        </w:rPr>
        <w:fldChar w:fldCharType="separate"/>
      </w:r>
      <w:r w:rsidRPr="00447205">
        <w:rPr>
          <w:rStyle w:val="CommentReference"/>
          <w:sz w:val="20"/>
          <w:szCs w:val="20"/>
        </w:rPr>
        <w:t>1</w:t>
      </w:r>
      <w:r w:rsidRPr="00447205">
        <w:rPr>
          <w:rStyle w:val="CommentReference"/>
          <w:sz w:val="20"/>
          <w:szCs w:val="20"/>
        </w:rPr>
        <w:fldChar w:fldCharType="end"/>
      </w:r>
      <w:r w:rsidRPr="00447205">
        <w:rPr>
          <w:rStyle w:val="CommentReference"/>
          <w:sz w:val="20"/>
          <w:szCs w:val="20"/>
        </w:rPr>
        <w:tab/>
        <w:t xml:space="preserve"> </w:t>
      </w:r>
      <w:r w:rsidRPr="00447205">
        <w:t xml:space="preserve">Current </w:t>
      </w:r>
      <w:r w:rsidR="0057790B">
        <w:t>prior testing</w:t>
      </w:r>
      <w:r w:rsidRPr="00447205">
        <w:t xml:space="preserve"> pathway before patients would be eligible for the proposed medical service</w:t>
      </w:r>
    </w:p>
    <w:p w14:paraId="4BAEEDEC" w14:textId="3474C5CC" w:rsidR="007637C7" w:rsidRPr="00447205" w:rsidRDefault="00A81C13" w:rsidP="0038767C">
      <w:pPr>
        <w:pStyle w:val="Tablenotes"/>
        <w:spacing w:after="200"/>
        <w:jc w:val="left"/>
      </w:pPr>
      <w:r w:rsidRPr="00447205">
        <w:t>Source: Attachment 1, p29 of the application.</w:t>
      </w:r>
    </w:p>
    <w:p w14:paraId="41AD510A" w14:textId="77777777" w:rsidR="009C34DA" w:rsidRDefault="006558C2">
      <w:pPr>
        <w:spacing w:after="160" w:line="259" w:lineRule="auto"/>
      </w:pPr>
      <w:r>
        <w:t>The application anticipated a prevalent population of 200-250 adults would be eligible for the service.</w:t>
      </w:r>
      <w:r w:rsidR="00CD0581">
        <w:t xml:space="preserve"> </w:t>
      </w:r>
    </w:p>
    <w:p w14:paraId="2B6D93E2" w14:textId="5DA0994B" w:rsidR="00FA118E" w:rsidRDefault="00CD0581">
      <w:pPr>
        <w:spacing w:after="160" w:line="259" w:lineRule="auto"/>
        <w:rPr>
          <w:rFonts w:eastAsia="MS Gothic"/>
          <w:b/>
          <w:bCs/>
          <w:i/>
          <w:sz w:val="24"/>
          <w:szCs w:val="24"/>
        </w:rPr>
      </w:pPr>
      <w:r>
        <w:rPr>
          <w:i/>
          <w:iCs/>
        </w:rPr>
        <w:t xml:space="preserve">PASC </w:t>
      </w:r>
      <w:r w:rsidR="00534AF3">
        <w:rPr>
          <w:i/>
          <w:iCs/>
        </w:rPr>
        <w:t>noted the applicant’s estimate</w:t>
      </w:r>
      <w:r>
        <w:rPr>
          <w:i/>
          <w:iCs/>
        </w:rPr>
        <w:t xml:space="preserve"> </w:t>
      </w:r>
      <w:r w:rsidR="00066A26">
        <w:rPr>
          <w:i/>
          <w:iCs/>
        </w:rPr>
        <w:t xml:space="preserve">of </w:t>
      </w:r>
      <w:r>
        <w:rPr>
          <w:i/>
          <w:iCs/>
        </w:rPr>
        <w:t>the</w:t>
      </w:r>
      <w:r w:rsidRPr="00CD0581">
        <w:rPr>
          <w:i/>
          <w:iCs/>
        </w:rPr>
        <w:t xml:space="preserve"> true prevalence of carriers of </w:t>
      </w:r>
      <w:r w:rsidRPr="00F57354">
        <w:rPr>
          <w:iCs/>
        </w:rPr>
        <w:t>TP53</w:t>
      </w:r>
      <w:r w:rsidRPr="00CD0581">
        <w:t xml:space="preserve"> </w:t>
      </w:r>
      <w:r>
        <w:rPr>
          <w:i/>
          <w:iCs/>
        </w:rPr>
        <w:t>variants</w:t>
      </w:r>
      <w:r w:rsidRPr="00CD0581">
        <w:rPr>
          <w:i/>
          <w:iCs/>
        </w:rPr>
        <w:t xml:space="preserve"> may reach one in 20,000 of the population </w:t>
      </w:r>
      <w:r w:rsidR="00534AF3">
        <w:rPr>
          <w:i/>
          <w:iCs/>
        </w:rPr>
        <w:t>and that</w:t>
      </w:r>
      <w:r w:rsidRPr="00CD0581">
        <w:rPr>
          <w:i/>
          <w:iCs/>
        </w:rPr>
        <w:t xml:space="preserve"> there may be up to 1,250 carriers in Australia</w:t>
      </w:r>
      <w:r w:rsidR="006C53AF">
        <w:rPr>
          <w:i/>
          <w:iCs/>
        </w:rPr>
        <w:t>.</w:t>
      </w:r>
    </w:p>
    <w:p w14:paraId="38B20777" w14:textId="2A439652" w:rsidR="00CD0581" w:rsidRPr="00CD0581" w:rsidRDefault="007A66C8" w:rsidP="000D0AA6">
      <w:pPr>
        <w:pStyle w:val="Heading3"/>
      </w:pPr>
      <w:r w:rsidRPr="00447205">
        <w:t>Intervention</w:t>
      </w:r>
    </w:p>
    <w:p w14:paraId="366BF4D2" w14:textId="2A591F14" w:rsidR="0055143C" w:rsidRDefault="001B70BD" w:rsidP="001B70BD">
      <w:r w:rsidRPr="00447205">
        <w:t xml:space="preserve">The proposed medical service is annual WBMRI for individuals with germline pathogenic </w:t>
      </w:r>
      <w:r w:rsidRPr="00447205">
        <w:rPr>
          <w:i/>
          <w:iCs/>
        </w:rPr>
        <w:t>TP53</w:t>
      </w:r>
      <w:r w:rsidRPr="00447205">
        <w:t xml:space="preserve"> variants</w:t>
      </w:r>
      <w:r w:rsidR="008E5029">
        <w:t>, which is not restricted to those with LFS. The applicant clarified that “[a]</w:t>
      </w:r>
      <w:r w:rsidR="008E5029" w:rsidRPr="008E5029">
        <w:t xml:space="preserve"> family is classified as having LFS if they meet classic LFS criteria. Approximately 70% of families meeting LFS criteria carry a pathogenic or likely pathogenic </w:t>
      </w:r>
      <w:r w:rsidR="008E5029" w:rsidRPr="008E5029">
        <w:rPr>
          <w:i/>
          <w:iCs/>
        </w:rPr>
        <w:t>TP53</w:t>
      </w:r>
      <w:r w:rsidR="008E5029" w:rsidRPr="008E5029">
        <w:t xml:space="preserve"> variant. In essence an individual may carry a </w:t>
      </w:r>
      <w:r w:rsidR="008E5029" w:rsidRPr="008E5029">
        <w:rPr>
          <w:i/>
          <w:iCs/>
        </w:rPr>
        <w:t>TP53</w:t>
      </w:r>
      <w:r w:rsidR="008E5029" w:rsidRPr="008E5029">
        <w:t xml:space="preserve"> variant but not have LFS and conversely, may have LFS but not carry a </w:t>
      </w:r>
      <w:r w:rsidR="008E5029" w:rsidRPr="008E5029">
        <w:rPr>
          <w:i/>
          <w:iCs/>
        </w:rPr>
        <w:t>TP53</w:t>
      </w:r>
      <w:r w:rsidR="008E5029" w:rsidRPr="008E5029">
        <w:t xml:space="preserve"> variant.</w:t>
      </w:r>
      <w:r w:rsidR="008E5029">
        <w:t>”</w:t>
      </w:r>
      <w:r w:rsidR="0057790B">
        <w:t>. The intervention is proposed to be used</w:t>
      </w:r>
      <w:r w:rsidRPr="00447205">
        <w:t xml:space="preserve"> in addition to the several diagnostic procedures that constitute standard </w:t>
      </w:r>
      <w:r w:rsidR="00C35B68" w:rsidRPr="00447205">
        <w:t xml:space="preserve">risk </w:t>
      </w:r>
      <w:r w:rsidR="00447205" w:rsidRPr="00447205">
        <w:t>management</w:t>
      </w:r>
      <w:r w:rsidRPr="00447205">
        <w:t xml:space="preserve"> for patients with a germline pathogenic or likely pathogenic variant of </w:t>
      </w:r>
      <w:r w:rsidRPr="0038767C">
        <w:rPr>
          <w:i/>
          <w:iCs/>
        </w:rPr>
        <w:t>TP53</w:t>
      </w:r>
      <w:r w:rsidRPr="00447205">
        <w:t>.</w:t>
      </w:r>
    </w:p>
    <w:p w14:paraId="538EF468" w14:textId="755BE04E" w:rsidR="00247487" w:rsidRDefault="00247487" w:rsidP="001B70BD">
      <w:r>
        <w:t>The applicant provided a further description of the intervention:</w:t>
      </w:r>
    </w:p>
    <w:p w14:paraId="60B91243" w14:textId="5E1AADA3" w:rsidR="00247487" w:rsidRPr="00447205" w:rsidRDefault="00247487" w:rsidP="00247487">
      <w:pPr>
        <w:ind w:left="284"/>
      </w:pPr>
      <w:r w:rsidRPr="00247487">
        <w:t>Whole body MRI is a screening tool that scans from vertex to feet using conventional MR imaging sequences acquired in the axial or coronal plane. Section thickness for each sequence is approximately 8mm with 2mm gap. Pixel size is not more than 2 x 2 mm in-plane for any sequence. The non-contrast scan takes approximately one hour and is designed to detect lesions of approximately 10mm in size or greater.</w:t>
      </w:r>
    </w:p>
    <w:p w14:paraId="1448A12A" w14:textId="16E17BCE" w:rsidR="000628E9" w:rsidRDefault="004D7711" w:rsidP="001B70BD">
      <w:pPr>
        <w:rPr>
          <w:rFonts w:asciiTheme="minorHAnsi" w:hAnsiTheme="minorHAnsi" w:cstheme="minorHAnsi"/>
          <w:i/>
          <w:iCs/>
        </w:rPr>
      </w:pPr>
      <w:r>
        <w:rPr>
          <w:rFonts w:asciiTheme="minorHAnsi" w:hAnsiTheme="minorHAnsi" w:cstheme="minorHAnsi"/>
          <w:i/>
          <w:iCs/>
        </w:rPr>
        <w:t xml:space="preserve">PASC </w:t>
      </w:r>
      <w:r w:rsidR="00DC7B5E">
        <w:rPr>
          <w:rFonts w:asciiTheme="minorHAnsi" w:hAnsiTheme="minorHAnsi" w:cstheme="minorHAnsi"/>
          <w:i/>
          <w:iCs/>
        </w:rPr>
        <w:t>noted</w:t>
      </w:r>
      <w:r w:rsidR="000628E9">
        <w:rPr>
          <w:rFonts w:asciiTheme="minorHAnsi" w:hAnsiTheme="minorHAnsi" w:cstheme="minorHAnsi"/>
          <w:i/>
          <w:iCs/>
        </w:rPr>
        <w:t xml:space="preserve"> </w:t>
      </w:r>
      <w:r>
        <w:rPr>
          <w:rFonts w:asciiTheme="minorHAnsi" w:hAnsiTheme="minorHAnsi" w:cstheme="minorHAnsi"/>
          <w:i/>
          <w:iCs/>
        </w:rPr>
        <w:t>there was no universally accepted definition for WBMRI</w:t>
      </w:r>
      <w:r w:rsidR="00C3117F">
        <w:rPr>
          <w:rFonts w:asciiTheme="minorHAnsi" w:hAnsiTheme="minorHAnsi" w:cstheme="minorHAnsi"/>
          <w:i/>
          <w:iCs/>
        </w:rPr>
        <w:t>.</w:t>
      </w:r>
      <w:r w:rsidR="00F92C1B">
        <w:rPr>
          <w:rFonts w:asciiTheme="minorHAnsi" w:hAnsiTheme="minorHAnsi" w:cstheme="minorHAnsi"/>
          <w:i/>
          <w:iCs/>
        </w:rPr>
        <w:t xml:space="preserve"> </w:t>
      </w:r>
      <w:r w:rsidR="00C3117F">
        <w:rPr>
          <w:rFonts w:asciiTheme="minorHAnsi" w:hAnsiTheme="minorHAnsi" w:cstheme="minorHAnsi"/>
          <w:i/>
          <w:iCs/>
        </w:rPr>
        <w:t xml:space="preserve">One recommendation for a set of acquisition sequences for oncologic WBMRI is provided </w:t>
      </w:r>
      <w:r w:rsidR="00F92C1B" w:rsidRPr="00F92C1B">
        <w:rPr>
          <w:rFonts w:asciiTheme="minorHAnsi" w:hAnsiTheme="minorHAnsi" w:cstheme="minorHAnsi"/>
          <w:i/>
          <w:iCs/>
        </w:rPr>
        <w:t xml:space="preserve">in </w:t>
      </w:r>
      <w:proofErr w:type="spellStart"/>
      <w:r w:rsidR="00F92C1B" w:rsidRPr="00F92C1B">
        <w:rPr>
          <w:rFonts w:asciiTheme="minorHAnsi" w:hAnsiTheme="minorHAnsi" w:cstheme="minorHAnsi"/>
          <w:i/>
          <w:iCs/>
        </w:rPr>
        <w:t>Morone</w:t>
      </w:r>
      <w:proofErr w:type="spellEnd"/>
      <w:r w:rsidR="00F92C1B" w:rsidRPr="00F92C1B">
        <w:rPr>
          <w:rFonts w:asciiTheme="minorHAnsi" w:hAnsiTheme="minorHAnsi" w:cstheme="minorHAnsi"/>
          <w:i/>
          <w:iCs/>
        </w:rPr>
        <w:t xml:space="preserve"> (2017)</w:t>
      </w:r>
      <w:r w:rsidR="000628E9">
        <w:rPr>
          <w:rFonts w:asciiTheme="minorHAnsi" w:hAnsiTheme="minorHAnsi" w:cstheme="minorHAnsi"/>
          <w:i/>
          <w:iCs/>
        </w:rPr>
        <w:t xml:space="preserve">, see </w:t>
      </w:r>
      <w:r w:rsidR="000628E9">
        <w:rPr>
          <w:rFonts w:asciiTheme="minorHAnsi" w:hAnsiTheme="minorHAnsi" w:cstheme="minorHAnsi"/>
          <w:i/>
          <w:iCs/>
        </w:rPr>
        <w:fldChar w:fldCharType="begin"/>
      </w:r>
      <w:r w:rsidR="000628E9">
        <w:rPr>
          <w:rFonts w:asciiTheme="minorHAnsi" w:hAnsiTheme="minorHAnsi" w:cstheme="minorHAnsi"/>
          <w:i/>
          <w:iCs/>
        </w:rPr>
        <w:instrText xml:space="preserve"> REF _Ref80552086 \h </w:instrText>
      </w:r>
      <w:r w:rsidR="000628E9">
        <w:rPr>
          <w:rFonts w:asciiTheme="minorHAnsi" w:hAnsiTheme="minorHAnsi" w:cstheme="minorHAnsi"/>
          <w:i/>
          <w:iCs/>
        </w:rPr>
      </w:r>
      <w:r w:rsidR="000628E9">
        <w:rPr>
          <w:rFonts w:asciiTheme="minorHAnsi" w:hAnsiTheme="minorHAnsi" w:cstheme="minorHAnsi"/>
          <w:i/>
          <w:iCs/>
        </w:rPr>
        <w:fldChar w:fldCharType="separate"/>
      </w:r>
      <w:r w:rsidR="000628E9">
        <w:t xml:space="preserve">Table </w:t>
      </w:r>
      <w:r w:rsidR="000628E9">
        <w:rPr>
          <w:noProof/>
        </w:rPr>
        <w:t>2</w:t>
      </w:r>
      <w:r w:rsidR="000628E9">
        <w:rPr>
          <w:rFonts w:asciiTheme="minorHAnsi" w:hAnsiTheme="minorHAnsi" w:cstheme="minorHAnsi"/>
          <w:i/>
          <w:iCs/>
        </w:rPr>
        <w:fldChar w:fldCharType="end"/>
      </w:r>
      <w:r w:rsidR="000628E9">
        <w:rPr>
          <w:rFonts w:asciiTheme="minorHAnsi" w:hAnsiTheme="minorHAnsi" w:cstheme="minorHAnsi"/>
          <w:i/>
          <w:iCs/>
        </w:rPr>
        <w:t>.</w:t>
      </w:r>
    </w:p>
    <w:p w14:paraId="6C7BBA6B" w14:textId="792F1BF8" w:rsidR="000628E9" w:rsidRDefault="000628E9" w:rsidP="008C192C">
      <w:pPr>
        <w:pStyle w:val="Caption"/>
      </w:pPr>
      <w:bookmarkStart w:id="3" w:name="_Ref80552086"/>
      <w:r>
        <w:lastRenderedPageBreak/>
        <w:t xml:space="preserve">Table </w:t>
      </w:r>
      <w:r>
        <w:fldChar w:fldCharType="begin"/>
      </w:r>
      <w:r>
        <w:instrText xml:space="preserve"> SEQ Table \* ARABIC </w:instrText>
      </w:r>
      <w:r>
        <w:fldChar w:fldCharType="separate"/>
      </w:r>
      <w:r>
        <w:rPr>
          <w:noProof/>
        </w:rPr>
        <w:t>2</w:t>
      </w:r>
      <w:r>
        <w:fldChar w:fldCharType="end"/>
      </w:r>
      <w:bookmarkEnd w:id="3"/>
      <w:r>
        <w:t>: Recommended acquisition</w:t>
      </w:r>
      <w:r w:rsidR="00B414AE">
        <w:t xml:space="preserve"> </w:t>
      </w:r>
      <w:r>
        <w:t>sequences for WBMRI</w:t>
      </w:r>
    </w:p>
    <w:tbl>
      <w:tblPr>
        <w:tblStyle w:val="TableGrid"/>
        <w:tblW w:w="0" w:type="auto"/>
        <w:tblInd w:w="0" w:type="dxa"/>
        <w:tblLook w:val="04A0" w:firstRow="1" w:lastRow="0" w:firstColumn="1" w:lastColumn="0" w:noHBand="0" w:noVBand="1"/>
      </w:tblPr>
      <w:tblGrid>
        <w:gridCol w:w="1980"/>
        <w:gridCol w:w="2977"/>
        <w:gridCol w:w="2835"/>
        <w:gridCol w:w="1779"/>
      </w:tblGrid>
      <w:tr w:rsidR="000628E9" w:rsidRPr="000628E9" w14:paraId="7A8D9AD1" w14:textId="77777777" w:rsidTr="00B414AE">
        <w:tc>
          <w:tcPr>
            <w:tcW w:w="1980" w:type="dxa"/>
          </w:tcPr>
          <w:p w14:paraId="5D7EA346" w14:textId="26DC489D" w:rsidR="000628E9" w:rsidRPr="008C192C" w:rsidRDefault="000628E9" w:rsidP="008C192C">
            <w:pPr>
              <w:keepNext/>
              <w:spacing w:before="40" w:after="40" w:line="240" w:lineRule="auto"/>
              <w:rPr>
                <w:rFonts w:ascii="Arial Narrow" w:hAnsi="Arial Narrow"/>
                <w:b/>
                <w:bCs/>
                <w:sz w:val="20"/>
                <w:szCs w:val="20"/>
                <w:lang w:val="en-GB" w:eastAsia="ja-JP"/>
              </w:rPr>
            </w:pPr>
            <w:r w:rsidRPr="008C192C">
              <w:rPr>
                <w:rFonts w:ascii="Arial Narrow" w:hAnsi="Arial Narrow"/>
                <w:b/>
                <w:bCs/>
                <w:sz w:val="20"/>
                <w:szCs w:val="20"/>
                <w:lang w:val="en-GB" w:eastAsia="ja-JP"/>
              </w:rPr>
              <w:t>Sequence</w:t>
            </w:r>
          </w:p>
        </w:tc>
        <w:tc>
          <w:tcPr>
            <w:tcW w:w="2977" w:type="dxa"/>
            <w:vAlign w:val="center"/>
          </w:tcPr>
          <w:p w14:paraId="5E4AA5DF" w14:textId="5927BCBC" w:rsidR="000628E9" w:rsidRPr="008C192C" w:rsidRDefault="000628E9" w:rsidP="00B414AE">
            <w:pPr>
              <w:keepNext/>
              <w:spacing w:before="40" w:after="40" w:line="240" w:lineRule="auto"/>
              <w:jc w:val="center"/>
              <w:rPr>
                <w:rFonts w:ascii="Arial Narrow" w:hAnsi="Arial Narrow"/>
                <w:b/>
                <w:bCs/>
                <w:sz w:val="20"/>
                <w:szCs w:val="20"/>
                <w:lang w:val="en-GB" w:eastAsia="ja-JP"/>
              </w:rPr>
            </w:pPr>
            <w:r w:rsidRPr="008C192C">
              <w:rPr>
                <w:rFonts w:ascii="Arial Narrow" w:hAnsi="Arial Narrow"/>
                <w:b/>
                <w:bCs/>
                <w:sz w:val="20"/>
                <w:szCs w:val="20"/>
                <w:lang w:val="en-GB" w:eastAsia="ja-JP"/>
              </w:rPr>
              <w:t>Standard Protocol</w:t>
            </w:r>
          </w:p>
        </w:tc>
        <w:tc>
          <w:tcPr>
            <w:tcW w:w="2835" w:type="dxa"/>
            <w:vAlign w:val="center"/>
          </w:tcPr>
          <w:p w14:paraId="70CA35FF" w14:textId="36FBCB69" w:rsidR="000628E9" w:rsidRPr="008C192C" w:rsidRDefault="000628E9" w:rsidP="00B414AE">
            <w:pPr>
              <w:keepNext/>
              <w:spacing w:before="40" w:after="40" w:line="240" w:lineRule="auto"/>
              <w:jc w:val="center"/>
              <w:rPr>
                <w:rFonts w:ascii="Arial Narrow" w:hAnsi="Arial Narrow"/>
                <w:b/>
                <w:bCs/>
                <w:sz w:val="20"/>
                <w:szCs w:val="20"/>
                <w:lang w:val="en-GB" w:eastAsia="ja-JP"/>
              </w:rPr>
            </w:pPr>
            <w:r w:rsidRPr="008C192C">
              <w:rPr>
                <w:rFonts w:ascii="Arial Narrow" w:hAnsi="Arial Narrow"/>
                <w:b/>
                <w:bCs/>
                <w:sz w:val="20"/>
                <w:szCs w:val="20"/>
                <w:lang w:val="en-GB" w:eastAsia="ja-JP"/>
              </w:rPr>
              <w:t>Optional Consideration</w:t>
            </w:r>
          </w:p>
        </w:tc>
        <w:tc>
          <w:tcPr>
            <w:tcW w:w="1779" w:type="dxa"/>
          </w:tcPr>
          <w:p w14:paraId="18867D9C" w14:textId="6DB9E95E" w:rsidR="000628E9" w:rsidRPr="008C192C" w:rsidRDefault="000628E9" w:rsidP="00B414AE">
            <w:pPr>
              <w:keepNext/>
              <w:spacing w:before="40" w:after="40" w:line="240" w:lineRule="auto"/>
              <w:jc w:val="center"/>
              <w:rPr>
                <w:rFonts w:ascii="Arial Narrow" w:hAnsi="Arial Narrow"/>
                <w:b/>
                <w:bCs/>
                <w:sz w:val="20"/>
                <w:szCs w:val="20"/>
                <w:lang w:val="en-GB" w:eastAsia="ja-JP"/>
              </w:rPr>
            </w:pPr>
            <w:r w:rsidRPr="008C192C">
              <w:rPr>
                <w:rFonts w:ascii="Arial Narrow" w:hAnsi="Arial Narrow"/>
                <w:b/>
                <w:bCs/>
                <w:sz w:val="20"/>
                <w:szCs w:val="20"/>
                <w:lang w:val="en-GB" w:eastAsia="ja-JP"/>
              </w:rPr>
              <w:t>Acquisition Mode</w:t>
            </w:r>
          </w:p>
        </w:tc>
      </w:tr>
      <w:tr w:rsidR="000628E9" w:rsidRPr="000628E9" w14:paraId="43CB4BC2" w14:textId="77777777" w:rsidTr="00B414AE">
        <w:tc>
          <w:tcPr>
            <w:tcW w:w="1980" w:type="dxa"/>
          </w:tcPr>
          <w:p w14:paraId="54D39687" w14:textId="7860C1CC" w:rsidR="000628E9" w:rsidRPr="000628E9" w:rsidRDefault="000628E9"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T1-weighted whole body</w:t>
            </w:r>
          </w:p>
        </w:tc>
        <w:tc>
          <w:tcPr>
            <w:tcW w:w="2977" w:type="dxa"/>
          </w:tcPr>
          <w:p w14:paraId="66DA3EC0" w14:textId="77777777" w:rsidR="000628E9" w:rsidRDefault="000628E9"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3D gradient-echo (including Dixon technique), 2D gradient-echo or 3D fast spin-echo T1-weighted</w:t>
            </w:r>
          </w:p>
          <w:p w14:paraId="5442A0AC" w14:textId="0C01D2D7" w:rsidR="000628E9" w:rsidRPr="000628E9" w:rsidRDefault="000628E9"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Axial imaging preferred with maximum section thickness of 5-7mm</w:t>
            </w:r>
          </w:p>
        </w:tc>
        <w:tc>
          <w:tcPr>
            <w:tcW w:w="2835" w:type="dxa"/>
          </w:tcPr>
          <w:p w14:paraId="1B1AB8FC" w14:textId="17A36639" w:rsidR="000628E9" w:rsidRPr="000628E9" w:rsidRDefault="000628E9"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Supplemental coronal or axial T1-weighted imaging</w:t>
            </w:r>
          </w:p>
        </w:tc>
        <w:tc>
          <w:tcPr>
            <w:tcW w:w="1779" w:type="dxa"/>
          </w:tcPr>
          <w:p w14:paraId="6B374E7F" w14:textId="42DABDF7" w:rsidR="000628E9" w:rsidRPr="000628E9" w:rsidRDefault="000628E9" w:rsidP="00B414AE">
            <w:pPr>
              <w:keepNext/>
              <w:spacing w:before="40" w:after="40" w:line="240" w:lineRule="auto"/>
              <w:jc w:val="center"/>
              <w:rPr>
                <w:rFonts w:ascii="Arial Narrow" w:hAnsi="Arial Narrow"/>
                <w:sz w:val="20"/>
                <w:szCs w:val="20"/>
                <w:lang w:val="en-GB" w:eastAsia="ja-JP"/>
              </w:rPr>
            </w:pPr>
            <w:r>
              <w:rPr>
                <w:rFonts w:ascii="Arial Narrow" w:hAnsi="Arial Narrow"/>
                <w:sz w:val="20"/>
                <w:szCs w:val="20"/>
                <w:lang w:val="en-GB" w:eastAsia="ja-JP"/>
              </w:rPr>
              <w:t>Breath-hold</w:t>
            </w:r>
          </w:p>
        </w:tc>
      </w:tr>
      <w:tr w:rsidR="000628E9" w:rsidRPr="000628E9" w14:paraId="139F15FE" w14:textId="77777777" w:rsidTr="00B414AE">
        <w:tc>
          <w:tcPr>
            <w:tcW w:w="1980" w:type="dxa"/>
          </w:tcPr>
          <w:p w14:paraId="6926216C" w14:textId="512A962F" w:rsidR="000628E9" w:rsidRPr="000628E9" w:rsidRDefault="000628E9"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T2-weighted whole body</w:t>
            </w:r>
          </w:p>
        </w:tc>
        <w:tc>
          <w:tcPr>
            <w:tcW w:w="2977" w:type="dxa"/>
          </w:tcPr>
          <w:p w14:paraId="76DD252A" w14:textId="77777777" w:rsidR="000628E9" w:rsidRPr="000628E9" w:rsidRDefault="000628E9" w:rsidP="008C192C">
            <w:pPr>
              <w:keepNext/>
              <w:spacing w:before="40" w:after="40" w:line="240" w:lineRule="auto"/>
              <w:rPr>
                <w:rFonts w:ascii="Arial Narrow" w:hAnsi="Arial Narrow"/>
                <w:sz w:val="20"/>
                <w:szCs w:val="20"/>
                <w:lang w:val="en-GB" w:eastAsia="ja-JP"/>
              </w:rPr>
            </w:pPr>
          </w:p>
        </w:tc>
        <w:tc>
          <w:tcPr>
            <w:tcW w:w="2835" w:type="dxa"/>
          </w:tcPr>
          <w:p w14:paraId="1CE7C2E8" w14:textId="5509CB3F" w:rsidR="000628E9" w:rsidRPr="000628E9" w:rsidRDefault="000628E9"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Turbo spin-echo HASTE with or without fast suppression with maximum 5- to7-mm section thickness matched to T1-weighted imaging</w:t>
            </w:r>
          </w:p>
        </w:tc>
        <w:tc>
          <w:tcPr>
            <w:tcW w:w="1779" w:type="dxa"/>
          </w:tcPr>
          <w:p w14:paraId="022D017F" w14:textId="3B4D139C" w:rsidR="000628E9" w:rsidRPr="000628E9" w:rsidRDefault="000628E9" w:rsidP="00B414AE">
            <w:pPr>
              <w:keepNext/>
              <w:spacing w:before="40" w:after="40" w:line="240" w:lineRule="auto"/>
              <w:jc w:val="center"/>
              <w:rPr>
                <w:rFonts w:ascii="Arial Narrow" w:hAnsi="Arial Narrow"/>
                <w:sz w:val="20"/>
                <w:szCs w:val="20"/>
                <w:lang w:val="en-GB" w:eastAsia="ja-JP"/>
              </w:rPr>
            </w:pPr>
            <w:r>
              <w:rPr>
                <w:rFonts w:ascii="Arial Narrow" w:hAnsi="Arial Narrow"/>
                <w:sz w:val="20"/>
                <w:szCs w:val="20"/>
                <w:lang w:val="en-GB" w:eastAsia="ja-JP"/>
              </w:rPr>
              <w:t>Free breathing (respiratory triggered)</w:t>
            </w:r>
          </w:p>
        </w:tc>
      </w:tr>
      <w:tr w:rsidR="000628E9" w:rsidRPr="000628E9" w14:paraId="03F812E1" w14:textId="77777777" w:rsidTr="00B414AE">
        <w:tc>
          <w:tcPr>
            <w:tcW w:w="1980" w:type="dxa"/>
          </w:tcPr>
          <w:p w14:paraId="591B753C" w14:textId="66BC1352" w:rsidR="000628E9" w:rsidRPr="000628E9" w:rsidRDefault="000628E9"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Whole body DWI</w:t>
            </w:r>
          </w:p>
        </w:tc>
        <w:tc>
          <w:tcPr>
            <w:tcW w:w="2977" w:type="dxa"/>
          </w:tcPr>
          <w:p w14:paraId="54478F62" w14:textId="77777777" w:rsidR="000628E9"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Axial projection with STIR fat suppression, 5- to7-mm section thickness matched to T1- and T2-weighted imaging</w:t>
            </w:r>
          </w:p>
          <w:p w14:paraId="070D5146" w14:textId="77777777" w:rsidR="008C192C"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2 b values (50-100 s/mm</w:t>
            </w:r>
            <w:r>
              <w:rPr>
                <w:rFonts w:ascii="Arial Narrow" w:hAnsi="Arial Narrow"/>
                <w:sz w:val="20"/>
                <w:szCs w:val="20"/>
                <w:vertAlign w:val="superscript"/>
                <w:lang w:val="en-GB" w:eastAsia="ja-JP"/>
              </w:rPr>
              <w:t>2</w:t>
            </w:r>
            <w:r>
              <w:rPr>
                <w:rFonts w:ascii="Arial Narrow" w:hAnsi="Arial Narrow"/>
                <w:sz w:val="20"/>
                <w:szCs w:val="20"/>
                <w:lang w:val="en-GB" w:eastAsia="ja-JP"/>
              </w:rPr>
              <w:t>, 600-1000 s/mm</w:t>
            </w:r>
            <w:r>
              <w:rPr>
                <w:rFonts w:ascii="Arial Narrow" w:hAnsi="Arial Narrow"/>
                <w:sz w:val="20"/>
                <w:szCs w:val="20"/>
                <w:vertAlign w:val="superscript"/>
                <w:lang w:val="en-GB" w:eastAsia="ja-JP"/>
              </w:rPr>
              <w:t>2</w:t>
            </w:r>
            <w:r>
              <w:rPr>
                <w:rFonts w:ascii="Arial Narrow" w:hAnsi="Arial Narrow"/>
                <w:sz w:val="20"/>
                <w:szCs w:val="20"/>
                <w:lang w:val="en-GB" w:eastAsia="ja-JP"/>
              </w:rPr>
              <w:t>)</w:t>
            </w:r>
          </w:p>
          <w:p w14:paraId="0D6D65FA" w14:textId="63574488" w:rsidR="008C192C" w:rsidRPr="008C192C"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 xml:space="preserve">Highest b value multiplanar reformats and 3D </w:t>
            </w:r>
            <w:r w:rsidR="00066A26">
              <w:rPr>
                <w:rFonts w:ascii="Arial Narrow" w:hAnsi="Arial Narrow"/>
                <w:sz w:val="20"/>
                <w:szCs w:val="20"/>
                <w:lang w:val="en-GB" w:eastAsia="ja-JP"/>
              </w:rPr>
              <w:t>maximum</w:t>
            </w:r>
            <w:r>
              <w:rPr>
                <w:rFonts w:ascii="Arial Narrow" w:hAnsi="Arial Narrow"/>
                <w:sz w:val="20"/>
                <w:szCs w:val="20"/>
                <w:lang w:val="en-GB" w:eastAsia="ja-JP"/>
              </w:rPr>
              <w:t>-intensity-projection reconstructions</w:t>
            </w:r>
          </w:p>
        </w:tc>
        <w:tc>
          <w:tcPr>
            <w:tcW w:w="2835" w:type="dxa"/>
          </w:tcPr>
          <w:p w14:paraId="38EDDFDE" w14:textId="77777777" w:rsidR="000628E9" w:rsidRPr="000628E9" w:rsidRDefault="000628E9" w:rsidP="008C192C">
            <w:pPr>
              <w:keepNext/>
              <w:spacing w:before="40" w:after="40" w:line="240" w:lineRule="auto"/>
              <w:rPr>
                <w:rFonts w:ascii="Arial Narrow" w:hAnsi="Arial Narrow"/>
                <w:sz w:val="20"/>
                <w:szCs w:val="20"/>
                <w:lang w:val="en-GB" w:eastAsia="ja-JP"/>
              </w:rPr>
            </w:pPr>
          </w:p>
        </w:tc>
        <w:tc>
          <w:tcPr>
            <w:tcW w:w="1779" w:type="dxa"/>
          </w:tcPr>
          <w:p w14:paraId="18B21C65" w14:textId="1C4E96C0" w:rsidR="000628E9" w:rsidRPr="000628E9" w:rsidRDefault="008C192C" w:rsidP="00B414AE">
            <w:pPr>
              <w:keepNext/>
              <w:spacing w:before="40" w:after="40" w:line="240" w:lineRule="auto"/>
              <w:jc w:val="center"/>
              <w:rPr>
                <w:rFonts w:ascii="Arial Narrow" w:hAnsi="Arial Narrow"/>
                <w:sz w:val="20"/>
                <w:szCs w:val="20"/>
                <w:lang w:val="en-GB" w:eastAsia="ja-JP"/>
              </w:rPr>
            </w:pPr>
            <w:r>
              <w:rPr>
                <w:rFonts w:ascii="Arial Narrow" w:hAnsi="Arial Narrow"/>
                <w:sz w:val="20"/>
                <w:szCs w:val="20"/>
                <w:lang w:val="en-GB" w:eastAsia="ja-JP"/>
              </w:rPr>
              <w:t>Free breathing</w:t>
            </w:r>
          </w:p>
        </w:tc>
      </w:tr>
      <w:tr w:rsidR="008C192C" w:rsidRPr="000628E9" w14:paraId="20DBD2F4" w14:textId="77777777" w:rsidTr="00B414AE">
        <w:tc>
          <w:tcPr>
            <w:tcW w:w="1980" w:type="dxa"/>
          </w:tcPr>
          <w:p w14:paraId="5EF90074" w14:textId="4D990360" w:rsidR="008C192C" w:rsidRPr="000628E9"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Whole-spine sagittal T1-weighted</w:t>
            </w:r>
          </w:p>
        </w:tc>
        <w:tc>
          <w:tcPr>
            <w:tcW w:w="2977" w:type="dxa"/>
          </w:tcPr>
          <w:p w14:paraId="11933D42" w14:textId="77777777" w:rsidR="008C192C" w:rsidRPr="000628E9" w:rsidRDefault="008C192C" w:rsidP="008C192C">
            <w:pPr>
              <w:keepNext/>
              <w:spacing w:before="40" w:after="40" w:line="240" w:lineRule="auto"/>
              <w:rPr>
                <w:rFonts w:ascii="Arial Narrow" w:hAnsi="Arial Narrow"/>
                <w:sz w:val="20"/>
                <w:szCs w:val="20"/>
                <w:lang w:val="en-GB" w:eastAsia="ja-JP"/>
              </w:rPr>
            </w:pPr>
          </w:p>
        </w:tc>
        <w:tc>
          <w:tcPr>
            <w:tcW w:w="2835" w:type="dxa"/>
          </w:tcPr>
          <w:p w14:paraId="793BE12F" w14:textId="77777777" w:rsidR="008C192C"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T1-weighted turbo spin-echo</w:t>
            </w:r>
          </w:p>
          <w:p w14:paraId="58A1BBA8" w14:textId="124CB94F" w:rsidR="008C192C" w:rsidRPr="000628E9"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4- to 5-mm section thickness for evaluating bone disease</w:t>
            </w:r>
          </w:p>
        </w:tc>
        <w:tc>
          <w:tcPr>
            <w:tcW w:w="1779" w:type="dxa"/>
          </w:tcPr>
          <w:p w14:paraId="4FA8FC17" w14:textId="05E22F98" w:rsidR="008C192C" w:rsidRPr="000628E9" w:rsidRDefault="008C192C" w:rsidP="00B414AE">
            <w:pPr>
              <w:keepNext/>
              <w:spacing w:before="40" w:after="40" w:line="240" w:lineRule="auto"/>
              <w:jc w:val="center"/>
              <w:rPr>
                <w:rFonts w:ascii="Arial Narrow" w:hAnsi="Arial Narrow"/>
                <w:sz w:val="20"/>
                <w:szCs w:val="20"/>
                <w:lang w:val="en-GB" w:eastAsia="ja-JP"/>
              </w:rPr>
            </w:pPr>
            <w:r>
              <w:rPr>
                <w:rFonts w:ascii="Arial Narrow" w:hAnsi="Arial Narrow"/>
                <w:sz w:val="20"/>
                <w:szCs w:val="20"/>
                <w:lang w:val="en-GB" w:eastAsia="ja-JP"/>
              </w:rPr>
              <w:t>Free breathing</w:t>
            </w:r>
          </w:p>
        </w:tc>
      </w:tr>
      <w:tr w:rsidR="008C192C" w:rsidRPr="000628E9" w14:paraId="13AD87D9" w14:textId="77777777" w:rsidTr="00B414AE">
        <w:tc>
          <w:tcPr>
            <w:tcW w:w="1980" w:type="dxa"/>
          </w:tcPr>
          <w:p w14:paraId="2C3890E4" w14:textId="4469414C" w:rsidR="008C192C" w:rsidRPr="000628E9"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Whole-spine sagittal T2-weighted or STIR</w:t>
            </w:r>
          </w:p>
        </w:tc>
        <w:tc>
          <w:tcPr>
            <w:tcW w:w="2977" w:type="dxa"/>
          </w:tcPr>
          <w:p w14:paraId="111B41CA" w14:textId="77777777" w:rsidR="008C192C" w:rsidRPr="000628E9" w:rsidRDefault="008C192C" w:rsidP="008C192C">
            <w:pPr>
              <w:keepNext/>
              <w:spacing w:before="40" w:after="40" w:line="240" w:lineRule="auto"/>
              <w:rPr>
                <w:rFonts w:ascii="Arial Narrow" w:hAnsi="Arial Narrow"/>
                <w:sz w:val="20"/>
                <w:szCs w:val="20"/>
                <w:lang w:val="en-GB" w:eastAsia="ja-JP"/>
              </w:rPr>
            </w:pPr>
          </w:p>
        </w:tc>
        <w:tc>
          <w:tcPr>
            <w:tcW w:w="2835" w:type="dxa"/>
          </w:tcPr>
          <w:p w14:paraId="6A0578B3" w14:textId="77777777" w:rsidR="008C192C"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T2-weighted with or without fat suppression</w:t>
            </w:r>
          </w:p>
          <w:p w14:paraId="5DB79662" w14:textId="2C8EF9F0" w:rsidR="008C192C" w:rsidRPr="000628E9" w:rsidRDefault="008C192C" w:rsidP="008C192C">
            <w:pPr>
              <w:keepNext/>
              <w:spacing w:before="40" w:after="40" w:line="240" w:lineRule="auto"/>
              <w:rPr>
                <w:rFonts w:ascii="Arial Narrow" w:hAnsi="Arial Narrow"/>
                <w:sz w:val="20"/>
                <w:szCs w:val="20"/>
                <w:lang w:val="en-GB" w:eastAsia="ja-JP"/>
              </w:rPr>
            </w:pPr>
            <w:r>
              <w:rPr>
                <w:rFonts w:ascii="Arial Narrow" w:hAnsi="Arial Narrow"/>
                <w:sz w:val="20"/>
                <w:szCs w:val="20"/>
                <w:lang w:val="en-GB" w:eastAsia="ja-JP"/>
              </w:rPr>
              <w:t>4- to 5-mm section thickness for evaluating bone disease</w:t>
            </w:r>
          </w:p>
        </w:tc>
        <w:tc>
          <w:tcPr>
            <w:tcW w:w="1779" w:type="dxa"/>
          </w:tcPr>
          <w:p w14:paraId="671109B0" w14:textId="4B7E292C" w:rsidR="008C192C" w:rsidRPr="000628E9" w:rsidRDefault="008C192C" w:rsidP="00B414AE">
            <w:pPr>
              <w:keepNext/>
              <w:spacing w:before="40" w:after="40" w:line="240" w:lineRule="auto"/>
              <w:jc w:val="center"/>
              <w:rPr>
                <w:rFonts w:ascii="Arial Narrow" w:hAnsi="Arial Narrow"/>
                <w:sz w:val="20"/>
                <w:szCs w:val="20"/>
                <w:lang w:val="en-GB" w:eastAsia="ja-JP"/>
              </w:rPr>
            </w:pPr>
            <w:r>
              <w:rPr>
                <w:rFonts w:ascii="Arial Narrow" w:hAnsi="Arial Narrow"/>
                <w:sz w:val="20"/>
                <w:szCs w:val="20"/>
                <w:lang w:val="en-GB" w:eastAsia="ja-JP"/>
              </w:rPr>
              <w:t>Free breathing</w:t>
            </w:r>
          </w:p>
        </w:tc>
      </w:tr>
    </w:tbl>
    <w:p w14:paraId="3C6283FC" w14:textId="1AC7A637" w:rsidR="000628E9" w:rsidRDefault="000628E9" w:rsidP="008C192C">
      <w:pPr>
        <w:keepNext/>
        <w:spacing w:after="0" w:line="240" w:lineRule="auto"/>
        <w:rPr>
          <w:rFonts w:ascii="Arial Narrow" w:hAnsi="Arial Narrow"/>
          <w:sz w:val="18"/>
          <w:szCs w:val="18"/>
          <w:lang w:val="en-GB" w:eastAsia="ja-JP"/>
        </w:rPr>
      </w:pPr>
      <w:r>
        <w:rPr>
          <w:rFonts w:ascii="Arial Narrow" w:hAnsi="Arial Narrow"/>
          <w:sz w:val="18"/>
          <w:szCs w:val="18"/>
          <w:lang w:val="en-GB" w:eastAsia="ja-JP"/>
        </w:rPr>
        <w:t xml:space="preserve">Source: </w:t>
      </w:r>
      <w:r w:rsidR="008C192C">
        <w:rPr>
          <w:rFonts w:ascii="Arial Narrow" w:hAnsi="Arial Narrow"/>
          <w:sz w:val="18"/>
          <w:szCs w:val="18"/>
          <w:lang w:val="en-GB" w:eastAsia="ja-JP"/>
        </w:rPr>
        <w:t>Morone 2017</w:t>
      </w:r>
    </w:p>
    <w:p w14:paraId="78403C9B" w14:textId="6DF8DF63" w:rsidR="008C192C" w:rsidRPr="008C192C" w:rsidRDefault="008C192C" w:rsidP="008C192C">
      <w:pPr>
        <w:keepNext/>
        <w:spacing w:line="240" w:lineRule="auto"/>
        <w:rPr>
          <w:rFonts w:ascii="Arial Narrow" w:hAnsi="Arial Narrow"/>
          <w:sz w:val="18"/>
          <w:szCs w:val="18"/>
          <w:lang w:val="en-GB" w:eastAsia="ja-JP"/>
        </w:rPr>
      </w:pPr>
      <w:r>
        <w:rPr>
          <w:rFonts w:ascii="Arial Narrow" w:hAnsi="Arial Narrow"/>
          <w:sz w:val="18"/>
          <w:szCs w:val="18"/>
          <w:lang w:val="en-GB" w:eastAsia="ja-JP"/>
        </w:rPr>
        <w:t xml:space="preserve">DWI = </w:t>
      </w:r>
      <w:r w:rsidRPr="008C192C">
        <w:rPr>
          <w:rFonts w:ascii="Arial Narrow" w:hAnsi="Arial Narrow"/>
          <w:sz w:val="18"/>
          <w:szCs w:val="18"/>
          <w:lang w:val="en-GB" w:eastAsia="ja-JP"/>
        </w:rPr>
        <w:t>diffusion-weighted imaging; HASTE</w:t>
      </w:r>
      <w:r>
        <w:rPr>
          <w:rFonts w:ascii="Arial Narrow" w:hAnsi="Arial Narrow"/>
          <w:sz w:val="18"/>
          <w:szCs w:val="18"/>
          <w:lang w:val="en-GB" w:eastAsia="ja-JP"/>
        </w:rPr>
        <w:t xml:space="preserve"> =</w:t>
      </w:r>
      <w:r w:rsidRPr="008C192C">
        <w:rPr>
          <w:rFonts w:ascii="Arial Narrow" w:hAnsi="Arial Narrow"/>
          <w:sz w:val="18"/>
          <w:szCs w:val="18"/>
          <w:lang w:val="en-GB" w:eastAsia="ja-JP"/>
        </w:rPr>
        <w:t xml:space="preserve"> half-Fourier-acquired single-shot turbo spin echo; </w:t>
      </w:r>
      <w:r>
        <w:rPr>
          <w:rFonts w:ascii="Arial Narrow" w:hAnsi="Arial Narrow"/>
          <w:sz w:val="18"/>
          <w:szCs w:val="18"/>
          <w:lang w:val="en-GB" w:eastAsia="ja-JP"/>
        </w:rPr>
        <w:t>mm</w:t>
      </w:r>
      <w:r>
        <w:rPr>
          <w:rFonts w:ascii="Arial Narrow" w:hAnsi="Arial Narrow"/>
          <w:sz w:val="18"/>
          <w:szCs w:val="18"/>
          <w:vertAlign w:val="superscript"/>
          <w:lang w:val="en-GB" w:eastAsia="ja-JP"/>
        </w:rPr>
        <w:t>2</w:t>
      </w:r>
      <w:r>
        <w:rPr>
          <w:rFonts w:ascii="Arial Narrow" w:hAnsi="Arial Narrow"/>
          <w:sz w:val="18"/>
          <w:szCs w:val="18"/>
          <w:lang w:val="en-GB" w:eastAsia="ja-JP"/>
        </w:rPr>
        <w:t xml:space="preserve"> = square milllimetre; </w:t>
      </w:r>
      <w:r w:rsidRPr="008C192C">
        <w:rPr>
          <w:rFonts w:ascii="Arial Narrow" w:hAnsi="Arial Narrow"/>
          <w:sz w:val="18"/>
          <w:szCs w:val="18"/>
          <w:lang w:val="en-GB" w:eastAsia="ja-JP"/>
        </w:rPr>
        <w:t>STIR</w:t>
      </w:r>
      <w:r>
        <w:rPr>
          <w:rFonts w:ascii="Arial Narrow" w:hAnsi="Arial Narrow"/>
          <w:sz w:val="18"/>
          <w:szCs w:val="18"/>
          <w:lang w:val="en-GB" w:eastAsia="ja-JP"/>
        </w:rPr>
        <w:t xml:space="preserve"> =</w:t>
      </w:r>
      <w:r w:rsidRPr="008C192C">
        <w:rPr>
          <w:rFonts w:ascii="Arial Narrow" w:hAnsi="Arial Narrow"/>
          <w:sz w:val="18"/>
          <w:szCs w:val="18"/>
          <w:lang w:val="en-GB" w:eastAsia="ja-JP"/>
        </w:rPr>
        <w:t xml:space="preserve"> short-tau inversion recovery</w:t>
      </w:r>
    </w:p>
    <w:p w14:paraId="0E31906F" w14:textId="77777777" w:rsidR="00C3117F" w:rsidRPr="00EA795A" w:rsidRDefault="00C3117F" w:rsidP="00EA795A">
      <w:pPr>
        <w:autoSpaceDE w:val="0"/>
        <w:autoSpaceDN w:val="0"/>
        <w:adjustRightInd w:val="0"/>
        <w:spacing w:line="23" w:lineRule="atLeast"/>
        <w:rPr>
          <w:rFonts w:asciiTheme="minorHAnsi" w:hAnsiTheme="minorHAnsi" w:cstheme="minorHAnsi"/>
          <w:i/>
          <w:iCs/>
        </w:rPr>
      </w:pPr>
      <w:r w:rsidRPr="00EA795A">
        <w:rPr>
          <w:rFonts w:asciiTheme="minorHAnsi" w:hAnsiTheme="minorHAnsi" w:cstheme="minorHAnsi"/>
          <w:i/>
          <w:iCs/>
        </w:rPr>
        <w:t>PASC requested that advice be sought from the Royal Australian and New Zealand College of Radiologists (RANZCR) to define a minimum set of sequences to define an adequate oncologic WBMRI examination.</w:t>
      </w:r>
    </w:p>
    <w:p w14:paraId="020BFB09" w14:textId="55217DBA" w:rsidR="0033321B" w:rsidRPr="00447205" w:rsidRDefault="0033321B" w:rsidP="001B70BD">
      <w:r w:rsidRPr="00447205">
        <w:t>The service would be provided only in the context of a family cancer/genetics clinic, and be ordered by an appropriately trained clinician, expert in the management of hereditary cancers.</w:t>
      </w:r>
    </w:p>
    <w:p w14:paraId="0243F485" w14:textId="5A0EBD0D" w:rsidR="001B70BD" w:rsidRPr="00447205" w:rsidRDefault="001B70BD" w:rsidP="001B70BD">
      <w:r w:rsidRPr="00447205">
        <w:t xml:space="preserve">The </w:t>
      </w:r>
      <w:r w:rsidR="009D2F07" w:rsidRPr="00447205">
        <w:t>a</w:t>
      </w:r>
      <w:r w:rsidRPr="00447205">
        <w:t>pplication state</w:t>
      </w:r>
      <w:r w:rsidR="006558C2">
        <w:t>d</w:t>
      </w:r>
      <w:r w:rsidRPr="00447205">
        <w:t xml:space="preserve"> that according to clinical practice guidelines nationally and internationally, optimal clinical management of individuals with germline pathogenic </w:t>
      </w:r>
      <w:r w:rsidRPr="0038767C">
        <w:rPr>
          <w:i/>
          <w:iCs/>
        </w:rPr>
        <w:t>TP53</w:t>
      </w:r>
      <w:r w:rsidRPr="00447205">
        <w:t xml:space="preserve"> variants now requires consideration of annual WBMRI.</w:t>
      </w:r>
    </w:p>
    <w:p w14:paraId="04085143" w14:textId="0D3CB47B" w:rsidR="001B70BD" w:rsidRPr="00447205" w:rsidRDefault="001B70BD" w:rsidP="001B70BD">
      <w:r w:rsidRPr="00447205">
        <w:t>The eviQ cancer risk management guidelines</w:t>
      </w:r>
      <w:r w:rsidR="0055143C" w:rsidRPr="00447205">
        <w:t xml:space="preserve"> (Kratz 2017)</w:t>
      </w:r>
      <w:r w:rsidRPr="00447205">
        <w:t xml:space="preserve"> for adults with germline </w:t>
      </w:r>
      <w:r w:rsidRPr="0038767C">
        <w:rPr>
          <w:i/>
          <w:iCs/>
        </w:rPr>
        <w:t>TP53</w:t>
      </w:r>
      <w:r w:rsidRPr="00447205">
        <w:t xml:space="preserve"> </w:t>
      </w:r>
      <w:r w:rsidR="00A74BB0">
        <w:t>variants</w:t>
      </w:r>
      <w:r w:rsidRPr="00447205">
        <w:t xml:space="preserve"> currently include the following recommendations:</w:t>
      </w:r>
    </w:p>
    <w:p w14:paraId="4E221AA2" w14:textId="1F125587" w:rsidR="001B70BD" w:rsidRPr="00447205" w:rsidRDefault="001B70BD" w:rsidP="0038767C">
      <w:pPr>
        <w:spacing w:after="0"/>
      </w:pPr>
      <w:r w:rsidRPr="00447205">
        <w:t>1.</w:t>
      </w:r>
      <w:r w:rsidRPr="00447205">
        <w:tab/>
        <w:t>Annual clinical review and physical examination</w:t>
      </w:r>
      <w:r w:rsidR="00150D9B">
        <w:t>.</w:t>
      </w:r>
      <w:r w:rsidRPr="00447205">
        <w:t xml:space="preserve"> </w:t>
      </w:r>
    </w:p>
    <w:p w14:paraId="0D649887" w14:textId="1D67DA76" w:rsidR="001B70BD" w:rsidRPr="00447205" w:rsidRDefault="001B70BD" w:rsidP="0038767C">
      <w:pPr>
        <w:spacing w:after="0"/>
      </w:pPr>
      <w:r w:rsidRPr="00447205">
        <w:t>2.</w:t>
      </w:r>
      <w:r w:rsidRPr="00447205">
        <w:tab/>
        <w:t>Avoid environmental or behavioural risks (sun, smoking, unnecessary radiation exposure)</w:t>
      </w:r>
      <w:r w:rsidR="00150D9B">
        <w:t>.</w:t>
      </w:r>
      <w:r w:rsidRPr="00447205">
        <w:t xml:space="preserve"> </w:t>
      </w:r>
    </w:p>
    <w:p w14:paraId="673C3BDF" w14:textId="3434A01C" w:rsidR="001B70BD" w:rsidRPr="00447205" w:rsidRDefault="001B70BD" w:rsidP="0038767C">
      <w:pPr>
        <w:spacing w:after="0"/>
      </w:pPr>
      <w:r w:rsidRPr="00447205">
        <w:t>3.</w:t>
      </w:r>
      <w:r w:rsidRPr="00447205">
        <w:tab/>
        <w:t>Offer prophylactic mastectomy for women under 50 years</w:t>
      </w:r>
      <w:r w:rsidR="00150D9B">
        <w:t>.</w:t>
      </w:r>
    </w:p>
    <w:p w14:paraId="0CD1C922" w14:textId="61EF1156" w:rsidR="001B70BD" w:rsidRPr="00447205" w:rsidRDefault="001B70BD" w:rsidP="0038767C">
      <w:pPr>
        <w:spacing w:after="0"/>
      </w:pPr>
      <w:r w:rsidRPr="00447205">
        <w:t>4.</w:t>
      </w:r>
      <w:r w:rsidRPr="00447205">
        <w:tab/>
        <w:t>Annual breast MRI from age 20 years</w:t>
      </w:r>
      <w:r w:rsidR="00150D9B">
        <w:t>.</w:t>
      </w:r>
      <w:r w:rsidRPr="00447205">
        <w:t xml:space="preserve"> </w:t>
      </w:r>
    </w:p>
    <w:p w14:paraId="671DDF23" w14:textId="2B78EECE" w:rsidR="001B70BD" w:rsidRPr="00447205" w:rsidRDefault="001B70BD" w:rsidP="0038767C">
      <w:pPr>
        <w:spacing w:after="0"/>
      </w:pPr>
      <w:r w:rsidRPr="00447205">
        <w:t>5.</w:t>
      </w:r>
      <w:r w:rsidRPr="00447205">
        <w:tab/>
        <w:t>Offer risk reducing medication for breast cancer</w:t>
      </w:r>
      <w:r w:rsidR="00150D9B">
        <w:t>.</w:t>
      </w:r>
    </w:p>
    <w:p w14:paraId="00062DFE" w14:textId="596E1127" w:rsidR="001B70BD" w:rsidRPr="00447205" w:rsidRDefault="001B70BD" w:rsidP="0038767C">
      <w:pPr>
        <w:spacing w:after="0"/>
      </w:pPr>
      <w:r w:rsidRPr="00447205">
        <w:t>6.</w:t>
      </w:r>
      <w:r w:rsidRPr="00447205">
        <w:tab/>
        <w:t>Consider 2-5 yearly colonoscopy from age 20 years</w:t>
      </w:r>
      <w:r w:rsidR="00150D9B">
        <w:t>.</w:t>
      </w:r>
    </w:p>
    <w:p w14:paraId="081F0873" w14:textId="6E94E779" w:rsidR="001B70BD" w:rsidRPr="00447205" w:rsidRDefault="001B70BD" w:rsidP="0038767C">
      <w:pPr>
        <w:spacing w:after="0"/>
      </w:pPr>
      <w:r w:rsidRPr="00447205">
        <w:t>7.</w:t>
      </w:r>
      <w:r w:rsidRPr="00447205">
        <w:tab/>
        <w:t>Consider 2-5 yearly endoscopy from age 25 years</w:t>
      </w:r>
      <w:r w:rsidR="00150D9B">
        <w:t>.</w:t>
      </w:r>
    </w:p>
    <w:p w14:paraId="2993C679" w14:textId="6180F2C8" w:rsidR="001B70BD" w:rsidRPr="00447205" w:rsidRDefault="001B70BD" w:rsidP="0038767C">
      <w:pPr>
        <w:spacing w:after="0"/>
      </w:pPr>
      <w:r w:rsidRPr="00447205">
        <w:t>8.</w:t>
      </w:r>
      <w:r w:rsidRPr="00447205">
        <w:tab/>
        <w:t>Consider annual brain MRI</w:t>
      </w:r>
      <w:r w:rsidR="00150D9B">
        <w:t>.</w:t>
      </w:r>
    </w:p>
    <w:p w14:paraId="748BF1EB" w14:textId="2AEEDD2A" w:rsidR="000F1EBF" w:rsidRPr="00BA6F52" w:rsidRDefault="001B70BD" w:rsidP="0038767C">
      <w:r w:rsidRPr="00BA6F52">
        <w:t>9.</w:t>
      </w:r>
      <w:r w:rsidRPr="00BA6F52">
        <w:tab/>
        <w:t>Consider annual WBMRI</w:t>
      </w:r>
      <w:r w:rsidR="00150D9B" w:rsidRPr="00BA6F52">
        <w:t>.</w:t>
      </w:r>
    </w:p>
    <w:p w14:paraId="71E9B653" w14:textId="473621A8" w:rsidR="00247487" w:rsidRDefault="00247487" w:rsidP="000F1EBF">
      <w:r>
        <w:lastRenderedPageBreak/>
        <w:t>Other international guidelines (Daly 2021) also recommend annual WBMRI.</w:t>
      </w:r>
    </w:p>
    <w:p w14:paraId="0BCB83FB" w14:textId="027785FA" w:rsidR="0022307F" w:rsidRDefault="0022307F" w:rsidP="000F1EBF">
      <w:r>
        <w:t>All of the investigative services</w:t>
      </w:r>
      <w:r w:rsidR="006558C2">
        <w:t xml:space="preserve"> recommended by eviQ</w:t>
      </w:r>
      <w:r>
        <w:t>, other than annual WBMRI, are associated with current MBS items.</w:t>
      </w:r>
    </w:p>
    <w:p w14:paraId="5E2DA09E" w14:textId="6CE481D0" w:rsidR="0055143C" w:rsidRDefault="000F1EBF" w:rsidP="000F1EBF">
      <w:r w:rsidRPr="00447205">
        <w:t xml:space="preserve">Standard </w:t>
      </w:r>
      <w:r w:rsidR="00C35B68" w:rsidRPr="00447205">
        <w:t>risk management</w:t>
      </w:r>
      <w:r w:rsidRPr="00447205">
        <w:t xml:space="preserve"> for patients </w:t>
      </w:r>
      <w:r w:rsidR="00D85D6E" w:rsidRPr="00447205">
        <w:t xml:space="preserve">with </w:t>
      </w:r>
      <w:r w:rsidR="00D85D6E" w:rsidRPr="00E6096F">
        <w:rPr>
          <w:i/>
          <w:iCs/>
        </w:rPr>
        <w:t>TP53</w:t>
      </w:r>
      <w:r w:rsidR="00D85D6E" w:rsidRPr="00447205">
        <w:t xml:space="preserve"> </w:t>
      </w:r>
      <w:r w:rsidR="00A74BB0">
        <w:t>variants</w:t>
      </w:r>
      <w:r w:rsidR="00D85D6E" w:rsidRPr="00447205">
        <w:t xml:space="preserve"> is complex, evolving, and patient</w:t>
      </w:r>
      <w:r w:rsidR="0057790B">
        <w:t>-</w:t>
      </w:r>
      <w:r w:rsidR="00D85D6E" w:rsidRPr="00447205">
        <w:t xml:space="preserve">specific. </w:t>
      </w:r>
      <w:r w:rsidR="0055143C" w:rsidRPr="00447205">
        <w:t>Additionall</w:t>
      </w:r>
      <w:r w:rsidR="00D85D6E" w:rsidRPr="00447205">
        <w:t xml:space="preserve">y, there are similar, but not identical, </w:t>
      </w:r>
      <w:r w:rsidR="009D2F07" w:rsidRPr="00447205">
        <w:t>surveillance protocols</w:t>
      </w:r>
      <w:r w:rsidR="00D85D6E" w:rsidRPr="00447205">
        <w:t xml:space="preserve"> available. </w:t>
      </w:r>
      <w:r w:rsidR="007E32DE" w:rsidRPr="00447205">
        <w:t xml:space="preserve">For example, the </w:t>
      </w:r>
      <w:r w:rsidR="00D85D6E" w:rsidRPr="00447205">
        <w:t>E</w:t>
      </w:r>
      <w:r w:rsidR="009D2F07" w:rsidRPr="00447205">
        <w:t>RN GENTURIS surveillance guidelines (Frebourg 2020)</w:t>
      </w:r>
      <w:r w:rsidR="007E32DE" w:rsidRPr="00447205">
        <w:t xml:space="preserve"> only recommend colonoscopy in adults who have received abdominal radiotherapy for the treatment of a previous cancer or if there is a familial history of colorectal tumours suggestive of an increased genetic risk.</w:t>
      </w:r>
    </w:p>
    <w:p w14:paraId="3403A627" w14:textId="1554EC12" w:rsidR="00632B78" w:rsidRDefault="00632B78" w:rsidP="000F1EBF">
      <w:r>
        <w:t xml:space="preserve">WBMRI </w:t>
      </w:r>
      <w:r w:rsidR="0057790B">
        <w:t xml:space="preserve">is proposed to </w:t>
      </w:r>
      <w:r>
        <w:t xml:space="preserve">be conducted in addition to </w:t>
      </w:r>
      <w:r w:rsidR="0022307F">
        <w:t xml:space="preserve">the other nominated investigative services and is not anticipated to replace any. </w:t>
      </w:r>
      <w:r w:rsidR="0022307F" w:rsidRPr="0022307F">
        <w:t xml:space="preserve">The </w:t>
      </w:r>
      <w:r w:rsidR="0022307F">
        <w:t xml:space="preserve">application states that the </w:t>
      </w:r>
      <w:r w:rsidR="0022307F" w:rsidRPr="0022307F">
        <w:t xml:space="preserve">addition of WBMRI to existing management will enable detection of solid cancers (~50% of </w:t>
      </w:r>
      <w:r w:rsidR="0022307F" w:rsidRPr="00E6096F">
        <w:rPr>
          <w:i/>
          <w:iCs/>
        </w:rPr>
        <w:t>TP53</w:t>
      </w:r>
      <w:r w:rsidR="0022307F" w:rsidRPr="0022307F">
        <w:t xml:space="preserve"> cancers) other than breast and brain cancers</w:t>
      </w:r>
      <w:r w:rsidR="0022307F">
        <w:t>.</w:t>
      </w:r>
    </w:p>
    <w:p w14:paraId="11C46F02" w14:textId="456BAAB3" w:rsidR="00C3117F" w:rsidRPr="00FC7D50" w:rsidRDefault="00C3117F" w:rsidP="00FC7D50">
      <w:pPr>
        <w:rPr>
          <w:i/>
          <w:iCs/>
        </w:rPr>
      </w:pPr>
      <w:r w:rsidRPr="00FC7D50">
        <w:rPr>
          <w:i/>
          <w:iCs/>
        </w:rPr>
        <w:t>PASC discussed the consequences of false positive results resulting from non-specific findings from WBMRI. PASC questioned whether RANZCR accreditation for MRI included sufficient experienc</w:t>
      </w:r>
      <w:r w:rsidR="00DE08B1" w:rsidRPr="00FC7D50">
        <w:rPr>
          <w:i/>
          <w:iCs/>
        </w:rPr>
        <w:t>e</w:t>
      </w:r>
      <w:r w:rsidRPr="00FC7D50">
        <w:rPr>
          <w:i/>
          <w:iCs/>
        </w:rPr>
        <w:t xml:space="preserve"> in W</w:t>
      </w:r>
      <w:r w:rsidR="00DE08B1" w:rsidRPr="00FC7D50">
        <w:rPr>
          <w:i/>
          <w:iCs/>
        </w:rPr>
        <w:t>B</w:t>
      </w:r>
      <w:r w:rsidRPr="00FC7D50">
        <w:rPr>
          <w:i/>
          <w:iCs/>
        </w:rPr>
        <w:t>MRI to reduce the likelihood of false positive results.</w:t>
      </w:r>
    </w:p>
    <w:p w14:paraId="7B21F70D" w14:textId="7DEA957C" w:rsidR="00524EF2" w:rsidRDefault="007A66C8" w:rsidP="000D0AA6">
      <w:pPr>
        <w:pStyle w:val="Heading3"/>
      </w:pPr>
      <w:r w:rsidRPr="00447205">
        <w:t>Comparator</w:t>
      </w:r>
    </w:p>
    <w:p w14:paraId="23445F67" w14:textId="6A41D8AB" w:rsidR="001B70BD" w:rsidRPr="00447205" w:rsidRDefault="001B70BD" w:rsidP="00C35B68">
      <w:r w:rsidRPr="00447205">
        <w:t>C</w:t>
      </w:r>
      <w:r w:rsidR="0057790B">
        <w:t>urrent c</w:t>
      </w:r>
      <w:r w:rsidRPr="00447205">
        <w:t xml:space="preserve">ancer risk management in individuals with germline pathogenic </w:t>
      </w:r>
      <w:r w:rsidRPr="00447205">
        <w:rPr>
          <w:i/>
        </w:rPr>
        <w:t>TP53</w:t>
      </w:r>
      <w:r w:rsidRPr="00447205">
        <w:t xml:space="preserve"> variants potentially has multiple components</w:t>
      </w:r>
      <w:r w:rsidR="0057790B">
        <w:t>,</w:t>
      </w:r>
      <w:r w:rsidRPr="00447205">
        <w:t xml:space="preserve"> some of which have MBS items and some of which do not. Clinicians are typically hesitant to recommend risk management options if there is no associated Medicare rebate</w:t>
      </w:r>
      <w:r w:rsidR="0057790B">
        <w:t>,</w:t>
      </w:r>
      <w:r w:rsidRPr="00447205">
        <w:t xml:space="preserve"> which also generally means limited accessibility or unavailability of the risk management option.</w:t>
      </w:r>
    </w:p>
    <w:p w14:paraId="63B2A0C9" w14:textId="0615C444" w:rsidR="001B70BD" w:rsidRPr="00447205" w:rsidRDefault="00C35B68" w:rsidP="007E32DE">
      <w:pPr>
        <w:rPr>
          <w:szCs w:val="20"/>
        </w:rPr>
      </w:pPr>
      <w:r w:rsidRPr="00447205">
        <w:rPr>
          <w:szCs w:val="20"/>
        </w:rPr>
        <w:t xml:space="preserve">The </w:t>
      </w:r>
      <w:r w:rsidR="00DE62FA">
        <w:rPr>
          <w:szCs w:val="20"/>
        </w:rPr>
        <w:t>a</w:t>
      </w:r>
      <w:r w:rsidRPr="00447205">
        <w:rPr>
          <w:szCs w:val="20"/>
        </w:rPr>
        <w:t xml:space="preserve">pplication </w:t>
      </w:r>
      <w:r w:rsidR="00983D97">
        <w:rPr>
          <w:szCs w:val="20"/>
        </w:rPr>
        <w:t>propose</w:t>
      </w:r>
      <w:r w:rsidR="004072B7">
        <w:rPr>
          <w:szCs w:val="20"/>
        </w:rPr>
        <w:t>d</w:t>
      </w:r>
      <w:r w:rsidR="00983D97" w:rsidRPr="00447205">
        <w:rPr>
          <w:szCs w:val="20"/>
        </w:rPr>
        <w:t xml:space="preserve"> </w:t>
      </w:r>
      <w:r w:rsidRPr="00447205">
        <w:rPr>
          <w:szCs w:val="20"/>
        </w:rPr>
        <w:t>that the</w:t>
      </w:r>
      <w:r w:rsidR="001B70BD" w:rsidRPr="00447205">
        <w:rPr>
          <w:szCs w:val="20"/>
        </w:rPr>
        <w:t xml:space="preserve"> appropriate comparator </w:t>
      </w:r>
      <w:r w:rsidR="0057790B">
        <w:rPr>
          <w:szCs w:val="20"/>
        </w:rPr>
        <w:t>is</w:t>
      </w:r>
      <w:r w:rsidR="0057790B" w:rsidRPr="00447205">
        <w:rPr>
          <w:szCs w:val="20"/>
        </w:rPr>
        <w:t xml:space="preserve"> </w:t>
      </w:r>
      <w:r w:rsidR="001B70BD" w:rsidRPr="00447205">
        <w:rPr>
          <w:szCs w:val="20"/>
        </w:rPr>
        <w:t xml:space="preserve">the components of the eviQ risk management guidelines </w:t>
      </w:r>
      <w:r w:rsidR="0057790B">
        <w:rPr>
          <w:szCs w:val="20"/>
        </w:rPr>
        <w:t xml:space="preserve">that are </w:t>
      </w:r>
      <w:r w:rsidR="001B70BD" w:rsidRPr="00447205">
        <w:rPr>
          <w:szCs w:val="20"/>
        </w:rPr>
        <w:t>currently associated with Medicare item numbers</w:t>
      </w:r>
      <w:r w:rsidR="007E32DE" w:rsidRPr="00447205">
        <w:rPr>
          <w:szCs w:val="20"/>
        </w:rPr>
        <w:t xml:space="preserve">. This would include annual physical examination, </w:t>
      </w:r>
      <w:r w:rsidR="0057790B">
        <w:rPr>
          <w:szCs w:val="20"/>
        </w:rPr>
        <w:t xml:space="preserve">annual </w:t>
      </w:r>
      <w:r w:rsidR="007E32DE" w:rsidRPr="00447205">
        <w:rPr>
          <w:szCs w:val="20"/>
        </w:rPr>
        <w:t>breast MRI from age 20 for women, prophylactic mastectomy, annual brain MRI as well as 2-5 yearly colonoscopy from age 20 and 2-5 yearly endoscopy from age 25.</w:t>
      </w:r>
    </w:p>
    <w:p w14:paraId="06A754BF" w14:textId="75F12A67" w:rsidR="007E32DE" w:rsidRPr="00447205" w:rsidRDefault="007E32DE" w:rsidP="007E32DE">
      <w:pPr>
        <w:rPr>
          <w:szCs w:val="20"/>
        </w:rPr>
      </w:pPr>
      <w:r w:rsidRPr="00447205">
        <w:rPr>
          <w:szCs w:val="20"/>
        </w:rPr>
        <w:t>As previously stated, standard risk management is complex, evolving and patient</w:t>
      </w:r>
      <w:r w:rsidR="0057790B">
        <w:rPr>
          <w:szCs w:val="20"/>
        </w:rPr>
        <w:t>-</w:t>
      </w:r>
      <w:r w:rsidRPr="00447205">
        <w:rPr>
          <w:szCs w:val="20"/>
        </w:rPr>
        <w:t>specific.</w:t>
      </w:r>
    </w:p>
    <w:p w14:paraId="361C3DEC" w14:textId="3FF4B6A4" w:rsidR="00BF708C" w:rsidRPr="00BF708C" w:rsidRDefault="00BF708C" w:rsidP="00AF52CF">
      <w:pPr>
        <w:rPr>
          <w:szCs w:val="20"/>
        </w:rPr>
      </w:pPr>
      <w:r>
        <w:rPr>
          <w:szCs w:val="20"/>
        </w:rPr>
        <w:t>The application stated i</w:t>
      </w:r>
      <w:r w:rsidR="001B70BD" w:rsidRPr="00447205">
        <w:rPr>
          <w:szCs w:val="20"/>
        </w:rPr>
        <w:t xml:space="preserve">t is not intended that WBMRI replace any of the eviQ risk management options, because breast and brain MRI requires a dedicated sequence and protocol, WBMRI is not reliable for detection of gastrointestinal </w:t>
      </w:r>
      <w:r w:rsidR="00447205" w:rsidRPr="00447205">
        <w:rPr>
          <w:szCs w:val="20"/>
        </w:rPr>
        <w:t>tumours</w:t>
      </w:r>
      <w:r w:rsidR="001B70BD" w:rsidRPr="00447205">
        <w:rPr>
          <w:szCs w:val="20"/>
        </w:rPr>
        <w:t xml:space="preserve">, and clinical history and examination is required for surveillance of melanoma or other skin cancers. </w:t>
      </w:r>
      <w:r w:rsidR="008E5029">
        <w:rPr>
          <w:szCs w:val="20"/>
        </w:rPr>
        <w:t>The applicant further clarified that “[d]</w:t>
      </w:r>
      <w:r w:rsidR="008E5029" w:rsidRPr="008E5029">
        <w:rPr>
          <w:szCs w:val="20"/>
        </w:rPr>
        <w:t>edicated breast MRI is a diagnostic imaging protocol that commonly scans with section thicknesses no greater than 2.5mm and in-plane pixel size of 1 x 1 mm or lower</w:t>
      </w:r>
      <w:r w:rsidR="008E5029">
        <w:rPr>
          <w:szCs w:val="20"/>
        </w:rPr>
        <w:t xml:space="preserve"> [this differs to the WBMRI protocol described above]</w:t>
      </w:r>
      <w:r w:rsidR="008E5029" w:rsidRPr="008E5029">
        <w:rPr>
          <w:szCs w:val="20"/>
        </w:rPr>
        <w:t>. This ensures fine detail imaging and allows detection of small tumours (&lt;5mm). The situation is similar with dedicated brain MRI</w:t>
      </w:r>
      <w:r w:rsidR="008E5029">
        <w:rPr>
          <w:szCs w:val="20"/>
        </w:rPr>
        <w:t>”. The applicant re-iterated that “[g]</w:t>
      </w:r>
      <w:r w:rsidR="008E5029" w:rsidRPr="008E5029">
        <w:rPr>
          <w:szCs w:val="20"/>
        </w:rPr>
        <w:t xml:space="preserve">iven breast and brain cancers are common in </w:t>
      </w:r>
      <w:r w:rsidR="008E5029" w:rsidRPr="008E5029">
        <w:rPr>
          <w:i/>
          <w:iCs/>
          <w:szCs w:val="20"/>
        </w:rPr>
        <w:t>TP53</w:t>
      </w:r>
      <w:r w:rsidR="008E5029" w:rsidRPr="008E5029">
        <w:rPr>
          <w:szCs w:val="20"/>
        </w:rPr>
        <w:t xml:space="preserve"> variant carriers, the applicant feels retention of individual brain and breast MRIs essential for earliest possible detection of malignancy in these organs.</w:t>
      </w:r>
      <w:r w:rsidR="008E5029">
        <w:rPr>
          <w:szCs w:val="20"/>
        </w:rPr>
        <w:t>”</w:t>
      </w:r>
    </w:p>
    <w:p w14:paraId="27A78F2B" w14:textId="2A0F89EC" w:rsidR="00983D97" w:rsidRDefault="0046402D" w:rsidP="00AF52CF">
      <w:pPr>
        <w:rPr>
          <w:rFonts w:asciiTheme="minorHAnsi" w:hAnsiTheme="minorHAnsi" w:cstheme="minorBidi"/>
          <w:i/>
          <w:iCs/>
        </w:rPr>
      </w:pPr>
      <w:r w:rsidRPr="0046402D">
        <w:rPr>
          <w:rFonts w:asciiTheme="minorHAnsi" w:hAnsiTheme="minorHAnsi" w:cstheme="minorBidi"/>
        </w:rPr>
        <w:t xml:space="preserve">The applicant </w:t>
      </w:r>
      <w:r>
        <w:rPr>
          <w:rFonts w:asciiTheme="minorHAnsi" w:hAnsiTheme="minorHAnsi" w:cstheme="minorBidi"/>
        </w:rPr>
        <w:t xml:space="preserve">further </w:t>
      </w:r>
      <w:r w:rsidRPr="0046402D">
        <w:rPr>
          <w:rFonts w:asciiTheme="minorHAnsi" w:hAnsiTheme="minorHAnsi" w:cstheme="minorBidi"/>
        </w:rPr>
        <w:t>confirm</w:t>
      </w:r>
      <w:r>
        <w:rPr>
          <w:rFonts w:asciiTheme="minorHAnsi" w:hAnsiTheme="minorHAnsi" w:cstheme="minorBidi"/>
        </w:rPr>
        <w:t>ed</w:t>
      </w:r>
      <w:r w:rsidRPr="0046402D">
        <w:rPr>
          <w:rFonts w:asciiTheme="minorHAnsi" w:hAnsiTheme="minorHAnsi" w:cstheme="minorBidi"/>
        </w:rPr>
        <w:t xml:space="preserve"> that funding of WBMRI would not replace (partially or completely) any other investigative tests beyond those defined by eviQ risk management.</w:t>
      </w:r>
    </w:p>
    <w:p w14:paraId="21E06108" w14:textId="27275B1E" w:rsidR="00385470" w:rsidRDefault="00385470" w:rsidP="00AF52CF">
      <w:pPr>
        <w:rPr>
          <w:rFonts w:asciiTheme="minorHAnsi" w:hAnsiTheme="minorHAnsi" w:cstheme="minorBidi"/>
          <w:i/>
          <w:iCs/>
        </w:rPr>
      </w:pPr>
      <w:r>
        <w:rPr>
          <w:rFonts w:asciiTheme="minorHAnsi" w:hAnsiTheme="minorHAnsi" w:cstheme="minorHAnsi"/>
          <w:i/>
          <w:iCs/>
          <w:szCs w:val="24"/>
        </w:rPr>
        <w:t>PASC accepted the nominated comparator</w:t>
      </w:r>
      <w:r w:rsidR="00026862">
        <w:rPr>
          <w:rFonts w:asciiTheme="minorHAnsi" w:hAnsiTheme="minorHAnsi" w:cstheme="minorHAnsi"/>
          <w:i/>
          <w:iCs/>
          <w:szCs w:val="24"/>
        </w:rPr>
        <w:t>, which was standard MBS-funded risk management options</w:t>
      </w:r>
      <w:r>
        <w:rPr>
          <w:rFonts w:asciiTheme="minorHAnsi" w:hAnsiTheme="minorHAnsi" w:cstheme="minorHAnsi"/>
          <w:i/>
          <w:iCs/>
          <w:szCs w:val="24"/>
        </w:rPr>
        <w:t>.</w:t>
      </w:r>
    </w:p>
    <w:p w14:paraId="57B87079" w14:textId="2B75C41D" w:rsidR="00385470" w:rsidRDefault="00677AE3" w:rsidP="000D0AA6">
      <w:pPr>
        <w:pStyle w:val="Heading3"/>
      </w:pPr>
      <w:r w:rsidRPr="00E92706">
        <w:lastRenderedPageBreak/>
        <w:t xml:space="preserve">Reference standard </w:t>
      </w:r>
    </w:p>
    <w:p w14:paraId="6EAB9D9A" w14:textId="312ADC21" w:rsidR="00E92706" w:rsidRDefault="00DE1F56" w:rsidP="00E92706">
      <w:r>
        <w:t>The reference standard for WBMRI is the histopathological diagnosis of cancer</w:t>
      </w:r>
      <w:r w:rsidR="00AF52CF">
        <w:t>.</w:t>
      </w:r>
      <w:r w:rsidR="0046402D">
        <w:t xml:space="preserve"> The applicant expressed agreement with this proposed reference standard, if what was meant was that “</w:t>
      </w:r>
      <w:r w:rsidR="0046402D" w:rsidRPr="0046402D">
        <w:t>identification of cancer by standard approaches, including clinical presentation and subsequent work up leading to a histopathologically confirmed diagnosis of cancer</w:t>
      </w:r>
      <w:r w:rsidR="0046402D">
        <w:t>”.</w:t>
      </w:r>
    </w:p>
    <w:p w14:paraId="1371021E" w14:textId="716AF85C" w:rsidR="00385470" w:rsidRDefault="00385470" w:rsidP="00E92706">
      <w:r>
        <w:rPr>
          <w:rFonts w:asciiTheme="minorHAnsi" w:hAnsiTheme="minorHAnsi" w:cstheme="minorHAnsi"/>
          <w:i/>
          <w:iCs/>
          <w:szCs w:val="24"/>
        </w:rPr>
        <w:t>PASC accepted the nominated reference standard.</w:t>
      </w:r>
    </w:p>
    <w:p w14:paraId="18FFBA55" w14:textId="5FF14EFF" w:rsidR="00C066C5" w:rsidRDefault="007A66C8" w:rsidP="000D0AA6">
      <w:pPr>
        <w:pStyle w:val="Heading3"/>
      </w:pPr>
      <w:r w:rsidRPr="00447205">
        <w:t xml:space="preserve">Outcomes </w:t>
      </w:r>
    </w:p>
    <w:p w14:paraId="508B2826" w14:textId="544BBD12" w:rsidR="001B70BD" w:rsidRPr="00447205" w:rsidRDefault="0055143C" w:rsidP="00E6096F">
      <w:r w:rsidRPr="00447205">
        <w:t xml:space="preserve">The application (and </w:t>
      </w:r>
      <w:r w:rsidR="00447205" w:rsidRPr="00447205">
        <w:t>further</w:t>
      </w:r>
      <w:r w:rsidRPr="00447205">
        <w:t xml:space="preserve"> correspondence from the applicant) states that </w:t>
      </w:r>
      <w:r w:rsidR="0033321B" w:rsidRPr="00447205">
        <w:t>the</w:t>
      </w:r>
      <w:r w:rsidR="001B70BD" w:rsidRPr="00447205">
        <w:t xml:space="preserve"> scan will yield </w:t>
      </w:r>
      <w:r w:rsidR="00787A6E">
        <w:t>three</w:t>
      </w:r>
      <w:r w:rsidR="00787A6E" w:rsidRPr="00447205">
        <w:t xml:space="preserve"> </w:t>
      </w:r>
      <w:r w:rsidR="001B70BD" w:rsidRPr="00447205">
        <w:t>potential outcomes:</w:t>
      </w:r>
    </w:p>
    <w:p w14:paraId="31BAA2D1" w14:textId="77777777" w:rsidR="00787A6E" w:rsidRDefault="008629E0" w:rsidP="00E6096F">
      <w:pPr>
        <w:pStyle w:val="ListParagraph"/>
        <w:numPr>
          <w:ilvl w:val="0"/>
          <w:numId w:val="12"/>
        </w:numPr>
        <w:spacing w:after="0"/>
        <w:ind w:left="284" w:hanging="284"/>
        <w:contextualSpacing w:val="0"/>
      </w:pPr>
      <w:r w:rsidRPr="00447205">
        <w:rPr>
          <w:u w:val="single"/>
        </w:rPr>
        <w:t>No Suspicious lesions</w:t>
      </w:r>
      <w:r w:rsidRPr="00447205">
        <w:t xml:space="preserve"> </w:t>
      </w:r>
    </w:p>
    <w:p w14:paraId="563DFF2B" w14:textId="521F3451" w:rsidR="008629E0" w:rsidRPr="00447205" w:rsidRDefault="008629E0" w:rsidP="00E6096F">
      <w:pPr>
        <w:pStyle w:val="ListParagraph"/>
        <w:ind w:left="284"/>
        <w:contextualSpacing w:val="0"/>
      </w:pPr>
      <w:r w:rsidRPr="00447205">
        <w:t>On expert radiologic review, require</w:t>
      </w:r>
      <w:r w:rsidR="006F10A9">
        <w:t>s</w:t>
      </w:r>
      <w:r w:rsidRPr="00447205">
        <w:t xml:space="preserve"> no further follow up. These include normal or anatomic variations, or obviously or known non-malignant lesions.</w:t>
      </w:r>
    </w:p>
    <w:p w14:paraId="3B98836D" w14:textId="67EEB44D" w:rsidR="00787A6E" w:rsidRDefault="008629E0">
      <w:pPr>
        <w:pStyle w:val="ListParagraph"/>
        <w:numPr>
          <w:ilvl w:val="0"/>
          <w:numId w:val="12"/>
        </w:numPr>
        <w:ind w:left="284" w:hanging="284"/>
      </w:pPr>
      <w:r w:rsidRPr="00447205">
        <w:rPr>
          <w:u w:val="single"/>
        </w:rPr>
        <w:t xml:space="preserve">A lesion </w:t>
      </w:r>
      <w:r w:rsidR="00FB4612">
        <w:rPr>
          <w:u w:val="single"/>
        </w:rPr>
        <w:t>that</w:t>
      </w:r>
      <w:r w:rsidR="00FB4612" w:rsidRPr="00447205">
        <w:rPr>
          <w:u w:val="single"/>
        </w:rPr>
        <w:t xml:space="preserve"> </w:t>
      </w:r>
      <w:r w:rsidRPr="00447205">
        <w:rPr>
          <w:u w:val="single"/>
        </w:rPr>
        <w:t>requires additional imaging or more frequent surveillance</w:t>
      </w:r>
    </w:p>
    <w:p w14:paraId="0AEB19C7" w14:textId="7E62CB7B" w:rsidR="008629E0" w:rsidRPr="00447205" w:rsidRDefault="008629E0" w:rsidP="00E6096F">
      <w:pPr>
        <w:pStyle w:val="ListParagraph"/>
        <w:ind w:left="284"/>
      </w:pPr>
      <w:r w:rsidRPr="00447205">
        <w:t>These include a dedicated scan in 3 months to determine stability or progression, or a test that provides additional information that may help the radiologist determine likely risk. The most commonly performed tests include targeted ultrasound, and targeted MRI with dedicated sequences or contrast. In the Australian cohort of 91 individuals, with a median follow up of 4 years, 63 follow up investigations were performed without need for biopsy. In order of frequency:</w:t>
      </w:r>
    </w:p>
    <w:p w14:paraId="78488E41" w14:textId="10964479" w:rsidR="008629E0" w:rsidRPr="00447205" w:rsidRDefault="008629E0" w:rsidP="00E6096F">
      <w:pPr>
        <w:pStyle w:val="ListParagraph"/>
        <w:numPr>
          <w:ilvl w:val="1"/>
          <w:numId w:val="12"/>
        </w:numPr>
        <w:ind w:left="567" w:hanging="283"/>
      </w:pPr>
      <w:r w:rsidRPr="00447205">
        <w:t>Ultrasound (n=24)</w:t>
      </w:r>
      <w:r w:rsidR="00050C0A">
        <w:t>;</w:t>
      </w:r>
    </w:p>
    <w:p w14:paraId="12863ED7" w14:textId="06628785" w:rsidR="008629E0" w:rsidRPr="00447205" w:rsidRDefault="00FB4612" w:rsidP="00E6096F">
      <w:pPr>
        <w:pStyle w:val="ListParagraph"/>
        <w:numPr>
          <w:ilvl w:val="1"/>
          <w:numId w:val="12"/>
        </w:numPr>
        <w:ind w:left="567" w:hanging="283"/>
      </w:pPr>
      <w:r>
        <w:t>C</w:t>
      </w:r>
      <w:r w:rsidRPr="00FB4612">
        <w:t>omputed tomography</w:t>
      </w:r>
      <w:r>
        <w:t xml:space="preserve"> (</w:t>
      </w:r>
      <w:r w:rsidR="008629E0" w:rsidRPr="00447205">
        <w:t>CT</w:t>
      </w:r>
      <w:r>
        <w:t>)</w:t>
      </w:r>
      <w:r w:rsidR="008629E0" w:rsidRPr="00447205">
        <w:t xml:space="preserve"> (n=20; most commonly chest CT)</w:t>
      </w:r>
      <w:r w:rsidR="00050C0A">
        <w:t>;</w:t>
      </w:r>
    </w:p>
    <w:p w14:paraId="43256EE2" w14:textId="3CA2478A" w:rsidR="008629E0" w:rsidRPr="00447205" w:rsidRDefault="008629E0" w:rsidP="00E6096F">
      <w:pPr>
        <w:pStyle w:val="ListParagraph"/>
        <w:numPr>
          <w:ilvl w:val="1"/>
          <w:numId w:val="12"/>
        </w:numPr>
        <w:ind w:left="567" w:hanging="283"/>
      </w:pPr>
      <w:r w:rsidRPr="00447205">
        <w:t>Dedicated MRI sequences (n=13)</w:t>
      </w:r>
      <w:r w:rsidR="00050C0A">
        <w:t>;</w:t>
      </w:r>
    </w:p>
    <w:p w14:paraId="0E1BB776" w14:textId="6FEB42FA" w:rsidR="008629E0" w:rsidRPr="00447205" w:rsidRDefault="00FB4612" w:rsidP="00E6096F">
      <w:pPr>
        <w:pStyle w:val="ListParagraph"/>
        <w:numPr>
          <w:ilvl w:val="1"/>
          <w:numId w:val="12"/>
        </w:numPr>
        <w:ind w:left="567" w:hanging="283"/>
      </w:pPr>
      <w:r>
        <w:t>P</w:t>
      </w:r>
      <w:r w:rsidRPr="00FB4612">
        <w:t>ositron emission tomography</w:t>
      </w:r>
      <w:r>
        <w:t xml:space="preserve"> (</w:t>
      </w:r>
      <w:r w:rsidR="008629E0" w:rsidRPr="00447205">
        <w:t>PET</w:t>
      </w:r>
      <w:r>
        <w:t>)</w:t>
      </w:r>
      <w:r w:rsidR="008629E0" w:rsidRPr="00447205">
        <w:t xml:space="preserve"> (n=3)</w:t>
      </w:r>
      <w:r w:rsidR="00050C0A">
        <w:t>;</w:t>
      </w:r>
    </w:p>
    <w:p w14:paraId="5859D7CC" w14:textId="4F602809" w:rsidR="008629E0" w:rsidRPr="00447205" w:rsidRDefault="008629E0" w:rsidP="00E6096F">
      <w:pPr>
        <w:pStyle w:val="ListParagraph"/>
        <w:numPr>
          <w:ilvl w:val="1"/>
          <w:numId w:val="12"/>
        </w:numPr>
        <w:ind w:left="567" w:hanging="283"/>
      </w:pPr>
      <w:r w:rsidRPr="00447205">
        <w:t>Endoscopy (n=2)</w:t>
      </w:r>
      <w:r w:rsidR="00050C0A">
        <w:t>; and</w:t>
      </w:r>
    </w:p>
    <w:p w14:paraId="09B89437" w14:textId="77777777" w:rsidR="008629E0" w:rsidRPr="00447205" w:rsidRDefault="008629E0" w:rsidP="00E6096F">
      <w:pPr>
        <w:pStyle w:val="ListParagraph"/>
        <w:numPr>
          <w:ilvl w:val="1"/>
          <w:numId w:val="12"/>
        </w:numPr>
        <w:ind w:left="568" w:hanging="284"/>
        <w:contextualSpacing w:val="0"/>
      </w:pPr>
      <w:r w:rsidRPr="00447205">
        <w:t>Thallium scan (n=1).</w:t>
      </w:r>
    </w:p>
    <w:p w14:paraId="0DD3A3A0" w14:textId="46A49E2A" w:rsidR="001A780C" w:rsidRPr="00447205" w:rsidRDefault="00EB4A08" w:rsidP="00E6096F">
      <w:pPr>
        <w:pStyle w:val="ListParagraph"/>
        <w:numPr>
          <w:ilvl w:val="0"/>
          <w:numId w:val="12"/>
        </w:numPr>
        <w:ind w:left="284" w:hanging="284"/>
        <w:contextualSpacing w:val="0"/>
        <w:rPr>
          <w:u w:val="single"/>
        </w:rPr>
      </w:pPr>
      <w:r w:rsidRPr="00447205">
        <w:rPr>
          <w:u w:val="single"/>
        </w:rPr>
        <w:t>Lesion(s) necessitating biopsy to confirm malignancy</w:t>
      </w:r>
    </w:p>
    <w:p w14:paraId="2F276AD0" w14:textId="0744DFC3" w:rsidR="001B70BD" w:rsidRPr="00447205" w:rsidRDefault="007637C7" w:rsidP="001B70BD">
      <w:r w:rsidRPr="00447205">
        <w:t>I</w:t>
      </w:r>
      <w:r w:rsidR="0033321B" w:rsidRPr="00447205">
        <w:t>n addition to these outcomes</w:t>
      </w:r>
      <w:r w:rsidRPr="00447205">
        <w:t>, an assessment should evaluate comparative outcomes such as:</w:t>
      </w:r>
    </w:p>
    <w:p w14:paraId="553C061D" w14:textId="42EF0CE3" w:rsidR="007637C7" w:rsidRPr="00447205" w:rsidRDefault="007637C7" w:rsidP="00DE62FA">
      <w:pPr>
        <w:pStyle w:val="ListParagraph"/>
        <w:numPr>
          <w:ilvl w:val="0"/>
          <w:numId w:val="11"/>
        </w:numPr>
        <w:ind w:left="284" w:hanging="284"/>
      </w:pPr>
      <w:r w:rsidRPr="00447205">
        <w:t>Overall survival</w:t>
      </w:r>
      <w:r w:rsidR="00787A6E">
        <w:t>;</w:t>
      </w:r>
    </w:p>
    <w:p w14:paraId="24502A93" w14:textId="6D972BB6" w:rsidR="007637C7" w:rsidRDefault="007637C7">
      <w:pPr>
        <w:pStyle w:val="ListParagraph"/>
        <w:numPr>
          <w:ilvl w:val="0"/>
          <w:numId w:val="11"/>
        </w:numPr>
        <w:ind w:left="284" w:hanging="284"/>
      </w:pPr>
      <w:r w:rsidRPr="00447205">
        <w:t>Cancers detected</w:t>
      </w:r>
      <w:r w:rsidR="00787A6E">
        <w:t>;</w:t>
      </w:r>
    </w:p>
    <w:p w14:paraId="5B74CE8A" w14:textId="43A7999A" w:rsidR="0046402D" w:rsidRPr="00C066C5" w:rsidRDefault="0046402D">
      <w:pPr>
        <w:pStyle w:val="ListParagraph"/>
        <w:numPr>
          <w:ilvl w:val="0"/>
          <w:numId w:val="11"/>
        </w:numPr>
        <w:ind w:left="284" w:hanging="284"/>
        <w:rPr>
          <w:i/>
          <w:iCs/>
        </w:rPr>
      </w:pPr>
      <w:r w:rsidRPr="00C066C5">
        <w:rPr>
          <w:i/>
          <w:iCs/>
        </w:rPr>
        <w:t>Cancers detected at a curable stage;</w:t>
      </w:r>
    </w:p>
    <w:p w14:paraId="78861F1E" w14:textId="5A44FF3A" w:rsidR="007637C7" w:rsidRPr="00447205" w:rsidRDefault="007637C7" w:rsidP="00E6096F">
      <w:pPr>
        <w:pStyle w:val="ListParagraph"/>
        <w:numPr>
          <w:ilvl w:val="0"/>
          <w:numId w:val="11"/>
        </w:numPr>
        <w:ind w:left="284" w:hanging="284"/>
      </w:pPr>
      <w:r w:rsidRPr="00447205">
        <w:t>False positives, false negatives, estimates of diagnostic accuracy including</w:t>
      </w:r>
      <w:r w:rsidR="001A780C" w:rsidRPr="00447205">
        <w:t xml:space="preserve"> </w:t>
      </w:r>
      <w:r w:rsidRPr="00447205">
        <w:t>sensitivity, specificity</w:t>
      </w:r>
      <w:r w:rsidR="00787A6E">
        <w:t>;</w:t>
      </w:r>
    </w:p>
    <w:p w14:paraId="78D29645" w14:textId="6093D5C3" w:rsidR="00050C0A" w:rsidRDefault="00050C0A" w:rsidP="00050C0A">
      <w:pPr>
        <w:pStyle w:val="ListParagraph"/>
        <w:numPr>
          <w:ilvl w:val="0"/>
          <w:numId w:val="11"/>
        </w:numPr>
        <w:ind w:left="284" w:hanging="284"/>
      </w:pPr>
      <w:r>
        <w:t>Time to cancer diagnosis;</w:t>
      </w:r>
    </w:p>
    <w:p w14:paraId="227C952D" w14:textId="764F0FB0" w:rsidR="00985F2C" w:rsidRPr="00447205" w:rsidRDefault="00985F2C" w:rsidP="00050C0A">
      <w:pPr>
        <w:pStyle w:val="ListParagraph"/>
        <w:numPr>
          <w:ilvl w:val="0"/>
          <w:numId w:val="11"/>
        </w:numPr>
        <w:ind w:left="284" w:hanging="284"/>
      </w:pPr>
      <w:r>
        <w:t>Changes in clinical management (e.g., changes to frequency of additional imaging or surveillance, biopsy, treatment);</w:t>
      </w:r>
    </w:p>
    <w:p w14:paraId="21505E2E" w14:textId="39960430" w:rsidR="007637C7" w:rsidRPr="00447205" w:rsidRDefault="007637C7" w:rsidP="00E6096F">
      <w:pPr>
        <w:pStyle w:val="ListParagraph"/>
        <w:numPr>
          <w:ilvl w:val="0"/>
          <w:numId w:val="11"/>
        </w:numPr>
        <w:ind w:left="284" w:hanging="284"/>
      </w:pPr>
      <w:r w:rsidRPr="00447205">
        <w:t>Adverse events</w:t>
      </w:r>
      <w:r w:rsidR="00985F2C">
        <w:t xml:space="preserve"> (of WBMRI</w:t>
      </w:r>
      <w:r w:rsidR="00341D47">
        <w:t>, changes in clinical management</w:t>
      </w:r>
      <w:r w:rsidR="00985F2C">
        <w:t xml:space="preserve"> and subsequent treatment)</w:t>
      </w:r>
      <w:r w:rsidR="00787A6E">
        <w:t>;</w:t>
      </w:r>
      <w:r w:rsidRPr="00447205">
        <w:t xml:space="preserve"> </w:t>
      </w:r>
    </w:p>
    <w:p w14:paraId="51971850" w14:textId="3E7FAC12" w:rsidR="007637C7" w:rsidRDefault="007637C7" w:rsidP="00E6096F">
      <w:pPr>
        <w:pStyle w:val="ListParagraph"/>
        <w:numPr>
          <w:ilvl w:val="0"/>
          <w:numId w:val="11"/>
        </w:numPr>
        <w:ind w:left="284" w:hanging="284"/>
      </w:pPr>
      <w:r w:rsidRPr="00447205">
        <w:t>Health related quality of life outcomes</w:t>
      </w:r>
      <w:r w:rsidR="0046402D">
        <w:t xml:space="preserve"> </w:t>
      </w:r>
      <w:r w:rsidR="0046402D" w:rsidRPr="0046402D">
        <w:rPr>
          <w:i/>
          <w:iCs/>
        </w:rPr>
        <w:t>(</w:t>
      </w:r>
      <w:r w:rsidR="0046402D">
        <w:rPr>
          <w:i/>
          <w:iCs/>
        </w:rPr>
        <w:t xml:space="preserve">PASC considered that health related quality of life outcomes should </w:t>
      </w:r>
      <w:r w:rsidR="0046402D" w:rsidRPr="0046402D">
        <w:rPr>
          <w:i/>
          <w:iCs/>
        </w:rPr>
        <w:t>includ</w:t>
      </w:r>
      <w:r w:rsidR="0046402D">
        <w:rPr>
          <w:i/>
          <w:iCs/>
        </w:rPr>
        <w:t>e</w:t>
      </w:r>
      <w:r w:rsidR="0046402D" w:rsidRPr="0046402D">
        <w:rPr>
          <w:i/>
          <w:iCs/>
        </w:rPr>
        <w:t xml:space="preserve"> psychosocial impact and value of knowing)</w:t>
      </w:r>
      <w:r w:rsidR="00787A6E">
        <w:t>;</w:t>
      </w:r>
    </w:p>
    <w:p w14:paraId="42F90ED2" w14:textId="3714D179" w:rsidR="006F3C2D" w:rsidRPr="00447205" w:rsidRDefault="006F3C2D" w:rsidP="00E6096F">
      <w:pPr>
        <w:pStyle w:val="ListParagraph"/>
        <w:numPr>
          <w:ilvl w:val="0"/>
          <w:numId w:val="11"/>
        </w:numPr>
        <w:ind w:left="284" w:hanging="284"/>
      </w:pPr>
      <w:r>
        <w:rPr>
          <w:i/>
          <w:iCs/>
        </w:rPr>
        <w:t>Cost-effectiveness;</w:t>
      </w:r>
    </w:p>
    <w:p w14:paraId="19AF0B79" w14:textId="4DC00465" w:rsidR="007637C7" w:rsidRPr="00447205" w:rsidRDefault="007637C7" w:rsidP="00E6096F">
      <w:pPr>
        <w:pStyle w:val="ListParagraph"/>
        <w:numPr>
          <w:ilvl w:val="0"/>
          <w:numId w:val="11"/>
        </w:numPr>
        <w:ind w:left="284" w:hanging="284"/>
      </w:pPr>
      <w:r w:rsidRPr="00447205">
        <w:t>Health care resource use</w:t>
      </w:r>
      <w:r w:rsidR="00787A6E">
        <w:t>; and</w:t>
      </w:r>
    </w:p>
    <w:p w14:paraId="5E6BF321" w14:textId="78A148A2" w:rsidR="007637C7" w:rsidRPr="00447205" w:rsidRDefault="007637C7" w:rsidP="00E6096F">
      <w:pPr>
        <w:pStyle w:val="ListParagraph"/>
        <w:numPr>
          <w:ilvl w:val="0"/>
          <w:numId w:val="11"/>
        </w:numPr>
        <w:ind w:left="284" w:hanging="284"/>
      </w:pPr>
      <w:r w:rsidRPr="00447205">
        <w:t>Financial impact.</w:t>
      </w:r>
    </w:p>
    <w:p w14:paraId="32A0F46B" w14:textId="5E6C5AAC" w:rsidR="00804C28" w:rsidRDefault="0046402D" w:rsidP="00D85D6E">
      <w:r>
        <w:lastRenderedPageBreak/>
        <w:t>The applicant stated that “[d]</w:t>
      </w:r>
      <w:r w:rsidRPr="0046402D">
        <w:t>ata to assess overall survival is scant or non-existent</w:t>
      </w:r>
      <w:r>
        <w:t>”</w:t>
      </w:r>
      <w:r w:rsidR="00633B9A">
        <w:t xml:space="preserve">, noting that </w:t>
      </w:r>
      <w:r w:rsidR="00633B9A" w:rsidRPr="00633B9A">
        <w:t>overall survival was not required for the breast MRI item approval for women at high risk for breast cancer</w:t>
      </w:r>
      <w:r>
        <w:t xml:space="preserve">. The applicant suggested that the primary endpoint </w:t>
      </w:r>
      <w:r w:rsidRPr="0046402D">
        <w:t xml:space="preserve">should be </w:t>
      </w:r>
      <w:r w:rsidR="00DC7B5E">
        <w:t>number</w:t>
      </w:r>
      <w:r w:rsidRPr="0046402D">
        <w:t xml:space="preserve"> of cancer</w:t>
      </w:r>
      <w:r w:rsidR="00DC7B5E">
        <w:t>s</w:t>
      </w:r>
      <w:r w:rsidRPr="0046402D">
        <w:t xml:space="preserve"> detected at a curable stage, to address lead time bias with the data sources available</w:t>
      </w:r>
      <w:r>
        <w:t xml:space="preserve"> and because the </w:t>
      </w:r>
      <w:r w:rsidRPr="0046402D">
        <w:t>proportion of primary/advanced stage cancers by histotype is reasonably known for most cancers</w:t>
      </w:r>
      <w:r>
        <w:t>.</w:t>
      </w:r>
    </w:p>
    <w:p w14:paraId="5A65F773" w14:textId="7DDF6102" w:rsidR="00804C28" w:rsidRDefault="00FF4165" w:rsidP="00D85D6E">
      <w:pPr>
        <w:rPr>
          <w:i/>
          <w:iCs/>
        </w:rPr>
      </w:pPr>
      <w:r w:rsidRPr="00FF4165">
        <w:rPr>
          <w:i/>
          <w:iCs/>
        </w:rPr>
        <w:t>PASC accepted the applicant’s request that “Cancers detected at a curable stage” be included as an outcome.</w:t>
      </w:r>
    </w:p>
    <w:p w14:paraId="6B77ACD6" w14:textId="63CD69F0" w:rsidR="0046402D" w:rsidRPr="0046402D" w:rsidRDefault="00A36A21" w:rsidP="00D85D6E">
      <w:pPr>
        <w:rPr>
          <w:i/>
          <w:iCs/>
        </w:rPr>
      </w:pPr>
      <w:r>
        <w:t xml:space="preserve">The applicant reiterated that the </w:t>
      </w:r>
      <w:r w:rsidRPr="0046402D">
        <w:t>primary question is whether these cancers are likelier to be identified at an earlier and curable stage using WBMRI, compared to clinically ascertained cases in the absence of WBMRI.</w:t>
      </w:r>
    </w:p>
    <w:p w14:paraId="7EB2D578" w14:textId="7D997279" w:rsidR="00A20CF9" w:rsidRPr="00447205" w:rsidRDefault="007637C7" w:rsidP="00D85D6E">
      <w:r w:rsidRPr="00447205">
        <w:t>The application did not make any claims regarding the value of knowing.</w:t>
      </w:r>
    </w:p>
    <w:p w14:paraId="2FF90E48" w14:textId="47706AE5" w:rsidR="001B3F24" w:rsidRPr="001B3F24" w:rsidRDefault="009B31CC" w:rsidP="000D0AA6">
      <w:pPr>
        <w:pStyle w:val="Heading2"/>
      </w:pPr>
      <w:r w:rsidRPr="00447205">
        <w:t xml:space="preserve">Assessment framework </w:t>
      </w:r>
    </w:p>
    <w:p w14:paraId="2829D946" w14:textId="02C989C4" w:rsidR="002A2D79" w:rsidRPr="00447205" w:rsidRDefault="00BE5C6F" w:rsidP="002A2D79">
      <w:r w:rsidRPr="00447205">
        <w:t xml:space="preserve">Preliminary reviews of the literature provided by the applicant </w:t>
      </w:r>
      <w:r w:rsidR="002A2D79" w:rsidRPr="00447205">
        <w:t>indicate a paucity of comparative outcomes in the evidence base.</w:t>
      </w:r>
      <w:r w:rsidR="00CE40DA" w:rsidRPr="00447205">
        <w:t xml:space="preserve"> The Australia</w:t>
      </w:r>
      <w:r w:rsidR="00FB4612">
        <w:t>-</w:t>
      </w:r>
      <w:r w:rsidR="00CE40DA" w:rsidRPr="00447205">
        <w:t xml:space="preserve">specific data collected by the applicant as part of the Surveillance study in Multi-Organ Cancer prone syndromes (ACTRN12613000987763) </w:t>
      </w:r>
      <w:r w:rsidR="00FB4612">
        <w:t>are</w:t>
      </w:r>
      <w:r w:rsidR="00FB4612" w:rsidRPr="00447205">
        <w:t xml:space="preserve"> </w:t>
      </w:r>
      <w:r w:rsidR="00CE40DA" w:rsidRPr="00447205">
        <w:t>highly applicable and informative, but do not inform comparative effect versus the nominated comparator.</w:t>
      </w:r>
    </w:p>
    <w:p w14:paraId="4B5EBE23" w14:textId="08B6D6C9" w:rsidR="000114EB" w:rsidRPr="00447205" w:rsidRDefault="00CE40DA" w:rsidP="000114EB">
      <w:r w:rsidRPr="00447205">
        <w:t xml:space="preserve">The recommendations for annual WBMRI in Kratz (2017) are </w:t>
      </w:r>
      <w:r w:rsidR="000114EB" w:rsidRPr="00447205">
        <w:t xml:space="preserve">largely based on Villani </w:t>
      </w:r>
      <w:r w:rsidR="002D0357" w:rsidRPr="00447205">
        <w:t>(2011;</w:t>
      </w:r>
      <w:r w:rsidR="000114EB" w:rsidRPr="00447205">
        <w:t>2016), non-randomised, cross-over stud</w:t>
      </w:r>
      <w:r w:rsidR="002D0357" w:rsidRPr="00447205">
        <w:t>ies</w:t>
      </w:r>
      <w:r w:rsidR="000114EB" w:rsidRPr="00447205">
        <w:t xml:space="preserve"> comparing surveillance (consisting of </w:t>
      </w:r>
      <w:r w:rsidR="00FB4612">
        <w:t>WB</w:t>
      </w:r>
      <w:r w:rsidR="000114EB" w:rsidRPr="00447205">
        <w:t>MRI, brain MRI, breast MRI, mammography, abdominal and pelvic ultrasound) versus no surveillance. As such, the estimates of effect are not specific to WBMRI.</w:t>
      </w:r>
    </w:p>
    <w:p w14:paraId="2EF2E7BB" w14:textId="4E806546" w:rsidR="00CE40DA" w:rsidRPr="00447205" w:rsidRDefault="00AF2B0F" w:rsidP="002A2D79">
      <w:r w:rsidRPr="00447205">
        <w:t>The application identified one</w:t>
      </w:r>
      <w:r w:rsidR="002A2D79" w:rsidRPr="00447205">
        <w:t xml:space="preserve"> randomised controlled trial (LIFSCREEN; Caron 2017; Caron 2018) of</w:t>
      </w:r>
      <w:r w:rsidR="00FB4612">
        <w:t xml:space="preserve"> patients with</w:t>
      </w:r>
      <w:r w:rsidR="002A2D79" w:rsidRPr="00447205">
        <w:t xml:space="preserve"> </w:t>
      </w:r>
      <w:r w:rsidR="002A2D79" w:rsidRPr="00375407">
        <w:rPr>
          <w:i/>
          <w:iCs/>
        </w:rPr>
        <w:t>TP53</w:t>
      </w:r>
      <w:r w:rsidR="002A2D79" w:rsidRPr="00447205">
        <w:t xml:space="preserve"> </w:t>
      </w:r>
      <w:r w:rsidR="00FB4612">
        <w:t>variants</w:t>
      </w:r>
      <w:r w:rsidR="00FB4612" w:rsidRPr="00447205">
        <w:t xml:space="preserve"> </w:t>
      </w:r>
      <w:r w:rsidR="002A2D79" w:rsidRPr="00447205">
        <w:t xml:space="preserve">in France where patients were allocated to a standard surveillance arm “A” comprising a clinical exam, brain MRI, abdomino-pelvic ultrasound, </w:t>
      </w:r>
      <w:r w:rsidR="00FB4612">
        <w:t>complete blood count (</w:t>
      </w:r>
      <w:r w:rsidR="002A2D79" w:rsidRPr="00447205">
        <w:t>CBC</w:t>
      </w:r>
      <w:r w:rsidR="00FB4612">
        <w:t>)</w:t>
      </w:r>
      <w:r w:rsidR="00D8208C">
        <w:t xml:space="preserve"> for all patients</w:t>
      </w:r>
      <w:r w:rsidR="002A2D79" w:rsidRPr="00447205">
        <w:t xml:space="preserve">, </w:t>
      </w:r>
      <w:r w:rsidR="00D8208C">
        <w:t xml:space="preserve">plus </w:t>
      </w:r>
      <w:r w:rsidR="002A2D79" w:rsidRPr="00447205">
        <w:t xml:space="preserve">breast MRI and breast </w:t>
      </w:r>
      <w:r w:rsidR="00066A26" w:rsidRPr="00447205">
        <w:t>ultrasound for</w:t>
      </w:r>
      <w:r w:rsidR="002A2D79" w:rsidRPr="00447205">
        <w:t xml:space="preserve"> women </w:t>
      </w:r>
      <w:r w:rsidR="00D8208C">
        <w:t xml:space="preserve">aged </w:t>
      </w:r>
      <w:r w:rsidR="002A2D79" w:rsidRPr="00447205">
        <w:t>over 20</w:t>
      </w:r>
      <w:r w:rsidR="00D8208C">
        <w:t xml:space="preserve"> years</w:t>
      </w:r>
      <w:r w:rsidR="002A2D79" w:rsidRPr="00447205">
        <w:t>, or in “B” arm (A + WB diffusion MRI). Each patient repeated annually the process for at least 3 years.</w:t>
      </w:r>
      <w:r w:rsidR="00E92706">
        <w:t xml:space="preserve"> </w:t>
      </w:r>
      <w:r w:rsidR="00716A1C" w:rsidRPr="00447205">
        <w:t>Only a subsequent study abstract (Caron 2018) published comparative results between the two treatment arms.</w:t>
      </w:r>
      <w:r w:rsidR="00D85D6E" w:rsidRPr="00447205">
        <w:t xml:space="preserve"> The study did not demonstrate any statistical difference in overall survival between the two </w:t>
      </w:r>
      <w:r w:rsidR="00447205" w:rsidRPr="00447205">
        <w:t>treatment</w:t>
      </w:r>
      <w:r w:rsidR="00D85D6E" w:rsidRPr="00447205">
        <w:t xml:space="preserve"> arms, which may be due to insufficient follow-up.</w:t>
      </w:r>
    </w:p>
    <w:p w14:paraId="2C97760F" w14:textId="3F280378" w:rsidR="000114EB" w:rsidRDefault="00716A1C" w:rsidP="002A2D79">
      <w:r w:rsidRPr="00447205">
        <w:t>Consequently, a linked evidence approach may be necessary</w:t>
      </w:r>
      <w:r w:rsidR="009310A1">
        <w:t xml:space="preserve">, refer to </w:t>
      </w:r>
      <w:r w:rsidR="009310A1">
        <w:fldChar w:fldCharType="begin"/>
      </w:r>
      <w:r w:rsidR="009310A1">
        <w:instrText xml:space="preserve"> REF _Ref68327680 \h </w:instrText>
      </w:r>
      <w:r w:rsidR="009310A1">
        <w:fldChar w:fldCharType="separate"/>
      </w:r>
      <w:r w:rsidR="009310A1" w:rsidRPr="00447205">
        <w:t>Figure </w:t>
      </w:r>
      <w:r w:rsidR="009310A1">
        <w:rPr>
          <w:noProof/>
        </w:rPr>
        <w:t>2</w:t>
      </w:r>
      <w:r w:rsidR="009310A1">
        <w:fldChar w:fldCharType="end"/>
      </w:r>
      <w:r w:rsidRPr="00447205">
        <w:t>.</w:t>
      </w:r>
    </w:p>
    <w:p w14:paraId="7D19E370" w14:textId="65373F83" w:rsidR="001B3F24" w:rsidRPr="003C13FB" w:rsidRDefault="001B3F24" w:rsidP="002A2D79">
      <w:r w:rsidRPr="00FF4165">
        <w:rPr>
          <w:rFonts w:asciiTheme="minorHAnsi" w:hAnsiTheme="minorHAnsi" w:cstheme="minorHAnsi"/>
          <w:i/>
        </w:rPr>
        <w:t>PASC accepted that a linked evidence approach would be required.</w:t>
      </w:r>
    </w:p>
    <w:p w14:paraId="12F2305D" w14:textId="72946CD3" w:rsidR="00717443" w:rsidRPr="00447205" w:rsidRDefault="00717443" w:rsidP="009B31CC">
      <w:pPr>
        <w:keepNext/>
      </w:pPr>
      <w:r w:rsidRPr="00447205">
        <w:rPr>
          <w:noProof/>
          <w:lang w:eastAsia="en-AU"/>
        </w:rPr>
        <w:lastRenderedPageBreak/>
        <w:drawing>
          <wp:inline distT="0" distB="0" distL="0" distR="0" wp14:anchorId="431FC2CE" wp14:editId="462EAB73">
            <wp:extent cx="5727700" cy="2044700"/>
            <wp:effectExtent l="0" t="0" r="0" b="0"/>
            <wp:docPr id="4" name="Picture 4"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2044700"/>
                    </a:xfrm>
                    <a:prstGeom prst="rect">
                      <a:avLst/>
                    </a:prstGeom>
                  </pic:spPr>
                </pic:pic>
              </a:graphicData>
            </a:graphic>
          </wp:inline>
        </w:drawing>
      </w:r>
    </w:p>
    <w:p w14:paraId="58E23E9A" w14:textId="3E75AE3E" w:rsidR="009B31CC" w:rsidRPr="00447205" w:rsidRDefault="00AE6FE0" w:rsidP="00C40CC4">
      <w:pPr>
        <w:pStyle w:val="Caption"/>
        <w:rPr>
          <w:lang w:val="en-AU"/>
        </w:rPr>
      </w:pPr>
      <w:bookmarkStart w:id="4" w:name="_Ref68327593"/>
      <w:bookmarkStart w:id="5" w:name="_Ref68327680"/>
      <w:r w:rsidRPr="00447205">
        <w:rPr>
          <w:lang w:val="en-AU"/>
        </w:rPr>
        <w:t>Figure</w:t>
      </w:r>
      <w:bookmarkEnd w:id="4"/>
      <w:r w:rsidR="00E607F3" w:rsidRPr="00447205">
        <w:rPr>
          <w:lang w:val="en-AU"/>
        </w:rPr>
        <w:t> </w:t>
      </w:r>
      <w:r w:rsidRPr="00447205">
        <w:rPr>
          <w:lang w:val="en-AU"/>
        </w:rPr>
        <w:fldChar w:fldCharType="begin"/>
      </w:r>
      <w:r w:rsidRPr="00447205">
        <w:rPr>
          <w:lang w:val="en-AU"/>
        </w:rPr>
        <w:instrText xml:space="preserve"> SEQ Figure \* ARABIC </w:instrText>
      </w:r>
      <w:r w:rsidRPr="00447205">
        <w:rPr>
          <w:lang w:val="en-AU"/>
        </w:rPr>
        <w:fldChar w:fldCharType="separate"/>
      </w:r>
      <w:r w:rsidR="001B3F24">
        <w:rPr>
          <w:noProof/>
          <w:lang w:val="en-AU"/>
        </w:rPr>
        <w:t>2</w:t>
      </w:r>
      <w:r w:rsidRPr="00447205">
        <w:rPr>
          <w:lang w:val="en-AU"/>
        </w:rPr>
        <w:fldChar w:fldCharType="end"/>
      </w:r>
      <w:bookmarkEnd w:id="5"/>
      <w:r w:rsidR="009B31CC" w:rsidRPr="00447205">
        <w:rPr>
          <w:lang w:val="en-AU"/>
        </w:rPr>
        <w:tab/>
        <w:t>Generic assessment framework showing the links from the test population to health outcomes</w:t>
      </w:r>
    </w:p>
    <w:p w14:paraId="534738C5" w14:textId="5594621B" w:rsidR="00C40CC4" w:rsidRPr="00447205" w:rsidRDefault="00C40CC4" w:rsidP="00C40CC4">
      <w:pPr>
        <w:pStyle w:val="Tablenotes"/>
        <w:keepLines/>
        <w:rPr>
          <w:szCs w:val="18"/>
        </w:rPr>
      </w:pPr>
      <w:r w:rsidRPr="00447205">
        <w:rPr>
          <w:szCs w:val="18"/>
        </w:rPr>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4CF1C649" w14:textId="3EC1C05D" w:rsidR="001B3F24" w:rsidRPr="001B3F24" w:rsidRDefault="00D73332" w:rsidP="000D0AA6">
      <w:pPr>
        <w:pStyle w:val="Heading2"/>
      </w:pPr>
      <w:r w:rsidRPr="00447205">
        <w:t>Clinical management algorithms</w:t>
      </w:r>
    </w:p>
    <w:p w14:paraId="77F8BF4A" w14:textId="695A816F" w:rsidR="00804C28" w:rsidRDefault="00AA1971" w:rsidP="00E6096F">
      <w:r>
        <w:rPr>
          <w:sz w:val="24"/>
          <w:szCs w:val="24"/>
        </w:rPr>
        <w:t xml:space="preserve">The application provided a current clinical management algorithm in Attachment 2, p30. </w:t>
      </w:r>
      <w:r w:rsidRPr="009C717E">
        <w:rPr>
          <w:sz w:val="24"/>
          <w:szCs w:val="24"/>
        </w:rPr>
        <w:t xml:space="preserve">Amended current and proposed algorithms developed for the PICO Confirmation are presented in </w:t>
      </w:r>
      <w:r w:rsidR="009310A1" w:rsidRPr="009C717E">
        <w:rPr>
          <w:sz w:val="24"/>
          <w:szCs w:val="24"/>
        </w:rPr>
        <w:fldChar w:fldCharType="begin"/>
      </w:r>
      <w:r w:rsidR="009310A1" w:rsidRPr="009C717E">
        <w:rPr>
          <w:sz w:val="24"/>
          <w:szCs w:val="24"/>
        </w:rPr>
        <w:instrText xml:space="preserve"> REF _Ref76601106 \h  \* MERGEFORMAT </w:instrText>
      </w:r>
      <w:r w:rsidR="009310A1" w:rsidRPr="009C717E">
        <w:rPr>
          <w:sz w:val="24"/>
          <w:szCs w:val="24"/>
        </w:rPr>
      </w:r>
      <w:r w:rsidR="009310A1" w:rsidRPr="009C717E">
        <w:rPr>
          <w:sz w:val="24"/>
          <w:szCs w:val="24"/>
        </w:rPr>
        <w:fldChar w:fldCharType="separate"/>
      </w:r>
      <w:r w:rsidR="009310A1" w:rsidRPr="009C717E">
        <w:rPr>
          <w:rStyle w:val="CommentReference"/>
          <w:sz w:val="22"/>
          <w:szCs w:val="22"/>
        </w:rPr>
        <w:t>Figure </w:t>
      </w:r>
      <w:r w:rsidR="009310A1" w:rsidRPr="009C717E">
        <w:rPr>
          <w:rStyle w:val="CommentReference"/>
          <w:noProof/>
          <w:sz w:val="22"/>
          <w:szCs w:val="22"/>
        </w:rPr>
        <w:t>3</w:t>
      </w:r>
      <w:r w:rsidR="009310A1" w:rsidRPr="009C717E">
        <w:rPr>
          <w:sz w:val="24"/>
          <w:szCs w:val="24"/>
        </w:rPr>
        <w:fldChar w:fldCharType="end"/>
      </w:r>
      <w:r w:rsidR="009310A1" w:rsidRPr="009C717E">
        <w:t xml:space="preserve"> </w:t>
      </w:r>
      <w:r w:rsidRPr="009C717E">
        <w:t xml:space="preserve">and </w:t>
      </w:r>
      <w:r w:rsidRPr="009C717E">
        <w:fldChar w:fldCharType="begin"/>
      </w:r>
      <w:r w:rsidRPr="009C717E">
        <w:instrText xml:space="preserve"> REF _Ref77662856 \h  \* MERGEFORMAT </w:instrText>
      </w:r>
      <w:r w:rsidRPr="009C717E">
        <w:fldChar w:fldCharType="separate"/>
      </w:r>
      <w:r w:rsidRPr="009C717E">
        <w:t>Figure 4</w:t>
      </w:r>
      <w:r w:rsidRPr="009C717E">
        <w:fldChar w:fldCharType="end"/>
      </w:r>
      <w:r w:rsidRPr="009C717E">
        <w:t xml:space="preserve">, respectively. </w:t>
      </w:r>
      <w:r w:rsidR="009C717E">
        <w:t xml:space="preserve">The applicant agreed with the amendments, but suggested that </w:t>
      </w:r>
      <w:r w:rsidR="009C717E" w:rsidRPr="009C717E">
        <w:t xml:space="preserve">the treatment options downstream should be stratified into </w:t>
      </w:r>
      <w:r w:rsidR="009C717E">
        <w:t>‘t</w:t>
      </w:r>
      <w:r w:rsidR="009C717E" w:rsidRPr="009C717E">
        <w:t>reatment undertaken with curative intent</w:t>
      </w:r>
      <w:r w:rsidR="009C717E">
        <w:t>’</w:t>
      </w:r>
      <w:r w:rsidR="009C717E" w:rsidRPr="009C717E">
        <w:t xml:space="preserve">, and </w:t>
      </w:r>
      <w:r w:rsidR="009C717E">
        <w:t>‘</w:t>
      </w:r>
      <w:r w:rsidR="009C717E" w:rsidRPr="009C717E">
        <w:t>other</w:t>
      </w:r>
      <w:r w:rsidR="009C717E">
        <w:t>’, explaining that t</w:t>
      </w:r>
      <w:r w:rsidR="009C717E" w:rsidRPr="009C717E">
        <w:t>hose treated and rendered disease-free may re-enter the program</w:t>
      </w:r>
      <w:r w:rsidR="009C717E">
        <w:t>; while t</w:t>
      </w:r>
      <w:r w:rsidR="009C717E" w:rsidRPr="009C717E">
        <w:t xml:space="preserve">hose with metastatic disease should be taken off the program, because of the frequency of imaging, the probability of metastatic disease being the issue, and because of the limited long-term benefit to flow from detecting </w:t>
      </w:r>
      <w:r w:rsidR="009C717E">
        <w:t>a</w:t>
      </w:r>
      <w:r w:rsidR="009C717E" w:rsidRPr="009C717E">
        <w:t xml:space="preserve"> new primary.</w:t>
      </w:r>
    </w:p>
    <w:p w14:paraId="2DEA866F" w14:textId="14D2D9C3" w:rsidR="00A81C13" w:rsidRPr="00447205" w:rsidRDefault="001B3F24" w:rsidP="00E6096F">
      <w:pPr>
        <w:rPr>
          <w:color w:val="385623" w:themeColor="accent6" w:themeShade="80"/>
        </w:rPr>
      </w:pPr>
      <w:r>
        <w:rPr>
          <w:rFonts w:asciiTheme="minorHAnsi" w:hAnsiTheme="minorHAnsi" w:cstheme="minorHAnsi"/>
          <w:i/>
          <w:iCs/>
        </w:rPr>
        <w:t xml:space="preserve">PASC accepted the applicant’s requested changes to the algorithms. </w:t>
      </w:r>
      <w:r w:rsidR="009C717E" w:rsidRPr="004D5EEF">
        <w:t>These changes have been reflected in the algorithms below.</w:t>
      </w:r>
    </w:p>
    <w:bookmarkStart w:id="6" w:name="_Ref76601106"/>
    <w:p w14:paraId="1C574081" w14:textId="39118B6F" w:rsidR="00AA1971" w:rsidRDefault="008B757A" w:rsidP="00E17351">
      <w:pPr>
        <w:pStyle w:val="TableHeading"/>
        <w:jc w:val="center"/>
      </w:pPr>
      <w:r>
        <w:object w:dxaOrig="10213" w:dyaOrig="13153" w14:anchorId="476CF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3 Current clinical management pathway for patients with a pathogenic or likely pathogenic TP53 variant" style="width:451.5pt;height:580.5pt" o:ole="">
            <v:imagedata r:id="rId13" o:title=""/>
          </v:shape>
          <o:OLEObject Type="Embed" ProgID="Visio.Drawing.15" ShapeID="_x0000_i1025" DrawAspect="Content" ObjectID="_1695114325" r:id="rId14"/>
        </w:object>
      </w:r>
    </w:p>
    <w:p w14:paraId="79C9DDE0" w14:textId="12498ADE" w:rsidR="008D7250" w:rsidRPr="00AA1971" w:rsidRDefault="008D7250" w:rsidP="008D7250">
      <w:pPr>
        <w:pStyle w:val="TableHeading"/>
      </w:pPr>
      <w:r w:rsidRPr="00447205">
        <w:rPr>
          <w:rStyle w:val="CommentReference"/>
          <w:sz w:val="20"/>
          <w:szCs w:val="20"/>
        </w:rPr>
        <w:t>Figure </w:t>
      </w:r>
      <w:r w:rsidRPr="00447205">
        <w:rPr>
          <w:rStyle w:val="CommentReference"/>
          <w:sz w:val="20"/>
          <w:szCs w:val="20"/>
        </w:rPr>
        <w:fldChar w:fldCharType="begin"/>
      </w:r>
      <w:r w:rsidRPr="00447205">
        <w:rPr>
          <w:rStyle w:val="CommentReference"/>
          <w:sz w:val="20"/>
          <w:szCs w:val="20"/>
        </w:rPr>
        <w:instrText xml:space="preserve"> SEQ Figure \* ARABIC </w:instrText>
      </w:r>
      <w:r w:rsidRPr="00447205">
        <w:rPr>
          <w:rStyle w:val="CommentReference"/>
          <w:sz w:val="20"/>
          <w:szCs w:val="20"/>
        </w:rPr>
        <w:fldChar w:fldCharType="separate"/>
      </w:r>
      <w:r>
        <w:rPr>
          <w:rStyle w:val="CommentReference"/>
          <w:noProof/>
          <w:sz w:val="20"/>
          <w:szCs w:val="20"/>
        </w:rPr>
        <w:t>3</w:t>
      </w:r>
      <w:r w:rsidRPr="00447205">
        <w:rPr>
          <w:rStyle w:val="CommentReference"/>
          <w:sz w:val="20"/>
          <w:szCs w:val="20"/>
        </w:rPr>
        <w:fldChar w:fldCharType="end"/>
      </w:r>
      <w:bookmarkEnd w:id="6"/>
      <w:r w:rsidRPr="00447205">
        <w:rPr>
          <w:rStyle w:val="CommentReference"/>
          <w:sz w:val="20"/>
          <w:szCs w:val="20"/>
        </w:rPr>
        <w:tab/>
      </w:r>
      <w:r w:rsidRPr="00447205">
        <w:t xml:space="preserve">Current clinical management pathway </w:t>
      </w:r>
      <w:r w:rsidR="00AA1971">
        <w:t>for</w:t>
      </w:r>
      <w:r w:rsidRPr="00447205">
        <w:t xml:space="preserve"> patients </w:t>
      </w:r>
      <w:r w:rsidR="00AA1971">
        <w:t xml:space="preserve">with a pathogenic or likely pathogenic </w:t>
      </w:r>
      <w:r w:rsidR="00AA1971">
        <w:rPr>
          <w:i/>
          <w:iCs/>
        </w:rPr>
        <w:t xml:space="preserve">TP53 </w:t>
      </w:r>
      <w:r w:rsidR="00AA1971">
        <w:t>variant</w:t>
      </w:r>
    </w:p>
    <w:p w14:paraId="097CC7DD" w14:textId="3413BAB3" w:rsidR="00AA1971" w:rsidRDefault="00E17351" w:rsidP="004072B7">
      <w:pPr>
        <w:pStyle w:val="Tablenotes"/>
        <w:tabs>
          <w:tab w:val="left" w:pos="284"/>
        </w:tabs>
        <w:ind w:left="284" w:hanging="284"/>
        <w:jc w:val="left"/>
      </w:pPr>
      <w:r>
        <w:t>*</w:t>
      </w:r>
      <w:r>
        <w:tab/>
      </w:r>
      <w:r w:rsidRPr="00E17351">
        <w:t xml:space="preserve">those with metastatic disease should be taken off the </w:t>
      </w:r>
      <w:r>
        <w:t xml:space="preserve">WBMRI </w:t>
      </w:r>
      <w:r w:rsidRPr="00E17351">
        <w:t>program, because of the frequency of imaging, the probability of metastatic disease being the issue, and because of the limited long-term benefit to flow from detecting a new primary</w:t>
      </w:r>
    </w:p>
    <w:bookmarkStart w:id="7" w:name="_Ref77662856"/>
    <w:p w14:paraId="21D92157" w14:textId="44DD0D70" w:rsidR="00AA1971" w:rsidRDefault="008B757A" w:rsidP="00E17351">
      <w:pPr>
        <w:pStyle w:val="Tablenotes"/>
        <w:jc w:val="center"/>
      </w:pPr>
      <w:r>
        <w:object w:dxaOrig="10213" w:dyaOrig="13153" w14:anchorId="5A90F1AE">
          <v:shape id="_x0000_i1026" type="#_x0000_t75" alt="Figure 4 Proposed clinical management pathway for patients with a pathogenic or likely pathogenic TP53 variant" style="width:451.5pt;height:580.5pt" o:ole="">
            <v:imagedata r:id="rId15" o:title=""/>
          </v:shape>
          <o:OLEObject Type="Embed" ProgID="Visio.Drawing.15" ShapeID="_x0000_i1026" DrawAspect="Content" ObjectID="_1695114326" r:id="rId16"/>
        </w:object>
      </w:r>
    </w:p>
    <w:p w14:paraId="516DA562" w14:textId="5B58A9D2" w:rsidR="00AA1971" w:rsidRDefault="00AA1971" w:rsidP="008D7250">
      <w:pPr>
        <w:pStyle w:val="Tablenotes"/>
        <w:rPr>
          <w:b/>
          <w:bCs/>
          <w:sz w:val="20"/>
        </w:rPr>
      </w:pPr>
      <w:r w:rsidRPr="00AA1971">
        <w:rPr>
          <w:rStyle w:val="CommentReference"/>
          <w:b/>
          <w:bCs/>
          <w:sz w:val="20"/>
          <w:szCs w:val="20"/>
        </w:rPr>
        <w:t>Figure </w:t>
      </w:r>
      <w:r w:rsidRPr="00AA1971">
        <w:rPr>
          <w:rStyle w:val="CommentReference"/>
          <w:b/>
          <w:bCs/>
          <w:sz w:val="20"/>
          <w:szCs w:val="20"/>
        </w:rPr>
        <w:fldChar w:fldCharType="begin"/>
      </w:r>
      <w:r w:rsidRPr="00AA1971">
        <w:rPr>
          <w:rStyle w:val="CommentReference"/>
          <w:b/>
          <w:bCs/>
          <w:sz w:val="20"/>
          <w:szCs w:val="20"/>
        </w:rPr>
        <w:instrText xml:space="preserve"> SEQ Figure \* ARABIC </w:instrText>
      </w:r>
      <w:r w:rsidRPr="00AA1971">
        <w:rPr>
          <w:rStyle w:val="CommentReference"/>
          <w:b/>
          <w:bCs/>
          <w:sz w:val="20"/>
          <w:szCs w:val="20"/>
        </w:rPr>
        <w:fldChar w:fldCharType="separate"/>
      </w:r>
      <w:r w:rsidRPr="00AA1971">
        <w:rPr>
          <w:rStyle w:val="CommentReference"/>
          <w:b/>
          <w:bCs/>
          <w:noProof/>
          <w:sz w:val="20"/>
          <w:szCs w:val="20"/>
        </w:rPr>
        <w:t>4</w:t>
      </w:r>
      <w:r w:rsidRPr="00AA1971">
        <w:rPr>
          <w:rStyle w:val="CommentReference"/>
          <w:b/>
          <w:bCs/>
          <w:sz w:val="20"/>
          <w:szCs w:val="20"/>
        </w:rPr>
        <w:fldChar w:fldCharType="end"/>
      </w:r>
      <w:bookmarkEnd w:id="7"/>
      <w:r w:rsidRPr="00AA1971">
        <w:rPr>
          <w:rStyle w:val="CommentReference"/>
          <w:b/>
          <w:bCs/>
          <w:sz w:val="20"/>
          <w:szCs w:val="20"/>
        </w:rPr>
        <w:tab/>
        <w:t>Proposed</w:t>
      </w:r>
      <w:r w:rsidRPr="00AA1971">
        <w:rPr>
          <w:b/>
          <w:bCs/>
          <w:sz w:val="20"/>
        </w:rPr>
        <w:t xml:space="preserve"> clinical management pathway for patients with a pathogenic or likely pathogenic </w:t>
      </w:r>
      <w:r w:rsidRPr="00AA1971">
        <w:rPr>
          <w:b/>
          <w:bCs/>
          <w:i/>
          <w:iCs/>
          <w:sz w:val="20"/>
        </w:rPr>
        <w:t xml:space="preserve">TP53 </w:t>
      </w:r>
      <w:r w:rsidRPr="00AA1971">
        <w:rPr>
          <w:b/>
          <w:bCs/>
          <w:sz w:val="20"/>
        </w:rPr>
        <w:t>variant</w:t>
      </w:r>
    </w:p>
    <w:p w14:paraId="52ECFC55" w14:textId="77777777" w:rsidR="00E17351" w:rsidRDefault="00E17351" w:rsidP="004072B7">
      <w:pPr>
        <w:pStyle w:val="Tablenotes"/>
        <w:tabs>
          <w:tab w:val="left" w:pos="284"/>
        </w:tabs>
        <w:ind w:left="284" w:hanging="284"/>
        <w:jc w:val="left"/>
      </w:pPr>
      <w:r>
        <w:t>*</w:t>
      </w:r>
      <w:r>
        <w:tab/>
      </w:r>
      <w:r w:rsidRPr="00E17351">
        <w:t xml:space="preserve">those with metastatic disease should be taken off the </w:t>
      </w:r>
      <w:r>
        <w:t xml:space="preserve">WBMRI </w:t>
      </w:r>
      <w:r w:rsidRPr="00E17351">
        <w:t>program, because of the frequency of imaging, the probability of metastatic disease being the issue, and because of the limited long-term benefit to flow from detecting a new primary</w:t>
      </w:r>
    </w:p>
    <w:p w14:paraId="7377B879" w14:textId="77777777" w:rsidR="00E17351" w:rsidRPr="00AA1971" w:rsidRDefault="00E17351" w:rsidP="008D7250">
      <w:pPr>
        <w:pStyle w:val="Tablenotes"/>
        <w:rPr>
          <w:b/>
          <w:bCs/>
          <w:sz w:val="20"/>
        </w:rPr>
      </w:pPr>
    </w:p>
    <w:p w14:paraId="128FFB82" w14:textId="77777777" w:rsidR="00FA118E" w:rsidRDefault="00FA118E">
      <w:pPr>
        <w:spacing w:after="160" w:line="259" w:lineRule="auto"/>
        <w:rPr>
          <w:rFonts w:ascii="Franklin Gothic Medium" w:eastAsiaTheme="majorEastAsia" w:hAnsi="Franklin Gothic Medium" w:cstheme="majorBidi"/>
          <w:color w:val="000000" w:themeColor="text1"/>
          <w:sz w:val="32"/>
          <w:szCs w:val="26"/>
        </w:rPr>
      </w:pPr>
      <w:r>
        <w:br w:type="page"/>
      </w:r>
    </w:p>
    <w:p w14:paraId="424038D9" w14:textId="29FD7C37" w:rsidR="001B3F24" w:rsidRPr="001B3F24" w:rsidRDefault="00D73332" w:rsidP="000D0AA6">
      <w:pPr>
        <w:pStyle w:val="Heading2"/>
      </w:pPr>
      <w:r w:rsidRPr="00447205">
        <w:lastRenderedPageBreak/>
        <w:t>Proposed economic evaluation</w:t>
      </w:r>
    </w:p>
    <w:p w14:paraId="0A9AAA69" w14:textId="6B9DE35A" w:rsidR="00091C1B" w:rsidRDefault="00091C1B" w:rsidP="00091C1B">
      <w:r w:rsidRPr="00447205">
        <w:t xml:space="preserve">Considering that the clinical claim is that WBMRI in addition to standard of care is superior to standard of care alone in the early detection of cancer, a cost effectiveness or cost-utility analysis </w:t>
      </w:r>
      <w:r w:rsidR="009310A1">
        <w:t>would be</w:t>
      </w:r>
      <w:r w:rsidRPr="00447205">
        <w:t xml:space="preserve"> appropriate. Preliminary literature searches and discussions with the applicant who run</w:t>
      </w:r>
      <w:r w:rsidR="00FB4612">
        <w:t>s</w:t>
      </w:r>
      <w:r w:rsidRPr="00447205">
        <w:t xml:space="preserve"> Australia</w:t>
      </w:r>
      <w:r w:rsidR="00FB4612">
        <w:t>-</w:t>
      </w:r>
      <w:r w:rsidRPr="00447205">
        <w:t xml:space="preserve">specific studies on WBMRI in </w:t>
      </w:r>
      <w:r w:rsidRPr="00E6096F">
        <w:rPr>
          <w:i/>
          <w:iCs/>
        </w:rPr>
        <w:t>TP53</w:t>
      </w:r>
      <w:r w:rsidRPr="00447205">
        <w:t xml:space="preserve"> patients, indicate that there </w:t>
      </w:r>
      <w:r w:rsidR="00882C80">
        <w:t>is</w:t>
      </w:r>
      <w:r w:rsidRPr="00447205">
        <w:t xml:space="preserve"> sufficient evidence on which to examine the claim</w:t>
      </w:r>
      <w:r w:rsidR="001B3F24">
        <w:t xml:space="preserve"> for adults</w:t>
      </w:r>
      <w:r w:rsidRPr="00447205">
        <w:t>.</w:t>
      </w:r>
    </w:p>
    <w:p w14:paraId="3C4FD036" w14:textId="2327ED9B" w:rsidR="0032724D" w:rsidRPr="00EA795A" w:rsidRDefault="0032724D" w:rsidP="00EA795A">
      <w:pPr>
        <w:autoSpaceDE w:val="0"/>
        <w:autoSpaceDN w:val="0"/>
        <w:adjustRightInd w:val="0"/>
        <w:spacing w:line="23" w:lineRule="atLeast"/>
        <w:ind w:left="29"/>
        <w:rPr>
          <w:i/>
          <w:iCs/>
        </w:rPr>
      </w:pPr>
      <w:r w:rsidRPr="00EA795A">
        <w:rPr>
          <w:i/>
          <w:iCs/>
        </w:rPr>
        <w:t xml:space="preserve">PASC acknowledged the potential differences in costs (e.g., longer patient preparation for WBMRI in infants and young children, including possible sedation or anaesthesia with </w:t>
      </w:r>
      <w:r w:rsidR="00066A26" w:rsidRPr="00066A26">
        <w:rPr>
          <w:i/>
          <w:iCs/>
        </w:rPr>
        <w:t>anaesthetist</w:t>
      </w:r>
      <w:r w:rsidRPr="00EA795A">
        <w:rPr>
          <w:i/>
          <w:iCs/>
        </w:rPr>
        <w:t xml:space="preserve"> attendance) and clinical benefit between paediatric and adult populations, and the limitations of available evidence in the paediatric population.</w:t>
      </w:r>
    </w:p>
    <w:p w14:paraId="72DDBCFD" w14:textId="77777777" w:rsidR="00827180" w:rsidRPr="00827180" w:rsidRDefault="0032724D" w:rsidP="00827180">
      <w:pPr>
        <w:autoSpaceDE w:val="0"/>
        <w:autoSpaceDN w:val="0"/>
        <w:adjustRightInd w:val="0"/>
        <w:spacing w:line="23" w:lineRule="atLeast"/>
        <w:ind w:left="29"/>
        <w:rPr>
          <w:i/>
          <w:iCs/>
        </w:rPr>
      </w:pPr>
      <w:r w:rsidRPr="001B3F24">
        <w:rPr>
          <w:i/>
          <w:iCs/>
        </w:rPr>
        <w:t xml:space="preserve">PASC </w:t>
      </w:r>
      <w:r>
        <w:rPr>
          <w:i/>
          <w:iCs/>
        </w:rPr>
        <w:t xml:space="preserve">therefore suggested that separate economic evaluations of WBMRI for children and adults with pathogenic </w:t>
      </w:r>
      <w:r w:rsidRPr="00827180">
        <w:rPr>
          <w:i/>
          <w:iCs/>
        </w:rPr>
        <w:t>TP53</w:t>
      </w:r>
      <w:r>
        <w:rPr>
          <w:i/>
          <w:iCs/>
        </w:rPr>
        <w:t xml:space="preserve"> variants should be considered</w:t>
      </w:r>
      <w:r w:rsidRPr="00827180">
        <w:rPr>
          <w:i/>
          <w:iCs/>
        </w:rPr>
        <w:t>.</w:t>
      </w:r>
      <w:bookmarkStart w:id="8" w:name="_Ref54260209"/>
      <w:bookmarkStart w:id="9" w:name="_Toc423450289"/>
    </w:p>
    <w:p w14:paraId="6DAB2DBD" w14:textId="116BE285" w:rsidR="000939E0" w:rsidRPr="00447205" w:rsidRDefault="000939E0" w:rsidP="00C40CC4">
      <w:pPr>
        <w:pStyle w:val="Caption"/>
        <w:rPr>
          <w:lang w:val="en-AU"/>
        </w:rPr>
      </w:pPr>
      <w:r w:rsidRPr="00447205">
        <w:rPr>
          <w:lang w:val="en-AU"/>
        </w:rPr>
        <w:t>Table</w:t>
      </w:r>
      <w:r w:rsidR="00DE762F" w:rsidRPr="00447205">
        <w:rPr>
          <w:lang w:val="en-AU"/>
        </w:rPr>
        <w:t> </w:t>
      </w:r>
      <w:r w:rsidRPr="00447205">
        <w:rPr>
          <w:lang w:val="en-AU"/>
        </w:rPr>
        <w:fldChar w:fldCharType="begin"/>
      </w:r>
      <w:r w:rsidRPr="00447205">
        <w:rPr>
          <w:lang w:val="en-AU"/>
        </w:rPr>
        <w:instrText xml:space="preserve"> SEQ Table \* ARABIC </w:instrText>
      </w:r>
      <w:r w:rsidRPr="00447205">
        <w:rPr>
          <w:lang w:val="en-AU"/>
        </w:rPr>
        <w:fldChar w:fldCharType="separate"/>
      </w:r>
      <w:r w:rsidR="000628E9">
        <w:rPr>
          <w:noProof/>
          <w:lang w:val="en-AU"/>
        </w:rPr>
        <w:t>3</w:t>
      </w:r>
      <w:r w:rsidRPr="00447205">
        <w:rPr>
          <w:lang w:val="en-AU"/>
        </w:rPr>
        <w:fldChar w:fldCharType="end"/>
      </w:r>
      <w:bookmarkEnd w:id="8"/>
      <w:r w:rsidR="001A5D2F" w:rsidRPr="00447205">
        <w:rPr>
          <w:lang w:val="en-AU"/>
        </w:rPr>
        <w:tab/>
        <w:t>Classification of</w:t>
      </w:r>
      <w:r w:rsidRPr="00447205">
        <w:rPr>
          <w:lang w:val="en-AU"/>
        </w:rPr>
        <w:t xml:space="preserve"> comparative effectiveness and safety of the proposed intervention</w:t>
      </w:r>
      <w:r w:rsidR="001A5D2F" w:rsidRPr="00447205">
        <w:rPr>
          <w:lang w:val="en-AU"/>
        </w:rPr>
        <w:t>,</w:t>
      </w:r>
      <w:r w:rsidRPr="00447205">
        <w:rPr>
          <w:lang w:val="en-AU"/>
        </w:rPr>
        <w:t xml:space="preserve"> compared with its main comparator</w:t>
      </w:r>
      <w:r w:rsidR="001A5D2F" w:rsidRPr="00447205">
        <w:rPr>
          <w:lang w:val="en-AU"/>
        </w:rPr>
        <w:t>,</w:t>
      </w:r>
      <w:r w:rsidRPr="00447205">
        <w:rPr>
          <w:lang w:val="en-AU"/>
        </w:rPr>
        <w:t xml:space="preserve"> and guide to the suitable type of economic evaluation</w:t>
      </w:r>
      <w:bookmarkEnd w:id="9"/>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47205"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47205" w:rsidRDefault="00686EED" w:rsidP="00C40CC4">
            <w:pPr>
              <w:pStyle w:val="TableHeading"/>
            </w:pPr>
            <w:bookmarkStart w:id="10" w:name="Title_Table2" w:colFirst="0" w:colLast="0"/>
            <w:r w:rsidRPr="00447205">
              <w:t>Comparative safety</w:t>
            </w:r>
            <w:r w:rsidRPr="00447205">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47205"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47205" w:rsidRDefault="00686EED" w:rsidP="00C40CC4">
            <w:pPr>
              <w:pStyle w:val="TableHeading"/>
              <w:ind w:left="-75" w:right="-127"/>
              <w:jc w:val="center"/>
            </w:pPr>
            <w:r w:rsidRPr="00447205">
              <w:t>Comparative effectiveness</w:t>
            </w:r>
          </w:p>
        </w:tc>
        <w:tc>
          <w:tcPr>
            <w:tcW w:w="1748" w:type="dxa"/>
            <w:tcBorders>
              <w:top w:val="single" w:sz="4" w:space="0" w:color="auto"/>
              <w:left w:val="nil"/>
              <w:bottom w:val="single" w:sz="4" w:space="0" w:color="auto"/>
            </w:tcBorders>
          </w:tcPr>
          <w:p w14:paraId="6B53FB6C" w14:textId="77777777" w:rsidR="00686EED" w:rsidRPr="00447205"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47205" w:rsidRDefault="00686EED" w:rsidP="00C40CC4">
            <w:pPr>
              <w:pStyle w:val="TableHeading"/>
              <w:jc w:val="center"/>
            </w:pPr>
          </w:p>
        </w:tc>
      </w:tr>
      <w:bookmarkEnd w:id="10"/>
      <w:tr w:rsidR="00686EED" w:rsidRPr="00447205"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47205"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47205" w:rsidRDefault="00686EED" w:rsidP="00C40CC4">
            <w:pPr>
              <w:pStyle w:val="TableHeading"/>
              <w:jc w:val="center"/>
            </w:pPr>
            <w:r w:rsidRPr="00447205">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47205" w:rsidRDefault="00686EED" w:rsidP="00C40CC4">
            <w:pPr>
              <w:pStyle w:val="TableHeading"/>
              <w:jc w:val="center"/>
            </w:pPr>
            <w:r w:rsidRPr="00447205">
              <w:t>Uncertain</w:t>
            </w:r>
            <w:r w:rsidRPr="00447205">
              <w:rPr>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47205" w:rsidRDefault="00686EED" w:rsidP="00C40CC4">
            <w:pPr>
              <w:pStyle w:val="TableHeading"/>
              <w:jc w:val="center"/>
            </w:pPr>
            <w:r w:rsidRPr="00447205">
              <w:t>Noninferior</w:t>
            </w:r>
            <w:r w:rsidRPr="00447205">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47205" w:rsidRDefault="00686EED" w:rsidP="00C40CC4">
            <w:pPr>
              <w:pStyle w:val="TableHeading"/>
              <w:jc w:val="center"/>
            </w:pPr>
            <w:r w:rsidRPr="00447205">
              <w:t>Superior</w:t>
            </w:r>
          </w:p>
        </w:tc>
      </w:tr>
      <w:tr w:rsidR="000939E0" w:rsidRPr="00447205"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47205" w:rsidRDefault="000939E0" w:rsidP="00C40CC4">
            <w:pPr>
              <w:pStyle w:val="Tabletext"/>
              <w:keepNext/>
            </w:pPr>
            <w:r w:rsidRPr="00447205">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47205" w:rsidRDefault="000939E0" w:rsidP="00C40CC4">
            <w:pPr>
              <w:pStyle w:val="Tabletext"/>
              <w:keepNext/>
            </w:pPr>
            <w:r w:rsidRPr="00447205">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47205" w:rsidRDefault="000939E0" w:rsidP="00C40CC4">
            <w:pPr>
              <w:pStyle w:val="Tabletext"/>
              <w:keepNext/>
            </w:pPr>
            <w:r w:rsidRPr="00447205">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47205" w:rsidRDefault="000939E0" w:rsidP="00C40CC4">
            <w:pPr>
              <w:pStyle w:val="Tabletext"/>
              <w:keepNext/>
            </w:pPr>
            <w:r w:rsidRPr="00447205">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47205" w:rsidRDefault="000939E0" w:rsidP="00C40CC4">
            <w:pPr>
              <w:pStyle w:val="Tabletext"/>
              <w:keepNext/>
            </w:pPr>
            <w:r w:rsidRPr="00447205">
              <w:t>? Likely CUA</w:t>
            </w:r>
          </w:p>
        </w:tc>
      </w:tr>
      <w:tr w:rsidR="000939E0" w:rsidRPr="00447205"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47205" w:rsidRDefault="000939E0" w:rsidP="00C40CC4">
            <w:pPr>
              <w:pStyle w:val="Tabletext"/>
              <w:keepNext/>
            </w:pPr>
            <w:r w:rsidRPr="00447205">
              <w:t>Uncertain</w:t>
            </w:r>
            <w:r w:rsidRPr="00447205">
              <w:rPr>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47205" w:rsidRDefault="000939E0" w:rsidP="00C40CC4">
            <w:pPr>
              <w:pStyle w:val="Tabletext"/>
              <w:keepNext/>
            </w:pPr>
            <w:r w:rsidRPr="00447205">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47205" w:rsidRDefault="000939E0" w:rsidP="00C40CC4">
            <w:pPr>
              <w:pStyle w:val="Tabletext"/>
              <w:keepNext/>
            </w:pPr>
            <w:r w:rsidRPr="00447205">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47205" w:rsidRDefault="000939E0" w:rsidP="00C40CC4">
            <w:pPr>
              <w:pStyle w:val="Tabletext"/>
              <w:keepNext/>
            </w:pPr>
            <w:r w:rsidRPr="00447205">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47205" w:rsidRDefault="000939E0" w:rsidP="00C40CC4">
            <w:pPr>
              <w:pStyle w:val="Tabletext"/>
              <w:keepNext/>
            </w:pPr>
            <w:r w:rsidRPr="00447205">
              <w:t>? Likely CEA/CUA</w:t>
            </w:r>
          </w:p>
        </w:tc>
      </w:tr>
      <w:tr w:rsidR="000939E0" w:rsidRPr="00447205"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47205" w:rsidRDefault="000939E0" w:rsidP="00C40CC4">
            <w:pPr>
              <w:pStyle w:val="Tabletext"/>
              <w:keepNext/>
            </w:pPr>
            <w:r w:rsidRPr="00447205">
              <w:t>Noninferior</w:t>
            </w:r>
            <w:r w:rsidRPr="00447205">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47205" w:rsidRDefault="000939E0" w:rsidP="00C40CC4">
            <w:pPr>
              <w:pStyle w:val="Tabletext"/>
              <w:keepNext/>
            </w:pPr>
            <w:r w:rsidRPr="00447205">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47205" w:rsidRDefault="000939E0" w:rsidP="00C40CC4">
            <w:pPr>
              <w:pStyle w:val="Tabletext"/>
              <w:keepNext/>
            </w:pPr>
            <w:r w:rsidRPr="00447205">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47205" w:rsidRDefault="000939E0" w:rsidP="00C40CC4">
            <w:pPr>
              <w:pStyle w:val="Tabletext"/>
              <w:keepNext/>
            </w:pPr>
            <w:r w:rsidRPr="00447205">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47205" w:rsidRDefault="000939E0" w:rsidP="00C40CC4">
            <w:pPr>
              <w:pStyle w:val="Tabletext"/>
              <w:keepNext/>
            </w:pPr>
            <w:r w:rsidRPr="00447205">
              <w:t>CEA/CUA</w:t>
            </w:r>
          </w:p>
        </w:tc>
      </w:tr>
      <w:tr w:rsidR="000939E0" w:rsidRPr="00447205"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47205" w:rsidRDefault="000939E0" w:rsidP="00C40CC4">
            <w:pPr>
              <w:pStyle w:val="Tabletext"/>
              <w:keepNext/>
            </w:pPr>
            <w:r w:rsidRPr="00447205">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47205" w:rsidRDefault="000939E0" w:rsidP="00C40CC4">
            <w:pPr>
              <w:pStyle w:val="Tabletext"/>
              <w:keepNext/>
            </w:pPr>
            <w:r w:rsidRPr="00447205">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47205" w:rsidRDefault="000939E0" w:rsidP="00C40CC4">
            <w:pPr>
              <w:pStyle w:val="Tabletext"/>
              <w:keepNext/>
            </w:pPr>
            <w:r w:rsidRPr="00447205">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47205" w:rsidRDefault="000939E0" w:rsidP="00C40CC4">
            <w:pPr>
              <w:pStyle w:val="Tabletext"/>
              <w:keepNext/>
            </w:pPr>
            <w:r w:rsidRPr="00447205">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47205" w:rsidRDefault="000939E0" w:rsidP="00C40CC4">
            <w:pPr>
              <w:pStyle w:val="Tabletext"/>
              <w:keepNext/>
            </w:pPr>
            <w:r w:rsidRPr="00447205">
              <w:t>CEA/CUA</w:t>
            </w:r>
          </w:p>
        </w:tc>
      </w:tr>
    </w:tbl>
    <w:p w14:paraId="6538A3FB" w14:textId="77777777" w:rsidR="000939E0" w:rsidRPr="00447205" w:rsidRDefault="000939E0" w:rsidP="00C40CC4">
      <w:pPr>
        <w:pStyle w:val="Tablenotes"/>
        <w:keepNext/>
        <w:spacing w:before="120"/>
        <w:rPr>
          <w:szCs w:val="18"/>
        </w:rPr>
      </w:pPr>
      <w:r w:rsidRPr="00447205">
        <w:rPr>
          <w:szCs w:val="18"/>
        </w:rPr>
        <w:t>CEA=cost-effectiveness analysis; CMA=cost-minimisation analysis; CUA=cost-utility analysis</w:t>
      </w:r>
    </w:p>
    <w:p w14:paraId="48F7CED7" w14:textId="77777777" w:rsidR="000939E0" w:rsidRPr="00447205" w:rsidRDefault="000939E0" w:rsidP="00C40CC4">
      <w:pPr>
        <w:pStyle w:val="Tablenotes"/>
        <w:keepNext/>
        <w:rPr>
          <w:b/>
          <w:szCs w:val="18"/>
        </w:rPr>
      </w:pPr>
      <w:r w:rsidRPr="00447205">
        <w:rPr>
          <w:szCs w:val="18"/>
        </w:rPr>
        <w:t xml:space="preserve">? = reflect uncertainties and any identified health trade-offs in the economic evaluation, as a minimum in a cost-consequences analysis </w:t>
      </w:r>
    </w:p>
    <w:p w14:paraId="65C6F534" w14:textId="77777777" w:rsidR="000939E0" w:rsidRPr="00447205" w:rsidRDefault="000939E0" w:rsidP="00C40CC4">
      <w:pPr>
        <w:pStyle w:val="Tablenotes"/>
        <w:keepNext/>
        <w:rPr>
          <w:b/>
          <w:szCs w:val="18"/>
        </w:rPr>
      </w:pPr>
      <w:r w:rsidRPr="00447205">
        <w:rPr>
          <w:szCs w:val="18"/>
          <w:vertAlign w:val="superscript"/>
        </w:rPr>
        <w:t>a</w:t>
      </w:r>
      <w:r w:rsidRPr="00447205">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5FCB6249" w14:textId="24E3A717" w:rsidR="00FA118E" w:rsidRDefault="000939E0" w:rsidP="00CE1276">
      <w:pPr>
        <w:pStyle w:val="Tablenotes"/>
        <w:rPr>
          <w:rFonts w:ascii="Franklin Gothic Medium" w:eastAsiaTheme="majorEastAsia" w:hAnsi="Franklin Gothic Medium" w:cstheme="majorBidi"/>
          <w:color w:val="000000" w:themeColor="text1"/>
          <w:sz w:val="32"/>
          <w:szCs w:val="26"/>
        </w:rPr>
      </w:pPr>
      <w:r w:rsidRPr="00447205">
        <w:rPr>
          <w:szCs w:val="18"/>
          <w:vertAlign w:val="superscript"/>
        </w:rPr>
        <w:t>b</w:t>
      </w:r>
      <w:r w:rsidRPr="00447205">
        <w:rPr>
          <w:szCs w:val="18"/>
        </w:rPr>
        <w:t> An adequate assessment of ‘noninferiority’ is the preferred basis for demonstrating equivalence</w:t>
      </w:r>
      <w:r w:rsidR="00FA118E">
        <w:br w:type="page"/>
      </w:r>
    </w:p>
    <w:p w14:paraId="6858ED82" w14:textId="7C9307F1" w:rsidR="00CE1276" w:rsidRDefault="00D73332" w:rsidP="000D0AA6">
      <w:pPr>
        <w:pStyle w:val="Heading2"/>
      </w:pPr>
      <w:r w:rsidRPr="00447205">
        <w:lastRenderedPageBreak/>
        <w:t>Propos</w:t>
      </w:r>
      <w:r w:rsidR="000D1FCF" w:rsidRPr="00447205">
        <w:t>al for public funding</w:t>
      </w:r>
    </w:p>
    <w:p w14:paraId="47E0AD65" w14:textId="3F57C19A" w:rsidR="00091C1B" w:rsidRPr="00447205" w:rsidRDefault="00091C1B" w:rsidP="00091C1B">
      <w:r w:rsidRPr="00447205">
        <w:t xml:space="preserve">The applicant </w:t>
      </w:r>
      <w:r w:rsidR="00CE1276" w:rsidRPr="00447205">
        <w:t>propose</w:t>
      </w:r>
      <w:r w:rsidR="00CE1276">
        <w:t>d</w:t>
      </w:r>
      <w:r w:rsidR="00CE1276" w:rsidRPr="00447205">
        <w:t xml:space="preserve"> </w:t>
      </w:r>
      <w:r w:rsidR="00FB4612" w:rsidRPr="00447205">
        <w:t xml:space="preserve">public funding for </w:t>
      </w:r>
      <w:r w:rsidRPr="00447205">
        <w:t xml:space="preserve">WBMRI for patients with a clinically actionable germline pathogenic or likely pathogenic </w:t>
      </w:r>
      <w:r w:rsidRPr="00E6096F">
        <w:rPr>
          <w:i/>
          <w:iCs/>
        </w:rPr>
        <w:t>TP53</w:t>
      </w:r>
      <w:r w:rsidRPr="00447205">
        <w:t xml:space="preserve"> variant. The </w:t>
      </w:r>
      <w:r w:rsidR="009310A1">
        <w:t xml:space="preserve">requested item descriptor provided </w:t>
      </w:r>
      <w:r w:rsidR="00CE1276">
        <w:t xml:space="preserve">in the application is presented </w:t>
      </w:r>
      <w:r w:rsidR="009310A1">
        <w:t>below</w:t>
      </w:r>
      <w:r w:rsidRPr="00447205">
        <w: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447205"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1ECAFF38" w:rsidR="002F3E40" w:rsidRPr="00447205" w:rsidRDefault="002F3E40" w:rsidP="00D2670B">
            <w:pPr>
              <w:spacing w:before="40" w:after="40" w:line="240" w:lineRule="auto"/>
              <w:rPr>
                <w:rFonts w:ascii="Arial Narrow" w:hAnsi="Arial Narrow"/>
                <w:sz w:val="20"/>
                <w:szCs w:val="20"/>
              </w:rPr>
            </w:pPr>
            <w:r w:rsidRPr="00447205">
              <w:rPr>
                <w:rFonts w:ascii="Arial Narrow" w:hAnsi="Arial Narrow"/>
                <w:sz w:val="20"/>
                <w:szCs w:val="20"/>
              </w:rPr>
              <w:t>Category</w:t>
            </w:r>
            <w:r w:rsidR="00996A14" w:rsidRPr="00447205">
              <w:rPr>
                <w:rFonts w:ascii="Arial Narrow" w:hAnsi="Arial Narrow"/>
                <w:sz w:val="20"/>
                <w:szCs w:val="20"/>
              </w:rPr>
              <w:t xml:space="preserve"> 5 – Diagnostic Imaging Services</w:t>
            </w:r>
          </w:p>
        </w:tc>
      </w:tr>
      <w:tr w:rsidR="002F3E40" w:rsidRPr="00447205"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26B97890" w:rsidR="002F3E40" w:rsidRPr="00447205" w:rsidRDefault="000D1FCF" w:rsidP="00D2670B">
            <w:pPr>
              <w:spacing w:before="120" w:after="120" w:line="240" w:lineRule="auto"/>
              <w:rPr>
                <w:rFonts w:ascii="Arial Narrow" w:hAnsi="Arial Narrow"/>
                <w:sz w:val="20"/>
                <w:szCs w:val="20"/>
              </w:rPr>
            </w:pPr>
            <w:r w:rsidRPr="00447205">
              <w:rPr>
                <w:rFonts w:ascii="Arial Narrow" w:hAnsi="Arial Narrow"/>
                <w:sz w:val="20"/>
                <w:szCs w:val="20"/>
              </w:rPr>
              <w:t xml:space="preserve">MBS item </w:t>
            </w:r>
            <w:r w:rsidR="004E3ABF" w:rsidRPr="00447205">
              <w:rPr>
                <w:rFonts w:ascii="Arial Narrow" w:hAnsi="Arial Narrow"/>
                <w:sz w:val="20"/>
                <w:szCs w:val="20"/>
              </w:rPr>
              <w:t>*</w:t>
            </w:r>
            <w:r w:rsidRPr="00447205">
              <w:rPr>
                <w:rFonts w:ascii="Arial Narrow" w:hAnsi="Arial Narrow"/>
                <w:sz w:val="20"/>
                <w:szCs w:val="20"/>
              </w:rPr>
              <w:t>XXXX</w:t>
            </w:r>
          </w:p>
          <w:p w14:paraId="0F8EB345" w14:textId="111605E7" w:rsidR="000D1FCF" w:rsidRPr="00447205" w:rsidRDefault="00996A14" w:rsidP="00D2670B">
            <w:pPr>
              <w:spacing w:before="120" w:after="120" w:line="240" w:lineRule="auto"/>
              <w:rPr>
                <w:rFonts w:ascii="Arial Narrow" w:hAnsi="Arial Narrow"/>
                <w:sz w:val="20"/>
                <w:szCs w:val="20"/>
              </w:rPr>
            </w:pPr>
            <w:r w:rsidRPr="00447205">
              <w:rPr>
                <w:rFonts w:ascii="Arial Narrow" w:hAnsi="Arial Narrow"/>
                <w:sz w:val="20"/>
                <w:szCs w:val="20"/>
              </w:rPr>
              <w:t xml:space="preserve">Whole body magnetic </w:t>
            </w:r>
            <w:r w:rsidR="00447205" w:rsidRPr="00447205">
              <w:rPr>
                <w:rFonts w:ascii="Arial Narrow" w:hAnsi="Arial Narrow"/>
                <w:sz w:val="20"/>
                <w:szCs w:val="20"/>
              </w:rPr>
              <w:t>resonance</w:t>
            </w:r>
            <w:r w:rsidRPr="00447205">
              <w:rPr>
                <w:rFonts w:ascii="Arial Narrow" w:hAnsi="Arial Narrow"/>
                <w:sz w:val="20"/>
                <w:szCs w:val="20"/>
              </w:rPr>
              <w:t xml:space="preserve"> imaging</w:t>
            </w:r>
          </w:p>
          <w:p w14:paraId="5379CBCB" w14:textId="286702F1" w:rsidR="002F3E40" w:rsidRPr="00447205" w:rsidRDefault="00996A14" w:rsidP="00D2670B">
            <w:pPr>
              <w:spacing w:before="120" w:after="120" w:line="240" w:lineRule="auto"/>
              <w:rPr>
                <w:rFonts w:ascii="Arial Narrow" w:hAnsi="Arial Narrow"/>
                <w:sz w:val="20"/>
                <w:szCs w:val="20"/>
              </w:rPr>
            </w:pPr>
            <w:r w:rsidRPr="00447205">
              <w:rPr>
                <w:rFonts w:ascii="Arial Narrow" w:hAnsi="Arial Narrow"/>
                <w:sz w:val="20"/>
                <w:szCs w:val="20"/>
              </w:rPr>
              <w:t xml:space="preserve">Whole body scan for the detection of cancer, the request for the scan identifies that the person is aged 18-65 years of age and has a high risk of developing solid cancer due to the presence of a pathogenic or likely pathogenic variant in the </w:t>
            </w:r>
            <w:r w:rsidRPr="00E6096F">
              <w:rPr>
                <w:rFonts w:ascii="Arial Narrow" w:hAnsi="Arial Narrow"/>
                <w:i/>
                <w:iCs/>
                <w:sz w:val="20"/>
                <w:szCs w:val="20"/>
              </w:rPr>
              <w:t xml:space="preserve">TP53 </w:t>
            </w:r>
            <w:r w:rsidRPr="00447205">
              <w:rPr>
                <w:rFonts w:ascii="Arial Narrow" w:hAnsi="Arial Narrow"/>
                <w:sz w:val="20"/>
                <w:szCs w:val="20"/>
              </w:rPr>
              <w:t>gene</w:t>
            </w:r>
            <w:r w:rsidR="007B47DA">
              <w:rPr>
                <w:rFonts w:ascii="Arial Narrow" w:hAnsi="Arial Narrow"/>
                <w:sz w:val="20"/>
                <w:szCs w:val="20"/>
              </w:rPr>
              <w:t>.</w:t>
            </w:r>
          </w:p>
        </w:tc>
      </w:tr>
      <w:tr w:rsidR="00D2670B" w:rsidRPr="00447205"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6403F6F9" w:rsidR="00D2670B" w:rsidRPr="00447205" w:rsidRDefault="00D2670B" w:rsidP="00D2670B">
            <w:pPr>
              <w:spacing w:before="40" w:after="40" w:line="240" w:lineRule="auto"/>
              <w:rPr>
                <w:rFonts w:ascii="Arial Narrow" w:hAnsi="Arial Narrow"/>
                <w:sz w:val="20"/>
                <w:szCs w:val="20"/>
              </w:rPr>
            </w:pPr>
            <w:r w:rsidRPr="00447205">
              <w:rPr>
                <w:rFonts w:ascii="Arial Narrow" w:hAnsi="Arial Narrow"/>
                <w:sz w:val="20"/>
                <w:szCs w:val="20"/>
              </w:rPr>
              <w:t xml:space="preserve">Fee: </w:t>
            </w:r>
            <w:r w:rsidR="00996A14" w:rsidRPr="00447205">
              <w:rPr>
                <w:rFonts w:ascii="Arial Narrow" w:hAnsi="Arial Narrow"/>
                <w:sz w:val="20"/>
                <w:szCs w:val="20"/>
              </w:rPr>
              <w:t>$1,500.00</w:t>
            </w:r>
          </w:p>
        </w:tc>
      </w:tr>
    </w:tbl>
    <w:p w14:paraId="5DDEF77F" w14:textId="50247ACC" w:rsidR="00804C28" w:rsidRDefault="007563CE" w:rsidP="00DC1BEC">
      <w:pPr>
        <w:pStyle w:val="Instructionaltext-afterfiguretable"/>
        <w:rPr>
          <w:color w:val="auto"/>
        </w:rPr>
      </w:pPr>
      <w:r w:rsidRPr="00CE1276">
        <w:rPr>
          <w:color w:val="auto"/>
        </w:rPr>
        <w:t xml:space="preserve">Amendments to the item descriptor are </w:t>
      </w:r>
      <w:r w:rsidR="00CE1276">
        <w:rPr>
          <w:color w:val="auto"/>
        </w:rPr>
        <w:t>provided below</w:t>
      </w:r>
      <w:r w:rsidRPr="00CE1276">
        <w:rPr>
          <w:color w:val="auto"/>
        </w:rPr>
        <w:t>.</w:t>
      </w:r>
    </w:p>
    <w:p w14:paraId="06D71156" w14:textId="2287BBDA" w:rsidR="009C34DA" w:rsidRDefault="0078480D" w:rsidP="00DC1BEC">
      <w:pPr>
        <w:pStyle w:val="Instructionaltext-afterfiguretable"/>
        <w:rPr>
          <w:i/>
          <w:iCs/>
          <w:color w:val="auto"/>
        </w:rPr>
      </w:pPr>
      <w:r>
        <w:rPr>
          <w:i/>
          <w:iCs/>
          <w:color w:val="auto"/>
        </w:rPr>
        <w:t>PASC suggested further changes to the amended item descriptor (noted by struck-through and underlined text).</w:t>
      </w:r>
    </w:p>
    <w:p w14:paraId="31A6B80F" w14:textId="310ACFEA" w:rsidR="00861B20" w:rsidRPr="00CE1276" w:rsidRDefault="007563CE" w:rsidP="00DC1BEC">
      <w:pPr>
        <w:pStyle w:val="Instructionaltext-afterfiguretable"/>
        <w:rPr>
          <w:color w:val="auto"/>
        </w:rPr>
      </w:pPr>
      <w:r w:rsidRPr="00CE1276">
        <w:rPr>
          <w:color w:val="auto"/>
        </w:rPr>
        <w:t xml:space="preserve">The applicant has indicated </w:t>
      </w:r>
      <w:r w:rsidR="007B47DA" w:rsidRPr="00CE1276">
        <w:rPr>
          <w:color w:val="auto"/>
        </w:rPr>
        <w:t>agreement with these changes.</w:t>
      </w:r>
      <w:r w:rsidR="00FF4165">
        <w:rPr>
          <w:color w:val="auto"/>
        </w:rPr>
        <w:t xml:space="preserve"> Consideration should be given to whether there should be separate item descriptors for those aged &lt;18 and those aged 18-65 years.</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861B20" w:rsidRPr="00447205" w14:paraId="030083FD" w14:textId="77777777" w:rsidTr="00926EE2">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3EFD663" w14:textId="77777777" w:rsidR="00861B20" w:rsidRPr="00447205" w:rsidRDefault="00861B20" w:rsidP="00926EE2">
            <w:pPr>
              <w:spacing w:before="40" w:after="40" w:line="240" w:lineRule="auto"/>
              <w:rPr>
                <w:rFonts w:ascii="Arial Narrow" w:hAnsi="Arial Narrow"/>
                <w:sz w:val="20"/>
                <w:szCs w:val="20"/>
              </w:rPr>
            </w:pPr>
            <w:r w:rsidRPr="00447205">
              <w:rPr>
                <w:rFonts w:ascii="Arial Narrow" w:hAnsi="Arial Narrow"/>
                <w:sz w:val="20"/>
                <w:szCs w:val="20"/>
              </w:rPr>
              <w:t>Category 5 – Diagnostic Imaging Services</w:t>
            </w:r>
          </w:p>
        </w:tc>
      </w:tr>
      <w:tr w:rsidR="00861B20" w:rsidRPr="00447205" w14:paraId="5E075378" w14:textId="77777777" w:rsidTr="00926EE2">
        <w:trPr>
          <w:cantSplit/>
          <w:tblHeader/>
        </w:trPr>
        <w:tc>
          <w:tcPr>
            <w:tcW w:w="9242" w:type="dxa"/>
            <w:tcBorders>
              <w:top w:val="single" w:sz="4" w:space="0" w:color="auto"/>
              <w:left w:val="single" w:sz="4" w:space="0" w:color="auto"/>
              <w:bottom w:val="single" w:sz="4" w:space="0" w:color="auto"/>
              <w:right w:val="single" w:sz="4" w:space="0" w:color="auto"/>
            </w:tcBorders>
          </w:tcPr>
          <w:p w14:paraId="45D4233A" w14:textId="77777777" w:rsidR="00861B20" w:rsidRPr="00447205" w:rsidRDefault="00861B20" w:rsidP="00926EE2">
            <w:pPr>
              <w:spacing w:before="120" w:after="120" w:line="240" w:lineRule="auto"/>
              <w:rPr>
                <w:rFonts w:ascii="Arial Narrow" w:hAnsi="Arial Narrow"/>
                <w:sz w:val="20"/>
                <w:szCs w:val="20"/>
              </w:rPr>
            </w:pPr>
            <w:r w:rsidRPr="00447205">
              <w:rPr>
                <w:rFonts w:ascii="Arial Narrow" w:hAnsi="Arial Narrow"/>
                <w:sz w:val="20"/>
                <w:szCs w:val="20"/>
              </w:rPr>
              <w:t>MBS item *XXXX</w:t>
            </w:r>
          </w:p>
          <w:p w14:paraId="1948A80F" w14:textId="1AAD8CEE" w:rsidR="00CE1276" w:rsidRPr="00CE1276" w:rsidRDefault="00CE1276" w:rsidP="00CE1276">
            <w:pPr>
              <w:spacing w:before="120" w:after="120" w:line="240" w:lineRule="auto"/>
              <w:rPr>
                <w:rFonts w:ascii="Arial Narrow" w:hAnsi="Arial Narrow"/>
                <w:sz w:val="20"/>
                <w:szCs w:val="20"/>
              </w:rPr>
            </w:pPr>
            <w:r w:rsidRPr="00CE1276">
              <w:rPr>
                <w:rFonts w:ascii="Arial Narrow" w:hAnsi="Arial Narrow"/>
                <w:sz w:val="20"/>
                <w:szCs w:val="20"/>
              </w:rPr>
              <w:t xml:space="preserve">MRI – whole body scan for the </w:t>
            </w:r>
            <w:r w:rsidR="0078480D" w:rsidRPr="0078480D">
              <w:rPr>
                <w:rFonts w:ascii="Arial Narrow" w:hAnsi="Arial Narrow"/>
                <w:sz w:val="20"/>
                <w:szCs w:val="20"/>
                <w:u w:val="single"/>
              </w:rPr>
              <w:t>early</w:t>
            </w:r>
            <w:r w:rsidR="0078480D">
              <w:rPr>
                <w:rFonts w:ascii="Arial Narrow" w:hAnsi="Arial Narrow"/>
                <w:sz w:val="20"/>
                <w:szCs w:val="20"/>
              </w:rPr>
              <w:t xml:space="preserve"> </w:t>
            </w:r>
            <w:r w:rsidRPr="0078480D">
              <w:rPr>
                <w:rFonts w:ascii="Arial Narrow" w:hAnsi="Arial Narrow"/>
                <w:sz w:val="20"/>
                <w:szCs w:val="20"/>
              </w:rPr>
              <w:t>detection</w:t>
            </w:r>
            <w:r w:rsidRPr="00CE1276">
              <w:rPr>
                <w:rFonts w:ascii="Arial Narrow" w:hAnsi="Arial Narrow"/>
                <w:sz w:val="20"/>
                <w:szCs w:val="20"/>
              </w:rPr>
              <w:t xml:space="preserve"> of cancer, requested by a specialist or consultant physician in consultation with a clinical geneticist in a familial cancer or genetic clinic and the request identifies that:</w:t>
            </w:r>
          </w:p>
          <w:p w14:paraId="1363F8FB" w14:textId="2C9404D7" w:rsidR="00CE1276" w:rsidRPr="00CE1276" w:rsidRDefault="00CE1276" w:rsidP="00CE1276">
            <w:pPr>
              <w:spacing w:before="120" w:after="120" w:line="240" w:lineRule="auto"/>
              <w:rPr>
                <w:rFonts w:ascii="Arial Narrow" w:hAnsi="Arial Narrow"/>
                <w:sz w:val="20"/>
                <w:szCs w:val="20"/>
              </w:rPr>
            </w:pPr>
            <w:r w:rsidRPr="00CE1276">
              <w:rPr>
                <w:rFonts w:ascii="Arial Narrow" w:hAnsi="Arial Narrow"/>
                <w:sz w:val="20"/>
                <w:szCs w:val="20"/>
              </w:rPr>
              <w:t xml:space="preserve"> - the person is aged </w:t>
            </w:r>
            <w:r w:rsidRPr="00E17351">
              <w:rPr>
                <w:rFonts w:ascii="Arial Narrow" w:hAnsi="Arial Narrow"/>
                <w:strike/>
                <w:sz w:val="20"/>
                <w:szCs w:val="20"/>
              </w:rPr>
              <w:t>18-</w:t>
            </w:r>
            <w:r w:rsidRPr="00CE1276">
              <w:rPr>
                <w:rFonts w:ascii="Arial Narrow" w:hAnsi="Arial Narrow"/>
                <w:sz w:val="20"/>
                <w:szCs w:val="20"/>
              </w:rPr>
              <w:t xml:space="preserve">65 years </w:t>
            </w:r>
            <w:r w:rsidRPr="00E17351">
              <w:rPr>
                <w:rFonts w:ascii="Arial Narrow" w:hAnsi="Arial Narrow"/>
                <w:strike/>
                <w:sz w:val="20"/>
                <w:szCs w:val="20"/>
              </w:rPr>
              <w:t>of age</w:t>
            </w:r>
            <w:r>
              <w:rPr>
                <w:rFonts w:ascii="Arial Narrow" w:hAnsi="Arial Narrow"/>
                <w:sz w:val="20"/>
                <w:szCs w:val="20"/>
              </w:rPr>
              <w:t xml:space="preserve"> or less</w:t>
            </w:r>
            <w:r w:rsidRPr="00CE1276">
              <w:rPr>
                <w:rFonts w:ascii="Arial Narrow" w:hAnsi="Arial Narrow"/>
                <w:sz w:val="20"/>
                <w:szCs w:val="20"/>
              </w:rPr>
              <w:t>; and</w:t>
            </w:r>
          </w:p>
          <w:p w14:paraId="7D536B21" w14:textId="1152A9FD" w:rsidR="00CE1276" w:rsidRPr="00CE1276" w:rsidRDefault="00CE1276" w:rsidP="00CE1276">
            <w:pPr>
              <w:spacing w:before="120" w:after="120" w:line="240" w:lineRule="auto"/>
              <w:rPr>
                <w:rFonts w:ascii="Arial Narrow" w:hAnsi="Arial Narrow"/>
                <w:sz w:val="20"/>
                <w:szCs w:val="20"/>
              </w:rPr>
            </w:pPr>
            <w:r w:rsidRPr="00CE1276">
              <w:rPr>
                <w:rFonts w:ascii="Arial Narrow" w:hAnsi="Arial Narrow"/>
                <w:sz w:val="20"/>
                <w:szCs w:val="20"/>
              </w:rPr>
              <w:t xml:space="preserve">- has a high risk of developing </w:t>
            </w:r>
            <w:r w:rsidRPr="00E17351">
              <w:rPr>
                <w:rFonts w:ascii="Arial Narrow" w:hAnsi="Arial Narrow"/>
                <w:strike/>
                <w:sz w:val="20"/>
                <w:szCs w:val="20"/>
              </w:rPr>
              <w:t>solid cancer</w:t>
            </w:r>
            <w:r w:rsidR="0078480D">
              <w:rPr>
                <w:rFonts w:ascii="Arial Narrow" w:hAnsi="Arial Narrow"/>
                <w:sz w:val="20"/>
                <w:szCs w:val="20"/>
              </w:rPr>
              <w:t xml:space="preserve"> </w:t>
            </w:r>
            <w:r w:rsidR="0078480D" w:rsidRPr="00E17351">
              <w:rPr>
                <w:rFonts w:ascii="Arial Narrow" w:hAnsi="Arial Narrow"/>
                <w:sz w:val="20"/>
                <w:szCs w:val="20"/>
                <w:u w:val="single"/>
              </w:rPr>
              <w:t>malignancy</w:t>
            </w:r>
            <w:r w:rsidRPr="00CE1276">
              <w:rPr>
                <w:rFonts w:ascii="Arial Narrow" w:hAnsi="Arial Narrow"/>
                <w:sz w:val="20"/>
                <w:szCs w:val="20"/>
              </w:rPr>
              <w:t xml:space="preserve"> due to the presence of a </w:t>
            </w:r>
            <w:r w:rsidRPr="00E17351">
              <w:rPr>
                <w:rFonts w:ascii="Arial Narrow" w:hAnsi="Arial Narrow"/>
                <w:sz w:val="20"/>
                <w:szCs w:val="20"/>
                <w:u w:val="single"/>
              </w:rPr>
              <w:t>germline</w:t>
            </w:r>
            <w:r>
              <w:rPr>
                <w:rFonts w:ascii="Arial Narrow" w:hAnsi="Arial Narrow"/>
                <w:sz w:val="20"/>
                <w:szCs w:val="20"/>
              </w:rPr>
              <w:t xml:space="preserve"> </w:t>
            </w:r>
            <w:r w:rsidRPr="00CE1276">
              <w:rPr>
                <w:rFonts w:ascii="Arial Narrow" w:hAnsi="Arial Narrow"/>
                <w:sz w:val="20"/>
                <w:szCs w:val="20"/>
              </w:rPr>
              <w:t xml:space="preserve">pathogenic or likely pathogenic variant in the </w:t>
            </w:r>
            <w:r w:rsidRPr="00E17351">
              <w:rPr>
                <w:rFonts w:ascii="Arial Narrow" w:hAnsi="Arial Narrow"/>
                <w:i/>
                <w:iCs/>
                <w:sz w:val="20"/>
                <w:szCs w:val="20"/>
              </w:rPr>
              <w:t>TP53</w:t>
            </w:r>
            <w:r w:rsidRPr="00CE1276">
              <w:rPr>
                <w:rFonts w:ascii="Arial Narrow" w:hAnsi="Arial Narrow"/>
                <w:sz w:val="20"/>
                <w:szCs w:val="20"/>
              </w:rPr>
              <w:t xml:space="preserve"> gene.</w:t>
            </w:r>
          </w:p>
          <w:p w14:paraId="33FF23A6" w14:textId="4043F0FC" w:rsidR="00BB507B" w:rsidRPr="00F3567D" w:rsidRDefault="00CE1276" w:rsidP="00926EE2">
            <w:pPr>
              <w:spacing w:before="120" w:after="120" w:line="240" w:lineRule="auto"/>
              <w:rPr>
                <w:rFonts w:ascii="Arial Narrow" w:hAnsi="Arial Narrow"/>
                <w:sz w:val="20"/>
                <w:szCs w:val="20"/>
                <w:u w:val="single"/>
              </w:rPr>
            </w:pPr>
            <w:r w:rsidRPr="00CE1276">
              <w:rPr>
                <w:rFonts w:ascii="Arial Narrow" w:hAnsi="Arial Narrow"/>
                <w:sz w:val="20"/>
                <w:szCs w:val="20"/>
              </w:rPr>
              <w:t>Restricted to one scan per 12 months.</w:t>
            </w:r>
          </w:p>
        </w:tc>
      </w:tr>
      <w:tr w:rsidR="00861B20" w:rsidRPr="00447205" w14:paraId="36E3E739" w14:textId="77777777" w:rsidTr="00926EE2">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A1A1D53" w14:textId="77777777" w:rsidR="00861B20" w:rsidRPr="00447205" w:rsidRDefault="00861B20" w:rsidP="00926EE2">
            <w:pPr>
              <w:spacing w:before="40" w:after="40" w:line="240" w:lineRule="auto"/>
              <w:rPr>
                <w:rFonts w:ascii="Arial Narrow" w:hAnsi="Arial Narrow"/>
                <w:sz w:val="20"/>
                <w:szCs w:val="20"/>
              </w:rPr>
            </w:pPr>
            <w:r w:rsidRPr="00447205">
              <w:rPr>
                <w:rFonts w:ascii="Arial Narrow" w:hAnsi="Arial Narrow"/>
                <w:sz w:val="20"/>
                <w:szCs w:val="20"/>
              </w:rPr>
              <w:t>Fee: $1,500.00</w:t>
            </w:r>
          </w:p>
        </w:tc>
      </w:tr>
    </w:tbl>
    <w:p w14:paraId="1944D1F5" w14:textId="77777777" w:rsidR="0078480D" w:rsidRDefault="0078480D" w:rsidP="007D2DFC"/>
    <w:p w14:paraId="4E216BC1" w14:textId="4C3E6892" w:rsidR="00804C28" w:rsidRDefault="00861B20" w:rsidP="0078480D">
      <w:r w:rsidRPr="00CE1276">
        <w:t>Th</w:t>
      </w:r>
      <w:r w:rsidR="009371B6" w:rsidRPr="00CE1276">
        <w:t>e requested fee of $1,500</w:t>
      </w:r>
      <w:r w:rsidRPr="00CE1276">
        <w:t xml:space="preserve"> compares with MBS fees </w:t>
      </w:r>
      <w:r w:rsidR="007563CE" w:rsidRPr="00CE1276">
        <w:t xml:space="preserve">(as at 5 July 2021) for </w:t>
      </w:r>
      <w:r w:rsidRPr="00CE1276">
        <w:t>MRI</w:t>
      </w:r>
      <w:r w:rsidR="007563CE" w:rsidRPr="00CE1276">
        <w:t xml:space="preserve"> scans of the head ranging from $336.00 to $403.20 and MRI scans of both breasts of $690.00. The application did not provide a justification for the requested fee.</w:t>
      </w:r>
    </w:p>
    <w:p w14:paraId="6B3C7923" w14:textId="4DC9B494" w:rsidR="00861B20" w:rsidRPr="00CE1276" w:rsidRDefault="00CE1276" w:rsidP="0078480D">
      <w:pPr>
        <w:rPr>
          <w:i/>
          <w:iCs/>
        </w:rPr>
      </w:pPr>
      <w:r w:rsidRPr="00CE1276">
        <w:rPr>
          <w:i/>
          <w:iCs/>
        </w:rPr>
        <w:t xml:space="preserve">PASC noted that </w:t>
      </w:r>
      <w:r>
        <w:rPr>
          <w:i/>
          <w:iCs/>
        </w:rPr>
        <w:t xml:space="preserve">justification of </w:t>
      </w:r>
      <w:r w:rsidRPr="00CE1276">
        <w:rPr>
          <w:i/>
          <w:iCs/>
        </w:rPr>
        <w:t>the proposed fee</w:t>
      </w:r>
      <w:r>
        <w:rPr>
          <w:i/>
          <w:iCs/>
        </w:rPr>
        <w:t xml:space="preserve"> remained unresolved and should be addressed in the assessment report</w:t>
      </w:r>
      <w:r w:rsidRPr="00CE1276">
        <w:rPr>
          <w:i/>
          <w:iCs/>
        </w:rPr>
        <w:t>.</w:t>
      </w:r>
    </w:p>
    <w:p w14:paraId="5FAD3B3B" w14:textId="3C9DBDA1" w:rsidR="000D0AA6" w:rsidRDefault="009310A1" w:rsidP="00DC1BEC">
      <w:pPr>
        <w:pStyle w:val="Instructionaltext-afterfiguretable"/>
        <w:rPr>
          <w:color w:val="auto"/>
        </w:rPr>
      </w:pPr>
      <w:r w:rsidRPr="00E6096F">
        <w:rPr>
          <w:color w:val="auto"/>
        </w:rPr>
        <w:t xml:space="preserve">There are no associated applications related to the proposed health technology that are in progress. </w:t>
      </w:r>
    </w:p>
    <w:p w14:paraId="0A809D09" w14:textId="77777777" w:rsidR="000D0AA6" w:rsidRDefault="000D0AA6">
      <w:pPr>
        <w:spacing w:after="160" w:line="259" w:lineRule="auto"/>
        <w:rPr>
          <w:rFonts w:eastAsiaTheme="minorHAnsi" w:cstheme="minorBidi"/>
        </w:rPr>
      </w:pPr>
      <w:r>
        <w:br w:type="page"/>
      </w:r>
    </w:p>
    <w:p w14:paraId="62E62B37" w14:textId="2FA4B112" w:rsidR="0078480D" w:rsidRPr="0078480D" w:rsidRDefault="003F0A39" w:rsidP="000D0AA6">
      <w:pPr>
        <w:pStyle w:val="Heading2"/>
      </w:pPr>
      <w:r w:rsidRPr="00447205">
        <w:lastRenderedPageBreak/>
        <w:t xml:space="preserve">Summary of public consultation </w:t>
      </w:r>
      <w:r w:rsidR="00E470B0" w:rsidRPr="00447205">
        <w:t>input</w:t>
      </w:r>
    </w:p>
    <w:p w14:paraId="16C677E1" w14:textId="77777777" w:rsidR="009A11D2" w:rsidRDefault="009A11D2" w:rsidP="009A11D2">
      <w:r>
        <w:t>Input was received from the following five (5) organisations:</w:t>
      </w:r>
    </w:p>
    <w:p w14:paraId="56F1BB31" w14:textId="77777777" w:rsidR="009A11D2" w:rsidRDefault="009A11D2" w:rsidP="0078480D">
      <w:pPr>
        <w:pStyle w:val="ListParagraph"/>
        <w:numPr>
          <w:ilvl w:val="0"/>
          <w:numId w:val="14"/>
        </w:numPr>
        <w:spacing w:after="160" w:line="256" w:lineRule="auto"/>
        <w:ind w:left="284" w:hanging="284"/>
      </w:pPr>
      <w:r>
        <w:t>Australian Diagnostic Imaging Association (ADIA)</w:t>
      </w:r>
    </w:p>
    <w:p w14:paraId="12A73972" w14:textId="77777777" w:rsidR="009A11D2" w:rsidRDefault="009A11D2" w:rsidP="0078480D">
      <w:pPr>
        <w:pStyle w:val="ListParagraph"/>
        <w:numPr>
          <w:ilvl w:val="0"/>
          <w:numId w:val="14"/>
        </w:numPr>
        <w:spacing w:after="160" w:line="256" w:lineRule="auto"/>
        <w:ind w:left="284" w:hanging="284"/>
      </w:pPr>
      <w:r>
        <w:t>Medical Oncology Group of Australia (MOGA)</w:t>
      </w:r>
    </w:p>
    <w:p w14:paraId="34537A72" w14:textId="77777777" w:rsidR="009A11D2" w:rsidRDefault="009A11D2" w:rsidP="0078480D">
      <w:pPr>
        <w:pStyle w:val="ListParagraph"/>
        <w:numPr>
          <w:ilvl w:val="0"/>
          <w:numId w:val="14"/>
        </w:numPr>
        <w:spacing w:after="160" w:line="256" w:lineRule="auto"/>
        <w:ind w:left="284" w:hanging="284"/>
      </w:pPr>
      <w:r>
        <w:t>Royal College of Pathologists of Australasia (RCPA) - Australian Clinical Labs</w:t>
      </w:r>
    </w:p>
    <w:p w14:paraId="018D2B74" w14:textId="77777777" w:rsidR="009A11D2" w:rsidRDefault="009A11D2" w:rsidP="0078480D">
      <w:pPr>
        <w:pStyle w:val="ListParagraph"/>
        <w:numPr>
          <w:ilvl w:val="0"/>
          <w:numId w:val="14"/>
        </w:numPr>
        <w:spacing w:after="160" w:line="256" w:lineRule="auto"/>
        <w:ind w:left="284" w:hanging="284"/>
      </w:pPr>
      <w:r>
        <w:t>Genetic Alliance Australia</w:t>
      </w:r>
    </w:p>
    <w:p w14:paraId="1FC8B1EC" w14:textId="113E82BB" w:rsidR="009A11D2" w:rsidRDefault="009A11D2" w:rsidP="0078480D">
      <w:pPr>
        <w:pStyle w:val="ListParagraph"/>
        <w:numPr>
          <w:ilvl w:val="0"/>
          <w:numId w:val="14"/>
        </w:numPr>
        <w:spacing w:after="160" w:line="256" w:lineRule="auto"/>
        <w:ind w:left="284" w:hanging="284"/>
      </w:pPr>
      <w:r>
        <w:t>The Royal Australian and New Zealand College of Radiologists (RANZCR)</w:t>
      </w:r>
      <w:r w:rsidR="00D41C8B">
        <w:t>.</w:t>
      </w:r>
    </w:p>
    <w:p w14:paraId="715E67B9" w14:textId="6458E7F4" w:rsidR="009A11D2" w:rsidRDefault="009A11D2" w:rsidP="009A11D2">
      <w:pPr>
        <w:spacing w:line="256" w:lineRule="auto"/>
      </w:pPr>
      <w:r>
        <w:t xml:space="preserve">Feedback was supportive of the application for public funding of whole-body MRI (WBMRI) for the detection of cancer in individuals with germline pathogenic </w:t>
      </w:r>
      <w:r w:rsidRPr="00EA795A">
        <w:rPr>
          <w:i/>
        </w:rPr>
        <w:t>TP53</w:t>
      </w:r>
      <w:r>
        <w:t xml:space="preserve"> variants. One group noted that individuals with Li-Fraumeni syndrome have an extremely high lifetime risk of cancer.</w:t>
      </w:r>
    </w:p>
    <w:p w14:paraId="4DBE2A5E" w14:textId="77777777" w:rsidR="009A11D2" w:rsidRDefault="009A11D2" w:rsidP="009A11D2">
      <w:pPr>
        <w:spacing w:line="256" w:lineRule="auto"/>
      </w:pPr>
      <w:r>
        <w:t>Consultation feedback suggested the advantages were:</w:t>
      </w:r>
    </w:p>
    <w:p w14:paraId="136C27A7" w14:textId="77777777" w:rsidR="009A11D2" w:rsidRDefault="009A11D2" w:rsidP="0078480D">
      <w:pPr>
        <w:pStyle w:val="ListParagraph"/>
        <w:numPr>
          <w:ilvl w:val="0"/>
          <w:numId w:val="15"/>
        </w:numPr>
        <w:spacing w:after="160" w:line="256" w:lineRule="auto"/>
        <w:ind w:left="284" w:hanging="284"/>
      </w:pPr>
      <w:r>
        <w:t>WBMRI is a safe and sensitive method of screening for the proposed population.</w:t>
      </w:r>
    </w:p>
    <w:p w14:paraId="3739DA6E" w14:textId="77777777" w:rsidR="009A11D2" w:rsidRDefault="009A11D2" w:rsidP="0078480D">
      <w:pPr>
        <w:pStyle w:val="ListParagraph"/>
        <w:numPr>
          <w:ilvl w:val="0"/>
          <w:numId w:val="15"/>
        </w:numPr>
        <w:spacing w:after="160" w:line="256" w:lineRule="auto"/>
        <w:ind w:left="284" w:hanging="284"/>
      </w:pPr>
      <w:r>
        <w:t>Early detection and management of inherited cancers which may result in downstaging of disease.</w:t>
      </w:r>
    </w:p>
    <w:p w14:paraId="417D809B" w14:textId="77777777" w:rsidR="009A11D2" w:rsidRDefault="009A11D2" w:rsidP="0078480D">
      <w:pPr>
        <w:pStyle w:val="ListParagraph"/>
        <w:numPr>
          <w:ilvl w:val="0"/>
          <w:numId w:val="15"/>
        </w:numPr>
        <w:spacing w:after="160" w:line="256" w:lineRule="auto"/>
        <w:ind w:left="284" w:hanging="284"/>
      </w:pPr>
      <w:r>
        <w:t>Screening using WBMRI could provide a psychosocial benefit to patients and their families.</w:t>
      </w:r>
    </w:p>
    <w:p w14:paraId="06BBA190" w14:textId="77777777" w:rsidR="009A11D2" w:rsidRDefault="009A11D2" w:rsidP="0078480D">
      <w:pPr>
        <w:pStyle w:val="ListParagraph"/>
        <w:numPr>
          <w:ilvl w:val="0"/>
          <w:numId w:val="15"/>
        </w:numPr>
        <w:spacing w:after="160" w:line="256" w:lineRule="auto"/>
        <w:ind w:left="284" w:hanging="284"/>
      </w:pPr>
      <w:r>
        <w:t>Early detection may increase effectiveness of treatment.</w:t>
      </w:r>
    </w:p>
    <w:p w14:paraId="6731D053" w14:textId="77777777" w:rsidR="009A11D2" w:rsidRDefault="009A11D2" w:rsidP="0078480D">
      <w:pPr>
        <w:pStyle w:val="ListParagraph"/>
        <w:numPr>
          <w:ilvl w:val="0"/>
          <w:numId w:val="15"/>
        </w:numPr>
        <w:spacing w:after="160" w:line="256" w:lineRule="auto"/>
        <w:ind w:left="284" w:hanging="284"/>
      </w:pPr>
      <w:r>
        <w:t>WBMRI is endorsed for the proposed use within international guidelines.</w:t>
      </w:r>
    </w:p>
    <w:p w14:paraId="7D11F723" w14:textId="77777777" w:rsidR="009A11D2" w:rsidRDefault="009A11D2" w:rsidP="0078480D">
      <w:pPr>
        <w:pStyle w:val="ListParagraph"/>
        <w:numPr>
          <w:ilvl w:val="0"/>
          <w:numId w:val="15"/>
        </w:numPr>
        <w:spacing w:after="160" w:line="256" w:lineRule="auto"/>
        <w:ind w:left="284" w:hanging="284"/>
      </w:pPr>
      <w:r>
        <w:t>Early detection of inherited cancers may limit the cancer burden on affected individuals and their families.</w:t>
      </w:r>
    </w:p>
    <w:p w14:paraId="3542E4A3" w14:textId="77777777" w:rsidR="009A11D2" w:rsidRDefault="009A11D2" w:rsidP="000D68F2">
      <w:pPr>
        <w:spacing w:line="256" w:lineRule="auto"/>
      </w:pPr>
      <w:r>
        <w:t>Disadvantages of the proposed testing were:</w:t>
      </w:r>
    </w:p>
    <w:p w14:paraId="624A22D8" w14:textId="77777777" w:rsidR="009A11D2" w:rsidRDefault="009A11D2" w:rsidP="0078480D">
      <w:pPr>
        <w:pStyle w:val="ListParagraph"/>
        <w:numPr>
          <w:ilvl w:val="0"/>
          <w:numId w:val="15"/>
        </w:numPr>
        <w:spacing w:after="160" w:line="256" w:lineRule="auto"/>
        <w:ind w:left="284" w:hanging="284"/>
      </w:pPr>
      <w:r>
        <w:t>Long examination times.</w:t>
      </w:r>
    </w:p>
    <w:p w14:paraId="5127AC4F" w14:textId="59791FDB" w:rsidR="009A11D2" w:rsidRDefault="009A11D2" w:rsidP="0078480D">
      <w:pPr>
        <w:pStyle w:val="ListParagraph"/>
        <w:numPr>
          <w:ilvl w:val="0"/>
          <w:numId w:val="15"/>
        </w:numPr>
        <w:spacing w:after="160" w:line="256" w:lineRule="auto"/>
        <w:ind w:left="284" w:hanging="284"/>
      </w:pPr>
      <w:r>
        <w:t xml:space="preserve">Cost associated with attending </w:t>
      </w:r>
      <w:r w:rsidR="007C5E85">
        <w:t xml:space="preserve">additional </w:t>
      </w:r>
      <w:r>
        <w:t>appointments including loss of income, particularly for those in rural or remote communities.</w:t>
      </w:r>
    </w:p>
    <w:p w14:paraId="7A0A257E" w14:textId="77777777" w:rsidR="009A11D2" w:rsidRDefault="009A11D2" w:rsidP="0078480D">
      <w:pPr>
        <w:pStyle w:val="ListParagraph"/>
        <w:numPr>
          <w:ilvl w:val="0"/>
          <w:numId w:val="15"/>
        </w:numPr>
        <w:spacing w:after="160" w:line="256" w:lineRule="auto"/>
        <w:ind w:left="284" w:hanging="284"/>
      </w:pPr>
      <w:r>
        <w:t>Potential psychological impact.</w:t>
      </w:r>
    </w:p>
    <w:p w14:paraId="724D47F5" w14:textId="77777777" w:rsidR="009A11D2" w:rsidRDefault="009A11D2" w:rsidP="0078480D">
      <w:pPr>
        <w:pStyle w:val="ListParagraph"/>
        <w:numPr>
          <w:ilvl w:val="0"/>
          <w:numId w:val="15"/>
        </w:numPr>
        <w:spacing w:after="160" w:line="256" w:lineRule="auto"/>
        <w:ind w:left="284" w:hanging="284"/>
      </w:pPr>
      <w:r>
        <w:t>The potential for false positives.</w:t>
      </w:r>
    </w:p>
    <w:p w14:paraId="19CE8581" w14:textId="7D800C86" w:rsidR="009A11D2" w:rsidRDefault="009A11D2" w:rsidP="0078480D">
      <w:pPr>
        <w:pStyle w:val="ListParagraph"/>
        <w:numPr>
          <w:ilvl w:val="0"/>
          <w:numId w:val="15"/>
        </w:numPr>
        <w:spacing w:after="160" w:line="256" w:lineRule="auto"/>
        <w:ind w:left="284" w:hanging="284"/>
      </w:pPr>
      <w:r>
        <w:t>Individuals with implants or devices that are contraindicated/unsafe in a magnetic field will be excluded from the service</w:t>
      </w:r>
      <w:r w:rsidR="00164BC1">
        <w:t>.</w:t>
      </w:r>
    </w:p>
    <w:p w14:paraId="4FEE29AB" w14:textId="77777777" w:rsidR="00E17351" w:rsidRPr="003C13FB" w:rsidRDefault="00E17351" w:rsidP="00E17351">
      <w:pPr>
        <w:autoSpaceDE w:val="0"/>
        <w:autoSpaceDN w:val="0"/>
        <w:adjustRightInd w:val="0"/>
        <w:spacing w:line="23" w:lineRule="atLeast"/>
        <w:rPr>
          <w:rFonts w:asciiTheme="minorHAnsi" w:hAnsiTheme="minorHAnsi" w:cstheme="minorHAnsi"/>
          <w:i/>
          <w:iCs/>
        </w:rPr>
      </w:pPr>
      <w:r w:rsidRPr="00FF4165">
        <w:rPr>
          <w:rFonts w:asciiTheme="minorHAnsi" w:hAnsiTheme="minorHAnsi" w:cstheme="minorHAnsi"/>
          <w:i/>
        </w:rPr>
        <w:t>PASC noted that all of the consultation feedback was supportive of the proposal.</w:t>
      </w:r>
    </w:p>
    <w:p w14:paraId="22E47750" w14:textId="77777777" w:rsidR="009A11D2" w:rsidRDefault="009A11D2" w:rsidP="0078480D">
      <w:pPr>
        <w:spacing w:line="256" w:lineRule="auto"/>
      </w:pPr>
      <w:r>
        <w:t>Further comments received in consultation feedback were:</w:t>
      </w:r>
    </w:p>
    <w:p w14:paraId="31C1FC8C" w14:textId="6161CD96" w:rsidR="009A11D2" w:rsidRDefault="009A11D2" w:rsidP="0078480D">
      <w:pPr>
        <w:pStyle w:val="ListParagraph"/>
        <w:numPr>
          <w:ilvl w:val="0"/>
          <w:numId w:val="15"/>
        </w:numPr>
        <w:spacing w:after="160" w:line="256" w:lineRule="auto"/>
        <w:ind w:left="284" w:hanging="284"/>
      </w:pPr>
      <w:r>
        <w:t xml:space="preserve">MSAC could consider the inclusion of other syndromes with increased risk of cancer such as Lynch Syndrome or those with </w:t>
      </w:r>
      <w:r w:rsidRPr="00FF4165">
        <w:rPr>
          <w:i/>
          <w:iCs/>
        </w:rPr>
        <w:t>BRCA1</w:t>
      </w:r>
      <w:r>
        <w:t xml:space="preserve"> and </w:t>
      </w:r>
      <w:r w:rsidRPr="00FF4165">
        <w:rPr>
          <w:i/>
          <w:iCs/>
        </w:rPr>
        <w:t>BRCA2</w:t>
      </w:r>
      <w:r>
        <w:t xml:space="preserve"> variants.</w:t>
      </w:r>
      <w:r w:rsidR="00A36A21">
        <w:t xml:space="preserve"> The applicant agreed and stated that they see this as the future noting that </w:t>
      </w:r>
      <w:r w:rsidR="00A36A21" w:rsidRPr="000D31C6">
        <w:rPr>
          <w:bCs/>
          <w:i/>
          <w:iCs/>
          <w:color w:val="000000" w:themeColor="text1"/>
        </w:rPr>
        <w:t xml:space="preserve">RB1, BRCA2, PTEN, VHL </w:t>
      </w:r>
      <w:r w:rsidR="00A36A21">
        <w:rPr>
          <w:bCs/>
          <w:color w:val="000000" w:themeColor="text1"/>
        </w:rPr>
        <w:t xml:space="preserve">and several other penetrant cancer syndromes have a broad spectrum of cancer susceptibility </w:t>
      </w:r>
      <w:r w:rsidR="00D74F5C">
        <w:rPr>
          <w:bCs/>
          <w:color w:val="000000" w:themeColor="text1"/>
        </w:rPr>
        <w:t>that</w:t>
      </w:r>
      <w:r w:rsidR="00A36A21">
        <w:rPr>
          <w:bCs/>
          <w:color w:val="000000" w:themeColor="text1"/>
        </w:rPr>
        <w:t xml:space="preserve"> may </w:t>
      </w:r>
      <w:r w:rsidR="00D74F5C">
        <w:rPr>
          <w:bCs/>
          <w:color w:val="000000" w:themeColor="text1"/>
        </w:rPr>
        <w:t xml:space="preserve">also </w:t>
      </w:r>
      <w:r w:rsidR="00A36A21">
        <w:rPr>
          <w:bCs/>
          <w:color w:val="000000" w:themeColor="text1"/>
        </w:rPr>
        <w:t>be amenable to WBMRI. However, the applicant noted that specific data for the benefit</w:t>
      </w:r>
      <w:r w:rsidR="00D74F5C">
        <w:rPr>
          <w:bCs/>
          <w:color w:val="000000" w:themeColor="text1"/>
        </w:rPr>
        <w:t xml:space="preserve"> of WBMRI for patients with variants in other genes</w:t>
      </w:r>
      <w:r w:rsidR="00A36A21">
        <w:rPr>
          <w:bCs/>
          <w:color w:val="000000" w:themeColor="text1"/>
        </w:rPr>
        <w:t xml:space="preserve"> </w:t>
      </w:r>
      <w:r w:rsidR="00D74F5C">
        <w:rPr>
          <w:bCs/>
          <w:color w:val="000000" w:themeColor="text1"/>
        </w:rPr>
        <w:t>remain</w:t>
      </w:r>
      <w:r w:rsidR="00A36A21">
        <w:rPr>
          <w:bCs/>
          <w:color w:val="000000" w:themeColor="text1"/>
        </w:rPr>
        <w:t xml:space="preserve"> to be generated.</w:t>
      </w:r>
    </w:p>
    <w:p w14:paraId="62B76924" w14:textId="5C29D794" w:rsidR="007D2DFC" w:rsidRPr="000D0AA6" w:rsidRDefault="00D37A3F" w:rsidP="000D0AA6">
      <w:pPr>
        <w:pStyle w:val="Heading2"/>
      </w:pPr>
      <w:r w:rsidRPr="00447205">
        <w:t>Next steps</w:t>
      </w:r>
    </w:p>
    <w:p w14:paraId="451D2D27" w14:textId="0918C5CB" w:rsidR="007D2DFC" w:rsidRDefault="007D2DFC">
      <w:pPr>
        <w:spacing w:after="160" w:line="259" w:lineRule="auto"/>
        <w:rPr>
          <w:rFonts w:asciiTheme="minorHAnsi" w:hAnsiTheme="minorHAnsi" w:cstheme="minorHAnsi"/>
          <w:i/>
          <w:iCs/>
        </w:rPr>
      </w:pPr>
      <w:r>
        <w:rPr>
          <w:rFonts w:asciiTheme="minorHAnsi" w:hAnsiTheme="minorHAnsi" w:cstheme="minorHAnsi"/>
          <w:i/>
          <w:iCs/>
        </w:rPr>
        <w:t>The applicant has indicated that the assessment should be conducted as a DCAR, with the applicant providing relevant data to inform the assessment.</w:t>
      </w:r>
    </w:p>
    <w:p w14:paraId="1668BFCF" w14:textId="7FE8E151" w:rsidR="00751510" w:rsidRPr="00751510" w:rsidRDefault="00751510" w:rsidP="00751510">
      <w:pPr>
        <w:pStyle w:val="Heading2"/>
      </w:pPr>
      <w:r w:rsidRPr="00751510">
        <w:t>Applicant comments on PICO Confirmation</w:t>
      </w:r>
    </w:p>
    <w:p w14:paraId="566AFC9B" w14:textId="3DBE962A" w:rsidR="008D7250" w:rsidRDefault="00751510">
      <w:pPr>
        <w:spacing w:after="160" w:line="259" w:lineRule="auto"/>
        <w:rPr>
          <w:rFonts w:ascii="Franklin Gothic Medium" w:eastAsiaTheme="majorEastAsia" w:hAnsi="Franklin Gothic Medium" w:cstheme="majorBidi"/>
          <w:color w:val="000000" w:themeColor="text1"/>
          <w:sz w:val="32"/>
          <w:szCs w:val="26"/>
        </w:rPr>
      </w:pPr>
      <w:r>
        <w:rPr>
          <w:rFonts w:asciiTheme="minorHAnsi" w:hAnsiTheme="minorHAnsi" w:cstheme="minorHAnsi"/>
          <w:i/>
          <w:iCs/>
        </w:rPr>
        <w:t>Nil Comments</w:t>
      </w:r>
    </w:p>
    <w:p w14:paraId="73A2A9C9" w14:textId="7C79597D" w:rsidR="006478E7" w:rsidRPr="00447205" w:rsidRDefault="00A33126" w:rsidP="00713728">
      <w:pPr>
        <w:pStyle w:val="Heading2"/>
      </w:pPr>
      <w:r w:rsidRPr="00447205">
        <w:lastRenderedPageBreak/>
        <w:t>References</w:t>
      </w:r>
    </w:p>
    <w:p w14:paraId="2B84BF64" w14:textId="5F8F5937" w:rsidR="00782124" w:rsidRPr="008D7250" w:rsidRDefault="00782124" w:rsidP="008D7250">
      <w:pPr>
        <w:spacing w:after="120" w:line="240" w:lineRule="auto"/>
        <w:rPr>
          <w:sz w:val="20"/>
          <w:szCs w:val="20"/>
        </w:rPr>
      </w:pPr>
      <w:r w:rsidRPr="008D7250">
        <w:rPr>
          <w:sz w:val="20"/>
          <w:szCs w:val="20"/>
        </w:rPr>
        <w:t xml:space="preserve">Ballinger M L., et al., Baseline Surveillance in Li-Fraumeni Syndrome Using Whole-Body Magnetic Resonance Imaging: A Meta-analysis. </w:t>
      </w:r>
      <w:r w:rsidRPr="008D7250">
        <w:rPr>
          <w:i/>
          <w:iCs/>
          <w:sz w:val="20"/>
          <w:szCs w:val="20"/>
        </w:rPr>
        <w:t>JAMA Oncology</w:t>
      </w:r>
      <w:r w:rsidRPr="008D7250">
        <w:rPr>
          <w:sz w:val="20"/>
          <w:szCs w:val="20"/>
        </w:rPr>
        <w:t xml:space="preserve">, 2017. 3(12): p. 1634-1639. </w:t>
      </w:r>
    </w:p>
    <w:p w14:paraId="7F733EBC" w14:textId="195E83E6" w:rsidR="000C233F" w:rsidRPr="008D7250" w:rsidRDefault="000C233F" w:rsidP="008D7250">
      <w:pPr>
        <w:spacing w:after="120" w:line="240" w:lineRule="auto"/>
        <w:rPr>
          <w:sz w:val="20"/>
          <w:szCs w:val="20"/>
        </w:rPr>
      </w:pPr>
      <w:r w:rsidRPr="008D7250">
        <w:rPr>
          <w:sz w:val="20"/>
          <w:szCs w:val="20"/>
        </w:rPr>
        <w:t xml:space="preserve">Bougeard G, et al., Molecular basis of the Li-Fraumeni syndrome: an update from the French LFS families. </w:t>
      </w:r>
      <w:r w:rsidRPr="008D7250">
        <w:rPr>
          <w:i/>
          <w:iCs/>
          <w:sz w:val="20"/>
          <w:szCs w:val="20"/>
        </w:rPr>
        <w:t>Journal of Medical Genetics</w:t>
      </w:r>
      <w:r w:rsidRPr="008D7250">
        <w:rPr>
          <w:sz w:val="20"/>
          <w:szCs w:val="20"/>
        </w:rPr>
        <w:t>, 2008. 45(8): p535-</w:t>
      </w:r>
      <w:r w:rsidR="00782124" w:rsidRPr="008D7250">
        <w:rPr>
          <w:sz w:val="20"/>
          <w:szCs w:val="20"/>
        </w:rPr>
        <w:t>53</w:t>
      </w:r>
      <w:r w:rsidRPr="008D7250">
        <w:rPr>
          <w:sz w:val="20"/>
          <w:szCs w:val="20"/>
        </w:rPr>
        <w:t xml:space="preserve">8. </w:t>
      </w:r>
    </w:p>
    <w:p w14:paraId="50D8BE4F" w14:textId="59F6DE21" w:rsidR="00ED2CE6" w:rsidRPr="008D7250" w:rsidRDefault="00ED2CE6" w:rsidP="008D7250">
      <w:pPr>
        <w:spacing w:after="120" w:line="240" w:lineRule="auto"/>
        <w:rPr>
          <w:sz w:val="20"/>
          <w:szCs w:val="20"/>
        </w:rPr>
      </w:pPr>
      <w:r w:rsidRPr="008D7250">
        <w:rPr>
          <w:sz w:val="20"/>
          <w:szCs w:val="20"/>
        </w:rPr>
        <w:t>Bougeard G, et al.,</w:t>
      </w:r>
      <w:r w:rsidR="001510A6">
        <w:rPr>
          <w:sz w:val="20"/>
          <w:szCs w:val="20"/>
        </w:rPr>
        <w:t xml:space="preserve"> </w:t>
      </w:r>
      <w:r w:rsidRPr="008D7250">
        <w:rPr>
          <w:sz w:val="20"/>
          <w:szCs w:val="20"/>
        </w:rPr>
        <w:t xml:space="preserve">Revisiting Li-Fraumeni Syndrome From </w:t>
      </w:r>
      <w:r w:rsidRPr="00804C28">
        <w:rPr>
          <w:sz w:val="20"/>
          <w:szCs w:val="20"/>
        </w:rPr>
        <w:t>TP53</w:t>
      </w:r>
      <w:r w:rsidRPr="008D7250">
        <w:rPr>
          <w:sz w:val="20"/>
          <w:szCs w:val="20"/>
        </w:rPr>
        <w:t xml:space="preserve"> Mutation Carriers.</w:t>
      </w:r>
      <w:r w:rsidRPr="008D7250">
        <w:rPr>
          <w:i/>
          <w:iCs/>
          <w:sz w:val="20"/>
          <w:szCs w:val="20"/>
        </w:rPr>
        <w:t xml:space="preserve"> Journal of Clinical Oncology</w:t>
      </w:r>
      <w:r w:rsidRPr="008D7250">
        <w:rPr>
          <w:sz w:val="20"/>
          <w:szCs w:val="20"/>
        </w:rPr>
        <w:t xml:space="preserve">, 2015. 33(21): p. 2345-2352. </w:t>
      </w:r>
    </w:p>
    <w:p w14:paraId="5B5239A6" w14:textId="3F562D03" w:rsidR="00E92805" w:rsidRPr="008D7250" w:rsidRDefault="00E92805" w:rsidP="008D7250">
      <w:pPr>
        <w:spacing w:after="120" w:line="240" w:lineRule="auto"/>
        <w:rPr>
          <w:sz w:val="20"/>
          <w:szCs w:val="20"/>
        </w:rPr>
      </w:pPr>
      <w:r w:rsidRPr="008D7250">
        <w:rPr>
          <w:sz w:val="20"/>
          <w:szCs w:val="20"/>
        </w:rPr>
        <w:t>Caron O, et al., Lung Adenocarcinoma as Part of the Li-Fraumeni Syndrome Spectrum</w:t>
      </w:r>
      <w:r w:rsidR="00066A26">
        <w:rPr>
          <w:sz w:val="20"/>
          <w:szCs w:val="20"/>
        </w:rPr>
        <w:t xml:space="preserve"> </w:t>
      </w:r>
      <w:r w:rsidRPr="008D7250">
        <w:rPr>
          <w:sz w:val="20"/>
          <w:szCs w:val="20"/>
        </w:rPr>
        <w:t xml:space="preserve">Preliminary Data of the LIFSCREEN Randomized Clinical Trial. </w:t>
      </w:r>
      <w:r w:rsidRPr="008D7250">
        <w:rPr>
          <w:i/>
          <w:iCs/>
          <w:sz w:val="20"/>
          <w:szCs w:val="20"/>
        </w:rPr>
        <w:t xml:space="preserve">JAMA Oncology, </w:t>
      </w:r>
      <w:r w:rsidRPr="008D7250">
        <w:rPr>
          <w:sz w:val="20"/>
          <w:szCs w:val="20"/>
        </w:rPr>
        <w:t>2017. 3(12): p. 1736-1737.</w:t>
      </w:r>
    </w:p>
    <w:p w14:paraId="2B9AA712" w14:textId="15756A9B" w:rsidR="00E92805" w:rsidRPr="008D7250" w:rsidRDefault="00E92805" w:rsidP="008D7250">
      <w:pPr>
        <w:spacing w:after="120" w:line="240" w:lineRule="auto"/>
        <w:rPr>
          <w:sz w:val="20"/>
          <w:szCs w:val="20"/>
        </w:rPr>
      </w:pPr>
      <w:r w:rsidRPr="008D7250">
        <w:rPr>
          <w:sz w:val="20"/>
          <w:szCs w:val="20"/>
        </w:rPr>
        <w:t xml:space="preserve">Caron O, et al., Evaluation of whole body MRI for early detection of cancer in </w:t>
      </w:r>
      <w:r w:rsidRPr="00804C28">
        <w:rPr>
          <w:sz w:val="20"/>
          <w:szCs w:val="20"/>
        </w:rPr>
        <w:t>TP53</w:t>
      </w:r>
      <w:r w:rsidRPr="008D7250">
        <w:rPr>
          <w:sz w:val="20"/>
          <w:szCs w:val="20"/>
        </w:rPr>
        <w:t xml:space="preserve"> mutation carriers: Final results of the LIFSCREEN study. </w:t>
      </w:r>
      <w:r w:rsidRPr="008D7250">
        <w:rPr>
          <w:i/>
          <w:iCs/>
          <w:sz w:val="20"/>
          <w:szCs w:val="20"/>
        </w:rPr>
        <w:t>Journal of Clinical Oncology</w:t>
      </w:r>
      <w:r w:rsidRPr="008D7250">
        <w:rPr>
          <w:sz w:val="20"/>
          <w:szCs w:val="20"/>
        </w:rPr>
        <w:t>, 2018. 36(15) [abstract]</w:t>
      </w:r>
    </w:p>
    <w:p w14:paraId="4478A06A" w14:textId="02B5F976" w:rsidR="00320A01" w:rsidRDefault="00320A01" w:rsidP="008D7250">
      <w:pPr>
        <w:spacing w:after="120" w:line="240" w:lineRule="auto"/>
        <w:rPr>
          <w:sz w:val="20"/>
          <w:szCs w:val="20"/>
        </w:rPr>
      </w:pPr>
      <w:r w:rsidRPr="008D7250">
        <w:rPr>
          <w:sz w:val="20"/>
          <w:szCs w:val="20"/>
        </w:rPr>
        <w:t xml:space="preserve">Chompret A, et al., Sensitivity and predictive value of criteria for p53 germline mutation screening. </w:t>
      </w:r>
      <w:r w:rsidRPr="008D7250">
        <w:rPr>
          <w:i/>
          <w:iCs/>
          <w:sz w:val="20"/>
          <w:szCs w:val="20"/>
        </w:rPr>
        <w:t>Journal of Medical Genetics</w:t>
      </w:r>
      <w:r w:rsidRPr="008D7250">
        <w:rPr>
          <w:sz w:val="20"/>
          <w:szCs w:val="20"/>
        </w:rPr>
        <w:t>, 2001. 38: p43-7</w:t>
      </w:r>
      <w:r w:rsidR="00ED2CE6" w:rsidRPr="008D7250">
        <w:rPr>
          <w:sz w:val="20"/>
          <w:szCs w:val="20"/>
        </w:rPr>
        <w:t>.</w:t>
      </w:r>
    </w:p>
    <w:p w14:paraId="1A2FC5AA" w14:textId="411F1A0E" w:rsidR="00247487" w:rsidRDefault="00247487" w:rsidP="008E5029">
      <w:pPr>
        <w:spacing w:after="120" w:line="240" w:lineRule="auto"/>
        <w:rPr>
          <w:sz w:val="20"/>
          <w:szCs w:val="20"/>
        </w:rPr>
      </w:pPr>
      <w:r>
        <w:rPr>
          <w:sz w:val="20"/>
          <w:szCs w:val="20"/>
        </w:rPr>
        <w:t xml:space="preserve">Daly </w:t>
      </w:r>
      <w:r w:rsidR="008E5029">
        <w:rPr>
          <w:sz w:val="20"/>
          <w:szCs w:val="20"/>
        </w:rPr>
        <w:t xml:space="preserve">MB, et al., NCCN Clinical Practice Guidelines in Oncology: </w:t>
      </w:r>
      <w:r w:rsidR="008E5029" w:rsidRPr="008E5029">
        <w:rPr>
          <w:sz w:val="20"/>
          <w:szCs w:val="20"/>
        </w:rPr>
        <w:t>Genetic/Familial High-Risk</w:t>
      </w:r>
      <w:r w:rsidR="008E5029">
        <w:rPr>
          <w:sz w:val="20"/>
          <w:szCs w:val="20"/>
        </w:rPr>
        <w:t xml:space="preserve"> </w:t>
      </w:r>
      <w:r w:rsidR="008E5029" w:rsidRPr="008E5029">
        <w:rPr>
          <w:sz w:val="20"/>
          <w:szCs w:val="20"/>
        </w:rPr>
        <w:t>Assessment: Breast, Ovarian, and</w:t>
      </w:r>
      <w:r w:rsidR="008E5029">
        <w:rPr>
          <w:sz w:val="20"/>
          <w:szCs w:val="20"/>
        </w:rPr>
        <w:t xml:space="preserve"> </w:t>
      </w:r>
      <w:r w:rsidR="008E5029" w:rsidRPr="008E5029">
        <w:rPr>
          <w:sz w:val="20"/>
          <w:szCs w:val="20"/>
        </w:rPr>
        <w:t>Pancreatic, Version 2.2021</w:t>
      </w:r>
      <w:r w:rsidR="008E5029">
        <w:rPr>
          <w:sz w:val="20"/>
          <w:szCs w:val="20"/>
        </w:rPr>
        <w:t xml:space="preserve">. Available at: </w:t>
      </w:r>
      <w:hyperlink r:id="rId17" w:history="1">
        <w:r w:rsidR="008E5029" w:rsidRPr="00B40E3B">
          <w:rPr>
            <w:rStyle w:val="Hyperlink"/>
            <w:rFonts w:ascii="Calibri" w:hAnsi="Calibri"/>
            <w:sz w:val="20"/>
            <w:szCs w:val="20"/>
          </w:rPr>
          <w:t>https://jnccn.org/view/journals/jnccn/19/1/article-p77.xml</w:t>
        </w:r>
      </w:hyperlink>
      <w:r w:rsidR="008E5029">
        <w:rPr>
          <w:sz w:val="20"/>
          <w:szCs w:val="20"/>
        </w:rPr>
        <w:t xml:space="preserve">. </w:t>
      </w:r>
    </w:p>
    <w:p w14:paraId="7A0628B8" w14:textId="301396B4" w:rsidR="00B1458E" w:rsidRPr="00B1458E" w:rsidRDefault="00B1458E" w:rsidP="008D7250">
      <w:pPr>
        <w:spacing w:after="120" w:line="240" w:lineRule="auto"/>
        <w:rPr>
          <w:sz w:val="20"/>
          <w:szCs w:val="20"/>
        </w:rPr>
      </w:pPr>
      <w:r>
        <w:rPr>
          <w:sz w:val="20"/>
          <w:szCs w:val="20"/>
        </w:rPr>
        <w:t xml:space="preserve">Evans DGR &amp; Ingham SL, </w:t>
      </w:r>
      <w:r w:rsidRPr="00B1458E">
        <w:rPr>
          <w:sz w:val="20"/>
          <w:szCs w:val="20"/>
        </w:rPr>
        <w:t>Reduced life expectancy seen in hereditary diseases which predispose to early-onset tumors</w:t>
      </w:r>
      <w:r>
        <w:rPr>
          <w:sz w:val="20"/>
          <w:szCs w:val="20"/>
        </w:rPr>
        <w:t xml:space="preserve">. </w:t>
      </w:r>
      <w:r>
        <w:rPr>
          <w:i/>
          <w:iCs/>
          <w:sz w:val="20"/>
          <w:szCs w:val="20"/>
        </w:rPr>
        <w:t xml:space="preserve">Appl Clin Genet, </w:t>
      </w:r>
      <w:r>
        <w:rPr>
          <w:sz w:val="20"/>
          <w:szCs w:val="20"/>
        </w:rPr>
        <w:t>2013. 6: p. 53-61.</w:t>
      </w:r>
    </w:p>
    <w:p w14:paraId="668921BC" w14:textId="6A55A864" w:rsidR="00ED2CE6" w:rsidRPr="008D7250" w:rsidRDefault="00ED2CE6" w:rsidP="008D7250">
      <w:pPr>
        <w:spacing w:after="120" w:line="240" w:lineRule="auto"/>
        <w:rPr>
          <w:sz w:val="20"/>
          <w:szCs w:val="20"/>
        </w:rPr>
      </w:pPr>
      <w:r w:rsidRPr="008D7250">
        <w:rPr>
          <w:sz w:val="20"/>
          <w:szCs w:val="20"/>
        </w:rPr>
        <w:t xml:space="preserve">Frebourg T, et al., Guidelines for the Li-Fraumeni and heritable </w:t>
      </w:r>
      <w:r w:rsidRPr="00804C28">
        <w:rPr>
          <w:sz w:val="20"/>
          <w:szCs w:val="20"/>
        </w:rPr>
        <w:t>TP53</w:t>
      </w:r>
      <w:r w:rsidRPr="008D7250">
        <w:rPr>
          <w:sz w:val="20"/>
          <w:szCs w:val="20"/>
        </w:rPr>
        <w:t xml:space="preserve">-related cancer syndromes. </w:t>
      </w:r>
      <w:r w:rsidRPr="008D7250">
        <w:rPr>
          <w:i/>
          <w:iCs/>
          <w:sz w:val="20"/>
          <w:szCs w:val="20"/>
        </w:rPr>
        <w:t>European Journal of Human Genetics</w:t>
      </w:r>
      <w:r w:rsidRPr="008D7250">
        <w:rPr>
          <w:sz w:val="20"/>
          <w:szCs w:val="20"/>
        </w:rPr>
        <w:t xml:space="preserve">, 2020. 28(10):p. 1379-1386. </w:t>
      </w:r>
    </w:p>
    <w:p w14:paraId="4556E87B" w14:textId="7329E715" w:rsidR="000C233F" w:rsidRPr="008D7250" w:rsidRDefault="000C233F" w:rsidP="008D7250">
      <w:pPr>
        <w:spacing w:after="120" w:line="240" w:lineRule="auto"/>
        <w:rPr>
          <w:sz w:val="20"/>
          <w:szCs w:val="20"/>
        </w:rPr>
      </w:pPr>
      <w:r w:rsidRPr="008D7250">
        <w:rPr>
          <w:sz w:val="20"/>
          <w:szCs w:val="20"/>
        </w:rPr>
        <w:t xml:space="preserve">Gonzalez K, et al., Beyond Li Fraumeni Syndrome: clinical characteristics of families with p53 germline mutations. </w:t>
      </w:r>
      <w:r w:rsidRPr="008D7250">
        <w:rPr>
          <w:i/>
          <w:iCs/>
          <w:sz w:val="20"/>
          <w:szCs w:val="20"/>
        </w:rPr>
        <w:t>Journal of Clinical</w:t>
      </w:r>
      <w:r w:rsidR="001510A6">
        <w:rPr>
          <w:i/>
          <w:iCs/>
          <w:sz w:val="20"/>
          <w:szCs w:val="20"/>
        </w:rPr>
        <w:t xml:space="preserve"> </w:t>
      </w:r>
      <w:r w:rsidRPr="008D7250">
        <w:rPr>
          <w:i/>
          <w:iCs/>
          <w:sz w:val="20"/>
          <w:szCs w:val="20"/>
        </w:rPr>
        <w:t>Oncology,</w:t>
      </w:r>
      <w:r w:rsidRPr="008D7250">
        <w:rPr>
          <w:sz w:val="20"/>
          <w:szCs w:val="20"/>
        </w:rPr>
        <w:t xml:space="preserve"> 2009. 27(8)</w:t>
      </w:r>
      <w:r w:rsidR="00782124" w:rsidRPr="008D7250">
        <w:rPr>
          <w:sz w:val="20"/>
          <w:szCs w:val="20"/>
        </w:rPr>
        <w:t>:</w:t>
      </w:r>
      <w:r w:rsidRPr="008D7250">
        <w:rPr>
          <w:sz w:val="20"/>
          <w:szCs w:val="20"/>
        </w:rPr>
        <w:t xml:space="preserve"> p. 1250-</w:t>
      </w:r>
      <w:r w:rsidR="00782124" w:rsidRPr="008D7250">
        <w:rPr>
          <w:sz w:val="20"/>
          <w:szCs w:val="20"/>
        </w:rPr>
        <w:t>125</w:t>
      </w:r>
      <w:r w:rsidRPr="008D7250">
        <w:rPr>
          <w:sz w:val="20"/>
          <w:szCs w:val="20"/>
        </w:rPr>
        <w:t>6</w:t>
      </w:r>
    </w:p>
    <w:p w14:paraId="5AB3571F" w14:textId="2992F9E8" w:rsidR="00ED2CE6" w:rsidRPr="008D7250" w:rsidRDefault="00ED2CE6" w:rsidP="008D7250">
      <w:pPr>
        <w:spacing w:after="120" w:line="240" w:lineRule="auto"/>
        <w:rPr>
          <w:sz w:val="20"/>
          <w:szCs w:val="20"/>
        </w:rPr>
      </w:pPr>
      <w:r w:rsidRPr="008D7250">
        <w:rPr>
          <w:sz w:val="20"/>
          <w:szCs w:val="20"/>
        </w:rPr>
        <w:t xml:space="preserve">Kratz CP, et al., Cancer Screening Recommendations for Individuals with Li-Fraumeni Syndrome. </w:t>
      </w:r>
      <w:r w:rsidRPr="008D7250">
        <w:rPr>
          <w:i/>
          <w:iCs/>
          <w:sz w:val="20"/>
          <w:szCs w:val="20"/>
        </w:rPr>
        <w:t>Clinical Cancer Research</w:t>
      </w:r>
      <w:r w:rsidRPr="008D7250">
        <w:rPr>
          <w:sz w:val="20"/>
          <w:szCs w:val="20"/>
        </w:rPr>
        <w:t xml:space="preserve">, 2017. 1;23(11): e38-e45. </w:t>
      </w:r>
    </w:p>
    <w:p w14:paraId="58390909" w14:textId="0689F4B4" w:rsidR="00ED1374" w:rsidRPr="008D7250" w:rsidRDefault="00ED1374" w:rsidP="008D7250">
      <w:pPr>
        <w:spacing w:after="120" w:line="240" w:lineRule="auto"/>
        <w:rPr>
          <w:sz w:val="20"/>
          <w:szCs w:val="20"/>
        </w:rPr>
      </w:pPr>
      <w:r w:rsidRPr="008D7250">
        <w:rPr>
          <w:sz w:val="20"/>
          <w:szCs w:val="20"/>
        </w:rPr>
        <w:t xml:space="preserve">Lalloo F, et al., Prediction of pathogenic mutations in patients with early-onset breast cancer by family history. </w:t>
      </w:r>
      <w:r w:rsidRPr="008D7250">
        <w:rPr>
          <w:i/>
          <w:iCs/>
          <w:sz w:val="20"/>
          <w:szCs w:val="20"/>
        </w:rPr>
        <w:t xml:space="preserve">Lancet, </w:t>
      </w:r>
      <w:r w:rsidRPr="008D7250">
        <w:rPr>
          <w:sz w:val="20"/>
          <w:szCs w:val="20"/>
        </w:rPr>
        <w:t>2003. 361(9363): p1101-1102.</w:t>
      </w:r>
    </w:p>
    <w:p w14:paraId="64516FEF" w14:textId="50A78DEF" w:rsidR="00ED1374" w:rsidRPr="008D7250" w:rsidRDefault="00ED1374" w:rsidP="008D7250">
      <w:pPr>
        <w:spacing w:after="120" w:line="240" w:lineRule="auto"/>
        <w:rPr>
          <w:sz w:val="20"/>
          <w:szCs w:val="20"/>
        </w:rPr>
      </w:pPr>
      <w:r w:rsidRPr="008D7250">
        <w:rPr>
          <w:sz w:val="20"/>
          <w:szCs w:val="20"/>
        </w:rPr>
        <w:t>Li FP, Fraumeni JF., Soft-tissue sarcomas, breast cancer, and other neoplasms: a familial syndrome?</w:t>
      </w:r>
      <w:r w:rsidRPr="008D7250">
        <w:rPr>
          <w:i/>
          <w:iCs/>
          <w:sz w:val="20"/>
          <w:szCs w:val="20"/>
        </w:rPr>
        <w:t xml:space="preserve"> Annals of Internal Medicine, </w:t>
      </w:r>
      <w:r w:rsidRPr="008D7250">
        <w:rPr>
          <w:sz w:val="20"/>
          <w:szCs w:val="20"/>
        </w:rPr>
        <w:t>1969. 71: p.747-752.</w:t>
      </w:r>
    </w:p>
    <w:p w14:paraId="6FFFE3A6" w14:textId="61634AB6" w:rsidR="001A38B5" w:rsidRPr="008D7250" w:rsidRDefault="00ED1374" w:rsidP="008D7250">
      <w:pPr>
        <w:spacing w:after="120" w:line="240" w:lineRule="auto"/>
        <w:rPr>
          <w:sz w:val="20"/>
          <w:szCs w:val="20"/>
        </w:rPr>
      </w:pPr>
      <w:r w:rsidRPr="008D7250">
        <w:rPr>
          <w:sz w:val="20"/>
          <w:szCs w:val="20"/>
        </w:rPr>
        <w:t xml:space="preserve">Li FP, Fraumeni JF., Rhabdomyosarcoma in children: epidemiologic study and identification of a familial cancer syndrome. </w:t>
      </w:r>
      <w:r w:rsidRPr="008D7250">
        <w:rPr>
          <w:i/>
          <w:iCs/>
          <w:sz w:val="20"/>
          <w:szCs w:val="20"/>
        </w:rPr>
        <w:t>Journal of the National Cancer Institute</w:t>
      </w:r>
      <w:r w:rsidRPr="008D7250">
        <w:rPr>
          <w:sz w:val="20"/>
          <w:szCs w:val="20"/>
        </w:rPr>
        <w:t>, 1969. 43: p. 1365-1373</w:t>
      </w:r>
      <w:r w:rsidR="001A38B5" w:rsidRPr="008D7250">
        <w:rPr>
          <w:sz w:val="20"/>
          <w:szCs w:val="20"/>
        </w:rPr>
        <w:t>.</w:t>
      </w:r>
    </w:p>
    <w:p w14:paraId="7F8C3049" w14:textId="016EE88B" w:rsidR="001A38B5" w:rsidRPr="008D7250" w:rsidRDefault="001A38B5" w:rsidP="008D7250">
      <w:pPr>
        <w:spacing w:after="120" w:line="240" w:lineRule="auto"/>
        <w:rPr>
          <w:sz w:val="20"/>
          <w:szCs w:val="20"/>
        </w:rPr>
      </w:pPr>
      <w:r w:rsidRPr="008D7250">
        <w:rPr>
          <w:sz w:val="20"/>
          <w:szCs w:val="20"/>
        </w:rPr>
        <w:t xml:space="preserve">Li FP, et al., A cancer family syndrome in twenty-four kindreds. </w:t>
      </w:r>
      <w:r w:rsidRPr="008D7250">
        <w:rPr>
          <w:i/>
          <w:iCs/>
          <w:sz w:val="20"/>
          <w:szCs w:val="20"/>
        </w:rPr>
        <w:t>Cancer Research</w:t>
      </w:r>
      <w:r w:rsidRPr="008D7250">
        <w:rPr>
          <w:sz w:val="20"/>
          <w:szCs w:val="20"/>
        </w:rPr>
        <w:t>, 1988. 48(18): p. 5358-5362.</w:t>
      </w:r>
    </w:p>
    <w:p w14:paraId="464BE835" w14:textId="099906BB" w:rsidR="006760ED" w:rsidRDefault="006760ED" w:rsidP="008D7250">
      <w:pPr>
        <w:spacing w:after="120" w:line="240" w:lineRule="auto"/>
        <w:rPr>
          <w:sz w:val="20"/>
          <w:szCs w:val="20"/>
        </w:rPr>
      </w:pPr>
      <w:r w:rsidRPr="008D7250">
        <w:rPr>
          <w:sz w:val="20"/>
          <w:szCs w:val="20"/>
        </w:rPr>
        <w:t xml:space="preserve">Malkin D, et al., Germ-line mutations of the p53 tumor-suppressor gene in children and young adults with second malignant neoplasms. </w:t>
      </w:r>
      <w:r w:rsidRPr="008D7250">
        <w:rPr>
          <w:i/>
          <w:iCs/>
          <w:sz w:val="20"/>
          <w:szCs w:val="20"/>
        </w:rPr>
        <w:t>New England Journal of Medicine</w:t>
      </w:r>
      <w:r w:rsidRPr="008D7250">
        <w:rPr>
          <w:sz w:val="20"/>
          <w:szCs w:val="20"/>
        </w:rPr>
        <w:t>, 1992. 336: p. 1309-1315.</w:t>
      </w:r>
    </w:p>
    <w:p w14:paraId="4EA3E7C9" w14:textId="458640A9" w:rsidR="008C192C" w:rsidRPr="00B414AE" w:rsidRDefault="008C192C" w:rsidP="008D7250">
      <w:pPr>
        <w:spacing w:after="120" w:line="240" w:lineRule="auto"/>
        <w:rPr>
          <w:i/>
          <w:iCs/>
          <w:sz w:val="20"/>
          <w:szCs w:val="20"/>
        </w:rPr>
      </w:pPr>
      <w:r>
        <w:rPr>
          <w:sz w:val="20"/>
          <w:szCs w:val="20"/>
        </w:rPr>
        <w:t xml:space="preserve">Morone M, et al., </w:t>
      </w:r>
      <w:r w:rsidRPr="008C192C">
        <w:rPr>
          <w:sz w:val="20"/>
          <w:szCs w:val="20"/>
        </w:rPr>
        <w:t>Whole-Body MRI: Current Applications in Oncology</w:t>
      </w:r>
      <w:r w:rsidR="00B414AE">
        <w:rPr>
          <w:sz w:val="20"/>
          <w:szCs w:val="20"/>
        </w:rPr>
        <w:t xml:space="preserve">. </w:t>
      </w:r>
      <w:r w:rsidR="00B414AE" w:rsidRPr="00B414AE">
        <w:rPr>
          <w:i/>
          <w:iCs/>
          <w:sz w:val="20"/>
          <w:szCs w:val="20"/>
        </w:rPr>
        <w:t>American Journal of Roentgenology</w:t>
      </w:r>
      <w:r w:rsidR="00B414AE">
        <w:rPr>
          <w:i/>
          <w:iCs/>
          <w:sz w:val="20"/>
          <w:szCs w:val="20"/>
        </w:rPr>
        <w:t xml:space="preserve">, </w:t>
      </w:r>
      <w:r w:rsidR="00B414AE" w:rsidRPr="00B414AE">
        <w:rPr>
          <w:sz w:val="20"/>
          <w:szCs w:val="20"/>
        </w:rPr>
        <w:t>2017.</w:t>
      </w:r>
      <w:r w:rsidR="00B414AE" w:rsidRPr="00B414AE">
        <w:t xml:space="preserve"> </w:t>
      </w:r>
      <w:r w:rsidR="00B414AE" w:rsidRPr="00B414AE">
        <w:rPr>
          <w:sz w:val="20"/>
          <w:szCs w:val="20"/>
        </w:rPr>
        <w:t>209:</w:t>
      </w:r>
      <w:r w:rsidR="00B414AE">
        <w:rPr>
          <w:sz w:val="20"/>
          <w:szCs w:val="20"/>
        </w:rPr>
        <w:t xml:space="preserve"> p. </w:t>
      </w:r>
      <w:r w:rsidR="00B414AE" w:rsidRPr="00B414AE">
        <w:rPr>
          <w:sz w:val="20"/>
          <w:szCs w:val="20"/>
        </w:rPr>
        <w:t>W336–W349</w:t>
      </w:r>
      <w:r w:rsidR="00B414AE">
        <w:rPr>
          <w:i/>
          <w:iCs/>
          <w:sz w:val="20"/>
          <w:szCs w:val="20"/>
        </w:rPr>
        <w:t>.</w:t>
      </w:r>
    </w:p>
    <w:p w14:paraId="3DD10BC2" w14:textId="07FA69D3" w:rsidR="008A71FC" w:rsidRDefault="008A71FC" w:rsidP="008D7250">
      <w:pPr>
        <w:spacing w:after="120" w:line="240" w:lineRule="auto"/>
        <w:rPr>
          <w:sz w:val="20"/>
          <w:szCs w:val="20"/>
        </w:rPr>
      </w:pPr>
      <w:r w:rsidRPr="008D7250">
        <w:rPr>
          <w:sz w:val="20"/>
          <w:szCs w:val="20"/>
        </w:rPr>
        <w:t xml:space="preserve">Petitjean A, et al., Impact of mutant p53 functional properties on </w:t>
      </w:r>
      <w:r w:rsidRPr="00804C28">
        <w:rPr>
          <w:sz w:val="20"/>
          <w:szCs w:val="20"/>
        </w:rPr>
        <w:t>TP53</w:t>
      </w:r>
      <w:r w:rsidRPr="008D7250">
        <w:rPr>
          <w:sz w:val="20"/>
          <w:szCs w:val="20"/>
        </w:rPr>
        <w:t xml:space="preserve"> mutation patterns and tumor phenotype: lessons from recent developments in the IARC </w:t>
      </w:r>
      <w:r w:rsidRPr="00804C28">
        <w:rPr>
          <w:sz w:val="20"/>
          <w:szCs w:val="20"/>
        </w:rPr>
        <w:t>TP53</w:t>
      </w:r>
      <w:r w:rsidRPr="008D7250">
        <w:rPr>
          <w:sz w:val="20"/>
          <w:szCs w:val="20"/>
        </w:rPr>
        <w:t xml:space="preserve"> database. </w:t>
      </w:r>
      <w:r w:rsidRPr="008D7250">
        <w:rPr>
          <w:i/>
          <w:iCs/>
          <w:sz w:val="20"/>
          <w:szCs w:val="20"/>
        </w:rPr>
        <w:t>Human Mutation</w:t>
      </w:r>
      <w:r w:rsidRPr="008D7250">
        <w:rPr>
          <w:sz w:val="20"/>
          <w:szCs w:val="20"/>
        </w:rPr>
        <w:t xml:space="preserve">, 2007. 28(6):p. 622-9. </w:t>
      </w:r>
    </w:p>
    <w:p w14:paraId="732F4D10" w14:textId="0B34EF2C" w:rsidR="00D8208C" w:rsidRPr="00D8208C" w:rsidRDefault="00D8208C" w:rsidP="008D7250">
      <w:pPr>
        <w:spacing w:after="120" w:line="240" w:lineRule="auto"/>
        <w:rPr>
          <w:sz w:val="20"/>
          <w:szCs w:val="20"/>
        </w:rPr>
      </w:pPr>
      <w:r>
        <w:rPr>
          <w:sz w:val="20"/>
          <w:szCs w:val="20"/>
        </w:rPr>
        <w:t xml:space="preserve">Renaux-Petel M, et al., </w:t>
      </w:r>
      <w:r w:rsidRPr="00D8208C">
        <w:rPr>
          <w:sz w:val="20"/>
          <w:szCs w:val="20"/>
        </w:rPr>
        <w:t xml:space="preserve">Contribution of de novo and mosaic </w:t>
      </w:r>
      <w:r w:rsidRPr="00D8208C">
        <w:rPr>
          <w:i/>
          <w:iCs/>
          <w:sz w:val="20"/>
          <w:szCs w:val="20"/>
        </w:rPr>
        <w:t>TP53</w:t>
      </w:r>
      <w:r w:rsidRPr="00D8208C">
        <w:rPr>
          <w:sz w:val="20"/>
          <w:szCs w:val="20"/>
        </w:rPr>
        <w:t xml:space="preserve"> mutations to Li-Fraumeni syndrome</w:t>
      </w:r>
      <w:r>
        <w:rPr>
          <w:sz w:val="20"/>
          <w:szCs w:val="20"/>
        </w:rPr>
        <w:t xml:space="preserve">. </w:t>
      </w:r>
      <w:r>
        <w:rPr>
          <w:i/>
          <w:iCs/>
          <w:sz w:val="20"/>
          <w:szCs w:val="20"/>
        </w:rPr>
        <w:t xml:space="preserve">Journal of Medical Genetics, </w:t>
      </w:r>
      <w:r>
        <w:rPr>
          <w:sz w:val="20"/>
          <w:szCs w:val="20"/>
        </w:rPr>
        <w:t>2018. 55(3): p. 173-80.</w:t>
      </w:r>
    </w:p>
    <w:p w14:paraId="2411ABE7" w14:textId="08C82B2A" w:rsidR="00ED2CE6" w:rsidRDefault="00ED2CE6" w:rsidP="008D7250">
      <w:pPr>
        <w:spacing w:after="120" w:line="240" w:lineRule="auto"/>
        <w:rPr>
          <w:sz w:val="20"/>
          <w:szCs w:val="20"/>
        </w:rPr>
      </w:pPr>
      <w:r w:rsidRPr="008D7250">
        <w:rPr>
          <w:sz w:val="20"/>
          <w:szCs w:val="20"/>
        </w:rPr>
        <w:t>Richards S, et al.,</w:t>
      </w:r>
      <w:r w:rsidR="001510A6">
        <w:rPr>
          <w:sz w:val="20"/>
          <w:szCs w:val="20"/>
        </w:rPr>
        <w:t xml:space="preserve"> </w:t>
      </w:r>
      <w:r w:rsidRPr="008D7250">
        <w:rPr>
          <w:sz w:val="20"/>
          <w:szCs w:val="20"/>
        </w:rPr>
        <w:t xml:space="preserve">Standards and guidelines for the interpretation of sequence variants: a joint consensus recommendation of the American College of Medical Genetics and Genomics and the Association for Molecular Pathology. </w:t>
      </w:r>
      <w:r w:rsidRPr="008D7250">
        <w:rPr>
          <w:i/>
          <w:iCs/>
          <w:sz w:val="20"/>
          <w:szCs w:val="20"/>
        </w:rPr>
        <w:t>Genetics in Medicine,</w:t>
      </w:r>
      <w:r w:rsidRPr="008D7250">
        <w:rPr>
          <w:sz w:val="20"/>
          <w:szCs w:val="20"/>
        </w:rPr>
        <w:t xml:space="preserve"> 2015. 17(5): p. 405-24. </w:t>
      </w:r>
    </w:p>
    <w:p w14:paraId="09DCD682" w14:textId="329958C1" w:rsidR="0047217A" w:rsidRPr="0047217A" w:rsidRDefault="0047217A" w:rsidP="008D7250">
      <w:pPr>
        <w:spacing w:after="120" w:line="240" w:lineRule="auto"/>
        <w:rPr>
          <w:sz w:val="18"/>
          <w:szCs w:val="18"/>
        </w:rPr>
      </w:pPr>
      <w:r w:rsidRPr="0047217A">
        <w:rPr>
          <w:sz w:val="20"/>
          <w:szCs w:val="20"/>
        </w:rPr>
        <w:t xml:space="preserve">Schneider K, et al., Li-Fraumeni Syndrome. </w:t>
      </w:r>
      <w:r w:rsidRPr="0047217A">
        <w:rPr>
          <w:i/>
          <w:iCs/>
          <w:sz w:val="20"/>
          <w:szCs w:val="20"/>
        </w:rPr>
        <w:t xml:space="preserve">Gene Reviews. </w:t>
      </w:r>
      <w:r w:rsidRPr="0047217A">
        <w:rPr>
          <w:sz w:val="20"/>
          <w:szCs w:val="20"/>
        </w:rPr>
        <w:t>1999 [updated 2019], Seattle WA. Available at:</w:t>
      </w:r>
      <w:r w:rsidRPr="0047217A">
        <w:rPr>
          <w:i/>
          <w:iCs/>
          <w:sz w:val="20"/>
          <w:szCs w:val="20"/>
        </w:rPr>
        <w:t xml:space="preserve"> </w:t>
      </w:r>
      <w:hyperlink r:id="rId18" w:history="1">
        <w:r w:rsidRPr="0047217A">
          <w:rPr>
            <w:rStyle w:val="Hyperlink"/>
            <w:rFonts w:ascii="Calibri" w:hAnsi="Calibri"/>
            <w:sz w:val="20"/>
            <w:szCs w:val="20"/>
          </w:rPr>
          <w:t>https://www.ncbi.nlm.nih.gov/books/NBK1311/</w:t>
        </w:r>
      </w:hyperlink>
    </w:p>
    <w:p w14:paraId="1A58CCE2" w14:textId="1EA072C2" w:rsidR="006760ED" w:rsidRPr="008D7250" w:rsidRDefault="006760ED" w:rsidP="008D7250">
      <w:pPr>
        <w:spacing w:after="120" w:line="240" w:lineRule="auto"/>
        <w:rPr>
          <w:sz w:val="20"/>
          <w:szCs w:val="20"/>
        </w:rPr>
      </w:pPr>
      <w:r w:rsidRPr="008D7250">
        <w:rPr>
          <w:sz w:val="20"/>
          <w:szCs w:val="20"/>
        </w:rPr>
        <w:t xml:space="preserve">Srivastava S, et al., Germ-line transmission of a mutated p53 gene in a cancer-prone family with Li-Fraumeni syndrome. </w:t>
      </w:r>
      <w:r w:rsidRPr="008D7250">
        <w:rPr>
          <w:i/>
          <w:iCs/>
          <w:sz w:val="20"/>
          <w:szCs w:val="20"/>
        </w:rPr>
        <w:t>Nature,</w:t>
      </w:r>
      <w:r w:rsidRPr="008D7250">
        <w:rPr>
          <w:sz w:val="20"/>
          <w:szCs w:val="20"/>
        </w:rPr>
        <w:t xml:space="preserve"> 1990. 348(6303): p. 747-749.</w:t>
      </w:r>
    </w:p>
    <w:p w14:paraId="676163B4" w14:textId="43BDD98A" w:rsidR="00320A01" w:rsidRPr="008D7250" w:rsidRDefault="00320A01" w:rsidP="008D7250">
      <w:pPr>
        <w:spacing w:after="120" w:line="240" w:lineRule="auto"/>
        <w:rPr>
          <w:sz w:val="20"/>
          <w:szCs w:val="20"/>
        </w:rPr>
      </w:pPr>
      <w:r w:rsidRPr="008D7250">
        <w:rPr>
          <w:sz w:val="20"/>
          <w:szCs w:val="20"/>
        </w:rPr>
        <w:t xml:space="preserve">Tinat J, et al., 2009 version of the Chompret criteria for Li-Fraumeni syndrome. </w:t>
      </w:r>
      <w:r w:rsidRPr="008D7250">
        <w:rPr>
          <w:i/>
          <w:iCs/>
          <w:sz w:val="20"/>
          <w:szCs w:val="20"/>
        </w:rPr>
        <w:t>Journal of Clinical Oncology</w:t>
      </w:r>
      <w:r w:rsidRPr="008D7250">
        <w:rPr>
          <w:sz w:val="20"/>
          <w:szCs w:val="20"/>
        </w:rPr>
        <w:t>, 2009. 27(26): p. e108-9</w:t>
      </w:r>
    </w:p>
    <w:p w14:paraId="45B91BAF" w14:textId="654F557A" w:rsidR="000C233F" w:rsidRPr="008D7250" w:rsidRDefault="00E92805" w:rsidP="008D7250">
      <w:pPr>
        <w:spacing w:after="120" w:line="240" w:lineRule="auto"/>
        <w:rPr>
          <w:sz w:val="20"/>
          <w:szCs w:val="20"/>
        </w:rPr>
      </w:pPr>
      <w:r w:rsidRPr="008D7250">
        <w:rPr>
          <w:sz w:val="20"/>
          <w:szCs w:val="20"/>
        </w:rPr>
        <w:lastRenderedPageBreak/>
        <w:t xml:space="preserve">Villani A, et al., Biochemical and imaging surveillance in germline </w:t>
      </w:r>
      <w:r w:rsidRPr="00804C28">
        <w:rPr>
          <w:sz w:val="20"/>
          <w:szCs w:val="20"/>
        </w:rPr>
        <w:t>TP53</w:t>
      </w:r>
      <w:r w:rsidRPr="008D7250">
        <w:rPr>
          <w:sz w:val="20"/>
          <w:szCs w:val="20"/>
        </w:rPr>
        <w:t xml:space="preserve"> mutation carriers with Li-Fraumeni syndrome: a prospective observational study. </w:t>
      </w:r>
      <w:r w:rsidRPr="008D7250">
        <w:rPr>
          <w:i/>
          <w:iCs/>
          <w:sz w:val="20"/>
          <w:szCs w:val="20"/>
        </w:rPr>
        <w:t>Lancet Oncology</w:t>
      </w:r>
      <w:r w:rsidRPr="008D7250">
        <w:rPr>
          <w:sz w:val="20"/>
          <w:szCs w:val="20"/>
        </w:rPr>
        <w:t>, 2011. 12: p. 559–567.</w:t>
      </w:r>
    </w:p>
    <w:p w14:paraId="454D5BC5" w14:textId="5DCD786C" w:rsidR="00E92805" w:rsidRDefault="00E92805" w:rsidP="008D7250">
      <w:pPr>
        <w:spacing w:after="120" w:line="240" w:lineRule="auto"/>
        <w:rPr>
          <w:sz w:val="20"/>
          <w:szCs w:val="20"/>
        </w:rPr>
      </w:pPr>
      <w:r w:rsidRPr="008D7250">
        <w:rPr>
          <w:sz w:val="20"/>
          <w:szCs w:val="20"/>
        </w:rPr>
        <w:t xml:space="preserve">Villani A, et al., Biochemical and imaging surveillance in germline </w:t>
      </w:r>
      <w:r w:rsidRPr="00804C28">
        <w:rPr>
          <w:sz w:val="20"/>
          <w:szCs w:val="20"/>
        </w:rPr>
        <w:t>TP53</w:t>
      </w:r>
      <w:r w:rsidRPr="008D7250">
        <w:rPr>
          <w:sz w:val="20"/>
          <w:szCs w:val="20"/>
        </w:rPr>
        <w:t xml:space="preserve"> mutation carriers with Li-Fraumeni syndrome: 11 year follow-up of a prospective observational study. </w:t>
      </w:r>
      <w:r w:rsidRPr="008D7250">
        <w:rPr>
          <w:i/>
          <w:iCs/>
          <w:sz w:val="20"/>
          <w:szCs w:val="20"/>
        </w:rPr>
        <w:t>Lancet Oncology,</w:t>
      </w:r>
      <w:r w:rsidRPr="008D7250">
        <w:rPr>
          <w:sz w:val="20"/>
          <w:szCs w:val="20"/>
        </w:rPr>
        <w:t xml:space="preserve"> 2016. 17: p.1295–1305.</w:t>
      </w:r>
    </w:p>
    <w:p w14:paraId="21D5D79B" w14:textId="77777777" w:rsidR="00192A98" w:rsidRPr="00192A98" w:rsidRDefault="00192A98" w:rsidP="00EA795A">
      <w:pPr>
        <w:spacing w:after="120" w:line="240" w:lineRule="auto"/>
        <w:rPr>
          <w:sz w:val="20"/>
          <w:szCs w:val="20"/>
        </w:rPr>
      </w:pPr>
    </w:p>
    <w:sectPr w:rsidR="00192A98" w:rsidRPr="00192A98" w:rsidSect="00AE6FE0">
      <w:footerReference w:type="even" r:id="rId19"/>
      <w:footerReference w:type="default" r:id="rId2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D8DDA" w14:textId="77777777" w:rsidR="00BA6F52" w:rsidRDefault="00BA6F52" w:rsidP="0016315C">
      <w:pPr>
        <w:spacing w:after="0" w:line="240" w:lineRule="auto"/>
      </w:pPr>
      <w:r>
        <w:separator/>
      </w:r>
    </w:p>
  </w:endnote>
  <w:endnote w:type="continuationSeparator" w:id="0">
    <w:p w14:paraId="53BD4F00" w14:textId="77777777" w:rsidR="00BA6F52" w:rsidRDefault="00BA6F52" w:rsidP="0016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BA6F52" w:rsidRDefault="00BA6F52" w:rsidP="00926E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BA6F52" w:rsidRDefault="00BA6F52"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4DE593B1" w14:textId="25E6705A" w:rsidR="00BA6F52" w:rsidRDefault="00BA6F52" w:rsidP="00926E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F8909D6" w14:textId="1372A702" w:rsidR="00BA6F52" w:rsidRDefault="00993550" w:rsidP="00510AB8">
    <w:pPr>
      <w:spacing w:after="0"/>
      <w:jc w:val="center"/>
    </w:pPr>
    <w:r>
      <w:t>Ratified</w:t>
    </w:r>
    <w:r w:rsidR="00BA6F52">
      <w:t xml:space="preserve"> PICO Confirmation – PASC August 2021</w:t>
    </w:r>
  </w:p>
  <w:p w14:paraId="33649654" w14:textId="3033D542" w:rsidR="00BA6F52" w:rsidRPr="00685355" w:rsidRDefault="00BA6F52" w:rsidP="00510AB8">
    <w:pPr>
      <w:spacing w:after="0"/>
      <w:jc w:val="center"/>
    </w:pPr>
    <w:r w:rsidRPr="00A3443A">
      <w:t xml:space="preserve">1668 – </w:t>
    </w:r>
    <w:r>
      <w:t>Whole Body Magnetic Resonance Imaging (</w:t>
    </w:r>
    <w:r w:rsidRPr="00882C80">
      <w:t>W</w:t>
    </w:r>
    <w:r>
      <w:t xml:space="preserve">BMRI) for detection of cancer in individuals with a germline pathogenic </w:t>
    </w:r>
    <w:r w:rsidRPr="00ED0A32">
      <w:t>or likely pathogenic</w:t>
    </w:r>
    <w:r>
      <w:rPr>
        <w:i/>
        <w:iCs/>
      </w:rPr>
      <w:t xml:space="preserve"> Tumor Protein 53 (</w:t>
    </w:r>
    <w:r w:rsidRPr="00A3443A">
      <w:rPr>
        <w:i/>
        <w:iCs/>
      </w:rPr>
      <w:t>TP53</w:t>
    </w:r>
    <w:r>
      <w:rPr>
        <w:i/>
        <w:iCs/>
      </w:rPr>
      <w:t>)</w:t>
    </w:r>
    <w:r>
      <w:t xml:space="preserve"> variant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0AD6" w14:textId="77777777" w:rsidR="00BA6F52" w:rsidRDefault="00BA6F52" w:rsidP="0016315C">
      <w:pPr>
        <w:spacing w:after="0" w:line="240" w:lineRule="auto"/>
      </w:pPr>
      <w:r>
        <w:separator/>
      </w:r>
    </w:p>
  </w:footnote>
  <w:footnote w:type="continuationSeparator" w:id="0">
    <w:p w14:paraId="70ADEDBE" w14:textId="77777777" w:rsidR="00BA6F52" w:rsidRDefault="00BA6F52" w:rsidP="0016315C">
      <w:pPr>
        <w:spacing w:after="0" w:line="240" w:lineRule="auto"/>
      </w:pPr>
      <w:r>
        <w:continuationSeparator/>
      </w:r>
    </w:p>
  </w:footnote>
  <w:footnote w:id="1">
    <w:p w14:paraId="1E8D090E" w14:textId="17FAF1A8" w:rsidR="00BA6F52" w:rsidRPr="00C77274" w:rsidRDefault="00BA6F52">
      <w:pPr>
        <w:pStyle w:val="FootnoteText"/>
        <w:rPr>
          <w:lang w:val="en-US"/>
        </w:rPr>
      </w:pPr>
      <w:r>
        <w:rPr>
          <w:rStyle w:val="FootnoteReference"/>
        </w:rPr>
        <w:footnoteRef/>
      </w:r>
      <w:r>
        <w:t xml:space="preserve"> Accessed June 28, 2021 </w:t>
      </w:r>
      <w:r w:rsidRPr="00C77274">
        <w:t>https://rarediseases.org/rare-diseases/li-fraumeni-syndrome/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BD7"/>
    <w:multiLevelType w:val="hybridMultilevel"/>
    <w:tmpl w:val="031CC41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B77497F"/>
    <w:multiLevelType w:val="hybridMultilevel"/>
    <w:tmpl w:val="AB32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859D3"/>
    <w:multiLevelType w:val="hybridMultilevel"/>
    <w:tmpl w:val="5672D5B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52389"/>
    <w:multiLevelType w:val="hybridMultilevel"/>
    <w:tmpl w:val="5BDA2EF4"/>
    <w:lvl w:ilvl="0" w:tplc="EFE81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4629"/>
    <w:multiLevelType w:val="hybridMultilevel"/>
    <w:tmpl w:val="C0840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1D6B0F"/>
    <w:multiLevelType w:val="hybridMultilevel"/>
    <w:tmpl w:val="E598755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2DBD"/>
    <w:multiLevelType w:val="hybridMultilevel"/>
    <w:tmpl w:val="D7AEB5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57B3C15"/>
    <w:multiLevelType w:val="hybridMultilevel"/>
    <w:tmpl w:val="355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C2263"/>
    <w:multiLevelType w:val="hybridMultilevel"/>
    <w:tmpl w:val="C0563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2" w15:restartNumberingAfterBreak="0">
    <w:nsid w:val="57E823EA"/>
    <w:multiLevelType w:val="hybridMultilevel"/>
    <w:tmpl w:val="E65007A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E801BC"/>
    <w:multiLevelType w:val="hybridMultilevel"/>
    <w:tmpl w:val="BD5AC0B0"/>
    <w:lvl w:ilvl="0" w:tplc="D92632A8">
      <w:start w:val="1"/>
      <w:numFmt w:val="upperLetter"/>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C2161A"/>
    <w:multiLevelType w:val="hybridMultilevel"/>
    <w:tmpl w:val="E75C4D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8897485"/>
    <w:multiLevelType w:val="hybridMultilevel"/>
    <w:tmpl w:val="D796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17753"/>
    <w:multiLevelType w:val="hybridMultilevel"/>
    <w:tmpl w:val="18B8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236B6"/>
    <w:multiLevelType w:val="hybridMultilevel"/>
    <w:tmpl w:val="22A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F20C8"/>
    <w:multiLevelType w:val="hybridMultilevel"/>
    <w:tmpl w:val="8676F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EC5985"/>
    <w:multiLevelType w:val="hybridMultilevel"/>
    <w:tmpl w:val="212873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5"/>
  </w:num>
  <w:num w:numId="6">
    <w:abstractNumId w:val="16"/>
  </w:num>
  <w:num w:numId="7">
    <w:abstractNumId w:val="9"/>
  </w:num>
  <w:num w:numId="8">
    <w:abstractNumId w:val="17"/>
  </w:num>
  <w:num w:numId="9">
    <w:abstractNumId w:val="2"/>
  </w:num>
  <w:num w:numId="10">
    <w:abstractNumId w:val="18"/>
  </w:num>
  <w:num w:numId="11">
    <w:abstractNumId w:val="19"/>
  </w:num>
  <w:num w:numId="12">
    <w:abstractNumId w:val="14"/>
  </w:num>
  <w:num w:numId="13">
    <w:abstractNumId w:val="5"/>
  </w:num>
  <w:num w:numId="14">
    <w:abstractNumId w:val="10"/>
  </w:num>
  <w:num w:numId="15">
    <w:abstractNumId w:val="20"/>
  </w:num>
  <w:num w:numId="16">
    <w:abstractNumId w:val="6"/>
  </w:num>
  <w:num w:numId="17">
    <w:abstractNumId w:val="8"/>
  </w:num>
  <w:num w:numId="18">
    <w:abstractNumId w:val="4"/>
  </w:num>
  <w:num w:numId="19">
    <w:abstractNumId w:val="12"/>
  </w:num>
  <w:num w:numId="20">
    <w:abstractNumId w:val="2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73AA"/>
    <w:rsid w:val="000114EB"/>
    <w:rsid w:val="00015F76"/>
    <w:rsid w:val="00026862"/>
    <w:rsid w:val="00037235"/>
    <w:rsid w:val="00040EA3"/>
    <w:rsid w:val="00050C0A"/>
    <w:rsid w:val="00054A13"/>
    <w:rsid w:val="00055272"/>
    <w:rsid w:val="000628E9"/>
    <w:rsid w:val="00066A26"/>
    <w:rsid w:val="000704BF"/>
    <w:rsid w:val="000713C8"/>
    <w:rsid w:val="00072D24"/>
    <w:rsid w:val="00083F40"/>
    <w:rsid w:val="0009009A"/>
    <w:rsid w:val="00091C1B"/>
    <w:rsid w:val="000939E0"/>
    <w:rsid w:val="00094B2E"/>
    <w:rsid w:val="000A3242"/>
    <w:rsid w:val="000B633A"/>
    <w:rsid w:val="000C233F"/>
    <w:rsid w:val="000C2E9D"/>
    <w:rsid w:val="000C4C95"/>
    <w:rsid w:val="000C5818"/>
    <w:rsid w:val="000D0AA6"/>
    <w:rsid w:val="000D1FCF"/>
    <w:rsid w:val="000D68F2"/>
    <w:rsid w:val="000E623D"/>
    <w:rsid w:val="000F1EBF"/>
    <w:rsid w:val="000F7C35"/>
    <w:rsid w:val="00120F8A"/>
    <w:rsid w:val="00123CB8"/>
    <w:rsid w:val="00143391"/>
    <w:rsid w:val="0014685F"/>
    <w:rsid w:val="00150D9B"/>
    <w:rsid w:val="001510A6"/>
    <w:rsid w:val="00156475"/>
    <w:rsid w:val="00161727"/>
    <w:rsid w:val="0016315C"/>
    <w:rsid w:val="00164BC1"/>
    <w:rsid w:val="00173763"/>
    <w:rsid w:val="00173850"/>
    <w:rsid w:val="00176949"/>
    <w:rsid w:val="00192157"/>
    <w:rsid w:val="00192A98"/>
    <w:rsid w:val="001966FC"/>
    <w:rsid w:val="001967DF"/>
    <w:rsid w:val="001A38B5"/>
    <w:rsid w:val="001A5D2F"/>
    <w:rsid w:val="001A780C"/>
    <w:rsid w:val="001B3F24"/>
    <w:rsid w:val="001B490C"/>
    <w:rsid w:val="001B70BD"/>
    <w:rsid w:val="001C2D9A"/>
    <w:rsid w:val="001D247E"/>
    <w:rsid w:val="001E2FB0"/>
    <w:rsid w:val="001E5F9C"/>
    <w:rsid w:val="001F00F6"/>
    <w:rsid w:val="001F3D40"/>
    <w:rsid w:val="00206790"/>
    <w:rsid w:val="002126BC"/>
    <w:rsid w:val="0022307F"/>
    <w:rsid w:val="00226251"/>
    <w:rsid w:val="00235B21"/>
    <w:rsid w:val="00247487"/>
    <w:rsid w:val="00265D59"/>
    <w:rsid w:val="002678A3"/>
    <w:rsid w:val="0027170F"/>
    <w:rsid w:val="002815F8"/>
    <w:rsid w:val="002A2D79"/>
    <w:rsid w:val="002B103E"/>
    <w:rsid w:val="002B1BC4"/>
    <w:rsid w:val="002B4A65"/>
    <w:rsid w:val="002C66CC"/>
    <w:rsid w:val="002D0357"/>
    <w:rsid w:val="002D5D59"/>
    <w:rsid w:val="002F2D00"/>
    <w:rsid w:val="002F3E40"/>
    <w:rsid w:val="002F49B2"/>
    <w:rsid w:val="003013D7"/>
    <w:rsid w:val="003029AC"/>
    <w:rsid w:val="0031015B"/>
    <w:rsid w:val="00313D7C"/>
    <w:rsid w:val="00315C4C"/>
    <w:rsid w:val="00320A01"/>
    <w:rsid w:val="00324EF8"/>
    <w:rsid w:val="0032724D"/>
    <w:rsid w:val="0033321B"/>
    <w:rsid w:val="00341D47"/>
    <w:rsid w:val="0034704A"/>
    <w:rsid w:val="00363742"/>
    <w:rsid w:val="003657B5"/>
    <w:rsid w:val="00375407"/>
    <w:rsid w:val="00380DAD"/>
    <w:rsid w:val="0038442C"/>
    <w:rsid w:val="00385470"/>
    <w:rsid w:val="0038767C"/>
    <w:rsid w:val="0039662A"/>
    <w:rsid w:val="003B7EA6"/>
    <w:rsid w:val="003C13FB"/>
    <w:rsid w:val="003C2BE8"/>
    <w:rsid w:val="003D7C65"/>
    <w:rsid w:val="003E3C4D"/>
    <w:rsid w:val="003E7DE2"/>
    <w:rsid w:val="003F0A39"/>
    <w:rsid w:val="003F4A5D"/>
    <w:rsid w:val="00404D94"/>
    <w:rsid w:val="004072B7"/>
    <w:rsid w:val="00416FD2"/>
    <w:rsid w:val="00431878"/>
    <w:rsid w:val="00434DD2"/>
    <w:rsid w:val="00442E69"/>
    <w:rsid w:val="00444749"/>
    <w:rsid w:val="00446993"/>
    <w:rsid w:val="00447205"/>
    <w:rsid w:val="00452E06"/>
    <w:rsid w:val="00456C44"/>
    <w:rsid w:val="0046402D"/>
    <w:rsid w:val="0047217A"/>
    <w:rsid w:val="00473A3C"/>
    <w:rsid w:val="004855CA"/>
    <w:rsid w:val="00490FBB"/>
    <w:rsid w:val="00495168"/>
    <w:rsid w:val="004A6997"/>
    <w:rsid w:val="004B214C"/>
    <w:rsid w:val="004C2C5E"/>
    <w:rsid w:val="004C43D4"/>
    <w:rsid w:val="004C7458"/>
    <w:rsid w:val="004D37C2"/>
    <w:rsid w:val="004D5EEF"/>
    <w:rsid w:val="004D7711"/>
    <w:rsid w:val="004E04AE"/>
    <w:rsid w:val="004E2FB0"/>
    <w:rsid w:val="004E3ABF"/>
    <w:rsid w:val="004E45EC"/>
    <w:rsid w:val="00510AB8"/>
    <w:rsid w:val="00520003"/>
    <w:rsid w:val="00524EF2"/>
    <w:rsid w:val="00534AF3"/>
    <w:rsid w:val="00543C27"/>
    <w:rsid w:val="0055143C"/>
    <w:rsid w:val="005630E2"/>
    <w:rsid w:val="005754F3"/>
    <w:rsid w:val="005771DC"/>
    <w:rsid w:val="0057790B"/>
    <w:rsid w:val="0058364A"/>
    <w:rsid w:val="00591DB4"/>
    <w:rsid w:val="00592719"/>
    <w:rsid w:val="005B1F28"/>
    <w:rsid w:val="005B6EC9"/>
    <w:rsid w:val="005C1E1F"/>
    <w:rsid w:val="005C5B66"/>
    <w:rsid w:val="005E0AE1"/>
    <w:rsid w:val="005E11DE"/>
    <w:rsid w:val="005E1AC4"/>
    <w:rsid w:val="005E40A4"/>
    <w:rsid w:val="005E5076"/>
    <w:rsid w:val="005E6AF5"/>
    <w:rsid w:val="00601AE6"/>
    <w:rsid w:val="006036E5"/>
    <w:rsid w:val="00632B45"/>
    <w:rsid w:val="00632B78"/>
    <w:rsid w:val="00633B9A"/>
    <w:rsid w:val="006428B8"/>
    <w:rsid w:val="006478E7"/>
    <w:rsid w:val="0065205D"/>
    <w:rsid w:val="006558C2"/>
    <w:rsid w:val="006760ED"/>
    <w:rsid w:val="00677AE3"/>
    <w:rsid w:val="00685355"/>
    <w:rsid w:val="00686CA2"/>
    <w:rsid w:val="00686EED"/>
    <w:rsid w:val="006A281E"/>
    <w:rsid w:val="006A467F"/>
    <w:rsid w:val="006B277E"/>
    <w:rsid w:val="006C53AF"/>
    <w:rsid w:val="006C76CD"/>
    <w:rsid w:val="006F01C4"/>
    <w:rsid w:val="006F10A9"/>
    <w:rsid w:val="006F3C2D"/>
    <w:rsid w:val="00713728"/>
    <w:rsid w:val="00716A1C"/>
    <w:rsid w:val="00717443"/>
    <w:rsid w:val="00720F80"/>
    <w:rsid w:val="007251EF"/>
    <w:rsid w:val="007314F9"/>
    <w:rsid w:val="007320E3"/>
    <w:rsid w:val="00732B57"/>
    <w:rsid w:val="0073473A"/>
    <w:rsid w:val="00736C3F"/>
    <w:rsid w:val="00740FA7"/>
    <w:rsid w:val="00751510"/>
    <w:rsid w:val="007537CA"/>
    <w:rsid w:val="007563CE"/>
    <w:rsid w:val="007637C7"/>
    <w:rsid w:val="0076740E"/>
    <w:rsid w:val="00773C4D"/>
    <w:rsid w:val="00782124"/>
    <w:rsid w:val="0078480D"/>
    <w:rsid w:val="00787A6E"/>
    <w:rsid w:val="007A5BBA"/>
    <w:rsid w:val="007A66C8"/>
    <w:rsid w:val="007B2D20"/>
    <w:rsid w:val="007B47DA"/>
    <w:rsid w:val="007B48FD"/>
    <w:rsid w:val="007C365C"/>
    <w:rsid w:val="007C5299"/>
    <w:rsid w:val="007C5E85"/>
    <w:rsid w:val="007D2DFC"/>
    <w:rsid w:val="007D6B83"/>
    <w:rsid w:val="007E32DE"/>
    <w:rsid w:val="007E5E01"/>
    <w:rsid w:val="007F0186"/>
    <w:rsid w:val="00804C28"/>
    <w:rsid w:val="00827180"/>
    <w:rsid w:val="008369B4"/>
    <w:rsid w:val="0085133F"/>
    <w:rsid w:val="00860F72"/>
    <w:rsid w:val="00861B20"/>
    <w:rsid w:val="008629E0"/>
    <w:rsid w:val="00873E40"/>
    <w:rsid w:val="008821E7"/>
    <w:rsid w:val="00882C80"/>
    <w:rsid w:val="008871AA"/>
    <w:rsid w:val="00890F89"/>
    <w:rsid w:val="00891488"/>
    <w:rsid w:val="00891DF4"/>
    <w:rsid w:val="008A5D46"/>
    <w:rsid w:val="008A71FC"/>
    <w:rsid w:val="008B1C2D"/>
    <w:rsid w:val="008B1E2F"/>
    <w:rsid w:val="008B757A"/>
    <w:rsid w:val="008C192C"/>
    <w:rsid w:val="008C4B3C"/>
    <w:rsid w:val="008C5D04"/>
    <w:rsid w:val="008D7250"/>
    <w:rsid w:val="008E5029"/>
    <w:rsid w:val="008F1532"/>
    <w:rsid w:val="0090000C"/>
    <w:rsid w:val="00907513"/>
    <w:rsid w:val="00912660"/>
    <w:rsid w:val="00922E20"/>
    <w:rsid w:val="00926EE2"/>
    <w:rsid w:val="00927313"/>
    <w:rsid w:val="009310A1"/>
    <w:rsid w:val="00933860"/>
    <w:rsid w:val="00936BEE"/>
    <w:rsid w:val="009371B6"/>
    <w:rsid w:val="00937A50"/>
    <w:rsid w:val="00945548"/>
    <w:rsid w:val="00950264"/>
    <w:rsid w:val="00983D97"/>
    <w:rsid w:val="00985F2C"/>
    <w:rsid w:val="00993538"/>
    <w:rsid w:val="00993550"/>
    <w:rsid w:val="00996A14"/>
    <w:rsid w:val="009A11D2"/>
    <w:rsid w:val="009B31CC"/>
    <w:rsid w:val="009C34DA"/>
    <w:rsid w:val="009C4AF2"/>
    <w:rsid w:val="009C717E"/>
    <w:rsid w:val="009D2F07"/>
    <w:rsid w:val="009D3321"/>
    <w:rsid w:val="00A206E7"/>
    <w:rsid w:val="00A20CF9"/>
    <w:rsid w:val="00A21BC0"/>
    <w:rsid w:val="00A24DC9"/>
    <w:rsid w:val="00A301A0"/>
    <w:rsid w:val="00A33126"/>
    <w:rsid w:val="00A3443A"/>
    <w:rsid w:val="00A36A21"/>
    <w:rsid w:val="00A56CD5"/>
    <w:rsid w:val="00A62163"/>
    <w:rsid w:val="00A65B04"/>
    <w:rsid w:val="00A71C1A"/>
    <w:rsid w:val="00A74BB0"/>
    <w:rsid w:val="00A81C13"/>
    <w:rsid w:val="00AA1971"/>
    <w:rsid w:val="00AA2DB5"/>
    <w:rsid w:val="00AC44BF"/>
    <w:rsid w:val="00AD0A65"/>
    <w:rsid w:val="00AD0BBC"/>
    <w:rsid w:val="00AD68B1"/>
    <w:rsid w:val="00AE2363"/>
    <w:rsid w:val="00AE6FE0"/>
    <w:rsid w:val="00AF01AD"/>
    <w:rsid w:val="00AF2B0F"/>
    <w:rsid w:val="00AF52CF"/>
    <w:rsid w:val="00AF6211"/>
    <w:rsid w:val="00B114F2"/>
    <w:rsid w:val="00B1458E"/>
    <w:rsid w:val="00B17B75"/>
    <w:rsid w:val="00B22B6D"/>
    <w:rsid w:val="00B414AE"/>
    <w:rsid w:val="00B51088"/>
    <w:rsid w:val="00B57F51"/>
    <w:rsid w:val="00B63DFA"/>
    <w:rsid w:val="00B82A03"/>
    <w:rsid w:val="00BA6F52"/>
    <w:rsid w:val="00BB1698"/>
    <w:rsid w:val="00BB3207"/>
    <w:rsid w:val="00BB43A1"/>
    <w:rsid w:val="00BB507B"/>
    <w:rsid w:val="00BC6B60"/>
    <w:rsid w:val="00BD194F"/>
    <w:rsid w:val="00BD43B4"/>
    <w:rsid w:val="00BE0FA7"/>
    <w:rsid w:val="00BE1063"/>
    <w:rsid w:val="00BE34F1"/>
    <w:rsid w:val="00BE5C6F"/>
    <w:rsid w:val="00BF5B9F"/>
    <w:rsid w:val="00BF708C"/>
    <w:rsid w:val="00C045B3"/>
    <w:rsid w:val="00C066C5"/>
    <w:rsid w:val="00C23C90"/>
    <w:rsid w:val="00C277F7"/>
    <w:rsid w:val="00C3117F"/>
    <w:rsid w:val="00C35B68"/>
    <w:rsid w:val="00C40CC4"/>
    <w:rsid w:val="00C54349"/>
    <w:rsid w:val="00C62AAB"/>
    <w:rsid w:val="00C640B5"/>
    <w:rsid w:val="00C64764"/>
    <w:rsid w:val="00C77274"/>
    <w:rsid w:val="00C84E1A"/>
    <w:rsid w:val="00C86188"/>
    <w:rsid w:val="00C94E3E"/>
    <w:rsid w:val="00CA18A3"/>
    <w:rsid w:val="00CA50DA"/>
    <w:rsid w:val="00CB5438"/>
    <w:rsid w:val="00CD0581"/>
    <w:rsid w:val="00CE1276"/>
    <w:rsid w:val="00CE155F"/>
    <w:rsid w:val="00CE1B13"/>
    <w:rsid w:val="00CE2A55"/>
    <w:rsid w:val="00CE40DA"/>
    <w:rsid w:val="00CF5520"/>
    <w:rsid w:val="00CF5A32"/>
    <w:rsid w:val="00D220AB"/>
    <w:rsid w:val="00D2670B"/>
    <w:rsid w:val="00D37A3F"/>
    <w:rsid w:val="00D41C8B"/>
    <w:rsid w:val="00D441CC"/>
    <w:rsid w:val="00D4586D"/>
    <w:rsid w:val="00D51C77"/>
    <w:rsid w:val="00D52956"/>
    <w:rsid w:val="00D62081"/>
    <w:rsid w:val="00D73332"/>
    <w:rsid w:val="00D74F5C"/>
    <w:rsid w:val="00D76198"/>
    <w:rsid w:val="00D8208C"/>
    <w:rsid w:val="00D83062"/>
    <w:rsid w:val="00D84E12"/>
    <w:rsid w:val="00D85150"/>
    <w:rsid w:val="00D85D6E"/>
    <w:rsid w:val="00D867D5"/>
    <w:rsid w:val="00D9410F"/>
    <w:rsid w:val="00DA10BB"/>
    <w:rsid w:val="00DC1BEC"/>
    <w:rsid w:val="00DC616A"/>
    <w:rsid w:val="00DC7B5E"/>
    <w:rsid w:val="00DD1983"/>
    <w:rsid w:val="00DE08B1"/>
    <w:rsid w:val="00DE1F56"/>
    <w:rsid w:val="00DE62FA"/>
    <w:rsid w:val="00DE762F"/>
    <w:rsid w:val="00DF44C2"/>
    <w:rsid w:val="00E01349"/>
    <w:rsid w:val="00E03982"/>
    <w:rsid w:val="00E17351"/>
    <w:rsid w:val="00E2296E"/>
    <w:rsid w:val="00E34AB3"/>
    <w:rsid w:val="00E470B0"/>
    <w:rsid w:val="00E51301"/>
    <w:rsid w:val="00E607F3"/>
    <w:rsid w:val="00E6096F"/>
    <w:rsid w:val="00E65236"/>
    <w:rsid w:val="00E87725"/>
    <w:rsid w:val="00E919B5"/>
    <w:rsid w:val="00E92706"/>
    <w:rsid w:val="00E92805"/>
    <w:rsid w:val="00EA3140"/>
    <w:rsid w:val="00EA795A"/>
    <w:rsid w:val="00EB4A08"/>
    <w:rsid w:val="00ED0A32"/>
    <w:rsid w:val="00ED1374"/>
    <w:rsid w:val="00ED2CE6"/>
    <w:rsid w:val="00EE0D7A"/>
    <w:rsid w:val="00EF35AB"/>
    <w:rsid w:val="00EF37D1"/>
    <w:rsid w:val="00EF3F46"/>
    <w:rsid w:val="00EF6F92"/>
    <w:rsid w:val="00F2073A"/>
    <w:rsid w:val="00F3378C"/>
    <w:rsid w:val="00F3567D"/>
    <w:rsid w:val="00F415A8"/>
    <w:rsid w:val="00F4307F"/>
    <w:rsid w:val="00F57354"/>
    <w:rsid w:val="00F65658"/>
    <w:rsid w:val="00F660E8"/>
    <w:rsid w:val="00F70808"/>
    <w:rsid w:val="00F86826"/>
    <w:rsid w:val="00F92C1B"/>
    <w:rsid w:val="00FA118E"/>
    <w:rsid w:val="00FA2282"/>
    <w:rsid w:val="00FA66D0"/>
    <w:rsid w:val="00FB2DEE"/>
    <w:rsid w:val="00FB4612"/>
    <w:rsid w:val="00FC7D50"/>
    <w:rsid w:val="00FD4C65"/>
    <w:rsid w:val="00FD4E33"/>
    <w:rsid w:val="00FE2409"/>
    <w:rsid w:val="00FF1D60"/>
    <w:rsid w:val="00FF4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FootnoteText">
    <w:name w:val="footnote text"/>
    <w:basedOn w:val="Normal"/>
    <w:link w:val="FootnoteTextChar"/>
    <w:uiPriority w:val="99"/>
    <w:semiHidden/>
    <w:unhideWhenUsed/>
    <w:rsid w:val="00C77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27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7274"/>
    <w:rPr>
      <w:vertAlign w:val="superscript"/>
    </w:rPr>
  </w:style>
  <w:style w:type="character" w:customStyle="1" w:styleId="UnresolvedMention1">
    <w:name w:val="Unresolved Mention1"/>
    <w:basedOn w:val="DefaultParagraphFont"/>
    <w:uiPriority w:val="99"/>
    <w:semiHidden/>
    <w:unhideWhenUsed/>
    <w:rsid w:val="002C66CC"/>
    <w:rPr>
      <w:color w:val="605E5C"/>
      <w:shd w:val="clear" w:color="auto" w:fill="E1DFDD"/>
    </w:rPr>
  </w:style>
  <w:style w:type="paragraph" w:customStyle="1" w:styleId="null">
    <w:name w:val="null"/>
    <w:basedOn w:val="Normal"/>
    <w:rsid w:val="005E40A4"/>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null1">
    <w:name w:val="null1"/>
    <w:basedOn w:val="DefaultParagraphFont"/>
    <w:rsid w:val="005E40A4"/>
  </w:style>
  <w:style w:type="character" w:customStyle="1" w:styleId="UnresolvedMention2">
    <w:name w:val="Unresolved Mention2"/>
    <w:basedOn w:val="DefaultParagraphFont"/>
    <w:uiPriority w:val="99"/>
    <w:semiHidden/>
    <w:unhideWhenUsed/>
    <w:rsid w:val="007C3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4935">
      <w:bodyDiv w:val="1"/>
      <w:marLeft w:val="0"/>
      <w:marRight w:val="0"/>
      <w:marTop w:val="0"/>
      <w:marBottom w:val="0"/>
      <w:divBdr>
        <w:top w:val="none" w:sz="0" w:space="0" w:color="auto"/>
        <w:left w:val="none" w:sz="0" w:space="0" w:color="auto"/>
        <w:bottom w:val="none" w:sz="0" w:space="0" w:color="auto"/>
        <w:right w:val="none" w:sz="0" w:space="0" w:color="auto"/>
      </w:divBdr>
      <w:divsChild>
        <w:div w:id="1407798260">
          <w:marLeft w:val="0"/>
          <w:marRight w:val="0"/>
          <w:marTop w:val="0"/>
          <w:marBottom w:val="0"/>
          <w:divBdr>
            <w:top w:val="none" w:sz="0" w:space="0" w:color="auto"/>
            <w:left w:val="none" w:sz="0" w:space="0" w:color="auto"/>
            <w:bottom w:val="none" w:sz="0" w:space="0" w:color="auto"/>
            <w:right w:val="none" w:sz="0" w:space="0" w:color="auto"/>
          </w:divBdr>
        </w:div>
      </w:divsChild>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64584407">
      <w:bodyDiv w:val="1"/>
      <w:marLeft w:val="0"/>
      <w:marRight w:val="0"/>
      <w:marTop w:val="0"/>
      <w:marBottom w:val="0"/>
      <w:divBdr>
        <w:top w:val="none" w:sz="0" w:space="0" w:color="auto"/>
        <w:left w:val="none" w:sz="0" w:space="0" w:color="auto"/>
        <w:bottom w:val="none" w:sz="0" w:space="0" w:color="auto"/>
        <w:right w:val="none" w:sz="0" w:space="0" w:color="auto"/>
      </w:divBdr>
    </w:div>
    <w:div w:id="311298219">
      <w:bodyDiv w:val="1"/>
      <w:marLeft w:val="0"/>
      <w:marRight w:val="0"/>
      <w:marTop w:val="0"/>
      <w:marBottom w:val="0"/>
      <w:divBdr>
        <w:top w:val="none" w:sz="0" w:space="0" w:color="auto"/>
        <w:left w:val="none" w:sz="0" w:space="0" w:color="auto"/>
        <w:bottom w:val="none" w:sz="0" w:space="0" w:color="auto"/>
        <w:right w:val="none" w:sz="0" w:space="0" w:color="auto"/>
      </w:divBdr>
      <w:divsChild>
        <w:div w:id="1823543564">
          <w:marLeft w:val="0"/>
          <w:marRight w:val="0"/>
          <w:marTop w:val="0"/>
          <w:marBottom w:val="0"/>
          <w:divBdr>
            <w:top w:val="none" w:sz="0" w:space="0" w:color="auto"/>
            <w:left w:val="none" w:sz="0" w:space="0" w:color="auto"/>
            <w:bottom w:val="none" w:sz="0" w:space="0" w:color="auto"/>
            <w:right w:val="none" w:sz="0" w:space="0" w:color="auto"/>
          </w:divBdr>
        </w:div>
        <w:div w:id="1765299634">
          <w:marLeft w:val="0"/>
          <w:marRight w:val="0"/>
          <w:marTop w:val="0"/>
          <w:marBottom w:val="0"/>
          <w:divBdr>
            <w:top w:val="none" w:sz="0" w:space="0" w:color="auto"/>
            <w:left w:val="none" w:sz="0" w:space="0" w:color="auto"/>
            <w:bottom w:val="none" w:sz="0" w:space="0" w:color="auto"/>
            <w:right w:val="none" w:sz="0" w:space="0" w:color="auto"/>
          </w:divBdr>
          <w:divsChild>
            <w:div w:id="1394813601">
              <w:marLeft w:val="0"/>
              <w:marRight w:val="0"/>
              <w:marTop w:val="0"/>
              <w:marBottom w:val="0"/>
              <w:divBdr>
                <w:top w:val="none" w:sz="0" w:space="0" w:color="auto"/>
                <w:left w:val="none" w:sz="0" w:space="0" w:color="auto"/>
                <w:bottom w:val="none" w:sz="0" w:space="0" w:color="auto"/>
                <w:right w:val="none" w:sz="0" w:space="0" w:color="auto"/>
              </w:divBdr>
            </w:div>
          </w:divsChild>
        </w:div>
        <w:div w:id="1952933663">
          <w:marLeft w:val="0"/>
          <w:marRight w:val="0"/>
          <w:marTop w:val="0"/>
          <w:marBottom w:val="0"/>
          <w:divBdr>
            <w:top w:val="none" w:sz="0" w:space="0" w:color="auto"/>
            <w:left w:val="none" w:sz="0" w:space="0" w:color="auto"/>
            <w:bottom w:val="none" w:sz="0" w:space="0" w:color="auto"/>
            <w:right w:val="none" w:sz="0" w:space="0" w:color="auto"/>
          </w:divBdr>
          <w:divsChild>
            <w:div w:id="1245409836">
              <w:marLeft w:val="0"/>
              <w:marRight w:val="0"/>
              <w:marTop w:val="0"/>
              <w:marBottom w:val="0"/>
              <w:divBdr>
                <w:top w:val="none" w:sz="0" w:space="0" w:color="auto"/>
                <w:left w:val="none" w:sz="0" w:space="0" w:color="auto"/>
                <w:bottom w:val="none" w:sz="0" w:space="0" w:color="auto"/>
                <w:right w:val="none" w:sz="0" w:space="0" w:color="auto"/>
              </w:divBdr>
              <w:divsChild>
                <w:div w:id="617031634">
                  <w:marLeft w:val="0"/>
                  <w:marRight w:val="0"/>
                  <w:marTop w:val="0"/>
                  <w:marBottom w:val="0"/>
                  <w:divBdr>
                    <w:top w:val="none" w:sz="0" w:space="0" w:color="auto"/>
                    <w:left w:val="none" w:sz="0" w:space="0" w:color="auto"/>
                    <w:bottom w:val="none" w:sz="0" w:space="0" w:color="auto"/>
                    <w:right w:val="none" w:sz="0" w:space="0" w:color="auto"/>
                  </w:divBdr>
                </w:div>
              </w:divsChild>
            </w:div>
            <w:div w:id="951983619">
              <w:marLeft w:val="0"/>
              <w:marRight w:val="0"/>
              <w:marTop w:val="0"/>
              <w:marBottom w:val="0"/>
              <w:divBdr>
                <w:top w:val="none" w:sz="0" w:space="0" w:color="auto"/>
                <w:left w:val="none" w:sz="0" w:space="0" w:color="auto"/>
                <w:bottom w:val="none" w:sz="0" w:space="0" w:color="auto"/>
                <w:right w:val="none" w:sz="0" w:space="0" w:color="auto"/>
              </w:divBdr>
            </w:div>
          </w:divsChild>
        </w:div>
        <w:div w:id="678969039">
          <w:marLeft w:val="0"/>
          <w:marRight w:val="0"/>
          <w:marTop w:val="0"/>
          <w:marBottom w:val="0"/>
          <w:divBdr>
            <w:top w:val="none" w:sz="0" w:space="0" w:color="auto"/>
            <w:left w:val="none" w:sz="0" w:space="0" w:color="auto"/>
            <w:bottom w:val="none" w:sz="0" w:space="0" w:color="auto"/>
            <w:right w:val="none" w:sz="0" w:space="0" w:color="auto"/>
          </w:divBdr>
          <w:divsChild>
            <w:div w:id="524026598">
              <w:marLeft w:val="0"/>
              <w:marRight w:val="0"/>
              <w:marTop w:val="0"/>
              <w:marBottom w:val="0"/>
              <w:divBdr>
                <w:top w:val="none" w:sz="0" w:space="0" w:color="auto"/>
                <w:left w:val="none" w:sz="0" w:space="0" w:color="auto"/>
                <w:bottom w:val="none" w:sz="0" w:space="0" w:color="auto"/>
                <w:right w:val="none" w:sz="0" w:space="0" w:color="auto"/>
              </w:divBdr>
              <w:divsChild>
                <w:div w:id="20444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144">
          <w:marLeft w:val="0"/>
          <w:marRight w:val="0"/>
          <w:marTop w:val="0"/>
          <w:marBottom w:val="0"/>
          <w:divBdr>
            <w:top w:val="none" w:sz="0" w:space="0" w:color="auto"/>
            <w:left w:val="none" w:sz="0" w:space="0" w:color="auto"/>
            <w:bottom w:val="none" w:sz="0" w:space="0" w:color="auto"/>
            <w:right w:val="none" w:sz="0" w:space="0" w:color="auto"/>
          </w:divBdr>
          <w:divsChild>
            <w:div w:id="158423715">
              <w:marLeft w:val="0"/>
              <w:marRight w:val="0"/>
              <w:marTop w:val="0"/>
              <w:marBottom w:val="0"/>
              <w:divBdr>
                <w:top w:val="none" w:sz="0" w:space="0" w:color="auto"/>
                <w:left w:val="none" w:sz="0" w:space="0" w:color="auto"/>
                <w:bottom w:val="none" w:sz="0" w:space="0" w:color="auto"/>
                <w:right w:val="none" w:sz="0" w:space="0" w:color="auto"/>
              </w:divBdr>
            </w:div>
            <w:div w:id="998925794">
              <w:marLeft w:val="0"/>
              <w:marRight w:val="0"/>
              <w:marTop w:val="0"/>
              <w:marBottom w:val="0"/>
              <w:divBdr>
                <w:top w:val="none" w:sz="0" w:space="0" w:color="auto"/>
                <w:left w:val="none" w:sz="0" w:space="0" w:color="auto"/>
                <w:bottom w:val="none" w:sz="0" w:space="0" w:color="auto"/>
                <w:right w:val="none" w:sz="0" w:space="0" w:color="auto"/>
              </w:divBdr>
            </w:div>
            <w:div w:id="711921641">
              <w:marLeft w:val="0"/>
              <w:marRight w:val="0"/>
              <w:marTop w:val="0"/>
              <w:marBottom w:val="0"/>
              <w:divBdr>
                <w:top w:val="none" w:sz="0" w:space="0" w:color="auto"/>
                <w:left w:val="none" w:sz="0" w:space="0" w:color="auto"/>
                <w:bottom w:val="none" w:sz="0" w:space="0" w:color="auto"/>
                <w:right w:val="none" w:sz="0" w:space="0" w:color="auto"/>
              </w:divBdr>
            </w:div>
            <w:div w:id="1685282809">
              <w:marLeft w:val="0"/>
              <w:marRight w:val="0"/>
              <w:marTop w:val="0"/>
              <w:marBottom w:val="0"/>
              <w:divBdr>
                <w:top w:val="none" w:sz="0" w:space="0" w:color="auto"/>
                <w:left w:val="none" w:sz="0" w:space="0" w:color="auto"/>
                <w:bottom w:val="none" w:sz="0" w:space="0" w:color="auto"/>
                <w:right w:val="none" w:sz="0" w:space="0" w:color="auto"/>
              </w:divBdr>
            </w:div>
          </w:divsChild>
        </w:div>
        <w:div w:id="1764646102">
          <w:marLeft w:val="0"/>
          <w:marRight w:val="0"/>
          <w:marTop w:val="0"/>
          <w:marBottom w:val="0"/>
          <w:divBdr>
            <w:top w:val="none" w:sz="0" w:space="0" w:color="auto"/>
            <w:left w:val="none" w:sz="0" w:space="0" w:color="auto"/>
            <w:bottom w:val="none" w:sz="0" w:space="0" w:color="auto"/>
            <w:right w:val="none" w:sz="0" w:space="0" w:color="auto"/>
          </w:divBdr>
          <w:divsChild>
            <w:div w:id="427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58376958">
      <w:bodyDiv w:val="1"/>
      <w:marLeft w:val="0"/>
      <w:marRight w:val="0"/>
      <w:marTop w:val="0"/>
      <w:marBottom w:val="0"/>
      <w:divBdr>
        <w:top w:val="none" w:sz="0" w:space="0" w:color="auto"/>
        <w:left w:val="none" w:sz="0" w:space="0" w:color="auto"/>
        <w:bottom w:val="none" w:sz="0" w:space="0" w:color="auto"/>
        <w:right w:val="none" w:sz="0" w:space="0" w:color="auto"/>
      </w:divBdr>
      <w:divsChild>
        <w:div w:id="675159843">
          <w:marLeft w:val="0"/>
          <w:marRight w:val="0"/>
          <w:marTop w:val="0"/>
          <w:marBottom w:val="0"/>
          <w:divBdr>
            <w:top w:val="none" w:sz="0" w:space="0" w:color="auto"/>
            <w:left w:val="none" w:sz="0" w:space="0" w:color="auto"/>
            <w:bottom w:val="none" w:sz="0" w:space="0" w:color="auto"/>
            <w:right w:val="none" w:sz="0" w:space="0" w:color="auto"/>
          </w:divBdr>
        </w:div>
      </w:divsChild>
    </w:div>
    <w:div w:id="479924563">
      <w:bodyDiv w:val="1"/>
      <w:marLeft w:val="0"/>
      <w:marRight w:val="0"/>
      <w:marTop w:val="0"/>
      <w:marBottom w:val="0"/>
      <w:divBdr>
        <w:top w:val="none" w:sz="0" w:space="0" w:color="auto"/>
        <w:left w:val="none" w:sz="0" w:space="0" w:color="auto"/>
        <w:bottom w:val="none" w:sz="0" w:space="0" w:color="auto"/>
        <w:right w:val="none" w:sz="0" w:space="0" w:color="auto"/>
      </w:divBdr>
      <w:divsChild>
        <w:div w:id="1847398885">
          <w:marLeft w:val="0"/>
          <w:marRight w:val="0"/>
          <w:marTop w:val="0"/>
          <w:marBottom w:val="0"/>
          <w:divBdr>
            <w:top w:val="none" w:sz="0" w:space="0" w:color="auto"/>
            <w:left w:val="none" w:sz="0" w:space="0" w:color="auto"/>
            <w:bottom w:val="none" w:sz="0" w:space="0" w:color="auto"/>
            <w:right w:val="none" w:sz="0" w:space="0" w:color="auto"/>
          </w:divBdr>
        </w:div>
      </w:divsChild>
    </w:div>
    <w:div w:id="486820242">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45664114">
      <w:bodyDiv w:val="1"/>
      <w:marLeft w:val="0"/>
      <w:marRight w:val="0"/>
      <w:marTop w:val="0"/>
      <w:marBottom w:val="0"/>
      <w:divBdr>
        <w:top w:val="none" w:sz="0" w:space="0" w:color="auto"/>
        <w:left w:val="none" w:sz="0" w:space="0" w:color="auto"/>
        <w:bottom w:val="none" w:sz="0" w:space="0" w:color="auto"/>
        <w:right w:val="none" w:sz="0" w:space="0" w:color="auto"/>
      </w:divBdr>
      <w:divsChild>
        <w:div w:id="1615403384">
          <w:marLeft w:val="0"/>
          <w:marRight w:val="0"/>
          <w:marTop w:val="0"/>
          <w:marBottom w:val="0"/>
          <w:divBdr>
            <w:top w:val="none" w:sz="0" w:space="0" w:color="auto"/>
            <w:left w:val="none" w:sz="0" w:space="0" w:color="auto"/>
            <w:bottom w:val="none" w:sz="0" w:space="0" w:color="auto"/>
            <w:right w:val="none" w:sz="0" w:space="0" w:color="auto"/>
          </w:divBdr>
        </w:div>
      </w:divsChild>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72483405">
      <w:bodyDiv w:val="1"/>
      <w:marLeft w:val="0"/>
      <w:marRight w:val="0"/>
      <w:marTop w:val="0"/>
      <w:marBottom w:val="0"/>
      <w:divBdr>
        <w:top w:val="none" w:sz="0" w:space="0" w:color="auto"/>
        <w:left w:val="none" w:sz="0" w:space="0" w:color="auto"/>
        <w:bottom w:val="none" w:sz="0" w:space="0" w:color="auto"/>
        <w:right w:val="none" w:sz="0" w:space="0" w:color="auto"/>
      </w:divBdr>
      <w:divsChild>
        <w:div w:id="74404451">
          <w:marLeft w:val="0"/>
          <w:marRight w:val="0"/>
          <w:marTop w:val="0"/>
          <w:marBottom w:val="0"/>
          <w:divBdr>
            <w:top w:val="none" w:sz="0" w:space="0" w:color="auto"/>
            <w:left w:val="none" w:sz="0" w:space="0" w:color="auto"/>
            <w:bottom w:val="none" w:sz="0" w:space="0" w:color="auto"/>
            <w:right w:val="none" w:sz="0" w:space="0" w:color="auto"/>
          </w:divBdr>
        </w:div>
      </w:divsChild>
    </w:div>
    <w:div w:id="784815561">
      <w:bodyDiv w:val="1"/>
      <w:marLeft w:val="0"/>
      <w:marRight w:val="0"/>
      <w:marTop w:val="0"/>
      <w:marBottom w:val="0"/>
      <w:divBdr>
        <w:top w:val="none" w:sz="0" w:space="0" w:color="auto"/>
        <w:left w:val="none" w:sz="0" w:space="0" w:color="auto"/>
        <w:bottom w:val="none" w:sz="0" w:space="0" w:color="auto"/>
        <w:right w:val="none" w:sz="0" w:space="0" w:color="auto"/>
      </w:divBdr>
      <w:divsChild>
        <w:div w:id="1045258391">
          <w:marLeft w:val="0"/>
          <w:marRight w:val="0"/>
          <w:marTop w:val="0"/>
          <w:marBottom w:val="0"/>
          <w:divBdr>
            <w:top w:val="none" w:sz="0" w:space="0" w:color="auto"/>
            <w:left w:val="none" w:sz="0" w:space="0" w:color="auto"/>
            <w:bottom w:val="none" w:sz="0" w:space="0" w:color="auto"/>
            <w:right w:val="none" w:sz="0" w:space="0" w:color="auto"/>
          </w:divBdr>
        </w:div>
      </w:divsChild>
    </w:div>
    <w:div w:id="801388789">
      <w:bodyDiv w:val="1"/>
      <w:marLeft w:val="0"/>
      <w:marRight w:val="0"/>
      <w:marTop w:val="0"/>
      <w:marBottom w:val="0"/>
      <w:divBdr>
        <w:top w:val="none" w:sz="0" w:space="0" w:color="auto"/>
        <w:left w:val="none" w:sz="0" w:space="0" w:color="auto"/>
        <w:bottom w:val="none" w:sz="0" w:space="0" w:color="auto"/>
        <w:right w:val="none" w:sz="0" w:space="0" w:color="auto"/>
      </w:divBdr>
    </w:div>
    <w:div w:id="841823727">
      <w:bodyDiv w:val="1"/>
      <w:marLeft w:val="0"/>
      <w:marRight w:val="0"/>
      <w:marTop w:val="0"/>
      <w:marBottom w:val="0"/>
      <w:divBdr>
        <w:top w:val="none" w:sz="0" w:space="0" w:color="auto"/>
        <w:left w:val="none" w:sz="0" w:space="0" w:color="auto"/>
        <w:bottom w:val="none" w:sz="0" w:space="0" w:color="auto"/>
        <w:right w:val="none" w:sz="0" w:space="0" w:color="auto"/>
      </w:divBdr>
    </w:div>
    <w:div w:id="869562331">
      <w:bodyDiv w:val="1"/>
      <w:marLeft w:val="0"/>
      <w:marRight w:val="0"/>
      <w:marTop w:val="0"/>
      <w:marBottom w:val="0"/>
      <w:divBdr>
        <w:top w:val="none" w:sz="0" w:space="0" w:color="auto"/>
        <w:left w:val="none" w:sz="0" w:space="0" w:color="auto"/>
        <w:bottom w:val="none" w:sz="0" w:space="0" w:color="auto"/>
        <w:right w:val="none" w:sz="0" w:space="0" w:color="auto"/>
      </w:divBdr>
      <w:divsChild>
        <w:div w:id="1531455138">
          <w:marLeft w:val="0"/>
          <w:marRight w:val="0"/>
          <w:marTop w:val="0"/>
          <w:marBottom w:val="0"/>
          <w:divBdr>
            <w:top w:val="none" w:sz="0" w:space="0" w:color="auto"/>
            <w:left w:val="none" w:sz="0" w:space="0" w:color="auto"/>
            <w:bottom w:val="none" w:sz="0" w:space="0" w:color="auto"/>
            <w:right w:val="none" w:sz="0" w:space="0" w:color="auto"/>
          </w:divBdr>
        </w:div>
      </w:divsChild>
    </w:div>
    <w:div w:id="885797255">
      <w:bodyDiv w:val="1"/>
      <w:marLeft w:val="0"/>
      <w:marRight w:val="0"/>
      <w:marTop w:val="0"/>
      <w:marBottom w:val="0"/>
      <w:divBdr>
        <w:top w:val="none" w:sz="0" w:space="0" w:color="auto"/>
        <w:left w:val="none" w:sz="0" w:space="0" w:color="auto"/>
        <w:bottom w:val="none" w:sz="0" w:space="0" w:color="auto"/>
        <w:right w:val="none" w:sz="0" w:space="0" w:color="auto"/>
      </w:divBdr>
    </w:div>
    <w:div w:id="987248193">
      <w:bodyDiv w:val="1"/>
      <w:marLeft w:val="0"/>
      <w:marRight w:val="0"/>
      <w:marTop w:val="0"/>
      <w:marBottom w:val="0"/>
      <w:divBdr>
        <w:top w:val="none" w:sz="0" w:space="0" w:color="auto"/>
        <w:left w:val="none" w:sz="0" w:space="0" w:color="auto"/>
        <w:bottom w:val="none" w:sz="0" w:space="0" w:color="auto"/>
        <w:right w:val="none" w:sz="0" w:space="0" w:color="auto"/>
      </w:divBdr>
      <w:divsChild>
        <w:div w:id="566915618">
          <w:marLeft w:val="0"/>
          <w:marRight w:val="0"/>
          <w:marTop w:val="0"/>
          <w:marBottom w:val="0"/>
          <w:divBdr>
            <w:top w:val="none" w:sz="0" w:space="0" w:color="auto"/>
            <w:left w:val="none" w:sz="0" w:space="0" w:color="auto"/>
            <w:bottom w:val="none" w:sz="0" w:space="0" w:color="auto"/>
            <w:right w:val="none" w:sz="0" w:space="0" w:color="auto"/>
          </w:divBdr>
        </w:div>
      </w:divsChild>
    </w:div>
    <w:div w:id="1006980074">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88889728">
      <w:bodyDiv w:val="1"/>
      <w:marLeft w:val="0"/>
      <w:marRight w:val="0"/>
      <w:marTop w:val="0"/>
      <w:marBottom w:val="0"/>
      <w:divBdr>
        <w:top w:val="none" w:sz="0" w:space="0" w:color="auto"/>
        <w:left w:val="none" w:sz="0" w:space="0" w:color="auto"/>
        <w:bottom w:val="none" w:sz="0" w:space="0" w:color="auto"/>
        <w:right w:val="none" w:sz="0" w:space="0" w:color="auto"/>
      </w:divBdr>
      <w:divsChild>
        <w:div w:id="739406721">
          <w:marLeft w:val="0"/>
          <w:marRight w:val="0"/>
          <w:marTop w:val="0"/>
          <w:marBottom w:val="0"/>
          <w:divBdr>
            <w:top w:val="none" w:sz="0" w:space="0" w:color="auto"/>
            <w:left w:val="none" w:sz="0" w:space="0" w:color="auto"/>
            <w:bottom w:val="none" w:sz="0" w:space="0" w:color="auto"/>
            <w:right w:val="none" w:sz="0" w:space="0" w:color="auto"/>
          </w:divBdr>
        </w:div>
      </w:divsChild>
    </w:div>
    <w:div w:id="1173107837">
      <w:bodyDiv w:val="1"/>
      <w:marLeft w:val="0"/>
      <w:marRight w:val="0"/>
      <w:marTop w:val="0"/>
      <w:marBottom w:val="0"/>
      <w:divBdr>
        <w:top w:val="none" w:sz="0" w:space="0" w:color="auto"/>
        <w:left w:val="none" w:sz="0" w:space="0" w:color="auto"/>
        <w:bottom w:val="none" w:sz="0" w:space="0" w:color="auto"/>
        <w:right w:val="none" w:sz="0" w:space="0" w:color="auto"/>
      </w:divBdr>
      <w:divsChild>
        <w:div w:id="1588230544">
          <w:marLeft w:val="0"/>
          <w:marRight w:val="0"/>
          <w:marTop w:val="0"/>
          <w:marBottom w:val="0"/>
          <w:divBdr>
            <w:top w:val="none" w:sz="0" w:space="0" w:color="auto"/>
            <w:left w:val="none" w:sz="0" w:space="0" w:color="auto"/>
            <w:bottom w:val="none" w:sz="0" w:space="0" w:color="auto"/>
            <w:right w:val="none" w:sz="0" w:space="0" w:color="auto"/>
          </w:divBdr>
        </w:div>
      </w:divsChild>
    </w:div>
    <w:div w:id="1198273181">
      <w:bodyDiv w:val="1"/>
      <w:marLeft w:val="0"/>
      <w:marRight w:val="0"/>
      <w:marTop w:val="0"/>
      <w:marBottom w:val="0"/>
      <w:divBdr>
        <w:top w:val="none" w:sz="0" w:space="0" w:color="auto"/>
        <w:left w:val="none" w:sz="0" w:space="0" w:color="auto"/>
        <w:bottom w:val="none" w:sz="0" w:space="0" w:color="auto"/>
        <w:right w:val="none" w:sz="0" w:space="0" w:color="auto"/>
      </w:divBdr>
      <w:divsChild>
        <w:div w:id="1571384843">
          <w:marLeft w:val="0"/>
          <w:marRight w:val="0"/>
          <w:marTop w:val="0"/>
          <w:marBottom w:val="0"/>
          <w:divBdr>
            <w:top w:val="none" w:sz="0" w:space="0" w:color="auto"/>
            <w:left w:val="none" w:sz="0" w:space="0" w:color="auto"/>
            <w:bottom w:val="none" w:sz="0" w:space="0" w:color="auto"/>
            <w:right w:val="none" w:sz="0" w:space="0" w:color="auto"/>
          </w:divBdr>
        </w:div>
      </w:divsChild>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279484470">
      <w:bodyDiv w:val="1"/>
      <w:marLeft w:val="0"/>
      <w:marRight w:val="0"/>
      <w:marTop w:val="0"/>
      <w:marBottom w:val="0"/>
      <w:divBdr>
        <w:top w:val="none" w:sz="0" w:space="0" w:color="auto"/>
        <w:left w:val="none" w:sz="0" w:space="0" w:color="auto"/>
        <w:bottom w:val="none" w:sz="0" w:space="0" w:color="auto"/>
        <w:right w:val="none" w:sz="0" w:space="0" w:color="auto"/>
      </w:divBdr>
      <w:divsChild>
        <w:div w:id="530151000">
          <w:marLeft w:val="0"/>
          <w:marRight w:val="0"/>
          <w:marTop w:val="0"/>
          <w:marBottom w:val="0"/>
          <w:divBdr>
            <w:top w:val="none" w:sz="0" w:space="0" w:color="auto"/>
            <w:left w:val="none" w:sz="0" w:space="0" w:color="auto"/>
            <w:bottom w:val="none" w:sz="0" w:space="0" w:color="auto"/>
            <w:right w:val="none" w:sz="0" w:space="0" w:color="auto"/>
          </w:divBdr>
        </w:div>
        <w:div w:id="368721844">
          <w:marLeft w:val="0"/>
          <w:marRight w:val="0"/>
          <w:marTop w:val="0"/>
          <w:marBottom w:val="0"/>
          <w:divBdr>
            <w:top w:val="none" w:sz="0" w:space="0" w:color="auto"/>
            <w:left w:val="none" w:sz="0" w:space="0" w:color="auto"/>
            <w:bottom w:val="none" w:sz="0" w:space="0" w:color="auto"/>
            <w:right w:val="none" w:sz="0" w:space="0" w:color="auto"/>
          </w:divBdr>
          <w:divsChild>
            <w:div w:id="1573544367">
              <w:marLeft w:val="0"/>
              <w:marRight w:val="0"/>
              <w:marTop w:val="0"/>
              <w:marBottom w:val="0"/>
              <w:divBdr>
                <w:top w:val="none" w:sz="0" w:space="0" w:color="auto"/>
                <w:left w:val="none" w:sz="0" w:space="0" w:color="auto"/>
                <w:bottom w:val="none" w:sz="0" w:space="0" w:color="auto"/>
                <w:right w:val="none" w:sz="0" w:space="0" w:color="auto"/>
              </w:divBdr>
            </w:div>
          </w:divsChild>
        </w:div>
        <w:div w:id="1186554265">
          <w:marLeft w:val="0"/>
          <w:marRight w:val="0"/>
          <w:marTop w:val="0"/>
          <w:marBottom w:val="0"/>
          <w:divBdr>
            <w:top w:val="none" w:sz="0" w:space="0" w:color="auto"/>
            <w:left w:val="none" w:sz="0" w:space="0" w:color="auto"/>
            <w:bottom w:val="none" w:sz="0" w:space="0" w:color="auto"/>
            <w:right w:val="none" w:sz="0" w:space="0" w:color="auto"/>
          </w:divBdr>
          <w:divsChild>
            <w:div w:id="1254165820">
              <w:marLeft w:val="0"/>
              <w:marRight w:val="0"/>
              <w:marTop w:val="0"/>
              <w:marBottom w:val="0"/>
              <w:divBdr>
                <w:top w:val="none" w:sz="0" w:space="0" w:color="auto"/>
                <w:left w:val="none" w:sz="0" w:space="0" w:color="auto"/>
                <w:bottom w:val="none" w:sz="0" w:space="0" w:color="auto"/>
                <w:right w:val="none" w:sz="0" w:space="0" w:color="auto"/>
              </w:divBdr>
              <w:divsChild>
                <w:div w:id="2101485542">
                  <w:marLeft w:val="0"/>
                  <w:marRight w:val="0"/>
                  <w:marTop w:val="0"/>
                  <w:marBottom w:val="0"/>
                  <w:divBdr>
                    <w:top w:val="none" w:sz="0" w:space="0" w:color="auto"/>
                    <w:left w:val="none" w:sz="0" w:space="0" w:color="auto"/>
                    <w:bottom w:val="none" w:sz="0" w:space="0" w:color="auto"/>
                    <w:right w:val="none" w:sz="0" w:space="0" w:color="auto"/>
                  </w:divBdr>
                </w:div>
              </w:divsChild>
            </w:div>
            <w:div w:id="1408503357">
              <w:marLeft w:val="0"/>
              <w:marRight w:val="0"/>
              <w:marTop w:val="0"/>
              <w:marBottom w:val="0"/>
              <w:divBdr>
                <w:top w:val="none" w:sz="0" w:space="0" w:color="auto"/>
                <w:left w:val="none" w:sz="0" w:space="0" w:color="auto"/>
                <w:bottom w:val="none" w:sz="0" w:space="0" w:color="auto"/>
                <w:right w:val="none" w:sz="0" w:space="0" w:color="auto"/>
              </w:divBdr>
            </w:div>
          </w:divsChild>
        </w:div>
        <w:div w:id="890656896">
          <w:marLeft w:val="0"/>
          <w:marRight w:val="0"/>
          <w:marTop w:val="0"/>
          <w:marBottom w:val="0"/>
          <w:divBdr>
            <w:top w:val="none" w:sz="0" w:space="0" w:color="auto"/>
            <w:left w:val="none" w:sz="0" w:space="0" w:color="auto"/>
            <w:bottom w:val="none" w:sz="0" w:space="0" w:color="auto"/>
            <w:right w:val="none" w:sz="0" w:space="0" w:color="auto"/>
          </w:divBdr>
          <w:divsChild>
            <w:div w:id="2008552874">
              <w:marLeft w:val="0"/>
              <w:marRight w:val="0"/>
              <w:marTop w:val="0"/>
              <w:marBottom w:val="0"/>
              <w:divBdr>
                <w:top w:val="none" w:sz="0" w:space="0" w:color="auto"/>
                <w:left w:val="none" w:sz="0" w:space="0" w:color="auto"/>
                <w:bottom w:val="none" w:sz="0" w:space="0" w:color="auto"/>
                <w:right w:val="none" w:sz="0" w:space="0" w:color="auto"/>
              </w:divBdr>
              <w:divsChild>
                <w:div w:id="12183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5986">
          <w:marLeft w:val="0"/>
          <w:marRight w:val="0"/>
          <w:marTop w:val="0"/>
          <w:marBottom w:val="0"/>
          <w:divBdr>
            <w:top w:val="none" w:sz="0" w:space="0" w:color="auto"/>
            <w:left w:val="none" w:sz="0" w:space="0" w:color="auto"/>
            <w:bottom w:val="none" w:sz="0" w:space="0" w:color="auto"/>
            <w:right w:val="none" w:sz="0" w:space="0" w:color="auto"/>
          </w:divBdr>
          <w:divsChild>
            <w:div w:id="1241674210">
              <w:marLeft w:val="0"/>
              <w:marRight w:val="0"/>
              <w:marTop w:val="0"/>
              <w:marBottom w:val="0"/>
              <w:divBdr>
                <w:top w:val="none" w:sz="0" w:space="0" w:color="auto"/>
                <w:left w:val="none" w:sz="0" w:space="0" w:color="auto"/>
                <w:bottom w:val="none" w:sz="0" w:space="0" w:color="auto"/>
                <w:right w:val="none" w:sz="0" w:space="0" w:color="auto"/>
              </w:divBdr>
            </w:div>
            <w:div w:id="566191504">
              <w:marLeft w:val="0"/>
              <w:marRight w:val="0"/>
              <w:marTop w:val="0"/>
              <w:marBottom w:val="0"/>
              <w:divBdr>
                <w:top w:val="none" w:sz="0" w:space="0" w:color="auto"/>
                <w:left w:val="none" w:sz="0" w:space="0" w:color="auto"/>
                <w:bottom w:val="none" w:sz="0" w:space="0" w:color="auto"/>
                <w:right w:val="none" w:sz="0" w:space="0" w:color="auto"/>
              </w:divBdr>
            </w:div>
            <w:div w:id="1524636199">
              <w:marLeft w:val="0"/>
              <w:marRight w:val="0"/>
              <w:marTop w:val="0"/>
              <w:marBottom w:val="0"/>
              <w:divBdr>
                <w:top w:val="none" w:sz="0" w:space="0" w:color="auto"/>
                <w:left w:val="none" w:sz="0" w:space="0" w:color="auto"/>
                <w:bottom w:val="none" w:sz="0" w:space="0" w:color="auto"/>
                <w:right w:val="none" w:sz="0" w:space="0" w:color="auto"/>
              </w:divBdr>
            </w:div>
            <w:div w:id="1584952369">
              <w:marLeft w:val="0"/>
              <w:marRight w:val="0"/>
              <w:marTop w:val="0"/>
              <w:marBottom w:val="0"/>
              <w:divBdr>
                <w:top w:val="none" w:sz="0" w:space="0" w:color="auto"/>
                <w:left w:val="none" w:sz="0" w:space="0" w:color="auto"/>
                <w:bottom w:val="none" w:sz="0" w:space="0" w:color="auto"/>
                <w:right w:val="none" w:sz="0" w:space="0" w:color="auto"/>
              </w:divBdr>
            </w:div>
          </w:divsChild>
        </w:div>
        <w:div w:id="1223754247">
          <w:marLeft w:val="0"/>
          <w:marRight w:val="0"/>
          <w:marTop w:val="0"/>
          <w:marBottom w:val="0"/>
          <w:divBdr>
            <w:top w:val="none" w:sz="0" w:space="0" w:color="auto"/>
            <w:left w:val="none" w:sz="0" w:space="0" w:color="auto"/>
            <w:bottom w:val="none" w:sz="0" w:space="0" w:color="auto"/>
            <w:right w:val="none" w:sz="0" w:space="0" w:color="auto"/>
          </w:divBdr>
          <w:divsChild>
            <w:div w:id="691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4317">
      <w:bodyDiv w:val="1"/>
      <w:marLeft w:val="0"/>
      <w:marRight w:val="0"/>
      <w:marTop w:val="0"/>
      <w:marBottom w:val="0"/>
      <w:divBdr>
        <w:top w:val="none" w:sz="0" w:space="0" w:color="auto"/>
        <w:left w:val="none" w:sz="0" w:space="0" w:color="auto"/>
        <w:bottom w:val="none" w:sz="0" w:space="0" w:color="auto"/>
        <w:right w:val="none" w:sz="0" w:space="0" w:color="auto"/>
      </w:divBdr>
    </w:div>
    <w:div w:id="1482379424">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692340558">
      <w:bodyDiv w:val="1"/>
      <w:marLeft w:val="0"/>
      <w:marRight w:val="0"/>
      <w:marTop w:val="0"/>
      <w:marBottom w:val="0"/>
      <w:divBdr>
        <w:top w:val="none" w:sz="0" w:space="0" w:color="auto"/>
        <w:left w:val="none" w:sz="0" w:space="0" w:color="auto"/>
        <w:bottom w:val="none" w:sz="0" w:space="0" w:color="auto"/>
        <w:right w:val="none" w:sz="0" w:space="0" w:color="auto"/>
      </w:divBdr>
      <w:divsChild>
        <w:div w:id="29376369">
          <w:marLeft w:val="0"/>
          <w:marRight w:val="0"/>
          <w:marTop w:val="0"/>
          <w:marBottom w:val="0"/>
          <w:divBdr>
            <w:top w:val="none" w:sz="0" w:space="0" w:color="auto"/>
            <w:left w:val="none" w:sz="0" w:space="0" w:color="auto"/>
            <w:bottom w:val="none" w:sz="0" w:space="0" w:color="auto"/>
            <w:right w:val="none" w:sz="0" w:space="0" w:color="auto"/>
          </w:divBdr>
        </w:div>
      </w:divsChild>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55730697">
      <w:bodyDiv w:val="1"/>
      <w:marLeft w:val="0"/>
      <w:marRight w:val="0"/>
      <w:marTop w:val="0"/>
      <w:marBottom w:val="0"/>
      <w:divBdr>
        <w:top w:val="none" w:sz="0" w:space="0" w:color="auto"/>
        <w:left w:val="none" w:sz="0" w:space="0" w:color="auto"/>
        <w:bottom w:val="none" w:sz="0" w:space="0" w:color="auto"/>
        <w:right w:val="none" w:sz="0" w:space="0" w:color="auto"/>
      </w:divBdr>
    </w:div>
    <w:div w:id="1876575031">
      <w:bodyDiv w:val="1"/>
      <w:marLeft w:val="0"/>
      <w:marRight w:val="0"/>
      <w:marTop w:val="0"/>
      <w:marBottom w:val="0"/>
      <w:divBdr>
        <w:top w:val="none" w:sz="0" w:space="0" w:color="auto"/>
        <w:left w:val="none" w:sz="0" w:space="0" w:color="auto"/>
        <w:bottom w:val="none" w:sz="0" w:space="0" w:color="auto"/>
        <w:right w:val="none" w:sz="0" w:space="0" w:color="auto"/>
      </w:divBdr>
    </w:div>
    <w:div w:id="1889756642">
      <w:bodyDiv w:val="1"/>
      <w:marLeft w:val="0"/>
      <w:marRight w:val="0"/>
      <w:marTop w:val="0"/>
      <w:marBottom w:val="0"/>
      <w:divBdr>
        <w:top w:val="none" w:sz="0" w:space="0" w:color="auto"/>
        <w:left w:val="none" w:sz="0" w:space="0" w:color="auto"/>
        <w:bottom w:val="none" w:sz="0" w:space="0" w:color="auto"/>
        <w:right w:val="none" w:sz="0" w:space="0" w:color="auto"/>
      </w:divBdr>
    </w:div>
    <w:div w:id="1990674629">
      <w:bodyDiv w:val="1"/>
      <w:marLeft w:val="0"/>
      <w:marRight w:val="0"/>
      <w:marTop w:val="0"/>
      <w:marBottom w:val="0"/>
      <w:divBdr>
        <w:top w:val="none" w:sz="0" w:space="0" w:color="auto"/>
        <w:left w:val="none" w:sz="0" w:space="0" w:color="auto"/>
        <w:bottom w:val="none" w:sz="0" w:space="0" w:color="auto"/>
        <w:right w:val="none" w:sz="0" w:space="0" w:color="auto"/>
      </w:divBdr>
    </w:div>
    <w:div w:id="2000495318">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7440090">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083675272">
      <w:bodyDiv w:val="1"/>
      <w:marLeft w:val="0"/>
      <w:marRight w:val="0"/>
      <w:marTop w:val="0"/>
      <w:marBottom w:val="0"/>
      <w:divBdr>
        <w:top w:val="none" w:sz="0" w:space="0" w:color="auto"/>
        <w:left w:val="none" w:sz="0" w:space="0" w:color="auto"/>
        <w:bottom w:val="none" w:sz="0" w:space="0" w:color="auto"/>
        <w:right w:val="none" w:sz="0" w:space="0" w:color="auto"/>
      </w:divBdr>
    </w:div>
    <w:div w:id="2117559778">
      <w:bodyDiv w:val="1"/>
      <w:marLeft w:val="0"/>
      <w:marRight w:val="0"/>
      <w:marTop w:val="0"/>
      <w:marBottom w:val="0"/>
      <w:divBdr>
        <w:top w:val="none" w:sz="0" w:space="0" w:color="auto"/>
        <w:left w:val="none" w:sz="0" w:space="0" w:color="auto"/>
        <w:bottom w:val="none" w:sz="0" w:space="0" w:color="auto"/>
        <w:right w:val="none" w:sz="0" w:space="0" w:color="auto"/>
      </w:divBdr>
    </w:div>
    <w:div w:id="21265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s://www.ncbi.nlm.nih.gov/books/NBK13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jnccn.org/view/journals/jnccn/19/1/article-p77.xml" TargetMode="Externa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internet/msac/publishing.nsf/Content/1098-public"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CB4F-0531-4509-8257-5426F5C3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6282</Words>
  <Characters>35810</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2021-10-07T01:19:00Z</dcterms:created>
  <dcterms:modified xsi:type="dcterms:W3CDTF">2021-10-07T01:19:00Z</dcterms:modified>
</cp:coreProperties>
</file>