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A9C0"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2402CFF0" wp14:editId="1AEFF39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FB007F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6F2E40B5" w14:textId="77777777" w:rsidR="00BC1364" w:rsidRPr="00F715D1" w:rsidRDefault="00BC1364" w:rsidP="00F715D1">
      <w:pPr>
        <w:pStyle w:val="Subtitle"/>
      </w:pPr>
      <w:r w:rsidRPr="00F715D1">
        <w:t xml:space="preserve">Application No. </w:t>
      </w:r>
      <w:r w:rsidR="00E60F1E">
        <w:t>1612</w:t>
      </w:r>
      <w:r w:rsidRPr="00F715D1">
        <w:t xml:space="preserve"> – </w:t>
      </w:r>
      <w:r w:rsidR="00E60F1E">
        <w:t>Prostatic urethral lift procedure for men with benign prostate hyperplasia</w:t>
      </w:r>
    </w:p>
    <w:p w14:paraId="5C753F83"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E60F1E">
        <w:rPr>
          <w:rFonts w:ascii="Arial" w:hAnsi="Arial" w:cs="Arial"/>
          <w:b/>
          <w:szCs w:val="24"/>
        </w:rPr>
        <w:t>Teleflex Australia Pty Ltd</w:t>
      </w:r>
    </w:p>
    <w:p w14:paraId="191263D4"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718C6A52"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32D7AF5F" w14:textId="77777777" w:rsidR="003D7F29" w:rsidRPr="00F715D1" w:rsidRDefault="003D7F29" w:rsidP="00F715D1">
      <w:pPr>
        <w:pStyle w:val="Heading1"/>
      </w:pPr>
      <w:r w:rsidRPr="00F715D1">
        <w:t>Purpose of application</w:t>
      </w:r>
      <w:r w:rsidR="00822C7E" w:rsidRPr="00F715D1">
        <w:t xml:space="preserve"> </w:t>
      </w:r>
    </w:p>
    <w:p w14:paraId="176F926D" w14:textId="77777777" w:rsidR="00C204FB" w:rsidRPr="00D4501D" w:rsidRDefault="00D4501D" w:rsidP="00D4501D">
      <w:r>
        <w:t xml:space="preserve">An application requesting a fee increase for an existing Medicare Benefits Schedule (MBS) item </w:t>
      </w:r>
      <w:r w:rsidRPr="002F286E">
        <w:t>36811</w:t>
      </w:r>
      <w:r>
        <w:t xml:space="preserve"> for the prostatic urethral lift (PUL) procedure for men with benign prostate hyperplasia (BPH) was received from Teleflex Australia Pty Ltd by the Department of Health.</w:t>
      </w:r>
    </w:p>
    <w:p w14:paraId="2E511AF1" w14:textId="77777777" w:rsidR="00E977EE" w:rsidRPr="00F715D1" w:rsidRDefault="00E977EE" w:rsidP="00F715D1">
      <w:pPr>
        <w:pStyle w:val="Heading1"/>
      </w:pPr>
      <w:r w:rsidRPr="00F715D1">
        <w:t>MSAC’s advice to the Minister</w:t>
      </w:r>
    </w:p>
    <w:p w14:paraId="191BDA46" w14:textId="76C8C260" w:rsidR="00C874D6" w:rsidRPr="00250EF2" w:rsidRDefault="00C874D6" w:rsidP="00250EF2">
      <w:pPr>
        <w:spacing w:after="240"/>
      </w:pPr>
      <w:r w:rsidRPr="00250EF2">
        <w:t xml:space="preserve">After considering the strength of the available evidence in relation to comparative safety, clinical effectiveness and cost-effectiveness, MSAC deferred its advice on the request for an increase in the MBS fee for PUL procedure for BPH. MSAC considered that PUL is likely inferior in terms of effectiveness to transurethral resection of the prostate (TURP) </w:t>
      </w:r>
      <w:r w:rsidRPr="008D65B5">
        <w:t>and visual laser ablation of the prostate (VLAP)</w:t>
      </w:r>
      <w:r w:rsidR="00E7131B" w:rsidRPr="00250EF2">
        <w:t>.</w:t>
      </w:r>
      <w:r w:rsidR="00BD23EE" w:rsidRPr="00250EF2">
        <w:t xml:space="preserve"> </w:t>
      </w:r>
      <w:r w:rsidR="00073D0F" w:rsidRPr="00250EF2">
        <w:t xml:space="preserve">MSAC considered PUL has </w:t>
      </w:r>
      <w:r w:rsidRPr="00250EF2">
        <w:t>a different safety profile</w:t>
      </w:r>
      <w:r w:rsidR="00073D0F" w:rsidRPr="00250EF2">
        <w:t xml:space="preserve"> to TURP, </w:t>
      </w:r>
      <w:r w:rsidR="00073D0F" w:rsidRPr="008D65B5">
        <w:t>and that the comparative safety of PUL versus VLAP is unclear</w:t>
      </w:r>
      <w:r w:rsidR="00073D0F" w:rsidRPr="00250EF2">
        <w:t>.</w:t>
      </w:r>
      <w:r w:rsidRPr="00250EF2">
        <w:t xml:space="preserve"> MSAC noted there are significant uncertainties in the costs associated with each procedure, and requested a further holistic assessment of the different therapeutic approaches to BPH management that takes into account the different outcomes and costs associated with each</w:t>
      </w:r>
      <w:r w:rsidR="00E97E77">
        <w:t>.</w:t>
      </w:r>
      <w:r w:rsidR="00F45920" w:rsidRPr="00F45920">
        <w:t xml:space="preserve"> </w:t>
      </w:r>
      <w:r w:rsidR="00F45920" w:rsidRPr="00800961">
        <w:t xml:space="preserve">MSAC recognised </w:t>
      </w:r>
      <w:r w:rsidR="00F45920">
        <w:t xml:space="preserve">that individual patients may </w:t>
      </w:r>
      <w:r w:rsidR="00F45920" w:rsidRPr="00FD5E92">
        <w:t>have different preferences when considering the balance between side effects and long-term effectiveness.</w:t>
      </w:r>
    </w:p>
    <w:tbl>
      <w:tblPr>
        <w:tblStyle w:val="TableGrid"/>
        <w:tblW w:w="0" w:type="auto"/>
        <w:tblLook w:val="04A0" w:firstRow="1" w:lastRow="0" w:firstColumn="1" w:lastColumn="0" w:noHBand="0" w:noVBand="1"/>
        <w:tblDescription w:val="Consumer summary of MSAC consideration"/>
      </w:tblPr>
      <w:tblGrid>
        <w:gridCol w:w="9016"/>
      </w:tblGrid>
      <w:tr w:rsidR="00C11BBE" w14:paraId="3904C4EC" w14:textId="77777777" w:rsidTr="00221228">
        <w:trPr>
          <w:tblHeader/>
        </w:trPr>
        <w:tc>
          <w:tcPr>
            <w:tcW w:w="9016" w:type="dxa"/>
          </w:tcPr>
          <w:p w14:paraId="3DF34758" w14:textId="3A609D8B" w:rsidR="00C11BBE" w:rsidRPr="00C11BBE" w:rsidRDefault="00C11BBE" w:rsidP="00C11BBE">
            <w:pPr>
              <w:pStyle w:val="Default"/>
              <w:spacing w:before="120" w:after="240"/>
              <w:rPr>
                <w:b/>
                <w:color w:val="auto"/>
              </w:rPr>
            </w:pPr>
            <w:r w:rsidRPr="00C06B0B">
              <w:rPr>
                <w:b/>
                <w:color w:val="auto"/>
              </w:rPr>
              <w:t>Consumer summary</w:t>
            </w:r>
          </w:p>
        </w:tc>
      </w:tr>
      <w:tr w:rsidR="00C11BBE" w14:paraId="2ADDC595" w14:textId="77777777" w:rsidTr="00C11BBE">
        <w:tc>
          <w:tcPr>
            <w:tcW w:w="9016" w:type="dxa"/>
          </w:tcPr>
          <w:p w14:paraId="6A4F6C69" w14:textId="77777777" w:rsidR="00C11BBE" w:rsidRPr="00C874D6" w:rsidRDefault="00C11BBE" w:rsidP="00C11BBE">
            <w:pPr>
              <w:pStyle w:val="Default"/>
              <w:spacing w:before="120" w:after="240"/>
              <w:rPr>
                <w:color w:val="auto"/>
              </w:rPr>
            </w:pPr>
            <w:r w:rsidRPr="00C874D6">
              <w:rPr>
                <w:color w:val="auto"/>
              </w:rPr>
              <w:t xml:space="preserve">Teleflex Australia </w:t>
            </w:r>
            <w:r>
              <w:rPr>
                <w:color w:val="auto"/>
              </w:rPr>
              <w:t xml:space="preserve">Pty </w:t>
            </w:r>
            <w:r w:rsidRPr="00C874D6">
              <w:rPr>
                <w:color w:val="auto"/>
              </w:rPr>
              <w:t xml:space="preserve">Ltd </w:t>
            </w:r>
            <w:r>
              <w:rPr>
                <w:color w:val="auto"/>
              </w:rPr>
              <w:t>requested</w:t>
            </w:r>
            <w:r w:rsidRPr="00C874D6">
              <w:rPr>
                <w:color w:val="auto"/>
              </w:rPr>
              <w:t xml:space="preserve"> a fee increase for the prostatic urethral lift (PUL) procedure </w:t>
            </w:r>
            <w:r>
              <w:rPr>
                <w:color w:val="auto"/>
              </w:rPr>
              <w:t>to treat</w:t>
            </w:r>
            <w:r w:rsidRPr="00C874D6">
              <w:rPr>
                <w:color w:val="auto"/>
              </w:rPr>
              <w:t xml:space="preserve"> benign prostate hyperplasia (BPH). PUL is currently on the Medicare Benefits Schedule (MBS) under a generic item for non-specific procedures.</w:t>
            </w:r>
          </w:p>
          <w:p w14:paraId="03FEF906" w14:textId="04D99749" w:rsidR="00C11BBE" w:rsidRPr="00C874D6" w:rsidRDefault="00C11BBE" w:rsidP="00C11BBE">
            <w:pPr>
              <w:pStyle w:val="Default"/>
              <w:spacing w:before="120" w:after="240"/>
              <w:rPr>
                <w:color w:val="auto"/>
              </w:rPr>
            </w:pPr>
            <w:r>
              <w:t xml:space="preserve">BPH is a non-cancerous enlargement of a person’s prostate that occurs as a natural part of ageing. This can cause lower urinary tract symptoms, such as increased frequency, urgency and/or difficulty in urinating, which can impact the person’s quality of life. </w:t>
            </w:r>
            <w:r w:rsidRPr="00C874D6">
              <w:rPr>
                <w:color w:val="auto"/>
              </w:rPr>
              <w:t>In a PUL procedure, a doctor (usually a</w:t>
            </w:r>
            <w:r w:rsidR="00C867A4">
              <w:rPr>
                <w:color w:val="auto"/>
              </w:rPr>
              <w:t>n</w:t>
            </w:r>
            <w:r w:rsidRPr="00C874D6">
              <w:rPr>
                <w:color w:val="auto"/>
              </w:rPr>
              <w:t xml:space="preserve"> urologist) inserts a device into the urethra (where urine </w:t>
            </w:r>
            <w:r w:rsidRPr="00C874D6">
              <w:rPr>
                <w:color w:val="auto"/>
              </w:rPr>
              <w:lastRenderedPageBreak/>
              <w:t>comes out). When the device reaches the side of the prostate, it ejects small, thin implants into both sides of the prostate, helping to open the urine channel. This relieves some of the symptoms of an enlarged prostate, such as problems urinating.</w:t>
            </w:r>
          </w:p>
          <w:p w14:paraId="67A41ED6" w14:textId="0A1C8C08" w:rsidR="00C11BBE" w:rsidRPr="00C874D6" w:rsidRDefault="00C11BBE" w:rsidP="00C11BBE">
            <w:pPr>
              <w:pStyle w:val="Default"/>
              <w:spacing w:before="120" w:after="240"/>
              <w:rPr>
                <w:color w:val="auto"/>
              </w:rPr>
            </w:pPr>
            <w:r>
              <w:t xml:space="preserve">MSAC noted that there are other MBS funded procedures for treating BPH and that BPH is commonly treated using </w:t>
            </w:r>
            <w:r w:rsidR="00CE75AC">
              <w:t>transurethral</w:t>
            </w:r>
            <w:r w:rsidRPr="00DC0321">
              <w:t xml:space="preserve"> resection of the prostate (TURP)</w:t>
            </w:r>
            <w:r w:rsidR="00F45920">
              <w:t>,</w:t>
            </w:r>
            <w:r w:rsidRPr="00DC0321">
              <w:t xml:space="preserve"> </w:t>
            </w:r>
            <w:r>
              <w:t xml:space="preserve">which </w:t>
            </w:r>
            <w:r w:rsidR="00F45920">
              <w:t>involves</w:t>
            </w:r>
            <w:r w:rsidRPr="00DC0321">
              <w:t xml:space="preserve"> the </w:t>
            </w:r>
            <w:r>
              <w:t>surgical removal</w:t>
            </w:r>
            <w:r w:rsidRPr="00DC0321">
              <w:t xml:space="preserve"> of prosta</w:t>
            </w:r>
            <w:r>
              <w:t xml:space="preserve">tic tissues through the urethra. </w:t>
            </w:r>
            <w:r w:rsidRPr="00C874D6">
              <w:rPr>
                <w:color w:val="auto"/>
              </w:rPr>
              <w:t xml:space="preserve">MSAC noted that PUL was safe, and had </w:t>
            </w:r>
            <w:r>
              <w:rPr>
                <w:color w:val="auto"/>
              </w:rPr>
              <w:t xml:space="preserve">some </w:t>
            </w:r>
            <w:r w:rsidRPr="00C874D6">
              <w:rPr>
                <w:color w:val="auto"/>
              </w:rPr>
              <w:t xml:space="preserve">better outcomes (such as maintaining ejaculatory function) compared to other </w:t>
            </w:r>
            <w:r>
              <w:rPr>
                <w:color w:val="auto"/>
              </w:rPr>
              <w:t xml:space="preserve">MBS funded </w:t>
            </w:r>
            <w:r w:rsidRPr="00C874D6">
              <w:rPr>
                <w:color w:val="auto"/>
              </w:rPr>
              <w:t xml:space="preserve">procedures used to treat </w:t>
            </w:r>
            <w:r>
              <w:rPr>
                <w:color w:val="auto"/>
              </w:rPr>
              <w:t>BPH</w:t>
            </w:r>
            <w:r w:rsidRPr="00C874D6">
              <w:rPr>
                <w:color w:val="auto"/>
              </w:rPr>
              <w:t xml:space="preserve">. </w:t>
            </w:r>
            <w:r w:rsidRPr="008D65B5">
              <w:rPr>
                <w:color w:val="auto"/>
              </w:rPr>
              <w:t>However, PUL does not seem to work as well as other procedures in the long term. This means that many patients may have short-term relief after a PUL procedure, but their symptoms may come back and the person will need to have either another PUL or a different procedure.</w:t>
            </w:r>
          </w:p>
          <w:p w14:paraId="1E3FF8C5" w14:textId="77777777" w:rsidR="00C11BBE" w:rsidRPr="00C874D6" w:rsidRDefault="00C11BBE" w:rsidP="00C11BBE">
            <w:pPr>
              <w:pStyle w:val="Default"/>
              <w:spacing w:before="120" w:after="240"/>
              <w:rPr>
                <w:color w:val="auto"/>
              </w:rPr>
            </w:pPr>
            <w:r w:rsidRPr="00C874D6">
              <w:rPr>
                <w:color w:val="auto"/>
              </w:rPr>
              <w:t>MSAC acknowledge</w:t>
            </w:r>
            <w:r>
              <w:rPr>
                <w:color w:val="auto"/>
              </w:rPr>
              <w:t>d</w:t>
            </w:r>
            <w:r w:rsidRPr="00C874D6">
              <w:rPr>
                <w:color w:val="auto"/>
              </w:rPr>
              <w:t xml:space="preserve"> the importance of patient preference and options, and that some patients may value the benefits of PUL.</w:t>
            </w:r>
          </w:p>
          <w:p w14:paraId="17376F2B" w14:textId="77777777" w:rsidR="00C11BBE" w:rsidRDefault="00C11BBE" w:rsidP="00C11BBE">
            <w:pPr>
              <w:pStyle w:val="Default"/>
              <w:spacing w:after="12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0703764B" w14:textId="422B6B76" w:rsidR="00C11BBE" w:rsidRDefault="00C11BBE" w:rsidP="00700626">
            <w:pPr>
              <w:spacing w:after="120"/>
            </w:pPr>
            <w:r w:rsidRPr="00C874D6">
              <w:t xml:space="preserve">MSAC decided to defer its advice regarding the fee increase for PUL. MSAC would like to review all the procedures used to treat </w:t>
            </w:r>
            <w:r w:rsidR="00700626">
              <w:t>prostate enlargement</w:t>
            </w:r>
            <w:r w:rsidRPr="00C874D6">
              <w:t xml:space="preserve">, and </w:t>
            </w:r>
            <w:r w:rsidR="00D50CFD">
              <w:t>compare their</w:t>
            </w:r>
            <w:r w:rsidRPr="00C874D6">
              <w:t xml:space="preserve"> advantages and disadvantages </w:t>
            </w:r>
            <w:r w:rsidR="00D50CFD">
              <w:t>with regards to their</w:t>
            </w:r>
            <w:r w:rsidRPr="00C874D6">
              <w:t xml:space="preserve"> effectiveness, safety</w:t>
            </w:r>
            <w:r>
              <w:t xml:space="preserve">, cost </w:t>
            </w:r>
            <w:r w:rsidRPr="00C874D6">
              <w:t xml:space="preserve">and cost-effectiveness. This will help MSAC </w:t>
            </w:r>
            <w:r>
              <w:t>estimate</w:t>
            </w:r>
            <w:r w:rsidRPr="00C874D6">
              <w:t xml:space="preserve"> the</w:t>
            </w:r>
            <w:r>
              <w:t xml:space="preserve"> </w:t>
            </w:r>
            <w:r w:rsidRPr="00C874D6">
              <w:t xml:space="preserve">appropriate fees for </w:t>
            </w:r>
            <w:r>
              <w:t xml:space="preserve">each procedure. </w:t>
            </w:r>
            <w:r w:rsidR="00F45920" w:rsidRPr="00F45920">
              <w:t>MSAC recognised that individual patients may have different preferences when considering the balance between side effects and long-term effectiveness.</w:t>
            </w:r>
            <w:r w:rsidR="00A959DB">
              <w:t xml:space="preserve"> In the meantime</w:t>
            </w:r>
            <w:r w:rsidRPr="00C874D6">
              <w:t>, PUL is still available on the MBS for those who wish to have it.</w:t>
            </w:r>
          </w:p>
        </w:tc>
      </w:tr>
    </w:tbl>
    <w:p w14:paraId="78B59B61" w14:textId="77777777" w:rsidR="00550354" w:rsidRPr="00F715D1" w:rsidRDefault="00550354" w:rsidP="00F715D1">
      <w:pPr>
        <w:pStyle w:val="Heading1"/>
      </w:pPr>
      <w:r w:rsidRPr="00F715D1">
        <w:lastRenderedPageBreak/>
        <w:t xml:space="preserve">Summary of consideration and rationale for MSAC’s advice </w:t>
      </w:r>
    </w:p>
    <w:p w14:paraId="747BA3C1" w14:textId="6A085932" w:rsidR="00C874D6" w:rsidRPr="00C874D6" w:rsidRDefault="00C874D6" w:rsidP="00C874D6">
      <w:pPr>
        <w:spacing w:after="240"/>
        <w:rPr>
          <w:szCs w:val="24"/>
        </w:rPr>
      </w:pPr>
      <w:r w:rsidRPr="00C874D6">
        <w:rPr>
          <w:szCs w:val="24"/>
        </w:rPr>
        <w:t xml:space="preserve">MSAC noted that this application </w:t>
      </w:r>
      <w:r w:rsidR="004C4CAA" w:rsidRPr="00C874D6">
        <w:rPr>
          <w:szCs w:val="24"/>
        </w:rPr>
        <w:t>request</w:t>
      </w:r>
      <w:r w:rsidR="004C4CAA">
        <w:rPr>
          <w:szCs w:val="24"/>
        </w:rPr>
        <w:t>ed</w:t>
      </w:r>
      <w:r w:rsidR="00B55B07">
        <w:rPr>
          <w:szCs w:val="24"/>
        </w:rPr>
        <w:t xml:space="preserve"> </w:t>
      </w:r>
      <w:r w:rsidRPr="00C874D6">
        <w:rPr>
          <w:szCs w:val="24"/>
        </w:rPr>
        <w:t>a fee increase for an existing MBS item 36811 for the PUL procedure for men with BPH.</w:t>
      </w:r>
    </w:p>
    <w:p w14:paraId="4646232A" w14:textId="035857F6" w:rsidR="00C874D6" w:rsidRPr="00C874D6" w:rsidRDefault="00C874D6" w:rsidP="00C874D6">
      <w:pPr>
        <w:spacing w:after="240"/>
        <w:rPr>
          <w:szCs w:val="24"/>
        </w:rPr>
      </w:pPr>
      <w:r w:rsidRPr="00C874D6">
        <w:rPr>
          <w:szCs w:val="24"/>
        </w:rPr>
        <w:t xml:space="preserve">MSAC </w:t>
      </w:r>
      <w:r w:rsidR="004C4CAA">
        <w:rPr>
          <w:szCs w:val="24"/>
        </w:rPr>
        <w:t>recalled</w:t>
      </w:r>
      <w:r w:rsidRPr="00C874D6">
        <w:rPr>
          <w:szCs w:val="24"/>
        </w:rPr>
        <w:t xml:space="preserve"> that the TURP (MBS item 37203) fee is $</w:t>
      </w:r>
      <w:r w:rsidR="004C4CAA" w:rsidRPr="00C874D6">
        <w:rPr>
          <w:szCs w:val="24"/>
        </w:rPr>
        <w:t>1,058.80</w:t>
      </w:r>
      <w:r w:rsidRPr="00C874D6">
        <w:rPr>
          <w:szCs w:val="24"/>
        </w:rPr>
        <w:t xml:space="preserve"> and, in March 2019, MSAC supported an increase in VLAP (MBS item 37207) fee from $866.45 to match TURP on the basis of non-inferiority. The proposal in this submission </w:t>
      </w:r>
      <w:r w:rsidR="00B55B07">
        <w:rPr>
          <w:szCs w:val="24"/>
        </w:rPr>
        <w:t>wa</w:t>
      </w:r>
      <w:r w:rsidRPr="00C874D6">
        <w:rPr>
          <w:szCs w:val="24"/>
        </w:rPr>
        <w:t>s to increase the fee for PUL to $1,058.80.</w:t>
      </w:r>
    </w:p>
    <w:p w14:paraId="0BBFEC6F" w14:textId="1EC241B6" w:rsidR="00C874D6" w:rsidRPr="00C874D6" w:rsidRDefault="00C874D6" w:rsidP="00C874D6">
      <w:pPr>
        <w:spacing w:after="240"/>
        <w:rPr>
          <w:szCs w:val="24"/>
        </w:rPr>
      </w:pPr>
      <w:r w:rsidRPr="00C874D6">
        <w:rPr>
          <w:szCs w:val="24"/>
        </w:rPr>
        <w:t>PUL is currently funded under MBS item 36811 CYSTOSCOPY with insertion of urethral prosthesis (with the fee of $328.55). This is a generic item and used also for other non-specific procedures. MSAC noted the applicant’s suggestion that this fee discrepancy is a disincentive to perform PUL on the basis of inequality in fees for procedures of equal efficacy. However, MSAC noted that utilisation of VLAP did not increase after its fee increase.</w:t>
      </w:r>
    </w:p>
    <w:p w14:paraId="5CDE208F" w14:textId="001EA6C0" w:rsidR="00C874D6" w:rsidRPr="00C874D6" w:rsidRDefault="00C874D6" w:rsidP="00C874D6">
      <w:pPr>
        <w:spacing w:after="240"/>
        <w:rPr>
          <w:szCs w:val="24"/>
        </w:rPr>
      </w:pPr>
      <w:r w:rsidRPr="00C874D6">
        <w:rPr>
          <w:szCs w:val="24"/>
        </w:rPr>
        <w:t>MSAC noted that the</w:t>
      </w:r>
      <w:r w:rsidR="004C4CAA">
        <w:rPr>
          <w:szCs w:val="24"/>
        </w:rPr>
        <w:t xml:space="preserve"> </w:t>
      </w:r>
      <w:r w:rsidR="00286EF1">
        <w:rPr>
          <w:szCs w:val="24"/>
        </w:rPr>
        <w:t xml:space="preserve">comparative </w:t>
      </w:r>
      <w:r w:rsidR="00A84AA9">
        <w:rPr>
          <w:szCs w:val="24"/>
        </w:rPr>
        <w:t>clinical evidence was</w:t>
      </w:r>
      <w:r w:rsidR="004C4CAA">
        <w:rPr>
          <w:szCs w:val="24"/>
        </w:rPr>
        <w:t xml:space="preserve"> based on </w:t>
      </w:r>
      <w:r w:rsidR="00286EF1">
        <w:rPr>
          <w:szCs w:val="24"/>
        </w:rPr>
        <w:t>th</w:t>
      </w:r>
      <w:r w:rsidR="00BB00B9">
        <w:rPr>
          <w:szCs w:val="24"/>
        </w:rPr>
        <w:t>r</w:t>
      </w:r>
      <w:r w:rsidR="00286EF1">
        <w:rPr>
          <w:szCs w:val="24"/>
        </w:rPr>
        <w:t xml:space="preserve">ee </w:t>
      </w:r>
      <w:r w:rsidR="004C4CAA">
        <w:rPr>
          <w:szCs w:val="24"/>
        </w:rPr>
        <w:t>randomised clinica</w:t>
      </w:r>
      <w:r w:rsidR="00286EF1">
        <w:rPr>
          <w:szCs w:val="24"/>
        </w:rPr>
        <w:t xml:space="preserve">l trials: </w:t>
      </w:r>
      <w:r w:rsidR="004C4CAA">
        <w:rPr>
          <w:szCs w:val="24"/>
        </w:rPr>
        <w:t xml:space="preserve">BPH6 </w:t>
      </w:r>
      <w:r w:rsidR="00286EF1">
        <w:rPr>
          <w:szCs w:val="24"/>
        </w:rPr>
        <w:t xml:space="preserve">(PUL </w:t>
      </w:r>
      <w:r w:rsidR="00286EF1">
        <w:rPr>
          <w:i/>
          <w:szCs w:val="24"/>
        </w:rPr>
        <w:t>vs.</w:t>
      </w:r>
      <w:r w:rsidR="00286EF1">
        <w:rPr>
          <w:szCs w:val="24"/>
        </w:rPr>
        <w:t xml:space="preserve"> TURP), </w:t>
      </w:r>
      <w:r w:rsidR="004C4CAA">
        <w:rPr>
          <w:szCs w:val="24"/>
        </w:rPr>
        <w:t>L.I.F.T.</w:t>
      </w:r>
      <w:r w:rsidR="00286EF1">
        <w:rPr>
          <w:szCs w:val="24"/>
        </w:rPr>
        <w:t xml:space="preserve"> (PUL </w:t>
      </w:r>
      <w:r w:rsidR="00286EF1">
        <w:rPr>
          <w:i/>
          <w:szCs w:val="24"/>
        </w:rPr>
        <w:t xml:space="preserve">vs. </w:t>
      </w:r>
      <w:r w:rsidR="00286EF1">
        <w:rPr>
          <w:szCs w:val="24"/>
        </w:rPr>
        <w:t>sham</w:t>
      </w:r>
      <w:r w:rsidR="004C4CAA">
        <w:rPr>
          <w:szCs w:val="24"/>
        </w:rPr>
        <w:t>)</w:t>
      </w:r>
      <w:r w:rsidR="00286EF1">
        <w:rPr>
          <w:szCs w:val="24"/>
        </w:rPr>
        <w:t xml:space="preserve"> and GOLIATH (VLAP </w:t>
      </w:r>
      <w:r w:rsidR="00286EF1">
        <w:rPr>
          <w:i/>
          <w:szCs w:val="24"/>
        </w:rPr>
        <w:t xml:space="preserve">vs. </w:t>
      </w:r>
      <w:r w:rsidR="00286EF1">
        <w:rPr>
          <w:szCs w:val="24"/>
        </w:rPr>
        <w:t xml:space="preserve">TURP). MSAC noted that the </w:t>
      </w:r>
      <w:r w:rsidRPr="00C874D6">
        <w:rPr>
          <w:szCs w:val="24"/>
        </w:rPr>
        <w:t xml:space="preserve">composite endpoint </w:t>
      </w:r>
      <w:r w:rsidR="00286EF1">
        <w:rPr>
          <w:szCs w:val="24"/>
        </w:rPr>
        <w:t xml:space="preserve">used to </w:t>
      </w:r>
      <w:r w:rsidR="00BB00B9">
        <w:rPr>
          <w:szCs w:val="24"/>
        </w:rPr>
        <w:t>claim superiority</w:t>
      </w:r>
      <w:r w:rsidR="00286EF1" w:rsidRPr="00C874D6">
        <w:rPr>
          <w:szCs w:val="24"/>
        </w:rPr>
        <w:t xml:space="preserve"> of PUL </w:t>
      </w:r>
      <w:r w:rsidR="00286EF1">
        <w:rPr>
          <w:i/>
          <w:szCs w:val="24"/>
        </w:rPr>
        <w:t>vs.</w:t>
      </w:r>
      <w:r w:rsidR="00286EF1" w:rsidRPr="00C874D6">
        <w:rPr>
          <w:szCs w:val="24"/>
        </w:rPr>
        <w:t xml:space="preserve"> TURP</w:t>
      </w:r>
      <w:r w:rsidR="00286EF1">
        <w:rPr>
          <w:szCs w:val="24"/>
        </w:rPr>
        <w:t xml:space="preserve"> in the BPH6 study was </w:t>
      </w:r>
      <w:r w:rsidRPr="00C874D6">
        <w:rPr>
          <w:szCs w:val="24"/>
        </w:rPr>
        <w:t>comprised of six outcome</w:t>
      </w:r>
      <w:r w:rsidR="00286EF1">
        <w:rPr>
          <w:szCs w:val="24"/>
        </w:rPr>
        <w:t>s</w:t>
      </w:r>
      <w:r w:rsidR="002050A3">
        <w:rPr>
          <w:szCs w:val="24"/>
        </w:rPr>
        <w:t>, with safety and erectile/</w:t>
      </w:r>
      <w:r w:rsidR="00BB00B9">
        <w:rPr>
          <w:szCs w:val="24"/>
        </w:rPr>
        <w:t>ejaculatory outcomes driving the BPH6 endpoint.</w:t>
      </w:r>
      <w:r w:rsidR="002050A3">
        <w:rPr>
          <w:szCs w:val="24"/>
        </w:rPr>
        <w:t xml:space="preserve"> </w:t>
      </w:r>
      <w:r w:rsidR="00BB00B9">
        <w:rPr>
          <w:szCs w:val="24"/>
        </w:rPr>
        <w:t xml:space="preserve">This </w:t>
      </w:r>
      <w:r w:rsidRPr="00C874D6">
        <w:rPr>
          <w:szCs w:val="24"/>
        </w:rPr>
        <w:t xml:space="preserve">biased </w:t>
      </w:r>
      <w:r w:rsidR="00A84AA9">
        <w:rPr>
          <w:szCs w:val="24"/>
        </w:rPr>
        <w:t>the study</w:t>
      </w:r>
      <w:r w:rsidR="0078621E">
        <w:rPr>
          <w:szCs w:val="24"/>
        </w:rPr>
        <w:t xml:space="preserve"> against TURP</w:t>
      </w:r>
      <w:r w:rsidR="00BB00B9">
        <w:rPr>
          <w:szCs w:val="24"/>
        </w:rPr>
        <w:t>.</w:t>
      </w:r>
      <w:r w:rsidRPr="00C874D6">
        <w:rPr>
          <w:szCs w:val="24"/>
        </w:rPr>
        <w:t xml:space="preserve"> </w:t>
      </w:r>
      <w:r w:rsidR="00064BCB">
        <w:rPr>
          <w:szCs w:val="24"/>
        </w:rPr>
        <w:t>In addition, t</w:t>
      </w:r>
      <w:r w:rsidR="0078621E">
        <w:rPr>
          <w:szCs w:val="24"/>
        </w:rPr>
        <w:t xml:space="preserve">he </w:t>
      </w:r>
      <w:r w:rsidR="00064BCB">
        <w:rPr>
          <w:szCs w:val="24"/>
        </w:rPr>
        <w:t xml:space="preserve">22% withdraw rate in the </w:t>
      </w:r>
      <w:r w:rsidR="0078621E">
        <w:rPr>
          <w:szCs w:val="24"/>
        </w:rPr>
        <w:t>BPH6 study was not addressed</w:t>
      </w:r>
      <w:r w:rsidR="00064BCB">
        <w:rPr>
          <w:szCs w:val="24"/>
        </w:rPr>
        <w:t xml:space="preserve">. </w:t>
      </w:r>
    </w:p>
    <w:p w14:paraId="5093FDAB" w14:textId="1C400398" w:rsidR="00C874D6" w:rsidRPr="00C874D6" w:rsidRDefault="00C874D6" w:rsidP="00C874D6">
      <w:pPr>
        <w:spacing w:after="240"/>
        <w:rPr>
          <w:szCs w:val="24"/>
        </w:rPr>
      </w:pPr>
      <w:r w:rsidRPr="00C874D6">
        <w:rPr>
          <w:szCs w:val="24"/>
        </w:rPr>
        <w:lastRenderedPageBreak/>
        <w:t xml:space="preserve">Regarding safety, MSAC noted that retrograde ejaculation is the most common long-term complication of TURP (in up to 90% of cases). However, </w:t>
      </w:r>
      <w:bookmarkStart w:id="0" w:name="_Hlk51743282"/>
      <w:r w:rsidRPr="00C874D6">
        <w:rPr>
          <w:szCs w:val="24"/>
        </w:rPr>
        <w:t xml:space="preserve">MSAC noted that retrograde ejaculation is not considered to be a serious long-term complication. </w:t>
      </w:r>
      <w:bookmarkEnd w:id="0"/>
      <w:r w:rsidRPr="00C874D6">
        <w:rPr>
          <w:szCs w:val="24"/>
        </w:rPr>
        <w:t xml:space="preserve">Some degree of urinary incontinence and erectile dysfunction are also common after TURP. </w:t>
      </w:r>
      <w:r w:rsidR="00C95869" w:rsidRPr="00C95869">
        <w:rPr>
          <w:szCs w:val="24"/>
        </w:rPr>
        <w:t xml:space="preserve">MSAC considered it reasonable to conclude PUL has superior safety compared with TURP in terms of function and procedure </w:t>
      </w:r>
      <w:r w:rsidR="00C95869" w:rsidRPr="008D65B5">
        <w:rPr>
          <w:szCs w:val="24"/>
        </w:rPr>
        <w:t>but MSAC noted that prostheses-related adverse events for PUL are unknown</w:t>
      </w:r>
      <w:r w:rsidR="00C95869" w:rsidRPr="00C95869">
        <w:rPr>
          <w:szCs w:val="24"/>
        </w:rPr>
        <w:t xml:space="preserve">. </w:t>
      </w:r>
      <w:r w:rsidRPr="00C874D6">
        <w:rPr>
          <w:szCs w:val="24"/>
        </w:rPr>
        <w:t xml:space="preserve">There </w:t>
      </w:r>
      <w:r w:rsidR="00D80465">
        <w:rPr>
          <w:szCs w:val="24"/>
        </w:rPr>
        <w:t>were</w:t>
      </w:r>
      <w:r w:rsidR="00D80465" w:rsidRPr="00C874D6">
        <w:rPr>
          <w:szCs w:val="24"/>
        </w:rPr>
        <w:t xml:space="preserve"> </w:t>
      </w:r>
      <w:r w:rsidRPr="00C874D6">
        <w:rPr>
          <w:szCs w:val="24"/>
        </w:rPr>
        <w:t xml:space="preserve">no studies comparing safety of PUL and VLAP; thus, MSAC considered the safety profile of PUL compared with VLAP to be unknown. </w:t>
      </w:r>
    </w:p>
    <w:p w14:paraId="761C748C" w14:textId="29655EE5" w:rsidR="00C874D6" w:rsidRPr="008D65B5" w:rsidRDefault="00A84AA9" w:rsidP="00C874D6">
      <w:pPr>
        <w:spacing w:after="240"/>
        <w:rPr>
          <w:szCs w:val="24"/>
        </w:rPr>
      </w:pPr>
      <w:r>
        <w:rPr>
          <w:szCs w:val="24"/>
        </w:rPr>
        <w:t xml:space="preserve">Regarding effectiveness, </w:t>
      </w:r>
      <w:r w:rsidR="00C874D6" w:rsidRPr="00C874D6">
        <w:rPr>
          <w:szCs w:val="24"/>
        </w:rPr>
        <w:t>MSAC noted the clinical claim for PUL is non-inferior</w:t>
      </w:r>
      <w:r w:rsidR="00725626">
        <w:rPr>
          <w:szCs w:val="24"/>
        </w:rPr>
        <w:t xml:space="preserve"> effectiveness compared</w:t>
      </w:r>
      <w:r w:rsidR="00970D92">
        <w:rPr>
          <w:szCs w:val="24"/>
        </w:rPr>
        <w:t xml:space="preserve"> </w:t>
      </w:r>
      <w:r w:rsidR="00C874D6" w:rsidRPr="00C874D6">
        <w:rPr>
          <w:szCs w:val="24"/>
        </w:rPr>
        <w:t>to TURP, based on the BPH6 composite endpoint. After 1 year, PUL is non</w:t>
      </w:r>
      <w:r w:rsidR="00DA1573">
        <w:rPr>
          <w:szCs w:val="24"/>
        </w:rPr>
        <w:noBreakHyphen/>
      </w:r>
      <w:r w:rsidR="00C874D6" w:rsidRPr="00C874D6">
        <w:rPr>
          <w:szCs w:val="24"/>
        </w:rPr>
        <w:t xml:space="preserve">inferior to TURP for the BPH6 endpoint. After 2 years, </w:t>
      </w:r>
      <w:r w:rsidR="00725626">
        <w:rPr>
          <w:szCs w:val="24"/>
        </w:rPr>
        <w:t>PUL</w:t>
      </w:r>
      <w:r w:rsidR="00725626" w:rsidRPr="00C874D6">
        <w:rPr>
          <w:szCs w:val="24"/>
        </w:rPr>
        <w:t xml:space="preserve"> </w:t>
      </w:r>
      <w:r w:rsidR="00C874D6" w:rsidRPr="00C874D6">
        <w:rPr>
          <w:szCs w:val="24"/>
        </w:rPr>
        <w:t xml:space="preserve">appears to be </w:t>
      </w:r>
      <w:r w:rsidR="00725626">
        <w:rPr>
          <w:szCs w:val="24"/>
        </w:rPr>
        <w:t>inferior</w:t>
      </w:r>
      <w:r w:rsidR="00725626" w:rsidRPr="00C874D6">
        <w:rPr>
          <w:szCs w:val="24"/>
        </w:rPr>
        <w:t xml:space="preserve"> </w:t>
      </w:r>
      <w:r w:rsidR="00C874D6" w:rsidRPr="00C874D6">
        <w:rPr>
          <w:szCs w:val="24"/>
        </w:rPr>
        <w:t xml:space="preserve">to </w:t>
      </w:r>
      <w:r w:rsidR="00725626">
        <w:rPr>
          <w:szCs w:val="24"/>
        </w:rPr>
        <w:t>TURP</w:t>
      </w:r>
      <w:r w:rsidR="00725626" w:rsidRPr="00C874D6">
        <w:rPr>
          <w:szCs w:val="24"/>
        </w:rPr>
        <w:t xml:space="preserve"> </w:t>
      </w:r>
      <w:r w:rsidR="00C874D6" w:rsidRPr="00C874D6">
        <w:rPr>
          <w:szCs w:val="24"/>
        </w:rPr>
        <w:t>for IPSS and urinary flow scores, but PUL is superior to TURP for ejaculatory function scores. MSAC noted the reintervention rates at 2 years for PUL (13.6%) and TURP (5.7%) where patients go on to require VLAP, TURP, repeat PUL or Botox</w:t>
      </w:r>
      <w:r w:rsidR="00DA1573" w:rsidRPr="00C11BBE">
        <w:rPr>
          <w:szCs w:val="24"/>
          <w:vertAlign w:val="superscript"/>
        </w:rPr>
        <w:t>®</w:t>
      </w:r>
      <w:r w:rsidR="00C874D6" w:rsidRPr="00C874D6">
        <w:rPr>
          <w:szCs w:val="24"/>
        </w:rPr>
        <w:t xml:space="preserve"> for detrusor overactivity. MSAC thus acknowledged that, for patients who wanted to preserve ejaculatory function, PUL may be preferable to TURP, but considered PUL </w:t>
      </w:r>
      <w:r w:rsidR="006016EE">
        <w:rPr>
          <w:szCs w:val="24"/>
        </w:rPr>
        <w:t>to have</w:t>
      </w:r>
      <w:r w:rsidR="00C874D6" w:rsidRPr="00C874D6">
        <w:rPr>
          <w:szCs w:val="24"/>
        </w:rPr>
        <w:t xml:space="preserve"> inferior</w:t>
      </w:r>
      <w:r w:rsidR="00725626">
        <w:rPr>
          <w:szCs w:val="24"/>
        </w:rPr>
        <w:t xml:space="preserve"> effectiveness compared</w:t>
      </w:r>
      <w:r w:rsidR="00C874D6" w:rsidRPr="00C874D6">
        <w:rPr>
          <w:szCs w:val="24"/>
        </w:rPr>
        <w:t xml:space="preserve"> to TURP overall.</w:t>
      </w:r>
      <w:r>
        <w:rPr>
          <w:szCs w:val="24"/>
        </w:rPr>
        <w:t xml:space="preserve"> </w:t>
      </w:r>
      <w:r w:rsidR="00C874D6" w:rsidRPr="00C874D6">
        <w:rPr>
          <w:szCs w:val="24"/>
        </w:rPr>
        <w:t xml:space="preserve">MSAC noted that the GOLIATH trial showed that VLAP </w:t>
      </w:r>
      <w:r w:rsidR="00725626">
        <w:rPr>
          <w:szCs w:val="24"/>
        </w:rPr>
        <w:t>has</w:t>
      </w:r>
      <w:r w:rsidR="00C874D6" w:rsidRPr="00C874D6">
        <w:rPr>
          <w:szCs w:val="24"/>
        </w:rPr>
        <w:t xml:space="preserve"> non-inferior </w:t>
      </w:r>
      <w:r w:rsidR="00725626">
        <w:rPr>
          <w:szCs w:val="24"/>
        </w:rPr>
        <w:t xml:space="preserve">effectiveness </w:t>
      </w:r>
      <w:r w:rsidR="00C874D6" w:rsidRPr="00C874D6">
        <w:rPr>
          <w:szCs w:val="24"/>
        </w:rPr>
        <w:t xml:space="preserve">to TURP, </w:t>
      </w:r>
      <w:r w:rsidR="00C874D6" w:rsidRPr="008D65B5">
        <w:rPr>
          <w:szCs w:val="24"/>
        </w:rPr>
        <w:t xml:space="preserve">making it likely that PUL </w:t>
      </w:r>
      <w:r w:rsidR="00725626" w:rsidRPr="008D65B5">
        <w:rPr>
          <w:szCs w:val="24"/>
        </w:rPr>
        <w:t xml:space="preserve">has </w:t>
      </w:r>
      <w:r w:rsidR="00C874D6" w:rsidRPr="008D65B5">
        <w:rPr>
          <w:szCs w:val="24"/>
        </w:rPr>
        <w:t xml:space="preserve">inferior </w:t>
      </w:r>
      <w:r w:rsidR="00725626" w:rsidRPr="008D65B5">
        <w:rPr>
          <w:szCs w:val="24"/>
        </w:rPr>
        <w:t xml:space="preserve">effectiveness compared </w:t>
      </w:r>
      <w:r w:rsidR="00C874D6" w:rsidRPr="008D65B5">
        <w:rPr>
          <w:szCs w:val="24"/>
        </w:rPr>
        <w:t>to VLAP.</w:t>
      </w:r>
    </w:p>
    <w:p w14:paraId="3CB00DC1" w14:textId="703B8E4A" w:rsidR="00C874D6" w:rsidRPr="00C874D6" w:rsidRDefault="00C874D6" w:rsidP="00C874D6">
      <w:pPr>
        <w:spacing w:after="240"/>
        <w:rPr>
          <w:szCs w:val="24"/>
        </w:rPr>
      </w:pPr>
      <w:r w:rsidRPr="00C874D6">
        <w:rPr>
          <w:szCs w:val="24"/>
        </w:rPr>
        <w:t>MSAC noted that the economic evaluation was a cost-comparison analysis, but MSAC queried whether a cost-effectiveness analysis or cost-utility analysis may be more appropriate, given that the clinical claim of non-inferiority was not well supported. MSAC noted that the Department revisited the cost comparison calculations following ESC advice, which showed that</w:t>
      </w:r>
      <w:r w:rsidR="00073D0F">
        <w:rPr>
          <w:szCs w:val="24"/>
        </w:rPr>
        <w:t xml:space="preserve"> at</w:t>
      </w:r>
      <w:r w:rsidRPr="00C874D6">
        <w:rPr>
          <w:szCs w:val="24"/>
        </w:rPr>
        <w:t xml:space="preserve"> the proposed fee of $1,058.80</w:t>
      </w:r>
      <w:r w:rsidR="00073D0F">
        <w:rPr>
          <w:szCs w:val="24"/>
        </w:rPr>
        <w:t xml:space="preserve"> PUL could</w:t>
      </w:r>
      <w:r w:rsidRPr="00C874D6">
        <w:rPr>
          <w:szCs w:val="24"/>
        </w:rPr>
        <w:t xml:space="preserve"> be more costly than TURP and VLAP, which is inconsistent with a finding of inferiority.</w:t>
      </w:r>
    </w:p>
    <w:p w14:paraId="490C785C" w14:textId="45085376" w:rsidR="00C874D6" w:rsidRPr="00C874D6" w:rsidRDefault="00C874D6" w:rsidP="00C874D6">
      <w:pPr>
        <w:spacing w:after="240"/>
        <w:rPr>
          <w:szCs w:val="24"/>
        </w:rPr>
      </w:pPr>
      <w:r w:rsidRPr="00C874D6">
        <w:rPr>
          <w:szCs w:val="24"/>
        </w:rPr>
        <w:t xml:space="preserve">MSAC </w:t>
      </w:r>
      <w:r w:rsidR="00073D0F">
        <w:rPr>
          <w:szCs w:val="24"/>
        </w:rPr>
        <w:t xml:space="preserve">further </w:t>
      </w:r>
      <w:r w:rsidRPr="00C874D6">
        <w:rPr>
          <w:szCs w:val="24"/>
        </w:rPr>
        <w:t xml:space="preserve">noted that the cost of PUL may be underestimated due to the costs and number of implants required </w:t>
      </w:r>
      <w:r w:rsidR="0078621E">
        <w:rPr>
          <w:szCs w:val="24"/>
        </w:rPr>
        <w:t xml:space="preserve">and the re-intervention rate </w:t>
      </w:r>
      <w:r w:rsidRPr="00C874D6">
        <w:rPr>
          <w:szCs w:val="24"/>
        </w:rPr>
        <w:t xml:space="preserve">not being </w:t>
      </w:r>
      <w:r w:rsidR="0078621E">
        <w:rPr>
          <w:szCs w:val="24"/>
        </w:rPr>
        <w:t xml:space="preserve">adequately </w:t>
      </w:r>
      <w:r w:rsidRPr="00C874D6">
        <w:rPr>
          <w:szCs w:val="24"/>
        </w:rPr>
        <w:t>accounted for, and that the cost of TURP and VLAP may be overestimated, including major complications, length of stay and capital costs.</w:t>
      </w:r>
    </w:p>
    <w:p w14:paraId="7E7233B1" w14:textId="77777777" w:rsidR="00C874D6" w:rsidRPr="00C874D6" w:rsidRDefault="00C874D6" w:rsidP="00C874D6">
      <w:pPr>
        <w:spacing w:after="240"/>
        <w:rPr>
          <w:szCs w:val="24"/>
        </w:rPr>
      </w:pPr>
      <w:r w:rsidRPr="00C874D6">
        <w:rPr>
          <w:szCs w:val="24"/>
        </w:rPr>
        <w:t>MSAC noted the uncertainty regarding the financial impact due to the number of PUL procedures being displaced, rather than substituted.</w:t>
      </w:r>
    </w:p>
    <w:p w14:paraId="777AC498" w14:textId="39C03598" w:rsidR="00C874D6" w:rsidRPr="00C874D6" w:rsidRDefault="00C874D6" w:rsidP="002050A3">
      <w:pPr>
        <w:spacing w:after="120"/>
        <w:rPr>
          <w:szCs w:val="24"/>
        </w:rPr>
      </w:pPr>
      <w:r w:rsidRPr="00C874D6">
        <w:rPr>
          <w:szCs w:val="24"/>
        </w:rPr>
        <w:t xml:space="preserve">MSAC considered that the treatments for BPH management required a more holistic </w:t>
      </w:r>
      <w:r w:rsidR="00073D0F">
        <w:rPr>
          <w:szCs w:val="24"/>
        </w:rPr>
        <w:t>review</w:t>
      </w:r>
      <w:r w:rsidRPr="00C874D6">
        <w:rPr>
          <w:szCs w:val="24"/>
        </w:rPr>
        <w:t>, and recommended that the Department, in consultation with</w:t>
      </w:r>
      <w:r w:rsidR="00073D0F">
        <w:rPr>
          <w:szCs w:val="24"/>
        </w:rPr>
        <w:t xml:space="preserve"> applicants and profession</w:t>
      </w:r>
      <w:r w:rsidR="006016EE">
        <w:rPr>
          <w:szCs w:val="24"/>
        </w:rPr>
        <w:t>al</w:t>
      </w:r>
      <w:r w:rsidR="00073D0F">
        <w:rPr>
          <w:szCs w:val="24"/>
        </w:rPr>
        <w:t xml:space="preserve"> and consumer stakeholders</w:t>
      </w:r>
      <w:r w:rsidR="006016EE">
        <w:rPr>
          <w:szCs w:val="24"/>
        </w:rPr>
        <w:t>,</w:t>
      </w:r>
      <w:r w:rsidR="002050A3">
        <w:rPr>
          <w:szCs w:val="24"/>
        </w:rPr>
        <w:t xml:space="preserve"> undertake a review of the</w:t>
      </w:r>
      <w:r w:rsidRPr="00C874D6">
        <w:rPr>
          <w:szCs w:val="24"/>
        </w:rPr>
        <w:t xml:space="preserve"> effectiveness</w:t>
      </w:r>
      <w:r w:rsidR="00073D0F">
        <w:rPr>
          <w:szCs w:val="24"/>
        </w:rPr>
        <w:t xml:space="preserve"> (includi</w:t>
      </w:r>
      <w:r w:rsidR="002050A3">
        <w:rPr>
          <w:szCs w:val="24"/>
        </w:rPr>
        <w:t>ng short and long-term outcomes</w:t>
      </w:r>
      <w:r w:rsidR="004140EF">
        <w:rPr>
          <w:szCs w:val="24"/>
        </w:rPr>
        <w:t>)</w:t>
      </w:r>
      <w:r w:rsidR="00BD23EE">
        <w:rPr>
          <w:szCs w:val="24"/>
        </w:rPr>
        <w:t xml:space="preserve">, </w:t>
      </w:r>
      <w:r w:rsidRPr="00C874D6">
        <w:rPr>
          <w:szCs w:val="24"/>
        </w:rPr>
        <w:t>safety</w:t>
      </w:r>
      <w:r w:rsidR="00073D0F">
        <w:rPr>
          <w:szCs w:val="24"/>
        </w:rPr>
        <w:t>, costs</w:t>
      </w:r>
      <w:r w:rsidRPr="00C874D6">
        <w:rPr>
          <w:szCs w:val="24"/>
        </w:rPr>
        <w:t xml:space="preserve"> and cost-effectiveness of VLAP, PUL, TUWA, TUNA, TURP and any other procedures used to manage BPH</w:t>
      </w:r>
      <w:r w:rsidR="00073D0F">
        <w:rPr>
          <w:szCs w:val="24"/>
        </w:rPr>
        <w:t>.</w:t>
      </w:r>
    </w:p>
    <w:p w14:paraId="13BD77ED" w14:textId="6B6877EC" w:rsidR="00073D0F" w:rsidRDefault="00073D0F" w:rsidP="008D65B5">
      <w:pPr>
        <w:spacing w:before="240" w:after="120"/>
        <w:rPr>
          <w:szCs w:val="24"/>
        </w:rPr>
      </w:pPr>
      <w:r>
        <w:rPr>
          <w:szCs w:val="24"/>
        </w:rPr>
        <w:t>MSAC considered this review could also usefully garner information on</w:t>
      </w:r>
      <w:r w:rsidR="00BB02F7">
        <w:rPr>
          <w:szCs w:val="24"/>
        </w:rPr>
        <w:t>:</w:t>
      </w:r>
    </w:p>
    <w:p w14:paraId="20ED96C7" w14:textId="1B88BA7E" w:rsidR="004140EF" w:rsidRDefault="00C874D6" w:rsidP="002050A3">
      <w:pPr>
        <w:pStyle w:val="ListParagraph"/>
        <w:numPr>
          <w:ilvl w:val="0"/>
          <w:numId w:val="27"/>
        </w:numPr>
        <w:spacing w:before="120" w:after="120"/>
        <w:ind w:left="426"/>
        <w:rPr>
          <w:szCs w:val="24"/>
        </w:rPr>
      </w:pPr>
      <w:r w:rsidRPr="00A528C6">
        <w:rPr>
          <w:szCs w:val="24"/>
        </w:rPr>
        <w:t xml:space="preserve">why urologists recommended certain procedures </w:t>
      </w:r>
    </w:p>
    <w:p w14:paraId="32AE7096" w14:textId="4790A9B7" w:rsidR="004140EF" w:rsidRDefault="00073D0F" w:rsidP="002050A3">
      <w:pPr>
        <w:pStyle w:val="ListParagraph"/>
        <w:numPr>
          <w:ilvl w:val="0"/>
          <w:numId w:val="27"/>
        </w:numPr>
        <w:spacing w:before="120" w:after="120"/>
        <w:ind w:left="426"/>
        <w:rPr>
          <w:szCs w:val="24"/>
        </w:rPr>
      </w:pPr>
      <w:r w:rsidRPr="004140EF">
        <w:rPr>
          <w:szCs w:val="24"/>
        </w:rPr>
        <w:t xml:space="preserve">what informs </w:t>
      </w:r>
      <w:r w:rsidR="00C874D6" w:rsidRPr="004140EF">
        <w:rPr>
          <w:szCs w:val="24"/>
        </w:rPr>
        <w:t>patient preferences</w:t>
      </w:r>
      <w:r w:rsidRPr="004140EF">
        <w:rPr>
          <w:szCs w:val="24"/>
        </w:rPr>
        <w:t xml:space="preserve"> for certain procedures</w:t>
      </w:r>
    </w:p>
    <w:p w14:paraId="7C693A71" w14:textId="78D547D0" w:rsidR="00C874D6" w:rsidRPr="004140EF" w:rsidRDefault="00C874D6" w:rsidP="002050A3">
      <w:pPr>
        <w:pStyle w:val="ListParagraph"/>
        <w:numPr>
          <w:ilvl w:val="0"/>
          <w:numId w:val="27"/>
        </w:numPr>
        <w:spacing w:before="120" w:after="120"/>
        <w:ind w:left="426"/>
        <w:rPr>
          <w:szCs w:val="24"/>
        </w:rPr>
      </w:pPr>
      <w:r w:rsidRPr="004140EF">
        <w:rPr>
          <w:szCs w:val="24"/>
        </w:rPr>
        <w:t>long-term outcomes.</w:t>
      </w:r>
    </w:p>
    <w:p w14:paraId="598987DE" w14:textId="660F5C0F" w:rsidR="009868A6" w:rsidRDefault="009868A6" w:rsidP="008D65B5">
      <w:pPr>
        <w:spacing w:before="240" w:after="240"/>
        <w:rPr>
          <w:szCs w:val="24"/>
        </w:rPr>
      </w:pPr>
      <w:r>
        <w:rPr>
          <w:szCs w:val="24"/>
        </w:rPr>
        <w:t xml:space="preserve">This review will allow MSAC to </w:t>
      </w:r>
      <w:r w:rsidR="00873B87">
        <w:rPr>
          <w:szCs w:val="24"/>
        </w:rPr>
        <w:t xml:space="preserve">provide </w:t>
      </w:r>
      <w:r>
        <w:rPr>
          <w:szCs w:val="24"/>
        </w:rPr>
        <w:t xml:space="preserve">better advice </w:t>
      </w:r>
      <w:r w:rsidR="00873B87">
        <w:rPr>
          <w:szCs w:val="24"/>
        </w:rPr>
        <w:t xml:space="preserve">to </w:t>
      </w:r>
      <w:r>
        <w:rPr>
          <w:szCs w:val="24"/>
        </w:rPr>
        <w:t>the Minister on which BPH procedures should be funded on the MBS and the appropriate fees for each procedure.</w:t>
      </w:r>
    </w:p>
    <w:p w14:paraId="2CC89152" w14:textId="77777777" w:rsidR="00BC1364" w:rsidRPr="00F715D1" w:rsidRDefault="00BC1364" w:rsidP="00F715D1">
      <w:pPr>
        <w:pStyle w:val="Heading1"/>
      </w:pPr>
      <w:r w:rsidRPr="00F715D1">
        <w:lastRenderedPageBreak/>
        <w:t>Background</w:t>
      </w:r>
    </w:p>
    <w:p w14:paraId="257BD1AE" w14:textId="0F24C9F9" w:rsidR="00BC1364" w:rsidRPr="00D4501D" w:rsidRDefault="00D4501D" w:rsidP="00D4501D">
      <w:r w:rsidRPr="00FA2498">
        <w:t xml:space="preserve">This is the first submission </w:t>
      </w:r>
      <w:r>
        <w:t xml:space="preserve">requesting a fee increase for an existing MBS item </w:t>
      </w:r>
      <w:r w:rsidRPr="002F286E">
        <w:t>36811</w:t>
      </w:r>
      <w:r>
        <w:t xml:space="preserve"> for prostatic urethral lift procedure for men with benign prostate hyperplasia</w:t>
      </w:r>
      <w:r w:rsidR="00F11AFE">
        <w:t xml:space="preserve">, which </w:t>
      </w:r>
      <w:r>
        <w:t xml:space="preserve">was first listed on the MBS on 1 May 1997. </w:t>
      </w:r>
    </w:p>
    <w:p w14:paraId="1A27C05A" w14:textId="77777777" w:rsidR="00BC1364" w:rsidRPr="00F715D1" w:rsidRDefault="00BC1364" w:rsidP="00F715D1">
      <w:pPr>
        <w:pStyle w:val="Heading1"/>
      </w:pPr>
      <w:r w:rsidRPr="00F715D1">
        <w:t>Prerequisites to implementation of any funding advice</w:t>
      </w:r>
    </w:p>
    <w:p w14:paraId="7B757995" w14:textId="7E1C88FA" w:rsidR="00D4501D" w:rsidRDefault="00D4501D" w:rsidP="00C11BBE">
      <w:pPr>
        <w:spacing w:after="240"/>
      </w:pPr>
      <w:r w:rsidRPr="00FA2498">
        <w:t xml:space="preserve">Items on the Australian Register of Therapeutic Goods (ARTG) that are relevant to this application are shown in </w:t>
      </w:r>
      <w:r w:rsidRPr="00FA2498">
        <w:fldChar w:fldCharType="begin"/>
      </w:r>
      <w:r w:rsidRPr="00FA2498">
        <w:instrText xml:space="preserve"> REF _Ref40795757 \h </w:instrText>
      </w:r>
      <w:r>
        <w:instrText xml:space="preserve"> \* MERGEFORMAT </w:instrText>
      </w:r>
      <w:r w:rsidRPr="00FA2498">
        <w:fldChar w:fldCharType="separate"/>
      </w:r>
      <w:r w:rsidRPr="000537B0">
        <w:t xml:space="preserve">Table </w:t>
      </w:r>
      <w:r>
        <w:rPr>
          <w:noProof/>
        </w:rPr>
        <w:t>1</w:t>
      </w:r>
      <w:r w:rsidRPr="00FA2498">
        <w:fldChar w:fldCharType="end"/>
      </w:r>
      <w:r w:rsidRPr="00FA2498">
        <w:t>.</w:t>
      </w:r>
      <w:r w:rsidR="00552D60">
        <w:t xml:space="preserve"> </w:t>
      </w:r>
      <w:r w:rsidR="00552D60" w:rsidRPr="00552D60">
        <w:t>The UroLift</w:t>
      </w:r>
      <w:r w:rsidR="00DA1573" w:rsidRPr="00C11BBE">
        <w:rPr>
          <w:vertAlign w:val="superscript"/>
        </w:rPr>
        <w:t>®</w:t>
      </w:r>
      <w:r w:rsidR="00552D60" w:rsidRPr="00552D60">
        <w:t xml:space="preserve"> prosthesis, implanted as part of the procedure, is</w:t>
      </w:r>
      <w:r w:rsidR="00552D60">
        <w:t xml:space="preserve"> also</w:t>
      </w:r>
      <w:r w:rsidR="00552D60" w:rsidRPr="00552D60">
        <w:t xml:space="preserve"> listed on the Prostheses List.</w:t>
      </w:r>
      <w:bookmarkStart w:id="1" w:name="_Ref364240778"/>
      <w:bookmarkStart w:id="2" w:name="_Toc381969859"/>
      <w:bookmarkStart w:id="3" w:name="_Toc444869024"/>
    </w:p>
    <w:p w14:paraId="64C6304E" w14:textId="15E8E221" w:rsidR="00D4501D" w:rsidRPr="00016353" w:rsidRDefault="00D4501D" w:rsidP="00016353">
      <w:pPr>
        <w:rPr>
          <w:rFonts w:ascii="Arial Narrow" w:hAnsi="Arial Narrow"/>
          <w:b/>
          <w:sz w:val="20"/>
        </w:rPr>
      </w:pPr>
      <w:bookmarkStart w:id="4" w:name="_Ref40795757"/>
      <w:bookmarkEnd w:id="1"/>
      <w:r w:rsidRPr="00016353">
        <w:rPr>
          <w:rFonts w:ascii="Arial Narrow" w:hAnsi="Arial Narrow"/>
          <w:b/>
          <w:sz w:val="20"/>
        </w:rPr>
        <w:t xml:space="preserve">Table </w:t>
      </w:r>
      <w:r w:rsidR="00C11BBE" w:rsidRPr="00016353">
        <w:rPr>
          <w:rFonts w:ascii="Arial Narrow" w:hAnsi="Arial Narrow"/>
          <w:b/>
          <w:sz w:val="20"/>
        </w:rPr>
        <w:fldChar w:fldCharType="begin"/>
      </w:r>
      <w:r w:rsidR="00C11BBE" w:rsidRPr="00016353">
        <w:rPr>
          <w:rFonts w:ascii="Arial Narrow" w:hAnsi="Arial Narrow"/>
          <w:b/>
          <w:sz w:val="20"/>
        </w:rPr>
        <w:instrText xml:space="preserve"> SEQ Table \* ARABIC </w:instrText>
      </w:r>
      <w:r w:rsidR="00C11BBE" w:rsidRPr="00016353">
        <w:rPr>
          <w:rFonts w:ascii="Arial Narrow" w:hAnsi="Arial Narrow"/>
          <w:b/>
          <w:sz w:val="20"/>
        </w:rPr>
        <w:fldChar w:fldCharType="separate"/>
      </w:r>
      <w:r w:rsidR="003636DE" w:rsidRPr="00016353">
        <w:rPr>
          <w:rFonts w:ascii="Arial Narrow" w:hAnsi="Arial Narrow"/>
          <w:b/>
          <w:sz w:val="20"/>
        </w:rPr>
        <w:t>1</w:t>
      </w:r>
      <w:r w:rsidR="00C11BBE" w:rsidRPr="00016353">
        <w:rPr>
          <w:rFonts w:ascii="Arial Narrow" w:hAnsi="Arial Narrow"/>
          <w:b/>
          <w:sz w:val="20"/>
        </w:rPr>
        <w:fldChar w:fldCharType="end"/>
      </w:r>
      <w:bookmarkEnd w:id="4"/>
      <w:r w:rsidRPr="00016353">
        <w:rPr>
          <w:rFonts w:ascii="Arial Narrow" w:hAnsi="Arial Narrow"/>
          <w:b/>
          <w:sz w:val="20"/>
        </w:rPr>
        <w:t xml:space="preserve"> UroLift® System listed on the ARTG</w:t>
      </w:r>
      <w:bookmarkEnd w:id="2"/>
      <w:bookmarkEnd w:id="3"/>
    </w:p>
    <w:tbl>
      <w:tblPr>
        <w:tblStyle w:val="TableGrid1"/>
        <w:tblW w:w="9209" w:type="dxa"/>
        <w:tblLayout w:type="fixed"/>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988"/>
        <w:gridCol w:w="1134"/>
        <w:gridCol w:w="2268"/>
        <w:gridCol w:w="2126"/>
        <w:gridCol w:w="2693"/>
      </w:tblGrid>
      <w:tr w:rsidR="00D4501D" w:rsidRPr="00265ACA" w14:paraId="317DCA3C" w14:textId="77777777" w:rsidTr="00D863C8">
        <w:trPr>
          <w:cnfStyle w:val="100000000000" w:firstRow="1" w:lastRow="0" w:firstColumn="0" w:lastColumn="0" w:oddVBand="0" w:evenVBand="0" w:oddHBand="0" w:evenHBand="0" w:firstRowFirstColumn="0" w:firstRowLastColumn="0" w:lastRowFirstColumn="0" w:lastRowLastColumn="0"/>
          <w:tblHeader/>
        </w:trPr>
        <w:tc>
          <w:tcPr>
            <w:tcW w:w="988" w:type="dxa"/>
          </w:tcPr>
          <w:p w14:paraId="223815C0" w14:textId="77777777" w:rsidR="00D4501D" w:rsidRPr="00265ACA" w:rsidRDefault="00D4501D" w:rsidP="00D4501D">
            <w:pPr>
              <w:pStyle w:val="TableHeading"/>
            </w:pPr>
            <w:r w:rsidRPr="00265ACA">
              <w:t>ARTG no.</w:t>
            </w:r>
          </w:p>
        </w:tc>
        <w:tc>
          <w:tcPr>
            <w:tcW w:w="1134" w:type="dxa"/>
          </w:tcPr>
          <w:p w14:paraId="5CA7326D" w14:textId="77777777" w:rsidR="00D4501D" w:rsidRPr="00265ACA" w:rsidRDefault="00D4501D" w:rsidP="00D4501D">
            <w:pPr>
              <w:pStyle w:val="TableHeading"/>
            </w:pPr>
            <w:r w:rsidRPr="00265ACA">
              <w:t>Product no.</w:t>
            </w:r>
          </w:p>
        </w:tc>
        <w:tc>
          <w:tcPr>
            <w:tcW w:w="2268" w:type="dxa"/>
          </w:tcPr>
          <w:p w14:paraId="15466AF9" w14:textId="77777777" w:rsidR="00D4501D" w:rsidRPr="00265ACA" w:rsidRDefault="00D4501D" w:rsidP="00D4501D">
            <w:pPr>
              <w:pStyle w:val="TableHeading"/>
            </w:pPr>
            <w:r w:rsidRPr="00265ACA">
              <w:t>Product description</w:t>
            </w:r>
          </w:p>
        </w:tc>
        <w:tc>
          <w:tcPr>
            <w:tcW w:w="2126" w:type="dxa"/>
          </w:tcPr>
          <w:p w14:paraId="49829119" w14:textId="77777777" w:rsidR="00D4501D" w:rsidRPr="00265ACA" w:rsidRDefault="00D4501D" w:rsidP="00D4501D">
            <w:pPr>
              <w:pStyle w:val="TableHeading"/>
            </w:pPr>
            <w:r w:rsidRPr="00265ACA">
              <w:t>Product category</w:t>
            </w:r>
          </w:p>
        </w:tc>
        <w:tc>
          <w:tcPr>
            <w:tcW w:w="2693" w:type="dxa"/>
          </w:tcPr>
          <w:p w14:paraId="3105403A" w14:textId="77777777" w:rsidR="00D4501D" w:rsidRPr="00265ACA" w:rsidRDefault="00D4501D" w:rsidP="00D4501D">
            <w:pPr>
              <w:pStyle w:val="TableHeading"/>
            </w:pPr>
            <w:r w:rsidRPr="00265ACA">
              <w:t>Sponsor</w:t>
            </w:r>
          </w:p>
        </w:tc>
      </w:tr>
      <w:tr w:rsidR="00D4501D" w:rsidRPr="00265ACA" w14:paraId="794B679B" w14:textId="77777777" w:rsidTr="00D863C8">
        <w:tc>
          <w:tcPr>
            <w:tcW w:w="988" w:type="dxa"/>
          </w:tcPr>
          <w:p w14:paraId="41C43F7B" w14:textId="77777777" w:rsidR="00D4501D" w:rsidRPr="0022325F" w:rsidRDefault="00D4501D" w:rsidP="00D4501D">
            <w:pPr>
              <w:pStyle w:val="Tabletext"/>
            </w:pPr>
            <w:r w:rsidRPr="0022325F">
              <w:t>200361</w:t>
            </w:r>
          </w:p>
        </w:tc>
        <w:tc>
          <w:tcPr>
            <w:tcW w:w="1134" w:type="dxa"/>
          </w:tcPr>
          <w:p w14:paraId="20C429CD" w14:textId="77777777" w:rsidR="00D4501D" w:rsidRPr="0022325F" w:rsidRDefault="00D4501D" w:rsidP="00D4501D">
            <w:pPr>
              <w:pStyle w:val="Tabletext"/>
            </w:pPr>
            <w:r w:rsidRPr="0022325F">
              <w:t>58882</w:t>
            </w:r>
          </w:p>
        </w:tc>
        <w:tc>
          <w:tcPr>
            <w:tcW w:w="2268" w:type="dxa"/>
          </w:tcPr>
          <w:p w14:paraId="20846854" w14:textId="77777777" w:rsidR="00D4501D" w:rsidRPr="0022325F" w:rsidRDefault="00D4501D" w:rsidP="00D4501D">
            <w:pPr>
              <w:pStyle w:val="Tabletext"/>
            </w:pPr>
            <w:r w:rsidRPr="0022325F">
              <w:t>Prostatic retraction implant</w:t>
            </w:r>
          </w:p>
        </w:tc>
        <w:tc>
          <w:tcPr>
            <w:tcW w:w="2126" w:type="dxa"/>
          </w:tcPr>
          <w:p w14:paraId="12A3239A" w14:textId="77777777" w:rsidR="00D4501D" w:rsidRPr="0022325F" w:rsidRDefault="00D4501D" w:rsidP="00D4501D">
            <w:pPr>
              <w:pStyle w:val="Tabletext"/>
            </w:pPr>
            <w:r w:rsidRPr="0022325F">
              <w:t>Medical Device Class IIb</w:t>
            </w:r>
          </w:p>
        </w:tc>
        <w:tc>
          <w:tcPr>
            <w:tcW w:w="2693" w:type="dxa"/>
          </w:tcPr>
          <w:p w14:paraId="1799908E" w14:textId="77777777" w:rsidR="00D4501D" w:rsidRPr="0022325F" w:rsidRDefault="00D4501D" w:rsidP="00D4501D">
            <w:pPr>
              <w:pStyle w:val="Tabletext"/>
            </w:pPr>
            <w:r w:rsidRPr="0022325F">
              <w:t>Teleflex Medical Australia Pty Ltd</w:t>
            </w:r>
          </w:p>
        </w:tc>
      </w:tr>
    </w:tbl>
    <w:p w14:paraId="5BAA9278" w14:textId="77777777" w:rsidR="00802D61" w:rsidRDefault="00802D61" w:rsidP="00C11BBE">
      <w:pPr>
        <w:pStyle w:val="Tablenotes"/>
      </w:pPr>
      <w:r w:rsidRPr="00FE7C58">
        <w:t>Abbreviations: ARTG = Australian Register of Therapeutic Goods.</w:t>
      </w:r>
    </w:p>
    <w:p w14:paraId="5CD2A536" w14:textId="2A2EACDE" w:rsidR="00D4501D" w:rsidRPr="00265ACA" w:rsidRDefault="00D4501D" w:rsidP="00C11BBE">
      <w:pPr>
        <w:pStyle w:val="Tablenotes"/>
      </w:pPr>
      <w:r w:rsidRPr="00265ACA">
        <w:t>Source: Therapeutic Goods Administration, accessed 8</w:t>
      </w:r>
      <w:r w:rsidRPr="00265ACA">
        <w:rPr>
          <w:vertAlign w:val="superscript"/>
        </w:rPr>
        <w:t>th</w:t>
      </w:r>
      <w:r w:rsidRPr="00265ACA">
        <w:t xml:space="preserve"> January 2020  </w:t>
      </w:r>
      <w:hyperlink r:id="rId10" w:history="1">
        <w:r w:rsidRPr="00265ACA">
          <w:rPr>
            <w:rStyle w:val="Hyperlink"/>
            <w:rFonts w:asciiTheme="minorHAnsi" w:hAnsiTheme="minorHAnsi"/>
          </w:rPr>
          <w:t>Link to TGA.gov.au</w:t>
        </w:r>
      </w:hyperlink>
    </w:p>
    <w:p w14:paraId="1818E4DB" w14:textId="77777777" w:rsidR="00BC1364" w:rsidRPr="00F715D1" w:rsidRDefault="00BC1364" w:rsidP="00F715D1">
      <w:pPr>
        <w:pStyle w:val="Heading1"/>
      </w:pPr>
      <w:r w:rsidRPr="00F715D1">
        <w:t>Proposal for public funding</w:t>
      </w:r>
    </w:p>
    <w:p w14:paraId="27A6F83D" w14:textId="658BD5D8" w:rsidR="00D4501D" w:rsidRDefault="00D4501D" w:rsidP="00D4501D">
      <w:r w:rsidRPr="000537B0">
        <w:t>Prostatic urethral lift is currently funded for the treatment of men with benign prostate hyperplasia (BPH) on the MBS under Item 36811 CYSTOSCOPY with insertion of urethral prosthesis</w:t>
      </w:r>
      <w:r>
        <w:t xml:space="preserve"> </w:t>
      </w:r>
      <w:r w:rsidRPr="008823F4">
        <w:t>(with the fee of $328.55).</w:t>
      </w:r>
      <w:r>
        <w:t xml:space="preserve"> </w:t>
      </w:r>
    </w:p>
    <w:p w14:paraId="24FD2F07" w14:textId="43E9BA43" w:rsidR="00D4501D" w:rsidRPr="000537B0" w:rsidRDefault="00D4501D" w:rsidP="00C11BBE">
      <w:pPr>
        <w:spacing w:before="240" w:after="240"/>
      </w:pPr>
      <w:r>
        <w:t xml:space="preserve">The MBS item descriptor with increased fee proposed by the applicant is summarised in </w:t>
      </w:r>
      <w:r>
        <w:fldChar w:fldCharType="begin"/>
      </w:r>
      <w:r>
        <w:instrText xml:space="preserve"> REF _Ref40794762 \h </w:instrText>
      </w:r>
      <w:r>
        <w:fldChar w:fldCharType="separate"/>
      </w:r>
      <w:r w:rsidRPr="000537B0">
        <w:t xml:space="preserve">Table </w:t>
      </w:r>
      <w:r>
        <w:rPr>
          <w:noProof/>
        </w:rPr>
        <w:t>2</w:t>
      </w:r>
      <w:r>
        <w:fldChar w:fldCharType="end"/>
      </w:r>
      <w:r>
        <w:t>.</w:t>
      </w:r>
    </w:p>
    <w:p w14:paraId="2001E454" w14:textId="505296FD" w:rsidR="00D4501D" w:rsidRPr="00016353" w:rsidRDefault="00D4501D" w:rsidP="00016353">
      <w:pPr>
        <w:rPr>
          <w:rFonts w:ascii="Arial Narrow" w:hAnsi="Arial Narrow"/>
          <w:b/>
          <w:sz w:val="20"/>
        </w:rPr>
      </w:pPr>
      <w:bookmarkStart w:id="5" w:name="_Ref40794762"/>
      <w:bookmarkStart w:id="6" w:name="_Toc40172853"/>
      <w:r w:rsidRPr="00016353">
        <w:rPr>
          <w:rFonts w:ascii="Arial Narrow" w:hAnsi="Arial Narrow"/>
          <w:b/>
          <w:sz w:val="20"/>
        </w:rPr>
        <w:t xml:space="preserve">Table </w:t>
      </w:r>
      <w:r w:rsidR="00C11BBE" w:rsidRPr="00016353">
        <w:rPr>
          <w:rFonts w:ascii="Arial Narrow" w:hAnsi="Arial Narrow"/>
          <w:b/>
          <w:sz w:val="20"/>
        </w:rPr>
        <w:fldChar w:fldCharType="begin"/>
      </w:r>
      <w:r w:rsidR="00C11BBE" w:rsidRPr="00016353">
        <w:rPr>
          <w:rFonts w:ascii="Arial Narrow" w:hAnsi="Arial Narrow"/>
          <w:b/>
          <w:sz w:val="20"/>
        </w:rPr>
        <w:instrText xml:space="preserve"> SEQ Table \* ARABIC </w:instrText>
      </w:r>
      <w:r w:rsidR="00C11BBE" w:rsidRPr="00016353">
        <w:rPr>
          <w:rFonts w:ascii="Arial Narrow" w:hAnsi="Arial Narrow"/>
          <w:b/>
          <w:sz w:val="20"/>
        </w:rPr>
        <w:fldChar w:fldCharType="separate"/>
      </w:r>
      <w:r w:rsidR="003636DE" w:rsidRPr="00016353">
        <w:rPr>
          <w:rFonts w:ascii="Arial Narrow" w:hAnsi="Arial Narrow"/>
          <w:b/>
          <w:sz w:val="20"/>
        </w:rPr>
        <w:t>2</w:t>
      </w:r>
      <w:r w:rsidR="00C11BBE" w:rsidRPr="00016353">
        <w:rPr>
          <w:rFonts w:ascii="Arial Narrow" w:hAnsi="Arial Narrow"/>
          <w:b/>
          <w:sz w:val="20"/>
        </w:rPr>
        <w:fldChar w:fldCharType="end"/>
      </w:r>
      <w:bookmarkEnd w:id="5"/>
      <w:r w:rsidRPr="00016353">
        <w:rPr>
          <w:rFonts w:ascii="Arial Narrow" w:hAnsi="Arial Narrow"/>
          <w:b/>
          <w:sz w:val="20"/>
        </w:rPr>
        <w:t xml:space="preserve"> Proposed MBS Item 36811 Descriptor</w:t>
      </w:r>
      <w:bookmarkEnd w:id="6"/>
    </w:p>
    <w:tbl>
      <w:tblPr>
        <w:tblStyle w:val="TableGrid1"/>
        <w:tblW w:w="0" w:type="auto"/>
        <w:tblLook w:val="04A0" w:firstRow="1" w:lastRow="0" w:firstColumn="1" w:lastColumn="0" w:noHBand="0" w:noVBand="1"/>
        <w:tblCaption w:val="Table 1 Proposed MBS item descriptor"/>
        <w:tblDescription w:val="This table provides a description of the wording of the item to be included in the Medicare Benefits Schedule for this technology."/>
      </w:tblPr>
      <w:tblGrid>
        <w:gridCol w:w="9016"/>
      </w:tblGrid>
      <w:tr w:rsidR="00D4501D" w:rsidRPr="000537B0" w14:paraId="5B52798B" w14:textId="77777777" w:rsidTr="00D863C8">
        <w:trPr>
          <w:cnfStyle w:val="100000000000" w:firstRow="1" w:lastRow="0" w:firstColumn="0" w:lastColumn="0" w:oddVBand="0" w:evenVBand="0" w:oddHBand="0" w:evenHBand="0" w:firstRowFirstColumn="0" w:firstRowLastColumn="0" w:lastRowFirstColumn="0" w:lastRowLastColumn="0"/>
          <w:tblHeader/>
        </w:trPr>
        <w:tc>
          <w:tcPr>
            <w:tcW w:w="9111" w:type="dxa"/>
          </w:tcPr>
          <w:p w14:paraId="03A13A9E" w14:textId="77777777" w:rsidR="00D4501D" w:rsidRPr="000537B0" w:rsidRDefault="00D4501D" w:rsidP="00D4501D">
            <w:pPr>
              <w:pStyle w:val="Tabletext"/>
            </w:pPr>
            <w:r w:rsidRPr="000537B0">
              <w:t>Category 3 – Therapeutic Procedures</w:t>
            </w:r>
          </w:p>
        </w:tc>
      </w:tr>
      <w:tr w:rsidR="00D4501D" w:rsidRPr="000537B0" w14:paraId="53FAEF04" w14:textId="77777777" w:rsidTr="00D863C8">
        <w:tc>
          <w:tcPr>
            <w:tcW w:w="9111" w:type="dxa"/>
          </w:tcPr>
          <w:p w14:paraId="060DA18A" w14:textId="77777777" w:rsidR="00D4501D" w:rsidRPr="000537B0" w:rsidRDefault="00D4501D" w:rsidP="00D4501D">
            <w:pPr>
              <w:pStyle w:val="Tabletext"/>
            </w:pPr>
            <w:r w:rsidRPr="000537B0">
              <w:t>CYSTOSCOPY with insertion of urethral prostheses</w:t>
            </w:r>
          </w:p>
        </w:tc>
      </w:tr>
      <w:tr w:rsidR="00D4501D" w:rsidRPr="000537B0" w14:paraId="74C71769" w14:textId="77777777" w:rsidTr="00D863C8">
        <w:tc>
          <w:tcPr>
            <w:tcW w:w="9111" w:type="dxa"/>
          </w:tcPr>
          <w:p w14:paraId="5CB05C05" w14:textId="77777777" w:rsidR="00D4501D" w:rsidRPr="000537B0" w:rsidRDefault="00D4501D" w:rsidP="00D4501D">
            <w:pPr>
              <w:pStyle w:val="Tabletext"/>
            </w:pPr>
            <w:r w:rsidRPr="000537B0">
              <w:t>Multiple Operation Rule</w:t>
            </w:r>
          </w:p>
        </w:tc>
      </w:tr>
      <w:tr w:rsidR="00D4501D" w:rsidRPr="000537B0" w14:paraId="0CCD0DF2" w14:textId="77777777" w:rsidTr="00D863C8">
        <w:tc>
          <w:tcPr>
            <w:tcW w:w="9111" w:type="dxa"/>
          </w:tcPr>
          <w:p w14:paraId="14DA110E" w14:textId="77777777" w:rsidR="00D4501D" w:rsidRPr="000537B0" w:rsidRDefault="00D4501D" w:rsidP="00D4501D">
            <w:pPr>
              <w:pStyle w:val="Tabletext"/>
            </w:pPr>
            <w:r w:rsidRPr="000537B0">
              <w:t>(Anaes.)</w:t>
            </w:r>
          </w:p>
        </w:tc>
      </w:tr>
      <w:tr w:rsidR="00D4501D" w:rsidRPr="000537B0" w14:paraId="64445132" w14:textId="77777777" w:rsidTr="00D863C8">
        <w:tc>
          <w:tcPr>
            <w:tcW w:w="9111" w:type="dxa"/>
          </w:tcPr>
          <w:p w14:paraId="319CB7CF" w14:textId="39CFBBB6" w:rsidR="00D4501D" w:rsidRPr="000537B0" w:rsidRDefault="00D4501D" w:rsidP="00D4501D">
            <w:pPr>
              <w:pStyle w:val="Tabletext"/>
            </w:pPr>
            <w:r w:rsidRPr="000537B0">
              <w:t>Fee: $1,058.80 Benefit: 75% = $794.10</w:t>
            </w:r>
          </w:p>
        </w:tc>
      </w:tr>
    </w:tbl>
    <w:p w14:paraId="10F9D1A1" w14:textId="5BFF1CB9" w:rsidR="00D4501D" w:rsidRPr="00250C4A" w:rsidRDefault="00D4501D" w:rsidP="00C11BBE">
      <w:pPr>
        <w:pStyle w:val="Tablenotes"/>
      </w:pPr>
      <w:r>
        <w:t xml:space="preserve">Source: Table 1, p13 of the </w:t>
      </w:r>
      <w:r w:rsidR="00A91537">
        <w:t>Applicant Developed Assessment Report (</w:t>
      </w:r>
      <w:r>
        <w:t>ADAR</w:t>
      </w:r>
      <w:r w:rsidR="00A91537">
        <w:t>)</w:t>
      </w:r>
      <w:r>
        <w:t>.</w:t>
      </w:r>
    </w:p>
    <w:p w14:paraId="406BD14E" w14:textId="37CE9748" w:rsidR="00D4501D" w:rsidRPr="00406925" w:rsidRDefault="00D4501D" w:rsidP="00C11BBE">
      <w:pPr>
        <w:spacing w:before="240"/>
        <w:jc w:val="both"/>
      </w:pPr>
      <w:r w:rsidRPr="00406925">
        <w:t>The commentary noted that this item is currently used for both males and females, and was in existence prior to the introduction of the UroLift system. If MSAC decide</w:t>
      </w:r>
      <w:r>
        <w:t>s to support a fee</w:t>
      </w:r>
      <w:r w:rsidRPr="00406925">
        <w:t xml:space="preserve"> increas</w:t>
      </w:r>
      <w:r>
        <w:t xml:space="preserve">e </w:t>
      </w:r>
      <w:r w:rsidRPr="00406925">
        <w:t xml:space="preserve">for PUL, </w:t>
      </w:r>
      <w:r>
        <w:t>there may be a need to create</w:t>
      </w:r>
      <w:r w:rsidRPr="00406925">
        <w:t xml:space="preserve"> a separate item specific for patients with BPH. </w:t>
      </w:r>
    </w:p>
    <w:p w14:paraId="03496100" w14:textId="40400DBF"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56BBF14E" w14:textId="3E288BB9" w:rsidR="00B34F48" w:rsidRDefault="003B2E32" w:rsidP="00B80ADB">
      <w:r>
        <w:t>P</w:t>
      </w:r>
      <w:r w:rsidR="00D4501D">
        <w:t>ublic consultation</w:t>
      </w:r>
      <w:r>
        <w:t xml:space="preserve"> responses</w:t>
      </w:r>
      <w:r w:rsidR="00D4501D">
        <w:t xml:space="preserve"> was received from </w:t>
      </w:r>
      <w:r>
        <w:t xml:space="preserve">two organisations, </w:t>
      </w:r>
      <w:r w:rsidR="00D4501D">
        <w:t>the Urological Society of Australia and New Zealand</w:t>
      </w:r>
      <w:r>
        <w:t xml:space="preserve"> (</w:t>
      </w:r>
      <w:r w:rsidR="0016295D">
        <w:t xml:space="preserve">USANZ; </w:t>
      </w:r>
      <w:r>
        <w:t>healthcare specialists) and Private Healthcare Australia (</w:t>
      </w:r>
      <w:r w:rsidR="0016295D">
        <w:t xml:space="preserve">PHA; </w:t>
      </w:r>
      <w:r>
        <w:t>representative body for Pri</w:t>
      </w:r>
      <w:r w:rsidR="0016295D">
        <w:t>vate Health Insurance Industry)</w:t>
      </w:r>
      <w:r w:rsidR="00B34F48">
        <w:t>.</w:t>
      </w:r>
      <w:r w:rsidR="0016295D">
        <w:t xml:space="preserve"> </w:t>
      </w:r>
      <w:r w:rsidR="00B34F48">
        <w:t>A patient testimonial in support of PUL was also provided as part of the pre-MSAC response.</w:t>
      </w:r>
    </w:p>
    <w:p w14:paraId="7D121EF0" w14:textId="086B8B55" w:rsidR="00B34F48" w:rsidRDefault="00D4501D" w:rsidP="00C11BBE">
      <w:pPr>
        <w:spacing w:before="240"/>
      </w:pPr>
      <w:r>
        <w:t xml:space="preserve">The </w:t>
      </w:r>
      <w:r w:rsidRPr="00580B2B">
        <w:t>response</w:t>
      </w:r>
      <w:r w:rsidR="0016295D">
        <w:t xml:space="preserve"> from the USANZ </w:t>
      </w:r>
      <w:r w:rsidRPr="00580B2B">
        <w:t xml:space="preserve">noted the benefits of PUL, including the minimally invasive nature of the procedure and associated improvements in surgical duration, blood loss, hospital length of stay and preservation of sexual function. Overall, the </w:t>
      </w:r>
      <w:r w:rsidR="0016295D">
        <w:t>USANZ</w:t>
      </w:r>
      <w:r w:rsidR="0016295D" w:rsidRPr="00580B2B">
        <w:t xml:space="preserve"> </w:t>
      </w:r>
      <w:r w:rsidRPr="00580B2B">
        <w:t>w</w:t>
      </w:r>
      <w:r w:rsidR="0016295D">
        <w:t>ere</w:t>
      </w:r>
      <w:r w:rsidRPr="00580B2B">
        <w:t xml:space="preserve"> supportive of the application. However, it was noted that</w:t>
      </w:r>
      <w:r>
        <w:t xml:space="preserve">: 1) </w:t>
      </w:r>
      <w:r w:rsidRPr="00580B2B">
        <w:t>longer term outcomes in terms of sustained clinical improvement and safety remains largely unknown</w:t>
      </w:r>
      <w:r>
        <w:t>, and 2)</w:t>
      </w:r>
      <w:r w:rsidRPr="00580B2B">
        <w:t xml:space="preserve"> there is a size limit for the prostate gland, and this procedure does not change the actual prostate size.</w:t>
      </w:r>
    </w:p>
    <w:p w14:paraId="311AF14D" w14:textId="480FD3B0" w:rsidR="00D4501D" w:rsidRPr="008D65B5" w:rsidRDefault="0016295D" w:rsidP="00C11BBE">
      <w:pPr>
        <w:spacing w:before="240"/>
      </w:pPr>
      <w:r>
        <w:lastRenderedPageBreak/>
        <w:t xml:space="preserve">The response from </w:t>
      </w:r>
      <w:r w:rsidR="00A83064">
        <w:t xml:space="preserve">the </w:t>
      </w:r>
      <w:r>
        <w:t>PHA was not supportive of the app</w:t>
      </w:r>
      <w:r w:rsidR="00B80ADB">
        <w:t>lication</w:t>
      </w:r>
      <w:r w:rsidR="00A83064">
        <w:t>.</w:t>
      </w:r>
      <w:r w:rsidR="002D22F7">
        <w:t xml:space="preserve"> </w:t>
      </w:r>
      <w:r w:rsidR="00A83064">
        <w:t>The PHA noted that</w:t>
      </w:r>
      <w:r w:rsidR="002D22F7">
        <w:t xml:space="preserve"> PUL is</w:t>
      </w:r>
      <w:r w:rsidR="00E37ED2">
        <w:t xml:space="preserve"> a minimally invasive and short procedure</w:t>
      </w:r>
      <w:r w:rsidR="00A83064">
        <w:t xml:space="preserve"> and therefore</w:t>
      </w:r>
      <w:r w:rsidR="00BD23EE">
        <w:t xml:space="preserve"> </w:t>
      </w:r>
      <w:r w:rsidR="002D22F7">
        <w:t xml:space="preserve">the fee for PUL </w:t>
      </w:r>
      <w:r w:rsidR="00E37ED2">
        <w:t xml:space="preserve">should not be equivalent to the fee for TURP, a </w:t>
      </w:r>
      <w:r w:rsidR="00A83064">
        <w:t xml:space="preserve">more </w:t>
      </w:r>
      <w:r w:rsidR="00E37ED2">
        <w:t>complex surgical procedure</w:t>
      </w:r>
      <w:r w:rsidR="002D22F7">
        <w:t xml:space="preserve">. The PHA stated that </w:t>
      </w:r>
      <w:r w:rsidR="002D22F7" w:rsidRPr="00B80ADB">
        <w:t xml:space="preserve">an average of 3.1 fixation devices are currently used per patient on </w:t>
      </w:r>
      <w:r w:rsidR="002D22F7">
        <w:t xml:space="preserve">the </w:t>
      </w:r>
      <w:r w:rsidR="002D22F7" w:rsidRPr="00B80ADB">
        <w:t>P</w:t>
      </w:r>
      <w:r w:rsidR="002D22F7">
        <w:t xml:space="preserve">rostheses </w:t>
      </w:r>
      <w:r w:rsidR="002D22F7" w:rsidRPr="00B80ADB">
        <w:t>L</w:t>
      </w:r>
      <w:r w:rsidR="002D22F7">
        <w:t xml:space="preserve">ist </w:t>
      </w:r>
      <w:r w:rsidR="002D22F7" w:rsidRPr="008D65B5">
        <w:t xml:space="preserve">and </w:t>
      </w:r>
      <w:r w:rsidR="00E37ED2" w:rsidRPr="008D65B5">
        <w:t>claimed</w:t>
      </w:r>
      <w:r w:rsidR="00B80ADB" w:rsidRPr="008D65B5">
        <w:t xml:space="preserve"> that increasing the MBS fee for PUL would make PUL the most expensive urological implant on the Prostheses List (and one of the 30 most expensive billing codes on the entire list).</w:t>
      </w:r>
      <w:r w:rsidR="00A12623" w:rsidRPr="008D65B5">
        <w:t xml:space="preserve"> </w:t>
      </w:r>
    </w:p>
    <w:p w14:paraId="71A7E892" w14:textId="77777777" w:rsidR="00BC1364" w:rsidRPr="00F715D1" w:rsidRDefault="00BC1364" w:rsidP="00F715D1">
      <w:pPr>
        <w:pStyle w:val="Heading1"/>
      </w:pPr>
      <w:r w:rsidRPr="00F715D1">
        <w:t>Proposed intervention’s place in clinical management</w:t>
      </w:r>
    </w:p>
    <w:p w14:paraId="51921276" w14:textId="77777777" w:rsidR="00CF4E81" w:rsidRDefault="00CF4E81" w:rsidP="00D4501D">
      <w:pPr>
        <w:pStyle w:val="Heading2"/>
      </w:pPr>
      <w:r w:rsidRPr="00CF4E81">
        <w:t>Description of Proposed Intervention</w:t>
      </w:r>
    </w:p>
    <w:p w14:paraId="51B0D5A9" w14:textId="6425E99B" w:rsidR="00D4501D" w:rsidRPr="000537B0" w:rsidRDefault="00D4501D" w:rsidP="00C11BBE">
      <w:r w:rsidRPr="000537B0">
        <w:t xml:space="preserve">The PUL procedure is conducted by installing small permanent implants transurethrally under endoscopic guidance to lift apart the obstructing lateral lobes and reduce urethral obstruction. The procedural objective is to create a channel through the anterior aspect of the prostatic fossa. The implant is comprised of a monofilament with a nitinol capsular tab on one end and a stainless steel urethral end-piece on the other. </w:t>
      </w:r>
    </w:p>
    <w:p w14:paraId="42523C16" w14:textId="3ABD090D" w:rsidR="00D4501D" w:rsidRPr="00C11BBE" w:rsidRDefault="00D4501D" w:rsidP="00C11BBE">
      <w:pPr>
        <w:spacing w:before="240"/>
      </w:pPr>
      <w:r w:rsidRPr="000537B0">
        <w:t>After rigid cystoscopy, the implant delivery device (UroLift System), which houses a 2.9 mm telescope, is inserted into a 20F sheath and angled laterally (20-30 degrees) usually at the 10 and 2 o’clock position to compress the anterior third of the obstructive lobe. The delivery device laterally deploys a 19 gauge needle through the lobe. As the needle is withdrawn, the capsular tab of the implant engages the prostatic capsule. The monofilament is then tensioned, cut to the specific width of the compressed lobe, and secured in place by the urethral end-piece. Thus, each implant is customized in length and location in situ based on an individual’s prostate anatomy. Because the fibromuscular capsule is less compliant than the periurethral tissue, the capsular tab holds firmly in place while the urethral end-piece holds the lobe apart to expand the urethral lumen. The narrow urethral end-piece invaginates into the urethral wall where epithelialization occurs.</w:t>
      </w:r>
    </w:p>
    <w:p w14:paraId="67D7E2FE" w14:textId="77777777" w:rsidR="00CF4E81" w:rsidRPr="00CF4E81" w:rsidRDefault="00CF4E81" w:rsidP="00C11BBE">
      <w:pPr>
        <w:pStyle w:val="Heading2"/>
        <w:spacing w:before="240"/>
      </w:pPr>
      <w:r w:rsidRPr="00CF4E81">
        <w:t>Description of Medi</w:t>
      </w:r>
      <w:r w:rsidR="00D4501D">
        <w:t>cal Condition</w:t>
      </w:r>
    </w:p>
    <w:p w14:paraId="1860C7C3" w14:textId="1D3DD1C2" w:rsidR="00D4501D" w:rsidRDefault="00D4501D" w:rsidP="00C11BBE">
      <w:pPr>
        <w:spacing w:after="240"/>
      </w:pPr>
      <w:r w:rsidRPr="00323C66">
        <w:t xml:space="preserve">BPH, also called prostate enlargement, </w:t>
      </w:r>
      <w:r w:rsidR="00802D61" w:rsidRPr="00333C86">
        <w:t>is a non-cancerous enlargement of the prostate gland, in which smooth muscle and epithelial cells proliferate, which occ</w:t>
      </w:r>
      <w:r w:rsidR="00802D61">
        <w:t>urs as a natural part of ageing</w:t>
      </w:r>
      <w:r w:rsidRPr="00323C66">
        <w:t>. Symptoms may include frequent urination, trouble starting to urinate, weak stream, inability to urinate, or loss of bladder control.</w:t>
      </w:r>
      <w:r>
        <w:t xml:space="preserve"> It is estimated </w:t>
      </w:r>
      <w:r w:rsidRPr="00323C66">
        <w:t xml:space="preserve">2.4 million Australian men over the aged of 50 suffer from </w:t>
      </w:r>
      <w:r>
        <w:t xml:space="preserve">an </w:t>
      </w:r>
      <w:r w:rsidRPr="00323C66">
        <w:t xml:space="preserve">enlarged prostate or </w:t>
      </w:r>
      <w:r>
        <w:t>B</w:t>
      </w:r>
      <w:r w:rsidRPr="00323C66">
        <w:t>PH. More than 50% of men over the age of 60 are diagnosed with BPH and by 85 the number climbs to 90%.</w:t>
      </w:r>
    </w:p>
    <w:p w14:paraId="53DC549D" w14:textId="77777777" w:rsidR="00D4501D" w:rsidRDefault="00D4501D" w:rsidP="00C11BBE">
      <w:pPr>
        <w:spacing w:before="240"/>
        <w:contextualSpacing/>
        <w:jc w:val="both"/>
      </w:pPr>
      <w:r>
        <w:t>Patients proposed to be eligible for the proposed medical service would have the following:</w:t>
      </w:r>
    </w:p>
    <w:p w14:paraId="46A6DD88" w14:textId="77777777" w:rsidR="00D4501D" w:rsidRDefault="00D4501D" w:rsidP="00D4501D">
      <w:pPr>
        <w:ind w:firstLine="426"/>
        <w:contextualSpacing/>
        <w:jc w:val="both"/>
      </w:pPr>
      <w:r>
        <w:t>•</w:t>
      </w:r>
      <w:r>
        <w:tab/>
        <w:t>Age &gt; 50 years</w:t>
      </w:r>
    </w:p>
    <w:p w14:paraId="0A8D83B9" w14:textId="77777777" w:rsidR="00D4501D" w:rsidRDefault="00D4501D" w:rsidP="00D4501D">
      <w:pPr>
        <w:ind w:firstLine="426"/>
        <w:contextualSpacing/>
        <w:jc w:val="both"/>
      </w:pPr>
      <w:r>
        <w:t>•</w:t>
      </w:r>
      <w:r>
        <w:tab/>
        <w:t>Prostate volume &lt;100mL</w:t>
      </w:r>
    </w:p>
    <w:p w14:paraId="3C457013" w14:textId="31E1F6C9" w:rsidR="00D4501D" w:rsidRPr="00C11BBE" w:rsidRDefault="00D4501D" w:rsidP="00C11BBE">
      <w:pPr>
        <w:ind w:firstLine="426"/>
        <w:contextualSpacing/>
        <w:jc w:val="both"/>
      </w:pPr>
      <w:r>
        <w:t>•</w:t>
      </w:r>
      <w:r>
        <w:tab/>
        <w:t>International Prostate Symptom Score (IPSS) &gt; 12.</w:t>
      </w:r>
    </w:p>
    <w:p w14:paraId="53B85D22" w14:textId="5B5A5457" w:rsidR="00250EF2" w:rsidRPr="00250EF2" w:rsidRDefault="00D4501D" w:rsidP="00250EF2">
      <w:pPr>
        <w:spacing w:before="240" w:after="240"/>
      </w:pPr>
      <w:r w:rsidRPr="00A95C91">
        <w:t xml:space="preserve">The clinical management algorithm and the proposed place of PUL is presented in </w:t>
      </w:r>
      <w:r w:rsidRPr="00A95C91">
        <w:fldChar w:fldCharType="begin"/>
      </w:r>
      <w:r w:rsidRPr="00A95C91">
        <w:instrText xml:space="preserve"> REF _Ref40796612 \h </w:instrText>
      </w:r>
      <w:r>
        <w:instrText xml:space="preserve"> \* MERGEFORMAT </w:instrText>
      </w:r>
      <w:r w:rsidRPr="00A95C91">
        <w:fldChar w:fldCharType="separate"/>
      </w:r>
      <w:r w:rsidRPr="000537B0">
        <w:t xml:space="preserve">Figure </w:t>
      </w:r>
      <w:r>
        <w:rPr>
          <w:noProof/>
        </w:rPr>
        <w:t>1</w:t>
      </w:r>
      <w:r w:rsidRPr="00A95C91">
        <w:fldChar w:fldCharType="end"/>
      </w:r>
      <w:r w:rsidRPr="00A95C91">
        <w:t>.</w:t>
      </w:r>
      <w:bookmarkStart w:id="7" w:name="_Ref40796612"/>
      <w:bookmarkStart w:id="8" w:name="_Toc40172858"/>
    </w:p>
    <w:p w14:paraId="3EF1934A" w14:textId="6BDAF476" w:rsidR="00250EF2" w:rsidRPr="00250EF2" w:rsidRDefault="00250EF2" w:rsidP="00250EF2">
      <w:r>
        <w:rPr>
          <w:noProof/>
        </w:rPr>
        <w:lastRenderedPageBreak/>
        <w:drawing>
          <wp:inline distT="0" distB="0" distL="0" distR="0" wp14:anchorId="7A972862" wp14:editId="3BA3C6DC">
            <wp:extent cx="5372100" cy="5848350"/>
            <wp:effectExtent l="0" t="0" r="0" b="0"/>
            <wp:docPr id="1" name="Picture 1" descr="Clinical management algorithm for PUL relative to TURP or V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2100" cy="5848350"/>
                    </a:xfrm>
                    <a:prstGeom prst="rect">
                      <a:avLst/>
                    </a:prstGeom>
                  </pic:spPr>
                </pic:pic>
              </a:graphicData>
            </a:graphic>
          </wp:inline>
        </w:drawing>
      </w:r>
    </w:p>
    <w:p w14:paraId="0DABDA20" w14:textId="43F30816" w:rsidR="00D4501D" w:rsidRPr="00016353" w:rsidRDefault="00D4501D" w:rsidP="00016353">
      <w:pPr>
        <w:rPr>
          <w:rFonts w:ascii="Arial Narrow" w:hAnsi="Arial Narrow"/>
          <w:b/>
          <w:sz w:val="20"/>
        </w:rPr>
      </w:pPr>
      <w:r w:rsidRPr="00016353">
        <w:rPr>
          <w:rFonts w:ascii="Arial Narrow" w:hAnsi="Arial Narrow"/>
          <w:b/>
          <w:sz w:val="20"/>
        </w:rPr>
        <w:t xml:space="preserve">Figure </w:t>
      </w:r>
      <w:r w:rsidR="00C11BBE" w:rsidRPr="00016353">
        <w:rPr>
          <w:rFonts w:ascii="Arial Narrow" w:hAnsi="Arial Narrow"/>
          <w:b/>
          <w:sz w:val="20"/>
        </w:rPr>
        <w:fldChar w:fldCharType="begin"/>
      </w:r>
      <w:r w:rsidR="00C11BBE" w:rsidRPr="00016353">
        <w:rPr>
          <w:rFonts w:ascii="Arial Narrow" w:hAnsi="Arial Narrow"/>
          <w:b/>
          <w:sz w:val="20"/>
        </w:rPr>
        <w:instrText xml:space="preserve"> SEQ Figure \* ARABIC </w:instrText>
      </w:r>
      <w:r w:rsidR="00C11BBE" w:rsidRPr="00016353">
        <w:rPr>
          <w:rFonts w:ascii="Arial Narrow" w:hAnsi="Arial Narrow"/>
          <w:b/>
          <w:sz w:val="20"/>
        </w:rPr>
        <w:fldChar w:fldCharType="separate"/>
      </w:r>
      <w:r w:rsidRPr="00016353">
        <w:rPr>
          <w:rFonts w:ascii="Arial Narrow" w:hAnsi="Arial Narrow"/>
          <w:b/>
          <w:sz w:val="20"/>
        </w:rPr>
        <w:t>1</w:t>
      </w:r>
      <w:r w:rsidR="00C11BBE" w:rsidRPr="00016353">
        <w:rPr>
          <w:rFonts w:ascii="Arial Narrow" w:hAnsi="Arial Narrow"/>
          <w:b/>
          <w:sz w:val="20"/>
        </w:rPr>
        <w:fldChar w:fldCharType="end"/>
      </w:r>
      <w:bookmarkEnd w:id="7"/>
      <w:r w:rsidRPr="00016353">
        <w:rPr>
          <w:rFonts w:ascii="Arial Narrow" w:hAnsi="Arial Narrow"/>
          <w:b/>
          <w:sz w:val="20"/>
        </w:rPr>
        <w:t xml:space="preserve"> Clinical management algorithm for PUL relative to TURP or VLAP</w:t>
      </w:r>
      <w:bookmarkEnd w:id="8"/>
    </w:p>
    <w:p w14:paraId="14DBBB4B" w14:textId="77777777" w:rsidR="00D4501D" w:rsidRDefault="00D4501D" w:rsidP="00C11BBE">
      <w:pPr>
        <w:pStyle w:val="Tablenotes"/>
      </w:pPr>
      <w:r>
        <w:t xml:space="preserve">Abbreviations: </w:t>
      </w:r>
      <w:r w:rsidRPr="00A95C91">
        <w:t>HoLEP = Holmium laser enucleation of the prostate; LUTS = lower urinary tract symptoms; OP = open prostatectomy; PUL = prostatic urethral lift; TUMT = transurethral microwave thermotherapy; TURP = transurethral resection of the prostate; TUWA = transurethral water ablation; VLAP = visual laser ablation of the prostate</w:t>
      </w:r>
      <w:r>
        <w:t>.</w:t>
      </w:r>
    </w:p>
    <w:p w14:paraId="21E10D6C" w14:textId="232141A3" w:rsidR="00D4501D" w:rsidRDefault="00D4501D" w:rsidP="00C11BBE">
      <w:pPr>
        <w:pStyle w:val="Tablenotes"/>
      </w:pPr>
      <w:r>
        <w:t>Source: Figure 1, p28 of the ADAR.</w:t>
      </w:r>
    </w:p>
    <w:p w14:paraId="31A3C51C" w14:textId="1CA2D8E3" w:rsidR="00D4501D" w:rsidRPr="00C11BBE" w:rsidRDefault="00D4501D" w:rsidP="00C11BBE">
      <w:pPr>
        <w:spacing w:before="240"/>
        <w:rPr>
          <w:i/>
          <w:color w:val="FF0000"/>
        </w:rPr>
      </w:pPr>
      <w:r>
        <w:t xml:space="preserve">The commentary noted that </w:t>
      </w:r>
      <w:r w:rsidRPr="00250C4A">
        <w:t>the</w:t>
      </w:r>
      <w:r>
        <w:t xml:space="preserve"> ADAR had used the</w:t>
      </w:r>
      <w:r w:rsidRPr="00250C4A">
        <w:t xml:space="preserve"> clinical management algorithm from MSAC assessment 1518</w:t>
      </w:r>
      <w:r>
        <w:t xml:space="preserve"> even though this</w:t>
      </w:r>
      <w:r w:rsidRPr="00250C4A">
        <w:t xml:space="preserve"> was inconsistent with the proposed indications for use of PUL. The clinical management algorithm suggests that only patients with severe or high impact symptoms of BPH would be referred to a urologist for PUL, TURP, or </w:t>
      </w:r>
      <w:r w:rsidRPr="00EA713E">
        <w:t>visual laser ablation of the prostate</w:t>
      </w:r>
      <w:r>
        <w:t xml:space="preserve"> (</w:t>
      </w:r>
      <w:r w:rsidRPr="00250C4A">
        <w:t>VLAP</w:t>
      </w:r>
      <w:r>
        <w:t>)</w:t>
      </w:r>
      <w:r w:rsidRPr="00250C4A">
        <w:t xml:space="preserve">, whereas the indications for PUL suggest that patients with moderate to severe symptoms (based on a score of &gt;12 on the IPSS) would be eligible. </w:t>
      </w:r>
    </w:p>
    <w:p w14:paraId="52B488CA" w14:textId="2BD1051A" w:rsidR="00D4501D" w:rsidRPr="00C11BBE" w:rsidRDefault="00D4501D" w:rsidP="00C11BBE">
      <w:pPr>
        <w:spacing w:before="240" w:after="240"/>
      </w:pPr>
      <w:r>
        <w:t>The commentary</w:t>
      </w:r>
      <w:r w:rsidRPr="00A95C91">
        <w:t xml:space="preserve"> presented an alternative clinical algorithm </w:t>
      </w:r>
      <w:r>
        <w:t>(</w:t>
      </w:r>
      <w:r>
        <w:fldChar w:fldCharType="begin"/>
      </w:r>
      <w:r>
        <w:instrText xml:space="preserve"> REF _Ref40849955 \h </w:instrText>
      </w:r>
      <w:r>
        <w:fldChar w:fldCharType="separate"/>
      </w:r>
      <w:r>
        <w:t xml:space="preserve">Figure </w:t>
      </w:r>
      <w:r>
        <w:rPr>
          <w:noProof/>
        </w:rPr>
        <w:t>2</w:t>
      </w:r>
      <w:r>
        <w:fldChar w:fldCharType="end"/>
      </w:r>
      <w:r>
        <w:t xml:space="preserve">) </w:t>
      </w:r>
      <w:r w:rsidRPr="00A95C91">
        <w:t>adapted</w:t>
      </w:r>
      <w:r w:rsidRPr="000537B0">
        <w:t xml:space="preserve"> from the Canadian Urological Association guidelines (adapted to remove techniques not listed on the MBS) </w:t>
      </w:r>
      <w:r>
        <w:fldChar w:fldCharType="begin"/>
      </w:r>
      <w:r>
        <w:instrText xml:space="preserve"> ADDIN EN.CITE &lt;EndNote&gt;&lt;Cite&gt;&lt;Author&gt;Nickel&lt;/Author&gt;&lt;Year&gt;2018&lt;/Year&gt;&lt;RecNum&gt;93&lt;/RecNum&gt;&lt;DisplayText&gt;(Nickel et al. 2018)&lt;/DisplayText&gt;&lt;record&gt;&lt;rec-number&gt;93&lt;/rec-number&gt;&lt;foreign-keys&gt;&lt;key app="EN" db-id="v22se2psdzpe0sezdw8xrsf2rptrz0ezf2a5" timestamp="1585536503"&gt;93&lt;/key&gt;&lt;/foreign-keys&gt;&lt;ref-type name="Journal Article"&gt;17&lt;/ref-type&gt;&lt;contributors&gt;&lt;authors&gt;&lt;author&gt;Nickel, J.C.&lt;/author&gt;&lt;author&gt;Aaron, L..&lt;/author&gt;&lt;author&gt;Barkin, J.&lt;/author&gt;&lt;author&gt;Elterman, D.&lt;/author&gt;&lt;author&gt;Nachabe, M.&lt;/author&gt;&lt;author&gt;Zorn, K.C.&lt;/author&gt;&lt;/authors&gt;&lt;/contributors&gt;&lt;titles&gt;&lt;title&gt;Canadian Urological Association guideline on male lower urinary tract symptoms/ benign prostatic hyperplasia (MLUTS/BPH): 2018 update&lt;/title&gt;&lt;secondary-title&gt;Can Urol Assoc J&lt;/secondary-title&gt;&lt;/titles&gt;&lt;periodical&gt;&lt;full-title&gt;Can Urol Assoc J&lt;/full-title&gt;&lt;/periodical&gt;&lt;pages&gt;303-12&lt;/pages&gt;&lt;volume&gt;12&lt;/volume&gt;&lt;number&gt;10&lt;/number&gt;&lt;dates&gt;&lt;year&gt;2018&lt;/year&gt;&lt;/dates&gt;&lt;urls&gt;&lt;/urls&gt;&lt;/record&gt;&lt;/Cite&gt;&lt;/EndNote&gt;</w:instrText>
      </w:r>
      <w:r>
        <w:fldChar w:fldCharType="separate"/>
      </w:r>
      <w:r>
        <w:rPr>
          <w:noProof/>
        </w:rPr>
        <w:t>(</w:t>
      </w:r>
      <w:hyperlink w:anchor="_ENREF_14" w:tooltip="Nickel, 2018 #93" w:history="1">
        <w:r>
          <w:rPr>
            <w:noProof/>
          </w:rPr>
          <w:t>Nickel et al. 2018</w:t>
        </w:r>
      </w:hyperlink>
      <w:r>
        <w:rPr>
          <w:rStyle w:val="FootnoteReference"/>
          <w:noProof/>
        </w:rPr>
        <w:footnoteReference w:id="1"/>
      </w:r>
      <w:r>
        <w:rPr>
          <w:noProof/>
        </w:rPr>
        <w:t>)</w:t>
      </w:r>
      <w:r>
        <w:fldChar w:fldCharType="end"/>
      </w:r>
      <w:r w:rsidRPr="000537B0">
        <w:t xml:space="preserve">. </w:t>
      </w:r>
      <w:r>
        <w:t xml:space="preserve">This is the same clinical algorithm in the European guidelines, which has been endorsed by the Urological Society of Australia and New Zealand. In this </w:t>
      </w:r>
      <w:r w:rsidRPr="00C84426">
        <w:t xml:space="preserve">algorithm the options recommended differ depending on prostate size and ability to tolerate </w:t>
      </w:r>
      <w:r w:rsidRPr="00C84426">
        <w:lastRenderedPageBreak/>
        <w:t xml:space="preserve">anaesthesia and stop antiplatelet and anticoagulants. </w:t>
      </w:r>
      <w:r>
        <w:t xml:space="preserve">The treatment listed first in each box is the current standard/first choice in Canada for the respective subgroup.  </w:t>
      </w:r>
      <w:r w:rsidRPr="000537B0">
        <w:t xml:space="preserve">In the subpopulation of men who cannot tolerate anaesthesia, transurethral microwave thermotherapy (TUMT) </w:t>
      </w:r>
      <w:r>
        <w:t xml:space="preserve">or transurethral water vapour ablation (TUWA) may </w:t>
      </w:r>
      <w:r w:rsidRPr="000537B0">
        <w:t>be more appropriate comparator</w:t>
      </w:r>
      <w:r>
        <w:t>s</w:t>
      </w:r>
      <w:r w:rsidRPr="000537B0">
        <w:t xml:space="preserve"> than TURP. </w:t>
      </w:r>
    </w:p>
    <w:p w14:paraId="72F09827" w14:textId="77777777" w:rsidR="00D4501D" w:rsidRDefault="00D4501D" w:rsidP="00D4501D">
      <w:pPr>
        <w:keepNext/>
      </w:pPr>
      <w:r w:rsidRPr="00B07131">
        <w:rPr>
          <w:i/>
          <w:noProof/>
          <w:color w:val="FF0000"/>
        </w:rPr>
        <w:drawing>
          <wp:inline distT="0" distB="0" distL="0" distR="0" wp14:anchorId="7191CD68" wp14:editId="73A343B9">
            <wp:extent cx="5733415" cy="4186555"/>
            <wp:effectExtent l="0" t="0" r="635" b="4445"/>
            <wp:docPr id="60" name="Picture 60" descr="Clinical management algorithm adapted from Canadian Urological Association guideline on male lower urinary tract symptoms/benign prostatic hyperplasia (MLUTS/BP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15" cy="4186555"/>
                    </a:xfrm>
                    <a:prstGeom prst="rect">
                      <a:avLst/>
                    </a:prstGeom>
                  </pic:spPr>
                </pic:pic>
              </a:graphicData>
            </a:graphic>
          </wp:inline>
        </w:drawing>
      </w:r>
    </w:p>
    <w:p w14:paraId="130A0A27" w14:textId="77777777" w:rsidR="00D4501D" w:rsidRPr="00250EF2" w:rsidRDefault="00D4501D" w:rsidP="00250EF2">
      <w:pPr>
        <w:spacing w:before="240"/>
        <w:rPr>
          <w:rFonts w:ascii="Arial Narrow" w:hAnsi="Arial Narrow"/>
          <w:b/>
          <w:sz w:val="20"/>
        </w:rPr>
      </w:pPr>
      <w:bookmarkStart w:id="9" w:name="_Ref40849955"/>
      <w:r w:rsidRPr="00250EF2">
        <w:rPr>
          <w:rFonts w:ascii="Arial Narrow" w:hAnsi="Arial Narrow"/>
          <w:b/>
          <w:sz w:val="20"/>
        </w:rPr>
        <w:t xml:space="preserve">Figure </w:t>
      </w:r>
      <w:r w:rsidR="00C11BBE" w:rsidRPr="00250EF2">
        <w:rPr>
          <w:rFonts w:ascii="Arial Narrow" w:hAnsi="Arial Narrow"/>
          <w:b/>
          <w:sz w:val="20"/>
        </w:rPr>
        <w:fldChar w:fldCharType="begin"/>
      </w:r>
      <w:r w:rsidR="00C11BBE" w:rsidRPr="00250EF2">
        <w:rPr>
          <w:rFonts w:ascii="Arial Narrow" w:hAnsi="Arial Narrow"/>
          <w:b/>
          <w:sz w:val="20"/>
        </w:rPr>
        <w:instrText xml:space="preserve"> SEQ Figure \* ARABIC </w:instrText>
      </w:r>
      <w:r w:rsidR="00C11BBE" w:rsidRPr="00250EF2">
        <w:rPr>
          <w:rFonts w:ascii="Arial Narrow" w:hAnsi="Arial Narrow"/>
          <w:b/>
          <w:sz w:val="20"/>
        </w:rPr>
        <w:fldChar w:fldCharType="separate"/>
      </w:r>
      <w:r w:rsidRPr="00250EF2">
        <w:rPr>
          <w:rFonts w:ascii="Arial Narrow" w:hAnsi="Arial Narrow"/>
          <w:b/>
          <w:sz w:val="20"/>
        </w:rPr>
        <w:t>2</w:t>
      </w:r>
      <w:r w:rsidR="00C11BBE" w:rsidRPr="00250EF2">
        <w:rPr>
          <w:rFonts w:ascii="Arial Narrow" w:hAnsi="Arial Narrow"/>
          <w:b/>
          <w:sz w:val="20"/>
        </w:rPr>
        <w:fldChar w:fldCharType="end"/>
      </w:r>
      <w:bookmarkEnd w:id="9"/>
      <w:r w:rsidRPr="00250EF2">
        <w:rPr>
          <w:rFonts w:ascii="Arial Narrow" w:hAnsi="Arial Narrow"/>
          <w:b/>
          <w:sz w:val="20"/>
        </w:rPr>
        <w:t>: Clinical management algorithm adapted from Canadian Urological Association guideline on male lower urinary tract symptoms/benign prostatic hyperplasia (MLUTS/BPH): 2018</w:t>
      </w:r>
    </w:p>
    <w:p w14:paraId="033448EC" w14:textId="77777777" w:rsidR="00D4501D" w:rsidRDefault="00D4501D" w:rsidP="00C11BBE">
      <w:pPr>
        <w:pStyle w:val="Tablenotes"/>
      </w:pPr>
      <w:r>
        <w:t>Abbreviations</w:t>
      </w:r>
      <w:r w:rsidRPr="000537B0">
        <w:t xml:space="preserve">: HoLEP = Holmium laser enucleation of the prostate; LUTS = lower urinary tract symptoms; OP = open prostatectomy; PUL = prostatic urethral lift; TUMT = transurethral microwave thermotherapy; TURP = transurethral resection of the prostate; </w:t>
      </w:r>
      <w:r>
        <w:t xml:space="preserve">TUWA = transurethral water ablation; </w:t>
      </w:r>
      <w:r w:rsidRPr="000537B0">
        <w:t>VLAP = visual laser ablation of the prostate</w:t>
      </w:r>
      <w:r>
        <w:t>.</w:t>
      </w:r>
    </w:p>
    <w:p w14:paraId="07DE358B" w14:textId="77777777" w:rsidR="00CF4E81" w:rsidRPr="00D4501D" w:rsidRDefault="00D4501D" w:rsidP="00C11BBE">
      <w:pPr>
        <w:pStyle w:val="Tablenotes"/>
      </w:pPr>
      <w:r>
        <w:t>Source: Figure 2, p45 of the commentary.</w:t>
      </w:r>
    </w:p>
    <w:p w14:paraId="72B8C4A0" w14:textId="77777777" w:rsidR="00BC1364" w:rsidRPr="00F715D1" w:rsidRDefault="00BC1364" w:rsidP="00F715D1">
      <w:pPr>
        <w:pStyle w:val="Heading1"/>
      </w:pPr>
      <w:r w:rsidRPr="00F715D1">
        <w:t xml:space="preserve">Comparator </w:t>
      </w:r>
    </w:p>
    <w:p w14:paraId="355C28A0" w14:textId="77777777" w:rsidR="00D4501D" w:rsidRPr="00D863C8" w:rsidRDefault="00D4501D" w:rsidP="00D863C8">
      <w:pPr>
        <w:rPr>
          <w:u w:val="single"/>
        </w:rPr>
      </w:pPr>
      <w:r w:rsidRPr="00D863C8">
        <w:rPr>
          <w:u w:val="single"/>
        </w:rPr>
        <w:t>TURP</w:t>
      </w:r>
    </w:p>
    <w:p w14:paraId="33667FD2" w14:textId="0B4A3281" w:rsidR="00D4501D" w:rsidRDefault="00D4501D" w:rsidP="00D4501D">
      <w:r w:rsidRPr="008F3C2C">
        <w:t>The</w:t>
      </w:r>
      <w:r>
        <w:t xml:space="preserve"> applicant propose</w:t>
      </w:r>
      <w:r w:rsidR="00802D61">
        <w:t>d</w:t>
      </w:r>
      <w:r>
        <w:t xml:space="preserve"> the</w:t>
      </w:r>
      <w:r w:rsidRPr="008F3C2C">
        <w:t xml:space="preserve"> main comparator to </w:t>
      </w:r>
      <w:r>
        <w:t xml:space="preserve">PUL </w:t>
      </w:r>
      <w:r w:rsidRPr="008F3C2C">
        <w:t>is TURP</w:t>
      </w:r>
      <w:r>
        <w:t xml:space="preserve">. </w:t>
      </w:r>
      <w:r w:rsidRPr="000537B0">
        <w:t>TURP is considered the gold standard procedure by many authors for BPH patients when a reduction of prostate tissue is necessary (Teo, Lee &amp; Ho 2017</w:t>
      </w:r>
      <w:r>
        <w:rPr>
          <w:rStyle w:val="FootnoteReference"/>
        </w:rPr>
        <w:footnoteReference w:id="2"/>
      </w:r>
      <w:r w:rsidRPr="000537B0">
        <w:t>). In Australia, the practise of TURP is not restricted to prostates of any particular size. There are two forms – monopolar</w:t>
      </w:r>
      <w:r w:rsidR="00C11BBE">
        <w:t xml:space="preserve"> (M-TURP) and bipolar (B-TURP).</w:t>
      </w:r>
    </w:p>
    <w:p w14:paraId="55359470" w14:textId="0ACB7BC7" w:rsidR="00D4501D" w:rsidRPr="000537B0" w:rsidRDefault="00D4501D" w:rsidP="00C11BBE">
      <w:pPr>
        <w:spacing w:before="240"/>
      </w:pPr>
      <w:r w:rsidRPr="000537B0">
        <w:t xml:space="preserve">In the monopolar procedure, a high frequency current from a generator is passed through an active electrode, enabling electro-resection via a resectoscope. Lighting and irrigation enable vision for the surgeon while resecting the vascular organ. Pieces of tissue separated from the prostate are flushed into the bladder and then from the body. Bleeding is a common event </w:t>
      </w:r>
      <w:r w:rsidRPr="000537B0">
        <w:lastRenderedPageBreak/>
        <w:t>occurring with incidence of bleeding requiring transfusion of 0.4%-7.1% (Teo, Lee &amp; Ho 2017).</w:t>
      </w:r>
    </w:p>
    <w:p w14:paraId="3CD01482" w14:textId="0B10DA8D" w:rsidR="00D4501D" w:rsidRPr="000537B0" w:rsidRDefault="00D4501D" w:rsidP="00C11BBE">
      <w:pPr>
        <w:spacing w:before="240"/>
      </w:pPr>
      <w:r w:rsidRPr="000537B0">
        <w:t>Bipolar TURP, although less frequently practised in Australia, was introduced as an alternative to help reduce side effect</w:t>
      </w:r>
      <w:r w:rsidR="007A0856">
        <w:t>s</w:t>
      </w:r>
      <w:r w:rsidRPr="000537B0">
        <w:t xml:space="preserve"> of M-TURP. It induces tissue disintegration through molecular dissociation with a high frequency energy. One advantage of the technique is that is can be used with saline irrigation. Placement of active and return electrodes mean high current densities are local and thermal damage to surrounding tissue is reduced. Although trial outcomes have been mixed, it is possible that blood loss is likely to be smaller with B-TURP compared to M-TURP (EAU 2016</w:t>
      </w:r>
      <w:r>
        <w:rPr>
          <w:rStyle w:val="FootnoteReference"/>
        </w:rPr>
        <w:footnoteReference w:id="3"/>
      </w:r>
      <w:r w:rsidRPr="000537B0">
        <w:t>; Teo, Lee &amp; Ho 2017).</w:t>
      </w:r>
    </w:p>
    <w:p w14:paraId="0B98BDF9" w14:textId="57163956" w:rsidR="00D4501D" w:rsidRPr="000537B0" w:rsidRDefault="00D4501D" w:rsidP="00C11BBE">
      <w:pPr>
        <w:spacing w:before="240"/>
      </w:pPr>
      <w:r w:rsidRPr="000537B0">
        <w:t>TURP syndrome is a serious complication which can occur with TURP. It is thought to be caused by the use of irrigation fluids of lower osmolality than serum during the procedure. Perforation of capsular veins and sinuses may occur as a result. TURP syndrome is characterised by mental confusion, nausea, vomiting, hypertension and bradycardia, and can lead to cerebral oedema and sometimes death. Preventative measures should be taken to avoid this side effect.</w:t>
      </w:r>
    </w:p>
    <w:p w14:paraId="4B908F7E" w14:textId="04AD9BD9" w:rsidR="00D4501D" w:rsidRDefault="00D4501D" w:rsidP="00C11BBE">
      <w:pPr>
        <w:spacing w:before="240"/>
      </w:pPr>
      <w:r w:rsidRPr="000537B0">
        <w:t>TURP can provide a sample of prostatic tissue for histology analysis, which occasionally identifies tumour cells.</w:t>
      </w:r>
    </w:p>
    <w:p w14:paraId="6D8E6B87" w14:textId="6EB4B957" w:rsidR="00D4501D" w:rsidRDefault="00D4501D" w:rsidP="00C11BBE">
      <w:pPr>
        <w:spacing w:before="240"/>
      </w:pPr>
      <w:r>
        <w:t>The commentary considered TURP an appropriate main comparator for patients who are fit enough to undergo a general or spinal anaesthesia, and able to discontinue antiplatelet o</w:t>
      </w:r>
      <w:r w:rsidR="00C11BBE">
        <w:t>r anticoagulation medications.</w:t>
      </w:r>
    </w:p>
    <w:p w14:paraId="626883E4" w14:textId="32AEF20C" w:rsidR="00D4501D" w:rsidRDefault="00D4501D" w:rsidP="00C11BBE">
      <w:pPr>
        <w:spacing w:before="240" w:after="240"/>
        <w:jc w:val="both"/>
      </w:pPr>
      <w:r w:rsidRPr="00183E4D">
        <w:t xml:space="preserve">The MBS item descriptor for </w:t>
      </w:r>
      <w:r>
        <w:t>TURP</w:t>
      </w:r>
      <w:r w:rsidRPr="00183E4D">
        <w:t xml:space="preserve"> is</w:t>
      </w:r>
      <w:r>
        <w:t xml:space="preserve"> shown in </w:t>
      </w:r>
      <w:r>
        <w:fldChar w:fldCharType="begin"/>
      </w:r>
      <w:r>
        <w:instrText xml:space="preserve"> REF _Ref40977722 \h </w:instrText>
      </w:r>
      <w:r>
        <w:fldChar w:fldCharType="separate"/>
      </w:r>
      <w:r>
        <w:t xml:space="preserve">Table </w:t>
      </w:r>
      <w:r>
        <w:rPr>
          <w:noProof/>
        </w:rPr>
        <w:t>3</w:t>
      </w:r>
      <w:r>
        <w:fldChar w:fldCharType="end"/>
      </w:r>
      <w:r w:rsidRPr="00183E4D">
        <w:t>.</w:t>
      </w:r>
    </w:p>
    <w:p w14:paraId="5E98BC1C" w14:textId="4C64D236" w:rsidR="00D4501D" w:rsidRPr="00D863C8" w:rsidRDefault="00D4501D" w:rsidP="00D863C8">
      <w:pPr>
        <w:rPr>
          <w:rFonts w:ascii="Arial Narrow" w:hAnsi="Arial Narrow"/>
          <w:b/>
          <w:sz w:val="20"/>
        </w:rPr>
      </w:pPr>
      <w:bookmarkStart w:id="10" w:name="_Ref40977722"/>
      <w:bookmarkStart w:id="11" w:name="_Ref350151231"/>
      <w:bookmarkStart w:id="12" w:name="_Toc350258536"/>
      <w:bookmarkStart w:id="13" w:name="_Toc381969860"/>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003636DE" w:rsidRPr="00D863C8">
        <w:rPr>
          <w:rFonts w:ascii="Arial Narrow" w:hAnsi="Arial Narrow"/>
          <w:b/>
          <w:sz w:val="20"/>
        </w:rPr>
        <w:t>3</w:t>
      </w:r>
      <w:r w:rsidR="00C11BBE" w:rsidRPr="00D863C8">
        <w:rPr>
          <w:rFonts w:ascii="Arial Narrow" w:hAnsi="Arial Narrow"/>
          <w:b/>
          <w:sz w:val="20"/>
        </w:rPr>
        <w:fldChar w:fldCharType="end"/>
      </w:r>
      <w:bookmarkEnd w:id="10"/>
      <w:r w:rsidRPr="00D863C8">
        <w:rPr>
          <w:rFonts w:ascii="Arial Narrow" w:hAnsi="Arial Narrow"/>
          <w:b/>
          <w:sz w:val="20"/>
        </w:rPr>
        <w:t xml:space="preserve"> Relevant MBS item for the </w:t>
      </w:r>
      <w:bookmarkEnd w:id="11"/>
      <w:bookmarkEnd w:id="12"/>
      <w:r w:rsidRPr="00D863C8">
        <w:rPr>
          <w:rFonts w:ascii="Arial Narrow" w:hAnsi="Arial Narrow"/>
          <w:b/>
          <w:sz w:val="20"/>
        </w:rPr>
        <w:t>comparator</w:t>
      </w:r>
      <w:bookmarkEnd w:id="13"/>
      <w:r w:rsidRPr="00D863C8">
        <w:rPr>
          <w:rFonts w:ascii="Arial Narrow" w:hAnsi="Arial Narrow"/>
          <w:b/>
          <w:sz w:val="20"/>
        </w:rPr>
        <w:t>, TURP</w:t>
      </w:r>
    </w:p>
    <w:tbl>
      <w:tblPr>
        <w:tblStyle w:val="TableGrid1"/>
        <w:tblW w:w="0" w:type="auto"/>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9016"/>
      </w:tblGrid>
      <w:tr w:rsidR="00D4501D" w:rsidRPr="000537B0" w14:paraId="47421FCB" w14:textId="77777777" w:rsidTr="00D863C8">
        <w:trPr>
          <w:cnfStyle w:val="100000000000" w:firstRow="1" w:lastRow="0" w:firstColumn="0" w:lastColumn="0" w:oddVBand="0" w:evenVBand="0" w:oddHBand="0" w:evenHBand="0" w:firstRowFirstColumn="0" w:firstRowLastColumn="0" w:lastRowFirstColumn="0" w:lastRowLastColumn="0"/>
          <w:trHeight w:val="335"/>
          <w:tblHeader/>
        </w:trPr>
        <w:tc>
          <w:tcPr>
            <w:tcW w:w="9072" w:type="dxa"/>
          </w:tcPr>
          <w:p w14:paraId="247568CC" w14:textId="77777777" w:rsidR="00D4501D" w:rsidRPr="00EA713E" w:rsidRDefault="00D4501D" w:rsidP="00D4501D">
            <w:pPr>
              <w:pStyle w:val="Tabletext"/>
            </w:pPr>
            <w:r w:rsidRPr="00EA713E">
              <w:t>Category 3 – Therapeutic Procedures</w:t>
            </w:r>
          </w:p>
        </w:tc>
      </w:tr>
      <w:tr w:rsidR="00D4501D" w:rsidRPr="000537B0" w14:paraId="37F0A16E" w14:textId="77777777" w:rsidTr="00D863C8">
        <w:tc>
          <w:tcPr>
            <w:tcW w:w="9072" w:type="dxa"/>
          </w:tcPr>
          <w:p w14:paraId="4ECA85BD" w14:textId="77777777" w:rsidR="00D4501D" w:rsidRPr="00EA713E" w:rsidRDefault="00D4501D" w:rsidP="00D4501D">
            <w:pPr>
              <w:pStyle w:val="Tabletext"/>
            </w:pPr>
            <w:r w:rsidRPr="00EA713E">
              <w:t>MBS Item 37203</w:t>
            </w:r>
          </w:p>
          <w:p w14:paraId="4A797914" w14:textId="77777777" w:rsidR="00D4501D" w:rsidRPr="00EA713E" w:rsidRDefault="00D4501D" w:rsidP="00D4501D">
            <w:pPr>
              <w:pStyle w:val="Tabletext"/>
            </w:pPr>
            <w:r w:rsidRPr="00EA713E">
              <w:t>PROSTATECTOMY (endoscopic, using diathermy or cold punch), with or without cystoscopy and with or without urethroscopy, and including services to which item 36854, 37201, 37202, 37207, 37208, 37245, 37303, 37321 or 37324 applies</w:t>
            </w:r>
          </w:p>
          <w:p w14:paraId="3126D0CE" w14:textId="77777777" w:rsidR="00D4501D" w:rsidRPr="00EA713E" w:rsidRDefault="00D4501D" w:rsidP="00D4501D">
            <w:pPr>
              <w:pStyle w:val="Tabletext"/>
            </w:pPr>
            <w:r w:rsidRPr="00EA713E">
              <w:t>Multiple Operation Rule</w:t>
            </w:r>
          </w:p>
          <w:p w14:paraId="39252ED3" w14:textId="77777777" w:rsidR="00D4501D" w:rsidRPr="00EA713E" w:rsidRDefault="00D4501D" w:rsidP="00D4501D">
            <w:pPr>
              <w:pStyle w:val="Tabletext"/>
            </w:pPr>
            <w:r w:rsidRPr="00EA713E">
              <w:t>(Anaes.)</w:t>
            </w:r>
          </w:p>
          <w:p w14:paraId="62823323" w14:textId="77777777" w:rsidR="00D4501D" w:rsidRPr="00EA713E" w:rsidRDefault="00D4501D" w:rsidP="00D4501D">
            <w:pPr>
              <w:pStyle w:val="Tabletext"/>
            </w:pPr>
            <w:r w:rsidRPr="00EA713E">
              <w:t>Fee: $1,058.80 Benefit: 75% = $794.10</w:t>
            </w:r>
          </w:p>
        </w:tc>
      </w:tr>
    </w:tbl>
    <w:p w14:paraId="7D6000A1" w14:textId="006495DE" w:rsidR="00D4501D" w:rsidRDefault="00D4501D" w:rsidP="00C11BBE">
      <w:pPr>
        <w:pStyle w:val="Tablenotes"/>
      </w:pPr>
      <w:r>
        <w:t>Source: Table 14, p27 of the ADAR.</w:t>
      </w:r>
    </w:p>
    <w:p w14:paraId="67051E71" w14:textId="77777777" w:rsidR="00D4501D" w:rsidRPr="00D863C8" w:rsidRDefault="00D4501D" w:rsidP="00D863C8">
      <w:pPr>
        <w:rPr>
          <w:u w:val="single"/>
        </w:rPr>
      </w:pPr>
      <w:r w:rsidRPr="00D863C8">
        <w:rPr>
          <w:u w:val="single"/>
        </w:rPr>
        <w:t>VLAP</w:t>
      </w:r>
    </w:p>
    <w:p w14:paraId="6ECF5BFF" w14:textId="48F12E84" w:rsidR="00D4501D" w:rsidRDefault="00D4501D" w:rsidP="00D4501D">
      <w:r>
        <w:t xml:space="preserve">The MSAC Executive specifically requested that </w:t>
      </w:r>
      <w:r w:rsidRPr="005506D3">
        <w:t>this application include VLAP as an alternative comparator.</w:t>
      </w:r>
      <w:r>
        <w:t xml:space="preserve">  An application for a fee increase to the same level as TURP for VLAP was recently recommended by MSAC (</w:t>
      </w:r>
      <w:hyperlink r:id="rId13" w:history="1">
        <w:r w:rsidRPr="00CF3440">
          <w:rPr>
            <w:rStyle w:val="Hyperlink"/>
          </w:rPr>
          <w:t>Application 1518</w:t>
        </w:r>
      </w:hyperlink>
      <w:r>
        <w:t>).</w:t>
      </w:r>
    </w:p>
    <w:p w14:paraId="0EBE496A" w14:textId="57B8E5FB" w:rsidR="00D4501D" w:rsidRDefault="00D4501D" w:rsidP="00C11BBE">
      <w:pPr>
        <w:spacing w:before="240"/>
      </w:pPr>
      <w:r>
        <w:t>V</w:t>
      </w:r>
      <w:r w:rsidRPr="00EE47CB">
        <w:t>LAP</w:t>
      </w:r>
      <w:r>
        <w:t>,</w:t>
      </w:r>
      <w:r w:rsidRPr="00EE47CB">
        <w:t xml:space="preserve"> also called photoselectiv</w:t>
      </w:r>
      <w:r>
        <w:t>e vaporisation of the prostate (</w:t>
      </w:r>
      <w:r w:rsidRPr="00EE47CB">
        <w:t>PVP)</w:t>
      </w:r>
      <w:r w:rsidR="001D312B">
        <w:t>,</w:t>
      </w:r>
      <w:r w:rsidRPr="00EE47CB">
        <w:t xml:space="preserve"> can be performed using a number of laser systems which have the capability of being focused and selectively coagulating or vaporising prostate tissue. The laser systems use a side-firing technique and can be used with an endoscope through the urethra. Ablation of the prostate by VLAP is practised in Australia on enlarged prostates of any size.</w:t>
      </w:r>
    </w:p>
    <w:p w14:paraId="351314EA" w14:textId="77777777" w:rsidR="00D4501D" w:rsidRDefault="00D4501D" w:rsidP="00C11BBE">
      <w:pPr>
        <w:spacing w:before="240"/>
        <w:jc w:val="both"/>
      </w:pPr>
      <w:r w:rsidRPr="00EE47CB">
        <w:t>VLAP is not a treatment for prostate cancer, and if a malignancy is suspected, a biopsy of the prostate is conducted as a separate procedure to VLAP.</w:t>
      </w:r>
    </w:p>
    <w:p w14:paraId="4F304219" w14:textId="7FF1560A" w:rsidR="00D4501D" w:rsidRDefault="00D4501D" w:rsidP="00C11BBE">
      <w:pPr>
        <w:spacing w:after="240"/>
        <w:jc w:val="both"/>
      </w:pPr>
      <w:r w:rsidRPr="00183E4D">
        <w:lastRenderedPageBreak/>
        <w:t xml:space="preserve">The MBS item descriptor for </w:t>
      </w:r>
      <w:r>
        <w:t>VLAP</w:t>
      </w:r>
      <w:r w:rsidRPr="00183E4D">
        <w:t xml:space="preserve"> is</w:t>
      </w:r>
      <w:r>
        <w:t xml:space="preserve"> shown in </w:t>
      </w:r>
      <w:r>
        <w:fldChar w:fldCharType="begin"/>
      </w:r>
      <w:r>
        <w:instrText xml:space="preserve"> REF _Ref40977761 \h </w:instrText>
      </w:r>
      <w:r>
        <w:fldChar w:fldCharType="separate"/>
      </w:r>
      <w:r>
        <w:t xml:space="preserve">Table </w:t>
      </w:r>
      <w:r>
        <w:rPr>
          <w:noProof/>
        </w:rPr>
        <w:t>4</w:t>
      </w:r>
      <w:r>
        <w:fldChar w:fldCharType="end"/>
      </w:r>
      <w:r w:rsidRPr="00183E4D">
        <w:t>.</w:t>
      </w:r>
    </w:p>
    <w:p w14:paraId="0964958C" w14:textId="69071983" w:rsidR="00D4501D" w:rsidRPr="00D863C8" w:rsidRDefault="00D4501D" w:rsidP="00D863C8">
      <w:pPr>
        <w:rPr>
          <w:rFonts w:ascii="Arial Narrow" w:hAnsi="Arial Narrow"/>
          <w:b/>
          <w:sz w:val="20"/>
        </w:rPr>
      </w:pPr>
      <w:bookmarkStart w:id="14" w:name="_Ref40977761"/>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00D863C8" w:rsidRPr="00D863C8">
        <w:rPr>
          <w:rFonts w:ascii="Arial Narrow" w:hAnsi="Arial Narrow"/>
          <w:b/>
          <w:sz w:val="20"/>
        </w:rPr>
        <w:t>4</w:t>
      </w:r>
      <w:r w:rsidR="00C11BBE" w:rsidRPr="00D863C8">
        <w:rPr>
          <w:rFonts w:ascii="Arial Narrow" w:hAnsi="Arial Narrow"/>
          <w:b/>
          <w:sz w:val="20"/>
        </w:rPr>
        <w:fldChar w:fldCharType="end"/>
      </w:r>
      <w:bookmarkEnd w:id="14"/>
      <w:r w:rsidRPr="00D863C8">
        <w:rPr>
          <w:rFonts w:ascii="Arial Narrow" w:hAnsi="Arial Narrow"/>
          <w:b/>
          <w:sz w:val="20"/>
        </w:rPr>
        <w:t xml:space="preserve"> Relevant MBS item for the alternative comparator, VLAP</w:t>
      </w:r>
    </w:p>
    <w:tbl>
      <w:tblPr>
        <w:tblStyle w:val="TableGrid1"/>
        <w:tblW w:w="0" w:type="auto"/>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9016"/>
      </w:tblGrid>
      <w:tr w:rsidR="00D4501D" w:rsidRPr="00265ACA" w14:paraId="43F89E58" w14:textId="77777777" w:rsidTr="00D863C8">
        <w:trPr>
          <w:cnfStyle w:val="100000000000" w:firstRow="1" w:lastRow="0" w:firstColumn="0" w:lastColumn="0" w:oddVBand="0" w:evenVBand="0" w:oddHBand="0" w:evenHBand="0" w:firstRowFirstColumn="0" w:firstRowLastColumn="0" w:lastRowFirstColumn="0" w:lastRowLastColumn="0"/>
          <w:trHeight w:val="335"/>
          <w:tblHeader/>
        </w:trPr>
        <w:tc>
          <w:tcPr>
            <w:tcW w:w="9072" w:type="dxa"/>
          </w:tcPr>
          <w:p w14:paraId="72C9D4E1" w14:textId="77777777" w:rsidR="00D4501D" w:rsidRPr="00265ACA" w:rsidRDefault="00D4501D" w:rsidP="00D4501D">
            <w:pPr>
              <w:pStyle w:val="Tabletext"/>
            </w:pPr>
            <w:r w:rsidRPr="00265ACA">
              <w:t>Category 3 – Therapeutic Procedures</w:t>
            </w:r>
          </w:p>
        </w:tc>
      </w:tr>
      <w:tr w:rsidR="00D4501D" w:rsidRPr="00265ACA" w14:paraId="2F01B5C6" w14:textId="77777777" w:rsidTr="00D863C8">
        <w:tc>
          <w:tcPr>
            <w:tcW w:w="9072" w:type="dxa"/>
          </w:tcPr>
          <w:p w14:paraId="33DF714F" w14:textId="77777777" w:rsidR="00D4501D" w:rsidRPr="0086735C" w:rsidRDefault="00D4501D" w:rsidP="00D4501D">
            <w:pPr>
              <w:pStyle w:val="Tabletext"/>
            </w:pPr>
            <w:r>
              <w:t xml:space="preserve">MBS Item </w:t>
            </w:r>
            <w:r w:rsidRPr="0086735C">
              <w:t>37207</w:t>
            </w:r>
          </w:p>
          <w:p w14:paraId="1E0AA749" w14:textId="77777777" w:rsidR="00D4501D" w:rsidRPr="0086735C" w:rsidRDefault="00D4501D" w:rsidP="00D4501D">
            <w:pPr>
              <w:pStyle w:val="Tabletext"/>
            </w:pPr>
            <w:r w:rsidRPr="0086735C">
              <w:t xml:space="preserve">PROSTATE, endoscopic non-contact (side firing) visual laser ablation, with or without cystoscopy and with or without urethroscopy, and including services to which items 36854, 37201, 37202, 37203, 37206, 37245, 37321 or 37324 applies </w:t>
            </w:r>
          </w:p>
          <w:p w14:paraId="19C06F38" w14:textId="77777777" w:rsidR="00D4501D" w:rsidRPr="0086735C" w:rsidRDefault="00D4501D" w:rsidP="00D4501D">
            <w:pPr>
              <w:pStyle w:val="Tabletext"/>
              <w:rPr>
                <w:i/>
              </w:rPr>
            </w:pPr>
            <w:r w:rsidRPr="0086735C">
              <w:rPr>
                <w:i/>
              </w:rPr>
              <w:t>Multiple services rule</w:t>
            </w:r>
          </w:p>
          <w:p w14:paraId="067766B4" w14:textId="77777777" w:rsidR="00D4501D" w:rsidRPr="0086735C" w:rsidRDefault="00D4501D" w:rsidP="00D4501D">
            <w:pPr>
              <w:pStyle w:val="Tabletext"/>
            </w:pPr>
            <w:r w:rsidRPr="0086735C">
              <w:t>(Anaes.)</w:t>
            </w:r>
          </w:p>
          <w:p w14:paraId="2DABB313" w14:textId="77777777" w:rsidR="00D4501D" w:rsidRPr="00265ACA" w:rsidRDefault="00D4501D" w:rsidP="00D4501D">
            <w:pPr>
              <w:pStyle w:val="Tabletext"/>
            </w:pPr>
            <w:r w:rsidRPr="00265ACA">
              <w:t>Fee: $1,058.80 Benefit: 75% = $794.10</w:t>
            </w:r>
          </w:p>
        </w:tc>
      </w:tr>
    </w:tbl>
    <w:p w14:paraId="7A7EBCD8" w14:textId="1DD363A8" w:rsidR="00D4501D" w:rsidRDefault="00D4501D" w:rsidP="00C11BBE">
      <w:pPr>
        <w:pStyle w:val="Tablenotes"/>
      </w:pPr>
      <w:r>
        <w:t>Source: Table 15, p27 of the ADAR.</w:t>
      </w:r>
    </w:p>
    <w:p w14:paraId="6B1FB190" w14:textId="77777777" w:rsidR="00D4501D" w:rsidRPr="00D863C8" w:rsidRDefault="00D4501D" w:rsidP="00D863C8">
      <w:pPr>
        <w:rPr>
          <w:u w:val="single"/>
        </w:rPr>
      </w:pPr>
      <w:r w:rsidRPr="00D863C8">
        <w:rPr>
          <w:u w:val="single"/>
        </w:rPr>
        <w:t>Additional comparators</w:t>
      </w:r>
    </w:p>
    <w:p w14:paraId="265777CF" w14:textId="5EC9A5D2" w:rsidR="00D4501D" w:rsidRPr="00340814" w:rsidRDefault="00D4501D" w:rsidP="00D4501D">
      <w:r>
        <w:t xml:space="preserve">The commentary noted that in patients who cannot tolerate general or spinal anaesthesia, transurethral microwave thermotherapy (TUMT; MBS item 37230, fee $1,058.80) or TUWA (for which MBS claims are currently being accepted under MBS item 37201 for </w:t>
      </w:r>
      <w:r w:rsidRPr="00317895">
        <w:t xml:space="preserve">transurethral radio-frequency needle ablation </w:t>
      </w:r>
      <w:r>
        <w:t xml:space="preserve">(TUNA), fee $842.10) may be used. The clinical management algorithm shown in </w:t>
      </w:r>
      <w:r>
        <w:fldChar w:fldCharType="begin"/>
      </w:r>
      <w:r>
        <w:instrText xml:space="preserve"> REF _Ref40849955 \h </w:instrText>
      </w:r>
      <w:r>
        <w:fldChar w:fldCharType="separate"/>
      </w:r>
      <w:r>
        <w:t xml:space="preserve">Figure </w:t>
      </w:r>
      <w:r>
        <w:rPr>
          <w:noProof/>
        </w:rPr>
        <w:t>2</w:t>
      </w:r>
      <w:r>
        <w:fldChar w:fldCharType="end"/>
      </w:r>
      <w:r>
        <w:t xml:space="preserve"> in section 6 shows that these would be appropriate comparators to PUL for this subpopulation. TUNA is also listed for use in patients who are not medically fit for TURP (MBS item 37201, fee $842.10). For the broader population of patients with BPH, the TUMT and TUNA procedures are not considered best practice in Australia, and are rarely used (PICO confirmation for </w:t>
      </w:r>
      <w:hyperlink r:id="rId14" w:history="1">
        <w:r w:rsidRPr="00CF3440">
          <w:rPr>
            <w:rStyle w:val="Hyperlink"/>
          </w:rPr>
          <w:t>MSAC application 1518</w:t>
        </w:r>
      </w:hyperlink>
      <w:r>
        <w:t xml:space="preserve">).  </w:t>
      </w:r>
    </w:p>
    <w:p w14:paraId="049C0D61" w14:textId="2198E93E" w:rsidR="00D4501D" w:rsidRPr="000537B0" w:rsidRDefault="00D4501D" w:rsidP="00C11BBE">
      <w:pPr>
        <w:spacing w:before="240"/>
      </w:pPr>
      <w:r w:rsidRPr="000537B0">
        <w:t xml:space="preserve">Other minimally invasive techniques for treating BPH exist, but have not been able to use pre-existing MBS items. Given the lack of MBS items, it </w:t>
      </w:r>
      <w:r>
        <w:t>may be</w:t>
      </w:r>
      <w:r w:rsidRPr="000537B0">
        <w:t xml:space="preserve"> appropriate that they weren’t considered comparators</w:t>
      </w:r>
      <w:r>
        <w:t xml:space="preserve"> for this application</w:t>
      </w:r>
      <w:r w:rsidRPr="000537B0">
        <w:t xml:space="preserve">. </w:t>
      </w:r>
    </w:p>
    <w:p w14:paraId="71B9F928" w14:textId="77777777" w:rsidR="00BC1364" w:rsidRPr="00F715D1" w:rsidRDefault="00BC1364" w:rsidP="00F715D1">
      <w:pPr>
        <w:pStyle w:val="Heading1"/>
      </w:pPr>
      <w:r w:rsidRPr="00F715D1">
        <w:t>Comparative safety</w:t>
      </w:r>
    </w:p>
    <w:p w14:paraId="226E9B88" w14:textId="5176207B" w:rsidR="00D4501D" w:rsidRDefault="00D4501D" w:rsidP="00D4501D">
      <w:r>
        <w:t>The ADAR included 13 citations that reported on two comparative clinical trials (BPH6</w:t>
      </w:r>
      <w:r w:rsidRPr="007713F3">
        <w:rPr>
          <w:rStyle w:val="FootnoteReference"/>
        </w:rPr>
        <w:footnoteReference w:id="4"/>
      </w:r>
      <w:r>
        <w:t xml:space="preserve"> and L.I.F.T</w:t>
      </w:r>
      <w:r>
        <w:rPr>
          <w:rStyle w:val="FootnoteReference"/>
        </w:rPr>
        <w:footnoteReference w:id="5"/>
      </w:r>
      <w:r>
        <w:t xml:space="preserve"> studies) and four non-comparative studies relevant to PUL. The BPH6 study directly compared PUL </w:t>
      </w:r>
      <w:r w:rsidRPr="000537B0">
        <w:t>to the main comparator, TURP</w:t>
      </w:r>
      <w:r>
        <w:t>, while the L.I.F.T study compared PUL to a sham procedure</w:t>
      </w:r>
      <w:r w:rsidRPr="00D77A6C">
        <w:t xml:space="preserve">. </w:t>
      </w:r>
    </w:p>
    <w:p w14:paraId="36493D13" w14:textId="7AE7AEA3" w:rsidR="00D4501D" w:rsidRDefault="00D4501D" w:rsidP="00C11BBE">
      <w:pPr>
        <w:spacing w:before="240"/>
      </w:pPr>
      <w:r w:rsidRPr="00D4537A">
        <w:t>No clinical trials or case studies were identified</w:t>
      </w:r>
      <w:r>
        <w:t xml:space="preserve"> in the ADAR literature search</w:t>
      </w:r>
      <w:r w:rsidRPr="00D4537A">
        <w:t xml:space="preserve"> that directly compared PUL to VLAP. However, the ADAR included the GOLIATH</w:t>
      </w:r>
      <w:r w:rsidRPr="00D4537A">
        <w:rPr>
          <w:rStyle w:val="FootnoteReference"/>
        </w:rPr>
        <w:footnoteReference w:id="6"/>
      </w:r>
      <w:r w:rsidRPr="00D4537A">
        <w:t xml:space="preserve"> study</w:t>
      </w:r>
      <w:r>
        <w:t xml:space="preserve"> </w:t>
      </w:r>
      <w:r w:rsidRPr="00D4537A">
        <w:t>for the clinical comparison between VLAP and TURP</w:t>
      </w:r>
      <w:r w:rsidRPr="000537B0">
        <w:t xml:space="preserve">. </w:t>
      </w:r>
    </w:p>
    <w:p w14:paraId="32B8D91F" w14:textId="77777777" w:rsidR="00D4501D" w:rsidRDefault="00D4501D" w:rsidP="00C11BBE">
      <w:pPr>
        <w:spacing w:before="240"/>
      </w:pPr>
      <w:r>
        <w:t>The commentary noted that d</w:t>
      </w:r>
      <w:r w:rsidRPr="000537B0">
        <w:t xml:space="preserve">espite 13 citations being listed as ‘included’, only the results of a single trial (from two articles) were provided on the comparison of PUL and TURP. The justification for restricting the evidence to randomised trials was not provided. </w:t>
      </w:r>
      <w:r>
        <w:t xml:space="preserve">No information was provided on how PUL compares against other minimally invasive techniques in patients not eligible for TURP (those who cannot tolerate anaesthesia or stop anticoagulants or antiplatelet medication). </w:t>
      </w:r>
    </w:p>
    <w:p w14:paraId="51A0FF5D" w14:textId="2AE9DFD4" w:rsidR="00D4501D" w:rsidRDefault="00D4501D" w:rsidP="00D4501D">
      <w:r>
        <w:lastRenderedPageBreak/>
        <w:t>The commentary also noted that the GOLIATH study</w:t>
      </w:r>
      <w:r w:rsidRPr="000537B0">
        <w:t xml:space="preserve"> was not retrieved as part of the ADAR </w:t>
      </w:r>
      <w:r>
        <w:t xml:space="preserve">literature </w:t>
      </w:r>
      <w:r w:rsidRPr="000537B0">
        <w:t>search. It is unclear how this paper was retrieved.</w:t>
      </w:r>
    </w:p>
    <w:p w14:paraId="239499F6" w14:textId="2D2DDB09" w:rsidR="00D4501D" w:rsidRDefault="00D4501D" w:rsidP="00C11BBE">
      <w:pPr>
        <w:spacing w:before="240"/>
      </w:pPr>
      <w:r>
        <w:t xml:space="preserve">The pre-ESC response clarified that </w:t>
      </w:r>
      <w:r w:rsidRPr="000120B3">
        <w:t>the BPH6 study</w:t>
      </w:r>
      <w:r w:rsidR="00CF3440">
        <w:t xml:space="preserve"> (two citations)</w:t>
      </w:r>
      <w:r w:rsidRPr="000120B3">
        <w:t xml:space="preserve"> is the only study that directly compared PUL to TURP.  The other eleven studies were mainly used to support the economic/financial evaluation.</w:t>
      </w:r>
      <w:r>
        <w:t xml:space="preserve"> The applicant also provided the</w:t>
      </w:r>
      <w:r w:rsidRPr="00C2612A">
        <w:t xml:space="preserve"> abstract </w:t>
      </w:r>
      <w:r>
        <w:t>of Patel et al (2019)</w:t>
      </w:r>
      <w:r>
        <w:rPr>
          <w:rStyle w:val="FootnoteReference"/>
        </w:rPr>
        <w:footnoteReference w:id="7"/>
      </w:r>
      <w:r>
        <w:t xml:space="preserve"> which reviewed</w:t>
      </w:r>
      <w:r w:rsidRPr="00C2612A">
        <w:t xml:space="preserve"> the Manufacturer and User Facility Device Experience Database. T</w:t>
      </w:r>
      <w:r>
        <w:t>he applicant stated that this</w:t>
      </w:r>
      <w:r w:rsidRPr="00C2612A">
        <w:t xml:space="preserve"> paper concluded that ‘each BPH modality investigated (TURP, PUL, HoLEP, VLAP) had minimal patient harm with over 99% of patients experiencing no complicat</w:t>
      </w:r>
      <w:r w:rsidR="00C11BBE">
        <w:t>ion after device malfunction’.</w:t>
      </w:r>
    </w:p>
    <w:p w14:paraId="16E338CD" w14:textId="77777777" w:rsidR="00D4501D" w:rsidRPr="00D863C8" w:rsidRDefault="00D4501D" w:rsidP="00D863C8">
      <w:pPr>
        <w:spacing w:before="240"/>
        <w:rPr>
          <w:u w:val="single"/>
        </w:rPr>
      </w:pPr>
      <w:r w:rsidRPr="00D863C8">
        <w:rPr>
          <w:u w:val="single"/>
        </w:rPr>
        <w:t>PUL versus TURP</w:t>
      </w:r>
    </w:p>
    <w:p w14:paraId="2606E06C" w14:textId="77777777" w:rsidR="00D4501D" w:rsidRDefault="00D4501D" w:rsidP="00D4501D">
      <w:pPr>
        <w:jc w:val="both"/>
      </w:pPr>
      <w:r w:rsidRPr="000537B0">
        <w:t xml:space="preserve">The main evidence for </w:t>
      </w:r>
      <w:r>
        <w:t>the comparison of safety between PUL (n=45) and TURP (n=35)</w:t>
      </w:r>
      <w:r w:rsidRPr="000537B0">
        <w:t xml:space="preserve"> </w:t>
      </w:r>
      <w:r>
        <w:t>came</w:t>
      </w:r>
      <w:r w:rsidRPr="000537B0">
        <w:t xml:space="preserve"> from the BPH6 s</w:t>
      </w:r>
      <w:r>
        <w:t xml:space="preserve">tudy which was reported at 12 and 24 months (shown in </w:t>
      </w:r>
      <w:r>
        <w:fldChar w:fldCharType="begin"/>
      </w:r>
      <w:r>
        <w:instrText xml:space="preserve"> REF _Ref40870706 \h </w:instrText>
      </w:r>
      <w:r>
        <w:fldChar w:fldCharType="separate"/>
      </w:r>
      <w:r>
        <w:t xml:space="preserve">Table </w:t>
      </w:r>
      <w:r>
        <w:rPr>
          <w:noProof/>
        </w:rPr>
        <w:t>5</w:t>
      </w:r>
      <w:r>
        <w:fldChar w:fldCharType="end"/>
      </w:r>
      <w:r>
        <w:t xml:space="preserve">). </w:t>
      </w:r>
      <w:r w:rsidRPr="000537B0">
        <w:t xml:space="preserve">Although the </w:t>
      </w:r>
      <w:r>
        <w:t xml:space="preserve">BPH6 </w:t>
      </w:r>
      <w:r w:rsidRPr="000537B0">
        <w:t xml:space="preserve">study was randomised, ten patients randomised to the TURP arm declined treatment.  This study was not blinded and the outcome </w:t>
      </w:r>
      <w:r>
        <w:t>measure was a composite endpoint made up of:</w:t>
      </w:r>
    </w:p>
    <w:p w14:paraId="70DC61CD" w14:textId="77777777" w:rsidR="00D4501D" w:rsidRDefault="00D4501D" w:rsidP="00B34F48">
      <w:pPr>
        <w:pStyle w:val="ListParagraph"/>
        <w:numPr>
          <w:ilvl w:val="0"/>
          <w:numId w:val="3"/>
        </w:numPr>
        <w:ind w:left="714" w:hanging="357"/>
        <w:jc w:val="both"/>
      </w:pPr>
      <w:r>
        <w:t>LUTS relief – reduction of ≥ 30% in IPSS at 12 months compared to baseline</w:t>
      </w:r>
    </w:p>
    <w:p w14:paraId="51A0FC1E" w14:textId="77777777" w:rsidR="00D4501D" w:rsidRDefault="00D4501D" w:rsidP="00B34F48">
      <w:pPr>
        <w:pStyle w:val="ListParagraph"/>
        <w:numPr>
          <w:ilvl w:val="0"/>
          <w:numId w:val="3"/>
        </w:numPr>
        <w:ind w:left="714" w:hanging="357"/>
        <w:jc w:val="both"/>
      </w:pPr>
      <w:r>
        <w:t>Recovery experience – QoR VAS ≥ 70 by 1 month</w:t>
      </w:r>
    </w:p>
    <w:p w14:paraId="27F4F479" w14:textId="77777777" w:rsidR="00D4501D" w:rsidRDefault="00D4501D" w:rsidP="00B34F48">
      <w:pPr>
        <w:pStyle w:val="ListParagraph"/>
        <w:numPr>
          <w:ilvl w:val="0"/>
          <w:numId w:val="3"/>
        </w:numPr>
        <w:ind w:left="714" w:hanging="357"/>
        <w:jc w:val="both"/>
      </w:pPr>
      <w:r>
        <w:t>Erectile function – reduction of ≤ 6 points for SHIM during 12 months follow-up</w:t>
      </w:r>
    </w:p>
    <w:p w14:paraId="7B539D2C" w14:textId="77777777" w:rsidR="00D4501D" w:rsidRDefault="00D4501D" w:rsidP="00B34F48">
      <w:pPr>
        <w:pStyle w:val="ListParagraph"/>
        <w:numPr>
          <w:ilvl w:val="0"/>
          <w:numId w:val="3"/>
        </w:numPr>
        <w:ind w:left="714" w:hanging="357"/>
        <w:jc w:val="both"/>
      </w:pPr>
      <w:r>
        <w:t>Ejaculation function – response to MSHQ-EjD</w:t>
      </w:r>
    </w:p>
    <w:p w14:paraId="51C18B4F" w14:textId="77777777" w:rsidR="00D4501D" w:rsidRDefault="00D4501D" w:rsidP="00B34F48">
      <w:pPr>
        <w:pStyle w:val="ListParagraph"/>
        <w:numPr>
          <w:ilvl w:val="0"/>
          <w:numId w:val="3"/>
        </w:numPr>
        <w:ind w:left="714" w:hanging="357"/>
        <w:jc w:val="both"/>
      </w:pPr>
      <w:r>
        <w:t>Continence preservation – ISI score of ≤4 points at all follow-up intervals</w:t>
      </w:r>
    </w:p>
    <w:p w14:paraId="655EA35B" w14:textId="0BF5147B" w:rsidR="00D4501D" w:rsidRDefault="00D4501D" w:rsidP="00C11BBE">
      <w:pPr>
        <w:pStyle w:val="ListParagraph"/>
        <w:numPr>
          <w:ilvl w:val="0"/>
          <w:numId w:val="3"/>
        </w:numPr>
        <w:ind w:left="714" w:hanging="357"/>
        <w:jc w:val="both"/>
      </w:pPr>
      <w:r>
        <w:t>Safety – no treatment adverse events &gt; grade 1 on the Clavien-Dindo classification system at any time during the procedure or follow-up.</w:t>
      </w:r>
    </w:p>
    <w:p w14:paraId="7919DF57" w14:textId="753BBE35" w:rsidR="00D4501D" w:rsidRDefault="00D4501D" w:rsidP="00C11BBE">
      <w:pPr>
        <w:spacing w:before="240"/>
      </w:pPr>
      <w:r>
        <w:t>I</w:t>
      </w:r>
      <w:r w:rsidRPr="00EC65A6">
        <w:t>n order to meet responder status, it was required that patients experienced no treatment</w:t>
      </w:r>
      <w:r w:rsidRPr="000537B0">
        <w:t>-related adverse event greater than grade I on the Clavien-Dindo classification system at any time during the procedure or follow up</w:t>
      </w:r>
      <w:r>
        <w:t>.</w:t>
      </w:r>
      <w:r w:rsidRPr="00EC65A6">
        <w:t xml:space="preserve"> </w:t>
      </w:r>
      <w:r w:rsidRPr="000537B0">
        <w:t>In the BHP6 study a threshold of grade II+ was selected to account for events that might significantly affect a patient’s postoperative course, such as those requiring surgery, endoscopy, radiology, or supranormal pharmacology. If a patient pursues secondary treatment, the failure to respond is captured in the effectiveness element (#1) and not the safety element (#6); the patient is therefore censored from the safety element analysis at all subsequent time points</w:t>
      </w:r>
      <w:r>
        <w:t>.</w:t>
      </w:r>
    </w:p>
    <w:p w14:paraId="5D5DDBD0" w14:textId="61FF1CCC" w:rsidR="00D4501D" w:rsidRPr="000537B0" w:rsidRDefault="00D4501D" w:rsidP="00C11BBE">
      <w:pPr>
        <w:spacing w:before="240"/>
      </w:pPr>
      <w:r>
        <w:t>The commentary noted that t</w:t>
      </w:r>
      <w:r w:rsidRPr="00340814">
        <w:t>he Clavien-Dindo c</w:t>
      </w:r>
      <w:r>
        <w:t>lassification system was</w:t>
      </w:r>
      <w:r w:rsidRPr="00340814">
        <w:t xml:space="preserve"> developed to assess surgical</w:t>
      </w:r>
      <w:r>
        <w:t xml:space="preserve"> complications</w:t>
      </w:r>
      <w:r w:rsidRPr="00340814">
        <w:t>, rather than prostheses-related adverse events. This may therefore bias the safety results in favour of PUL</w:t>
      </w:r>
      <w:r>
        <w:t xml:space="preserve"> (as prostheses-related adverse events are</w:t>
      </w:r>
      <w:r w:rsidR="00C11BBE">
        <w:t xml:space="preserve"> relevant to PUL but not TURP).</w:t>
      </w:r>
    </w:p>
    <w:p w14:paraId="54AC8A04" w14:textId="6EE9B89B" w:rsidR="00C11BBE" w:rsidRPr="008D65B5" w:rsidRDefault="00D4501D" w:rsidP="00C11BBE">
      <w:pPr>
        <w:spacing w:before="240" w:after="240"/>
      </w:pPr>
      <w:r>
        <w:t xml:space="preserve">The commentary noted that the safety of the procedures can be stratified as relating to function (e.g. ejaculation), surgery (e.g. post-operative complications), and prosthesis-related (e.g. device fragmentation). The BPH6 study only reported on the first two types of safety outcomes. </w:t>
      </w:r>
      <w:r w:rsidRPr="00F240DC">
        <w:t xml:space="preserve">Rates of </w:t>
      </w:r>
      <w:r>
        <w:t xml:space="preserve">most types of </w:t>
      </w:r>
      <w:r w:rsidRPr="00F240DC">
        <w:t xml:space="preserve">adverse events were </w:t>
      </w:r>
      <w:r>
        <w:t xml:space="preserve">non-significantly different between PUL and TURP, however, urinary incontinence and retrograde ejaculation were significantly more common in patients who underwent TURP than PUL. </w:t>
      </w:r>
      <w:r w:rsidRPr="008D65B5">
        <w:t>However, it is unknown how frequently prosthesis-related adverse events occur after PUL (this type of adverse event is not applicable to TURP).</w:t>
      </w:r>
      <w:bookmarkStart w:id="15" w:name="_Ref40870706"/>
      <w:r w:rsidR="00C11BBE" w:rsidRPr="008D65B5">
        <w:br w:type="page"/>
      </w:r>
    </w:p>
    <w:p w14:paraId="35A8EE56" w14:textId="6C35528B" w:rsidR="00D4501D" w:rsidRPr="00250EF2" w:rsidRDefault="00D4501D" w:rsidP="00250EF2">
      <w:pPr>
        <w:rPr>
          <w:rFonts w:ascii="Arial Narrow" w:hAnsi="Arial Narrow"/>
          <w:b/>
          <w:sz w:val="20"/>
        </w:rPr>
      </w:pPr>
      <w:r w:rsidRPr="00250EF2">
        <w:rPr>
          <w:rFonts w:ascii="Arial Narrow" w:hAnsi="Arial Narrow"/>
          <w:b/>
          <w:sz w:val="20"/>
        </w:rPr>
        <w:lastRenderedPageBreak/>
        <w:t xml:space="preserve">Table </w:t>
      </w:r>
      <w:r w:rsidR="00C11BBE" w:rsidRPr="00250EF2">
        <w:rPr>
          <w:rFonts w:ascii="Arial Narrow" w:hAnsi="Arial Narrow"/>
          <w:b/>
          <w:sz w:val="20"/>
        </w:rPr>
        <w:fldChar w:fldCharType="begin"/>
      </w:r>
      <w:r w:rsidR="00C11BBE" w:rsidRPr="00250EF2">
        <w:rPr>
          <w:rFonts w:ascii="Arial Narrow" w:hAnsi="Arial Narrow"/>
          <w:b/>
          <w:sz w:val="20"/>
        </w:rPr>
        <w:instrText xml:space="preserve"> SEQ Table \* ARABIC </w:instrText>
      </w:r>
      <w:r w:rsidR="00C11BBE" w:rsidRPr="00250EF2">
        <w:rPr>
          <w:rFonts w:ascii="Arial Narrow" w:hAnsi="Arial Narrow"/>
          <w:b/>
          <w:sz w:val="20"/>
        </w:rPr>
        <w:fldChar w:fldCharType="separate"/>
      </w:r>
      <w:r w:rsidR="003636DE" w:rsidRPr="00250EF2">
        <w:rPr>
          <w:rFonts w:ascii="Arial Narrow" w:hAnsi="Arial Narrow"/>
          <w:b/>
          <w:sz w:val="20"/>
        </w:rPr>
        <w:t>5</w:t>
      </w:r>
      <w:r w:rsidR="00C11BBE" w:rsidRPr="00250EF2">
        <w:rPr>
          <w:rFonts w:ascii="Arial Narrow" w:hAnsi="Arial Narrow"/>
          <w:b/>
          <w:sz w:val="20"/>
        </w:rPr>
        <w:fldChar w:fldCharType="end"/>
      </w:r>
      <w:bookmarkEnd w:id="15"/>
      <w:r w:rsidRPr="00250EF2">
        <w:rPr>
          <w:rFonts w:ascii="Arial Narrow" w:hAnsi="Arial Narrow"/>
          <w:b/>
          <w:sz w:val="20"/>
        </w:rPr>
        <w:t xml:space="preserve"> Key features of the included evidence (BPH6 study) comparing PUL with TURP</w:t>
      </w:r>
    </w:p>
    <w:tbl>
      <w:tblPr>
        <w:tblStyle w:val="TableGrid"/>
        <w:tblW w:w="9181" w:type="dxa"/>
        <w:tblLayout w:type="fixed"/>
        <w:tblLook w:val="04A0" w:firstRow="1" w:lastRow="0" w:firstColumn="1" w:lastColumn="0" w:noHBand="0" w:noVBand="1"/>
        <w:tblDescription w:val="5 Key features of the included evidence (BPH6 study) comparing PUL with TURP"/>
      </w:tblPr>
      <w:tblGrid>
        <w:gridCol w:w="1809"/>
        <w:gridCol w:w="3686"/>
        <w:gridCol w:w="3686"/>
      </w:tblGrid>
      <w:tr w:rsidR="00D4501D" w:rsidRPr="000537B0" w14:paraId="3DDDEABE" w14:textId="77777777" w:rsidTr="00D4501D">
        <w:trPr>
          <w:tblHeader/>
        </w:trPr>
        <w:tc>
          <w:tcPr>
            <w:tcW w:w="1809" w:type="dxa"/>
          </w:tcPr>
          <w:p w14:paraId="2CCC2586" w14:textId="77777777" w:rsidR="00D4501D" w:rsidRPr="000537B0" w:rsidRDefault="00D4501D" w:rsidP="00D4501D">
            <w:pPr>
              <w:pStyle w:val="Tabletextboldleft"/>
            </w:pPr>
            <w:r w:rsidRPr="000537B0">
              <w:t>Author</w:t>
            </w:r>
          </w:p>
        </w:tc>
        <w:tc>
          <w:tcPr>
            <w:tcW w:w="3686" w:type="dxa"/>
          </w:tcPr>
          <w:p w14:paraId="2EC84CB7" w14:textId="77777777" w:rsidR="00D4501D" w:rsidRPr="000537B0" w:rsidRDefault="00D4501D" w:rsidP="00D4501D">
            <w:pPr>
              <w:pStyle w:val="Tabletextboldleft"/>
            </w:pPr>
            <w:r w:rsidRPr="000537B0">
              <w:t>Sønksen et al</w:t>
            </w:r>
          </w:p>
        </w:tc>
        <w:tc>
          <w:tcPr>
            <w:tcW w:w="3686" w:type="dxa"/>
          </w:tcPr>
          <w:p w14:paraId="5533C373" w14:textId="77777777" w:rsidR="00D4501D" w:rsidRPr="000537B0" w:rsidRDefault="00D4501D" w:rsidP="00D4501D">
            <w:pPr>
              <w:pStyle w:val="Tabletextboldleft"/>
            </w:pPr>
            <w:r w:rsidRPr="000537B0">
              <w:t>Gratzke et al</w:t>
            </w:r>
          </w:p>
        </w:tc>
      </w:tr>
      <w:tr w:rsidR="00D4501D" w:rsidRPr="000537B0" w14:paraId="79C10576" w14:textId="77777777" w:rsidTr="00D4501D">
        <w:tc>
          <w:tcPr>
            <w:tcW w:w="1809" w:type="dxa"/>
          </w:tcPr>
          <w:p w14:paraId="05835E4F" w14:textId="77777777" w:rsidR="00D4501D" w:rsidRPr="00951C27" w:rsidRDefault="00D4501D" w:rsidP="00D4501D">
            <w:pPr>
              <w:pStyle w:val="Tabletext"/>
            </w:pPr>
            <w:r w:rsidRPr="00951C27">
              <w:t>PMID</w:t>
            </w:r>
          </w:p>
        </w:tc>
        <w:tc>
          <w:tcPr>
            <w:tcW w:w="3686" w:type="dxa"/>
          </w:tcPr>
          <w:p w14:paraId="1BC5A3AA" w14:textId="77777777" w:rsidR="00D4501D" w:rsidRPr="00951C27" w:rsidRDefault="00D4501D" w:rsidP="00D4501D">
            <w:pPr>
              <w:pStyle w:val="Tabletext"/>
            </w:pPr>
            <w:r w:rsidRPr="00951C27">
              <w:t>25937539</w:t>
            </w:r>
          </w:p>
        </w:tc>
        <w:tc>
          <w:tcPr>
            <w:tcW w:w="3686" w:type="dxa"/>
          </w:tcPr>
          <w:p w14:paraId="0824759F" w14:textId="77777777" w:rsidR="00D4501D" w:rsidRPr="00951C27" w:rsidRDefault="00D4501D" w:rsidP="00D4501D">
            <w:pPr>
              <w:pStyle w:val="Tabletext"/>
            </w:pPr>
            <w:r w:rsidRPr="00951C27">
              <w:t>27862831</w:t>
            </w:r>
          </w:p>
        </w:tc>
      </w:tr>
      <w:tr w:rsidR="00D4501D" w:rsidRPr="000537B0" w14:paraId="0866BC9C" w14:textId="77777777" w:rsidTr="00D4501D">
        <w:tc>
          <w:tcPr>
            <w:tcW w:w="1809" w:type="dxa"/>
          </w:tcPr>
          <w:p w14:paraId="7CFB829D" w14:textId="77777777" w:rsidR="00D4501D" w:rsidRPr="00951C27" w:rsidRDefault="00D4501D" w:rsidP="00D4501D">
            <w:pPr>
              <w:pStyle w:val="Tabletext"/>
            </w:pPr>
            <w:r w:rsidRPr="00951C27">
              <w:t>Pub Year</w:t>
            </w:r>
          </w:p>
        </w:tc>
        <w:tc>
          <w:tcPr>
            <w:tcW w:w="3686" w:type="dxa"/>
          </w:tcPr>
          <w:p w14:paraId="57CEBFE3" w14:textId="77777777" w:rsidR="00D4501D" w:rsidRPr="00951C27" w:rsidRDefault="00D4501D" w:rsidP="00D4501D">
            <w:pPr>
              <w:pStyle w:val="Tabletext"/>
            </w:pPr>
            <w:r w:rsidRPr="00951C27">
              <w:t>2015</w:t>
            </w:r>
          </w:p>
        </w:tc>
        <w:tc>
          <w:tcPr>
            <w:tcW w:w="3686" w:type="dxa"/>
          </w:tcPr>
          <w:p w14:paraId="31A4553C" w14:textId="77777777" w:rsidR="00D4501D" w:rsidRPr="00951C27" w:rsidRDefault="00D4501D" w:rsidP="00D4501D">
            <w:pPr>
              <w:pStyle w:val="Tabletext"/>
            </w:pPr>
            <w:r w:rsidRPr="00951C27">
              <w:t>2017</w:t>
            </w:r>
          </w:p>
        </w:tc>
      </w:tr>
      <w:tr w:rsidR="00D4501D" w:rsidRPr="000537B0" w14:paraId="5DA73754" w14:textId="77777777" w:rsidTr="00D4501D">
        <w:tc>
          <w:tcPr>
            <w:tcW w:w="1809" w:type="dxa"/>
          </w:tcPr>
          <w:p w14:paraId="685E7008" w14:textId="77777777" w:rsidR="00D4501D" w:rsidRPr="00951C27" w:rsidRDefault="00D4501D" w:rsidP="00D4501D">
            <w:pPr>
              <w:pStyle w:val="Tabletext"/>
            </w:pPr>
            <w:r w:rsidRPr="00951C27">
              <w:t>Study Design</w:t>
            </w:r>
          </w:p>
        </w:tc>
        <w:tc>
          <w:tcPr>
            <w:tcW w:w="3686" w:type="dxa"/>
          </w:tcPr>
          <w:p w14:paraId="09FCC810" w14:textId="77777777" w:rsidR="00D4501D" w:rsidRPr="00951C27" w:rsidRDefault="00D4501D" w:rsidP="00D4501D">
            <w:pPr>
              <w:pStyle w:val="Tabletext"/>
            </w:pPr>
            <w:r w:rsidRPr="00951C27">
              <w:t>Prospective, randomized, multinational, controlled, non-blinded study (BPH6)</w:t>
            </w:r>
          </w:p>
        </w:tc>
        <w:tc>
          <w:tcPr>
            <w:tcW w:w="3686" w:type="dxa"/>
          </w:tcPr>
          <w:p w14:paraId="4193C988" w14:textId="77777777" w:rsidR="00D4501D" w:rsidRPr="00951C27" w:rsidRDefault="00D4501D" w:rsidP="00D4501D">
            <w:pPr>
              <w:pStyle w:val="Tabletext"/>
            </w:pPr>
            <w:r w:rsidRPr="00951C27">
              <w:t>Prospective, randomized, multinational, controlled, non-blinded study (BPH6)</w:t>
            </w:r>
          </w:p>
        </w:tc>
      </w:tr>
      <w:tr w:rsidR="00D4501D" w:rsidRPr="000537B0" w14:paraId="43366D3E" w14:textId="77777777" w:rsidTr="00D4501D">
        <w:tc>
          <w:tcPr>
            <w:tcW w:w="1809" w:type="dxa"/>
          </w:tcPr>
          <w:p w14:paraId="730271F2" w14:textId="77777777" w:rsidR="00D4501D" w:rsidRPr="00951C27" w:rsidRDefault="00D4501D" w:rsidP="00D4501D">
            <w:pPr>
              <w:pStyle w:val="Tabletext"/>
            </w:pPr>
            <w:r w:rsidRPr="00951C27">
              <w:t>Location</w:t>
            </w:r>
          </w:p>
        </w:tc>
        <w:tc>
          <w:tcPr>
            <w:tcW w:w="3686" w:type="dxa"/>
          </w:tcPr>
          <w:p w14:paraId="3FDA485A" w14:textId="77777777" w:rsidR="00D4501D" w:rsidRPr="00951C27" w:rsidRDefault="00D4501D" w:rsidP="00D4501D">
            <w:pPr>
              <w:pStyle w:val="Tabletext"/>
            </w:pPr>
            <w:r w:rsidRPr="00951C27">
              <w:t>Denmark, UK, Italy, Germany</w:t>
            </w:r>
            <w:r w:rsidRPr="00951C27">
              <w:br/>
              <w:t>No centres in Italy were included, only Denmark, UK and Germany</w:t>
            </w:r>
          </w:p>
        </w:tc>
        <w:tc>
          <w:tcPr>
            <w:tcW w:w="3686" w:type="dxa"/>
          </w:tcPr>
          <w:p w14:paraId="34166CDA" w14:textId="77777777" w:rsidR="00D4501D" w:rsidRPr="00951C27" w:rsidRDefault="00D4501D" w:rsidP="00D4501D">
            <w:pPr>
              <w:pStyle w:val="Tabletext"/>
            </w:pPr>
            <w:r w:rsidRPr="00951C27">
              <w:t>Denmark, UK, Italy, Germany</w:t>
            </w:r>
          </w:p>
          <w:p w14:paraId="5B5ABDF6" w14:textId="77777777" w:rsidR="00D4501D" w:rsidRPr="00951C27" w:rsidRDefault="00D4501D" w:rsidP="00D4501D">
            <w:pPr>
              <w:pStyle w:val="Tabletext"/>
            </w:pPr>
            <w:r w:rsidRPr="00951C27">
              <w:t>No centres in Italy were included, only Denmark, UK and Germany</w:t>
            </w:r>
          </w:p>
        </w:tc>
      </w:tr>
      <w:tr w:rsidR="00D4501D" w:rsidRPr="000537B0" w14:paraId="7AE08F2B" w14:textId="77777777" w:rsidTr="00D4501D">
        <w:tc>
          <w:tcPr>
            <w:tcW w:w="1809" w:type="dxa"/>
          </w:tcPr>
          <w:p w14:paraId="1A09CC6D" w14:textId="77777777" w:rsidR="00D4501D" w:rsidRPr="00951C27" w:rsidRDefault="00D4501D" w:rsidP="00D4501D">
            <w:pPr>
              <w:pStyle w:val="Tabletext"/>
            </w:pPr>
            <w:r w:rsidRPr="00951C27">
              <w:t>Follow-up</w:t>
            </w:r>
          </w:p>
        </w:tc>
        <w:tc>
          <w:tcPr>
            <w:tcW w:w="3686" w:type="dxa"/>
          </w:tcPr>
          <w:p w14:paraId="04F43077" w14:textId="77777777" w:rsidR="00D4501D" w:rsidRPr="00951C27" w:rsidRDefault="00D4501D" w:rsidP="00D4501D">
            <w:pPr>
              <w:pStyle w:val="Tabletext"/>
            </w:pPr>
            <w:r w:rsidRPr="00951C27">
              <w:t>12 months</w:t>
            </w:r>
          </w:p>
        </w:tc>
        <w:tc>
          <w:tcPr>
            <w:tcW w:w="3686" w:type="dxa"/>
          </w:tcPr>
          <w:p w14:paraId="26F407EB" w14:textId="77777777" w:rsidR="00D4501D" w:rsidRPr="00951C27" w:rsidRDefault="00D4501D" w:rsidP="00D4501D">
            <w:pPr>
              <w:pStyle w:val="Tabletext"/>
            </w:pPr>
            <w:r w:rsidRPr="00951C27">
              <w:t>24 months</w:t>
            </w:r>
          </w:p>
        </w:tc>
      </w:tr>
      <w:tr w:rsidR="00D4501D" w:rsidRPr="000537B0" w14:paraId="00FB2E95" w14:textId="77777777" w:rsidTr="00D4501D">
        <w:tc>
          <w:tcPr>
            <w:tcW w:w="1809" w:type="dxa"/>
          </w:tcPr>
          <w:p w14:paraId="13E16BCB" w14:textId="77777777" w:rsidR="00D4501D" w:rsidRPr="00951C27" w:rsidRDefault="00D4501D" w:rsidP="00D4501D">
            <w:pPr>
              <w:pStyle w:val="Tabletext"/>
            </w:pPr>
            <w:r w:rsidRPr="00951C27">
              <w:t>Study Population</w:t>
            </w:r>
          </w:p>
        </w:tc>
        <w:tc>
          <w:tcPr>
            <w:tcW w:w="3686" w:type="dxa"/>
          </w:tcPr>
          <w:p w14:paraId="49F1184C" w14:textId="77777777" w:rsidR="00D4501D" w:rsidRPr="00951C27" w:rsidRDefault="00D4501D" w:rsidP="00D4501D">
            <w:pPr>
              <w:pStyle w:val="Tabletext"/>
            </w:pPr>
            <w:r w:rsidRPr="00951C27">
              <w:t>Men ≥aged  50 yr, IPSS &gt; 12, Prostate volume ≤  60 cm3, Qmax  15 ml/s for 125-ml voided volume, sexually active within 6 months before the index procedure, SHIM score &gt; 6, ISI score ≤ 4, positive response to MSHQ-EjD (excluding the response “could not ejaculate”)</w:t>
            </w:r>
          </w:p>
        </w:tc>
        <w:tc>
          <w:tcPr>
            <w:tcW w:w="3686" w:type="dxa"/>
          </w:tcPr>
          <w:p w14:paraId="413DF560" w14:textId="77777777" w:rsidR="00D4501D" w:rsidRPr="00951C27" w:rsidRDefault="00D4501D" w:rsidP="00D4501D">
            <w:pPr>
              <w:pStyle w:val="Tabletext"/>
            </w:pPr>
            <w:r w:rsidRPr="00951C27">
              <w:t>Men ≥aged  50 yr, IPSS &gt; 12, Prostate volume ≤  60 cm3, Qmax  15 ml/s for 125-ml voided volume, sexually active within 6 months before the index procedure, SHIM score &gt; 6, ISI score ≤ 4, positive response to MSHQ-EjD (excluding the response “could not ejaculate”)</w:t>
            </w:r>
          </w:p>
        </w:tc>
      </w:tr>
      <w:tr w:rsidR="00D4501D" w:rsidRPr="000537B0" w14:paraId="04742DC8" w14:textId="77777777" w:rsidTr="00D4501D">
        <w:tc>
          <w:tcPr>
            <w:tcW w:w="1809" w:type="dxa"/>
          </w:tcPr>
          <w:p w14:paraId="3F36C147" w14:textId="77777777" w:rsidR="00D4501D" w:rsidRPr="00951C27" w:rsidRDefault="00D4501D" w:rsidP="00D4501D">
            <w:pPr>
              <w:pStyle w:val="Tabletext"/>
            </w:pPr>
            <w:r w:rsidRPr="00951C27">
              <w:t>Exclusion criteria</w:t>
            </w:r>
          </w:p>
        </w:tc>
        <w:tc>
          <w:tcPr>
            <w:tcW w:w="7372" w:type="dxa"/>
            <w:gridSpan w:val="2"/>
          </w:tcPr>
          <w:p w14:paraId="32A18EA5" w14:textId="77777777" w:rsidR="00D4501D" w:rsidRPr="00951C27" w:rsidRDefault="00D4501D" w:rsidP="00D4501D">
            <w:pPr>
              <w:pStyle w:val="Tabletext"/>
            </w:pPr>
            <w:r w:rsidRPr="00951C27">
              <w:t xml:space="preserve">Active urinary tract infection at time of treatment, bacterial prostatitis within 1yr of the index procedure, cystolithiasis within 3mo of the index procedure, obstructive median lobe, current urinary retention, urethral condition that may prevent insertion of a rigid 20F cystoscope, previous TURP or laser procedure, pelvic surgery or irradiation, prostate-specific antigen ≥10ng/L, history of prostate or bladder cancer, severe cardiac comorbidities, anticoagulants within 3d of the index procedure, other medical condition or co-morbidity contraindicative for TURP or PUL, unwilling to report sexual function. </w:t>
            </w:r>
          </w:p>
          <w:p w14:paraId="7AEA2AAD" w14:textId="77777777" w:rsidR="00D4501D" w:rsidRPr="00951C27" w:rsidRDefault="00D4501D" w:rsidP="00D4501D">
            <w:pPr>
              <w:pStyle w:val="Tabletext"/>
            </w:pPr>
            <w:r w:rsidRPr="00951C27">
              <w:t>Declined treatment</w:t>
            </w:r>
          </w:p>
        </w:tc>
      </w:tr>
      <w:tr w:rsidR="00D4501D" w:rsidRPr="000537B0" w14:paraId="382D0630" w14:textId="77777777" w:rsidTr="00D4501D">
        <w:tc>
          <w:tcPr>
            <w:tcW w:w="1809" w:type="dxa"/>
          </w:tcPr>
          <w:p w14:paraId="780CF9BD" w14:textId="77777777" w:rsidR="00D4501D" w:rsidRPr="00951C27" w:rsidRDefault="00D4501D" w:rsidP="00D4501D">
            <w:pPr>
              <w:pStyle w:val="Tabletext"/>
            </w:pPr>
            <w:r w:rsidRPr="00951C27">
              <w:t>Population size</w:t>
            </w:r>
          </w:p>
        </w:tc>
        <w:tc>
          <w:tcPr>
            <w:tcW w:w="3686" w:type="dxa"/>
          </w:tcPr>
          <w:p w14:paraId="24D5CEAF" w14:textId="77777777" w:rsidR="00D4501D" w:rsidRPr="00951C27" w:rsidRDefault="00D4501D" w:rsidP="00D4501D">
            <w:pPr>
              <w:pStyle w:val="Tabletext"/>
            </w:pPr>
            <w:r w:rsidRPr="00951C27">
              <w:t>80 men</w:t>
            </w:r>
          </w:p>
        </w:tc>
        <w:tc>
          <w:tcPr>
            <w:tcW w:w="3686" w:type="dxa"/>
          </w:tcPr>
          <w:p w14:paraId="3966CF57" w14:textId="77777777" w:rsidR="00D4501D" w:rsidRPr="00951C27" w:rsidRDefault="00D4501D" w:rsidP="00D4501D">
            <w:pPr>
              <w:pStyle w:val="Tabletext"/>
            </w:pPr>
            <w:r w:rsidRPr="00951C27">
              <w:t>80 men</w:t>
            </w:r>
          </w:p>
        </w:tc>
      </w:tr>
      <w:tr w:rsidR="00D4501D" w:rsidRPr="000537B0" w14:paraId="3A14F0B2" w14:textId="77777777" w:rsidTr="00D4501D">
        <w:tc>
          <w:tcPr>
            <w:tcW w:w="1809" w:type="dxa"/>
          </w:tcPr>
          <w:p w14:paraId="32532127" w14:textId="77777777" w:rsidR="00D4501D" w:rsidRPr="00951C27" w:rsidRDefault="00D4501D" w:rsidP="00D4501D">
            <w:pPr>
              <w:pStyle w:val="Tabletext"/>
            </w:pPr>
            <w:r w:rsidRPr="00951C27">
              <w:t>Intervention</w:t>
            </w:r>
          </w:p>
        </w:tc>
        <w:tc>
          <w:tcPr>
            <w:tcW w:w="3686" w:type="dxa"/>
          </w:tcPr>
          <w:p w14:paraId="3A2B941C" w14:textId="77777777" w:rsidR="00D4501D" w:rsidRPr="00951C27" w:rsidRDefault="00D4501D" w:rsidP="00D4501D">
            <w:pPr>
              <w:pStyle w:val="Tabletext"/>
            </w:pPr>
            <w:r w:rsidRPr="00951C27">
              <w:t>Prostatic urethral lift</w:t>
            </w:r>
          </w:p>
        </w:tc>
        <w:tc>
          <w:tcPr>
            <w:tcW w:w="3686" w:type="dxa"/>
          </w:tcPr>
          <w:p w14:paraId="34DDBFD4" w14:textId="77777777" w:rsidR="00D4501D" w:rsidRPr="00951C27" w:rsidRDefault="00D4501D" w:rsidP="00D4501D">
            <w:pPr>
              <w:pStyle w:val="Tabletext"/>
            </w:pPr>
            <w:r w:rsidRPr="00951C27">
              <w:t>Prostatic urethral lift</w:t>
            </w:r>
          </w:p>
        </w:tc>
      </w:tr>
      <w:tr w:rsidR="00D4501D" w:rsidRPr="000537B0" w14:paraId="42394811" w14:textId="77777777" w:rsidTr="00D4501D">
        <w:tc>
          <w:tcPr>
            <w:tcW w:w="1809" w:type="dxa"/>
          </w:tcPr>
          <w:p w14:paraId="5062BDD8" w14:textId="77777777" w:rsidR="00D4501D" w:rsidRPr="00951C27" w:rsidRDefault="00D4501D" w:rsidP="00D4501D">
            <w:pPr>
              <w:pStyle w:val="Tabletext"/>
            </w:pPr>
            <w:r w:rsidRPr="00951C27">
              <w:t>Comparator</w:t>
            </w:r>
          </w:p>
        </w:tc>
        <w:tc>
          <w:tcPr>
            <w:tcW w:w="3686" w:type="dxa"/>
          </w:tcPr>
          <w:p w14:paraId="7719F7DC" w14:textId="77777777" w:rsidR="00D4501D" w:rsidRPr="00951C27" w:rsidRDefault="00D4501D" w:rsidP="00D4501D">
            <w:pPr>
              <w:pStyle w:val="Tabletext"/>
            </w:pPr>
            <w:r w:rsidRPr="00951C27">
              <w:t>TURP</w:t>
            </w:r>
          </w:p>
        </w:tc>
        <w:tc>
          <w:tcPr>
            <w:tcW w:w="3686" w:type="dxa"/>
          </w:tcPr>
          <w:p w14:paraId="3A469E72" w14:textId="77777777" w:rsidR="00D4501D" w:rsidRPr="00951C27" w:rsidRDefault="00D4501D" w:rsidP="00D4501D">
            <w:pPr>
              <w:pStyle w:val="Tabletext"/>
            </w:pPr>
            <w:r w:rsidRPr="00951C27">
              <w:t>TURP</w:t>
            </w:r>
          </w:p>
        </w:tc>
      </w:tr>
      <w:tr w:rsidR="00D4501D" w:rsidRPr="000537B0" w14:paraId="147BFED3" w14:textId="77777777" w:rsidTr="00D4501D">
        <w:tc>
          <w:tcPr>
            <w:tcW w:w="1809" w:type="dxa"/>
          </w:tcPr>
          <w:p w14:paraId="2A8E870C" w14:textId="77777777" w:rsidR="00D4501D" w:rsidRPr="00951C27" w:rsidRDefault="00D4501D" w:rsidP="00D4501D">
            <w:pPr>
              <w:pStyle w:val="Tabletext"/>
            </w:pPr>
            <w:r w:rsidRPr="00951C27">
              <w:t>Outcomes</w:t>
            </w:r>
          </w:p>
        </w:tc>
        <w:tc>
          <w:tcPr>
            <w:tcW w:w="3686" w:type="dxa"/>
          </w:tcPr>
          <w:p w14:paraId="38DFAD27" w14:textId="77777777" w:rsidR="00D4501D" w:rsidRPr="00951C27" w:rsidRDefault="00D4501D" w:rsidP="00D4501D">
            <w:pPr>
              <w:pStyle w:val="Tabletext"/>
            </w:pPr>
            <w:r w:rsidRPr="00951C27">
              <w:t xml:space="preserve">The BPH6 responder endpoint assesses symptom relief, quality of recovery, erectile function preservation, ejaculatory function preservation, continence preservation, and safety. Preservation of ejaculation and quality of recovery were superior with PUL (p&lt;0.01). Significant symptom relief was achieved in both treatment arms. The study demonstrated not only non-inferiority but also superiority of PUL over TURP on the BPH6 endpoint. </w:t>
            </w:r>
          </w:p>
        </w:tc>
        <w:tc>
          <w:tcPr>
            <w:tcW w:w="3686" w:type="dxa"/>
          </w:tcPr>
          <w:p w14:paraId="78028A2E" w14:textId="77777777" w:rsidR="00D4501D" w:rsidRPr="00951C27" w:rsidRDefault="00D4501D" w:rsidP="00D4501D">
            <w:pPr>
              <w:pStyle w:val="Tabletext"/>
            </w:pPr>
            <w:r w:rsidRPr="00951C27">
              <w:t>Change in IPSS and Qmax in the TURP arm were superior to the PUL arm. Improvements in IPSS QoL and BPHII score were not statistically different between the study arms. PUL resulted in superior quality of recovery, ejaculatory function preservation and performance on the composite BPH6 index. Ejaculatory function bother scores did not change significantly in either treatment arm. Only PUL resulted in statistically significant improvement in sleep.</w:t>
            </w:r>
          </w:p>
        </w:tc>
      </w:tr>
      <w:tr w:rsidR="00D4501D" w:rsidRPr="000537B0" w14:paraId="5E57A4E4" w14:textId="77777777" w:rsidTr="00D4501D">
        <w:tc>
          <w:tcPr>
            <w:tcW w:w="1809" w:type="dxa"/>
          </w:tcPr>
          <w:p w14:paraId="73EB9EB8" w14:textId="77777777" w:rsidR="00D4501D" w:rsidRPr="00951C27" w:rsidRDefault="00D4501D" w:rsidP="00D4501D">
            <w:pPr>
              <w:pStyle w:val="Tabletext"/>
            </w:pPr>
            <w:r w:rsidRPr="00951C27">
              <w:t>Reintervention</w:t>
            </w:r>
          </w:p>
        </w:tc>
        <w:tc>
          <w:tcPr>
            <w:tcW w:w="3686" w:type="dxa"/>
          </w:tcPr>
          <w:p w14:paraId="56F2C250" w14:textId="2AEDFAD5" w:rsidR="00D4501D" w:rsidRPr="00951C27" w:rsidRDefault="00D4501D" w:rsidP="00D4501D">
            <w:pPr>
              <w:pStyle w:val="Tabletext"/>
            </w:pPr>
            <w:r w:rsidRPr="00951C27">
              <w:t xml:space="preserve">Reintervention for failure to </w:t>
            </w:r>
            <w:r w:rsidR="000A560A" w:rsidRPr="00951C27">
              <w:t>cure occurred</w:t>
            </w:r>
            <w:r w:rsidRPr="00951C27">
              <w:t xml:space="preserve"> in 6.8% (3/44) of PUL and 5.7% (2/35) of TURP patients (not significant).</w:t>
            </w:r>
          </w:p>
        </w:tc>
        <w:tc>
          <w:tcPr>
            <w:tcW w:w="3686" w:type="dxa"/>
          </w:tcPr>
          <w:p w14:paraId="3A154DD5" w14:textId="77777777" w:rsidR="00D4501D" w:rsidRPr="00951C27" w:rsidRDefault="00D4501D" w:rsidP="00D4501D">
            <w:pPr>
              <w:pStyle w:val="Tabletext"/>
            </w:pPr>
            <w:r w:rsidRPr="00951C27">
              <w:t>At 2 years PUL had 13.6% retreatment. TURP had 5.7%.</w:t>
            </w:r>
          </w:p>
        </w:tc>
      </w:tr>
    </w:tbl>
    <w:p w14:paraId="635DA7BA" w14:textId="77777777" w:rsidR="00D4501D" w:rsidRDefault="00D4501D" w:rsidP="00D4501D">
      <w:pPr>
        <w:pStyle w:val="Tablenotes1"/>
      </w:pPr>
      <w:r>
        <w:t>Abbreviations: IPSS = I</w:t>
      </w:r>
      <w:r w:rsidRPr="000537B0">
        <w:t>nternational Prostate Symptom Score; SHIM = Sexual Health Inventory for Men; ISI = Incontinence Severity Score; MSHC-EjD = Male Sexual Health Questionnaire for Ejaculatory Dysfunction; TURP = transurethral resection of the prostate; PUL = prostatic urethral lift</w:t>
      </w:r>
      <w:r>
        <w:t xml:space="preserve">. </w:t>
      </w:r>
    </w:p>
    <w:p w14:paraId="1AF86FCD" w14:textId="77777777" w:rsidR="00D4501D" w:rsidRPr="003D0749" w:rsidRDefault="00D4501D" w:rsidP="00D4501D">
      <w:pPr>
        <w:pStyle w:val="Tablenotes1"/>
      </w:pPr>
      <w:r>
        <w:t>Source: Table 17, p57 of the commentary.</w:t>
      </w:r>
    </w:p>
    <w:p w14:paraId="47E5CE29" w14:textId="77777777" w:rsidR="00D4501D" w:rsidRPr="00D863C8" w:rsidRDefault="00D4501D" w:rsidP="00D863C8">
      <w:pPr>
        <w:rPr>
          <w:u w:val="single"/>
        </w:rPr>
      </w:pPr>
      <w:r w:rsidRPr="00D863C8">
        <w:rPr>
          <w:u w:val="single"/>
        </w:rPr>
        <w:t>VLAP versus TURP</w:t>
      </w:r>
    </w:p>
    <w:p w14:paraId="0F53D87A" w14:textId="08979409" w:rsidR="00D4501D" w:rsidRDefault="00D4501D" w:rsidP="00C11BBE">
      <w:r w:rsidRPr="000537B0">
        <w:t>No clinical tri</w:t>
      </w:r>
      <w:r>
        <w:t>als or case studies were identified</w:t>
      </w:r>
      <w:r w:rsidRPr="000537B0">
        <w:t xml:space="preserve"> </w:t>
      </w:r>
      <w:r>
        <w:t xml:space="preserve">by the ADAR </w:t>
      </w:r>
      <w:r w:rsidRPr="000537B0">
        <w:t xml:space="preserve">that directly compared </w:t>
      </w:r>
      <w:r>
        <w:t xml:space="preserve">the intervention </w:t>
      </w:r>
      <w:r w:rsidRPr="000537B0">
        <w:t xml:space="preserve">PUL to </w:t>
      </w:r>
      <w:r>
        <w:t xml:space="preserve">the additional comparator </w:t>
      </w:r>
      <w:r w:rsidRPr="000537B0">
        <w:t>VLAP.</w:t>
      </w:r>
    </w:p>
    <w:p w14:paraId="2423BFFE" w14:textId="3EB9DFBA" w:rsidR="00D4501D" w:rsidRDefault="00D4501D" w:rsidP="00C11BBE">
      <w:pPr>
        <w:spacing w:before="240"/>
        <w:jc w:val="both"/>
      </w:pPr>
      <w:r>
        <w:t>As such the safety of PUL compared to VLAP is unknown.</w:t>
      </w:r>
    </w:p>
    <w:p w14:paraId="0A893DFB" w14:textId="6E1C29D5" w:rsidR="00DB5833" w:rsidRPr="005A4362" w:rsidRDefault="00D4501D" w:rsidP="00C11BBE">
      <w:pPr>
        <w:tabs>
          <w:tab w:val="left" w:pos="720"/>
          <w:tab w:val="left" w:pos="1140"/>
        </w:tabs>
        <w:spacing w:before="240" w:after="240"/>
        <w:rPr>
          <w:i/>
          <w:szCs w:val="24"/>
        </w:rPr>
      </w:pPr>
      <w:r w:rsidRPr="007C5FF7">
        <w:t>However, the ADAR included the GOLIATH study for the</w:t>
      </w:r>
      <w:r>
        <w:rPr>
          <w:b/>
        </w:rPr>
        <w:t xml:space="preserve"> </w:t>
      </w:r>
      <w:r w:rsidRPr="000537B0">
        <w:t xml:space="preserve">clinical comparison between VLAP and TURP. </w:t>
      </w:r>
      <w:r>
        <w:t>The GOLIATH study (N=281) was a p</w:t>
      </w:r>
      <w:r w:rsidRPr="000537B0">
        <w:t>rospective</w:t>
      </w:r>
      <w:r>
        <w:t>,</w:t>
      </w:r>
      <w:r w:rsidRPr="000537B0">
        <w:t xml:space="preserve"> randomized</w:t>
      </w:r>
      <w:r>
        <w:t>, non</w:t>
      </w:r>
      <w:r w:rsidR="000A560A">
        <w:noBreakHyphen/>
      </w:r>
      <w:r>
        <w:t>blinded</w:t>
      </w:r>
      <w:r w:rsidRPr="000537B0">
        <w:t xml:space="preserve"> controlled trial with </w:t>
      </w:r>
      <w:r>
        <w:t>a 24 month follow up.</w:t>
      </w:r>
      <w:r w:rsidRPr="000537B0">
        <w:t xml:space="preserve"> The primary outcome was the </w:t>
      </w:r>
      <w:r>
        <w:t xml:space="preserve">IPSS </w:t>
      </w:r>
      <w:r w:rsidRPr="000537B0">
        <w:t xml:space="preserve">for which a margin of three was used to evaluate the non-inferiority of </w:t>
      </w:r>
      <w:r>
        <w:t>VLAP to TURP</w:t>
      </w:r>
      <w:r w:rsidRPr="000537B0">
        <w:t xml:space="preserve">. </w:t>
      </w:r>
      <w:r w:rsidRPr="000537B0">
        <w:lastRenderedPageBreak/>
        <w:t>Secondary outcomes included Qmax, prostate volume, prostate specific antigen, Overactive Bladder Questionnaire Short Form, International Consultation on Incontinence Questionnaire Short Form, occurrence of surgical retreatment and freedom from complications.</w:t>
      </w:r>
      <w:r w:rsidR="00DB5833" w:rsidRPr="005A4362">
        <w:rPr>
          <w:i/>
          <w:szCs w:val="24"/>
        </w:rPr>
        <w:t xml:space="preserve"> </w:t>
      </w:r>
    </w:p>
    <w:p w14:paraId="4E1B7D55" w14:textId="77777777" w:rsidR="00BC1364" w:rsidRPr="00F715D1" w:rsidRDefault="00BC1364" w:rsidP="00F715D1">
      <w:pPr>
        <w:pStyle w:val="Heading1"/>
      </w:pPr>
      <w:r w:rsidRPr="00F715D1">
        <w:t>Comparative effectiveness</w:t>
      </w:r>
    </w:p>
    <w:p w14:paraId="0FA3F3BC" w14:textId="77777777" w:rsidR="00D4501D" w:rsidRPr="00D863C8" w:rsidRDefault="00D4501D" w:rsidP="00D863C8">
      <w:pPr>
        <w:rPr>
          <w:u w:val="single"/>
        </w:rPr>
      </w:pPr>
      <w:r w:rsidRPr="00D863C8">
        <w:rPr>
          <w:u w:val="single"/>
        </w:rPr>
        <w:t>PUL versus TURP</w:t>
      </w:r>
    </w:p>
    <w:p w14:paraId="27A8FDD7" w14:textId="29817E42" w:rsidR="00D4501D" w:rsidRDefault="00D4501D" w:rsidP="00C11BBE">
      <w:pPr>
        <w:spacing w:after="240"/>
      </w:pPr>
      <w:r w:rsidRPr="00C33331">
        <w:t>The comparative clinical effective</w:t>
      </w:r>
      <w:r>
        <w:t>ness of PUL versus TURP</w:t>
      </w:r>
      <w:r w:rsidRPr="00C33331">
        <w:t xml:space="preserve"> is based on the two year results of the BHP6 trial that used the composite BPH6 index as the endpoint.  </w:t>
      </w:r>
      <w:r w:rsidRPr="000537B0">
        <w:t>The summary of findings from t</w:t>
      </w:r>
      <w:r>
        <w:t xml:space="preserve">he BPH6 study is shown in </w:t>
      </w:r>
      <w:r>
        <w:fldChar w:fldCharType="begin"/>
      </w:r>
      <w:r>
        <w:instrText xml:space="preserve"> REF _Ref421184437 \h </w:instrText>
      </w:r>
      <w:r>
        <w:fldChar w:fldCharType="separate"/>
      </w:r>
      <w:r w:rsidRPr="000537B0">
        <w:t xml:space="preserve">Table </w:t>
      </w:r>
      <w:r>
        <w:rPr>
          <w:noProof/>
        </w:rPr>
        <w:t>6</w:t>
      </w:r>
      <w:r>
        <w:fldChar w:fldCharType="end"/>
      </w:r>
      <w:r w:rsidRPr="000537B0">
        <w:t>.</w:t>
      </w:r>
      <w:r>
        <w:t xml:space="preserve"> </w:t>
      </w:r>
      <w:r w:rsidRPr="00C33331">
        <w:t>The proportion of patients who met the BPH6 primary endpoint was found to favour PUL vs TURP (non-inferiority P = 0.0002, superiority P = 0.006</w:t>
      </w:r>
      <w:r>
        <w:t>).</w:t>
      </w:r>
    </w:p>
    <w:p w14:paraId="4F9480E0" w14:textId="490A54C6" w:rsidR="00D4501D" w:rsidRPr="00C11BBE" w:rsidRDefault="00D4501D" w:rsidP="00C11BBE">
      <w:pPr>
        <w:spacing w:before="120" w:after="240"/>
        <w:jc w:val="both"/>
      </w:pPr>
      <w:r w:rsidRPr="000537B0">
        <w:t>On the basis of the benefits and harms reported in the evidence base (summarise</w:t>
      </w:r>
      <w:r>
        <w:t>d below</w:t>
      </w:r>
      <w:r w:rsidRPr="00951C27">
        <w:t>), the ADAR suggested that, relative to TURP, PUL has non-inferior safety and effectiveness.</w:t>
      </w:r>
    </w:p>
    <w:p w14:paraId="0F210152" w14:textId="4FAEC720" w:rsidR="00D4501D" w:rsidRPr="00250EF2" w:rsidRDefault="00D4501D" w:rsidP="00250EF2">
      <w:pPr>
        <w:rPr>
          <w:rFonts w:ascii="Arial Narrow" w:hAnsi="Arial Narrow"/>
          <w:b/>
          <w:sz w:val="20"/>
        </w:rPr>
      </w:pPr>
      <w:bookmarkStart w:id="16" w:name="_Ref421184437"/>
      <w:bookmarkStart w:id="17" w:name="_Toc40172854"/>
      <w:r w:rsidRPr="00250EF2">
        <w:rPr>
          <w:rFonts w:ascii="Arial Narrow" w:hAnsi="Arial Narrow"/>
          <w:b/>
          <w:sz w:val="20"/>
        </w:rPr>
        <w:t xml:space="preserve">Table </w:t>
      </w:r>
      <w:r w:rsidR="00C11BBE" w:rsidRPr="00250EF2">
        <w:rPr>
          <w:rFonts w:ascii="Arial Narrow" w:hAnsi="Arial Narrow"/>
          <w:b/>
          <w:sz w:val="20"/>
        </w:rPr>
        <w:fldChar w:fldCharType="begin"/>
      </w:r>
      <w:r w:rsidR="00C11BBE" w:rsidRPr="00250EF2">
        <w:rPr>
          <w:rFonts w:ascii="Arial Narrow" w:hAnsi="Arial Narrow"/>
          <w:b/>
          <w:sz w:val="20"/>
        </w:rPr>
        <w:instrText xml:space="preserve"> SEQ Table \* ARABIC </w:instrText>
      </w:r>
      <w:r w:rsidR="00C11BBE" w:rsidRPr="00250EF2">
        <w:rPr>
          <w:rFonts w:ascii="Arial Narrow" w:hAnsi="Arial Narrow"/>
          <w:b/>
          <w:sz w:val="20"/>
        </w:rPr>
        <w:fldChar w:fldCharType="separate"/>
      </w:r>
      <w:r w:rsidR="003636DE" w:rsidRPr="00250EF2">
        <w:rPr>
          <w:rFonts w:ascii="Arial Narrow" w:hAnsi="Arial Narrow"/>
          <w:b/>
          <w:sz w:val="20"/>
        </w:rPr>
        <w:t>6</w:t>
      </w:r>
      <w:r w:rsidR="00C11BBE" w:rsidRPr="00250EF2">
        <w:rPr>
          <w:rFonts w:ascii="Arial Narrow" w:hAnsi="Arial Narrow"/>
          <w:b/>
          <w:sz w:val="20"/>
        </w:rPr>
        <w:fldChar w:fldCharType="end"/>
      </w:r>
      <w:bookmarkEnd w:id="16"/>
      <w:r w:rsidRPr="00250EF2">
        <w:rPr>
          <w:rFonts w:ascii="Arial Narrow" w:hAnsi="Arial Narrow"/>
          <w:b/>
          <w:sz w:val="20"/>
        </w:rPr>
        <w:t xml:space="preserve"> Balance of clinical benefits and harms of PUL, relative to TURP, and as measured by the critical patient-relevant outcomes in the key study – BPH6 at 24 months</w:t>
      </w:r>
      <w:bookmarkEnd w:id="17"/>
      <w:r w:rsidRPr="00250EF2">
        <w:rPr>
          <w:rFonts w:ascii="Arial Narrow" w:hAnsi="Arial Narrow"/>
          <w:b/>
          <w:sz w:val="20"/>
        </w:rPr>
        <w:t xml:space="preserve"> </w:t>
      </w:r>
    </w:p>
    <w:tbl>
      <w:tblPr>
        <w:tblStyle w:val="TableGrid14"/>
        <w:tblW w:w="0" w:type="auto"/>
        <w:tblLook w:val="04A0" w:firstRow="1" w:lastRow="0" w:firstColumn="1" w:lastColumn="0" w:noHBand="0" w:noVBand="1"/>
        <w:tblCaption w:val="Key results from BPH6 study"/>
        <w:tblDescription w:val="PUL was inferior to TURP on effectiveness outcomes, but superior in terms of ejaculation outcomes"/>
      </w:tblPr>
      <w:tblGrid>
        <w:gridCol w:w="1668"/>
        <w:gridCol w:w="1276"/>
        <w:gridCol w:w="1275"/>
        <w:gridCol w:w="1418"/>
        <w:gridCol w:w="1560"/>
        <w:gridCol w:w="1560"/>
      </w:tblGrid>
      <w:tr w:rsidR="00D4501D" w:rsidRPr="000537B0" w14:paraId="2305DD2B" w14:textId="77777777" w:rsidTr="00221228">
        <w:trPr>
          <w:tblHeader/>
        </w:trPr>
        <w:tc>
          <w:tcPr>
            <w:tcW w:w="1668" w:type="dxa"/>
          </w:tcPr>
          <w:p w14:paraId="003C6881" w14:textId="77777777" w:rsidR="00D4501D" w:rsidRPr="000537B0" w:rsidRDefault="00D4501D" w:rsidP="00D4501D">
            <w:pPr>
              <w:spacing w:before="60" w:after="60"/>
              <w:rPr>
                <w:b/>
                <w:sz w:val="20"/>
              </w:rPr>
            </w:pPr>
            <w:r w:rsidRPr="000537B0">
              <w:rPr>
                <w:b/>
                <w:sz w:val="20"/>
              </w:rPr>
              <w:t>Endpoint</w:t>
            </w:r>
          </w:p>
        </w:tc>
        <w:tc>
          <w:tcPr>
            <w:tcW w:w="1276" w:type="dxa"/>
          </w:tcPr>
          <w:p w14:paraId="2881DBCE" w14:textId="77777777" w:rsidR="00D4501D" w:rsidRPr="000537B0" w:rsidRDefault="00D4501D" w:rsidP="00D4501D">
            <w:pPr>
              <w:spacing w:before="60" w:after="60"/>
              <w:rPr>
                <w:b/>
                <w:sz w:val="20"/>
              </w:rPr>
            </w:pPr>
          </w:p>
        </w:tc>
        <w:tc>
          <w:tcPr>
            <w:tcW w:w="1275" w:type="dxa"/>
          </w:tcPr>
          <w:p w14:paraId="18DA377F" w14:textId="77777777" w:rsidR="00D4501D" w:rsidRPr="000537B0" w:rsidRDefault="00D4501D" w:rsidP="00D4501D">
            <w:pPr>
              <w:spacing w:before="60" w:after="60"/>
              <w:rPr>
                <w:b/>
                <w:sz w:val="20"/>
              </w:rPr>
            </w:pPr>
            <w:r w:rsidRPr="000537B0">
              <w:rPr>
                <w:b/>
                <w:sz w:val="20"/>
              </w:rPr>
              <w:t>PUL (SD)</w:t>
            </w:r>
          </w:p>
        </w:tc>
        <w:tc>
          <w:tcPr>
            <w:tcW w:w="1418" w:type="dxa"/>
          </w:tcPr>
          <w:p w14:paraId="068FB3D8" w14:textId="77777777" w:rsidR="00D4501D" w:rsidRPr="000537B0" w:rsidRDefault="00D4501D" w:rsidP="00D4501D">
            <w:pPr>
              <w:spacing w:before="60" w:after="60"/>
              <w:rPr>
                <w:b/>
                <w:sz w:val="20"/>
              </w:rPr>
            </w:pPr>
            <w:r w:rsidRPr="000537B0">
              <w:rPr>
                <w:b/>
                <w:sz w:val="20"/>
              </w:rPr>
              <w:t>TURP (SD)</w:t>
            </w:r>
          </w:p>
        </w:tc>
        <w:tc>
          <w:tcPr>
            <w:tcW w:w="1560" w:type="dxa"/>
          </w:tcPr>
          <w:p w14:paraId="51F31B7E" w14:textId="77777777" w:rsidR="00D4501D" w:rsidRPr="000537B0" w:rsidRDefault="00D4501D" w:rsidP="00D4501D">
            <w:pPr>
              <w:spacing w:before="60" w:after="60"/>
              <w:rPr>
                <w:b/>
                <w:sz w:val="20"/>
              </w:rPr>
            </w:pPr>
            <w:r w:rsidRPr="000537B0">
              <w:rPr>
                <w:b/>
                <w:sz w:val="20"/>
              </w:rPr>
              <w:t>Difference</w:t>
            </w:r>
          </w:p>
        </w:tc>
        <w:tc>
          <w:tcPr>
            <w:tcW w:w="1560" w:type="dxa"/>
          </w:tcPr>
          <w:p w14:paraId="76728930" w14:textId="77777777" w:rsidR="00D4501D" w:rsidRPr="000537B0" w:rsidRDefault="00D4501D" w:rsidP="00D4501D">
            <w:pPr>
              <w:spacing w:before="60" w:after="60"/>
              <w:rPr>
                <w:b/>
                <w:sz w:val="20"/>
              </w:rPr>
            </w:pPr>
          </w:p>
        </w:tc>
      </w:tr>
      <w:tr w:rsidR="00D4501D" w:rsidRPr="000537B0" w14:paraId="74196B5C" w14:textId="77777777" w:rsidTr="00D4501D">
        <w:tc>
          <w:tcPr>
            <w:tcW w:w="1668" w:type="dxa"/>
          </w:tcPr>
          <w:p w14:paraId="33026F4C" w14:textId="77777777" w:rsidR="00D4501D" w:rsidRPr="00FC2D93" w:rsidRDefault="00D4501D" w:rsidP="00D4501D">
            <w:pPr>
              <w:pStyle w:val="Tabletext"/>
            </w:pPr>
            <w:r w:rsidRPr="00FC2D93">
              <w:t>IPSS Score</w:t>
            </w:r>
          </w:p>
        </w:tc>
        <w:tc>
          <w:tcPr>
            <w:tcW w:w="1276" w:type="dxa"/>
          </w:tcPr>
          <w:p w14:paraId="7F7484AE" w14:textId="77777777" w:rsidR="00D4501D" w:rsidRPr="00FC2D93" w:rsidRDefault="00D4501D" w:rsidP="00D4501D">
            <w:pPr>
              <w:pStyle w:val="Tabletext"/>
            </w:pPr>
            <w:r w:rsidRPr="00FC2D93">
              <w:t>Baseline</w:t>
            </w:r>
          </w:p>
        </w:tc>
        <w:tc>
          <w:tcPr>
            <w:tcW w:w="1275" w:type="dxa"/>
          </w:tcPr>
          <w:p w14:paraId="341311C1" w14:textId="77777777" w:rsidR="00D4501D" w:rsidRPr="00FC2D93" w:rsidRDefault="00D4501D" w:rsidP="00D4501D">
            <w:pPr>
              <w:pStyle w:val="Tabletext"/>
            </w:pPr>
            <w:r w:rsidRPr="00FC2D93">
              <w:t>21.4 (5.5)</w:t>
            </w:r>
          </w:p>
        </w:tc>
        <w:tc>
          <w:tcPr>
            <w:tcW w:w="1418" w:type="dxa"/>
          </w:tcPr>
          <w:p w14:paraId="5A9CED68" w14:textId="77777777" w:rsidR="00D4501D" w:rsidRPr="00FC2D93" w:rsidRDefault="00D4501D" w:rsidP="00D4501D">
            <w:pPr>
              <w:pStyle w:val="Tabletext"/>
            </w:pPr>
            <w:r w:rsidRPr="00FC2D93">
              <w:t>22.8 (5.9)</w:t>
            </w:r>
          </w:p>
        </w:tc>
        <w:tc>
          <w:tcPr>
            <w:tcW w:w="1560" w:type="dxa"/>
          </w:tcPr>
          <w:p w14:paraId="514C95E2" w14:textId="77777777" w:rsidR="00D4501D" w:rsidRPr="00FC2D93" w:rsidRDefault="00D4501D" w:rsidP="00D4501D">
            <w:pPr>
              <w:pStyle w:val="Tabletext"/>
            </w:pPr>
          </w:p>
        </w:tc>
        <w:tc>
          <w:tcPr>
            <w:tcW w:w="1560" w:type="dxa"/>
          </w:tcPr>
          <w:p w14:paraId="021ED68C" w14:textId="77777777" w:rsidR="00D4501D" w:rsidRPr="00FC2D93" w:rsidRDefault="00D4501D" w:rsidP="00D4501D">
            <w:pPr>
              <w:pStyle w:val="Tabletext"/>
            </w:pPr>
          </w:p>
        </w:tc>
      </w:tr>
      <w:tr w:rsidR="00D4501D" w:rsidRPr="000537B0" w14:paraId="23C26AF7" w14:textId="77777777" w:rsidTr="00D4501D">
        <w:tc>
          <w:tcPr>
            <w:tcW w:w="1668" w:type="dxa"/>
          </w:tcPr>
          <w:p w14:paraId="0E38929A" w14:textId="77777777" w:rsidR="00D4501D" w:rsidRPr="00FC2D93" w:rsidRDefault="00D4501D" w:rsidP="00D4501D">
            <w:pPr>
              <w:pStyle w:val="Tabletext"/>
            </w:pPr>
          </w:p>
        </w:tc>
        <w:tc>
          <w:tcPr>
            <w:tcW w:w="1276" w:type="dxa"/>
          </w:tcPr>
          <w:p w14:paraId="2B5CD0D3" w14:textId="77777777" w:rsidR="00D4501D" w:rsidRPr="00FC2D93" w:rsidRDefault="00D4501D" w:rsidP="00D4501D">
            <w:pPr>
              <w:pStyle w:val="Tabletext"/>
            </w:pPr>
            <w:r w:rsidRPr="00FC2D93">
              <w:t>24 months change</w:t>
            </w:r>
          </w:p>
        </w:tc>
        <w:tc>
          <w:tcPr>
            <w:tcW w:w="1275" w:type="dxa"/>
          </w:tcPr>
          <w:p w14:paraId="22C3EEF1" w14:textId="77777777" w:rsidR="00D4501D" w:rsidRPr="00FC2D93" w:rsidRDefault="00D4501D" w:rsidP="00D4501D">
            <w:pPr>
              <w:pStyle w:val="Tabletext"/>
            </w:pPr>
            <w:r w:rsidRPr="00FC2D93">
              <w:t>-9.2 (9.2)*</w:t>
            </w:r>
          </w:p>
          <w:p w14:paraId="51B2678B" w14:textId="77777777" w:rsidR="00D4501D" w:rsidRPr="00FC2D93" w:rsidRDefault="00D4501D" w:rsidP="00D4501D">
            <w:pPr>
              <w:pStyle w:val="Tabletext"/>
            </w:pPr>
            <w:r w:rsidRPr="00FC2D93">
              <w:t>significant improvement</w:t>
            </w:r>
          </w:p>
        </w:tc>
        <w:tc>
          <w:tcPr>
            <w:tcW w:w="1418" w:type="dxa"/>
          </w:tcPr>
          <w:p w14:paraId="443B3116" w14:textId="77777777" w:rsidR="00D4501D" w:rsidRPr="00FC2D93" w:rsidRDefault="00D4501D" w:rsidP="00D4501D">
            <w:pPr>
              <w:pStyle w:val="Tabletext"/>
            </w:pPr>
            <w:r w:rsidRPr="00FC2D93">
              <w:t>-15.3 (7.5)*</w:t>
            </w:r>
          </w:p>
          <w:p w14:paraId="2DD700EB" w14:textId="77777777" w:rsidR="00D4501D" w:rsidRPr="00FC2D93" w:rsidRDefault="00D4501D" w:rsidP="00D4501D">
            <w:pPr>
              <w:pStyle w:val="Tabletext"/>
            </w:pPr>
            <w:r w:rsidRPr="00FC2D93">
              <w:t>significant improvement</w:t>
            </w:r>
          </w:p>
        </w:tc>
        <w:tc>
          <w:tcPr>
            <w:tcW w:w="1560" w:type="dxa"/>
          </w:tcPr>
          <w:p w14:paraId="2C4B0EBD" w14:textId="77777777" w:rsidR="00D4501D" w:rsidRPr="00FC2D93" w:rsidRDefault="00D4501D" w:rsidP="00D4501D">
            <w:pPr>
              <w:pStyle w:val="Tabletext"/>
            </w:pPr>
            <w:r w:rsidRPr="00FC2D93">
              <w:t>P value 0.004</w:t>
            </w:r>
          </w:p>
        </w:tc>
        <w:tc>
          <w:tcPr>
            <w:tcW w:w="1560" w:type="dxa"/>
          </w:tcPr>
          <w:p w14:paraId="56813A8E" w14:textId="77777777" w:rsidR="00D4501D" w:rsidRPr="00FC2D93" w:rsidRDefault="00D4501D" w:rsidP="00D4501D">
            <w:pPr>
              <w:pStyle w:val="Tabletext"/>
            </w:pPr>
            <w:r w:rsidRPr="00FC2D93">
              <w:t xml:space="preserve">Significant </w:t>
            </w:r>
          </w:p>
          <w:p w14:paraId="36B047E2" w14:textId="77777777" w:rsidR="00D4501D" w:rsidRPr="00FC2D93" w:rsidRDefault="00D4501D" w:rsidP="00D4501D">
            <w:pPr>
              <w:pStyle w:val="Tabletext"/>
            </w:pPr>
            <w:r w:rsidRPr="00FC2D93">
              <w:t>favours TURP</w:t>
            </w:r>
          </w:p>
        </w:tc>
      </w:tr>
      <w:tr w:rsidR="00D4501D" w:rsidRPr="000537B0" w14:paraId="13D5FA4E" w14:textId="77777777" w:rsidTr="00D4501D">
        <w:tc>
          <w:tcPr>
            <w:tcW w:w="1668" w:type="dxa"/>
          </w:tcPr>
          <w:p w14:paraId="748E529B" w14:textId="77777777" w:rsidR="00D4501D" w:rsidRPr="00FC2D93" w:rsidRDefault="00D4501D" w:rsidP="00D4501D">
            <w:pPr>
              <w:pStyle w:val="Tabletext"/>
            </w:pPr>
            <w:r w:rsidRPr="00FC2D93">
              <w:t>Qmax (ml/s)</w:t>
            </w:r>
          </w:p>
        </w:tc>
        <w:tc>
          <w:tcPr>
            <w:tcW w:w="1276" w:type="dxa"/>
          </w:tcPr>
          <w:p w14:paraId="1303EC16" w14:textId="77777777" w:rsidR="00D4501D" w:rsidRPr="00FC2D93" w:rsidRDefault="00D4501D" w:rsidP="00D4501D">
            <w:pPr>
              <w:pStyle w:val="Tabletext"/>
            </w:pPr>
            <w:r w:rsidRPr="00FC2D93">
              <w:t>Baseline</w:t>
            </w:r>
          </w:p>
        </w:tc>
        <w:tc>
          <w:tcPr>
            <w:tcW w:w="1275" w:type="dxa"/>
          </w:tcPr>
          <w:p w14:paraId="1884D180" w14:textId="77777777" w:rsidR="00D4501D" w:rsidRPr="00FC2D93" w:rsidRDefault="00D4501D" w:rsidP="00D4501D">
            <w:pPr>
              <w:pStyle w:val="Tabletext"/>
            </w:pPr>
            <w:r w:rsidRPr="00FC2D93">
              <w:t>9.3 (3.4)</w:t>
            </w:r>
          </w:p>
        </w:tc>
        <w:tc>
          <w:tcPr>
            <w:tcW w:w="1418" w:type="dxa"/>
          </w:tcPr>
          <w:p w14:paraId="3A65D63F" w14:textId="77777777" w:rsidR="00D4501D" w:rsidRPr="00FC2D93" w:rsidRDefault="00D4501D" w:rsidP="00D4501D">
            <w:pPr>
              <w:pStyle w:val="Tabletext"/>
            </w:pPr>
            <w:r w:rsidRPr="00FC2D93">
              <w:t>9.6 (3.4)</w:t>
            </w:r>
          </w:p>
        </w:tc>
        <w:tc>
          <w:tcPr>
            <w:tcW w:w="1560" w:type="dxa"/>
          </w:tcPr>
          <w:p w14:paraId="6FD8F1F2" w14:textId="77777777" w:rsidR="00D4501D" w:rsidRPr="00FC2D93" w:rsidRDefault="00D4501D" w:rsidP="00D4501D">
            <w:pPr>
              <w:pStyle w:val="Tabletext"/>
            </w:pPr>
          </w:p>
        </w:tc>
        <w:tc>
          <w:tcPr>
            <w:tcW w:w="1560" w:type="dxa"/>
          </w:tcPr>
          <w:p w14:paraId="70C6C08E" w14:textId="77777777" w:rsidR="00D4501D" w:rsidRPr="00FC2D93" w:rsidRDefault="00D4501D" w:rsidP="00D4501D">
            <w:pPr>
              <w:pStyle w:val="Tabletext"/>
            </w:pPr>
          </w:p>
        </w:tc>
      </w:tr>
      <w:tr w:rsidR="00D4501D" w:rsidRPr="000537B0" w14:paraId="4282720F" w14:textId="77777777" w:rsidTr="00D4501D">
        <w:tc>
          <w:tcPr>
            <w:tcW w:w="1668" w:type="dxa"/>
          </w:tcPr>
          <w:p w14:paraId="12F03969" w14:textId="77777777" w:rsidR="00D4501D" w:rsidRPr="00FC2D93" w:rsidRDefault="00D4501D" w:rsidP="00D4501D">
            <w:pPr>
              <w:pStyle w:val="Tabletext"/>
            </w:pPr>
          </w:p>
        </w:tc>
        <w:tc>
          <w:tcPr>
            <w:tcW w:w="1276" w:type="dxa"/>
          </w:tcPr>
          <w:p w14:paraId="24D73807" w14:textId="77777777" w:rsidR="00D4501D" w:rsidRPr="00FC2D93" w:rsidRDefault="00D4501D" w:rsidP="00D4501D">
            <w:pPr>
              <w:pStyle w:val="Tabletext"/>
            </w:pPr>
            <w:r w:rsidRPr="00FC2D93">
              <w:t>24 months change</w:t>
            </w:r>
          </w:p>
        </w:tc>
        <w:tc>
          <w:tcPr>
            <w:tcW w:w="1275" w:type="dxa"/>
          </w:tcPr>
          <w:p w14:paraId="6F8D37F0" w14:textId="77777777" w:rsidR="00D4501D" w:rsidRPr="00FC2D93" w:rsidRDefault="00D4501D" w:rsidP="00D4501D">
            <w:pPr>
              <w:pStyle w:val="Tabletext"/>
            </w:pPr>
            <w:r w:rsidRPr="00FC2D93">
              <w:t>14.3 (5.3)*</w:t>
            </w:r>
          </w:p>
          <w:p w14:paraId="17A7D266" w14:textId="77777777" w:rsidR="00D4501D" w:rsidRPr="00FC2D93" w:rsidRDefault="00D4501D" w:rsidP="00D4501D">
            <w:pPr>
              <w:pStyle w:val="Tabletext"/>
            </w:pPr>
            <w:r w:rsidRPr="00FC2D93">
              <w:t>significant improvement</w:t>
            </w:r>
          </w:p>
        </w:tc>
        <w:tc>
          <w:tcPr>
            <w:tcW w:w="1418" w:type="dxa"/>
          </w:tcPr>
          <w:p w14:paraId="1C3F4F3A" w14:textId="77777777" w:rsidR="00D4501D" w:rsidRPr="00FC2D93" w:rsidRDefault="00D4501D" w:rsidP="00D4501D">
            <w:pPr>
              <w:pStyle w:val="Tabletext"/>
            </w:pPr>
            <w:r w:rsidRPr="00FC2D93">
              <w:t>25.5 (17.2)*</w:t>
            </w:r>
          </w:p>
          <w:p w14:paraId="43CF1214" w14:textId="77777777" w:rsidR="00D4501D" w:rsidRPr="00FC2D93" w:rsidRDefault="00D4501D" w:rsidP="00D4501D">
            <w:pPr>
              <w:pStyle w:val="Tabletext"/>
            </w:pPr>
            <w:r w:rsidRPr="00FC2D93">
              <w:t>significant improvement</w:t>
            </w:r>
          </w:p>
        </w:tc>
        <w:tc>
          <w:tcPr>
            <w:tcW w:w="1560" w:type="dxa"/>
          </w:tcPr>
          <w:p w14:paraId="79F550F8" w14:textId="77777777" w:rsidR="00D4501D" w:rsidRPr="00FC2D93" w:rsidRDefault="00D4501D" w:rsidP="00D4501D">
            <w:pPr>
              <w:pStyle w:val="Tabletext"/>
            </w:pPr>
            <w:r w:rsidRPr="00FC2D93">
              <w:t>P value 0.002</w:t>
            </w:r>
          </w:p>
        </w:tc>
        <w:tc>
          <w:tcPr>
            <w:tcW w:w="1560" w:type="dxa"/>
          </w:tcPr>
          <w:p w14:paraId="533033C7" w14:textId="77777777" w:rsidR="00D4501D" w:rsidRPr="00FC2D93" w:rsidRDefault="00D4501D" w:rsidP="00D4501D">
            <w:pPr>
              <w:pStyle w:val="Tabletext"/>
            </w:pPr>
            <w:r w:rsidRPr="00FC2D93">
              <w:t>Significant</w:t>
            </w:r>
          </w:p>
          <w:p w14:paraId="7B3F3287" w14:textId="77777777" w:rsidR="00D4501D" w:rsidRPr="00FC2D93" w:rsidRDefault="00D4501D" w:rsidP="00D4501D">
            <w:pPr>
              <w:pStyle w:val="Tabletext"/>
            </w:pPr>
            <w:r w:rsidRPr="00FC2D93">
              <w:t>favours TURP</w:t>
            </w:r>
          </w:p>
        </w:tc>
      </w:tr>
      <w:tr w:rsidR="00D4501D" w:rsidRPr="000537B0" w14:paraId="5C02EEE2" w14:textId="77777777" w:rsidTr="00D4501D">
        <w:tc>
          <w:tcPr>
            <w:tcW w:w="1668" w:type="dxa"/>
          </w:tcPr>
          <w:p w14:paraId="215E7D99" w14:textId="77777777" w:rsidR="00D4501D" w:rsidRPr="00FC2D93" w:rsidRDefault="00D4501D" w:rsidP="00D4501D">
            <w:pPr>
              <w:pStyle w:val="Tabletext"/>
            </w:pPr>
            <w:r w:rsidRPr="00FC2D93">
              <w:t>PVR (ml)</w:t>
            </w:r>
          </w:p>
        </w:tc>
        <w:tc>
          <w:tcPr>
            <w:tcW w:w="1276" w:type="dxa"/>
          </w:tcPr>
          <w:p w14:paraId="41050962" w14:textId="77777777" w:rsidR="00D4501D" w:rsidRPr="00FC2D93" w:rsidRDefault="00D4501D" w:rsidP="00D4501D">
            <w:pPr>
              <w:pStyle w:val="Tabletext"/>
            </w:pPr>
            <w:r w:rsidRPr="00FC2D93">
              <w:t>Baseline</w:t>
            </w:r>
          </w:p>
        </w:tc>
        <w:tc>
          <w:tcPr>
            <w:tcW w:w="1275" w:type="dxa"/>
          </w:tcPr>
          <w:p w14:paraId="7945D448" w14:textId="77777777" w:rsidR="00D4501D" w:rsidRPr="00FC2D93" w:rsidRDefault="00D4501D" w:rsidP="00D4501D">
            <w:pPr>
              <w:pStyle w:val="Tabletext"/>
            </w:pPr>
            <w:r w:rsidRPr="00FC2D93">
              <w:t>80.5 (61.0)</w:t>
            </w:r>
          </w:p>
        </w:tc>
        <w:tc>
          <w:tcPr>
            <w:tcW w:w="1418" w:type="dxa"/>
          </w:tcPr>
          <w:p w14:paraId="06EDCCA4" w14:textId="77777777" w:rsidR="00D4501D" w:rsidRPr="00FC2D93" w:rsidRDefault="00D4501D" w:rsidP="00D4501D">
            <w:pPr>
              <w:pStyle w:val="Tabletext"/>
            </w:pPr>
            <w:r w:rsidRPr="00FC2D93">
              <w:t>98.8 (87.1)</w:t>
            </w:r>
          </w:p>
        </w:tc>
        <w:tc>
          <w:tcPr>
            <w:tcW w:w="1560" w:type="dxa"/>
          </w:tcPr>
          <w:p w14:paraId="6BD05411" w14:textId="77777777" w:rsidR="00D4501D" w:rsidRPr="00FC2D93" w:rsidRDefault="00D4501D" w:rsidP="00D4501D">
            <w:pPr>
              <w:pStyle w:val="Tabletext"/>
            </w:pPr>
          </w:p>
        </w:tc>
        <w:tc>
          <w:tcPr>
            <w:tcW w:w="1560" w:type="dxa"/>
          </w:tcPr>
          <w:p w14:paraId="3235FBA0" w14:textId="77777777" w:rsidR="00D4501D" w:rsidRPr="00FC2D93" w:rsidRDefault="00D4501D" w:rsidP="00D4501D">
            <w:pPr>
              <w:pStyle w:val="Tabletext"/>
            </w:pPr>
          </w:p>
        </w:tc>
      </w:tr>
      <w:tr w:rsidR="00D4501D" w:rsidRPr="000537B0" w14:paraId="0E74BADB" w14:textId="77777777" w:rsidTr="00D4501D">
        <w:tc>
          <w:tcPr>
            <w:tcW w:w="1668" w:type="dxa"/>
          </w:tcPr>
          <w:p w14:paraId="7793320F" w14:textId="77777777" w:rsidR="00D4501D" w:rsidRPr="00FC2D93" w:rsidRDefault="00D4501D" w:rsidP="00D4501D">
            <w:pPr>
              <w:pStyle w:val="Tabletext"/>
            </w:pPr>
          </w:p>
        </w:tc>
        <w:tc>
          <w:tcPr>
            <w:tcW w:w="1276" w:type="dxa"/>
          </w:tcPr>
          <w:p w14:paraId="64F4611C" w14:textId="77777777" w:rsidR="00D4501D" w:rsidRPr="00FC2D93" w:rsidRDefault="00D4501D" w:rsidP="00D4501D">
            <w:pPr>
              <w:pStyle w:val="Tabletext"/>
            </w:pPr>
            <w:r w:rsidRPr="00FC2D93">
              <w:t>24 months change</w:t>
            </w:r>
          </w:p>
        </w:tc>
        <w:tc>
          <w:tcPr>
            <w:tcW w:w="1275" w:type="dxa"/>
          </w:tcPr>
          <w:p w14:paraId="0E3E4C29" w14:textId="77777777" w:rsidR="00D4501D" w:rsidRPr="00FC2D93" w:rsidRDefault="00D4501D" w:rsidP="00D4501D">
            <w:pPr>
              <w:pStyle w:val="Tabletext"/>
            </w:pPr>
            <w:r w:rsidRPr="00FC2D93">
              <w:t>-10.6 (56.7)</w:t>
            </w:r>
          </w:p>
        </w:tc>
        <w:tc>
          <w:tcPr>
            <w:tcW w:w="1418" w:type="dxa"/>
          </w:tcPr>
          <w:p w14:paraId="06FC8455" w14:textId="77777777" w:rsidR="00D4501D" w:rsidRPr="00FC2D93" w:rsidRDefault="00D4501D" w:rsidP="00D4501D">
            <w:pPr>
              <w:pStyle w:val="Tabletext"/>
            </w:pPr>
            <w:r w:rsidRPr="00FC2D93">
              <w:t>-42.5 (91.7)*</w:t>
            </w:r>
          </w:p>
          <w:p w14:paraId="206D76A4" w14:textId="77777777" w:rsidR="00D4501D" w:rsidRPr="00FC2D93" w:rsidRDefault="00D4501D" w:rsidP="00D4501D">
            <w:pPr>
              <w:pStyle w:val="Tabletext"/>
            </w:pPr>
            <w:r w:rsidRPr="00FC2D93">
              <w:t>significant improvement</w:t>
            </w:r>
          </w:p>
        </w:tc>
        <w:tc>
          <w:tcPr>
            <w:tcW w:w="1560" w:type="dxa"/>
          </w:tcPr>
          <w:p w14:paraId="226D292D" w14:textId="77777777" w:rsidR="00D4501D" w:rsidRPr="00FC2D93" w:rsidRDefault="00D4501D" w:rsidP="00D4501D">
            <w:pPr>
              <w:pStyle w:val="Tabletext"/>
            </w:pPr>
            <w:r w:rsidRPr="00FC2D93">
              <w:t>P value 0.091</w:t>
            </w:r>
          </w:p>
        </w:tc>
        <w:tc>
          <w:tcPr>
            <w:tcW w:w="1560" w:type="dxa"/>
          </w:tcPr>
          <w:p w14:paraId="50D174A5" w14:textId="77777777" w:rsidR="00D4501D" w:rsidRPr="00FC2D93" w:rsidRDefault="00D4501D" w:rsidP="00D4501D">
            <w:pPr>
              <w:pStyle w:val="Tabletext"/>
            </w:pPr>
            <w:r w:rsidRPr="00FC2D93">
              <w:t>Not significant</w:t>
            </w:r>
          </w:p>
        </w:tc>
      </w:tr>
      <w:tr w:rsidR="00D4501D" w:rsidRPr="000537B0" w14:paraId="7FBCAAA8" w14:textId="77777777" w:rsidTr="00D4501D">
        <w:tc>
          <w:tcPr>
            <w:tcW w:w="1668" w:type="dxa"/>
          </w:tcPr>
          <w:p w14:paraId="2F312007" w14:textId="77777777" w:rsidR="00D4501D" w:rsidRPr="00FC2D93" w:rsidRDefault="00D4501D" w:rsidP="00D4501D">
            <w:pPr>
              <w:pStyle w:val="Tabletext"/>
            </w:pPr>
            <w:r w:rsidRPr="00FC2D93">
              <w:t>IPSS-QoL</w:t>
            </w:r>
          </w:p>
        </w:tc>
        <w:tc>
          <w:tcPr>
            <w:tcW w:w="1276" w:type="dxa"/>
          </w:tcPr>
          <w:p w14:paraId="0AA6766D" w14:textId="77777777" w:rsidR="00D4501D" w:rsidRPr="00FC2D93" w:rsidRDefault="00D4501D" w:rsidP="00D4501D">
            <w:pPr>
              <w:pStyle w:val="Tabletext"/>
            </w:pPr>
            <w:r w:rsidRPr="00FC2D93">
              <w:t>Baseline</w:t>
            </w:r>
          </w:p>
        </w:tc>
        <w:tc>
          <w:tcPr>
            <w:tcW w:w="1275" w:type="dxa"/>
          </w:tcPr>
          <w:p w14:paraId="2F19EAD2" w14:textId="77777777" w:rsidR="00D4501D" w:rsidRPr="00FC2D93" w:rsidRDefault="00D4501D" w:rsidP="00D4501D">
            <w:pPr>
              <w:pStyle w:val="Tabletext"/>
            </w:pPr>
            <w:r w:rsidRPr="00FC2D93">
              <w:t>4.6 (1.1)</w:t>
            </w:r>
          </w:p>
        </w:tc>
        <w:tc>
          <w:tcPr>
            <w:tcW w:w="1418" w:type="dxa"/>
          </w:tcPr>
          <w:p w14:paraId="10524F1C" w14:textId="77777777" w:rsidR="00D4501D" w:rsidRPr="00FC2D93" w:rsidRDefault="00D4501D" w:rsidP="00D4501D">
            <w:pPr>
              <w:pStyle w:val="Tabletext"/>
            </w:pPr>
            <w:r w:rsidRPr="00FC2D93">
              <w:t>4.6 (1.2)</w:t>
            </w:r>
          </w:p>
        </w:tc>
        <w:tc>
          <w:tcPr>
            <w:tcW w:w="1560" w:type="dxa"/>
          </w:tcPr>
          <w:p w14:paraId="40B1B053" w14:textId="77777777" w:rsidR="00D4501D" w:rsidRPr="00FC2D93" w:rsidRDefault="00D4501D" w:rsidP="00D4501D">
            <w:pPr>
              <w:pStyle w:val="Tabletext"/>
            </w:pPr>
          </w:p>
        </w:tc>
        <w:tc>
          <w:tcPr>
            <w:tcW w:w="1560" w:type="dxa"/>
          </w:tcPr>
          <w:p w14:paraId="7BC6411B" w14:textId="77777777" w:rsidR="00D4501D" w:rsidRPr="00FC2D93" w:rsidRDefault="00D4501D" w:rsidP="00D4501D">
            <w:pPr>
              <w:pStyle w:val="Tabletext"/>
            </w:pPr>
          </w:p>
        </w:tc>
      </w:tr>
      <w:tr w:rsidR="00D4501D" w:rsidRPr="000537B0" w14:paraId="3A47C852" w14:textId="77777777" w:rsidTr="00D4501D">
        <w:tc>
          <w:tcPr>
            <w:tcW w:w="1668" w:type="dxa"/>
          </w:tcPr>
          <w:p w14:paraId="03EBE6FF" w14:textId="77777777" w:rsidR="00D4501D" w:rsidRPr="00FC2D93" w:rsidRDefault="00D4501D" w:rsidP="00D4501D">
            <w:pPr>
              <w:pStyle w:val="Tabletext"/>
            </w:pPr>
          </w:p>
        </w:tc>
        <w:tc>
          <w:tcPr>
            <w:tcW w:w="1276" w:type="dxa"/>
          </w:tcPr>
          <w:p w14:paraId="0C0970C6" w14:textId="77777777" w:rsidR="00D4501D" w:rsidRPr="00FC2D93" w:rsidRDefault="00D4501D" w:rsidP="00D4501D">
            <w:pPr>
              <w:pStyle w:val="Tabletext"/>
            </w:pPr>
            <w:r w:rsidRPr="00FC2D93">
              <w:t>24 months</w:t>
            </w:r>
          </w:p>
        </w:tc>
        <w:tc>
          <w:tcPr>
            <w:tcW w:w="1275" w:type="dxa"/>
          </w:tcPr>
          <w:p w14:paraId="61380EE1" w14:textId="77777777" w:rsidR="00D4501D" w:rsidRPr="00FC2D93" w:rsidRDefault="00D4501D" w:rsidP="00D4501D">
            <w:pPr>
              <w:pStyle w:val="Tabletext"/>
            </w:pPr>
            <w:r w:rsidRPr="00FC2D93">
              <w:t>2.1 (1.6)*</w:t>
            </w:r>
          </w:p>
          <w:p w14:paraId="3E9FBB5C" w14:textId="77777777" w:rsidR="00D4501D" w:rsidRPr="00FC2D93" w:rsidRDefault="00D4501D" w:rsidP="00D4501D">
            <w:pPr>
              <w:pStyle w:val="Tabletext"/>
            </w:pPr>
            <w:r w:rsidRPr="00FC2D93">
              <w:t>significant improvement</w:t>
            </w:r>
          </w:p>
        </w:tc>
        <w:tc>
          <w:tcPr>
            <w:tcW w:w="1418" w:type="dxa"/>
          </w:tcPr>
          <w:p w14:paraId="10E3884C" w14:textId="77777777" w:rsidR="00D4501D" w:rsidRPr="00FC2D93" w:rsidRDefault="00D4501D" w:rsidP="00D4501D">
            <w:pPr>
              <w:pStyle w:val="Tabletext"/>
            </w:pPr>
            <w:r w:rsidRPr="00FC2D93">
              <w:t>1.3 (1.5)*</w:t>
            </w:r>
          </w:p>
          <w:p w14:paraId="03F09737" w14:textId="77777777" w:rsidR="00D4501D" w:rsidRPr="00FC2D93" w:rsidRDefault="00D4501D" w:rsidP="00D4501D">
            <w:pPr>
              <w:pStyle w:val="Tabletext"/>
            </w:pPr>
            <w:r w:rsidRPr="00FC2D93">
              <w:t>significant improvement</w:t>
            </w:r>
          </w:p>
        </w:tc>
        <w:tc>
          <w:tcPr>
            <w:tcW w:w="1560" w:type="dxa"/>
          </w:tcPr>
          <w:p w14:paraId="3FE5D705" w14:textId="77777777" w:rsidR="00D4501D" w:rsidRPr="00FC2D93" w:rsidRDefault="00D4501D" w:rsidP="00D4501D">
            <w:pPr>
              <w:pStyle w:val="Tabletext"/>
            </w:pPr>
            <w:r w:rsidRPr="00FC2D93">
              <w:t>P value 0.066</w:t>
            </w:r>
          </w:p>
        </w:tc>
        <w:tc>
          <w:tcPr>
            <w:tcW w:w="1560" w:type="dxa"/>
          </w:tcPr>
          <w:p w14:paraId="6F76C3F0" w14:textId="77777777" w:rsidR="00D4501D" w:rsidRPr="00FC2D93" w:rsidRDefault="00D4501D" w:rsidP="00D4501D">
            <w:pPr>
              <w:pStyle w:val="Tabletext"/>
            </w:pPr>
            <w:r w:rsidRPr="00FC2D93">
              <w:t>Not significant</w:t>
            </w:r>
          </w:p>
        </w:tc>
      </w:tr>
      <w:tr w:rsidR="00D4501D" w:rsidRPr="000537B0" w14:paraId="43FA6FE2" w14:textId="77777777" w:rsidTr="00D4501D">
        <w:tc>
          <w:tcPr>
            <w:tcW w:w="1668" w:type="dxa"/>
          </w:tcPr>
          <w:p w14:paraId="6EDCCE9F" w14:textId="77777777" w:rsidR="00D4501D" w:rsidRPr="00FC2D93" w:rsidRDefault="00D4501D" w:rsidP="00D4501D">
            <w:pPr>
              <w:pStyle w:val="Tabletext"/>
            </w:pPr>
            <w:r w:rsidRPr="00FC2D93">
              <w:t>SHIM</w:t>
            </w:r>
          </w:p>
        </w:tc>
        <w:tc>
          <w:tcPr>
            <w:tcW w:w="1276" w:type="dxa"/>
          </w:tcPr>
          <w:p w14:paraId="27EFABFD" w14:textId="77777777" w:rsidR="00D4501D" w:rsidRPr="00FC2D93" w:rsidRDefault="00D4501D" w:rsidP="00D4501D">
            <w:pPr>
              <w:pStyle w:val="Tabletext"/>
            </w:pPr>
            <w:r w:rsidRPr="00FC2D93">
              <w:t>Baseline</w:t>
            </w:r>
          </w:p>
        </w:tc>
        <w:tc>
          <w:tcPr>
            <w:tcW w:w="1275" w:type="dxa"/>
          </w:tcPr>
          <w:p w14:paraId="30A5D710" w14:textId="77777777" w:rsidR="00D4501D" w:rsidRPr="00FC2D93" w:rsidRDefault="00D4501D" w:rsidP="00D4501D">
            <w:pPr>
              <w:pStyle w:val="Tabletext"/>
            </w:pPr>
            <w:r w:rsidRPr="00FC2D93">
              <w:t>20.4 (4.5)</w:t>
            </w:r>
          </w:p>
        </w:tc>
        <w:tc>
          <w:tcPr>
            <w:tcW w:w="1418" w:type="dxa"/>
          </w:tcPr>
          <w:p w14:paraId="65384598" w14:textId="77777777" w:rsidR="00D4501D" w:rsidRPr="00FC2D93" w:rsidRDefault="00D4501D" w:rsidP="00D4501D">
            <w:pPr>
              <w:pStyle w:val="Tabletext"/>
            </w:pPr>
            <w:r w:rsidRPr="00FC2D93">
              <w:t>18.5 (5.3)</w:t>
            </w:r>
          </w:p>
        </w:tc>
        <w:tc>
          <w:tcPr>
            <w:tcW w:w="1560" w:type="dxa"/>
          </w:tcPr>
          <w:p w14:paraId="3AD2CEAE" w14:textId="77777777" w:rsidR="00D4501D" w:rsidRPr="00FC2D93" w:rsidRDefault="00D4501D" w:rsidP="00D4501D">
            <w:pPr>
              <w:pStyle w:val="Tabletext"/>
            </w:pPr>
          </w:p>
        </w:tc>
        <w:tc>
          <w:tcPr>
            <w:tcW w:w="1560" w:type="dxa"/>
          </w:tcPr>
          <w:p w14:paraId="444FC9B8" w14:textId="77777777" w:rsidR="00D4501D" w:rsidRPr="00FC2D93" w:rsidRDefault="00D4501D" w:rsidP="00D4501D">
            <w:pPr>
              <w:pStyle w:val="Tabletext"/>
            </w:pPr>
          </w:p>
        </w:tc>
      </w:tr>
      <w:tr w:rsidR="00D4501D" w:rsidRPr="000537B0" w14:paraId="30E7E278" w14:textId="77777777" w:rsidTr="00D4501D">
        <w:tc>
          <w:tcPr>
            <w:tcW w:w="1668" w:type="dxa"/>
          </w:tcPr>
          <w:p w14:paraId="79A31B59" w14:textId="77777777" w:rsidR="00D4501D" w:rsidRPr="00FC2D93" w:rsidRDefault="00D4501D" w:rsidP="00D4501D">
            <w:pPr>
              <w:pStyle w:val="Tabletext"/>
            </w:pPr>
          </w:p>
        </w:tc>
        <w:tc>
          <w:tcPr>
            <w:tcW w:w="1276" w:type="dxa"/>
          </w:tcPr>
          <w:p w14:paraId="015D14E8" w14:textId="77777777" w:rsidR="00D4501D" w:rsidRPr="00FC2D93" w:rsidRDefault="00D4501D" w:rsidP="00D4501D">
            <w:pPr>
              <w:pStyle w:val="Tabletext"/>
            </w:pPr>
            <w:r w:rsidRPr="00FC2D93">
              <w:t>24 months</w:t>
            </w:r>
          </w:p>
          <w:p w14:paraId="6AF7A739" w14:textId="77777777" w:rsidR="00D4501D" w:rsidRPr="00FC2D93" w:rsidRDefault="00D4501D" w:rsidP="00D4501D">
            <w:pPr>
              <w:pStyle w:val="Tabletext"/>
            </w:pPr>
            <w:r w:rsidRPr="00FC2D93">
              <w:t>Change</w:t>
            </w:r>
          </w:p>
        </w:tc>
        <w:tc>
          <w:tcPr>
            <w:tcW w:w="1275" w:type="dxa"/>
          </w:tcPr>
          <w:p w14:paraId="39D73696" w14:textId="77777777" w:rsidR="00D4501D" w:rsidRPr="00FC2D93" w:rsidRDefault="00D4501D" w:rsidP="00D4501D">
            <w:pPr>
              <w:pStyle w:val="Tabletext"/>
            </w:pPr>
            <w:r w:rsidRPr="00FC2D93">
              <w:t>-0.2 (4.3)</w:t>
            </w:r>
          </w:p>
        </w:tc>
        <w:tc>
          <w:tcPr>
            <w:tcW w:w="1418" w:type="dxa"/>
          </w:tcPr>
          <w:p w14:paraId="1055E7B2" w14:textId="77777777" w:rsidR="00D4501D" w:rsidRPr="00FC2D93" w:rsidRDefault="00D4501D" w:rsidP="00D4501D">
            <w:pPr>
              <w:pStyle w:val="Tabletext"/>
            </w:pPr>
            <w:r w:rsidRPr="00FC2D93">
              <w:t>-1.8 (4.9)</w:t>
            </w:r>
          </w:p>
        </w:tc>
        <w:tc>
          <w:tcPr>
            <w:tcW w:w="1560" w:type="dxa"/>
          </w:tcPr>
          <w:p w14:paraId="4AA64AEA" w14:textId="77777777" w:rsidR="00D4501D" w:rsidRPr="00FC2D93" w:rsidRDefault="00D4501D" w:rsidP="00D4501D">
            <w:pPr>
              <w:pStyle w:val="Tabletext"/>
            </w:pPr>
            <w:r w:rsidRPr="00FC2D93">
              <w:t>P value 0.201</w:t>
            </w:r>
          </w:p>
        </w:tc>
        <w:tc>
          <w:tcPr>
            <w:tcW w:w="1560" w:type="dxa"/>
          </w:tcPr>
          <w:p w14:paraId="6894D623" w14:textId="77777777" w:rsidR="00D4501D" w:rsidRPr="00FC2D93" w:rsidRDefault="00D4501D" w:rsidP="00D4501D">
            <w:pPr>
              <w:pStyle w:val="Tabletext"/>
            </w:pPr>
            <w:r w:rsidRPr="00FC2D93">
              <w:t>Not significant</w:t>
            </w:r>
          </w:p>
        </w:tc>
      </w:tr>
      <w:tr w:rsidR="00D4501D" w:rsidRPr="000537B0" w14:paraId="6873D39B" w14:textId="77777777" w:rsidTr="00D4501D">
        <w:tc>
          <w:tcPr>
            <w:tcW w:w="1668" w:type="dxa"/>
          </w:tcPr>
          <w:p w14:paraId="4AE7E2B2" w14:textId="77777777" w:rsidR="00D4501D" w:rsidRPr="00FC2D93" w:rsidRDefault="00D4501D" w:rsidP="00D4501D">
            <w:pPr>
              <w:pStyle w:val="Tabletext"/>
            </w:pPr>
            <w:r w:rsidRPr="00FC2D93">
              <w:t>MSHQ-EjD</w:t>
            </w:r>
          </w:p>
        </w:tc>
        <w:tc>
          <w:tcPr>
            <w:tcW w:w="1276" w:type="dxa"/>
          </w:tcPr>
          <w:p w14:paraId="3CF09CFB" w14:textId="77777777" w:rsidR="00D4501D" w:rsidRPr="00FC2D93" w:rsidRDefault="00D4501D" w:rsidP="00D4501D">
            <w:pPr>
              <w:pStyle w:val="Tabletext"/>
            </w:pPr>
            <w:r w:rsidRPr="00FC2D93">
              <w:t>Baseline</w:t>
            </w:r>
          </w:p>
        </w:tc>
        <w:tc>
          <w:tcPr>
            <w:tcW w:w="1275" w:type="dxa"/>
          </w:tcPr>
          <w:p w14:paraId="75C32C9C" w14:textId="77777777" w:rsidR="00D4501D" w:rsidRPr="00FC2D93" w:rsidRDefault="00D4501D" w:rsidP="00D4501D">
            <w:pPr>
              <w:pStyle w:val="Tabletext"/>
            </w:pPr>
            <w:r w:rsidRPr="00FC2D93">
              <w:t>10.6 (2.8)</w:t>
            </w:r>
          </w:p>
        </w:tc>
        <w:tc>
          <w:tcPr>
            <w:tcW w:w="1418" w:type="dxa"/>
          </w:tcPr>
          <w:p w14:paraId="5B935E4C" w14:textId="77777777" w:rsidR="00D4501D" w:rsidRPr="00FC2D93" w:rsidRDefault="00D4501D" w:rsidP="00D4501D">
            <w:pPr>
              <w:pStyle w:val="Tabletext"/>
            </w:pPr>
            <w:r w:rsidRPr="00FC2D93">
              <w:t>8.9 (2.3)</w:t>
            </w:r>
          </w:p>
        </w:tc>
        <w:tc>
          <w:tcPr>
            <w:tcW w:w="1560" w:type="dxa"/>
          </w:tcPr>
          <w:p w14:paraId="3F956CBD" w14:textId="77777777" w:rsidR="00D4501D" w:rsidRPr="00FC2D93" w:rsidRDefault="00D4501D" w:rsidP="00D4501D">
            <w:pPr>
              <w:pStyle w:val="Tabletext"/>
            </w:pPr>
          </w:p>
        </w:tc>
        <w:tc>
          <w:tcPr>
            <w:tcW w:w="1560" w:type="dxa"/>
          </w:tcPr>
          <w:p w14:paraId="62797469" w14:textId="77777777" w:rsidR="00D4501D" w:rsidRPr="00FC2D93" w:rsidRDefault="00D4501D" w:rsidP="00D4501D">
            <w:pPr>
              <w:pStyle w:val="Tabletext"/>
            </w:pPr>
          </w:p>
        </w:tc>
      </w:tr>
      <w:tr w:rsidR="00D4501D" w:rsidRPr="000537B0" w14:paraId="6384EF50" w14:textId="77777777" w:rsidTr="00D4501D">
        <w:tc>
          <w:tcPr>
            <w:tcW w:w="1668" w:type="dxa"/>
          </w:tcPr>
          <w:p w14:paraId="3E89DDFD" w14:textId="77777777" w:rsidR="00D4501D" w:rsidRPr="00FC2D93" w:rsidRDefault="00D4501D" w:rsidP="00D4501D">
            <w:pPr>
              <w:pStyle w:val="Tabletext"/>
            </w:pPr>
          </w:p>
        </w:tc>
        <w:tc>
          <w:tcPr>
            <w:tcW w:w="1276" w:type="dxa"/>
          </w:tcPr>
          <w:p w14:paraId="4A161657" w14:textId="77777777" w:rsidR="00D4501D" w:rsidRPr="00FC2D93" w:rsidRDefault="00D4501D" w:rsidP="00D4501D">
            <w:pPr>
              <w:pStyle w:val="Tabletext"/>
            </w:pPr>
            <w:r w:rsidRPr="00FC2D93">
              <w:t>24 months</w:t>
            </w:r>
          </w:p>
        </w:tc>
        <w:tc>
          <w:tcPr>
            <w:tcW w:w="1275" w:type="dxa"/>
          </w:tcPr>
          <w:p w14:paraId="4C63E2DE" w14:textId="77777777" w:rsidR="00D4501D" w:rsidRPr="00FC2D93" w:rsidRDefault="00D4501D" w:rsidP="00D4501D">
            <w:pPr>
              <w:pStyle w:val="Tabletext"/>
            </w:pPr>
            <w:r w:rsidRPr="00FC2D93">
              <w:t>10.9 (3.3)</w:t>
            </w:r>
          </w:p>
        </w:tc>
        <w:tc>
          <w:tcPr>
            <w:tcW w:w="1418" w:type="dxa"/>
          </w:tcPr>
          <w:p w14:paraId="2F0341A1" w14:textId="77777777" w:rsidR="00D4501D" w:rsidRPr="00FC2D93" w:rsidRDefault="00D4501D" w:rsidP="00D4501D">
            <w:pPr>
              <w:pStyle w:val="Tabletext"/>
            </w:pPr>
            <w:r w:rsidRPr="00FC2D93">
              <w:t>4.9 (4.6)*</w:t>
            </w:r>
          </w:p>
          <w:p w14:paraId="2AF9954E" w14:textId="77777777" w:rsidR="00D4501D" w:rsidRPr="00FC2D93" w:rsidRDefault="00D4501D" w:rsidP="00D4501D">
            <w:pPr>
              <w:pStyle w:val="Tabletext"/>
            </w:pPr>
            <w:r w:rsidRPr="00FC2D93">
              <w:t>significant deterioration</w:t>
            </w:r>
          </w:p>
        </w:tc>
        <w:tc>
          <w:tcPr>
            <w:tcW w:w="1560" w:type="dxa"/>
          </w:tcPr>
          <w:p w14:paraId="43E1A6AE" w14:textId="77777777" w:rsidR="00D4501D" w:rsidRPr="00FC2D93" w:rsidRDefault="00D4501D" w:rsidP="00D4501D">
            <w:pPr>
              <w:pStyle w:val="Tabletext"/>
            </w:pPr>
            <w:r w:rsidRPr="00FC2D93">
              <w:t>P value 0.001</w:t>
            </w:r>
          </w:p>
        </w:tc>
        <w:tc>
          <w:tcPr>
            <w:tcW w:w="1560" w:type="dxa"/>
          </w:tcPr>
          <w:p w14:paraId="42C436C7" w14:textId="77777777" w:rsidR="00D4501D" w:rsidRPr="00FC2D93" w:rsidRDefault="00D4501D" w:rsidP="00D4501D">
            <w:pPr>
              <w:pStyle w:val="Tabletext"/>
            </w:pPr>
            <w:r w:rsidRPr="00FC2D93">
              <w:t>Significant</w:t>
            </w:r>
          </w:p>
          <w:p w14:paraId="7C765AC3" w14:textId="77777777" w:rsidR="00D4501D" w:rsidRPr="00FC2D93" w:rsidRDefault="00D4501D" w:rsidP="00D4501D">
            <w:pPr>
              <w:pStyle w:val="Tabletext"/>
            </w:pPr>
            <w:r w:rsidRPr="00FC2D93">
              <w:t>favours PUL</w:t>
            </w:r>
          </w:p>
        </w:tc>
      </w:tr>
    </w:tbl>
    <w:p w14:paraId="7DDDAF4B" w14:textId="77777777" w:rsidR="00D4501D" w:rsidRDefault="00D4501D" w:rsidP="00C11BBE">
      <w:pPr>
        <w:pStyle w:val="Tablenotes"/>
      </w:pPr>
      <w:r>
        <w:t xml:space="preserve">Abbreviations: </w:t>
      </w:r>
      <w:r w:rsidRPr="000537B0">
        <w:t>IPSS = International Prostate Symptoms Score (decreased score indicates symptom relief), IPSS-QoL = International Prostate Symptoms Score – Quality of Life (decreased score indicates improvement); PVR = post-void residual urine volume (decreased score indicates better quality of recovery), SHIM, sexual health inventory for men (decreased score suggests improvement). *Hochberg method for multiple testing corrected P value &gt;0.05 for difference between baseline and 24 months. MSHQ-EjD - Ejaculatory Dysfunction (increased score suggests improvement), Qmax = peak flow rate (increase suggests better quality of recovery).</w:t>
      </w:r>
    </w:p>
    <w:p w14:paraId="19754686" w14:textId="1A9713EA" w:rsidR="00D4501D" w:rsidRDefault="00D4501D" w:rsidP="00C11BBE">
      <w:pPr>
        <w:pStyle w:val="Tablenotes"/>
      </w:pPr>
      <w:r>
        <w:t>Source: Table 2, p18 of the commentary</w:t>
      </w:r>
    </w:p>
    <w:p w14:paraId="23D15BA4" w14:textId="7BF9DB2B" w:rsidR="00D4501D" w:rsidRDefault="00D4501D" w:rsidP="00C11BBE">
      <w:pPr>
        <w:spacing w:before="240"/>
      </w:pPr>
      <w:r>
        <w:t>The commentary noted that, i</w:t>
      </w:r>
      <w:r w:rsidRPr="000537B0">
        <w:t>n order to be defined as a responder</w:t>
      </w:r>
      <w:r>
        <w:t xml:space="preserve"> in the BHP6 study, all of the </w:t>
      </w:r>
      <w:r w:rsidRPr="000537B0">
        <w:t xml:space="preserve">thresholds had to be met. </w:t>
      </w:r>
      <w:r>
        <w:t>An unweighted composite measure which combines five safety outcomes and only one effectiveness outcome is biased against TURP.</w:t>
      </w:r>
    </w:p>
    <w:p w14:paraId="149F09AB" w14:textId="47B4652D" w:rsidR="00D4501D" w:rsidRPr="00566E7E" w:rsidRDefault="00D4501D" w:rsidP="00D4501D">
      <w:r>
        <w:lastRenderedPageBreak/>
        <w:t>The commentary noted that t</w:t>
      </w:r>
      <w:r w:rsidRPr="00340814">
        <w:t xml:space="preserve">he </w:t>
      </w:r>
      <w:r>
        <w:t xml:space="preserve">key measure of LUTS relief, the IPSS score, showed that TURP was significantly better than PUL at reducing symptoms. The average patient who underwent PUL still had moderate severity BPH at 24 months (mean IPSS = 12.2), which remained above the minimum IPSS required to be eligible for PUL (IPSS &gt;12). </w:t>
      </w:r>
    </w:p>
    <w:p w14:paraId="7866A873" w14:textId="52D51C4B" w:rsidR="00D4501D" w:rsidRDefault="00D4501D" w:rsidP="00C11BBE">
      <w:pPr>
        <w:spacing w:before="240"/>
      </w:pPr>
      <w:r>
        <w:t>The commentary considered that b</w:t>
      </w:r>
      <w:r w:rsidRPr="000537B0">
        <w:t xml:space="preserve">ased on the results of the BPH6, a more appropriate clinical claim for PUL would be </w:t>
      </w:r>
      <w:r w:rsidRPr="000F7207">
        <w:t>superior safety and inferior effectiveness</w:t>
      </w:r>
      <w:r w:rsidRPr="000537B0">
        <w:t xml:space="preserve"> to TURP</w:t>
      </w:r>
      <w:r>
        <w:t xml:space="preserve"> in patients with moderate to severe BPH</w:t>
      </w:r>
      <w:r w:rsidRPr="000537B0">
        <w:t xml:space="preserve">. For </w:t>
      </w:r>
      <w:r>
        <w:t>patients</w:t>
      </w:r>
      <w:r w:rsidRPr="000537B0">
        <w:t xml:space="preserve"> in whom ejaculatory functioning is a key priority, PUL may be the preferred option, despite not being as effective at reducing symptoms of BPH as TURP. However, the</w:t>
      </w:r>
      <w:r>
        <w:t xml:space="preserve"> commentary considered the</w:t>
      </w:r>
      <w:r w:rsidRPr="000537B0">
        <w:t xml:space="preserve"> two procedures cann</w:t>
      </w:r>
      <w:r w:rsidR="00C11BBE">
        <w:t>ot be claimed to be equivalent.</w:t>
      </w:r>
    </w:p>
    <w:p w14:paraId="15594E8C" w14:textId="77777777" w:rsidR="00D4501D" w:rsidRPr="00D863C8" w:rsidRDefault="00D4501D" w:rsidP="00D863C8">
      <w:pPr>
        <w:spacing w:before="240"/>
        <w:rPr>
          <w:u w:val="single"/>
        </w:rPr>
      </w:pPr>
      <w:r w:rsidRPr="00D863C8">
        <w:rPr>
          <w:u w:val="single"/>
        </w:rPr>
        <w:t>VLAP versus TURP</w:t>
      </w:r>
    </w:p>
    <w:p w14:paraId="5C288E88" w14:textId="36E64940" w:rsidR="00D4501D" w:rsidRDefault="00D4501D" w:rsidP="00D4501D">
      <w:r w:rsidRPr="000537B0">
        <w:t>On the basis of the benefits and harms reported in th</w:t>
      </w:r>
      <w:r>
        <w:t xml:space="preserve">e evidence base (summarised in </w:t>
      </w:r>
      <w:r>
        <w:fldChar w:fldCharType="begin"/>
      </w:r>
      <w:r>
        <w:instrText xml:space="preserve"> REF _Ref40959508 \h </w:instrText>
      </w:r>
      <w:r>
        <w:fldChar w:fldCharType="separate"/>
      </w:r>
      <w:r>
        <w:t xml:space="preserve">Table </w:t>
      </w:r>
      <w:r>
        <w:rPr>
          <w:noProof/>
        </w:rPr>
        <w:t>7</w:t>
      </w:r>
      <w:r>
        <w:fldChar w:fldCharType="end"/>
      </w:r>
      <w:r>
        <w:t xml:space="preserve"> below</w:t>
      </w:r>
      <w:r w:rsidRPr="000537B0">
        <w:t xml:space="preserve">), </w:t>
      </w:r>
      <w:r>
        <w:t>the ADAR</w:t>
      </w:r>
      <w:r w:rsidRPr="000537B0">
        <w:rPr>
          <w:b/>
        </w:rPr>
        <w:t xml:space="preserve"> </w:t>
      </w:r>
      <w:r w:rsidRPr="000A50BA">
        <w:t>suggested that, relative to TURP, VLAP has non-inferior safety and effectiveness.</w:t>
      </w:r>
    </w:p>
    <w:p w14:paraId="1AF0D418" w14:textId="58F4CDA1" w:rsidR="00D4501D" w:rsidRPr="00250EF2" w:rsidRDefault="00D4501D" w:rsidP="00250EF2">
      <w:pPr>
        <w:spacing w:before="240"/>
        <w:rPr>
          <w:rFonts w:ascii="Arial Narrow" w:hAnsi="Arial Narrow"/>
          <w:b/>
          <w:sz w:val="20"/>
        </w:rPr>
      </w:pPr>
      <w:bookmarkStart w:id="18" w:name="_Ref40959508"/>
      <w:r w:rsidRPr="00250EF2">
        <w:rPr>
          <w:rFonts w:ascii="Arial Narrow" w:hAnsi="Arial Narrow"/>
          <w:b/>
          <w:sz w:val="20"/>
        </w:rPr>
        <w:t xml:space="preserve">Table </w:t>
      </w:r>
      <w:r w:rsidR="00C11BBE" w:rsidRPr="00250EF2">
        <w:rPr>
          <w:rFonts w:ascii="Arial Narrow" w:hAnsi="Arial Narrow"/>
          <w:b/>
          <w:sz w:val="20"/>
        </w:rPr>
        <w:fldChar w:fldCharType="begin"/>
      </w:r>
      <w:r w:rsidR="00C11BBE" w:rsidRPr="00250EF2">
        <w:rPr>
          <w:rFonts w:ascii="Arial Narrow" w:hAnsi="Arial Narrow"/>
          <w:b/>
          <w:sz w:val="20"/>
        </w:rPr>
        <w:instrText xml:space="preserve"> SEQ Table \* ARABIC </w:instrText>
      </w:r>
      <w:r w:rsidR="00C11BBE" w:rsidRPr="00250EF2">
        <w:rPr>
          <w:rFonts w:ascii="Arial Narrow" w:hAnsi="Arial Narrow"/>
          <w:b/>
          <w:sz w:val="20"/>
        </w:rPr>
        <w:fldChar w:fldCharType="separate"/>
      </w:r>
      <w:r w:rsidR="003636DE" w:rsidRPr="00250EF2">
        <w:rPr>
          <w:rFonts w:ascii="Arial Narrow" w:hAnsi="Arial Narrow"/>
          <w:b/>
          <w:sz w:val="20"/>
        </w:rPr>
        <w:t>7</w:t>
      </w:r>
      <w:r w:rsidR="00C11BBE" w:rsidRPr="00250EF2">
        <w:rPr>
          <w:rFonts w:ascii="Arial Narrow" w:hAnsi="Arial Narrow"/>
          <w:b/>
          <w:sz w:val="20"/>
        </w:rPr>
        <w:fldChar w:fldCharType="end"/>
      </w:r>
      <w:bookmarkEnd w:id="18"/>
      <w:r w:rsidRPr="00250EF2">
        <w:rPr>
          <w:rFonts w:ascii="Arial Narrow" w:hAnsi="Arial Narrow"/>
          <w:b/>
          <w:sz w:val="20"/>
        </w:rPr>
        <w:t xml:space="preserve"> Balance of clinical benefits and harms of VLAP, relative to TURP, and as measured by the critical patient-relevant outcomes in the GOLIATH study at 24 months</w:t>
      </w:r>
    </w:p>
    <w:tbl>
      <w:tblPr>
        <w:tblStyle w:val="TableGrid15"/>
        <w:tblW w:w="0" w:type="auto"/>
        <w:tblLook w:val="04A0" w:firstRow="1" w:lastRow="0" w:firstColumn="1" w:lastColumn="0" w:noHBand="0" w:noVBand="1"/>
        <w:tblCaption w:val="Comparison of VLAP and TURP"/>
        <w:tblDescription w:val="VLAP and TURP were noninferior on the outcomes of IPSS and Qmax. "/>
      </w:tblPr>
      <w:tblGrid>
        <w:gridCol w:w="1242"/>
        <w:gridCol w:w="1276"/>
        <w:gridCol w:w="1276"/>
        <w:gridCol w:w="1417"/>
        <w:gridCol w:w="1560"/>
        <w:gridCol w:w="1560"/>
      </w:tblGrid>
      <w:tr w:rsidR="00D4501D" w:rsidRPr="000537B0" w14:paraId="41B0140F" w14:textId="77777777" w:rsidTr="00221228">
        <w:trPr>
          <w:tblHeader/>
        </w:trPr>
        <w:tc>
          <w:tcPr>
            <w:tcW w:w="1242" w:type="dxa"/>
          </w:tcPr>
          <w:p w14:paraId="24056AA5" w14:textId="77777777" w:rsidR="00D4501D" w:rsidRPr="000537B0" w:rsidRDefault="00D4501D" w:rsidP="00D4501D">
            <w:pPr>
              <w:pStyle w:val="Tabletext"/>
            </w:pPr>
            <w:r w:rsidRPr="000537B0">
              <w:t>Endpoint</w:t>
            </w:r>
          </w:p>
        </w:tc>
        <w:tc>
          <w:tcPr>
            <w:tcW w:w="1276" w:type="dxa"/>
          </w:tcPr>
          <w:p w14:paraId="7ED9122E" w14:textId="77777777" w:rsidR="00D4501D" w:rsidRPr="000537B0" w:rsidRDefault="00D4501D" w:rsidP="00D4501D">
            <w:pPr>
              <w:pStyle w:val="Tabletext"/>
            </w:pPr>
          </w:p>
        </w:tc>
        <w:tc>
          <w:tcPr>
            <w:tcW w:w="1276" w:type="dxa"/>
          </w:tcPr>
          <w:p w14:paraId="689B7189" w14:textId="77777777" w:rsidR="00D4501D" w:rsidRPr="000537B0" w:rsidRDefault="00D4501D" w:rsidP="00D4501D">
            <w:pPr>
              <w:pStyle w:val="Tabletext"/>
            </w:pPr>
            <w:r w:rsidRPr="000537B0">
              <w:t>VLAP</w:t>
            </w:r>
          </w:p>
        </w:tc>
        <w:tc>
          <w:tcPr>
            <w:tcW w:w="1417" w:type="dxa"/>
          </w:tcPr>
          <w:p w14:paraId="2E5F744E" w14:textId="77777777" w:rsidR="00D4501D" w:rsidRPr="000537B0" w:rsidRDefault="00D4501D" w:rsidP="00D4501D">
            <w:pPr>
              <w:pStyle w:val="Tabletext"/>
            </w:pPr>
            <w:r w:rsidRPr="000537B0">
              <w:t>TURP</w:t>
            </w:r>
          </w:p>
        </w:tc>
        <w:tc>
          <w:tcPr>
            <w:tcW w:w="1560" w:type="dxa"/>
          </w:tcPr>
          <w:p w14:paraId="1EFD9E84" w14:textId="77777777" w:rsidR="00D4501D" w:rsidRPr="000537B0" w:rsidRDefault="00D4501D" w:rsidP="00D4501D">
            <w:pPr>
              <w:pStyle w:val="Tabletext"/>
            </w:pPr>
            <w:r w:rsidRPr="000537B0">
              <w:t>Difference</w:t>
            </w:r>
          </w:p>
        </w:tc>
        <w:tc>
          <w:tcPr>
            <w:tcW w:w="1560" w:type="dxa"/>
          </w:tcPr>
          <w:p w14:paraId="02B7010D" w14:textId="77777777" w:rsidR="00D4501D" w:rsidRPr="000537B0" w:rsidRDefault="00D4501D" w:rsidP="00D4501D">
            <w:pPr>
              <w:pStyle w:val="Tabletext"/>
            </w:pPr>
          </w:p>
        </w:tc>
      </w:tr>
      <w:tr w:rsidR="00D4501D" w:rsidRPr="000537B0" w14:paraId="1E4C254F" w14:textId="77777777" w:rsidTr="00D4501D">
        <w:tc>
          <w:tcPr>
            <w:tcW w:w="1242" w:type="dxa"/>
          </w:tcPr>
          <w:p w14:paraId="1AFE501B" w14:textId="77777777" w:rsidR="00D4501D" w:rsidRPr="000537B0" w:rsidRDefault="00D4501D" w:rsidP="00D4501D">
            <w:pPr>
              <w:pStyle w:val="Tabletext"/>
            </w:pPr>
            <w:r w:rsidRPr="000537B0">
              <w:t>IPSS Score</w:t>
            </w:r>
          </w:p>
        </w:tc>
        <w:tc>
          <w:tcPr>
            <w:tcW w:w="1276" w:type="dxa"/>
          </w:tcPr>
          <w:p w14:paraId="2953DF52" w14:textId="77777777" w:rsidR="00D4501D" w:rsidRPr="000537B0" w:rsidRDefault="00D4501D" w:rsidP="00D4501D">
            <w:pPr>
              <w:pStyle w:val="Tabletext"/>
            </w:pPr>
            <w:r w:rsidRPr="000537B0">
              <w:t>Baseline</w:t>
            </w:r>
          </w:p>
        </w:tc>
        <w:tc>
          <w:tcPr>
            <w:tcW w:w="1276" w:type="dxa"/>
          </w:tcPr>
          <w:p w14:paraId="11AB1985" w14:textId="77777777" w:rsidR="00D4501D" w:rsidRPr="000537B0" w:rsidRDefault="00D4501D" w:rsidP="00D4501D">
            <w:pPr>
              <w:pStyle w:val="Tabletext"/>
            </w:pPr>
            <w:r w:rsidRPr="000537B0">
              <w:t>21.2 ± 5.9</w:t>
            </w:r>
          </w:p>
        </w:tc>
        <w:tc>
          <w:tcPr>
            <w:tcW w:w="1417" w:type="dxa"/>
          </w:tcPr>
          <w:p w14:paraId="6BFEB6CA" w14:textId="77777777" w:rsidR="00D4501D" w:rsidRPr="000537B0" w:rsidRDefault="00D4501D" w:rsidP="00D4501D">
            <w:pPr>
              <w:pStyle w:val="Tabletext"/>
            </w:pPr>
            <w:r w:rsidRPr="000537B0">
              <w:t>21.7 ± 6.4</w:t>
            </w:r>
          </w:p>
        </w:tc>
        <w:tc>
          <w:tcPr>
            <w:tcW w:w="1560" w:type="dxa"/>
          </w:tcPr>
          <w:p w14:paraId="25B75B6B" w14:textId="77777777" w:rsidR="00D4501D" w:rsidRPr="000537B0" w:rsidRDefault="00D4501D" w:rsidP="00D4501D">
            <w:pPr>
              <w:pStyle w:val="Tabletext"/>
            </w:pPr>
          </w:p>
        </w:tc>
        <w:tc>
          <w:tcPr>
            <w:tcW w:w="1560" w:type="dxa"/>
          </w:tcPr>
          <w:p w14:paraId="063AF16A" w14:textId="77777777" w:rsidR="00D4501D" w:rsidRPr="000537B0" w:rsidRDefault="00D4501D" w:rsidP="00D4501D">
            <w:pPr>
              <w:pStyle w:val="Tabletext"/>
            </w:pPr>
          </w:p>
        </w:tc>
      </w:tr>
      <w:tr w:rsidR="00D4501D" w:rsidRPr="000537B0" w14:paraId="226D947A" w14:textId="77777777" w:rsidTr="00D4501D">
        <w:tc>
          <w:tcPr>
            <w:tcW w:w="1242" w:type="dxa"/>
          </w:tcPr>
          <w:p w14:paraId="6A400B35" w14:textId="77777777" w:rsidR="00D4501D" w:rsidRPr="000537B0" w:rsidRDefault="00D4501D" w:rsidP="00D4501D">
            <w:pPr>
              <w:pStyle w:val="Tabletext"/>
            </w:pPr>
          </w:p>
        </w:tc>
        <w:tc>
          <w:tcPr>
            <w:tcW w:w="1276" w:type="dxa"/>
          </w:tcPr>
          <w:p w14:paraId="35FAE358" w14:textId="77777777" w:rsidR="00D4501D" w:rsidRPr="000537B0" w:rsidRDefault="00D4501D" w:rsidP="00D4501D">
            <w:pPr>
              <w:pStyle w:val="Tabletext"/>
            </w:pPr>
            <w:r w:rsidRPr="000537B0">
              <w:t>24 months</w:t>
            </w:r>
          </w:p>
        </w:tc>
        <w:tc>
          <w:tcPr>
            <w:tcW w:w="1276" w:type="dxa"/>
          </w:tcPr>
          <w:p w14:paraId="74F080CE" w14:textId="77777777" w:rsidR="00D4501D" w:rsidRPr="000537B0" w:rsidRDefault="00D4501D" w:rsidP="00D4501D">
            <w:pPr>
              <w:pStyle w:val="Tabletext"/>
            </w:pPr>
            <w:r w:rsidRPr="000537B0">
              <w:t>6.9 ± 6.0</w:t>
            </w:r>
          </w:p>
        </w:tc>
        <w:tc>
          <w:tcPr>
            <w:tcW w:w="1417" w:type="dxa"/>
          </w:tcPr>
          <w:p w14:paraId="498A56DF" w14:textId="77777777" w:rsidR="00D4501D" w:rsidRPr="000537B0" w:rsidRDefault="00D4501D" w:rsidP="00D4501D">
            <w:pPr>
              <w:pStyle w:val="Tabletext"/>
            </w:pPr>
            <w:r w:rsidRPr="000537B0">
              <w:t>5.9 ± 6.1</w:t>
            </w:r>
          </w:p>
        </w:tc>
        <w:tc>
          <w:tcPr>
            <w:tcW w:w="1560" w:type="dxa"/>
          </w:tcPr>
          <w:p w14:paraId="5B33828D" w14:textId="77777777" w:rsidR="00D4501D" w:rsidRPr="000537B0" w:rsidRDefault="00D4501D" w:rsidP="00D4501D">
            <w:pPr>
              <w:pStyle w:val="Tabletext"/>
            </w:pPr>
            <w:r w:rsidRPr="000537B0">
              <w:t>1.0 [-0.5, 2.5]</w:t>
            </w:r>
          </w:p>
        </w:tc>
        <w:tc>
          <w:tcPr>
            <w:tcW w:w="1560" w:type="dxa"/>
          </w:tcPr>
          <w:p w14:paraId="62243762" w14:textId="77777777" w:rsidR="00D4501D" w:rsidRPr="000537B0" w:rsidRDefault="00D4501D" w:rsidP="00D4501D">
            <w:pPr>
              <w:pStyle w:val="Tabletext"/>
            </w:pPr>
            <w:r w:rsidRPr="000537B0">
              <w:t>Non-inferior</w:t>
            </w:r>
          </w:p>
        </w:tc>
      </w:tr>
      <w:tr w:rsidR="00D4501D" w:rsidRPr="000537B0" w14:paraId="0FFE17A1" w14:textId="77777777" w:rsidTr="00D4501D">
        <w:tc>
          <w:tcPr>
            <w:tcW w:w="1242" w:type="dxa"/>
          </w:tcPr>
          <w:p w14:paraId="60E5D90C" w14:textId="77777777" w:rsidR="00D4501D" w:rsidRPr="000537B0" w:rsidRDefault="00D4501D" w:rsidP="00D4501D">
            <w:pPr>
              <w:pStyle w:val="Tabletext"/>
            </w:pPr>
            <w:r w:rsidRPr="000537B0">
              <w:t>Qmax (ml/s)</w:t>
            </w:r>
          </w:p>
        </w:tc>
        <w:tc>
          <w:tcPr>
            <w:tcW w:w="1276" w:type="dxa"/>
          </w:tcPr>
          <w:p w14:paraId="6CC47B32" w14:textId="77777777" w:rsidR="00D4501D" w:rsidRPr="000537B0" w:rsidRDefault="00D4501D" w:rsidP="00D4501D">
            <w:pPr>
              <w:pStyle w:val="Tabletext"/>
            </w:pPr>
            <w:r w:rsidRPr="000537B0">
              <w:t>Baseline</w:t>
            </w:r>
          </w:p>
        </w:tc>
        <w:tc>
          <w:tcPr>
            <w:tcW w:w="1276" w:type="dxa"/>
          </w:tcPr>
          <w:p w14:paraId="48B72533" w14:textId="77777777" w:rsidR="00D4501D" w:rsidRPr="000537B0" w:rsidRDefault="00D4501D" w:rsidP="00D4501D">
            <w:pPr>
              <w:pStyle w:val="Tabletext"/>
            </w:pPr>
            <w:r w:rsidRPr="000537B0">
              <w:t>9.5 ± 3.0</w:t>
            </w:r>
          </w:p>
        </w:tc>
        <w:tc>
          <w:tcPr>
            <w:tcW w:w="1417" w:type="dxa"/>
          </w:tcPr>
          <w:p w14:paraId="351AEF11" w14:textId="77777777" w:rsidR="00D4501D" w:rsidRPr="000537B0" w:rsidRDefault="00D4501D" w:rsidP="00D4501D">
            <w:pPr>
              <w:pStyle w:val="Tabletext"/>
            </w:pPr>
            <w:r w:rsidRPr="000537B0">
              <w:t>9.9 ± 3.5</w:t>
            </w:r>
          </w:p>
        </w:tc>
        <w:tc>
          <w:tcPr>
            <w:tcW w:w="1560" w:type="dxa"/>
          </w:tcPr>
          <w:p w14:paraId="65523B56" w14:textId="77777777" w:rsidR="00D4501D" w:rsidRPr="000537B0" w:rsidRDefault="00D4501D" w:rsidP="00D4501D">
            <w:pPr>
              <w:pStyle w:val="Tabletext"/>
            </w:pPr>
          </w:p>
        </w:tc>
        <w:tc>
          <w:tcPr>
            <w:tcW w:w="1560" w:type="dxa"/>
          </w:tcPr>
          <w:p w14:paraId="1EBB3C1E" w14:textId="77777777" w:rsidR="00D4501D" w:rsidRPr="000537B0" w:rsidRDefault="00D4501D" w:rsidP="00D4501D">
            <w:pPr>
              <w:pStyle w:val="Tabletext"/>
            </w:pPr>
          </w:p>
        </w:tc>
      </w:tr>
      <w:tr w:rsidR="00D4501D" w:rsidRPr="000537B0" w14:paraId="6AE84E5D" w14:textId="77777777" w:rsidTr="00D4501D">
        <w:tc>
          <w:tcPr>
            <w:tcW w:w="1242" w:type="dxa"/>
          </w:tcPr>
          <w:p w14:paraId="21DD2EF7" w14:textId="77777777" w:rsidR="00D4501D" w:rsidRPr="000537B0" w:rsidRDefault="00D4501D" w:rsidP="00D4501D">
            <w:pPr>
              <w:pStyle w:val="Tabletext"/>
            </w:pPr>
          </w:p>
        </w:tc>
        <w:tc>
          <w:tcPr>
            <w:tcW w:w="1276" w:type="dxa"/>
          </w:tcPr>
          <w:p w14:paraId="3D5F8B67" w14:textId="77777777" w:rsidR="00D4501D" w:rsidRPr="000537B0" w:rsidRDefault="00D4501D" w:rsidP="00D4501D">
            <w:pPr>
              <w:pStyle w:val="Tabletext"/>
            </w:pPr>
            <w:r w:rsidRPr="000537B0">
              <w:t>24 months</w:t>
            </w:r>
          </w:p>
        </w:tc>
        <w:tc>
          <w:tcPr>
            <w:tcW w:w="1276" w:type="dxa"/>
          </w:tcPr>
          <w:p w14:paraId="1573C7CF" w14:textId="77777777" w:rsidR="00D4501D" w:rsidRPr="000537B0" w:rsidRDefault="00D4501D" w:rsidP="00D4501D">
            <w:pPr>
              <w:pStyle w:val="Tabletext"/>
            </w:pPr>
            <w:r w:rsidRPr="000537B0">
              <w:t>21.6 ± 10.7</w:t>
            </w:r>
          </w:p>
        </w:tc>
        <w:tc>
          <w:tcPr>
            <w:tcW w:w="1417" w:type="dxa"/>
          </w:tcPr>
          <w:p w14:paraId="15C51E6D" w14:textId="77777777" w:rsidR="00D4501D" w:rsidRPr="000537B0" w:rsidRDefault="00D4501D" w:rsidP="00D4501D">
            <w:pPr>
              <w:pStyle w:val="Tabletext"/>
            </w:pPr>
            <w:r w:rsidRPr="000537B0">
              <w:t>22.9 ± 9.3</w:t>
            </w:r>
          </w:p>
        </w:tc>
        <w:tc>
          <w:tcPr>
            <w:tcW w:w="1560" w:type="dxa"/>
          </w:tcPr>
          <w:p w14:paraId="462D075A" w14:textId="77777777" w:rsidR="00D4501D" w:rsidRPr="000537B0" w:rsidRDefault="00D4501D" w:rsidP="00D4501D">
            <w:pPr>
              <w:pStyle w:val="Tabletext"/>
            </w:pPr>
            <w:r w:rsidRPr="000537B0">
              <w:t>-1.3 [-4.0, 1.4]</w:t>
            </w:r>
          </w:p>
        </w:tc>
        <w:tc>
          <w:tcPr>
            <w:tcW w:w="1560" w:type="dxa"/>
          </w:tcPr>
          <w:p w14:paraId="487FD3AC" w14:textId="77777777" w:rsidR="00D4501D" w:rsidRPr="000537B0" w:rsidRDefault="00D4501D" w:rsidP="00D4501D">
            <w:pPr>
              <w:pStyle w:val="Tabletext"/>
            </w:pPr>
            <w:r w:rsidRPr="000537B0">
              <w:t>Non-inferior</w:t>
            </w:r>
          </w:p>
        </w:tc>
      </w:tr>
      <w:tr w:rsidR="00D4501D" w:rsidRPr="000537B0" w14:paraId="57E2FA5B" w14:textId="77777777" w:rsidTr="00D4501D">
        <w:tc>
          <w:tcPr>
            <w:tcW w:w="1242" w:type="dxa"/>
          </w:tcPr>
          <w:p w14:paraId="6D1340AA" w14:textId="77777777" w:rsidR="00D4501D" w:rsidRPr="000537B0" w:rsidRDefault="00D4501D" w:rsidP="00D4501D">
            <w:pPr>
              <w:pStyle w:val="Tabletext"/>
            </w:pPr>
            <w:r w:rsidRPr="000537B0">
              <w:t>PVR (ml)</w:t>
            </w:r>
          </w:p>
        </w:tc>
        <w:tc>
          <w:tcPr>
            <w:tcW w:w="1276" w:type="dxa"/>
          </w:tcPr>
          <w:p w14:paraId="16A4B5C4" w14:textId="77777777" w:rsidR="00D4501D" w:rsidRPr="000537B0" w:rsidRDefault="00D4501D" w:rsidP="00D4501D">
            <w:pPr>
              <w:pStyle w:val="Tabletext"/>
            </w:pPr>
            <w:r w:rsidRPr="000537B0">
              <w:t>Baseline</w:t>
            </w:r>
          </w:p>
        </w:tc>
        <w:tc>
          <w:tcPr>
            <w:tcW w:w="1276" w:type="dxa"/>
          </w:tcPr>
          <w:p w14:paraId="47DDEB5B" w14:textId="77777777" w:rsidR="00D4501D" w:rsidRPr="000537B0" w:rsidRDefault="00D4501D" w:rsidP="00D4501D">
            <w:pPr>
              <w:pStyle w:val="Tabletext"/>
            </w:pPr>
            <w:r w:rsidRPr="000537B0">
              <w:t>110.1 ± 88.5</w:t>
            </w:r>
          </w:p>
        </w:tc>
        <w:tc>
          <w:tcPr>
            <w:tcW w:w="1417" w:type="dxa"/>
          </w:tcPr>
          <w:p w14:paraId="279AE305" w14:textId="77777777" w:rsidR="00D4501D" w:rsidRPr="000537B0" w:rsidRDefault="00D4501D" w:rsidP="00D4501D">
            <w:pPr>
              <w:pStyle w:val="Tabletext"/>
            </w:pPr>
            <w:r w:rsidRPr="000537B0">
              <w:t>109.8 ± 103.9</w:t>
            </w:r>
          </w:p>
        </w:tc>
        <w:tc>
          <w:tcPr>
            <w:tcW w:w="1560" w:type="dxa"/>
          </w:tcPr>
          <w:p w14:paraId="7C03EBF0" w14:textId="77777777" w:rsidR="00D4501D" w:rsidRPr="000537B0" w:rsidRDefault="00D4501D" w:rsidP="00D4501D">
            <w:pPr>
              <w:pStyle w:val="Tabletext"/>
            </w:pPr>
          </w:p>
        </w:tc>
        <w:tc>
          <w:tcPr>
            <w:tcW w:w="1560" w:type="dxa"/>
          </w:tcPr>
          <w:p w14:paraId="3D7F4E13" w14:textId="77777777" w:rsidR="00D4501D" w:rsidRPr="000537B0" w:rsidRDefault="00D4501D" w:rsidP="00D4501D">
            <w:pPr>
              <w:pStyle w:val="Tabletext"/>
            </w:pPr>
          </w:p>
        </w:tc>
      </w:tr>
      <w:tr w:rsidR="00D4501D" w:rsidRPr="000537B0" w14:paraId="2080D5C2" w14:textId="77777777" w:rsidTr="00D4501D">
        <w:tc>
          <w:tcPr>
            <w:tcW w:w="1242" w:type="dxa"/>
          </w:tcPr>
          <w:p w14:paraId="39AB4B87" w14:textId="4DD4676B" w:rsidR="00D4501D" w:rsidRPr="000537B0" w:rsidRDefault="00A56F6C" w:rsidP="00D4501D">
            <w:pPr>
              <w:pStyle w:val="Tabletext"/>
            </w:pPr>
            <w:r>
              <w:t>Suggest no</w:t>
            </w:r>
          </w:p>
        </w:tc>
        <w:tc>
          <w:tcPr>
            <w:tcW w:w="1276" w:type="dxa"/>
          </w:tcPr>
          <w:p w14:paraId="7B7D450B" w14:textId="77777777" w:rsidR="00D4501D" w:rsidRPr="000537B0" w:rsidRDefault="00D4501D" w:rsidP="00D4501D">
            <w:pPr>
              <w:pStyle w:val="Tabletext"/>
            </w:pPr>
            <w:r w:rsidRPr="000537B0">
              <w:t>24 months</w:t>
            </w:r>
          </w:p>
        </w:tc>
        <w:tc>
          <w:tcPr>
            <w:tcW w:w="1276" w:type="dxa"/>
          </w:tcPr>
          <w:p w14:paraId="0FCEB062" w14:textId="77777777" w:rsidR="00D4501D" w:rsidRPr="000537B0" w:rsidRDefault="00D4501D" w:rsidP="00D4501D">
            <w:pPr>
              <w:pStyle w:val="Tabletext"/>
            </w:pPr>
            <w:r w:rsidRPr="000537B0">
              <w:t>45.6 ± 65.5</w:t>
            </w:r>
          </w:p>
        </w:tc>
        <w:tc>
          <w:tcPr>
            <w:tcW w:w="1417" w:type="dxa"/>
          </w:tcPr>
          <w:p w14:paraId="07515CF9" w14:textId="77777777" w:rsidR="00D4501D" w:rsidRPr="000537B0" w:rsidRDefault="00D4501D" w:rsidP="00D4501D">
            <w:pPr>
              <w:pStyle w:val="Tabletext"/>
            </w:pPr>
            <w:r w:rsidRPr="000537B0">
              <w:t>34.9 ± 47.1</w:t>
            </w:r>
          </w:p>
        </w:tc>
        <w:tc>
          <w:tcPr>
            <w:tcW w:w="1560" w:type="dxa"/>
          </w:tcPr>
          <w:p w14:paraId="576866DE" w14:textId="77777777" w:rsidR="00D4501D" w:rsidRPr="000537B0" w:rsidRDefault="00D4501D" w:rsidP="00D4501D">
            <w:pPr>
              <w:pStyle w:val="Tabletext"/>
            </w:pPr>
            <w:r w:rsidRPr="000537B0">
              <w:t>P value 0.2</w:t>
            </w:r>
          </w:p>
        </w:tc>
        <w:tc>
          <w:tcPr>
            <w:tcW w:w="1560" w:type="dxa"/>
          </w:tcPr>
          <w:p w14:paraId="5B3F2525" w14:textId="77777777" w:rsidR="00D4501D" w:rsidRPr="000537B0" w:rsidRDefault="00D4501D" w:rsidP="00D4501D">
            <w:pPr>
              <w:pStyle w:val="Tabletext"/>
            </w:pPr>
            <w:r w:rsidRPr="000537B0">
              <w:t>Not significant</w:t>
            </w:r>
          </w:p>
        </w:tc>
      </w:tr>
      <w:tr w:rsidR="00D4501D" w:rsidRPr="000537B0" w14:paraId="65371EB8" w14:textId="77777777" w:rsidTr="00D4501D">
        <w:tc>
          <w:tcPr>
            <w:tcW w:w="1242" w:type="dxa"/>
          </w:tcPr>
          <w:p w14:paraId="09953ABD" w14:textId="77777777" w:rsidR="00D4501D" w:rsidRPr="000537B0" w:rsidRDefault="00D4501D" w:rsidP="00D4501D">
            <w:pPr>
              <w:pStyle w:val="Tabletext"/>
            </w:pPr>
            <w:r w:rsidRPr="000537B0">
              <w:t>IPSS-QoL</w:t>
            </w:r>
          </w:p>
        </w:tc>
        <w:tc>
          <w:tcPr>
            <w:tcW w:w="1276" w:type="dxa"/>
          </w:tcPr>
          <w:p w14:paraId="3CFB0E2C" w14:textId="77777777" w:rsidR="00D4501D" w:rsidRPr="000537B0" w:rsidRDefault="00D4501D" w:rsidP="00D4501D">
            <w:pPr>
              <w:pStyle w:val="Tabletext"/>
            </w:pPr>
            <w:r w:rsidRPr="000537B0">
              <w:t>Baseline</w:t>
            </w:r>
          </w:p>
        </w:tc>
        <w:tc>
          <w:tcPr>
            <w:tcW w:w="1276" w:type="dxa"/>
          </w:tcPr>
          <w:p w14:paraId="065B7997" w14:textId="77777777" w:rsidR="00D4501D" w:rsidRPr="000537B0" w:rsidRDefault="00D4501D" w:rsidP="00D4501D">
            <w:pPr>
              <w:pStyle w:val="Tabletext"/>
            </w:pPr>
            <w:r w:rsidRPr="000537B0">
              <w:t>4.6 ± 1.1</w:t>
            </w:r>
          </w:p>
        </w:tc>
        <w:tc>
          <w:tcPr>
            <w:tcW w:w="1417" w:type="dxa"/>
          </w:tcPr>
          <w:p w14:paraId="7E5453E5" w14:textId="77777777" w:rsidR="00D4501D" w:rsidRPr="000537B0" w:rsidRDefault="00D4501D" w:rsidP="00D4501D">
            <w:pPr>
              <w:pStyle w:val="Tabletext"/>
            </w:pPr>
            <w:r w:rsidRPr="000537B0">
              <w:t>4.5 ± 1.4</w:t>
            </w:r>
          </w:p>
        </w:tc>
        <w:tc>
          <w:tcPr>
            <w:tcW w:w="1560" w:type="dxa"/>
          </w:tcPr>
          <w:p w14:paraId="04236152" w14:textId="77777777" w:rsidR="00D4501D" w:rsidRPr="000537B0" w:rsidRDefault="00D4501D" w:rsidP="00D4501D">
            <w:pPr>
              <w:pStyle w:val="Tabletext"/>
            </w:pPr>
          </w:p>
        </w:tc>
        <w:tc>
          <w:tcPr>
            <w:tcW w:w="1560" w:type="dxa"/>
          </w:tcPr>
          <w:p w14:paraId="5C593445" w14:textId="77777777" w:rsidR="00D4501D" w:rsidRPr="000537B0" w:rsidRDefault="00D4501D" w:rsidP="00D4501D">
            <w:pPr>
              <w:pStyle w:val="Tabletext"/>
            </w:pPr>
          </w:p>
        </w:tc>
      </w:tr>
      <w:tr w:rsidR="00D4501D" w:rsidRPr="000537B0" w14:paraId="2BEDF95D" w14:textId="77777777" w:rsidTr="00D4501D">
        <w:tc>
          <w:tcPr>
            <w:tcW w:w="1242" w:type="dxa"/>
          </w:tcPr>
          <w:p w14:paraId="0EA26904" w14:textId="77777777" w:rsidR="00D4501D" w:rsidRPr="000537B0" w:rsidRDefault="00D4501D" w:rsidP="00D4501D">
            <w:pPr>
              <w:pStyle w:val="Tabletext"/>
            </w:pPr>
          </w:p>
        </w:tc>
        <w:tc>
          <w:tcPr>
            <w:tcW w:w="1276" w:type="dxa"/>
          </w:tcPr>
          <w:p w14:paraId="07A36EB6" w14:textId="77777777" w:rsidR="00D4501D" w:rsidRPr="000537B0" w:rsidRDefault="00D4501D" w:rsidP="00D4501D">
            <w:pPr>
              <w:pStyle w:val="Tabletext"/>
            </w:pPr>
            <w:r w:rsidRPr="000537B0">
              <w:t>24 months</w:t>
            </w:r>
          </w:p>
        </w:tc>
        <w:tc>
          <w:tcPr>
            <w:tcW w:w="1276" w:type="dxa"/>
          </w:tcPr>
          <w:p w14:paraId="23DAEEB2" w14:textId="77777777" w:rsidR="00D4501D" w:rsidRPr="000537B0" w:rsidRDefault="00D4501D" w:rsidP="00D4501D">
            <w:pPr>
              <w:pStyle w:val="Tabletext"/>
            </w:pPr>
            <w:r w:rsidRPr="000537B0">
              <w:t>1.3 ± 1.2</w:t>
            </w:r>
          </w:p>
        </w:tc>
        <w:tc>
          <w:tcPr>
            <w:tcW w:w="1417" w:type="dxa"/>
          </w:tcPr>
          <w:p w14:paraId="2103ED72" w14:textId="77777777" w:rsidR="00D4501D" w:rsidRPr="000537B0" w:rsidRDefault="00D4501D" w:rsidP="00D4501D">
            <w:pPr>
              <w:pStyle w:val="Tabletext"/>
            </w:pPr>
            <w:r w:rsidRPr="000537B0">
              <w:t>1.2 ± 1.3</w:t>
            </w:r>
          </w:p>
        </w:tc>
        <w:tc>
          <w:tcPr>
            <w:tcW w:w="1560" w:type="dxa"/>
          </w:tcPr>
          <w:p w14:paraId="2EB8EC88" w14:textId="77777777" w:rsidR="00D4501D" w:rsidRPr="000537B0" w:rsidRDefault="00D4501D" w:rsidP="00D4501D">
            <w:pPr>
              <w:pStyle w:val="Tabletext"/>
            </w:pPr>
            <w:r w:rsidRPr="000537B0">
              <w:t>P value 0.6</w:t>
            </w:r>
          </w:p>
        </w:tc>
        <w:tc>
          <w:tcPr>
            <w:tcW w:w="1560" w:type="dxa"/>
          </w:tcPr>
          <w:p w14:paraId="0756E724" w14:textId="77777777" w:rsidR="00D4501D" w:rsidRPr="000537B0" w:rsidRDefault="00D4501D" w:rsidP="00D4501D">
            <w:pPr>
              <w:pStyle w:val="Tabletext"/>
            </w:pPr>
            <w:r w:rsidRPr="000537B0">
              <w:t>Not significant</w:t>
            </w:r>
          </w:p>
        </w:tc>
      </w:tr>
      <w:tr w:rsidR="00D4501D" w:rsidRPr="000537B0" w14:paraId="7A81D666" w14:textId="77777777" w:rsidTr="00D4501D">
        <w:tc>
          <w:tcPr>
            <w:tcW w:w="1242" w:type="dxa"/>
          </w:tcPr>
          <w:p w14:paraId="638441D8" w14:textId="77777777" w:rsidR="00D4501D" w:rsidRPr="000537B0" w:rsidRDefault="00D4501D" w:rsidP="00D4501D">
            <w:pPr>
              <w:pStyle w:val="Tabletext"/>
            </w:pPr>
            <w:r w:rsidRPr="000537B0">
              <w:t>IIEF-5</w:t>
            </w:r>
          </w:p>
        </w:tc>
        <w:tc>
          <w:tcPr>
            <w:tcW w:w="1276" w:type="dxa"/>
          </w:tcPr>
          <w:p w14:paraId="63DEEC3C" w14:textId="77777777" w:rsidR="00D4501D" w:rsidRPr="000537B0" w:rsidRDefault="00D4501D" w:rsidP="00D4501D">
            <w:pPr>
              <w:pStyle w:val="Tabletext"/>
            </w:pPr>
            <w:r w:rsidRPr="000537B0">
              <w:t>Baseline</w:t>
            </w:r>
          </w:p>
        </w:tc>
        <w:tc>
          <w:tcPr>
            <w:tcW w:w="1276" w:type="dxa"/>
          </w:tcPr>
          <w:p w14:paraId="7A19A1CB" w14:textId="77777777" w:rsidR="00D4501D" w:rsidRPr="000537B0" w:rsidRDefault="00D4501D" w:rsidP="00D4501D">
            <w:pPr>
              <w:pStyle w:val="Tabletext"/>
            </w:pPr>
            <w:r w:rsidRPr="000537B0">
              <w:t>13.2 ± 7.6</w:t>
            </w:r>
          </w:p>
        </w:tc>
        <w:tc>
          <w:tcPr>
            <w:tcW w:w="1417" w:type="dxa"/>
          </w:tcPr>
          <w:p w14:paraId="4460ED72" w14:textId="77777777" w:rsidR="00D4501D" w:rsidRPr="000537B0" w:rsidRDefault="00D4501D" w:rsidP="00D4501D">
            <w:pPr>
              <w:pStyle w:val="Tabletext"/>
            </w:pPr>
            <w:r w:rsidRPr="000537B0">
              <w:t>13.7 ± 7.5</w:t>
            </w:r>
          </w:p>
        </w:tc>
        <w:tc>
          <w:tcPr>
            <w:tcW w:w="1560" w:type="dxa"/>
          </w:tcPr>
          <w:p w14:paraId="5581FC43" w14:textId="77777777" w:rsidR="00D4501D" w:rsidRPr="000537B0" w:rsidRDefault="00D4501D" w:rsidP="00D4501D">
            <w:pPr>
              <w:pStyle w:val="Tabletext"/>
            </w:pPr>
          </w:p>
        </w:tc>
        <w:tc>
          <w:tcPr>
            <w:tcW w:w="1560" w:type="dxa"/>
          </w:tcPr>
          <w:p w14:paraId="76B78BF9" w14:textId="77777777" w:rsidR="00D4501D" w:rsidRPr="000537B0" w:rsidRDefault="00D4501D" w:rsidP="00D4501D">
            <w:pPr>
              <w:pStyle w:val="Tabletext"/>
            </w:pPr>
          </w:p>
        </w:tc>
      </w:tr>
      <w:tr w:rsidR="00D4501D" w:rsidRPr="000537B0" w14:paraId="02292B6A" w14:textId="77777777" w:rsidTr="00D4501D">
        <w:tc>
          <w:tcPr>
            <w:tcW w:w="1242" w:type="dxa"/>
          </w:tcPr>
          <w:p w14:paraId="620B0C80" w14:textId="77777777" w:rsidR="00D4501D" w:rsidRPr="000537B0" w:rsidRDefault="00D4501D" w:rsidP="00D4501D">
            <w:pPr>
              <w:pStyle w:val="Tabletext"/>
            </w:pPr>
          </w:p>
        </w:tc>
        <w:tc>
          <w:tcPr>
            <w:tcW w:w="1276" w:type="dxa"/>
          </w:tcPr>
          <w:p w14:paraId="5CEB77AB" w14:textId="77777777" w:rsidR="00D4501D" w:rsidRPr="000537B0" w:rsidRDefault="00D4501D" w:rsidP="00D4501D">
            <w:pPr>
              <w:pStyle w:val="Tabletext"/>
            </w:pPr>
            <w:r w:rsidRPr="000537B0">
              <w:t>24 months</w:t>
            </w:r>
          </w:p>
        </w:tc>
        <w:tc>
          <w:tcPr>
            <w:tcW w:w="1276" w:type="dxa"/>
          </w:tcPr>
          <w:p w14:paraId="505ACDE9" w14:textId="77777777" w:rsidR="00D4501D" w:rsidRPr="000537B0" w:rsidRDefault="00D4501D" w:rsidP="00D4501D">
            <w:pPr>
              <w:pStyle w:val="Tabletext"/>
            </w:pPr>
            <w:r w:rsidRPr="000537B0">
              <w:t>12.9 + 7.5</w:t>
            </w:r>
          </w:p>
        </w:tc>
        <w:tc>
          <w:tcPr>
            <w:tcW w:w="1417" w:type="dxa"/>
          </w:tcPr>
          <w:p w14:paraId="469A47F9" w14:textId="77777777" w:rsidR="00D4501D" w:rsidRPr="000537B0" w:rsidRDefault="00D4501D" w:rsidP="00D4501D">
            <w:pPr>
              <w:pStyle w:val="Tabletext"/>
            </w:pPr>
            <w:r w:rsidRPr="000537B0">
              <w:t>13.9 + 8.2</w:t>
            </w:r>
          </w:p>
        </w:tc>
        <w:tc>
          <w:tcPr>
            <w:tcW w:w="1560" w:type="dxa"/>
          </w:tcPr>
          <w:p w14:paraId="27C7FD9D" w14:textId="77777777" w:rsidR="00D4501D" w:rsidRPr="000537B0" w:rsidRDefault="00D4501D" w:rsidP="00D4501D">
            <w:pPr>
              <w:pStyle w:val="Tabletext"/>
            </w:pPr>
            <w:r w:rsidRPr="000537B0">
              <w:t>P value 0.3</w:t>
            </w:r>
          </w:p>
        </w:tc>
        <w:tc>
          <w:tcPr>
            <w:tcW w:w="1560" w:type="dxa"/>
          </w:tcPr>
          <w:p w14:paraId="3E5947ED" w14:textId="77777777" w:rsidR="00D4501D" w:rsidRPr="000537B0" w:rsidRDefault="00D4501D" w:rsidP="00D4501D">
            <w:pPr>
              <w:pStyle w:val="Tabletext"/>
            </w:pPr>
            <w:r w:rsidRPr="000537B0">
              <w:t>Not significant</w:t>
            </w:r>
          </w:p>
        </w:tc>
      </w:tr>
    </w:tbl>
    <w:p w14:paraId="00732C99" w14:textId="77777777" w:rsidR="00D4501D" w:rsidRDefault="00D4501D" w:rsidP="00C11BBE">
      <w:pPr>
        <w:pStyle w:val="Tablenotes"/>
      </w:pPr>
      <w:r>
        <w:t xml:space="preserve">Abbreviations: </w:t>
      </w:r>
      <w:r w:rsidRPr="000537B0">
        <w:t>IIEF-5 = International Index of Erectile Function-5</w:t>
      </w:r>
      <w:r>
        <w:t>;</w:t>
      </w:r>
      <w:r w:rsidRPr="00E03CEB">
        <w:t xml:space="preserve"> </w:t>
      </w:r>
      <w:r w:rsidRPr="000537B0">
        <w:t>IPSS = Intern</w:t>
      </w:r>
      <w:r>
        <w:t>ational Prostate Symptoms Score;</w:t>
      </w:r>
      <w:r w:rsidRPr="000537B0">
        <w:t xml:space="preserve"> IPSS-QoL = International Prostate Symptoms Score – Quality of Life; PVR = </w:t>
      </w:r>
      <w:r>
        <w:t xml:space="preserve">post-void residual urine volume; </w:t>
      </w:r>
      <w:r w:rsidRPr="000537B0">
        <w:t>Qmax = peak flow rate.</w:t>
      </w:r>
    </w:p>
    <w:p w14:paraId="739CF5F9" w14:textId="43C46EE9" w:rsidR="00D4501D" w:rsidRPr="00C11BBE" w:rsidRDefault="00D4501D" w:rsidP="00C11BBE">
      <w:pPr>
        <w:pStyle w:val="Tablenotes"/>
      </w:pPr>
      <w:r>
        <w:t>Source: Table 3, p19 of the commentary</w:t>
      </w:r>
    </w:p>
    <w:p w14:paraId="65A9FABB" w14:textId="530E1B8F" w:rsidR="00D4501D" w:rsidRDefault="00D4501D" w:rsidP="00C11BBE">
      <w:pPr>
        <w:spacing w:before="240"/>
      </w:pPr>
      <w:r>
        <w:t>The commentary considered that g</w:t>
      </w:r>
      <w:r w:rsidRPr="000537B0">
        <w:t>iven the non-inferiority of TURP and VLAP, and that PUL is inferior to TURP on the IPSS and Qmax</w:t>
      </w:r>
      <w:r w:rsidRPr="008D65B5">
        <w:t xml:space="preserve">, it is suggested that PUL would have inferior effectiveness to VLAP. The safety of PUL compared to </w:t>
      </w:r>
      <w:r w:rsidR="00C11BBE" w:rsidRPr="008D65B5">
        <w:t>VLAP is unknown</w:t>
      </w:r>
      <w:r w:rsidR="00C11BBE">
        <w:t>.</w:t>
      </w:r>
    </w:p>
    <w:p w14:paraId="6135DE50" w14:textId="3086D1E8" w:rsidR="00D4501D" w:rsidRDefault="00D4501D" w:rsidP="00C11BBE">
      <w:pPr>
        <w:spacing w:before="240"/>
      </w:pPr>
      <w:r>
        <w:t>No information was provided on how PUL compares against other minimally invasive techniques in patients not eligible for TURP (those who cannot tolerate anaesthesia or stop anticoagulants or antiplatelet medication).</w:t>
      </w:r>
    </w:p>
    <w:p w14:paraId="7E200766" w14:textId="27BF70CD" w:rsidR="00D4501D" w:rsidRPr="005D6445" w:rsidRDefault="00D4501D" w:rsidP="00C11BBE">
      <w:pPr>
        <w:pStyle w:val="Heading2"/>
        <w:spacing w:before="240"/>
      </w:pPr>
      <w:r w:rsidRPr="005D6445">
        <w:t>Clinical claim</w:t>
      </w:r>
    </w:p>
    <w:p w14:paraId="2DC8C56C" w14:textId="0B055377" w:rsidR="00D4501D" w:rsidRPr="005D6445" w:rsidRDefault="00D4501D" w:rsidP="00D4501D">
      <w:r w:rsidRPr="005D6445">
        <w:t>On the basis of the evidence provide</w:t>
      </w:r>
      <w:r w:rsidR="00A56F6C">
        <w:t>d</w:t>
      </w:r>
      <w:r w:rsidRPr="005D6445">
        <w:t xml:space="preserve">, the </w:t>
      </w:r>
      <w:r>
        <w:t>applicant</w:t>
      </w:r>
      <w:r w:rsidRPr="005D6445">
        <w:t xml:space="preserve"> claimed that relative to TURP:</w:t>
      </w:r>
    </w:p>
    <w:p w14:paraId="0A4A9355" w14:textId="77777777" w:rsidR="00D4501D" w:rsidRPr="005D6445" w:rsidRDefault="00D4501D" w:rsidP="00B34F48">
      <w:pPr>
        <w:pStyle w:val="ListParagraph"/>
        <w:numPr>
          <w:ilvl w:val="0"/>
          <w:numId w:val="26"/>
        </w:numPr>
        <w:spacing w:before="120"/>
        <w:ind w:left="851" w:hanging="491"/>
        <w:jc w:val="both"/>
      </w:pPr>
      <w:r w:rsidRPr="005D6445">
        <w:t>PUL has non-inferior safety and effectiveness.</w:t>
      </w:r>
    </w:p>
    <w:p w14:paraId="6A02E836" w14:textId="77777777" w:rsidR="00BC1364" w:rsidRPr="00D4501D" w:rsidRDefault="00D4501D" w:rsidP="00B34F48">
      <w:pPr>
        <w:pStyle w:val="ListParagraph"/>
        <w:numPr>
          <w:ilvl w:val="0"/>
          <w:numId w:val="26"/>
        </w:numPr>
        <w:ind w:left="851" w:hanging="491"/>
      </w:pPr>
      <w:r w:rsidRPr="005D6445">
        <w:t>VLAP has non-inferior safety and effectiveness.</w:t>
      </w:r>
    </w:p>
    <w:p w14:paraId="0C9352A3" w14:textId="77777777" w:rsidR="00BC1364" w:rsidRPr="00F715D1" w:rsidRDefault="00BC1364" w:rsidP="00F715D1">
      <w:pPr>
        <w:pStyle w:val="Heading1"/>
      </w:pPr>
      <w:r w:rsidRPr="00F715D1">
        <w:t>Economic evaluation</w:t>
      </w:r>
    </w:p>
    <w:p w14:paraId="4A8E0600" w14:textId="0561A9F5" w:rsidR="00652235" w:rsidRPr="000537B0" w:rsidRDefault="00652235" w:rsidP="00C11BBE">
      <w:r>
        <w:t>The ADAR presented a cost-comparison comparing PUL with the comparators TURP and VLAP (</w:t>
      </w:r>
      <w:r>
        <w:fldChar w:fldCharType="begin"/>
      </w:r>
      <w:r>
        <w:instrText xml:space="preserve"> REF _Ref40960948 \h </w:instrText>
      </w:r>
      <w:r>
        <w:fldChar w:fldCharType="separate"/>
      </w:r>
      <w:r>
        <w:t xml:space="preserve">Table </w:t>
      </w:r>
      <w:r>
        <w:rPr>
          <w:noProof/>
        </w:rPr>
        <w:t>8</w:t>
      </w:r>
      <w:r>
        <w:fldChar w:fldCharType="end"/>
      </w:r>
      <w:r w:rsidR="00C11BBE">
        <w:t>).</w:t>
      </w:r>
    </w:p>
    <w:p w14:paraId="45890704" w14:textId="37194B52" w:rsidR="00652235" w:rsidRPr="00D863C8" w:rsidRDefault="00652235" w:rsidP="00D863C8">
      <w:pPr>
        <w:rPr>
          <w:rFonts w:ascii="Arial Narrow" w:hAnsi="Arial Narrow"/>
          <w:b/>
          <w:sz w:val="20"/>
        </w:rPr>
      </w:pPr>
      <w:bookmarkStart w:id="19" w:name="_Ref40960948"/>
      <w:bookmarkStart w:id="20" w:name="_Ref394419656"/>
      <w:r w:rsidRPr="00D863C8">
        <w:rPr>
          <w:rFonts w:ascii="Arial Narrow" w:hAnsi="Arial Narrow"/>
          <w:b/>
          <w:sz w:val="20"/>
        </w:rPr>
        <w:lastRenderedPageBreak/>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003636DE" w:rsidRPr="00D863C8">
        <w:rPr>
          <w:rFonts w:ascii="Arial Narrow" w:hAnsi="Arial Narrow"/>
          <w:b/>
          <w:sz w:val="20"/>
        </w:rPr>
        <w:t>8</w:t>
      </w:r>
      <w:r w:rsidR="00C11BBE" w:rsidRPr="00D863C8">
        <w:rPr>
          <w:rFonts w:ascii="Arial Narrow" w:hAnsi="Arial Narrow"/>
          <w:b/>
          <w:sz w:val="20"/>
        </w:rPr>
        <w:fldChar w:fldCharType="end"/>
      </w:r>
      <w:bookmarkEnd w:id="19"/>
      <w:r w:rsidRPr="00D863C8">
        <w:rPr>
          <w:rFonts w:ascii="Arial Narrow" w:hAnsi="Arial Narrow"/>
          <w:b/>
          <w:sz w:val="20"/>
        </w:rPr>
        <w:t xml:space="preserve"> Summary of the economic evaluation</w:t>
      </w:r>
      <w:bookmarkEnd w:id="20"/>
      <w:r w:rsidRPr="00D863C8">
        <w:rPr>
          <w:rFonts w:ascii="Arial Narrow" w:hAnsi="Arial Narrow"/>
          <w:b/>
          <w:sz w:val="20"/>
        </w:rPr>
        <w:t xml:space="preserve"> </w:t>
      </w:r>
    </w:p>
    <w:tbl>
      <w:tblPr>
        <w:tblStyle w:val="TableGrid1"/>
        <w:tblW w:w="0" w:type="auto"/>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4253"/>
        <w:gridCol w:w="4394"/>
      </w:tblGrid>
      <w:tr w:rsidR="00652235" w:rsidRPr="000537B0" w14:paraId="25E7E892" w14:textId="77777777" w:rsidTr="00221228">
        <w:trPr>
          <w:cnfStyle w:val="100000000000" w:firstRow="1" w:lastRow="0" w:firstColumn="0" w:lastColumn="0" w:oddVBand="0" w:evenVBand="0" w:oddHBand="0" w:evenHBand="0" w:firstRowFirstColumn="0" w:firstRowLastColumn="0" w:lastRowFirstColumn="0" w:lastRowLastColumn="0"/>
          <w:trHeight w:val="20"/>
          <w:tblHeader/>
        </w:trPr>
        <w:tc>
          <w:tcPr>
            <w:tcW w:w="4253" w:type="dxa"/>
          </w:tcPr>
          <w:p w14:paraId="34DEF633" w14:textId="77777777" w:rsidR="00652235" w:rsidRPr="000537B0" w:rsidRDefault="00652235" w:rsidP="00F11AFE">
            <w:pPr>
              <w:pStyle w:val="Tabletext"/>
            </w:pPr>
            <w:r w:rsidRPr="000537B0">
              <w:t>Perspective</w:t>
            </w:r>
          </w:p>
        </w:tc>
        <w:tc>
          <w:tcPr>
            <w:tcW w:w="4394" w:type="dxa"/>
          </w:tcPr>
          <w:p w14:paraId="6897E2E2" w14:textId="77777777" w:rsidR="00652235" w:rsidRPr="000537B0" w:rsidRDefault="00652235" w:rsidP="00F11AFE">
            <w:pPr>
              <w:pStyle w:val="Tabletext"/>
            </w:pPr>
            <w:r w:rsidRPr="000537B0">
              <w:t>MBS and Private Health Insurers</w:t>
            </w:r>
          </w:p>
        </w:tc>
      </w:tr>
      <w:tr w:rsidR="00652235" w:rsidRPr="000537B0" w14:paraId="69623A8A" w14:textId="77777777" w:rsidTr="002050A3">
        <w:trPr>
          <w:trHeight w:val="20"/>
        </w:trPr>
        <w:tc>
          <w:tcPr>
            <w:tcW w:w="4253" w:type="dxa"/>
          </w:tcPr>
          <w:p w14:paraId="4CD1F52A" w14:textId="77777777" w:rsidR="00652235" w:rsidRPr="000537B0" w:rsidRDefault="00652235" w:rsidP="00F11AFE">
            <w:pPr>
              <w:pStyle w:val="Tabletext"/>
            </w:pPr>
            <w:r w:rsidRPr="000537B0">
              <w:t>Comparator</w:t>
            </w:r>
          </w:p>
        </w:tc>
        <w:tc>
          <w:tcPr>
            <w:tcW w:w="4394" w:type="dxa"/>
          </w:tcPr>
          <w:p w14:paraId="2DB73B14" w14:textId="77777777" w:rsidR="00652235" w:rsidRPr="000537B0" w:rsidRDefault="00652235" w:rsidP="00F11AFE">
            <w:pPr>
              <w:pStyle w:val="Tabletext"/>
            </w:pPr>
            <w:r w:rsidRPr="000537B0">
              <w:t>TURP or VLAP</w:t>
            </w:r>
          </w:p>
        </w:tc>
      </w:tr>
      <w:tr w:rsidR="00652235" w:rsidRPr="000537B0" w14:paraId="0ABA076E" w14:textId="77777777" w:rsidTr="002050A3">
        <w:trPr>
          <w:trHeight w:val="20"/>
        </w:trPr>
        <w:tc>
          <w:tcPr>
            <w:tcW w:w="4253" w:type="dxa"/>
          </w:tcPr>
          <w:p w14:paraId="786CBCE3" w14:textId="77777777" w:rsidR="00652235" w:rsidRPr="000537B0" w:rsidRDefault="00652235" w:rsidP="00F11AFE">
            <w:pPr>
              <w:pStyle w:val="Tabletext"/>
            </w:pPr>
            <w:r w:rsidRPr="000537B0">
              <w:t>Type of economic evaluation</w:t>
            </w:r>
          </w:p>
        </w:tc>
        <w:tc>
          <w:tcPr>
            <w:tcW w:w="4394" w:type="dxa"/>
          </w:tcPr>
          <w:p w14:paraId="7E973ADC" w14:textId="77777777" w:rsidR="00652235" w:rsidRPr="0040617A" w:rsidRDefault="00652235" w:rsidP="00F11AFE">
            <w:pPr>
              <w:pStyle w:val="Tabletext"/>
            </w:pPr>
            <w:r w:rsidRPr="0040617A">
              <w:t>Cost comparison</w:t>
            </w:r>
          </w:p>
        </w:tc>
      </w:tr>
      <w:tr w:rsidR="00652235" w:rsidRPr="000537B0" w14:paraId="33A390D1" w14:textId="77777777" w:rsidTr="002050A3">
        <w:trPr>
          <w:trHeight w:val="20"/>
        </w:trPr>
        <w:tc>
          <w:tcPr>
            <w:tcW w:w="4253" w:type="dxa"/>
          </w:tcPr>
          <w:p w14:paraId="1DBBC408" w14:textId="77777777" w:rsidR="00652235" w:rsidRPr="000537B0" w:rsidRDefault="00652235" w:rsidP="00F11AFE">
            <w:pPr>
              <w:pStyle w:val="Tabletext"/>
            </w:pPr>
            <w:r w:rsidRPr="000537B0">
              <w:t>Sources of evidence</w:t>
            </w:r>
          </w:p>
        </w:tc>
        <w:tc>
          <w:tcPr>
            <w:tcW w:w="4394" w:type="dxa"/>
          </w:tcPr>
          <w:p w14:paraId="475C1BCE" w14:textId="77777777" w:rsidR="00652235" w:rsidRPr="000537B0" w:rsidRDefault="00652235" w:rsidP="00F11AFE">
            <w:pPr>
              <w:pStyle w:val="Tabletext"/>
            </w:pPr>
            <w:r w:rsidRPr="000537B0">
              <w:t>Systematic review</w:t>
            </w:r>
          </w:p>
        </w:tc>
      </w:tr>
      <w:tr w:rsidR="00652235" w:rsidRPr="000537B0" w14:paraId="1C5342B8" w14:textId="77777777" w:rsidTr="002050A3">
        <w:trPr>
          <w:trHeight w:val="20"/>
        </w:trPr>
        <w:tc>
          <w:tcPr>
            <w:tcW w:w="4253" w:type="dxa"/>
            <w:hideMark/>
          </w:tcPr>
          <w:p w14:paraId="24F779BE" w14:textId="77777777" w:rsidR="00652235" w:rsidRPr="000537B0" w:rsidRDefault="00652235" w:rsidP="00F11AFE">
            <w:pPr>
              <w:pStyle w:val="Tabletext"/>
            </w:pPr>
            <w:r w:rsidRPr="000537B0">
              <w:t>Time horizon</w:t>
            </w:r>
          </w:p>
        </w:tc>
        <w:tc>
          <w:tcPr>
            <w:tcW w:w="4394" w:type="dxa"/>
          </w:tcPr>
          <w:p w14:paraId="4506435E" w14:textId="77777777" w:rsidR="00652235" w:rsidRPr="000537B0" w:rsidRDefault="00652235" w:rsidP="00F11AFE">
            <w:pPr>
              <w:pStyle w:val="Tabletext"/>
            </w:pPr>
            <w:r w:rsidRPr="000537B0">
              <w:t>Two or five years</w:t>
            </w:r>
          </w:p>
        </w:tc>
      </w:tr>
      <w:tr w:rsidR="00652235" w:rsidRPr="000537B0" w14:paraId="15CC6AFD" w14:textId="77777777" w:rsidTr="002050A3">
        <w:trPr>
          <w:trHeight w:val="20"/>
        </w:trPr>
        <w:tc>
          <w:tcPr>
            <w:tcW w:w="4253" w:type="dxa"/>
            <w:hideMark/>
          </w:tcPr>
          <w:p w14:paraId="413350F4" w14:textId="77777777" w:rsidR="00652235" w:rsidRPr="000537B0" w:rsidRDefault="00652235" w:rsidP="00F11AFE">
            <w:pPr>
              <w:pStyle w:val="Tabletext"/>
            </w:pPr>
            <w:r w:rsidRPr="000537B0">
              <w:t>Outcomes</w:t>
            </w:r>
          </w:p>
        </w:tc>
        <w:tc>
          <w:tcPr>
            <w:tcW w:w="4394" w:type="dxa"/>
          </w:tcPr>
          <w:p w14:paraId="68B57EC0" w14:textId="77777777" w:rsidR="00652235" w:rsidRPr="000537B0" w:rsidRDefault="00652235" w:rsidP="00F11AFE">
            <w:pPr>
              <w:pStyle w:val="Tabletext"/>
            </w:pPr>
            <w:r w:rsidRPr="000537B0">
              <w:t>Cost per procedure</w:t>
            </w:r>
          </w:p>
        </w:tc>
      </w:tr>
      <w:tr w:rsidR="00652235" w:rsidRPr="000537B0" w14:paraId="2F74BE26" w14:textId="77777777" w:rsidTr="002050A3">
        <w:trPr>
          <w:trHeight w:val="20"/>
        </w:trPr>
        <w:tc>
          <w:tcPr>
            <w:tcW w:w="4253" w:type="dxa"/>
            <w:hideMark/>
          </w:tcPr>
          <w:p w14:paraId="5E311A37" w14:textId="77777777" w:rsidR="00652235" w:rsidRPr="000537B0" w:rsidRDefault="00652235" w:rsidP="00F11AFE">
            <w:pPr>
              <w:pStyle w:val="Tabletext"/>
            </w:pPr>
            <w:r w:rsidRPr="000537B0">
              <w:t>Methods used to generate results</w:t>
            </w:r>
          </w:p>
        </w:tc>
        <w:tc>
          <w:tcPr>
            <w:tcW w:w="4394" w:type="dxa"/>
          </w:tcPr>
          <w:p w14:paraId="1CC79390" w14:textId="77777777" w:rsidR="00652235" w:rsidRPr="000537B0" w:rsidRDefault="00652235" w:rsidP="00F11AFE">
            <w:pPr>
              <w:pStyle w:val="Tabletext"/>
            </w:pPr>
            <w:r w:rsidRPr="000537B0">
              <w:t>Bottom up costing of procedures</w:t>
            </w:r>
          </w:p>
        </w:tc>
      </w:tr>
      <w:tr w:rsidR="00652235" w:rsidRPr="000537B0" w14:paraId="189CAF1E" w14:textId="77777777" w:rsidTr="002050A3">
        <w:trPr>
          <w:trHeight w:val="20"/>
        </w:trPr>
        <w:tc>
          <w:tcPr>
            <w:tcW w:w="4253" w:type="dxa"/>
            <w:hideMark/>
          </w:tcPr>
          <w:p w14:paraId="2CAF928B" w14:textId="77777777" w:rsidR="00652235" w:rsidRPr="000537B0" w:rsidRDefault="00652235" w:rsidP="00F11AFE">
            <w:pPr>
              <w:pStyle w:val="Tabletext"/>
            </w:pPr>
            <w:r w:rsidRPr="000537B0">
              <w:t>Discount rate</w:t>
            </w:r>
          </w:p>
        </w:tc>
        <w:tc>
          <w:tcPr>
            <w:tcW w:w="4394" w:type="dxa"/>
          </w:tcPr>
          <w:p w14:paraId="6695B70F" w14:textId="77777777" w:rsidR="00652235" w:rsidRPr="000537B0" w:rsidRDefault="00652235" w:rsidP="00F11AFE">
            <w:pPr>
              <w:pStyle w:val="Tabletext"/>
            </w:pPr>
            <w:r w:rsidRPr="000537B0">
              <w:t>5%</w:t>
            </w:r>
          </w:p>
        </w:tc>
      </w:tr>
      <w:tr w:rsidR="00652235" w:rsidRPr="000537B0" w14:paraId="72CC19A2" w14:textId="77777777" w:rsidTr="002050A3">
        <w:trPr>
          <w:trHeight w:val="20"/>
        </w:trPr>
        <w:tc>
          <w:tcPr>
            <w:tcW w:w="4253" w:type="dxa"/>
            <w:hideMark/>
          </w:tcPr>
          <w:p w14:paraId="4DF6BE41" w14:textId="77777777" w:rsidR="00652235" w:rsidRPr="000537B0" w:rsidRDefault="00652235" w:rsidP="00F11AFE">
            <w:pPr>
              <w:pStyle w:val="Tabletext"/>
            </w:pPr>
            <w:r w:rsidRPr="000537B0">
              <w:t>Software packages used</w:t>
            </w:r>
          </w:p>
        </w:tc>
        <w:tc>
          <w:tcPr>
            <w:tcW w:w="4394" w:type="dxa"/>
          </w:tcPr>
          <w:p w14:paraId="0DEDB1D6" w14:textId="77777777" w:rsidR="00652235" w:rsidRPr="000537B0" w:rsidRDefault="00652235" w:rsidP="00F11AFE">
            <w:pPr>
              <w:pStyle w:val="Tabletext"/>
            </w:pPr>
            <w:r w:rsidRPr="000537B0">
              <w:t>ExCel</w:t>
            </w:r>
          </w:p>
        </w:tc>
      </w:tr>
    </w:tbl>
    <w:p w14:paraId="76852617" w14:textId="48ACAF6F" w:rsidR="00652235" w:rsidRDefault="00652235" w:rsidP="00C11BBE">
      <w:pPr>
        <w:pStyle w:val="Tablenotes"/>
      </w:pPr>
      <w:r>
        <w:t>Source: Table 4, p21 of the commentary.</w:t>
      </w:r>
    </w:p>
    <w:p w14:paraId="15BD69D7" w14:textId="1318C1A2" w:rsidR="00652235" w:rsidRDefault="00652235" w:rsidP="00C11BBE">
      <w:pPr>
        <w:spacing w:before="240"/>
      </w:pPr>
      <w:r>
        <w:t>The commentary noted that a</w:t>
      </w:r>
      <w:r w:rsidRPr="0022710B">
        <w:t xml:space="preserve">s the claim of non-inferiority is not well supported, the cost-comparison approach </w:t>
      </w:r>
      <w:r>
        <w:t xml:space="preserve">presented </w:t>
      </w:r>
      <w:r w:rsidR="00C11BBE">
        <w:t>may not be appropriate.</w:t>
      </w:r>
    </w:p>
    <w:p w14:paraId="1E9222DE" w14:textId="77777777" w:rsidR="00652235" w:rsidRPr="006B78AD" w:rsidRDefault="00652235" w:rsidP="00C11BBE">
      <w:pPr>
        <w:spacing w:before="240"/>
      </w:pPr>
      <w:r>
        <w:t>The k</w:t>
      </w:r>
      <w:r w:rsidRPr="006B78AD">
        <w:t>ey assumptions</w:t>
      </w:r>
      <w:r>
        <w:t xml:space="preserve"> in the application</w:t>
      </w:r>
      <w:r w:rsidRPr="006B78AD">
        <w:t xml:space="preserve"> included:</w:t>
      </w:r>
    </w:p>
    <w:p w14:paraId="6750563E" w14:textId="0C05B2F3" w:rsidR="00652235" w:rsidRPr="000537B0" w:rsidRDefault="00652235" w:rsidP="00B34F48">
      <w:pPr>
        <w:pStyle w:val="ListParagraph"/>
        <w:numPr>
          <w:ilvl w:val="0"/>
          <w:numId w:val="8"/>
        </w:numPr>
      </w:pPr>
      <w:r w:rsidRPr="000537B0">
        <w:t xml:space="preserve">MBS </w:t>
      </w:r>
      <w:r>
        <w:t>i</w:t>
      </w:r>
      <w:r w:rsidRPr="000537B0">
        <w:t xml:space="preserve">tem numbers: Since PUL, VLAP and TURP are currently MBS </w:t>
      </w:r>
      <w:r>
        <w:t>listed, the use of the current i</w:t>
      </w:r>
      <w:r w:rsidRPr="000537B0">
        <w:t>tem numbers for the surgeon and the anaesthetist was considered justified. Note that the fee used for VLAP is that recommended as a result of MSAC Application 1518, that is, the same as TURP.</w:t>
      </w:r>
    </w:p>
    <w:p w14:paraId="10098030" w14:textId="77777777" w:rsidR="00652235" w:rsidRPr="000537B0" w:rsidRDefault="00652235" w:rsidP="00B34F48">
      <w:pPr>
        <w:pStyle w:val="ListParagraph"/>
        <w:numPr>
          <w:ilvl w:val="0"/>
          <w:numId w:val="8"/>
        </w:numPr>
      </w:pPr>
      <w:r w:rsidRPr="000537B0">
        <w:t>AR-DRG data cube 2017-18: Most recent available.</w:t>
      </w:r>
    </w:p>
    <w:p w14:paraId="578767FC" w14:textId="77777777" w:rsidR="00652235" w:rsidRPr="000537B0" w:rsidRDefault="00652235" w:rsidP="00B34F48">
      <w:pPr>
        <w:pStyle w:val="ListParagraph"/>
        <w:numPr>
          <w:ilvl w:val="0"/>
          <w:numId w:val="8"/>
        </w:numPr>
      </w:pPr>
      <w:r w:rsidRPr="000537B0">
        <w:t>2019 Private Hospital Fee Schedule for Workers Compensation Theatre Banding and bed-day fee: Although considered to be a very conservative estimate, this fee schedule covers 2019 private hospitals.</w:t>
      </w:r>
    </w:p>
    <w:p w14:paraId="00AD1162" w14:textId="77777777" w:rsidR="00652235" w:rsidRPr="000537B0" w:rsidRDefault="00652235" w:rsidP="00B34F48">
      <w:pPr>
        <w:pStyle w:val="ListParagraph"/>
        <w:numPr>
          <w:ilvl w:val="0"/>
          <w:numId w:val="8"/>
        </w:numPr>
      </w:pPr>
      <w:r w:rsidRPr="000537B0">
        <w:t>IHPA National Efficient Price Determination 2018-19: This provided up to date relative cost weight between TURP with major complications and TURP with minor complications.</w:t>
      </w:r>
    </w:p>
    <w:p w14:paraId="0A80801F" w14:textId="77777777" w:rsidR="00652235" w:rsidRPr="000537B0" w:rsidRDefault="00652235" w:rsidP="00B34F48">
      <w:pPr>
        <w:pStyle w:val="ListParagraph"/>
        <w:numPr>
          <w:ilvl w:val="0"/>
          <w:numId w:val="8"/>
        </w:numPr>
      </w:pPr>
      <w:r w:rsidRPr="000537B0">
        <w:t>Prostheses List February 2020: Most up to date benefit amount for the UroLift prosthesis.</w:t>
      </w:r>
    </w:p>
    <w:p w14:paraId="7EBFDC7B" w14:textId="77777777" w:rsidR="00652235" w:rsidRPr="000537B0" w:rsidRDefault="00652235" w:rsidP="00B34F48">
      <w:pPr>
        <w:pStyle w:val="ListParagraph"/>
        <w:numPr>
          <w:ilvl w:val="0"/>
          <w:numId w:val="8"/>
        </w:numPr>
      </w:pPr>
      <w:r w:rsidRPr="000537B0">
        <w:t>Sievert et al (2019): Real world study as opposed to a controlled clinical study.  Believed to more accurately reflect actual usage.  Also confirmed by Eure et al (2019) paper.</w:t>
      </w:r>
    </w:p>
    <w:p w14:paraId="217A615F" w14:textId="77777777" w:rsidR="00652235" w:rsidRPr="000537B0" w:rsidRDefault="00652235" w:rsidP="00B34F48">
      <w:pPr>
        <w:pStyle w:val="ListParagraph"/>
        <w:numPr>
          <w:ilvl w:val="0"/>
          <w:numId w:val="8"/>
        </w:numPr>
      </w:pPr>
      <w:r w:rsidRPr="000537B0">
        <w:t>Hospital length of stay (LoS): significant difference between PUL and TURP.</w:t>
      </w:r>
    </w:p>
    <w:p w14:paraId="6EF62CFC" w14:textId="77777777" w:rsidR="00652235" w:rsidRPr="000537B0" w:rsidRDefault="00652235" w:rsidP="00B34F48">
      <w:pPr>
        <w:pStyle w:val="ListParagraph"/>
        <w:numPr>
          <w:ilvl w:val="0"/>
          <w:numId w:val="8"/>
        </w:numPr>
      </w:pPr>
      <w:r w:rsidRPr="000537B0">
        <w:t>TURP – major/minor complications: significant difference in cost between major and minor.</w:t>
      </w:r>
    </w:p>
    <w:p w14:paraId="7528B794" w14:textId="77777777" w:rsidR="00652235" w:rsidRPr="000537B0" w:rsidRDefault="00652235" w:rsidP="00B34F48">
      <w:pPr>
        <w:pStyle w:val="ListParagraph"/>
        <w:numPr>
          <w:ilvl w:val="0"/>
          <w:numId w:val="8"/>
        </w:numPr>
      </w:pPr>
      <w:r w:rsidRPr="000537B0">
        <w:t>Prostheses: Cost of PUL sensitive to number implanted.</w:t>
      </w:r>
    </w:p>
    <w:p w14:paraId="44AE845C" w14:textId="1E7F5CFA" w:rsidR="00652235" w:rsidRDefault="00652235" w:rsidP="00C11BBE">
      <w:pPr>
        <w:pStyle w:val="ListParagraph"/>
        <w:numPr>
          <w:ilvl w:val="0"/>
          <w:numId w:val="8"/>
        </w:numPr>
      </w:pPr>
      <w:r w:rsidRPr="000537B0">
        <w:t>VLAP capital and disposable costs sourced from a Queensland paper by Whitty et al (2014) and capital cost updated using CPI increase 2013 to 2019.</w:t>
      </w:r>
    </w:p>
    <w:p w14:paraId="26227187" w14:textId="6810A79E" w:rsidR="00652235" w:rsidRDefault="00652235" w:rsidP="00C11BBE">
      <w:pPr>
        <w:tabs>
          <w:tab w:val="left" w:pos="720"/>
        </w:tabs>
        <w:spacing w:before="240"/>
      </w:pPr>
      <w:r>
        <w:t>The pre-ESC response clarified that the</w:t>
      </w:r>
      <w:r w:rsidRPr="009373A2">
        <w:t xml:space="preserve"> time horizon of five years was used </w:t>
      </w:r>
      <w:r>
        <w:t xml:space="preserve">as </w:t>
      </w:r>
      <w:r w:rsidRPr="009373A2">
        <w:t>this was the maximum follow-up published from clinical studies and was appropriate for the economic analysis.</w:t>
      </w:r>
    </w:p>
    <w:p w14:paraId="1269FBF9" w14:textId="77777777" w:rsidR="00652235" w:rsidRDefault="00652235" w:rsidP="00C11BBE">
      <w:pPr>
        <w:spacing w:before="240"/>
      </w:pPr>
      <w:r w:rsidRPr="000537B0">
        <w:t xml:space="preserve">The overall costs, as calculated </w:t>
      </w:r>
      <w:r>
        <w:t xml:space="preserve">by the applicant </w:t>
      </w:r>
      <w:r w:rsidRPr="000537B0">
        <w:t>for the intervention (PUL) and comparator</w:t>
      </w:r>
      <w:r>
        <w:t xml:space="preserve">s (TURP and VLAP), are shown below in </w:t>
      </w:r>
      <w:r>
        <w:fldChar w:fldCharType="begin"/>
      </w:r>
      <w:r>
        <w:instrText xml:space="preserve"> REF _Ref40964248 \h </w:instrText>
      </w:r>
      <w:r>
        <w:fldChar w:fldCharType="separate"/>
      </w:r>
      <w:r w:rsidRPr="00783995">
        <w:t xml:space="preserve">Table </w:t>
      </w:r>
      <w:r>
        <w:rPr>
          <w:noProof/>
        </w:rPr>
        <w:t>9</w:t>
      </w:r>
      <w:r>
        <w:fldChar w:fldCharType="end"/>
      </w:r>
      <w:r>
        <w:t xml:space="preserve"> – 10, 11 – 13 and 15.</w:t>
      </w:r>
    </w:p>
    <w:p w14:paraId="06F42E37" w14:textId="77777777" w:rsidR="00652235" w:rsidRPr="00047E8A" w:rsidRDefault="00652235" w:rsidP="00652235">
      <w:pPr>
        <w:rPr>
          <w:rStyle w:val="CritiquemainbodyChar"/>
        </w:rPr>
      </w:pPr>
    </w:p>
    <w:p w14:paraId="609DB4A4" w14:textId="77777777" w:rsidR="00652235" w:rsidRPr="00D863C8" w:rsidRDefault="00652235" w:rsidP="00D863C8">
      <w:pPr>
        <w:rPr>
          <w:rFonts w:eastAsiaTheme="minorHAnsi"/>
          <w:u w:val="single"/>
        </w:rPr>
      </w:pPr>
      <w:r w:rsidRPr="00D863C8">
        <w:rPr>
          <w:rFonts w:eastAsiaTheme="minorHAnsi"/>
          <w:u w:val="single"/>
        </w:rPr>
        <w:t>TURP</w:t>
      </w:r>
    </w:p>
    <w:p w14:paraId="7B6F2BA9" w14:textId="77E9A1DD" w:rsidR="00652235" w:rsidRPr="00C11BBE" w:rsidRDefault="00652235" w:rsidP="00652235">
      <w:pPr>
        <w:rPr>
          <w:rFonts w:eastAsiaTheme="minorHAnsi"/>
          <w:lang w:eastAsia="en-US"/>
        </w:rPr>
      </w:pPr>
      <w:r>
        <w:rPr>
          <w:rFonts w:eastAsiaTheme="minorHAnsi"/>
          <w:lang w:eastAsia="en-US"/>
        </w:rPr>
        <w:t>The procedure costs for TURP</w:t>
      </w:r>
      <w:r w:rsidR="00A12623">
        <w:rPr>
          <w:rFonts w:eastAsiaTheme="minorHAnsi"/>
          <w:lang w:eastAsia="en-US"/>
        </w:rPr>
        <w:t xml:space="preserve"> (</w:t>
      </w:r>
      <w:r w:rsidR="004B46AD">
        <w:rPr>
          <w:rFonts w:eastAsiaTheme="minorHAnsi"/>
          <w:lang w:eastAsia="en-US"/>
        </w:rPr>
        <w:t>s</w:t>
      </w:r>
      <w:r>
        <w:rPr>
          <w:rFonts w:eastAsiaTheme="minorHAnsi"/>
          <w:lang w:eastAsia="en-US"/>
        </w:rPr>
        <w:t>hown in</w:t>
      </w:r>
      <w:r w:rsidR="003636DE">
        <w:rPr>
          <w:rFonts w:eastAsiaTheme="minorHAnsi"/>
          <w:lang w:eastAsia="en-US"/>
        </w:rPr>
        <w:t xml:space="preserve"> Table 23, p52</w:t>
      </w:r>
      <w:r w:rsidR="00A12623">
        <w:rPr>
          <w:rFonts w:eastAsiaTheme="minorHAnsi"/>
          <w:lang w:eastAsia="en-US"/>
        </w:rPr>
        <w:t xml:space="preserve"> of the ADAR)</w:t>
      </w:r>
      <w:r>
        <w:rPr>
          <w:rFonts w:eastAsiaTheme="minorHAnsi"/>
          <w:lang w:eastAsia="en-US"/>
        </w:rPr>
        <w:t xml:space="preserve"> use</w:t>
      </w:r>
      <w:r w:rsidR="00A12623">
        <w:rPr>
          <w:rFonts w:eastAsiaTheme="minorHAnsi"/>
          <w:lang w:eastAsia="en-US"/>
        </w:rPr>
        <w:t>d</w:t>
      </w:r>
      <w:r>
        <w:rPr>
          <w:rFonts w:eastAsiaTheme="minorHAnsi"/>
          <w:lang w:eastAsia="en-US"/>
        </w:rPr>
        <w:t xml:space="preserve"> </w:t>
      </w:r>
      <w:r w:rsidRPr="000537B0">
        <w:rPr>
          <w:rFonts w:eastAsiaTheme="minorHAnsi"/>
          <w:lang w:eastAsia="en-US"/>
        </w:rPr>
        <w:t xml:space="preserve">a combination of current MBS Fees for the surgeon and the Anaesthetist, 2019 Private Hospital Fee Schedule </w:t>
      </w:r>
      <w:r w:rsidRPr="000537B0">
        <w:rPr>
          <w:rFonts w:eastAsiaTheme="minorHAnsi"/>
          <w:lang w:eastAsia="en-US"/>
        </w:rPr>
        <w:lastRenderedPageBreak/>
        <w:t>for Workers Compensation Theatre</w:t>
      </w:r>
      <w:r>
        <w:rPr>
          <w:rFonts w:eastAsiaTheme="minorHAnsi"/>
          <w:lang w:eastAsia="en-US"/>
        </w:rPr>
        <w:t xml:space="preserve"> Banding and bed-day fee, to derive</w:t>
      </w:r>
      <w:r w:rsidRPr="000537B0">
        <w:rPr>
          <w:rFonts w:eastAsiaTheme="minorHAnsi"/>
          <w:lang w:eastAsia="en-US"/>
        </w:rPr>
        <w:t xml:space="preserve"> a total cost per procedure</w:t>
      </w:r>
      <w:r w:rsidRPr="008F3C2C">
        <w:rPr>
          <w:rFonts w:eastAsiaTheme="minorHAnsi"/>
          <w:lang w:eastAsia="en-US"/>
        </w:rPr>
        <w:t xml:space="preserve"> </w:t>
      </w:r>
      <w:r>
        <w:rPr>
          <w:rFonts w:eastAsiaTheme="minorHAnsi"/>
          <w:lang w:eastAsia="en-US"/>
        </w:rPr>
        <w:t>of $4,971.8</w:t>
      </w:r>
      <w:r w:rsidRPr="000537B0">
        <w:rPr>
          <w:rFonts w:eastAsiaTheme="minorHAnsi"/>
          <w:lang w:eastAsia="en-US"/>
        </w:rPr>
        <w:t xml:space="preserve"> (based on the bed-days for minor complications)</w:t>
      </w:r>
      <w:r>
        <w:rPr>
          <w:rFonts w:eastAsiaTheme="minorHAnsi"/>
          <w:lang w:eastAsia="en-US"/>
        </w:rPr>
        <w:t>.</w:t>
      </w:r>
    </w:p>
    <w:p w14:paraId="3A108D43" w14:textId="224B1E67" w:rsidR="00652235" w:rsidRDefault="00652235" w:rsidP="00C11BBE">
      <w:pPr>
        <w:spacing w:before="240"/>
      </w:pPr>
      <w:r>
        <w:t>The commentary noted that t</w:t>
      </w:r>
      <w:r w:rsidRPr="00D93FA3">
        <w:t>he length of hospital stay with TURP, 2.56 days, was based on the average length of hospital stay for AR-DRG L05B</w:t>
      </w:r>
      <w:r w:rsidRPr="00D93FA3">
        <w:rPr>
          <w:vertAlign w:val="superscript"/>
        </w:rPr>
        <w:footnoteReference w:id="8"/>
      </w:r>
      <w:r w:rsidRPr="00D93FA3">
        <w:t xml:space="preserve"> in the AIHW National Hospital Morbidity Database (2017-18). The ADAR has not justified using a longer hospital stay for TURP than what was observed in the BPH6 study (2.56 v 1.9 days), while assuming the length of stay observed in BPH6 for PUL (1 day)</w:t>
      </w:r>
      <w:r>
        <w:t>.</w:t>
      </w:r>
    </w:p>
    <w:p w14:paraId="5C2BAA2C" w14:textId="5EE2E28F" w:rsidR="00652235" w:rsidRPr="00C11BBE" w:rsidRDefault="00652235" w:rsidP="00C11BBE">
      <w:pPr>
        <w:spacing w:before="240"/>
      </w:pPr>
      <w:r>
        <w:t>The pre-</w:t>
      </w:r>
      <w:r w:rsidR="00432A64">
        <w:t xml:space="preserve">MSAC </w:t>
      </w:r>
      <w:r>
        <w:t>response clarified that the</w:t>
      </w:r>
      <w:r w:rsidRPr="009373A2">
        <w:t xml:space="preserve"> hospital stays used for the costing of the procedures, 2.56 days for TURP and overnight for PUL, were based on Australian practice rather than the international stays in the BPH6 study. </w:t>
      </w:r>
      <w:r w:rsidR="00A12623">
        <w:t xml:space="preserve">The pre-MSAC response acknowledged that </w:t>
      </w:r>
      <w:r w:rsidR="00A12623" w:rsidRPr="00A12623">
        <w:t>the cost of the disposable loops were omitted in the ADAR’s costing of TURP</w:t>
      </w:r>
      <w:r w:rsidR="00A12623">
        <w:t xml:space="preserve"> (Table 9) and therefore, the pre-MSAC response provided updated costing of TURP that includes the TURP disposable loops (see </w:t>
      </w:r>
      <w:r w:rsidR="003636DE">
        <w:fldChar w:fldCharType="begin"/>
      </w:r>
      <w:r w:rsidR="003636DE">
        <w:instrText xml:space="preserve"> REF _Ref46743470 \h </w:instrText>
      </w:r>
      <w:r w:rsidR="003636DE">
        <w:fldChar w:fldCharType="separate"/>
      </w:r>
      <w:r w:rsidR="003636DE">
        <w:t xml:space="preserve">Table </w:t>
      </w:r>
      <w:r w:rsidR="003636DE">
        <w:rPr>
          <w:noProof/>
        </w:rPr>
        <w:t>9</w:t>
      </w:r>
      <w:r w:rsidR="003636DE">
        <w:fldChar w:fldCharType="end"/>
      </w:r>
      <w:r w:rsidR="003636DE">
        <w:t>) which derived a total cost per TURP procedure of $5454.06.</w:t>
      </w:r>
    </w:p>
    <w:p w14:paraId="7D91745E" w14:textId="63F580CD" w:rsidR="003636DE" w:rsidRPr="00D863C8" w:rsidRDefault="003636DE" w:rsidP="00D863C8">
      <w:pPr>
        <w:spacing w:before="240"/>
        <w:rPr>
          <w:rFonts w:ascii="Arial Narrow" w:hAnsi="Arial Narrow"/>
          <w:b/>
          <w:sz w:val="20"/>
        </w:rPr>
      </w:pPr>
      <w:bookmarkStart w:id="21" w:name="_Ref46743470"/>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9</w:t>
      </w:r>
      <w:r w:rsidR="00C11BBE" w:rsidRPr="00D863C8">
        <w:rPr>
          <w:rFonts w:ascii="Arial Narrow" w:hAnsi="Arial Narrow"/>
          <w:b/>
          <w:sz w:val="20"/>
        </w:rPr>
        <w:fldChar w:fldCharType="end"/>
      </w:r>
      <w:bookmarkEnd w:id="21"/>
      <w:r w:rsidRPr="00D863C8">
        <w:rPr>
          <w:rFonts w:ascii="Arial Narrow" w:hAnsi="Arial Narrow"/>
          <w:b/>
          <w:sz w:val="20"/>
        </w:rPr>
        <w:t xml:space="preserve"> TURP Procedure Cost (updated in pre-MSAC response)</w:t>
      </w:r>
    </w:p>
    <w:tbl>
      <w:tblPr>
        <w:tblStyle w:val="TableGrid21"/>
        <w:tblW w:w="8482" w:type="dxa"/>
        <w:tblInd w:w="-5" w:type="dxa"/>
        <w:tblLook w:val="04A0" w:firstRow="1" w:lastRow="0" w:firstColumn="1" w:lastColumn="0" w:noHBand="0" w:noVBand="1"/>
        <w:tblDescription w:val="TURP Procedure Cost (updated in pre-MSAC response)"/>
      </w:tblPr>
      <w:tblGrid>
        <w:gridCol w:w="3903"/>
        <w:gridCol w:w="1089"/>
        <w:gridCol w:w="1123"/>
        <w:gridCol w:w="1249"/>
        <w:gridCol w:w="1118"/>
      </w:tblGrid>
      <w:tr w:rsidR="003636DE" w:rsidRPr="007B105E" w14:paraId="34065E44" w14:textId="77777777" w:rsidTr="00221228">
        <w:trPr>
          <w:tblHeader/>
        </w:trPr>
        <w:tc>
          <w:tcPr>
            <w:tcW w:w="3903" w:type="dxa"/>
            <w:tcBorders>
              <w:top w:val="single" w:sz="4" w:space="0" w:color="auto"/>
            </w:tcBorders>
          </w:tcPr>
          <w:p w14:paraId="502A26CB" w14:textId="77777777" w:rsidR="003636DE" w:rsidRPr="007B105E" w:rsidRDefault="003636DE" w:rsidP="003636DE">
            <w:pPr>
              <w:pStyle w:val="Tabletext"/>
            </w:pPr>
            <w:r w:rsidRPr="007B105E">
              <w:t>Medicare payments  -75% scheduled fee</w:t>
            </w:r>
          </w:p>
        </w:tc>
        <w:tc>
          <w:tcPr>
            <w:tcW w:w="1089" w:type="dxa"/>
            <w:tcBorders>
              <w:top w:val="single" w:sz="4" w:space="0" w:color="auto"/>
            </w:tcBorders>
          </w:tcPr>
          <w:p w14:paraId="7C1F2245" w14:textId="77777777" w:rsidR="003636DE" w:rsidRPr="007B105E" w:rsidRDefault="003636DE" w:rsidP="003636DE">
            <w:pPr>
              <w:pStyle w:val="Tabletext"/>
            </w:pPr>
            <w:r w:rsidRPr="007B105E">
              <w:rPr>
                <w:rFonts w:cs="Arial"/>
              </w:rPr>
              <w:t>MBS Item</w:t>
            </w:r>
          </w:p>
        </w:tc>
        <w:tc>
          <w:tcPr>
            <w:tcW w:w="1123" w:type="dxa"/>
            <w:tcBorders>
              <w:top w:val="single" w:sz="4" w:space="0" w:color="auto"/>
            </w:tcBorders>
          </w:tcPr>
          <w:p w14:paraId="517299D1" w14:textId="77777777" w:rsidR="003636DE" w:rsidRPr="007B105E" w:rsidRDefault="003636DE" w:rsidP="003636DE">
            <w:pPr>
              <w:pStyle w:val="Tabletext"/>
            </w:pPr>
            <w:r w:rsidRPr="007B105E">
              <w:rPr>
                <w:rFonts w:cs="Arial"/>
              </w:rPr>
              <w:t>Fee</w:t>
            </w:r>
          </w:p>
        </w:tc>
        <w:tc>
          <w:tcPr>
            <w:tcW w:w="1249" w:type="dxa"/>
            <w:tcBorders>
              <w:top w:val="single" w:sz="4" w:space="0" w:color="auto"/>
            </w:tcBorders>
          </w:tcPr>
          <w:p w14:paraId="3483BE5E" w14:textId="77777777" w:rsidR="003636DE" w:rsidRPr="007B105E" w:rsidRDefault="003636DE" w:rsidP="003636DE">
            <w:pPr>
              <w:pStyle w:val="Tabletext"/>
            </w:pPr>
            <w:r w:rsidRPr="007B105E">
              <w:t>Health Fund</w:t>
            </w:r>
          </w:p>
        </w:tc>
        <w:tc>
          <w:tcPr>
            <w:tcW w:w="1118" w:type="dxa"/>
            <w:tcBorders>
              <w:top w:val="single" w:sz="4" w:space="0" w:color="auto"/>
            </w:tcBorders>
          </w:tcPr>
          <w:p w14:paraId="3D2AF504" w14:textId="77777777" w:rsidR="003636DE" w:rsidRPr="007B105E" w:rsidRDefault="003636DE" w:rsidP="003636DE">
            <w:pPr>
              <w:pStyle w:val="Tabletext"/>
            </w:pPr>
            <w:r w:rsidRPr="007B105E">
              <w:t>Medicare</w:t>
            </w:r>
          </w:p>
        </w:tc>
      </w:tr>
      <w:tr w:rsidR="003636DE" w:rsidRPr="007B105E" w14:paraId="5765B61A" w14:textId="77777777" w:rsidTr="003636DE">
        <w:tc>
          <w:tcPr>
            <w:tcW w:w="3903" w:type="dxa"/>
          </w:tcPr>
          <w:p w14:paraId="735B18F0" w14:textId="77777777" w:rsidR="003636DE" w:rsidRPr="007B105E" w:rsidRDefault="003636DE" w:rsidP="003636DE">
            <w:pPr>
              <w:pStyle w:val="Tabletext"/>
            </w:pPr>
            <w:r w:rsidRPr="007B105E">
              <w:t>Pre-anaesthesia consultation</w:t>
            </w:r>
          </w:p>
        </w:tc>
        <w:tc>
          <w:tcPr>
            <w:tcW w:w="1089" w:type="dxa"/>
          </w:tcPr>
          <w:p w14:paraId="08D89EE9" w14:textId="77777777" w:rsidR="003636DE" w:rsidRPr="007B105E" w:rsidRDefault="003636DE" w:rsidP="003636DE">
            <w:pPr>
              <w:pStyle w:val="Tabletext"/>
            </w:pPr>
            <w:r w:rsidRPr="007B105E">
              <w:t>17610</w:t>
            </w:r>
          </w:p>
        </w:tc>
        <w:tc>
          <w:tcPr>
            <w:tcW w:w="1123" w:type="dxa"/>
          </w:tcPr>
          <w:p w14:paraId="7954FD86" w14:textId="77777777" w:rsidR="003636DE" w:rsidRPr="007B105E" w:rsidRDefault="003636DE" w:rsidP="003636DE">
            <w:pPr>
              <w:pStyle w:val="Tabletext"/>
            </w:pPr>
            <w:r w:rsidRPr="007B105E">
              <w:t>$44.35</w:t>
            </w:r>
          </w:p>
        </w:tc>
        <w:tc>
          <w:tcPr>
            <w:tcW w:w="1249" w:type="dxa"/>
          </w:tcPr>
          <w:p w14:paraId="4C8EF650" w14:textId="77777777" w:rsidR="003636DE" w:rsidRPr="007B105E" w:rsidRDefault="003636DE" w:rsidP="003636DE">
            <w:pPr>
              <w:pStyle w:val="Tabletext"/>
            </w:pPr>
            <w:r w:rsidRPr="007B105E">
              <w:t>$11.05</w:t>
            </w:r>
          </w:p>
        </w:tc>
        <w:tc>
          <w:tcPr>
            <w:tcW w:w="1118" w:type="dxa"/>
          </w:tcPr>
          <w:p w14:paraId="238C45FD" w14:textId="77777777" w:rsidR="003636DE" w:rsidRPr="007B105E" w:rsidRDefault="003636DE" w:rsidP="003636DE">
            <w:pPr>
              <w:pStyle w:val="Tabletext"/>
            </w:pPr>
            <w:r w:rsidRPr="007B105E">
              <w:t>$33.30</w:t>
            </w:r>
          </w:p>
        </w:tc>
      </w:tr>
      <w:tr w:rsidR="003636DE" w:rsidRPr="007B105E" w14:paraId="438039B7" w14:textId="77777777" w:rsidTr="003636DE">
        <w:tc>
          <w:tcPr>
            <w:tcW w:w="3903" w:type="dxa"/>
          </w:tcPr>
          <w:p w14:paraId="7407F050" w14:textId="77777777" w:rsidR="003636DE" w:rsidRPr="007B105E" w:rsidRDefault="003636DE" w:rsidP="003636DE">
            <w:pPr>
              <w:pStyle w:val="Tabletext"/>
            </w:pPr>
            <w:r w:rsidRPr="007B105E">
              <w:t>Initiation of management of anaesthesia 7 units</w:t>
            </w:r>
          </w:p>
        </w:tc>
        <w:tc>
          <w:tcPr>
            <w:tcW w:w="1089" w:type="dxa"/>
          </w:tcPr>
          <w:p w14:paraId="6F9B2A57" w14:textId="77777777" w:rsidR="003636DE" w:rsidRPr="007B105E" w:rsidRDefault="003636DE" w:rsidP="003636DE">
            <w:pPr>
              <w:pStyle w:val="Tabletext"/>
            </w:pPr>
            <w:r w:rsidRPr="007B105E">
              <w:t>20914</w:t>
            </w:r>
          </w:p>
        </w:tc>
        <w:tc>
          <w:tcPr>
            <w:tcW w:w="1123" w:type="dxa"/>
          </w:tcPr>
          <w:p w14:paraId="2EB4406C" w14:textId="77777777" w:rsidR="003636DE" w:rsidRPr="007B105E" w:rsidRDefault="003636DE" w:rsidP="003636DE">
            <w:pPr>
              <w:pStyle w:val="Tabletext"/>
            </w:pPr>
            <w:r w:rsidRPr="007B105E">
              <w:t>$140.70</w:t>
            </w:r>
          </w:p>
        </w:tc>
        <w:tc>
          <w:tcPr>
            <w:tcW w:w="1249" w:type="dxa"/>
          </w:tcPr>
          <w:p w14:paraId="5418299A" w14:textId="77777777" w:rsidR="003636DE" w:rsidRPr="007B105E" w:rsidRDefault="003636DE" w:rsidP="003636DE">
            <w:pPr>
              <w:pStyle w:val="Tabletext"/>
            </w:pPr>
            <w:r w:rsidRPr="007B105E">
              <w:t>$35.15</w:t>
            </w:r>
          </w:p>
        </w:tc>
        <w:tc>
          <w:tcPr>
            <w:tcW w:w="1118" w:type="dxa"/>
          </w:tcPr>
          <w:p w14:paraId="3E00E5E4" w14:textId="77777777" w:rsidR="003636DE" w:rsidRPr="007B105E" w:rsidRDefault="003636DE" w:rsidP="003636DE">
            <w:pPr>
              <w:pStyle w:val="Tabletext"/>
            </w:pPr>
            <w:r w:rsidRPr="007B105E">
              <w:t>$105.55</w:t>
            </w:r>
          </w:p>
        </w:tc>
      </w:tr>
      <w:tr w:rsidR="003636DE" w:rsidRPr="007B105E" w14:paraId="0B2ABE4A" w14:textId="77777777" w:rsidTr="003636DE">
        <w:tc>
          <w:tcPr>
            <w:tcW w:w="3903" w:type="dxa"/>
          </w:tcPr>
          <w:p w14:paraId="2932EBD0" w14:textId="77777777" w:rsidR="003636DE" w:rsidRPr="007B105E" w:rsidRDefault="003636DE" w:rsidP="003636DE">
            <w:pPr>
              <w:pStyle w:val="Tabletext"/>
            </w:pPr>
            <w:r w:rsidRPr="007B105E">
              <w:t>Anaesthesia – time (46-60 minutes)</w:t>
            </w:r>
          </w:p>
        </w:tc>
        <w:tc>
          <w:tcPr>
            <w:tcW w:w="1089" w:type="dxa"/>
          </w:tcPr>
          <w:p w14:paraId="218D453C" w14:textId="77777777" w:rsidR="003636DE" w:rsidRPr="007B105E" w:rsidRDefault="003636DE" w:rsidP="003636DE">
            <w:pPr>
              <w:pStyle w:val="Tabletext"/>
            </w:pPr>
            <w:r w:rsidRPr="007B105E">
              <w:t xml:space="preserve">23045 </w:t>
            </w:r>
          </w:p>
        </w:tc>
        <w:tc>
          <w:tcPr>
            <w:tcW w:w="1123" w:type="dxa"/>
          </w:tcPr>
          <w:p w14:paraId="43A5CAE4" w14:textId="77777777" w:rsidR="003636DE" w:rsidRPr="007B105E" w:rsidRDefault="003636DE" w:rsidP="003636DE">
            <w:pPr>
              <w:pStyle w:val="Tabletext"/>
            </w:pPr>
            <w:r w:rsidRPr="007B105E">
              <w:t>$80.40</w:t>
            </w:r>
          </w:p>
        </w:tc>
        <w:tc>
          <w:tcPr>
            <w:tcW w:w="1249" w:type="dxa"/>
          </w:tcPr>
          <w:p w14:paraId="4A655A3B" w14:textId="77777777" w:rsidR="003636DE" w:rsidRPr="007B105E" w:rsidRDefault="003636DE" w:rsidP="003636DE">
            <w:pPr>
              <w:pStyle w:val="Tabletext"/>
            </w:pPr>
            <w:r w:rsidRPr="007B105E">
              <w:t>$20.10</w:t>
            </w:r>
          </w:p>
        </w:tc>
        <w:tc>
          <w:tcPr>
            <w:tcW w:w="1118" w:type="dxa"/>
          </w:tcPr>
          <w:p w14:paraId="2D435543" w14:textId="77777777" w:rsidR="003636DE" w:rsidRPr="007B105E" w:rsidRDefault="003636DE" w:rsidP="003636DE">
            <w:pPr>
              <w:pStyle w:val="Tabletext"/>
            </w:pPr>
            <w:r w:rsidRPr="007B105E">
              <w:t>$60.30</w:t>
            </w:r>
          </w:p>
        </w:tc>
      </w:tr>
      <w:tr w:rsidR="003636DE" w:rsidRPr="007B105E" w14:paraId="1F1D57B4" w14:textId="77777777" w:rsidTr="003636DE">
        <w:tc>
          <w:tcPr>
            <w:tcW w:w="3903" w:type="dxa"/>
          </w:tcPr>
          <w:p w14:paraId="01D2D349" w14:textId="77777777" w:rsidR="003636DE" w:rsidRPr="007B105E" w:rsidRDefault="003636DE" w:rsidP="003636DE">
            <w:pPr>
              <w:pStyle w:val="Tabletext"/>
            </w:pPr>
            <w:r w:rsidRPr="007B105E">
              <w:t>Procedure – surgeon</w:t>
            </w:r>
          </w:p>
        </w:tc>
        <w:tc>
          <w:tcPr>
            <w:tcW w:w="1089" w:type="dxa"/>
          </w:tcPr>
          <w:p w14:paraId="1000460E" w14:textId="77777777" w:rsidR="003636DE" w:rsidRPr="007B105E" w:rsidRDefault="003636DE" w:rsidP="003636DE">
            <w:pPr>
              <w:pStyle w:val="Tabletext"/>
            </w:pPr>
            <w:r w:rsidRPr="007B105E">
              <w:t>37203</w:t>
            </w:r>
          </w:p>
        </w:tc>
        <w:tc>
          <w:tcPr>
            <w:tcW w:w="1123" w:type="dxa"/>
          </w:tcPr>
          <w:p w14:paraId="758C32D8" w14:textId="77777777" w:rsidR="003636DE" w:rsidRPr="007B105E" w:rsidRDefault="003636DE" w:rsidP="003636DE">
            <w:pPr>
              <w:pStyle w:val="Tabletext"/>
            </w:pPr>
            <w:r w:rsidRPr="007B105E">
              <w:t>$1,058.80</w:t>
            </w:r>
          </w:p>
        </w:tc>
        <w:tc>
          <w:tcPr>
            <w:tcW w:w="1249" w:type="dxa"/>
          </w:tcPr>
          <w:p w14:paraId="1E877C4F" w14:textId="77777777" w:rsidR="003636DE" w:rsidRPr="007B105E" w:rsidRDefault="003636DE" w:rsidP="003636DE">
            <w:pPr>
              <w:pStyle w:val="Tabletext"/>
            </w:pPr>
            <w:r w:rsidRPr="007B105E">
              <w:t>$264.70</w:t>
            </w:r>
          </w:p>
        </w:tc>
        <w:tc>
          <w:tcPr>
            <w:tcW w:w="1118" w:type="dxa"/>
          </w:tcPr>
          <w:p w14:paraId="4EB8B5A5" w14:textId="77777777" w:rsidR="003636DE" w:rsidRPr="007B105E" w:rsidRDefault="003636DE" w:rsidP="003636DE">
            <w:pPr>
              <w:pStyle w:val="Tabletext"/>
            </w:pPr>
            <w:r w:rsidRPr="007B105E">
              <w:t>$794.10</w:t>
            </w:r>
          </w:p>
        </w:tc>
      </w:tr>
      <w:tr w:rsidR="003636DE" w:rsidRPr="007B105E" w14:paraId="36A415CD" w14:textId="77777777" w:rsidTr="003636DE">
        <w:tc>
          <w:tcPr>
            <w:tcW w:w="3903" w:type="dxa"/>
          </w:tcPr>
          <w:p w14:paraId="43BA6949" w14:textId="77777777" w:rsidR="003636DE" w:rsidRPr="007B105E" w:rsidRDefault="003636DE" w:rsidP="003636DE">
            <w:pPr>
              <w:pStyle w:val="Tabletext"/>
            </w:pPr>
            <w:r w:rsidRPr="007B105E">
              <w:t>Theatre - minor complications – Band 5</w:t>
            </w:r>
          </w:p>
        </w:tc>
        <w:tc>
          <w:tcPr>
            <w:tcW w:w="1089" w:type="dxa"/>
          </w:tcPr>
          <w:p w14:paraId="6165E7A4" w14:textId="77777777" w:rsidR="003636DE" w:rsidRPr="007B105E" w:rsidRDefault="003636DE" w:rsidP="003636DE">
            <w:pPr>
              <w:pStyle w:val="Tabletext"/>
            </w:pPr>
          </w:p>
        </w:tc>
        <w:tc>
          <w:tcPr>
            <w:tcW w:w="1123" w:type="dxa"/>
          </w:tcPr>
          <w:p w14:paraId="1D745B6B" w14:textId="77777777" w:rsidR="003636DE" w:rsidRPr="007B105E" w:rsidRDefault="003636DE" w:rsidP="003636DE">
            <w:pPr>
              <w:pStyle w:val="Tabletext"/>
            </w:pPr>
            <w:r w:rsidRPr="007B105E">
              <w:t>$1,501.50</w:t>
            </w:r>
          </w:p>
        </w:tc>
        <w:tc>
          <w:tcPr>
            <w:tcW w:w="1249" w:type="dxa"/>
          </w:tcPr>
          <w:p w14:paraId="13E3CD5F" w14:textId="77777777" w:rsidR="003636DE" w:rsidRPr="007B105E" w:rsidRDefault="003636DE" w:rsidP="003636DE">
            <w:pPr>
              <w:pStyle w:val="Tabletext"/>
            </w:pPr>
            <w:r w:rsidRPr="007B105E">
              <w:t>$1,501.50</w:t>
            </w:r>
          </w:p>
        </w:tc>
        <w:tc>
          <w:tcPr>
            <w:tcW w:w="1118" w:type="dxa"/>
          </w:tcPr>
          <w:p w14:paraId="254A8384" w14:textId="77777777" w:rsidR="003636DE" w:rsidRPr="007B105E" w:rsidRDefault="003636DE" w:rsidP="003636DE">
            <w:pPr>
              <w:pStyle w:val="Tabletext"/>
            </w:pPr>
            <w:r w:rsidRPr="007B105E">
              <w:t>$0.00</w:t>
            </w:r>
          </w:p>
        </w:tc>
      </w:tr>
      <w:tr w:rsidR="003636DE" w:rsidRPr="007B105E" w14:paraId="2E9E12F1" w14:textId="77777777" w:rsidTr="003636DE">
        <w:tc>
          <w:tcPr>
            <w:tcW w:w="3903" w:type="dxa"/>
          </w:tcPr>
          <w:p w14:paraId="4FE531D0" w14:textId="77777777" w:rsidR="003636DE" w:rsidRPr="007B105E" w:rsidRDefault="003636DE" w:rsidP="003636DE">
            <w:pPr>
              <w:pStyle w:val="Tabletext"/>
            </w:pPr>
            <w:r w:rsidRPr="007B105E">
              <w:t>Bed-days @ $838.30 /day for 2.56 days</w:t>
            </w:r>
          </w:p>
        </w:tc>
        <w:tc>
          <w:tcPr>
            <w:tcW w:w="1089" w:type="dxa"/>
          </w:tcPr>
          <w:p w14:paraId="26B4D853" w14:textId="77777777" w:rsidR="003636DE" w:rsidRPr="007B105E" w:rsidRDefault="003636DE" w:rsidP="003636DE">
            <w:pPr>
              <w:pStyle w:val="Tabletext"/>
            </w:pPr>
          </w:p>
        </w:tc>
        <w:tc>
          <w:tcPr>
            <w:tcW w:w="1123" w:type="dxa"/>
          </w:tcPr>
          <w:p w14:paraId="02DBA0E1" w14:textId="77777777" w:rsidR="003636DE" w:rsidRPr="007B105E" w:rsidRDefault="003636DE" w:rsidP="003636DE">
            <w:pPr>
              <w:pStyle w:val="Tabletext"/>
            </w:pPr>
            <w:r w:rsidRPr="007B105E">
              <w:t>$2,146.05</w:t>
            </w:r>
          </w:p>
        </w:tc>
        <w:tc>
          <w:tcPr>
            <w:tcW w:w="1249" w:type="dxa"/>
          </w:tcPr>
          <w:p w14:paraId="3EB7781C" w14:textId="77777777" w:rsidR="003636DE" w:rsidRPr="007B105E" w:rsidRDefault="003636DE" w:rsidP="003636DE">
            <w:pPr>
              <w:pStyle w:val="Tabletext"/>
            </w:pPr>
            <w:r w:rsidRPr="007B105E">
              <w:t>$2,146.05</w:t>
            </w:r>
          </w:p>
        </w:tc>
        <w:tc>
          <w:tcPr>
            <w:tcW w:w="1118" w:type="dxa"/>
          </w:tcPr>
          <w:p w14:paraId="1F878FA3" w14:textId="77777777" w:rsidR="003636DE" w:rsidRPr="007B105E" w:rsidRDefault="003636DE" w:rsidP="003636DE">
            <w:pPr>
              <w:pStyle w:val="Tabletext"/>
            </w:pPr>
            <w:r w:rsidRPr="007B105E">
              <w:t>$0.00</w:t>
            </w:r>
          </w:p>
        </w:tc>
      </w:tr>
      <w:tr w:rsidR="003636DE" w:rsidRPr="007B105E" w14:paraId="77C3F64C" w14:textId="77777777" w:rsidTr="003636DE">
        <w:tc>
          <w:tcPr>
            <w:tcW w:w="3903" w:type="dxa"/>
          </w:tcPr>
          <w:p w14:paraId="01498045" w14:textId="77777777" w:rsidR="003636DE" w:rsidRPr="007B105E" w:rsidRDefault="003636DE" w:rsidP="003636DE">
            <w:pPr>
              <w:pStyle w:val="Tabletext"/>
            </w:pPr>
            <w:r w:rsidRPr="007B105E">
              <w:t>TURP disposable loop</w:t>
            </w:r>
          </w:p>
        </w:tc>
        <w:tc>
          <w:tcPr>
            <w:tcW w:w="1089" w:type="dxa"/>
          </w:tcPr>
          <w:p w14:paraId="7BCA8CF0" w14:textId="77777777" w:rsidR="003636DE" w:rsidRPr="007B105E" w:rsidRDefault="003636DE" w:rsidP="003636DE">
            <w:pPr>
              <w:pStyle w:val="Tabletext"/>
            </w:pPr>
          </w:p>
        </w:tc>
        <w:tc>
          <w:tcPr>
            <w:tcW w:w="1123" w:type="dxa"/>
          </w:tcPr>
          <w:p w14:paraId="248DC408" w14:textId="77777777" w:rsidR="003636DE" w:rsidRPr="007B105E" w:rsidRDefault="003636DE" w:rsidP="003636DE">
            <w:pPr>
              <w:pStyle w:val="Tabletext"/>
            </w:pPr>
            <w:r w:rsidRPr="007B105E">
              <w:t>$482.26</w:t>
            </w:r>
          </w:p>
        </w:tc>
        <w:tc>
          <w:tcPr>
            <w:tcW w:w="1249" w:type="dxa"/>
          </w:tcPr>
          <w:p w14:paraId="6DA63B0C" w14:textId="77777777" w:rsidR="003636DE" w:rsidRPr="007B105E" w:rsidRDefault="003636DE" w:rsidP="003636DE">
            <w:pPr>
              <w:pStyle w:val="Tabletext"/>
            </w:pPr>
            <w:r w:rsidRPr="007B105E">
              <w:t>$482.26</w:t>
            </w:r>
          </w:p>
        </w:tc>
        <w:tc>
          <w:tcPr>
            <w:tcW w:w="1118" w:type="dxa"/>
          </w:tcPr>
          <w:p w14:paraId="1D343AE4" w14:textId="77777777" w:rsidR="003636DE" w:rsidRPr="007B105E" w:rsidRDefault="003636DE" w:rsidP="003636DE">
            <w:pPr>
              <w:pStyle w:val="Tabletext"/>
            </w:pPr>
            <w:r>
              <w:t>$0.00</w:t>
            </w:r>
          </w:p>
        </w:tc>
      </w:tr>
      <w:tr w:rsidR="003636DE" w:rsidRPr="00150DC0" w14:paraId="1578A676" w14:textId="77777777" w:rsidTr="003636DE">
        <w:tc>
          <w:tcPr>
            <w:tcW w:w="3903" w:type="dxa"/>
          </w:tcPr>
          <w:p w14:paraId="33CCA7AA" w14:textId="77777777" w:rsidR="003636DE" w:rsidRPr="00150DC0" w:rsidRDefault="003636DE" w:rsidP="003636DE">
            <w:pPr>
              <w:pStyle w:val="Tabletext"/>
            </w:pPr>
            <w:r w:rsidRPr="00150DC0">
              <w:t>Addition cost to the PBS</w:t>
            </w:r>
          </w:p>
        </w:tc>
        <w:tc>
          <w:tcPr>
            <w:tcW w:w="1089" w:type="dxa"/>
          </w:tcPr>
          <w:p w14:paraId="4D48E785" w14:textId="77777777" w:rsidR="003636DE" w:rsidRPr="00150DC0" w:rsidRDefault="003636DE" w:rsidP="003636DE">
            <w:pPr>
              <w:pStyle w:val="Tabletext"/>
            </w:pPr>
          </w:p>
        </w:tc>
        <w:tc>
          <w:tcPr>
            <w:tcW w:w="1123" w:type="dxa"/>
          </w:tcPr>
          <w:p w14:paraId="00E6AD17" w14:textId="77777777" w:rsidR="003636DE" w:rsidRPr="00150DC0" w:rsidRDefault="003636DE" w:rsidP="003636DE">
            <w:pPr>
              <w:pStyle w:val="Tabletext"/>
            </w:pPr>
            <w:r w:rsidRPr="00150DC0">
              <w:t>??</w:t>
            </w:r>
          </w:p>
        </w:tc>
        <w:tc>
          <w:tcPr>
            <w:tcW w:w="1249" w:type="dxa"/>
          </w:tcPr>
          <w:p w14:paraId="2C8B01AE" w14:textId="77777777" w:rsidR="003636DE" w:rsidRPr="00150DC0" w:rsidRDefault="003636DE" w:rsidP="003636DE">
            <w:pPr>
              <w:pStyle w:val="Tabletext"/>
            </w:pPr>
          </w:p>
        </w:tc>
        <w:tc>
          <w:tcPr>
            <w:tcW w:w="1118" w:type="dxa"/>
          </w:tcPr>
          <w:p w14:paraId="6BCC3E23" w14:textId="77777777" w:rsidR="003636DE" w:rsidRPr="00150DC0" w:rsidRDefault="003636DE" w:rsidP="003636DE">
            <w:pPr>
              <w:pStyle w:val="Tabletext"/>
            </w:pPr>
          </w:p>
        </w:tc>
      </w:tr>
      <w:tr w:rsidR="003636DE" w:rsidRPr="007B105E" w14:paraId="72DA78C4" w14:textId="77777777" w:rsidTr="003636DE">
        <w:tc>
          <w:tcPr>
            <w:tcW w:w="3903" w:type="dxa"/>
          </w:tcPr>
          <w:p w14:paraId="5096C1BA" w14:textId="77777777" w:rsidR="003636DE" w:rsidRPr="007B105E" w:rsidRDefault="003636DE" w:rsidP="003636DE">
            <w:pPr>
              <w:pStyle w:val="Tabletext"/>
            </w:pPr>
            <w:r w:rsidRPr="007B105E">
              <w:t>Total</w:t>
            </w:r>
          </w:p>
        </w:tc>
        <w:tc>
          <w:tcPr>
            <w:tcW w:w="1089" w:type="dxa"/>
          </w:tcPr>
          <w:p w14:paraId="4292D3A3" w14:textId="77777777" w:rsidR="003636DE" w:rsidRPr="007B105E" w:rsidRDefault="003636DE" w:rsidP="003636DE">
            <w:pPr>
              <w:pStyle w:val="Tabletext"/>
            </w:pPr>
          </w:p>
        </w:tc>
        <w:tc>
          <w:tcPr>
            <w:tcW w:w="1123" w:type="dxa"/>
          </w:tcPr>
          <w:p w14:paraId="15CDF09B" w14:textId="77777777" w:rsidR="003636DE" w:rsidRPr="007B105E" w:rsidRDefault="003636DE" w:rsidP="003636DE">
            <w:pPr>
              <w:pStyle w:val="Tabletext"/>
            </w:pPr>
            <w:r w:rsidRPr="007B105E">
              <w:t>$</w:t>
            </w:r>
            <w:r>
              <w:t>5,454.06</w:t>
            </w:r>
          </w:p>
        </w:tc>
        <w:tc>
          <w:tcPr>
            <w:tcW w:w="1249" w:type="dxa"/>
          </w:tcPr>
          <w:p w14:paraId="18941C5D" w14:textId="77777777" w:rsidR="003636DE" w:rsidRPr="007B105E" w:rsidRDefault="003636DE" w:rsidP="003636DE">
            <w:pPr>
              <w:pStyle w:val="Tabletext"/>
            </w:pPr>
            <w:r w:rsidRPr="007B105E">
              <w:t>$</w:t>
            </w:r>
            <w:r>
              <w:t>4,460.81</w:t>
            </w:r>
          </w:p>
        </w:tc>
        <w:tc>
          <w:tcPr>
            <w:tcW w:w="1118" w:type="dxa"/>
          </w:tcPr>
          <w:p w14:paraId="0510DC27" w14:textId="77777777" w:rsidR="003636DE" w:rsidRPr="007B105E" w:rsidRDefault="003636DE" w:rsidP="003636DE">
            <w:pPr>
              <w:pStyle w:val="Tabletext"/>
            </w:pPr>
            <w:r w:rsidRPr="007B105E">
              <w:t>$993.25</w:t>
            </w:r>
          </w:p>
        </w:tc>
      </w:tr>
    </w:tbl>
    <w:p w14:paraId="4A334243" w14:textId="63B05951" w:rsidR="003636DE" w:rsidRDefault="003636DE" w:rsidP="00C11BBE">
      <w:pPr>
        <w:pStyle w:val="Tablenotes"/>
      </w:pPr>
      <w:r>
        <w:t xml:space="preserve">Source: Table 23, p3 of the pre-MSAC response. </w:t>
      </w:r>
    </w:p>
    <w:p w14:paraId="46EF1EC1" w14:textId="62B4435C" w:rsidR="00652235" w:rsidRDefault="00652235" w:rsidP="00C11BBE">
      <w:pPr>
        <w:spacing w:before="240"/>
        <w:rPr>
          <w:rFonts w:eastAsiaTheme="minorHAnsi"/>
          <w:lang w:eastAsia="en-US"/>
        </w:rPr>
      </w:pPr>
      <w:r>
        <w:rPr>
          <w:rFonts w:eastAsiaTheme="minorHAnsi"/>
          <w:lang w:eastAsia="en-US"/>
        </w:rPr>
        <w:t>The ADAR stated t</w:t>
      </w:r>
      <w:r w:rsidRPr="000537B0">
        <w:rPr>
          <w:rFonts w:eastAsiaTheme="minorHAnsi"/>
          <w:lang w:eastAsia="en-US"/>
        </w:rPr>
        <w:t>he AR-DRG data cube 2017-18 divides TURP by major and minor complications.</w:t>
      </w:r>
    </w:p>
    <w:p w14:paraId="5E7B9BC4" w14:textId="72156C91" w:rsidR="00652235" w:rsidRPr="00D863C8" w:rsidRDefault="00652235" w:rsidP="00D863C8">
      <w:pPr>
        <w:spacing w:before="240"/>
        <w:rPr>
          <w:rFonts w:ascii="Arial Narrow" w:eastAsiaTheme="minorHAnsi" w:hAnsi="Arial Narrow"/>
          <w:b/>
          <w:sz w:val="20"/>
        </w:rPr>
      </w:pPr>
      <w:bookmarkStart w:id="22" w:name="_Ref40964377"/>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10</w:t>
      </w:r>
      <w:r w:rsidR="00C11BBE" w:rsidRPr="00D863C8">
        <w:rPr>
          <w:rFonts w:ascii="Arial Narrow" w:hAnsi="Arial Narrow"/>
          <w:b/>
          <w:sz w:val="20"/>
        </w:rPr>
        <w:fldChar w:fldCharType="end"/>
      </w:r>
      <w:bookmarkEnd w:id="22"/>
      <w:r w:rsidRPr="00D863C8">
        <w:rPr>
          <w:rFonts w:ascii="Arial Narrow" w:eastAsiaTheme="minorHAnsi" w:hAnsi="Arial Narrow"/>
          <w:b/>
          <w:sz w:val="20"/>
        </w:rPr>
        <w:t xml:space="preserve"> TURP – major and minor complications </w:t>
      </w:r>
    </w:p>
    <w:tbl>
      <w:tblPr>
        <w:tblStyle w:val="TableGrid5"/>
        <w:tblW w:w="0" w:type="auto"/>
        <w:tblLook w:val="04A0" w:firstRow="1" w:lastRow="0" w:firstColumn="1" w:lastColumn="0" w:noHBand="0" w:noVBand="1"/>
        <w:tblDescription w:val="TURP – major and minor complications "/>
      </w:tblPr>
      <w:tblGrid>
        <w:gridCol w:w="5549"/>
        <w:gridCol w:w="1092"/>
        <w:gridCol w:w="1146"/>
        <w:gridCol w:w="536"/>
      </w:tblGrid>
      <w:tr w:rsidR="00652235" w:rsidRPr="000537B0" w14:paraId="65B0E21A" w14:textId="77777777" w:rsidTr="00221228">
        <w:trPr>
          <w:tblHeader/>
        </w:trPr>
        <w:tc>
          <w:tcPr>
            <w:tcW w:w="0" w:type="auto"/>
          </w:tcPr>
          <w:p w14:paraId="47139D3F" w14:textId="77777777" w:rsidR="00652235" w:rsidRPr="000537B0" w:rsidRDefault="00652235" w:rsidP="00F11AFE">
            <w:pPr>
              <w:pStyle w:val="Tabletext"/>
            </w:pPr>
          </w:p>
        </w:tc>
        <w:tc>
          <w:tcPr>
            <w:tcW w:w="0" w:type="auto"/>
          </w:tcPr>
          <w:p w14:paraId="56845B11" w14:textId="77777777" w:rsidR="00652235" w:rsidRPr="000537B0" w:rsidRDefault="00652235" w:rsidP="00F11AFE">
            <w:pPr>
              <w:pStyle w:val="Tabletext"/>
            </w:pPr>
            <w:r w:rsidRPr="000537B0">
              <w:t>Separations</w:t>
            </w:r>
          </w:p>
        </w:tc>
        <w:tc>
          <w:tcPr>
            <w:tcW w:w="0" w:type="auto"/>
          </w:tcPr>
          <w:p w14:paraId="2EA68B92" w14:textId="77777777" w:rsidR="00652235" w:rsidRPr="000537B0" w:rsidRDefault="00652235" w:rsidP="00F11AFE">
            <w:pPr>
              <w:pStyle w:val="Tabletext"/>
            </w:pPr>
            <w:r w:rsidRPr="000537B0">
              <w:t>Patient Days</w:t>
            </w:r>
          </w:p>
        </w:tc>
        <w:tc>
          <w:tcPr>
            <w:tcW w:w="0" w:type="auto"/>
          </w:tcPr>
          <w:p w14:paraId="46452533" w14:textId="77777777" w:rsidR="00652235" w:rsidRPr="000537B0" w:rsidRDefault="00652235" w:rsidP="00F11AFE">
            <w:pPr>
              <w:pStyle w:val="Tabletext"/>
            </w:pPr>
            <w:r w:rsidRPr="000537B0">
              <w:t>Av.</w:t>
            </w:r>
          </w:p>
        </w:tc>
      </w:tr>
      <w:tr w:rsidR="00652235" w:rsidRPr="000537B0" w14:paraId="73253488" w14:textId="77777777" w:rsidTr="002050A3">
        <w:tc>
          <w:tcPr>
            <w:tcW w:w="0" w:type="auto"/>
          </w:tcPr>
          <w:p w14:paraId="4DDEF1B6" w14:textId="77777777" w:rsidR="00652235" w:rsidRPr="000537B0" w:rsidRDefault="00652235" w:rsidP="00F11AFE">
            <w:pPr>
              <w:pStyle w:val="Tabletext"/>
            </w:pPr>
            <w:r w:rsidRPr="000537B0">
              <w:t>L05A Transurethral Prostatectomy for Urinary Disorder, Major Complexity</w:t>
            </w:r>
          </w:p>
        </w:tc>
        <w:tc>
          <w:tcPr>
            <w:tcW w:w="0" w:type="auto"/>
          </w:tcPr>
          <w:p w14:paraId="7CEBAD07" w14:textId="77777777" w:rsidR="00652235" w:rsidRPr="000537B0" w:rsidRDefault="00652235" w:rsidP="00F11AFE">
            <w:pPr>
              <w:pStyle w:val="Tabletext"/>
            </w:pPr>
            <w:r w:rsidRPr="000537B0">
              <w:t>656</w:t>
            </w:r>
          </w:p>
        </w:tc>
        <w:tc>
          <w:tcPr>
            <w:tcW w:w="0" w:type="auto"/>
          </w:tcPr>
          <w:p w14:paraId="7859E48B" w14:textId="77777777" w:rsidR="00652235" w:rsidRPr="000537B0" w:rsidRDefault="00652235" w:rsidP="00F11AFE">
            <w:pPr>
              <w:pStyle w:val="Tabletext"/>
            </w:pPr>
            <w:r w:rsidRPr="000537B0">
              <w:t>5309</w:t>
            </w:r>
          </w:p>
        </w:tc>
        <w:tc>
          <w:tcPr>
            <w:tcW w:w="0" w:type="auto"/>
          </w:tcPr>
          <w:p w14:paraId="2BA1A434" w14:textId="77777777" w:rsidR="00652235" w:rsidRPr="000537B0" w:rsidRDefault="00652235" w:rsidP="00F11AFE">
            <w:pPr>
              <w:pStyle w:val="Tabletext"/>
            </w:pPr>
            <w:r w:rsidRPr="000537B0">
              <w:t>8.09</w:t>
            </w:r>
          </w:p>
        </w:tc>
      </w:tr>
      <w:tr w:rsidR="00652235" w:rsidRPr="000537B0" w14:paraId="751535CF" w14:textId="77777777" w:rsidTr="002050A3">
        <w:tc>
          <w:tcPr>
            <w:tcW w:w="0" w:type="auto"/>
          </w:tcPr>
          <w:p w14:paraId="755D36D8" w14:textId="77777777" w:rsidR="00652235" w:rsidRPr="000537B0" w:rsidRDefault="00652235" w:rsidP="00F11AFE">
            <w:pPr>
              <w:pStyle w:val="Tabletext"/>
            </w:pPr>
            <w:r w:rsidRPr="000537B0">
              <w:t>L05B Transurethral Prostatectomy for Urinary Disorder, Minor Complexity</w:t>
            </w:r>
          </w:p>
        </w:tc>
        <w:tc>
          <w:tcPr>
            <w:tcW w:w="0" w:type="auto"/>
          </w:tcPr>
          <w:p w14:paraId="140DFCF9" w14:textId="77777777" w:rsidR="00652235" w:rsidRPr="000537B0" w:rsidRDefault="00652235" w:rsidP="00F11AFE">
            <w:pPr>
              <w:pStyle w:val="Tabletext"/>
            </w:pPr>
            <w:r w:rsidRPr="000537B0">
              <w:t>4795</w:t>
            </w:r>
          </w:p>
        </w:tc>
        <w:tc>
          <w:tcPr>
            <w:tcW w:w="0" w:type="auto"/>
          </w:tcPr>
          <w:p w14:paraId="77AEA3B6" w14:textId="77777777" w:rsidR="00652235" w:rsidRPr="000537B0" w:rsidRDefault="00652235" w:rsidP="00F11AFE">
            <w:pPr>
              <w:pStyle w:val="Tabletext"/>
            </w:pPr>
            <w:r w:rsidRPr="000537B0">
              <w:t>12256</w:t>
            </w:r>
          </w:p>
        </w:tc>
        <w:tc>
          <w:tcPr>
            <w:tcW w:w="0" w:type="auto"/>
          </w:tcPr>
          <w:p w14:paraId="01CB735C" w14:textId="77777777" w:rsidR="00652235" w:rsidRPr="000537B0" w:rsidRDefault="00652235" w:rsidP="00F11AFE">
            <w:pPr>
              <w:pStyle w:val="Tabletext"/>
            </w:pPr>
            <w:r w:rsidRPr="000537B0">
              <w:t>2.56</w:t>
            </w:r>
          </w:p>
        </w:tc>
      </w:tr>
      <w:tr w:rsidR="00652235" w:rsidRPr="000537B0" w14:paraId="38F414FA" w14:textId="77777777" w:rsidTr="002050A3">
        <w:tc>
          <w:tcPr>
            <w:tcW w:w="0" w:type="auto"/>
          </w:tcPr>
          <w:p w14:paraId="49BE388B" w14:textId="77777777" w:rsidR="00652235" w:rsidRPr="000537B0" w:rsidRDefault="00652235" w:rsidP="00F11AFE">
            <w:pPr>
              <w:pStyle w:val="Tabletext"/>
            </w:pPr>
            <w:r w:rsidRPr="000537B0">
              <w:t>Total</w:t>
            </w:r>
          </w:p>
        </w:tc>
        <w:tc>
          <w:tcPr>
            <w:tcW w:w="0" w:type="auto"/>
          </w:tcPr>
          <w:p w14:paraId="218BFE18" w14:textId="77777777" w:rsidR="00652235" w:rsidRPr="000537B0" w:rsidRDefault="00652235" w:rsidP="00F11AFE">
            <w:pPr>
              <w:pStyle w:val="Tabletext"/>
            </w:pPr>
            <w:r w:rsidRPr="000537B0">
              <w:t>5451</w:t>
            </w:r>
          </w:p>
        </w:tc>
        <w:tc>
          <w:tcPr>
            <w:tcW w:w="0" w:type="auto"/>
          </w:tcPr>
          <w:p w14:paraId="129FB125" w14:textId="77777777" w:rsidR="00652235" w:rsidRPr="000537B0" w:rsidRDefault="00652235" w:rsidP="00F11AFE">
            <w:pPr>
              <w:pStyle w:val="Tabletext"/>
            </w:pPr>
            <w:r w:rsidRPr="000537B0">
              <w:t>17565</w:t>
            </w:r>
          </w:p>
        </w:tc>
        <w:tc>
          <w:tcPr>
            <w:tcW w:w="0" w:type="auto"/>
          </w:tcPr>
          <w:p w14:paraId="135B846D" w14:textId="77777777" w:rsidR="00652235" w:rsidRPr="000537B0" w:rsidRDefault="00652235" w:rsidP="00F11AFE">
            <w:pPr>
              <w:pStyle w:val="Tabletext"/>
            </w:pPr>
            <w:r w:rsidRPr="000537B0">
              <w:t>3.22</w:t>
            </w:r>
          </w:p>
        </w:tc>
      </w:tr>
    </w:tbl>
    <w:p w14:paraId="49283AEA" w14:textId="03180BDA" w:rsidR="00652235" w:rsidRPr="00C11BBE" w:rsidRDefault="00652235" w:rsidP="00C11BBE">
      <w:pPr>
        <w:pStyle w:val="Tablenotes"/>
      </w:pPr>
      <w:r>
        <w:t xml:space="preserve">Source: Table 6, p18 of the ADAR. </w:t>
      </w:r>
    </w:p>
    <w:p w14:paraId="63B33E3B" w14:textId="008EEED6" w:rsidR="001B12C3" w:rsidRDefault="00652235" w:rsidP="0092251A">
      <w:pPr>
        <w:spacing w:before="240" w:after="240"/>
        <w:rPr>
          <w:rFonts w:eastAsiaTheme="minorHAnsi"/>
          <w:lang w:eastAsia="en-US"/>
        </w:rPr>
      </w:pPr>
      <w:r w:rsidRPr="000537B0">
        <w:rPr>
          <w:rFonts w:eastAsiaTheme="minorHAnsi"/>
          <w:lang w:eastAsia="en-US"/>
        </w:rPr>
        <w:t>According to the IHPA National Efficient Price Determination 2018-19, the cost weight for L05A was 3.1643 and 1.3024 for L05B. Using these cost weights and the minor complications procedure co</w:t>
      </w:r>
      <w:r>
        <w:rPr>
          <w:rFonts w:eastAsiaTheme="minorHAnsi"/>
          <w:lang w:eastAsia="en-US"/>
        </w:rPr>
        <w:t xml:space="preserve">st for TURP calculated in </w:t>
      </w:r>
      <w:r w:rsidR="00136505">
        <w:rPr>
          <w:rFonts w:eastAsiaTheme="minorHAnsi"/>
          <w:lang w:eastAsia="en-US"/>
        </w:rPr>
        <w:t>Table 23, p52 of the ADAR</w:t>
      </w:r>
      <w:r w:rsidRPr="000537B0">
        <w:rPr>
          <w:rFonts w:eastAsiaTheme="minorHAnsi"/>
          <w:lang w:eastAsia="en-US"/>
        </w:rPr>
        <w:t xml:space="preserve">, </w:t>
      </w:r>
      <w:r>
        <w:rPr>
          <w:rFonts w:eastAsiaTheme="minorHAnsi"/>
          <w:lang w:eastAsia="en-US"/>
        </w:rPr>
        <w:t xml:space="preserve">the ADAR calculated </w:t>
      </w:r>
      <w:r w:rsidRPr="000537B0">
        <w:rPr>
          <w:rFonts w:eastAsiaTheme="minorHAnsi"/>
          <w:lang w:eastAsia="en-US"/>
        </w:rPr>
        <w:t>the procedure cos</w:t>
      </w:r>
      <w:r>
        <w:rPr>
          <w:rFonts w:eastAsiaTheme="minorHAnsi"/>
          <w:lang w:eastAsia="en-US"/>
        </w:rPr>
        <w:t xml:space="preserve">t for TURP major complications </w:t>
      </w:r>
      <w:r w:rsidRPr="000537B0">
        <w:rPr>
          <w:rFonts w:eastAsiaTheme="minorHAnsi"/>
          <w:lang w:eastAsia="en-US"/>
        </w:rPr>
        <w:t xml:space="preserve">s $12,079.44. Thus, the average TURP procedure cost, calculated as 12% of procedures with complications </w:t>
      </w:r>
      <w:r w:rsidR="001B12C3">
        <w:rPr>
          <w:rFonts w:eastAsiaTheme="minorHAnsi"/>
          <w:lang w:eastAsia="en-US"/>
        </w:rPr>
        <w:t>at</w:t>
      </w:r>
      <w:r w:rsidRPr="000537B0">
        <w:rPr>
          <w:rFonts w:eastAsiaTheme="minorHAnsi"/>
          <w:lang w:eastAsia="en-US"/>
        </w:rPr>
        <w:t xml:space="preserve"> $12,079.44 and 88% of procedures without complications </w:t>
      </w:r>
      <w:r w:rsidR="001B12C3">
        <w:rPr>
          <w:rFonts w:eastAsiaTheme="minorHAnsi"/>
          <w:lang w:eastAsia="en-US"/>
        </w:rPr>
        <w:t>at</w:t>
      </w:r>
      <w:r w:rsidRPr="000537B0">
        <w:rPr>
          <w:rFonts w:eastAsiaTheme="minorHAnsi"/>
          <w:lang w:eastAsia="en-US"/>
        </w:rPr>
        <w:t xml:space="preserve"> $4,971.80, </w:t>
      </w:r>
      <w:r w:rsidRPr="00AD53A7">
        <w:rPr>
          <w:rFonts w:eastAsiaTheme="minorHAnsi"/>
          <w:lang w:eastAsia="en-US"/>
        </w:rPr>
        <w:t>is $5,824.72.</w:t>
      </w:r>
    </w:p>
    <w:p w14:paraId="431A1B18" w14:textId="3E5F28F6" w:rsidR="00652235" w:rsidRDefault="00652235" w:rsidP="00652235">
      <w:pPr>
        <w:rPr>
          <w:rFonts w:eastAsiaTheme="minorHAnsi"/>
          <w:lang w:eastAsia="en-US"/>
        </w:rPr>
      </w:pPr>
      <w:r>
        <w:rPr>
          <w:rFonts w:eastAsiaTheme="minorHAnsi"/>
          <w:lang w:eastAsia="en-US"/>
        </w:rPr>
        <w:lastRenderedPageBreak/>
        <w:t>The commentary noted that a</w:t>
      </w:r>
      <w:r w:rsidRPr="002611B1">
        <w:rPr>
          <w:rFonts w:eastAsiaTheme="minorHAnsi"/>
          <w:lang w:eastAsia="en-US"/>
        </w:rPr>
        <w:t xml:space="preserve">s described </w:t>
      </w:r>
      <w:r>
        <w:rPr>
          <w:rFonts w:eastAsiaTheme="minorHAnsi"/>
          <w:lang w:eastAsia="en-US"/>
        </w:rPr>
        <w:t>above</w:t>
      </w:r>
      <w:r w:rsidRPr="002611B1">
        <w:rPr>
          <w:rFonts w:eastAsiaTheme="minorHAnsi"/>
          <w:lang w:eastAsia="en-US"/>
        </w:rPr>
        <w:t xml:space="preserve">, </w:t>
      </w:r>
      <w:r>
        <w:rPr>
          <w:rFonts w:eastAsiaTheme="minorHAnsi"/>
          <w:lang w:eastAsia="en-US"/>
        </w:rPr>
        <w:t xml:space="preserve">the inclusion of major complications costs for TURP only, and not for PUL (or VLAP) has not been justified. Further, the cost weight and split of major to minor complications used may not be reasonable. </w:t>
      </w:r>
    </w:p>
    <w:p w14:paraId="257EAB5B" w14:textId="74CB861A" w:rsidR="00136505" w:rsidRPr="00E77848" w:rsidRDefault="00136505" w:rsidP="00C11BBE">
      <w:pPr>
        <w:spacing w:before="240"/>
        <w:rPr>
          <w:rFonts w:eastAsiaTheme="minorHAnsi"/>
          <w:lang w:eastAsia="en-US"/>
        </w:rPr>
      </w:pPr>
      <w:r>
        <w:rPr>
          <w:rFonts w:eastAsiaTheme="minorHAnsi"/>
          <w:lang w:eastAsia="en-US"/>
        </w:rPr>
        <w:t xml:space="preserve">The pre-MSAC response provided updated calculations based on the updated TURP procedure costs shown above in Table 9 and the cost weights for L05A and L05B shown in Table 10. </w:t>
      </w:r>
      <w:r w:rsidRPr="00136505">
        <w:rPr>
          <w:rFonts w:eastAsiaTheme="minorHAnsi"/>
          <w:lang w:eastAsia="en-US"/>
        </w:rPr>
        <w:t>Using these cost weights and the minor complications proced</w:t>
      </w:r>
      <w:r>
        <w:rPr>
          <w:rFonts w:eastAsiaTheme="minorHAnsi"/>
          <w:lang w:eastAsia="en-US"/>
        </w:rPr>
        <w:t>ure cost of $5,454.06 for TURP</w:t>
      </w:r>
      <w:r w:rsidRPr="00136505">
        <w:rPr>
          <w:rFonts w:eastAsiaTheme="minorHAnsi"/>
          <w:lang w:eastAsia="en-US"/>
        </w:rPr>
        <w:t xml:space="preserve">, the procedure cost for TURP major complications is $13,251.14. Thus, the average TURP procedure cost, based on 12% of procedures being with major complications and 88% with minor complications, is $6,389.71. </w:t>
      </w:r>
      <w:r>
        <w:rPr>
          <w:rFonts w:eastAsiaTheme="minorHAnsi"/>
          <w:lang w:eastAsia="en-US"/>
        </w:rPr>
        <w:t>The applicant noted</w:t>
      </w:r>
      <w:r w:rsidRPr="00136505">
        <w:rPr>
          <w:rFonts w:eastAsiaTheme="minorHAnsi"/>
          <w:lang w:eastAsia="en-US"/>
        </w:rPr>
        <w:t xml:space="preserve"> that this is $121.52 higher than the $6,268.19 adjusted cost for PUL </w:t>
      </w:r>
      <w:r>
        <w:rPr>
          <w:rFonts w:eastAsiaTheme="minorHAnsi"/>
          <w:lang w:eastAsia="en-US"/>
        </w:rPr>
        <w:t>(Table 11 below).</w:t>
      </w:r>
      <w:r w:rsidRPr="00136505">
        <w:rPr>
          <w:rFonts w:eastAsiaTheme="minorHAnsi"/>
          <w:lang w:eastAsia="en-US"/>
        </w:rPr>
        <w:t xml:space="preserve"> The</w:t>
      </w:r>
      <w:r>
        <w:rPr>
          <w:rFonts w:eastAsiaTheme="minorHAnsi"/>
          <w:lang w:eastAsia="en-US"/>
        </w:rPr>
        <w:t xml:space="preserve"> applicant claimed</w:t>
      </w:r>
      <w:r w:rsidRPr="00136505">
        <w:rPr>
          <w:rFonts w:eastAsiaTheme="minorHAnsi"/>
          <w:lang w:eastAsia="en-US"/>
        </w:rPr>
        <w:t xml:space="preserve"> inclusion of the cost of TURP procedures with major complications results in a financial saving to both the MBS and the Private Health Funds for each patient ‘swapped’ to PUL.</w:t>
      </w:r>
    </w:p>
    <w:p w14:paraId="5B8E43F4" w14:textId="77777777" w:rsidR="00652235" w:rsidRPr="00D863C8" w:rsidRDefault="00652235" w:rsidP="00D863C8">
      <w:pPr>
        <w:spacing w:before="240" w:after="240"/>
        <w:rPr>
          <w:u w:val="single"/>
        </w:rPr>
      </w:pPr>
      <w:r w:rsidRPr="00D863C8">
        <w:rPr>
          <w:u w:val="single"/>
        </w:rPr>
        <w:t>PUL</w:t>
      </w:r>
    </w:p>
    <w:p w14:paraId="7BD1D87B" w14:textId="72890ACD" w:rsidR="00652235" w:rsidRPr="00D863C8" w:rsidRDefault="00652235" w:rsidP="00D863C8">
      <w:pPr>
        <w:rPr>
          <w:rFonts w:ascii="Arial Narrow" w:eastAsiaTheme="minorHAnsi" w:hAnsi="Arial Narrow"/>
          <w:b/>
          <w:sz w:val="20"/>
        </w:rPr>
      </w:pPr>
      <w:bookmarkStart w:id="23" w:name="_Ref40964465"/>
      <w:r w:rsidRPr="00D863C8">
        <w:rPr>
          <w:rFonts w:ascii="Arial Narrow" w:hAnsi="Arial Narrow"/>
          <w:b/>
          <w:sz w:val="20"/>
        </w:rPr>
        <w:t xml:space="preserve">Table </w:t>
      </w:r>
      <w:r w:rsidR="001E47B6" w:rsidRPr="00D863C8">
        <w:rPr>
          <w:rFonts w:ascii="Arial Narrow" w:hAnsi="Arial Narrow"/>
          <w:b/>
          <w:sz w:val="20"/>
        </w:rPr>
        <w:fldChar w:fldCharType="begin"/>
      </w:r>
      <w:r w:rsidR="001E47B6" w:rsidRPr="00D863C8">
        <w:rPr>
          <w:rFonts w:ascii="Arial Narrow" w:hAnsi="Arial Narrow"/>
          <w:b/>
          <w:sz w:val="20"/>
        </w:rPr>
        <w:instrText xml:space="preserve"> SEQ Table \* ARABIC </w:instrText>
      </w:r>
      <w:r w:rsidR="001E47B6" w:rsidRPr="00D863C8">
        <w:rPr>
          <w:rFonts w:ascii="Arial Narrow" w:hAnsi="Arial Narrow"/>
          <w:b/>
          <w:sz w:val="20"/>
        </w:rPr>
        <w:fldChar w:fldCharType="separate"/>
      </w:r>
      <w:r w:rsidRPr="00D863C8">
        <w:rPr>
          <w:rFonts w:ascii="Arial Narrow" w:hAnsi="Arial Narrow"/>
          <w:b/>
          <w:sz w:val="20"/>
        </w:rPr>
        <w:t>11</w:t>
      </w:r>
      <w:r w:rsidR="001E47B6" w:rsidRPr="00D863C8">
        <w:rPr>
          <w:rFonts w:ascii="Arial Narrow" w:hAnsi="Arial Narrow"/>
          <w:b/>
          <w:sz w:val="20"/>
        </w:rPr>
        <w:fldChar w:fldCharType="end"/>
      </w:r>
      <w:bookmarkEnd w:id="23"/>
      <w:r w:rsidRPr="00D863C8">
        <w:rPr>
          <w:rFonts w:ascii="Arial Narrow" w:hAnsi="Arial Narrow"/>
          <w:b/>
          <w:sz w:val="20"/>
        </w:rPr>
        <w:t xml:space="preserve"> </w:t>
      </w:r>
      <w:r w:rsidRPr="00D863C8">
        <w:rPr>
          <w:rFonts w:ascii="Arial Narrow" w:eastAsiaTheme="minorHAnsi" w:hAnsi="Arial Narrow"/>
          <w:b/>
          <w:sz w:val="20"/>
        </w:rPr>
        <w:t>PUL Procedure Cost</w:t>
      </w:r>
      <w:r w:rsidRPr="00D863C8">
        <w:rPr>
          <w:rFonts w:ascii="Arial Narrow" w:hAnsi="Arial Narrow"/>
          <w:b/>
          <w:sz w:val="20"/>
        </w:rPr>
        <w:t xml:space="preserve"> </w:t>
      </w:r>
      <w:r w:rsidRPr="00D863C8">
        <w:rPr>
          <w:rFonts w:ascii="Arial Narrow" w:eastAsiaTheme="minorHAnsi" w:hAnsi="Arial Narrow"/>
          <w:b/>
          <w:sz w:val="20"/>
        </w:rPr>
        <w:t>(</w:t>
      </w:r>
      <w:r w:rsidR="003636DE" w:rsidRPr="00D863C8">
        <w:rPr>
          <w:rFonts w:ascii="Arial Narrow" w:eastAsiaTheme="minorHAnsi" w:hAnsi="Arial Narrow"/>
          <w:b/>
          <w:sz w:val="20"/>
        </w:rPr>
        <w:t>updated in pre-MSAC response</w:t>
      </w:r>
      <w:r w:rsidRPr="00D863C8">
        <w:rPr>
          <w:rFonts w:ascii="Arial Narrow" w:eastAsiaTheme="minorHAnsi" w:hAnsi="Arial Narrow"/>
          <w:b/>
          <w:sz w:val="20"/>
        </w:rPr>
        <w:t>)</w:t>
      </w:r>
    </w:p>
    <w:tbl>
      <w:tblPr>
        <w:tblStyle w:val="TableGrid22"/>
        <w:tblW w:w="0" w:type="auto"/>
        <w:tblLook w:val="04A0" w:firstRow="1" w:lastRow="0" w:firstColumn="1" w:lastColumn="0" w:noHBand="0" w:noVBand="1"/>
        <w:tblDescription w:val="PUL Procedure Cost (updated in pre-MSAC response)"/>
      </w:tblPr>
      <w:tblGrid>
        <w:gridCol w:w="4219"/>
        <w:gridCol w:w="1134"/>
        <w:gridCol w:w="1134"/>
        <w:gridCol w:w="1276"/>
        <w:gridCol w:w="1134"/>
      </w:tblGrid>
      <w:tr w:rsidR="003636DE" w:rsidRPr="007B105E" w14:paraId="5BDA510E" w14:textId="77777777" w:rsidTr="00221228">
        <w:trPr>
          <w:tblHeader/>
        </w:trPr>
        <w:tc>
          <w:tcPr>
            <w:tcW w:w="4219" w:type="dxa"/>
          </w:tcPr>
          <w:p w14:paraId="60758811" w14:textId="77777777" w:rsidR="003636DE" w:rsidRPr="007B105E" w:rsidRDefault="003636DE" w:rsidP="003636DE">
            <w:pPr>
              <w:pStyle w:val="Tabletext"/>
            </w:pPr>
          </w:p>
        </w:tc>
        <w:tc>
          <w:tcPr>
            <w:tcW w:w="1134" w:type="dxa"/>
          </w:tcPr>
          <w:p w14:paraId="17F1D31D" w14:textId="77777777" w:rsidR="003636DE" w:rsidRPr="007B105E" w:rsidRDefault="003636DE" w:rsidP="003636DE">
            <w:pPr>
              <w:pStyle w:val="Tabletext"/>
            </w:pPr>
            <w:r w:rsidRPr="007B105E">
              <w:rPr>
                <w:rFonts w:cs="Arial"/>
              </w:rPr>
              <w:t>MBS Item</w:t>
            </w:r>
          </w:p>
        </w:tc>
        <w:tc>
          <w:tcPr>
            <w:tcW w:w="1134" w:type="dxa"/>
          </w:tcPr>
          <w:p w14:paraId="333CB855" w14:textId="77777777" w:rsidR="003636DE" w:rsidRPr="007B105E" w:rsidRDefault="003636DE" w:rsidP="003636DE">
            <w:pPr>
              <w:pStyle w:val="Tabletext"/>
            </w:pPr>
            <w:r w:rsidRPr="007B105E">
              <w:rPr>
                <w:rFonts w:cs="Arial"/>
              </w:rPr>
              <w:t>Fee</w:t>
            </w:r>
          </w:p>
        </w:tc>
        <w:tc>
          <w:tcPr>
            <w:tcW w:w="1276" w:type="dxa"/>
          </w:tcPr>
          <w:p w14:paraId="3B786295" w14:textId="77777777" w:rsidR="003636DE" w:rsidRPr="007B105E" w:rsidRDefault="003636DE" w:rsidP="003636DE">
            <w:pPr>
              <w:pStyle w:val="Tabletext"/>
            </w:pPr>
            <w:r w:rsidRPr="007B105E">
              <w:t>Health Fund</w:t>
            </w:r>
          </w:p>
        </w:tc>
        <w:tc>
          <w:tcPr>
            <w:tcW w:w="1134" w:type="dxa"/>
          </w:tcPr>
          <w:p w14:paraId="146AAF78" w14:textId="77777777" w:rsidR="003636DE" w:rsidRPr="007B105E" w:rsidRDefault="003636DE" w:rsidP="003636DE">
            <w:pPr>
              <w:pStyle w:val="Tabletext"/>
            </w:pPr>
            <w:r w:rsidRPr="007B105E">
              <w:t>Medicare</w:t>
            </w:r>
          </w:p>
        </w:tc>
      </w:tr>
      <w:tr w:rsidR="003636DE" w:rsidRPr="007B105E" w14:paraId="4D623AE5" w14:textId="77777777" w:rsidTr="003636DE">
        <w:tc>
          <w:tcPr>
            <w:tcW w:w="4219" w:type="dxa"/>
          </w:tcPr>
          <w:p w14:paraId="61646458" w14:textId="77777777" w:rsidR="003636DE" w:rsidRPr="007B105E" w:rsidRDefault="003636DE" w:rsidP="003636DE">
            <w:pPr>
              <w:pStyle w:val="Tabletext"/>
            </w:pPr>
            <w:r w:rsidRPr="007B105E">
              <w:t>Pre-anaesthesia consultation</w:t>
            </w:r>
          </w:p>
        </w:tc>
        <w:tc>
          <w:tcPr>
            <w:tcW w:w="1134" w:type="dxa"/>
          </w:tcPr>
          <w:p w14:paraId="636A7123" w14:textId="77777777" w:rsidR="003636DE" w:rsidRPr="007B105E" w:rsidRDefault="003636DE" w:rsidP="003636DE">
            <w:pPr>
              <w:pStyle w:val="Tabletext"/>
            </w:pPr>
            <w:r w:rsidRPr="007B105E">
              <w:t>17610</w:t>
            </w:r>
          </w:p>
        </w:tc>
        <w:tc>
          <w:tcPr>
            <w:tcW w:w="1134" w:type="dxa"/>
          </w:tcPr>
          <w:p w14:paraId="05833E82" w14:textId="77777777" w:rsidR="003636DE" w:rsidRPr="007B105E" w:rsidRDefault="003636DE" w:rsidP="003636DE">
            <w:pPr>
              <w:pStyle w:val="Tabletext"/>
            </w:pPr>
            <w:r w:rsidRPr="007B105E">
              <w:t>$44.35</w:t>
            </w:r>
          </w:p>
        </w:tc>
        <w:tc>
          <w:tcPr>
            <w:tcW w:w="1276" w:type="dxa"/>
          </w:tcPr>
          <w:p w14:paraId="1701BF32" w14:textId="77777777" w:rsidR="003636DE" w:rsidRPr="007B105E" w:rsidRDefault="003636DE" w:rsidP="003636DE">
            <w:pPr>
              <w:pStyle w:val="Tabletext"/>
            </w:pPr>
            <w:r w:rsidRPr="007B105E">
              <w:t>$11.05</w:t>
            </w:r>
          </w:p>
        </w:tc>
        <w:tc>
          <w:tcPr>
            <w:tcW w:w="1134" w:type="dxa"/>
          </w:tcPr>
          <w:p w14:paraId="39109CF5" w14:textId="77777777" w:rsidR="003636DE" w:rsidRPr="007B105E" w:rsidRDefault="003636DE" w:rsidP="003636DE">
            <w:pPr>
              <w:pStyle w:val="Tabletext"/>
            </w:pPr>
            <w:r w:rsidRPr="007B105E">
              <w:t>$33.30</w:t>
            </w:r>
          </w:p>
        </w:tc>
      </w:tr>
      <w:tr w:rsidR="003636DE" w:rsidRPr="007B105E" w14:paraId="47F6F553" w14:textId="77777777" w:rsidTr="003636DE">
        <w:tc>
          <w:tcPr>
            <w:tcW w:w="4219" w:type="dxa"/>
          </w:tcPr>
          <w:p w14:paraId="4C7A3F81" w14:textId="77777777" w:rsidR="003636DE" w:rsidRPr="007B105E" w:rsidRDefault="003636DE" w:rsidP="003636DE">
            <w:pPr>
              <w:pStyle w:val="Tabletext"/>
            </w:pPr>
            <w:r w:rsidRPr="007B105E">
              <w:t>Initiation of management of anaesthesia</w:t>
            </w:r>
          </w:p>
        </w:tc>
        <w:tc>
          <w:tcPr>
            <w:tcW w:w="1134" w:type="dxa"/>
          </w:tcPr>
          <w:p w14:paraId="08E30950" w14:textId="77777777" w:rsidR="003636DE" w:rsidRPr="007B105E" w:rsidRDefault="003636DE" w:rsidP="003636DE">
            <w:pPr>
              <w:pStyle w:val="Tabletext"/>
            </w:pPr>
            <w:r w:rsidRPr="007B105E">
              <w:t>20902</w:t>
            </w:r>
          </w:p>
        </w:tc>
        <w:tc>
          <w:tcPr>
            <w:tcW w:w="1134" w:type="dxa"/>
          </w:tcPr>
          <w:p w14:paraId="08E9068D" w14:textId="77777777" w:rsidR="003636DE" w:rsidRPr="007B105E" w:rsidRDefault="003636DE" w:rsidP="003636DE">
            <w:pPr>
              <w:pStyle w:val="Tabletext"/>
            </w:pPr>
            <w:r w:rsidRPr="007B105E">
              <w:t>$80.40</w:t>
            </w:r>
          </w:p>
        </w:tc>
        <w:tc>
          <w:tcPr>
            <w:tcW w:w="1276" w:type="dxa"/>
          </w:tcPr>
          <w:p w14:paraId="6EAD0372" w14:textId="77777777" w:rsidR="003636DE" w:rsidRPr="007B105E" w:rsidRDefault="003636DE" w:rsidP="003636DE">
            <w:pPr>
              <w:pStyle w:val="Tabletext"/>
            </w:pPr>
            <w:r w:rsidRPr="007B105E">
              <w:t>$20.10</w:t>
            </w:r>
          </w:p>
        </w:tc>
        <w:tc>
          <w:tcPr>
            <w:tcW w:w="1134" w:type="dxa"/>
          </w:tcPr>
          <w:p w14:paraId="7E6A1D67" w14:textId="77777777" w:rsidR="003636DE" w:rsidRPr="007B105E" w:rsidRDefault="003636DE" w:rsidP="003636DE">
            <w:pPr>
              <w:pStyle w:val="Tabletext"/>
            </w:pPr>
            <w:r w:rsidRPr="007B105E">
              <w:t>$60.30</w:t>
            </w:r>
          </w:p>
        </w:tc>
      </w:tr>
      <w:tr w:rsidR="003636DE" w:rsidRPr="007B105E" w14:paraId="5C62BBE2" w14:textId="77777777" w:rsidTr="003636DE">
        <w:tc>
          <w:tcPr>
            <w:tcW w:w="4219" w:type="dxa"/>
          </w:tcPr>
          <w:p w14:paraId="682E4332" w14:textId="77777777" w:rsidR="003636DE" w:rsidRPr="007B105E" w:rsidRDefault="003636DE" w:rsidP="003636DE">
            <w:pPr>
              <w:pStyle w:val="Tabletext"/>
            </w:pPr>
            <w:r w:rsidRPr="007B105E">
              <w:t>Anaesthesia – time (46-60 minutes)</w:t>
            </w:r>
          </w:p>
        </w:tc>
        <w:tc>
          <w:tcPr>
            <w:tcW w:w="1134" w:type="dxa"/>
          </w:tcPr>
          <w:p w14:paraId="51D4D165" w14:textId="77777777" w:rsidR="003636DE" w:rsidRPr="007B105E" w:rsidRDefault="003636DE" w:rsidP="003636DE">
            <w:pPr>
              <w:pStyle w:val="Tabletext"/>
            </w:pPr>
            <w:r w:rsidRPr="007B105E">
              <w:t xml:space="preserve">23045 </w:t>
            </w:r>
          </w:p>
        </w:tc>
        <w:tc>
          <w:tcPr>
            <w:tcW w:w="1134" w:type="dxa"/>
          </w:tcPr>
          <w:p w14:paraId="6C71EFAC" w14:textId="77777777" w:rsidR="003636DE" w:rsidRPr="007B105E" w:rsidRDefault="003636DE" w:rsidP="003636DE">
            <w:pPr>
              <w:pStyle w:val="Tabletext"/>
            </w:pPr>
            <w:r w:rsidRPr="007B105E">
              <w:t>$80.40</w:t>
            </w:r>
          </w:p>
        </w:tc>
        <w:tc>
          <w:tcPr>
            <w:tcW w:w="1276" w:type="dxa"/>
          </w:tcPr>
          <w:p w14:paraId="6A048D79" w14:textId="77777777" w:rsidR="003636DE" w:rsidRPr="007B105E" w:rsidRDefault="003636DE" w:rsidP="003636DE">
            <w:pPr>
              <w:pStyle w:val="Tabletext"/>
            </w:pPr>
            <w:r w:rsidRPr="007B105E">
              <w:t>$20.10</w:t>
            </w:r>
          </w:p>
        </w:tc>
        <w:tc>
          <w:tcPr>
            <w:tcW w:w="1134" w:type="dxa"/>
          </w:tcPr>
          <w:p w14:paraId="4BB43BB0" w14:textId="77777777" w:rsidR="003636DE" w:rsidRPr="007B105E" w:rsidRDefault="003636DE" w:rsidP="003636DE">
            <w:pPr>
              <w:pStyle w:val="Tabletext"/>
            </w:pPr>
            <w:r w:rsidRPr="007B105E">
              <w:t>$60.30</w:t>
            </w:r>
          </w:p>
        </w:tc>
      </w:tr>
      <w:tr w:rsidR="003636DE" w:rsidRPr="007B105E" w14:paraId="37AB5AE2" w14:textId="77777777" w:rsidTr="003636DE">
        <w:tc>
          <w:tcPr>
            <w:tcW w:w="4219" w:type="dxa"/>
          </w:tcPr>
          <w:p w14:paraId="52CEAAFC" w14:textId="77777777" w:rsidR="003636DE" w:rsidRPr="007B105E" w:rsidRDefault="003636DE" w:rsidP="003636DE">
            <w:pPr>
              <w:pStyle w:val="Tabletext"/>
            </w:pPr>
            <w:r w:rsidRPr="007B105E">
              <w:t>Procedure – surgeon</w:t>
            </w:r>
          </w:p>
        </w:tc>
        <w:tc>
          <w:tcPr>
            <w:tcW w:w="1134" w:type="dxa"/>
          </w:tcPr>
          <w:p w14:paraId="5D82763D" w14:textId="77777777" w:rsidR="003636DE" w:rsidRPr="007B105E" w:rsidRDefault="003636DE" w:rsidP="003636DE">
            <w:pPr>
              <w:pStyle w:val="Tabletext"/>
            </w:pPr>
            <w:r w:rsidRPr="007B105E">
              <w:t>36811</w:t>
            </w:r>
          </w:p>
        </w:tc>
        <w:tc>
          <w:tcPr>
            <w:tcW w:w="1134" w:type="dxa"/>
          </w:tcPr>
          <w:p w14:paraId="70FEE331" w14:textId="77777777" w:rsidR="003636DE" w:rsidRPr="007B105E" w:rsidRDefault="003636DE" w:rsidP="003636DE">
            <w:pPr>
              <w:pStyle w:val="Tabletext"/>
            </w:pPr>
            <w:r w:rsidRPr="007B105E">
              <w:t>$1,058.80</w:t>
            </w:r>
          </w:p>
        </w:tc>
        <w:tc>
          <w:tcPr>
            <w:tcW w:w="1276" w:type="dxa"/>
          </w:tcPr>
          <w:p w14:paraId="7D5EB141" w14:textId="77777777" w:rsidR="003636DE" w:rsidRPr="007B105E" w:rsidRDefault="003636DE" w:rsidP="003636DE">
            <w:pPr>
              <w:pStyle w:val="Tabletext"/>
            </w:pPr>
            <w:r w:rsidRPr="007B105E">
              <w:t>$264.70</w:t>
            </w:r>
          </w:p>
        </w:tc>
        <w:tc>
          <w:tcPr>
            <w:tcW w:w="1134" w:type="dxa"/>
          </w:tcPr>
          <w:p w14:paraId="34C2FE87" w14:textId="77777777" w:rsidR="003636DE" w:rsidRPr="007B105E" w:rsidRDefault="003636DE" w:rsidP="003636DE">
            <w:pPr>
              <w:pStyle w:val="Tabletext"/>
            </w:pPr>
            <w:r w:rsidRPr="007B105E">
              <w:t>$794.10</w:t>
            </w:r>
          </w:p>
        </w:tc>
      </w:tr>
      <w:tr w:rsidR="003636DE" w:rsidRPr="007B105E" w14:paraId="24D08852" w14:textId="77777777" w:rsidTr="003636DE">
        <w:tc>
          <w:tcPr>
            <w:tcW w:w="4219" w:type="dxa"/>
          </w:tcPr>
          <w:p w14:paraId="43CA61C6" w14:textId="77777777" w:rsidR="003636DE" w:rsidRPr="007B105E" w:rsidRDefault="003636DE" w:rsidP="003636DE">
            <w:pPr>
              <w:pStyle w:val="Tabletext"/>
            </w:pPr>
            <w:r w:rsidRPr="007B105E">
              <w:t>Theatre – Band 2</w:t>
            </w:r>
          </w:p>
        </w:tc>
        <w:tc>
          <w:tcPr>
            <w:tcW w:w="1134" w:type="dxa"/>
          </w:tcPr>
          <w:p w14:paraId="4615C252" w14:textId="77777777" w:rsidR="003636DE" w:rsidRPr="007B105E" w:rsidRDefault="003636DE" w:rsidP="003636DE">
            <w:pPr>
              <w:pStyle w:val="Tabletext"/>
            </w:pPr>
          </w:p>
        </w:tc>
        <w:tc>
          <w:tcPr>
            <w:tcW w:w="1134" w:type="dxa"/>
          </w:tcPr>
          <w:p w14:paraId="4BCC9204" w14:textId="77777777" w:rsidR="003636DE" w:rsidRPr="007B105E" w:rsidRDefault="003636DE" w:rsidP="003636DE">
            <w:pPr>
              <w:pStyle w:val="Tabletext"/>
            </w:pPr>
            <w:r w:rsidRPr="007B105E">
              <w:t>$617.30</w:t>
            </w:r>
          </w:p>
        </w:tc>
        <w:tc>
          <w:tcPr>
            <w:tcW w:w="1276" w:type="dxa"/>
          </w:tcPr>
          <w:p w14:paraId="020A6F36" w14:textId="77777777" w:rsidR="003636DE" w:rsidRPr="007B105E" w:rsidRDefault="003636DE" w:rsidP="003636DE">
            <w:pPr>
              <w:pStyle w:val="Tabletext"/>
            </w:pPr>
            <w:r w:rsidRPr="007B105E">
              <w:t>$617.30</w:t>
            </w:r>
          </w:p>
        </w:tc>
        <w:tc>
          <w:tcPr>
            <w:tcW w:w="1134" w:type="dxa"/>
          </w:tcPr>
          <w:p w14:paraId="6559103B" w14:textId="77777777" w:rsidR="003636DE" w:rsidRPr="007B105E" w:rsidRDefault="003636DE" w:rsidP="003636DE">
            <w:pPr>
              <w:pStyle w:val="Tabletext"/>
            </w:pPr>
            <w:r w:rsidRPr="007B105E">
              <w:t>$0.00</w:t>
            </w:r>
          </w:p>
        </w:tc>
      </w:tr>
      <w:tr w:rsidR="003636DE" w:rsidRPr="007B105E" w14:paraId="17B65D2D" w14:textId="77777777" w:rsidTr="003636DE">
        <w:tc>
          <w:tcPr>
            <w:tcW w:w="4219" w:type="dxa"/>
          </w:tcPr>
          <w:p w14:paraId="6F0A76F2" w14:textId="77777777" w:rsidR="003636DE" w:rsidRPr="007B105E" w:rsidRDefault="003636DE" w:rsidP="003636DE">
            <w:pPr>
              <w:pStyle w:val="Tabletext"/>
            </w:pPr>
            <w:r w:rsidRPr="007B105E">
              <w:t>Bed-days  -  one day (overnight)</w:t>
            </w:r>
          </w:p>
        </w:tc>
        <w:tc>
          <w:tcPr>
            <w:tcW w:w="1134" w:type="dxa"/>
          </w:tcPr>
          <w:p w14:paraId="7F8214DA" w14:textId="77777777" w:rsidR="003636DE" w:rsidRPr="007B105E" w:rsidRDefault="003636DE" w:rsidP="003636DE">
            <w:pPr>
              <w:pStyle w:val="Tabletext"/>
            </w:pPr>
          </w:p>
        </w:tc>
        <w:tc>
          <w:tcPr>
            <w:tcW w:w="1134" w:type="dxa"/>
          </w:tcPr>
          <w:p w14:paraId="3C66E19D" w14:textId="77777777" w:rsidR="003636DE" w:rsidRPr="007B105E" w:rsidRDefault="003636DE" w:rsidP="003636DE">
            <w:pPr>
              <w:pStyle w:val="Tabletext"/>
            </w:pPr>
            <w:r w:rsidRPr="007B105E">
              <w:t>$789.10</w:t>
            </w:r>
          </w:p>
        </w:tc>
        <w:tc>
          <w:tcPr>
            <w:tcW w:w="1276" w:type="dxa"/>
          </w:tcPr>
          <w:p w14:paraId="51EA0599" w14:textId="77777777" w:rsidR="003636DE" w:rsidRPr="007B105E" w:rsidRDefault="003636DE" w:rsidP="003636DE">
            <w:pPr>
              <w:pStyle w:val="Tabletext"/>
            </w:pPr>
            <w:r w:rsidRPr="007B105E">
              <w:t>$789.10</w:t>
            </w:r>
          </w:p>
        </w:tc>
        <w:tc>
          <w:tcPr>
            <w:tcW w:w="1134" w:type="dxa"/>
          </w:tcPr>
          <w:p w14:paraId="19E595F3" w14:textId="77777777" w:rsidR="003636DE" w:rsidRPr="007B105E" w:rsidRDefault="003636DE" w:rsidP="003636DE">
            <w:pPr>
              <w:pStyle w:val="Tabletext"/>
            </w:pPr>
            <w:r w:rsidRPr="007B105E">
              <w:t>$0.00</w:t>
            </w:r>
          </w:p>
        </w:tc>
      </w:tr>
      <w:tr w:rsidR="003636DE" w:rsidRPr="007B105E" w14:paraId="05568B97" w14:textId="77777777" w:rsidTr="003636DE">
        <w:tc>
          <w:tcPr>
            <w:tcW w:w="4219" w:type="dxa"/>
          </w:tcPr>
          <w:p w14:paraId="4A214F47" w14:textId="77777777" w:rsidR="003636DE" w:rsidRPr="007B105E" w:rsidRDefault="003636DE" w:rsidP="003636DE">
            <w:pPr>
              <w:pStyle w:val="Tabletext"/>
            </w:pPr>
            <w:r w:rsidRPr="007B105E">
              <w:t>Prostheses 4 @ $712 each</w:t>
            </w:r>
          </w:p>
        </w:tc>
        <w:tc>
          <w:tcPr>
            <w:tcW w:w="1134" w:type="dxa"/>
          </w:tcPr>
          <w:p w14:paraId="7AEB3F04" w14:textId="77777777" w:rsidR="003636DE" w:rsidRPr="007B105E" w:rsidRDefault="003636DE" w:rsidP="003636DE">
            <w:pPr>
              <w:pStyle w:val="Tabletext"/>
            </w:pPr>
          </w:p>
        </w:tc>
        <w:tc>
          <w:tcPr>
            <w:tcW w:w="1134" w:type="dxa"/>
          </w:tcPr>
          <w:p w14:paraId="2DDD6FB2" w14:textId="77777777" w:rsidR="003636DE" w:rsidRPr="007B105E" w:rsidRDefault="003636DE" w:rsidP="003636DE">
            <w:pPr>
              <w:pStyle w:val="Tabletext"/>
            </w:pPr>
            <w:r w:rsidRPr="007B105E">
              <w:t>$2,848.00</w:t>
            </w:r>
          </w:p>
        </w:tc>
        <w:tc>
          <w:tcPr>
            <w:tcW w:w="1276" w:type="dxa"/>
          </w:tcPr>
          <w:p w14:paraId="2312C13A" w14:textId="77777777" w:rsidR="003636DE" w:rsidRPr="007B105E" w:rsidRDefault="003636DE" w:rsidP="003636DE">
            <w:pPr>
              <w:pStyle w:val="Tabletext"/>
            </w:pPr>
            <w:r w:rsidRPr="007B105E">
              <w:t>$2,848.00</w:t>
            </w:r>
          </w:p>
        </w:tc>
        <w:tc>
          <w:tcPr>
            <w:tcW w:w="1134" w:type="dxa"/>
          </w:tcPr>
          <w:p w14:paraId="218BA570" w14:textId="77777777" w:rsidR="003636DE" w:rsidRPr="007B105E" w:rsidRDefault="003636DE" w:rsidP="003636DE">
            <w:pPr>
              <w:pStyle w:val="Tabletext"/>
            </w:pPr>
            <w:r w:rsidRPr="007B105E">
              <w:t>$0.00</w:t>
            </w:r>
          </w:p>
        </w:tc>
      </w:tr>
      <w:tr w:rsidR="003636DE" w:rsidRPr="007B105E" w14:paraId="283D63FD" w14:textId="77777777" w:rsidTr="003636DE">
        <w:tc>
          <w:tcPr>
            <w:tcW w:w="4219" w:type="dxa"/>
          </w:tcPr>
          <w:p w14:paraId="6435C16C" w14:textId="77777777" w:rsidR="003636DE" w:rsidRPr="007B105E" w:rsidRDefault="003636DE" w:rsidP="003636DE">
            <w:pPr>
              <w:pStyle w:val="Tabletext"/>
            </w:pPr>
            <w:r w:rsidRPr="007B105E">
              <w:t>Capital (5 years / 50 patients / 5%)</w:t>
            </w:r>
          </w:p>
        </w:tc>
        <w:tc>
          <w:tcPr>
            <w:tcW w:w="1134" w:type="dxa"/>
          </w:tcPr>
          <w:p w14:paraId="7D4A3475" w14:textId="77777777" w:rsidR="003636DE" w:rsidRPr="007B105E" w:rsidRDefault="003636DE" w:rsidP="003636DE">
            <w:pPr>
              <w:pStyle w:val="Tabletext"/>
            </w:pPr>
          </w:p>
        </w:tc>
        <w:tc>
          <w:tcPr>
            <w:tcW w:w="1134" w:type="dxa"/>
          </w:tcPr>
          <w:p w14:paraId="22CB5FBF" w14:textId="6793AC19" w:rsidR="003636DE" w:rsidRPr="0025213E" w:rsidRDefault="003636DE" w:rsidP="003636DE">
            <w:pPr>
              <w:pStyle w:val="Tabletext"/>
            </w:pPr>
            <w:r w:rsidRPr="0025213E">
              <w:t>$148.90</w:t>
            </w:r>
          </w:p>
        </w:tc>
        <w:tc>
          <w:tcPr>
            <w:tcW w:w="1276" w:type="dxa"/>
          </w:tcPr>
          <w:p w14:paraId="6F24E3F2" w14:textId="145C2BE9" w:rsidR="003636DE" w:rsidRPr="0025213E" w:rsidRDefault="003636DE" w:rsidP="003636DE">
            <w:pPr>
              <w:pStyle w:val="Tabletext"/>
            </w:pPr>
            <w:r w:rsidRPr="0025213E">
              <w:t>$148.90</w:t>
            </w:r>
          </w:p>
        </w:tc>
        <w:tc>
          <w:tcPr>
            <w:tcW w:w="1134" w:type="dxa"/>
          </w:tcPr>
          <w:p w14:paraId="7549B8A4" w14:textId="77777777" w:rsidR="003636DE" w:rsidRPr="007B105E" w:rsidRDefault="003636DE" w:rsidP="003636DE">
            <w:pPr>
              <w:pStyle w:val="Tabletext"/>
            </w:pPr>
            <w:r w:rsidRPr="007B105E">
              <w:t>$0.00</w:t>
            </w:r>
          </w:p>
        </w:tc>
      </w:tr>
      <w:tr w:rsidR="003636DE" w:rsidRPr="007B105E" w14:paraId="2845419F" w14:textId="77777777" w:rsidTr="003636DE">
        <w:tc>
          <w:tcPr>
            <w:tcW w:w="4219" w:type="dxa"/>
          </w:tcPr>
          <w:p w14:paraId="5631B6DA" w14:textId="77777777" w:rsidR="003636DE" w:rsidRPr="007B105E" w:rsidRDefault="003636DE" w:rsidP="003636DE">
            <w:pPr>
              <w:pStyle w:val="Tabletext"/>
            </w:pPr>
            <w:r w:rsidRPr="007B105E">
              <w:t>Annual maintenance per patient</w:t>
            </w:r>
          </w:p>
        </w:tc>
        <w:tc>
          <w:tcPr>
            <w:tcW w:w="1134" w:type="dxa"/>
          </w:tcPr>
          <w:p w14:paraId="4C40B025" w14:textId="77777777" w:rsidR="003636DE" w:rsidRPr="007B105E" w:rsidRDefault="003636DE" w:rsidP="003636DE">
            <w:pPr>
              <w:pStyle w:val="Tabletext"/>
            </w:pPr>
          </w:p>
        </w:tc>
        <w:tc>
          <w:tcPr>
            <w:tcW w:w="1134" w:type="dxa"/>
          </w:tcPr>
          <w:p w14:paraId="68B26B4F" w14:textId="77777777" w:rsidR="003636DE" w:rsidRPr="007B105E" w:rsidRDefault="003636DE" w:rsidP="003636DE">
            <w:pPr>
              <w:pStyle w:val="Tabletext"/>
            </w:pPr>
            <w:r w:rsidRPr="007B105E">
              <w:t>$24.00</w:t>
            </w:r>
          </w:p>
        </w:tc>
        <w:tc>
          <w:tcPr>
            <w:tcW w:w="1276" w:type="dxa"/>
          </w:tcPr>
          <w:p w14:paraId="1FCB96CF" w14:textId="77777777" w:rsidR="003636DE" w:rsidRPr="007B105E" w:rsidRDefault="003636DE" w:rsidP="003636DE">
            <w:pPr>
              <w:pStyle w:val="Tabletext"/>
            </w:pPr>
            <w:r w:rsidRPr="007B105E">
              <w:t>$24.00</w:t>
            </w:r>
          </w:p>
        </w:tc>
        <w:tc>
          <w:tcPr>
            <w:tcW w:w="1134" w:type="dxa"/>
          </w:tcPr>
          <w:p w14:paraId="60654642" w14:textId="77777777" w:rsidR="003636DE" w:rsidRPr="007B105E" w:rsidRDefault="003636DE" w:rsidP="003636DE">
            <w:pPr>
              <w:pStyle w:val="Tabletext"/>
            </w:pPr>
            <w:r w:rsidRPr="007B105E">
              <w:t>$0.00</w:t>
            </w:r>
          </w:p>
        </w:tc>
      </w:tr>
      <w:tr w:rsidR="003636DE" w:rsidRPr="00150DC0" w14:paraId="06598C9B" w14:textId="77777777" w:rsidTr="003636DE">
        <w:tc>
          <w:tcPr>
            <w:tcW w:w="4219" w:type="dxa"/>
          </w:tcPr>
          <w:p w14:paraId="03F33CF8" w14:textId="77777777" w:rsidR="003636DE" w:rsidRPr="00150DC0" w:rsidRDefault="003636DE" w:rsidP="003636DE">
            <w:pPr>
              <w:pStyle w:val="Tabletext"/>
            </w:pPr>
            <w:r w:rsidRPr="00150DC0">
              <w:t>Reintervention @ 1.4</w:t>
            </w:r>
            <w:r>
              <w:t>4</w:t>
            </w:r>
            <w:r w:rsidRPr="00150DC0">
              <w:t>% of TURP cost</w:t>
            </w:r>
          </w:p>
        </w:tc>
        <w:tc>
          <w:tcPr>
            <w:tcW w:w="1134" w:type="dxa"/>
          </w:tcPr>
          <w:p w14:paraId="25769F28" w14:textId="77777777" w:rsidR="003636DE" w:rsidRPr="00150DC0" w:rsidRDefault="003636DE" w:rsidP="003636DE">
            <w:pPr>
              <w:pStyle w:val="Tabletext"/>
            </w:pPr>
          </w:p>
        </w:tc>
        <w:tc>
          <w:tcPr>
            <w:tcW w:w="1134" w:type="dxa"/>
          </w:tcPr>
          <w:p w14:paraId="52C489B0" w14:textId="77777777" w:rsidR="003636DE" w:rsidRPr="00150DC0" w:rsidRDefault="003636DE" w:rsidP="003636DE">
            <w:pPr>
              <w:pStyle w:val="Tabletext"/>
              <w:rPr>
                <w:rFonts w:cs="Tahoma"/>
              </w:rPr>
            </w:pPr>
            <w:r>
              <w:rPr>
                <w:rFonts w:cs="Tahoma"/>
              </w:rPr>
              <w:t>$78.54</w:t>
            </w:r>
          </w:p>
        </w:tc>
        <w:tc>
          <w:tcPr>
            <w:tcW w:w="1276" w:type="dxa"/>
          </w:tcPr>
          <w:p w14:paraId="58E2FBB4" w14:textId="77777777" w:rsidR="003636DE" w:rsidRPr="00150DC0" w:rsidRDefault="003636DE" w:rsidP="003636DE">
            <w:pPr>
              <w:pStyle w:val="Tabletext"/>
              <w:rPr>
                <w:rFonts w:cs="Tahoma"/>
              </w:rPr>
            </w:pPr>
            <w:r>
              <w:rPr>
                <w:rFonts w:cs="Tahoma"/>
              </w:rPr>
              <w:t>$64.24</w:t>
            </w:r>
          </w:p>
        </w:tc>
        <w:tc>
          <w:tcPr>
            <w:tcW w:w="1134" w:type="dxa"/>
          </w:tcPr>
          <w:p w14:paraId="16DF0F45" w14:textId="77777777" w:rsidR="003636DE" w:rsidRPr="00150DC0" w:rsidRDefault="003636DE" w:rsidP="003636DE">
            <w:pPr>
              <w:pStyle w:val="Tabletext"/>
              <w:rPr>
                <w:rFonts w:cs="Tahoma"/>
              </w:rPr>
            </w:pPr>
            <w:r>
              <w:rPr>
                <w:rFonts w:cs="Tahoma"/>
              </w:rPr>
              <w:t>$14.30</w:t>
            </w:r>
          </w:p>
        </w:tc>
      </w:tr>
      <w:tr w:rsidR="003636DE" w:rsidRPr="00150DC0" w14:paraId="211319DE" w14:textId="77777777" w:rsidTr="003636DE">
        <w:tc>
          <w:tcPr>
            <w:tcW w:w="4219" w:type="dxa"/>
          </w:tcPr>
          <w:p w14:paraId="3473D52D" w14:textId="77777777" w:rsidR="003636DE" w:rsidRPr="00150DC0" w:rsidRDefault="003636DE" w:rsidP="003636DE">
            <w:pPr>
              <w:pStyle w:val="Tabletext"/>
            </w:pPr>
            <w:r>
              <w:t>Additional prosthesis 0.7 @ $712</w:t>
            </w:r>
          </w:p>
        </w:tc>
        <w:tc>
          <w:tcPr>
            <w:tcW w:w="1134" w:type="dxa"/>
          </w:tcPr>
          <w:p w14:paraId="5AC5E208" w14:textId="77777777" w:rsidR="003636DE" w:rsidRPr="00150DC0" w:rsidRDefault="003636DE" w:rsidP="003636DE">
            <w:pPr>
              <w:pStyle w:val="Tabletext"/>
            </w:pPr>
          </w:p>
        </w:tc>
        <w:tc>
          <w:tcPr>
            <w:tcW w:w="1134" w:type="dxa"/>
          </w:tcPr>
          <w:p w14:paraId="747D4011" w14:textId="77777777" w:rsidR="003636DE" w:rsidRPr="00150DC0" w:rsidRDefault="003636DE" w:rsidP="003636DE">
            <w:pPr>
              <w:pStyle w:val="Tabletext"/>
              <w:rPr>
                <w:rFonts w:cs="Tahoma"/>
              </w:rPr>
            </w:pPr>
            <w:r>
              <w:rPr>
                <w:rFonts w:cs="Tahoma"/>
              </w:rPr>
              <w:t>$498.4</w:t>
            </w:r>
          </w:p>
        </w:tc>
        <w:tc>
          <w:tcPr>
            <w:tcW w:w="1276" w:type="dxa"/>
          </w:tcPr>
          <w:p w14:paraId="040FD35A" w14:textId="77777777" w:rsidR="003636DE" w:rsidRPr="00150DC0" w:rsidRDefault="003636DE" w:rsidP="003636DE">
            <w:pPr>
              <w:pStyle w:val="Tabletext"/>
              <w:rPr>
                <w:rFonts w:cs="Tahoma"/>
              </w:rPr>
            </w:pPr>
            <w:r>
              <w:rPr>
                <w:rFonts w:cs="Tahoma"/>
              </w:rPr>
              <w:t>$498.4</w:t>
            </w:r>
          </w:p>
        </w:tc>
        <w:tc>
          <w:tcPr>
            <w:tcW w:w="1134" w:type="dxa"/>
          </w:tcPr>
          <w:p w14:paraId="6E2BCAE1" w14:textId="77777777" w:rsidR="003636DE" w:rsidRPr="00150DC0" w:rsidRDefault="003636DE" w:rsidP="003636DE">
            <w:pPr>
              <w:pStyle w:val="Tabletext"/>
              <w:rPr>
                <w:rFonts w:cs="Tahoma"/>
              </w:rPr>
            </w:pPr>
            <w:r>
              <w:rPr>
                <w:rFonts w:cs="Tahoma"/>
              </w:rPr>
              <w:t>$0.00</w:t>
            </w:r>
          </w:p>
        </w:tc>
      </w:tr>
      <w:tr w:rsidR="003636DE" w:rsidRPr="00E07345" w14:paraId="0E4F8697" w14:textId="77777777" w:rsidTr="003636DE">
        <w:tc>
          <w:tcPr>
            <w:tcW w:w="4219" w:type="dxa"/>
          </w:tcPr>
          <w:p w14:paraId="74D42480" w14:textId="77777777" w:rsidR="003636DE" w:rsidRPr="007B105E" w:rsidRDefault="003636DE" w:rsidP="003636DE">
            <w:pPr>
              <w:pStyle w:val="Tabletext"/>
            </w:pPr>
            <w:r w:rsidRPr="007B105E">
              <w:t>Total</w:t>
            </w:r>
          </w:p>
        </w:tc>
        <w:tc>
          <w:tcPr>
            <w:tcW w:w="1134" w:type="dxa"/>
          </w:tcPr>
          <w:p w14:paraId="09892DF3" w14:textId="77777777" w:rsidR="003636DE" w:rsidRPr="007B105E" w:rsidRDefault="003636DE" w:rsidP="003636DE">
            <w:pPr>
              <w:pStyle w:val="Tabletext"/>
            </w:pPr>
          </w:p>
        </w:tc>
        <w:tc>
          <w:tcPr>
            <w:tcW w:w="1134" w:type="dxa"/>
          </w:tcPr>
          <w:p w14:paraId="6EB48908" w14:textId="77777777" w:rsidR="003636DE" w:rsidRPr="0025213E" w:rsidRDefault="003636DE" w:rsidP="003636DE">
            <w:pPr>
              <w:pStyle w:val="Tabletext"/>
            </w:pPr>
            <w:r w:rsidRPr="0025213E">
              <w:t>$6,268.19</w:t>
            </w:r>
          </w:p>
        </w:tc>
        <w:tc>
          <w:tcPr>
            <w:tcW w:w="1276" w:type="dxa"/>
          </w:tcPr>
          <w:p w14:paraId="1EF9FC3B" w14:textId="77777777" w:rsidR="003636DE" w:rsidRPr="0025213E" w:rsidRDefault="003636DE" w:rsidP="003636DE">
            <w:pPr>
              <w:pStyle w:val="Tabletext"/>
            </w:pPr>
            <w:r w:rsidRPr="0025213E">
              <w:t>$5,305.89</w:t>
            </w:r>
          </w:p>
        </w:tc>
        <w:tc>
          <w:tcPr>
            <w:tcW w:w="1134" w:type="dxa"/>
          </w:tcPr>
          <w:p w14:paraId="774E34E1" w14:textId="77777777" w:rsidR="003636DE" w:rsidRPr="00E07345" w:rsidRDefault="003636DE" w:rsidP="003636DE">
            <w:pPr>
              <w:pStyle w:val="Tabletext"/>
            </w:pPr>
            <w:r w:rsidRPr="00E07345">
              <w:t>$962.30</w:t>
            </w:r>
          </w:p>
        </w:tc>
      </w:tr>
    </w:tbl>
    <w:p w14:paraId="48675C67" w14:textId="77777777" w:rsidR="00652235" w:rsidRPr="00A250BF" w:rsidRDefault="00652235" w:rsidP="00C11BBE">
      <w:pPr>
        <w:pStyle w:val="Tablenotes"/>
        <w:rPr>
          <w:rStyle w:val="CritiquetablenotesChar"/>
          <w:rFonts w:eastAsiaTheme="minorHAnsi"/>
          <w:i w:val="0"/>
          <w:color w:val="auto"/>
        </w:rPr>
      </w:pPr>
      <w:r w:rsidRPr="00140FD6">
        <w:rPr>
          <w:vertAlign w:val="superscript"/>
        </w:rPr>
        <w:t>a</w:t>
      </w:r>
      <w:r w:rsidRPr="00140FD6">
        <w:t xml:space="preserve"> The MBS item quoted is for anorectal procedures. If the number of units is considered reasonable, then it may be more appropriate to use MBS item 20910, which is </w:t>
      </w:r>
      <w:r w:rsidRPr="00A250BF">
        <w:rPr>
          <w:i/>
        </w:rPr>
        <w:t xml:space="preserve">also for </w:t>
      </w:r>
      <w:r w:rsidRPr="00A250BF">
        <w:rPr>
          <w:rStyle w:val="CritiquetablenotesChar"/>
          <w:rFonts w:eastAsiaTheme="minorHAnsi"/>
          <w:i w:val="0"/>
          <w:color w:val="auto"/>
        </w:rPr>
        <w:t>transurethral procedures (noting that the same fee applies to both).</w:t>
      </w:r>
    </w:p>
    <w:p w14:paraId="70AB94A6" w14:textId="304B2387" w:rsidR="00652235" w:rsidRPr="00C11BBE" w:rsidRDefault="00652235" w:rsidP="00C11BBE">
      <w:pPr>
        <w:pStyle w:val="Tablenotes"/>
        <w:rPr>
          <w:snapToGrid/>
        </w:rPr>
      </w:pPr>
      <w:r w:rsidRPr="00A250BF">
        <w:t xml:space="preserve">Source: Table </w:t>
      </w:r>
      <w:r w:rsidR="003636DE">
        <w:t>26</w:t>
      </w:r>
      <w:r w:rsidRPr="00A250BF">
        <w:t>, p</w:t>
      </w:r>
      <w:r w:rsidR="003636DE">
        <w:t>3</w:t>
      </w:r>
      <w:r w:rsidRPr="00A250BF">
        <w:t xml:space="preserve"> of the </w:t>
      </w:r>
      <w:r w:rsidR="003636DE">
        <w:t>pre-MSAC response</w:t>
      </w:r>
      <w:r w:rsidRPr="00A250BF">
        <w:t xml:space="preserve">. </w:t>
      </w:r>
    </w:p>
    <w:p w14:paraId="0172A110" w14:textId="77777777" w:rsidR="00652235" w:rsidRPr="00D863C8" w:rsidRDefault="00652235" w:rsidP="00D863C8">
      <w:pPr>
        <w:rPr>
          <w:rFonts w:ascii="Arial Narrow" w:eastAsiaTheme="minorHAnsi" w:hAnsi="Arial Narrow"/>
          <w:b/>
          <w:sz w:val="20"/>
        </w:rPr>
      </w:pPr>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12</w:t>
      </w:r>
      <w:r w:rsidR="00C11BBE" w:rsidRPr="00D863C8">
        <w:rPr>
          <w:rFonts w:ascii="Arial Narrow" w:hAnsi="Arial Narrow"/>
          <w:b/>
          <w:sz w:val="20"/>
        </w:rPr>
        <w:fldChar w:fldCharType="end"/>
      </w:r>
      <w:r w:rsidRPr="00D863C8">
        <w:rPr>
          <w:rFonts w:ascii="Arial Narrow" w:hAnsi="Arial Narrow"/>
          <w:b/>
          <w:sz w:val="20"/>
        </w:rPr>
        <w:t xml:space="preserve"> </w:t>
      </w:r>
      <w:r w:rsidRPr="00D863C8">
        <w:rPr>
          <w:rFonts w:ascii="Arial Narrow" w:eastAsiaTheme="minorHAnsi" w:hAnsi="Arial Narrow"/>
          <w:b/>
          <w:sz w:val="20"/>
        </w:rPr>
        <w:t>Capital calculations</w:t>
      </w:r>
    </w:p>
    <w:tbl>
      <w:tblPr>
        <w:tblStyle w:val="TableGrid4"/>
        <w:tblW w:w="0" w:type="auto"/>
        <w:tblInd w:w="-5" w:type="dxa"/>
        <w:tblLook w:val="04A0" w:firstRow="1" w:lastRow="0" w:firstColumn="1" w:lastColumn="0" w:noHBand="0" w:noVBand="1"/>
        <w:tblDescription w:val="Capital calculations"/>
      </w:tblPr>
      <w:tblGrid>
        <w:gridCol w:w="3499"/>
        <w:gridCol w:w="1418"/>
      </w:tblGrid>
      <w:tr w:rsidR="00652235" w:rsidRPr="000537B0" w14:paraId="73A60E34" w14:textId="77777777" w:rsidTr="00221228">
        <w:trPr>
          <w:tblHeader/>
        </w:trPr>
        <w:tc>
          <w:tcPr>
            <w:tcW w:w="3499" w:type="dxa"/>
          </w:tcPr>
          <w:p w14:paraId="2599A6ED" w14:textId="77777777" w:rsidR="00652235" w:rsidRPr="000537B0" w:rsidRDefault="00652235" w:rsidP="00F11AFE">
            <w:pPr>
              <w:pStyle w:val="Tabletext"/>
            </w:pPr>
            <w:r w:rsidRPr="000537B0">
              <w:t>Cystoscopy camera/ monitor set</w:t>
            </w:r>
            <w:r w:rsidRPr="000537B0">
              <w:tab/>
            </w:r>
          </w:p>
        </w:tc>
        <w:tc>
          <w:tcPr>
            <w:tcW w:w="1418" w:type="dxa"/>
          </w:tcPr>
          <w:p w14:paraId="12A589D9" w14:textId="77777777" w:rsidR="00652235" w:rsidRPr="000537B0" w:rsidRDefault="00652235" w:rsidP="00F11AFE">
            <w:pPr>
              <w:pStyle w:val="Tabletext"/>
            </w:pPr>
            <w:r w:rsidRPr="000537B0">
              <w:t>$25,000.00</w:t>
            </w:r>
          </w:p>
        </w:tc>
      </w:tr>
      <w:tr w:rsidR="00652235" w:rsidRPr="000537B0" w14:paraId="6A27FBCD" w14:textId="77777777" w:rsidTr="00A250BF">
        <w:tc>
          <w:tcPr>
            <w:tcW w:w="3499" w:type="dxa"/>
          </w:tcPr>
          <w:p w14:paraId="447BC435" w14:textId="77777777" w:rsidR="00652235" w:rsidRPr="000537B0" w:rsidRDefault="00652235" w:rsidP="00F11AFE">
            <w:pPr>
              <w:pStyle w:val="Tabletext"/>
            </w:pPr>
            <w:r w:rsidRPr="000537B0">
              <w:t xml:space="preserve">Irrigation system </w:t>
            </w:r>
            <w:r w:rsidRPr="000537B0">
              <w:tab/>
            </w:r>
          </w:p>
        </w:tc>
        <w:tc>
          <w:tcPr>
            <w:tcW w:w="1418" w:type="dxa"/>
          </w:tcPr>
          <w:p w14:paraId="5B230948" w14:textId="77777777" w:rsidR="00652235" w:rsidRPr="000537B0" w:rsidRDefault="00652235" w:rsidP="00F11AFE">
            <w:pPr>
              <w:pStyle w:val="Tabletext"/>
            </w:pPr>
            <w:r w:rsidRPr="000537B0">
              <w:t>$5,000.00</w:t>
            </w:r>
          </w:p>
        </w:tc>
      </w:tr>
      <w:tr w:rsidR="00652235" w:rsidRPr="000537B0" w14:paraId="50FBA379" w14:textId="77777777" w:rsidTr="00A250BF">
        <w:tc>
          <w:tcPr>
            <w:tcW w:w="3499" w:type="dxa"/>
          </w:tcPr>
          <w:p w14:paraId="1AF3CFDA" w14:textId="77777777" w:rsidR="00652235" w:rsidRPr="000537B0" w:rsidRDefault="00652235" w:rsidP="00F11AFE">
            <w:pPr>
              <w:pStyle w:val="Tabletext"/>
            </w:pPr>
            <w:r w:rsidRPr="000537B0">
              <w:t>Standard endoscopic grasper set kit</w:t>
            </w:r>
          </w:p>
        </w:tc>
        <w:tc>
          <w:tcPr>
            <w:tcW w:w="1418" w:type="dxa"/>
          </w:tcPr>
          <w:p w14:paraId="167992A6" w14:textId="77777777" w:rsidR="00652235" w:rsidRPr="000537B0" w:rsidRDefault="00652235" w:rsidP="00F11AFE">
            <w:pPr>
              <w:pStyle w:val="Tabletext"/>
            </w:pPr>
            <w:r w:rsidRPr="000537B0">
              <w:t>$2,000.00</w:t>
            </w:r>
          </w:p>
        </w:tc>
      </w:tr>
      <w:tr w:rsidR="00652235" w:rsidRPr="000537B0" w14:paraId="64DB5FEA" w14:textId="77777777" w:rsidTr="00A250BF">
        <w:tc>
          <w:tcPr>
            <w:tcW w:w="3499" w:type="dxa"/>
          </w:tcPr>
          <w:p w14:paraId="60BB497F" w14:textId="77777777" w:rsidR="00652235" w:rsidRPr="000537B0" w:rsidRDefault="00652235" w:rsidP="00F11AFE">
            <w:pPr>
              <w:pStyle w:val="Tabletext"/>
            </w:pPr>
            <w:r w:rsidRPr="000537B0">
              <w:t>Total capital</w:t>
            </w:r>
          </w:p>
        </w:tc>
        <w:tc>
          <w:tcPr>
            <w:tcW w:w="1418" w:type="dxa"/>
          </w:tcPr>
          <w:p w14:paraId="0BFF8699" w14:textId="77777777" w:rsidR="00652235" w:rsidRPr="000537B0" w:rsidRDefault="00652235" w:rsidP="00F11AFE">
            <w:pPr>
              <w:pStyle w:val="Tabletext"/>
            </w:pPr>
            <w:r w:rsidRPr="000537B0">
              <w:t>$32,000</w:t>
            </w:r>
          </w:p>
        </w:tc>
      </w:tr>
      <w:tr w:rsidR="00652235" w:rsidRPr="000537B0" w14:paraId="67A8FC83" w14:textId="77777777" w:rsidTr="00A250BF">
        <w:tc>
          <w:tcPr>
            <w:tcW w:w="3499" w:type="dxa"/>
          </w:tcPr>
          <w:p w14:paraId="4EFB8706" w14:textId="77777777" w:rsidR="00652235" w:rsidRPr="000537B0" w:rsidRDefault="00652235" w:rsidP="00F11AFE">
            <w:pPr>
              <w:pStyle w:val="Tabletext"/>
            </w:pPr>
            <w:r w:rsidRPr="000537B0">
              <w:t>Annual cost (discounted @ 5%)</w:t>
            </w:r>
          </w:p>
        </w:tc>
        <w:tc>
          <w:tcPr>
            <w:tcW w:w="1418" w:type="dxa"/>
          </w:tcPr>
          <w:p w14:paraId="2277C40D" w14:textId="77777777" w:rsidR="00652235" w:rsidRPr="000537B0" w:rsidRDefault="00652235" w:rsidP="00F11AFE">
            <w:pPr>
              <w:pStyle w:val="Tabletext"/>
            </w:pPr>
            <w:r w:rsidRPr="000537B0">
              <w:t>$7,445.00</w:t>
            </w:r>
          </w:p>
        </w:tc>
      </w:tr>
      <w:tr w:rsidR="00652235" w:rsidRPr="000537B0" w14:paraId="6981D376" w14:textId="77777777" w:rsidTr="00A250BF">
        <w:tc>
          <w:tcPr>
            <w:tcW w:w="3499" w:type="dxa"/>
          </w:tcPr>
          <w:p w14:paraId="58EC2CF7" w14:textId="77777777" w:rsidR="00652235" w:rsidRPr="000537B0" w:rsidRDefault="00652235" w:rsidP="00F11AFE">
            <w:pPr>
              <w:pStyle w:val="Tabletext"/>
            </w:pPr>
            <w:r w:rsidRPr="000537B0">
              <w:t>Annual cost per patient (50 patients)</w:t>
            </w:r>
          </w:p>
        </w:tc>
        <w:tc>
          <w:tcPr>
            <w:tcW w:w="1418" w:type="dxa"/>
          </w:tcPr>
          <w:p w14:paraId="7785F7D6" w14:textId="77777777" w:rsidR="00652235" w:rsidRPr="000537B0" w:rsidRDefault="00652235" w:rsidP="00F11AFE">
            <w:pPr>
              <w:pStyle w:val="Tabletext"/>
            </w:pPr>
            <w:r w:rsidRPr="000537B0">
              <w:t>$148.90</w:t>
            </w:r>
          </w:p>
        </w:tc>
      </w:tr>
      <w:tr w:rsidR="00652235" w:rsidRPr="000537B0" w14:paraId="0CC561C1" w14:textId="77777777" w:rsidTr="00A250BF">
        <w:tc>
          <w:tcPr>
            <w:tcW w:w="3499" w:type="dxa"/>
          </w:tcPr>
          <w:p w14:paraId="349A467C" w14:textId="77777777" w:rsidR="00652235" w:rsidRPr="000537B0" w:rsidRDefault="00652235" w:rsidP="00F11AFE">
            <w:pPr>
              <w:pStyle w:val="Tabletext"/>
            </w:pPr>
            <w:r w:rsidRPr="000537B0">
              <w:t>Annual maintenance contract</w:t>
            </w:r>
          </w:p>
        </w:tc>
        <w:tc>
          <w:tcPr>
            <w:tcW w:w="1418" w:type="dxa"/>
          </w:tcPr>
          <w:p w14:paraId="1D8EDD1D" w14:textId="77777777" w:rsidR="00652235" w:rsidRPr="000537B0" w:rsidRDefault="00652235" w:rsidP="00F11AFE">
            <w:pPr>
              <w:pStyle w:val="Tabletext"/>
            </w:pPr>
            <w:r w:rsidRPr="000537B0">
              <w:t>$1,200.00</w:t>
            </w:r>
          </w:p>
        </w:tc>
      </w:tr>
      <w:tr w:rsidR="00652235" w:rsidRPr="000537B0" w14:paraId="26987F22" w14:textId="77777777" w:rsidTr="00A250BF">
        <w:tc>
          <w:tcPr>
            <w:tcW w:w="3499" w:type="dxa"/>
          </w:tcPr>
          <w:p w14:paraId="0B43CFC8" w14:textId="77777777" w:rsidR="00652235" w:rsidRPr="000537B0" w:rsidRDefault="00652235" w:rsidP="00F11AFE">
            <w:pPr>
              <w:pStyle w:val="Tabletext"/>
            </w:pPr>
            <w:r w:rsidRPr="000537B0">
              <w:t>Annual maintenance per patient</w:t>
            </w:r>
          </w:p>
        </w:tc>
        <w:tc>
          <w:tcPr>
            <w:tcW w:w="1418" w:type="dxa"/>
          </w:tcPr>
          <w:p w14:paraId="4386D4A4" w14:textId="77777777" w:rsidR="00652235" w:rsidRPr="000537B0" w:rsidRDefault="00652235" w:rsidP="00F11AFE">
            <w:pPr>
              <w:pStyle w:val="Tabletext"/>
            </w:pPr>
            <w:r w:rsidRPr="000537B0">
              <w:t>$24.00</w:t>
            </w:r>
          </w:p>
        </w:tc>
      </w:tr>
    </w:tbl>
    <w:p w14:paraId="396C4AE1" w14:textId="5E787C94" w:rsidR="00652235" w:rsidRPr="00C11BBE" w:rsidRDefault="00652235" w:rsidP="00C11BBE">
      <w:pPr>
        <w:pStyle w:val="Tablenotes"/>
        <w:rPr>
          <w:rStyle w:val="CritiquetablenotesChar"/>
          <w:rFonts w:eastAsiaTheme="minorHAnsi"/>
          <w:i w:val="0"/>
          <w:color w:val="auto"/>
        </w:rPr>
      </w:pPr>
      <w:r w:rsidRPr="00A250BF">
        <w:rPr>
          <w:rStyle w:val="CritiquetablenotesChar"/>
          <w:rFonts w:eastAsiaTheme="minorHAnsi"/>
          <w:i w:val="0"/>
          <w:color w:val="auto"/>
        </w:rPr>
        <w:t>Source: p23 of the commentary.</w:t>
      </w:r>
    </w:p>
    <w:p w14:paraId="2044E895" w14:textId="019B9201" w:rsidR="00652235" w:rsidRDefault="00652235" w:rsidP="00652235">
      <w:r>
        <w:t xml:space="preserve">The commentary noted that the total cost of PUL, including reintervention, is estimated in the ADAR to be </w:t>
      </w:r>
      <w:r w:rsidRPr="00140FD6">
        <w:t>$5,775.13.</w:t>
      </w:r>
      <w:r>
        <w:rPr>
          <w:b/>
        </w:rPr>
        <w:t xml:space="preserve"> </w:t>
      </w:r>
      <w:r w:rsidRPr="00D93FA3">
        <w:t xml:space="preserve">The main component of PUL cost is that of the prostheses. As the ADAR may have underestimated the average number of prostheses implanted, </w:t>
      </w:r>
      <w:r w:rsidRPr="00230E27">
        <w:t>did not consider a prostheses handling fee</w:t>
      </w:r>
      <w:r w:rsidRPr="00D93FA3">
        <w:t xml:space="preserve"> and likely underestimated both the proportion of patients </w:t>
      </w:r>
      <w:r w:rsidRPr="00D93FA3">
        <w:lastRenderedPageBreak/>
        <w:t>expected to require reintervention and the cost of reintervention, the cost of PUL is likely to be an underestimate, and the cost savings claimed, like</w:t>
      </w:r>
      <w:r>
        <w:t>ly to be further overestimated.</w:t>
      </w:r>
    </w:p>
    <w:p w14:paraId="794967F5" w14:textId="4BA3B06F" w:rsidR="00652235" w:rsidRDefault="00652235" w:rsidP="00C11BBE">
      <w:pPr>
        <w:spacing w:before="240" w:after="240"/>
      </w:pPr>
      <w:r>
        <w:t>The pre-ESC response clarified that t</w:t>
      </w:r>
      <w:r w:rsidRPr="00C2612A">
        <w:t>he number of prostheses implanted depends on the size of the subject’s prostate</w:t>
      </w:r>
      <w:r>
        <w:t xml:space="preserve"> and that the ADAR estimated the number of prostheses used was four based on</w:t>
      </w:r>
      <w:r w:rsidRPr="00C2612A">
        <w:t xml:space="preserve"> data from Sievert et al (2019</w:t>
      </w:r>
      <w:r>
        <w:t xml:space="preserve">). </w:t>
      </w:r>
      <w:r w:rsidRPr="00410FE0">
        <w:t xml:space="preserve">The </w:t>
      </w:r>
      <w:r>
        <w:t>applicant acknowledged</w:t>
      </w:r>
      <w:r w:rsidRPr="00410FE0">
        <w:t xml:space="preserve"> that the sensitivity analysis carried out as part of the ADAR identified that the costing model is sensitive to the number of prostheses implanted.</w:t>
      </w:r>
      <w:r>
        <w:t xml:space="preserve"> However, the applicant claimed t</w:t>
      </w:r>
      <w:r w:rsidRPr="00C2612A">
        <w:t xml:space="preserve">he </w:t>
      </w:r>
      <w:r>
        <w:t>commentary’s estimate of 3.1</w:t>
      </w:r>
      <w:r w:rsidRPr="00C2612A">
        <w:t xml:space="preserve"> prostheses</w:t>
      </w:r>
      <w:r>
        <w:t xml:space="preserve"> based on</w:t>
      </w:r>
      <w:r w:rsidRPr="00C2612A">
        <w:t xml:space="preserve"> feedback from Private Healthcare A</w:t>
      </w:r>
      <w:r>
        <w:t>ustralia to be a</w:t>
      </w:r>
      <w:r w:rsidRPr="00C2612A">
        <w:t xml:space="preserve"> low estimate </w:t>
      </w:r>
      <w:r>
        <w:t xml:space="preserve">that </w:t>
      </w:r>
      <w:r w:rsidRPr="00C2612A">
        <w:t>does not align with number in published papers.</w:t>
      </w:r>
    </w:p>
    <w:p w14:paraId="10261D1D" w14:textId="0E36F459" w:rsidR="00652235" w:rsidRDefault="00652235" w:rsidP="00652235">
      <w:r>
        <w:t xml:space="preserve">The pre-ESC response </w:t>
      </w:r>
      <w:r w:rsidR="0017423B">
        <w:t xml:space="preserve">also </w:t>
      </w:r>
      <w:r>
        <w:t>clarified that:</w:t>
      </w:r>
    </w:p>
    <w:p w14:paraId="2137A5CC" w14:textId="77777777" w:rsidR="00652235" w:rsidRDefault="00652235" w:rsidP="00D70B59">
      <w:pPr>
        <w:pStyle w:val="ListParagraph"/>
        <w:numPr>
          <w:ilvl w:val="0"/>
          <w:numId w:val="9"/>
        </w:numPr>
      </w:pPr>
      <w:r>
        <w:t xml:space="preserve">the </w:t>
      </w:r>
      <w:r w:rsidRPr="009373A2">
        <w:t>net annual reintervention rate used in the model was 1.44% for each of the five years</w:t>
      </w:r>
      <w:r>
        <w:t xml:space="preserve"> and that t</w:t>
      </w:r>
      <w:r w:rsidRPr="009373A2">
        <w:t>his annual cost was added to the total cost of PUL</w:t>
      </w:r>
    </w:p>
    <w:p w14:paraId="6EE048CA" w14:textId="77777777" w:rsidR="00652235" w:rsidRDefault="00652235" w:rsidP="00D70B59">
      <w:pPr>
        <w:pStyle w:val="ListParagraph"/>
        <w:numPr>
          <w:ilvl w:val="0"/>
          <w:numId w:val="9"/>
        </w:numPr>
      </w:pPr>
      <w:r>
        <w:t xml:space="preserve">there is no handling fee, and </w:t>
      </w:r>
    </w:p>
    <w:p w14:paraId="40ECAA27" w14:textId="1B855901" w:rsidR="00652235" w:rsidRDefault="00652235" w:rsidP="00652235">
      <w:pPr>
        <w:pStyle w:val="ListParagraph"/>
        <w:numPr>
          <w:ilvl w:val="0"/>
          <w:numId w:val="9"/>
        </w:numPr>
      </w:pPr>
      <w:r>
        <w:t>the cost of the prosthesis, $712, was taken from the Prostheses List.</w:t>
      </w:r>
    </w:p>
    <w:p w14:paraId="420A11B7" w14:textId="0D786E54" w:rsidR="00652235" w:rsidRPr="00D863C8" w:rsidRDefault="00652235" w:rsidP="00D863C8">
      <w:pPr>
        <w:spacing w:before="240" w:after="240"/>
        <w:rPr>
          <w:u w:val="single"/>
        </w:rPr>
      </w:pPr>
      <w:r w:rsidRPr="00D863C8">
        <w:rPr>
          <w:u w:val="single"/>
        </w:rPr>
        <w:t>VLAP</w:t>
      </w:r>
      <w:bookmarkStart w:id="24" w:name="_Ref40972764"/>
    </w:p>
    <w:p w14:paraId="17567858" w14:textId="77777777" w:rsidR="00652235" w:rsidRPr="00D863C8" w:rsidRDefault="00652235" w:rsidP="00D863C8">
      <w:pPr>
        <w:rPr>
          <w:rFonts w:ascii="Arial Narrow" w:eastAsiaTheme="minorHAnsi" w:hAnsi="Arial Narrow"/>
          <w:b/>
          <w:sz w:val="20"/>
        </w:rPr>
      </w:pPr>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13</w:t>
      </w:r>
      <w:r w:rsidR="00C11BBE" w:rsidRPr="00D863C8">
        <w:rPr>
          <w:rFonts w:ascii="Arial Narrow" w:hAnsi="Arial Narrow"/>
          <w:b/>
          <w:sz w:val="20"/>
        </w:rPr>
        <w:fldChar w:fldCharType="end"/>
      </w:r>
      <w:bookmarkEnd w:id="24"/>
      <w:r w:rsidRPr="00D863C8">
        <w:rPr>
          <w:rFonts w:ascii="Arial Narrow" w:eastAsiaTheme="minorHAnsi" w:hAnsi="Arial Narrow"/>
          <w:b/>
          <w:sz w:val="20"/>
        </w:rPr>
        <w:t xml:space="preserve"> VLAP Procedure Cost</w:t>
      </w:r>
    </w:p>
    <w:tbl>
      <w:tblPr>
        <w:tblStyle w:val="TableGrid23"/>
        <w:tblW w:w="0" w:type="auto"/>
        <w:tblLook w:val="04A0" w:firstRow="1" w:lastRow="0" w:firstColumn="1" w:lastColumn="0" w:noHBand="0" w:noVBand="1"/>
        <w:tblDescription w:val="VLAP Procedure Cost"/>
      </w:tblPr>
      <w:tblGrid>
        <w:gridCol w:w="4219"/>
        <w:gridCol w:w="1134"/>
        <w:gridCol w:w="1134"/>
        <w:gridCol w:w="1276"/>
        <w:gridCol w:w="1134"/>
      </w:tblGrid>
      <w:tr w:rsidR="00652235" w:rsidRPr="000537B0" w14:paraId="17459FA5" w14:textId="77777777" w:rsidTr="00221228">
        <w:trPr>
          <w:tblHeader/>
        </w:trPr>
        <w:tc>
          <w:tcPr>
            <w:tcW w:w="4219" w:type="dxa"/>
            <w:tcBorders>
              <w:top w:val="single" w:sz="4" w:space="0" w:color="auto"/>
            </w:tcBorders>
          </w:tcPr>
          <w:p w14:paraId="6B5379CB" w14:textId="77777777" w:rsidR="00652235" w:rsidRPr="000537B0" w:rsidRDefault="00652235" w:rsidP="00F11AFE">
            <w:pPr>
              <w:pStyle w:val="Tabletext"/>
            </w:pPr>
          </w:p>
        </w:tc>
        <w:tc>
          <w:tcPr>
            <w:tcW w:w="1134" w:type="dxa"/>
            <w:tcBorders>
              <w:top w:val="single" w:sz="4" w:space="0" w:color="auto"/>
            </w:tcBorders>
          </w:tcPr>
          <w:p w14:paraId="7C7458ED" w14:textId="77777777" w:rsidR="00652235" w:rsidRPr="000537B0" w:rsidRDefault="00652235" w:rsidP="00F11AFE">
            <w:pPr>
              <w:pStyle w:val="Tabletext"/>
            </w:pPr>
            <w:r w:rsidRPr="000537B0">
              <w:rPr>
                <w:rFonts w:cs="Arial"/>
              </w:rPr>
              <w:t>MBS Item</w:t>
            </w:r>
          </w:p>
        </w:tc>
        <w:tc>
          <w:tcPr>
            <w:tcW w:w="1134" w:type="dxa"/>
            <w:tcBorders>
              <w:top w:val="single" w:sz="4" w:space="0" w:color="auto"/>
            </w:tcBorders>
          </w:tcPr>
          <w:p w14:paraId="168489CA" w14:textId="77777777" w:rsidR="00652235" w:rsidRPr="000537B0" w:rsidRDefault="00652235" w:rsidP="00F11AFE">
            <w:pPr>
              <w:pStyle w:val="Tabletext"/>
            </w:pPr>
            <w:r w:rsidRPr="000537B0">
              <w:rPr>
                <w:rFonts w:cs="Arial"/>
              </w:rPr>
              <w:t>Fee</w:t>
            </w:r>
          </w:p>
        </w:tc>
        <w:tc>
          <w:tcPr>
            <w:tcW w:w="1276" w:type="dxa"/>
            <w:tcBorders>
              <w:top w:val="single" w:sz="4" w:space="0" w:color="auto"/>
            </w:tcBorders>
          </w:tcPr>
          <w:p w14:paraId="75A6D070" w14:textId="77777777" w:rsidR="00652235" w:rsidRPr="000537B0" w:rsidRDefault="00652235" w:rsidP="00F11AFE">
            <w:pPr>
              <w:pStyle w:val="Tabletext"/>
            </w:pPr>
            <w:r w:rsidRPr="000537B0">
              <w:t>Health Fund</w:t>
            </w:r>
          </w:p>
        </w:tc>
        <w:tc>
          <w:tcPr>
            <w:tcW w:w="1134" w:type="dxa"/>
            <w:tcBorders>
              <w:top w:val="single" w:sz="4" w:space="0" w:color="auto"/>
            </w:tcBorders>
          </w:tcPr>
          <w:p w14:paraId="1B975286" w14:textId="77777777" w:rsidR="00652235" w:rsidRPr="000537B0" w:rsidRDefault="00652235" w:rsidP="00F11AFE">
            <w:pPr>
              <w:pStyle w:val="Tabletext"/>
            </w:pPr>
            <w:r w:rsidRPr="000537B0">
              <w:t>Medicare</w:t>
            </w:r>
          </w:p>
        </w:tc>
      </w:tr>
      <w:tr w:rsidR="00652235" w:rsidRPr="000537B0" w14:paraId="51BDE9F4" w14:textId="77777777" w:rsidTr="00F11AFE">
        <w:tc>
          <w:tcPr>
            <w:tcW w:w="4219" w:type="dxa"/>
          </w:tcPr>
          <w:p w14:paraId="650A42EC" w14:textId="77777777" w:rsidR="00652235" w:rsidRPr="000537B0" w:rsidRDefault="00652235" w:rsidP="00F11AFE">
            <w:pPr>
              <w:pStyle w:val="Tabletext"/>
            </w:pPr>
            <w:r w:rsidRPr="000537B0">
              <w:t>Pre-anaesthesia consultation</w:t>
            </w:r>
          </w:p>
        </w:tc>
        <w:tc>
          <w:tcPr>
            <w:tcW w:w="1134" w:type="dxa"/>
          </w:tcPr>
          <w:p w14:paraId="55B64A99" w14:textId="77777777" w:rsidR="00652235" w:rsidRPr="000537B0" w:rsidRDefault="00652235" w:rsidP="00F11AFE">
            <w:pPr>
              <w:pStyle w:val="Tabletext"/>
            </w:pPr>
            <w:r w:rsidRPr="000537B0">
              <w:t>17610</w:t>
            </w:r>
          </w:p>
        </w:tc>
        <w:tc>
          <w:tcPr>
            <w:tcW w:w="1134" w:type="dxa"/>
          </w:tcPr>
          <w:p w14:paraId="4D58BAE1" w14:textId="77777777" w:rsidR="00652235" w:rsidRPr="000537B0" w:rsidRDefault="00652235" w:rsidP="00F11AFE">
            <w:pPr>
              <w:pStyle w:val="Tabletext"/>
            </w:pPr>
            <w:r w:rsidRPr="000537B0">
              <w:t>$44.35</w:t>
            </w:r>
          </w:p>
        </w:tc>
        <w:tc>
          <w:tcPr>
            <w:tcW w:w="1276" w:type="dxa"/>
          </w:tcPr>
          <w:p w14:paraId="600627C6" w14:textId="77777777" w:rsidR="00652235" w:rsidRPr="000537B0" w:rsidRDefault="00652235" w:rsidP="00F11AFE">
            <w:pPr>
              <w:pStyle w:val="Tabletext"/>
            </w:pPr>
            <w:r w:rsidRPr="000537B0">
              <w:t>$11.05</w:t>
            </w:r>
          </w:p>
        </w:tc>
        <w:tc>
          <w:tcPr>
            <w:tcW w:w="1134" w:type="dxa"/>
          </w:tcPr>
          <w:p w14:paraId="6730AF31" w14:textId="77777777" w:rsidR="00652235" w:rsidRPr="000537B0" w:rsidRDefault="00652235" w:rsidP="00F11AFE">
            <w:pPr>
              <w:pStyle w:val="Tabletext"/>
            </w:pPr>
            <w:r w:rsidRPr="000537B0">
              <w:t>$33.30</w:t>
            </w:r>
          </w:p>
        </w:tc>
      </w:tr>
      <w:tr w:rsidR="00652235" w:rsidRPr="000537B0" w14:paraId="21FE9963" w14:textId="77777777" w:rsidTr="00F11AFE">
        <w:tc>
          <w:tcPr>
            <w:tcW w:w="4219" w:type="dxa"/>
          </w:tcPr>
          <w:p w14:paraId="7DC518D8" w14:textId="77777777" w:rsidR="00652235" w:rsidRPr="000537B0" w:rsidRDefault="00652235" w:rsidP="00F11AFE">
            <w:pPr>
              <w:pStyle w:val="Tabletext"/>
            </w:pPr>
            <w:r w:rsidRPr="000537B0">
              <w:t>Initiation of management of anaesthesia</w:t>
            </w:r>
          </w:p>
        </w:tc>
        <w:tc>
          <w:tcPr>
            <w:tcW w:w="1134" w:type="dxa"/>
          </w:tcPr>
          <w:p w14:paraId="0D570331" w14:textId="77777777" w:rsidR="00652235" w:rsidRPr="000537B0" w:rsidRDefault="00652235" w:rsidP="00F11AFE">
            <w:pPr>
              <w:pStyle w:val="Tabletext"/>
            </w:pPr>
            <w:r w:rsidRPr="00140FD6">
              <w:t>20902</w:t>
            </w:r>
            <w:r w:rsidRPr="00140FD6">
              <w:rPr>
                <w:vertAlign w:val="superscript"/>
              </w:rPr>
              <w:t xml:space="preserve"> a</w:t>
            </w:r>
          </w:p>
        </w:tc>
        <w:tc>
          <w:tcPr>
            <w:tcW w:w="1134" w:type="dxa"/>
          </w:tcPr>
          <w:p w14:paraId="5E2237DB" w14:textId="77777777" w:rsidR="00652235" w:rsidRPr="000537B0" w:rsidRDefault="00652235" w:rsidP="00F11AFE">
            <w:pPr>
              <w:pStyle w:val="Tabletext"/>
            </w:pPr>
            <w:r w:rsidRPr="000537B0">
              <w:t>$80.40</w:t>
            </w:r>
          </w:p>
        </w:tc>
        <w:tc>
          <w:tcPr>
            <w:tcW w:w="1276" w:type="dxa"/>
          </w:tcPr>
          <w:p w14:paraId="61C5AA38" w14:textId="77777777" w:rsidR="00652235" w:rsidRPr="000537B0" w:rsidRDefault="00652235" w:rsidP="00F11AFE">
            <w:pPr>
              <w:pStyle w:val="Tabletext"/>
            </w:pPr>
            <w:r w:rsidRPr="000537B0">
              <w:t>$20.10</w:t>
            </w:r>
          </w:p>
        </w:tc>
        <w:tc>
          <w:tcPr>
            <w:tcW w:w="1134" w:type="dxa"/>
          </w:tcPr>
          <w:p w14:paraId="77200221" w14:textId="77777777" w:rsidR="00652235" w:rsidRPr="000537B0" w:rsidRDefault="00652235" w:rsidP="00F11AFE">
            <w:pPr>
              <w:pStyle w:val="Tabletext"/>
            </w:pPr>
            <w:r w:rsidRPr="000537B0">
              <w:t>$60.30</w:t>
            </w:r>
          </w:p>
        </w:tc>
      </w:tr>
      <w:tr w:rsidR="00652235" w:rsidRPr="000537B0" w14:paraId="3DB64243" w14:textId="77777777" w:rsidTr="00F11AFE">
        <w:tc>
          <w:tcPr>
            <w:tcW w:w="4219" w:type="dxa"/>
          </w:tcPr>
          <w:p w14:paraId="3F4F25EF" w14:textId="77777777" w:rsidR="00652235" w:rsidRPr="000537B0" w:rsidRDefault="00652235" w:rsidP="00F11AFE">
            <w:pPr>
              <w:pStyle w:val="Tabletext"/>
            </w:pPr>
            <w:r w:rsidRPr="000537B0">
              <w:t>Anaesthesia – time (61-75 minutes)</w:t>
            </w:r>
          </w:p>
        </w:tc>
        <w:tc>
          <w:tcPr>
            <w:tcW w:w="1134" w:type="dxa"/>
          </w:tcPr>
          <w:p w14:paraId="5A6F19CA" w14:textId="77777777" w:rsidR="00652235" w:rsidRPr="000537B0" w:rsidRDefault="00652235" w:rsidP="00F11AFE">
            <w:pPr>
              <w:pStyle w:val="Tabletext"/>
            </w:pPr>
            <w:r w:rsidRPr="000537B0">
              <w:t xml:space="preserve">23055 </w:t>
            </w:r>
          </w:p>
        </w:tc>
        <w:tc>
          <w:tcPr>
            <w:tcW w:w="1134" w:type="dxa"/>
          </w:tcPr>
          <w:p w14:paraId="733D3DA9" w14:textId="77777777" w:rsidR="00652235" w:rsidRPr="000537B0" w:rsidRDefault="00652235" w:rsidP="00F11AFE">
            <w:pPr>
              <w:pStyle w:val="Tabletext"/>
            </w:pPr>
            <w:r w:rsidRPr="000537B0">
              <w:t>$100.50</w:t>
            </w:r>
          </w:p>
        </w:tc>
        <w:tc>
          <w:tcPr>
            <w:tcW w:w="1276" w:type="dxa"/>
          </w:tcPr>
          <w:p w14:paraId="0F737016" w14:textId="77777777" w:rsidR="00652235" w:rsidRPr="000537B0" w:rsidRDefault="00652235" w:rsidP="00F11AFE">
            <w:pPr>
              <w:pStyle w:val="Tabletext"/>
            </w:pPr>
            <w:r w:rsidRPr="000537B0">
              <w:t>$25.10</w:t>
            </w:r>
          </w:p>
        </w:tc>
        <w:tc>
          <w:tcPr>
            <w:tcW w:w="1134" w:type="dxa"/>
          </w:tcPr>
          <w:p w14:paraId="5A9FC0DA" w14:textId="77777777" w:rsidR="00652235" w:rsidRPr="000537B0" w:rsidRDefault="00652235" w:rsidP="00F11AFE">
            <w:pPr>
              <w:pStyle w:val="Tabletext"/>
            </w:pPr>
            <w:r w:rsidRPr="000537B0">
              <w:t>$75.40</w:t>
            </w:r>
          </w:p>
        </w:tc>
      </w:tr>
      <w:tr w:rsidR="00652235" w:rsidRPr="000537B0" w14:paraId="0A64506A" w14:textId="77777777" w:rsidTr="00F11AFE">
        <w:tc>
          <w:tcPr>
            <w:tcW w:w="4219" w:type="dxa"/>
          </w:tcPr>
          <w:p w14:paraId="1418E0BB" w14:textId="77777777" w:rsidR="00652235" w:rsidRPr="000537B0" w:rsidRDefault="00652235" w:rsidP="00F11AFE">
            <w:pPr>
              <w:pStyle w:val="Tabletext"/>
            </w:pPr>
            <w:r w:rsidRPr="000537B0">
              <w:t>Procedure – surgeon</w:t>
            </w:r>
          </w:p>
        </w:tc>
        <w:tc>
          <w:tcPr>
            <w:tcW w:w="1134" w:type="dxa"/>
          </w:tcPr>
          <w:p w14:paraId="197217FD" w14:textId="77777777" w:rsidR="00652235" w:rsidRPr="000537B0" w:rsidRDefault="00652235" w:rsidP="00F11AFE">
            <w:pPr>
              <w:pStyle w:val="Tabletext"/>
            </w:pPr>
            <w:r w:rsidRPr="000537B0">
              <w:t>37207</w:t>
            </w:r>
          </w:p>
        </w:tc>
        <w:tc>
          <w:tcPr>
            <w:tcW w:w="1134" w:type="dxa"/>
          </w:tcPr>
          <w:p w14:paraId="490F0546" w14:textId="77777777" w:rsidR="00652235" w:rsidRPr="000537B0" w:rsidRDefault="00652235" w:rsidP="00F11AFE">
            <w:pPr>
              <w:pStyle w:val="Tabletext"/>
            </w:pPr>
            <w:r w:rsidRPr="000537B0">
              <w:t>$1,058.80</w:t>
            </w:r>
          </w:p>
        </w:tc>
        <w:tc>
          <w:tcPr>
            <w:tcW w:w="1276" w:type="dxa"/>
          </w:tcPr>
          <w:p w14:paraId="604A2964" w14:textId="77777777" w:rsidR="00652235" w:rsidRPr="000537B0" w:rsidRDefault="00652235" w:rsidP="00F11AFE">
            <w:pPr>
              <w:pStyle w:val="Tabletext"/>
            </w:pPr>
            <w:r w:rsidRPr="000537B0">
              <w:t>$264.70</w:t>
            </w:r>
          </w:p>
        </w:tc>
        <w:tc>
          <w:tcPr>
            <w:tcW w:w="1134" w:type="dxa"/>
          </w:tcPr>
          <w:p w14:paraId="1822CECD" w14:textId="77777777" w:rsidR="00652235" w:rsidRPr="000537B0" w:rsidRDefault="00652235" w:rsidP="00F11AFE">
            <w:pPr>
              <w:pStyle w:val="Tabletext"/>
            </w:pPr>
            <w:r w:rsidRPr="000537B0">
              <w:t>$794.10</w:t>
            </w:r>
          </w:p>
        </w:tc>
      </w:tr>
      <w:tr w:rsidR="00652235" w:rsidRPr="000537B0" w14:paraId="5716C6DC" w14:textId="77777777" w:rsidTr="00F11AFE">
        <w:tc>
          <w:tcPr>
            <w:tcW w:w="4219" w:type="dxa"/>
          </w:tcPr>
          <w:p w14:paraId="456D9FFD" w14:textId="77777777" w:rsidR="00652235" w:rsidRPr="000537B0" w:rsidRDefault="00652235" w:rsidP="00F11AFE">
            <w:pPr>
              <w:pStyle w:val="Tabletext"/>
            </w:pPr>
            <w:r w:rsidRPr="000537B0">
              <w:t>Theatre – Band 2</w:t>
            </w:r>
          </w:p>
        </w:tc>
        <w:tc>
          <w:tcPr>
            <w:tcW w:w="1134" w:type="dxa"/>
          </w:tcPr>
          <w:p w14:paraId="199F9091" w14:textId="77777777" w:rsidR="00652235" w:rsidRPr="000537B0" w:rsidRDefault="00652235" w:rsidP="00F11AFE">
            <w:pPr>
              <w:pStyle w:val="Tabletext"/>
            </w:pPr>
          </w:p>
        </w:tc>
        <w:tc>
          <w:tcPr>
            <w:tcW w:w="1134" w:type="dxa"/>
          </w:tcPr>
          <w:p w14:paraId="1979D47C" w14:textId="77777777" w:rsidR="00652235" w:rsidRPr="000537B0" w:rsidRDefault="00652235" w:rsidP="00F11AFE">
            <w:pPr>
              <w:pStyle w:val="Tabletext"/>
            </w:pPr>
            <w:r w:rsidRPr="000537B0">
              <w:t>$617.30</w:t>
            </w:r>
          </w:p>
        </w:tc>
        <w:tc>
          <w:tcPr>
            <w:tcW w:w="1276" w:type="dxa"/>
          </w:tcPr>
          <w:p w14:paraId="71D9494C" w14:textId="77777777" w:rsidR="00652235" w:rsidRPr="000537B0" w:rsidRDefault="00652235" w:rsidP="00F11AFE">
            <w:pPr>
              <w:pStyle w:val="Tabletext"/>
            </w:pPr>
            <w:r w:rsidRPr="000537B0">
              <w:t>$617.30</w:t>
            </w:r>
          </w:p>
        </w:tc>
        <w:tc>
          <w:tcPr>
            <w:tcW w:w="1134" w:type="dxa"/>
          </w:tcPr>
          <w:p w14:paraId="37DDE7EA" w14:textId="77777777" w:rsidR="00652235" w:rsidRPr="000537B0" w:rsidRDefault="00652235" w:rsidP="00F11AFE">
            <w:pPr>
              <w:pStyle w:val="Tabletext"/>
            </w:pPr>
            <w:r w:rsidRPr="000537B0">
              <w:t>$0.00</w:t>
            </w:r>
          </w:p>
        </w:tc>
      </w:tr>
      <w:tr w:rsidR="00652235" w:rsidRPr="000537B0" w14:paraId="18551B8C" w14:textId="77777777" w:rsidTr="00F11AFE">
        <w:tc>
          <w:tcPr>
            <w:tcW w:w="4219" w:type="dxa"/>
          </w:tcPr>
          <w:p w14:paraId="1FD7D15F" w14:textId="77777777" w:rsidR="00652235" w:rsidRPr="000537B0" w:rsidRDefault="00652235" w:rsidP="00F11AFE">
            <w:pPr>
              <w:pStyle w:val="Tabletext"/>
            </w:pPr>
            <w:r w:rsidRPr="000537B0">
              <w:t>Bed-days  -  two days</w:t>
            </w:r>
          </w:p>
        </w:tc>
        <w:tc>
          <w:tcPr>
            <w:tcW w:w="1134" w:type="dxa"/>
          </w:tcPr>
          <w:p w14:paraId="3587EF1F" w14:textId="77777777" w:rsidR="00652235" w:rsidRPr="000537B0" w:rsidRDefault="00652235" w:rsidP="00F11AFE">
            <w:pPr>
              <w:pStyle w:val="Tabletext"/>
            </w:pPr>
          </w:p>
        </w:tc>
        <w:tc>
          <w:tcPr>
            <w:tcW w:w="1134" w:type="dxa"/>
          </w:tcPr>
          <w:p w14:paraId="3AED4849" w14:textId="77777777" w:rsidR="00652235" w:rsidRPr="000537B0" w:rsidRDefault="00652235" w:rsidP="00F11AFE">
            <w:pPr>
              <w:pStyle w:val="Tabletext"/>
            </w:pPr>
            <w:r w:rsidRPr="000537B0">
              <w:t>$1,578.20</w:t>
            </w:r>
          </w:p>
        </w:tc>
        <w:tc>
          <w:tcPr>
            <w:tcW w:w="1276" w:type="dxa"/>
          </w:tcPr>
          <w:p w14:paraId="3BFAF20F" w14:textId="77777777" w:rsidR="00652235" w:rsidRPr="000537B0" w:rsidRDefault="00652235" w:rsidP="00F11AFE">
            <w:pPr>
              <w:pStyle w:val="Tabletext"/>
            </w:pPr>
            <w:r w:rsidRPr="000537B0">
              <w:t>$1,578.20</w:t>
            </w:r>
          </w:p>
        </w:tc>
        <w:tc>
          <w:tcPr>
            <w:tcW w:w="1134" w:type="dxa"/>
          </w:tcPr>
          <w:p w14:paraId="2525059D" w14:textId="77777777" w:rsidR="00652235" w:rsidRPr="000537B0" w:rsidRDefault="00652235" w:rsidP="00F11AFE">
            <w:pPr>
              <w:pStyle w:val="Tabletext"/>
            </w:pPr>
            <w:r w:rsidRPr="000537B0">
              <w:t>$0.00</w:t>
            </w:r>
          </w:p>
        </w:tc>
      </w:tr>
      <w:tr w:rsidR="00652235" w:rsidRPr="000537B0" w14:paraId="67E33917" w14:textId="77777777" w:rsidTr="00F11AFE">
        <w:tc>
          <w:tcPr>
            <w:tcW w:w="4219" w:type="dxa"/>
          </w:tcPr>
          <w:p w14:paraId="140E9697" w14:textId="77777777" w:rsidR="00652235" w:rsidRPr="000537B0" w:rsidRDefault="00652235" w:rsidP="00F11AFE">
            <w:pPr>
              <w:pStyle w:val="Tabletext"/>
            </w:pPr>
            <w:r w:rsidRPr="000537B0">
              <w:t>Capital (5 years / 50 patients / 5%)</w:t>
            </w:r>
          </w:p>
        </w:tc>
        <w:tc>
          <w:tcPr>
            <w:tcW w:w="1134" w:type="dxa"/>
          </w:tcPr>
          <w:p w14:paraId="0EB3D256" w14:textId="77777777" w:rsidR="00652235" w:rsidRPr="000537B0" w:rsidRDefault="00652235" w:rsidP="00F11AFE">
            <w:pPr>
              <w:pStyle w:val="Tabletext"/>
            </w:pPr>
          </w:p>
        </w:tc>
        <w:tc>
          <w:tcPr>
            <w:tcW w:w="1134" w:type="dxa"/>
          </w:tcPr>
          <w:p w14:paraId="2398D88E" w14:textId="77777777" w:rsidR="00652235" w:rsidRPr="000537B0" w:rsidRDefault="00652235" w:rsidP="00F11AFE">
            <w:pPr>
              <w:pStyle w:val="Tabletext"/>
            </w:pPr>
            <w:r w:rsidRPr="000537B0">
              <w:t>$913.19</w:t>
            </w:r>
          </w:p>
        </w:tc>
        <w:tc>
          <w:tcPr>
            <w:tcW w:w="1276" w:type="dxa"/>
          </w:tcPr>
          <w:p w14:paraId="39B8729D" w14:textId="77777777" w:rsidR="00652235" w:rsidRPr="000537B0" w:rsidRDefault="00652235" w:rsidP="00F11AFE">
            <w:pPr>
              <w:pStyle w:val="Tabletext"/>
            </w:pPr>
            <w:r w:rsidRPr="000537B0">
              <w:t>$913.19</w:t>
            </w:r>
          </w:p>
        </w:tc>
        <w:tc>
          <w:tcPr>
            <w:tcW w:w="1134" w:type="dxa"/>
          </w:tcPr>
          <w:p w14:paraId="7411BF42" w14:textId="77777777" w:rsidR="00652235" w:rsidRPr="000537B0" w:rsidRDefault="00652235" w:rsidP="00F11AFE">
            <w:pPr>
              <w:pStyle w:val="Tabletext"/>
            </w:pPr>
            <w:r w:rsidRPr="000537B0">
              <w:t>$0.00</w:t>
            </w:r>
          </w:p>
        </w:tc>
      </w:tr>
      <w:tr w:rsidR="00652235" w:rsidRPr="000537B0" w14:paraId="02E9819C" w14:textId="77777777" w:rsidTr="00F11AFE">
        <w:tc>
          <w:tcPr>
            <w:tcW w:w="4219" w:type="dxa"/>
          </w:tcPr>
          <w:p w14:paraId="131219C6" w14:textId="77777777" w:rsidR="00652235" w:rsidRPr="000537B0" w:rsidRDefault="00652235" w:rsidP="00F11AFE">
            <w:pPr>
              <w:pStyle w:val="Tabletext"/>
            </w:pPr>
            <w:r w:rsidRPr="000537B0">
              <w:t>Annual service cost (50 patients)</w:t>
            </w:r>
          </w:p>
        </w:tc>
        <w:tc>
          <w:tcPr>
            <w:tcW w:w="1134" w:type="dxa"/>
          </w:tcPr>
          <w:p w14:paraId="3873826B" w14:textId="77777777" w:rsidR="00652235" w:rsidRPr="000537B0" w:rsidRDefault="00652235" w:rsidP="00F11AFE">
            <w:pPr>
              <w:pStyle w:val="Tabletext"/>
            </w:pPr>
          </w:p>
        </w:tc>
        <w:tc>
          <w:tcPr>
            <w:tcW w:w="1134" w:type="dxa"/>
          </w:tcPr>
          <w:p w14:paraId="425F1345" w14:textId="77777777" w:rsidR="00652235" w:rsidRPr="000537B0" w:rsidRDefault="00652235" w:rsidP="00F11AFE">
            <w:pPr>
              <w:pStyle w:val="Tabletext"/>
            </w:pPr>
            <w:r w:rsidRPr="000537B0">
              <w:t>$358.00</w:t>
            </w:r>
          </w:p>
        </w:tc>
        <w:tc>
          <w:tcPr>
            <w:tcW w:w="1276" w:type="dxa"/>
          </w:tcPr>
          <w:p w14:paraId="54731415" w14:textId="77777777" w:rsidR="00652235" w:rsidRPr="000537B0" w:rsidRDefault="00652235" w:rsidP="00F11AFE">
            <w:pPr>
              <w:pStyle w:val="Tabletext"/>
            </w:pPr>
            <w:r w:rsidRPr="000537B0">
              <w:t>$358.00</w:t>
            </w:r>
          </w:p>
        </w:tc>
        <w:tc>
          <w:tcPr>
            <w:tcW w:w="1134" w:type="dxa"/>
          </w:tcPr>
          <w:p w14:paraId="5DD6578C" w14:textId="77777777" w:rsidR="00652235" w:rsidRPr="000537B0" w:rsidRDefault="00652235" w:rsidP="00F11AFE">
            <w:pPr>
              <w:pStyle w:val="Tabletext"/>
            </w:pPr>
            <w:r w:rsidRPr="000537B0">
              <w:t>$0.00</w:t>
            </w:r>
          </w:p>
        </w:tc>
      </w:tr>
      <w:tr w:rsidR="00652235" w:rsidRPr="000537B0" w14:paraId="2842F3E4" w14:textId="77777777" w:rsidTr="00F11AFE">
        <w:tc>
          <w:tcPr>
            <w:tcW w:w="4219" w:type="dxa"/>
          </w:tcPr>
          <w:p w14:paraId="531DF8CA" w14:textId="77777777" w:rsidR="00652235" w:rsidRPr="000537B0" w:rsidRDefault="00652235" w:rsidP="00F11AFE">
            <w:pPr>
              <w:pStyle w:val="Tabletext"/>
            </w:pPr>
            <w:r w:rsidRPr="000537B0">
              <w:t>Fibre cost per patient (mean)</w:t>
            </w:r>
          </w:p>
        </w:tc>
        <w:tc>
          <w:tcPr>
            <w:tcW w:w="1134" w:type="dxa"/>
          </w:tcPr>
          <w:p w14:paraId="3FDE434A" w14:textId="77777777" w:rsidR="00652235" w:rsidRPr="000537B0" w:rsidRDefault="00652235" w:rsidP="00F11AFE">
            <w:pPr>
              <w:pStyle w:val="Tabletext"/>
            </w:pPr>
          </w:p>
        </w:tc>
        <w:tc>
          <w:tcPr>
            <w:tcW w:w="1134" w:type="dxa"/>
            <w:vAlign w:val="bottom"/>
          </w:tcPr>
          <w:p w14:paraId="4CC8398F" w14:textId="77777777" w:rsidR="00652235" w:rsidRPr="000537B0" w:rsidRDefault="00652235" w:rsidP="00F11AFE">
            <w:pPr>
              <w:pStyle w:val="Tabletext"/>
            </w:pPr>
            <w:r w:rsidRPr="000537B0">
              <w:t>$1,242.00</w:t>
            </w:r>
          </w:p>
        </w:tc>
        <w:tc>
          <w:tcPr>
            <w:tcW w:w="1276" w:type="dxa"/>
            <w:vAlign w:val="bottom"/>
          </w:tcPr>
          <w:p w14:paraId="38550E52" w14:textId="77777777" w:rsidR="00652235" w:rsidRPr="000537B0" w:rsidRDefault="00652235" w:rsidP="00F11AFE">
            <w:pPr>
              <w:pStyle w:val="Tabletext"/>
            </w:pPr>
            <w:r w:rsidRPr="000537B0">
              <w:t>$1,242.00</w:t>
            </w:r>
          </w:p>
        </w:tc>
        <w:tc>
          <w:tcPr>
            <w:tcW w:w="1134" w:type="dxa"/>
          </w:tcPr>
          <w:p w14:paraId="321344CB" w14:textId="77777777" w:rsidR="00652235" w:rsidRPr="000537B0" w:rsidRDefault="00652235" w:rsidP="00F11AFE">
            <w:pPr>
              <w:pStyle w:val="Tabletext"/>
            </w:pPr>
            <w:r w:rsidRPr="000537B0">
              <w:t>$0.00</w:t>
            </w:r>
          </w:p>
        </w:tc>
      </w:tr>
      <w:tr w:rsidR="00652235" w:rsidRPr="000537B0" w14:paraId="2DEC3C28" w14:textId="77777777" w:rsidTr="00F11AFE">
        <w:trPr>
          <w:trHeight w:val="238"/>
        </w:trPr>
        <w:tc>
          <w:tcPr>
            <w:tcW w:w="4219" w:type="dxa"/>
          </w:tcPr>
          <w:p w14:paraId="2B934AFF" w14:textId="77777777" w:rsidR="00652235" w:rsidRPr="000537B0" w:rsidRDefault="00652235" w:rsidP="00F11AFE">
            <w:pPr>
              <w:pStyle w:val="Tabletext"/>
            </w:pPr>
            <w:r w:rsidRPr="000537B0">
              <w:t>Total</w:t>
            </w:r>
          </w:p>
        </w:tc>
        <w:tc>
          <w:tcPr>
            <w:tcW w:w="1134" w:type="dxa"/>
          </w:tcPr>
          <w:p w14:paraId="4CB0D1F5" w14:textId="77777777" w:rsidR="00652235" w:rsidRPr="000537B0" w:rsidRDefault="00652235" w:rsidP="00F11AFE">
            <w:pPr>
              <w:pStyle w:val="Tabletext"/>
            </w:pPr>
          </w:p>
        </w:tc>
        <w:tc>
          <w:tcPr>
            <w:tcW w:w="1134" w:type="dxa"/>
          </w:tcPr>
          <w:p w14:paraId="36737C1F" w14:textId="77777777" w:rsidR="00652235" w:rsidRPr="000537B0" w:rsidRDefault="00652235" w:rsidP="00F11AFE">
            <w:pPr>
              <w:pStyle w:val="Tabletext"/>
            </w:pPr>
            <w:r w:rsidRPr="000537B0">
              <w:t>$5,992.74</w:t>
            </w:r>
          </w:p>
        </w:tc>
        <w:tc>
          <w:tcPr>
            <w:tcW w:w="1276" w:type="dxa"/>
          </w:tcPr>
          <w:p w14:paraId="076D7C1E" w14:textId="77777777" w:rsidR="00652235" w:rsidRPr="000537B0" w:rsidRDefault="00652235" w:rsidP="00F11AFE">
            <w:pPr>
              <w:pStyle w:val="Tabletext"/>
            </w:pPr>
            <w:r w:rsidRPr="000537B0">
              <w:t>$5,029.64</w:t>
            </w:r>
          </w:p>
        </w:tc>
        <w:tc>
          <w:tcPr>
            <w:tcW w:w="1134" w:type="dxa"/>
          </w:tcPr>
          <w:p w14:paraId="0E3F4FFC" w14:textId="77777777" w:rsidR="00652235" w:rsidRPr="000537B0" w:rsidRDefault="00652235" w:rsidP="00F11AFE">
            <w:pPr>
              <w:pStyle w:val="Tabletext"/>
            </w:pPr>
            <w:r w:rsidRPr="000537B0">
              <w:t>$963.10</w:t>
            </w:r>
          </w:p>
        </w:tc>
      </w:tr>
    </w:tbl>
    <w:p w14:paraId="5ACC9A8E" w14:textId="77777777" w:rsidR="00652235" w:rsidRPr="002A26B2" w:rsidRDefault="00652235" w:rsidP="00C11BBE">
      <w:pPr>
        <w:pStyle w:val="Tablenotes"/>
        <w:rPr>
          <w:rStyle w:val="CritiquetablenotesChar"/>
          <w:rFonts w:eastAsiaTheme="minorHAnsi"/>
          <w:color w:val="auto"/>
        </w:rPr>
      </w:pPr>
      <w:r w:rsidRPr="00140FD6">
        <w:rPr>
          <w:vertAlign w:val="superscript"/>
        </w:rPr>
        <w:t>a</w:t>
      </w:r>
      <w:r w:rsidRPr="00140FD6">
        <w:t xml:space="preserve"> The MBS item quoted is for anorectal procedures. If the number of units is considered reasonable, then it may be more appropriate to use MBS item 20910, which is also</w:t>
      </w:r>
      <w:r w:rsidRPr="002A26B2">
        <w:rPr>
          <w:i/>
        </w:rPr>
        <w:t xml:space="preserve"> for </w:t>
      </w:r>
      <w:r w:rsidRPr="002A26B2">
        <w:rPr>
          <w:rStyle w:val="CritiquetablenotesChar"/>
          <w:rFonts w:eastAsiaTheme="minorHAnsi"/>
          <w:color w:val="auto"/>
        </w:rPr>
        <w:t>transurethral procedures (noting that the same fee applies to both).</w:t>
      </w:r>
    </w:p>
    <w:p w14:paraId="45B48EC9" w14:textId="720CC282" w:rsidR="00652235" w:rsidRPr="00C11BBE" w:rsidRDefault="00652235" w:rsidP="00C11BBE">
      <w:pPr>
        <w:pStyle w:val="Tablenotes"/>
        <w:rPr>
          <w:rStyle w:val="CritiquetablenotesChar"/>
          <w:rFonts w:eastAsiaTheme="minorHAnsi"/>
          <w:color w:val="auto"/>
        </w:rPr>
      </w:pPr>
      <w:r w:rsidRPr="002A26B2">
        <w:rPr>
          <w:rStyle w:val="CritiquetablenotesChar"/>
          <w:rFonts w:eastAsiaTheme="minorHAnsi"/>
          <w:color w:val="auto"/>
        </w:rPr>
        <w:t>Source: Table 8, p24 of the commentary.</w:t>
      </w:r>
    </w:p>
    <w:p w14:paraId="3AD69F0B" w14:textId="77777777" w:rsidR="00652235" w:rsidRPr="00D863C8" w:rsidRDefault="00652235" w:rsidP="00D863C8">
      <w:pPr>
        <w:rPr>
          <w:rFonts w:ascii="Arial Narrow" w:eastAsiaTheme="minorHAnsi" w:hAnsi="Arial Narrow"/>
          <w:b/>
          <w:sz w:val="20"/>
        </w:rPr>
      </w:pPr>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14</w:t>
      </w:r>
      <w:r w:rsidR="00C11BBE" w:rsidRPr="00D863C8">
        <w:rPr>
          <w:rFonts w:ascii="Arial Narrow" w:hAnsi="Arial Narrow"/>
          <w:b/>
          <w:sz w:val="20"/>
        </w:rPr>
        <w:fldChar w:fldCharType="end"/>
      </w:r>
      <w:r w:rsidRPr="00D863C8">
        <w:rPr>
          <w:rFonts w:ascii="Arial Narrow" w:hAnsi="Arial Narrow"/>
          <w:b/>
          <w:sz w:val="20"/>
        </w:rPr>
        <w:t xml:space="preserve"> </w:t>
      </w:r>
      <w:r w:rsidRPr="00D863C8">
        <w:rPr>
          <w:rFonts w:ascii="Arial Narrow" w:eastAsiaTheme="minorHAnsi" w:hAnsi="Arial Narrow"/>
          <w:b/>
          <w:sz w:val="20"/>
        </w:rPr>
        <w:t>Capital calculations</w:t>
      </w:r>
    </w:p>
    <w:tbl>
      <w:tblPr>
        <w:tblStyle w:val="TableGrid5"/>
        <w:tblW w:w="0" w:type="auto"/>
        <w:tblInd w:w="-5" w:type="dxa"/>
        <w:tblLook w:val="04A0" w:firstRow="1" w:lastRow="0" w:firstColumn="1" w:lastColumn="0" w:noHBand="0" w:noVBand="1"/>
        <w:tblDescription w:val="Capital calculations"/>
      </w:tblPr>
      <w:tblGrid>
        <w:gridCol w:w="3499"/>
        <w:gridCol w:w="1418"/>
      </w:tblGrid>
      <w:tr w:rsidR="00652235" w:rsidRPr="000537B0" w14:paraId="73B191B1" w14:textId="77777777" w:rsidTr="00221228">
        <w:trPr>
          <w:tblHeader/>
        </w:trPr>
        <w:tc>
          <w:tcPr>
            <w:tcW w:w="3499" w:type="dxa"/>
          </w:tcPr>
          <w:p w14:paraId="56A043A9" w14:textId="77777777" w:rsidR="00652235" w:rsidRPr="000537B0" w:rsidRDefault="00652235" w:rsidP="00F11AFE">
            <w:pPr>
              <w:pStyle w:val="Tabletext"/>
            </w:pPr>
            <w:r w:rsidRPr="000537B0">
              <w:t>Laser machine</w:t>
            </w:r>
          </w:p>
        </w:tc>
        <w:tc>
          <w:tcPr>
            <w:tcW w:w="1418" w:type="dxa"/>
          </w:tcPr>
          <w:p w14:paraId="5D507BFD" w14:textId="77777777" w:rsidR="00652235" w:rsidRPr="000537B0" w:rsidRDefault="00652235" w:rsidP="00F11AFE">
            <w:pPr>
              <w:pStyle w:val="Tabletext"/>
            </w:pPr>
            <w:r w:rsidRPr="000537B0">
              <w:t>$166,000.00</w:t>
            </w:r>
          </w:p>
        </w:tc>
      </w:tr>
      <w:tr w:rsidR="00652235" w:rsidRPr="000537B0" w14:paraId="20AABD0A" w14:textId="77777777" w:rsidTr="00A250BF">
        <w:tc>
          <w:tcPr>
            <w:tcW w:w="3499" w:type="dxa"/>
          </w:tcPr>
          <w:p w14:paraId="7E2F2C02" w14:textId="77777777" w:rsidR="00652235" w:rsidRPr="000537B0" w:rsidRDefault="00652235" w:rsidP="00F11AFE">
            <w:pPr>
              <w:pStyle w:val="Tabletext"/>
            </w:pPr>
            <w:r w:rsidRPr="000537B0">
              <w:t>Four cystoscopes and adapter</w:t>
            </w:r>
          </w:p>
        </w:tc>
        <w:tc>
          <w:tcPr>
            <w:tcW w:w="1418" w:type="dxa"/>
          </w:tcPr>
          <w:p w14:paraId="72B83A8A" w14:textId="77777777" w:rsidR="00652235" w:rsidRPr="000537B0" w:rsidRDefault="00652235" w:rsidP="00F11AFE">
            <w:pPr>
              <w:pStyle w:val="Tabletext"/>
            </w:pPr>
            <w:r w:rsidRPr="000537B0">
              <w:t>$9,994.00</w:t>
            </w:r>
          </w:p>
        </w:tc>
      </w:tr>
      <w:tr w:rsidR="00652235" w:rsidRPr="000537B0" w14:paraId="4BD0CE40" w14:textId="77777777" w:rsidTr="00A250BF">
        <w:tc>
          <w:tcPr>
            <w:tcW w:w="3499" w:type="dxa"/>
          </w:tcPr>
          <w:p w14:paraId="5122FAAE" w14:textId="77777777" w:rsidR="00652235" w:rsidRPr="000537B0" w:rsidRDefault="00652235" w:rsidP="00F11AFE">
            <w:pPr>
              <w:pStyle w:val="Tabletext"/>
            </w:pPr>
            <w:r w:rsidRPr="000537B0">
              <w:t>Alterations to theatres</w:t>
            </w:r>
          </w:p>
        </w:tc>
        <w:tc>
          <w:tcPr>
            <w:tcW w:w="1418" w:type="dxa"/>
          </w:tcPr>
          <w:p w14:paraId="45F7BB14" w14:textId="77777777" w:rsidR="00652235" w:rsidRPr="000537B0" w:rsidRDefault="00652235" w:rsidP="00F11AFE">
            <w:pPr>
              <w:pStyle w:val="Tabletext"/>
            </w:pPr>
            <w:r w:rsidRPr="000537B0">
              <w:t>$1,000.00</w:t>
            </w:r>
          </w:p>
        </w:tc>
      </w:tr>
      <w:tr w:rsidR="00652235" w:rsidRPr="000537B0" w14:paraId="2E48ECC1" w14:textId="77777777" w:rsidTr="00A250BF">
        <w:tc>
          <w:tcPr>
            <w:tcW w:w="3499" w:type="dxa"/>
          </w:tcPr>
          <w:p w14:paraId="24853AE1" w14:textId="77777777" w:rsidR="00652235" w:rsidRPr="000537B0" w:rsidRDefault="00652235" w:rsidP="00F11AFE">
            <w:pPr>
              <w:pStyle w:val="Tabletext"/>
            </w:pPr>
            <w:r w:rsidRPr="000537B0">
              <w:t>Total capital (2013 values)</w:t>
            </w:r>
          </w:p>
        </w:tc>
        <w:tc>
          <w:tcPr>
            <w:tcW w:w="1418" w:type="dxa"/>
          </w:tcPr>
          <w:p w14:paraId="2630841C" w14:textId="77777777" w:rsidR="00652235" w:rsidRPr="000537B0" w:rsidRDefault="00652235" w:rsidP="00F11AFE">
            <w:pPr>
              <w:pStyle w:val="Tabletext"/>
            </w:pPr>
            <w:r w:rsidRPr="000537B0">
              <w:t>$176,994.00</w:t>
            </w:r>
          </w:p>
        </w:tc>
      </w:tr>
      <w:tr w:rsidR="00652235" w:rsidRPr="000537B0" w14:paraId="1C790F8D" w14:textId="77777777" w:rsidTr="00A250BF">
        <w:tc>
          <w:tcPr>
            <w:tcW w:w="3499" w:type="dxa"/>
          </w:tcPr>
          <w:p w14:paraId="3EAF8600" w14:textId="77777777" w:rsidR="00652235" w:rsidRPr="000537B0" w:rsidRDefault="00652235" w:rsidP="00F11AFE">
            <w:pPr>
              <w:pStyle w:val="Tabletext"/>
            </w:pPr>
            <w:r w:rsidRPr="000537B0">
              <w:t>Total capital (2019 values)*</w:t>
            </w:r>
          </w:p>
        </w:tc>
        <w:tc>
          <w:tcPr>
            <w:tcW w:w="1418" w:type="dxa"/>
          </w:tcPr>
          <w:p w14:paraId="6EB47854" w14:textId="77777777" w:rsidR="00652235" w:rsidRPr="000537B0" w:rsidRDefault="00652235" w:rsidP="00F11AFE">
            <w:pPr>
              <w:pStyle w:val="Tabletext"/>
            </w:pPr>
            <w:r w:rsidRPr="000537B0">
              <w:t>$196,251.00</w:t>
            </w:r>
          </w:p>
        </w:tc>
      </w:tr>
      <w:tr w:rsidR="00652235" w:rsidRPr="000537B0" w14:paraId="44F6FAE2" w14:textId="77777777" w:rsidTr="00A250BF">
        <w:tc>
          <w:tcPr>
            <w:tcW w:w="3499" w:type="dxa"/>
          </w:tcPr>
          <w:p w14:paraId="6B565063" w14:textId="77777777" w:rsidR="00652235" w:rsidRPr="000537B0" w:rsidRDefault="00652235" w:rsidP="00F11AFE">
            <w:pPr>
              <w:pStyle w:val="Tabletext"/>
            </w:pPr>
            <w:r w:rsidRPr="000537B0">
              <w:t>Annual cost (discounted @ 5%)</w:t>
            </w:r>
          </w:p>
        </w:tc>
        <w:tc>
          <w:tcPr>
            <w:tcW w:w="1418" w:type="dxa"/>
          </w:tcPr>
          <w:p w14:paraId="6956E0B2" w14:textId="77777777" w:rsidR="00652235" w:rsidRPr="000537B0" w:rsidRDefault="00652235" w:rsidP="00F11AFE">
            <w:pPr>
              <w:pStyle w:val="Tabletext"/>
            </w:pPr>
            <w:r w:rsidRPr="000537B0">
              <w:t>$45,659.28</w:t>
            </w:r>
          </w:p>
        </w:tc>
      </w:tr>
      <w:tr w:rsidR="00652235" w:rsidRPr="000537B0" w14:paraId="1C7CBB46" w14:textId="77777777" w:rsidTr="00A250BF">
        <w:tc>
          <w:tcPr>
            <w:tcW w:w="3499" w:type="dxa"/>
          </w:tcPr>
          <w:p w14:paraId="5203915C" w14:textId="77777777" w:rsidR="00652235" w:rsidRPr="000537B0" w:rsidRDefault="00652235" w:rsidP="00F11AFE">
            <w:pPr>
              <w:pStyle w:val="Tabletext"/>
            </w:pPr>
            <w:r w:rsidRPr="000537B0">
              <w:t>Annual cost per patient (50 patients)</w:t>
            </w:r>
          </w:p>
        </w:tc>
        <w:tc>
          <w:tcPr>
            <w:tcW w:w="1418" w:type="dxa"/>
          </w:tcPr>
          <w:p w14:paraId="6DEC476B" w14:textId="77777777" w:rsidR="00652235" w:rsidRPr="000537B0" w:rsidRDefault="00652235" w:rsidP="00F11AFE">
            <w:pPr>
              <w:pStyle w:val="Tabletext"/>
            </w:pPr>
            <w:r w:rsidRPr="000537B0">
              <w:t>$913.19</w:t>
            </w:r>
          </w:p>
        </w:tc>
      </w:tr>
      <w:tr w:rsidR="00652235" w:rsidRPr="000537B0" w14:paraId="56498501" w14:textId="77777777" w:rsidTr="00A250BF">
        <w:tc>
          <w:tcPr>
            <w:tcW w:w="3499" w:type="dxa"/>
          </w:tcPr>
          <w:p w14:paraId="78293961" w14:textId="77777777" w:rsidR="00652235" w:rsidRPr="000537B0" w:rsidRDefault="00652235" w:rsidP="00F11AFE">
            <w:pPr>
              <w:pStyle w:val="Tabletext"/>
            </w:pPr>
            <w:r w:rsidRPr="000537B0">
              <w:t>Annual maintenance contract</w:t>
            </w:r>
          </w:p>
        </w:tc>
        <w:tc>
          <w:tcPr>
            <w:tcW w:w="1418" w:type="dxa"/>
          </w:tcPr>
          <w:p w14:paraId="608B2CFB" w14:textId="77777777" w:rsidR="00652235" w:rsidRPr="000537B0" w:rsidRDefault="00652235" w:rsidP="00F11AFE">
            <w:pPr>
              <w:pStyle w:val="Tabletext"/>
            </w:pPr>
            <w:r w:rsidRPr="000537B0">
              <w:t>$1,7900.00</w:t>
            </w:r>
          </w:p>
        </w:tc>
      </w:tr>
      <w:tr w:rsidR="00652235" w:rsidRPr="000537B0" w14:paraId="14F65B62" w14:textId="77777777" w:rsidTr="00A250BF">
        <w:tc>
          <w:tcPr>
            <w:tcW w:w="3499" w:type="dxa"/>
          </w:tcPr>
          <w:p w14:paraId="5D805FD0" w14:textId="77777777" w:rsidR="00652235" w:rsidRPr="000537B0" w:rsidRDefault="00652235" w:rsidP="00F11AFE">
            <w:pPr>
              <w:pStyle w:val="Tabletext"/>
            </w:pPr>
            <w:r w:rsidRPr="000537B0">
              <w:t>Annual maintenance per patient</w:t>
            </w:r>
          </w:p>
        </w:tc>
        <w:tc>
          <w:tcPr>
            <w:tcW w:w="1418" w:type="dxa"/>
          </w:tcPr>
          <w:p w14:paraId="20E89059" w14:textId="77777777" w:rsidR="00652235" w:rsidRPr="000537B0" w:rsidRDefault="00652235" w:rsidP="00F11AFE">
            <w:pPr>
              <w:pStyle w:val="Tabletext"/>
            </w:pPr>
            <w:r w:rsidRPr="000537B0">
              <w:t>$358.00</w:t>
            </w:r>
          </w:p>
        </w:tc>
      </w:tr>
    </w:tbl>
    <w:p w14:paraId="77CE4B0E" w14:textId="77777777" w:rsidR="00A250BF" w:rsidRDefault="00652235" w:rsidP="00A250BF">
      <w:pPr>
        <w:pStyle w:val="Tablenotes1"/>
        <w:rPr>
          <w:rFonts w:eastAsiaTheme="minorHAnsi"/>
        </w:rPr>
      </w:pPr>
      <w:r w:rsidRPr="00140FD6">
        <w:rPr>
          <w:rFonts w:eastAsiaTheme="minorHAnsi"/>
        </w:rPr>
        <w:t>* CPI increase 2013 to 2019 = 10.88%</w:t>
      </w:r>
    </w:p>
    <w:p w14:paraId="0D401756" w14:textId="25A123FE" w:rsidR="00250EF2" w:rsidRPr="00250EF2" w:rsidRDefault="00250EF2" w:rsidP="00250EF2">
      <w:pPr>
        <w:pStyle w:val="Tablenotes1"/>
        <w:rPr>
          <w:snapToGrid/>
        </w:rPr>
      </w:pPr>
      <w:r>
        <w:rPr>
          <w:rStyle w:val="CritiquetablenotesChar"/>
          <w:i w:val="0"/>
          <w:color w:val="auto"/>
        </w:rPr>
        <w:t>Source: p25 of the commentary.</w:t>
      </w:r>
      <w:r>
        <w:br w:type="page"/>
      </w:r>
    </w:p>
    <w:p w14:paraId="340648E7" w14:textId="46CEF955" w:rsidR="00652235" w:rsidRPr="00D863C8" w:rsidRDefault="00652235" w:rsidP="00D863C8">
      <w:pPr>
        <w:rPr>
          <w:u w:val="single"/>
        </w:rPr>
      </w:pPr>
      <w:r w:rsidRPr="00D863C8">
        <w:rPr>
          <w:u w:val="single"/>
        </w:rPr>
        <w:lastRenderedPageBreak/>
        <w:t>PUL relative to TURP and VLAP</w:t>
      </w:r>
    </w:p>
    <w:p w14:paraId="70279471" w14:textId="77777777" w:rsidR="00652235" w:rsidRPr="00250EF2" w:rsidRDefault="00652235" w:rsidP="00250EF2">
      <w:pPr>
        <w:spacing w:before="240"/>
        <w:rPr>
          <w:rFonts w:ascii="Arial Narrow" w:hAnsi="Arial Narrow"/>
          <w:b/>
          <w:sz w:val="20"/>
        </w:rPr>
      </w:pPr>
      <w:bookmarkStart w:id="25" w:name="_Ref40972663"/>
      <w:r w:rsidRPr="00250EF2">
        <w:rPr>
          <w:rFonts w:ascii="Arial Narrow" w:hAnsi="Arial Narrow"/>
          <w:b/>
          <w:sz w:val="20"/>
        </w:rPr>
        <w:t xml:space="preserve">Table </w:t>
      </w:r>
      <w:r w:rsidR="00C11BBE" w:rsidRPr="00250EF2">
        <w:rPr>
          <w:rFonts w:ascii="Arial Narrow" w:hAnsi="Arial Narrow"/>
          <w:b/>
          <w:sz w:val="20"/>
        </w:rPr>
        <w:fldChar w:fldCharType="begin"/>
      </w:r>
      <w:r w:rsidR="00C11BBE" w:rsidRPr="00250EF2">
        <w:rPr>
          <w:rFonts w:ascii="Arial Narrow" w:hAnsi="Arial Narrow"/>
          <w:b/>
          <w:sz w:val="20"/>
        </w:rPr>
        <w:instrText xml:space="preserve"> SEQ Table \* ARABIC </w:instrText>
      </w:r>
      <w:r w:rsidR="00C11BBE" w:rsidRPr="00250EF2">
        <w:rPr>
          <w:rFonts w:ascii="Arial Narrow" w:hAnsi="Arial Narrow"/>
          <w:b/>
          <w:sz w:val="20"/>
        </w:rPr>
        <w:fldChar w:fldCharType="separate"/>
      </w:r>
      <w:r w:rsidRPr="00250EF2">
        <w:rPr>
          <w:rFonts w:ascii="Arial Narrow" w:hAnsi="Arial Narrow"/>
          <w:b/>
          <w:sz w:val="20"/>
        </w:rPr>
        <w:t>15</w:t>
      </w:r>
      <w:r w:rsidR="00C11BBE" w:rsidRPr="00250EF2">
        <w:rPr>
          <w:rFonts w:ascii="Arial Narrow" w:hAnsi="Arial Narrow"/>
          <w:b/>
          <w:sz w:val="20"/>
        </w:rPr>
        <w:fldChar w:fldCharType="end"/>
      </w:r>
      <w:bookmarkEnd w:id="25"/>
      <w:r w:rsidRPr="00250EF2">
        <w:rPr>
          <w:rFonts w:ascii="Arial Narrow" w:hAnsi="Arial Narrow"/>
          <w:b/>
          <w:sz w:val="20"/>
        </w:rPr>
        <w:t xml:space="preserve"> Disaggregated and aggregated incremental cost of PUL relative to TURP and VLAP</w:t>
      </w:r>
    </w:p>
    <w:tbl>
      <w:tblPr>
        <w:tblStyle w:val="TableGrid"/>
        <w:tblW w:w="0" w:type="auto"/>
        <w:tblLook w:val="04A0" w:firstRow="1" w:lastRow="0" w:firstColumn="1" w:lastColumn="0" w:noHBand="0" w:noVBand="1"/>
        <w:tblDescription w:val="Disaggregated and aggregated incremental cost of PUL relative to TURP and VLAP"/>
      </w:tblPr>
      <w:tblGrid>
        <w:gridCol w:w="2972"/>
        <w:gridCol w:w="1208"/>
        <w:gridCol w:w="1209"/>
        <w:gridCol w:w="1209"/>
        <w:gridCol w:w="1209"/>
        <w:gridCol w:w="1209"/>
      </w:tblGrid>
      <w:tr w:rsidR="00652235" w:rsidRPr="00D93FA3" w14:paraId="3CA469EA" w14:textId="77777777" w:rsidTr="00221228">
        <w:trPr>
          <w:tblHeader/>
        </w:trPr>
        <w:tc>
          <w:tcPr>
            <w:tcW w:w="2972" w:type="dxa"/>
            <w:tcBorders>
              <w:bottom w:val="single" w:sz="4" w:space="0" w:color="auto"/>
            </w:tcBorders>
          </w:tcPr>
          <w:p w14:paraId="39769AAD" w14:textId="77777777" w:rsidR="00652235" w:rsidRPr="00B30AFA" w:rsidRDefault="00652235" w:rsidP="00F11AFE">
            <w:pPr>
              <w:pStyle w:val="Critiquetabletext"/>
              <w:spacing w:before="0" w:after="0"/>
              <w:jc w:val="center"/>
              <w:rPr>
                <w:b/>
                <w:color w:val="auto"/>
              </w:rPr>
            </w:pPr>
          </w:p>
        </w:tc>
        <w:tc>
          <w:tcPr>
            <w:tcW w:w="1208" w:type="dxa"/>
            <w:tcBorders>
              <w:bottom w:val="single" w:sz="4" w:space="0" w:color="auto"/>
            </w:tcBorders>
          </w:tcPr>
          <w:p w14:paraId="1618C0C8" w14:textId="77777777" w:rsidR="00652235" w:rsidRPr="00B30AFA" w:rsidRDefault="00652235" w:rsidP="00F11AFE">
            <w:pPr>
              <w:pStyle w:val="Critiquetabletext"/>
              <w:spacing w:before="0" w:after="0"/>
              <w:jc w:val="center"/>
              <w:rPr>
                <w:b/>
                <w:color w:val="auto"/>
              </w:rPr>
            </w:pPr>
            <w:r w:rsidRPr="00B30AFA">
              <w:rPr>
                <w:b/>
                <w:color w:val="auto"/>
              </w:rPr>
              <w:t>PUL</w:t>
            </w:r>
          </w:p>
        </w:tc>
        <w:tc>
          <w:tcPr>
            <w:tcW w:w="1209" w:type="dxa"/>
            <w:tcBorders>
              <w:bottom w:val="single" w:sz="4" w:space="0" w:color="auto"/>
            </w:tcBorders>
          </w:tcPr>
          <w:p w14:paraId="4EA87BA4" w14:textId="77777777" w:rsidR="00652235" w:rsidRPr="00B30AFA" w:rsidRDefault="00652235" w:rsidP="00F11AFE">
            <w:pPr>
              <w:pStyle w:val="Critiquetabletext"/>
              <w:spacing w:before="0" w:after="0"/>
              <w:jc w:val="center"/>
              <w:rPr>
                <w:b/>
                <w:color w:val="auto"/>
              </w:rPr>
            </w:pPr>
            <w:r w:rsidRPr="00B30AFA">
              <w:rPr>
                <w:b/>
                <w:color w:val="auto"/>
              </w:rPr>
              <w:t>TURP</w:t>
            </w:r>
          </w:p>
        </w:tc>
        <w:tc>
          <w:tcPr>
            <w:tcW w:w="1209" w:type="dxa"/>
            <w:tcBorders>
              <w:bottom w:val="single" w:sz="4" w:space="0" w:color="auto"/>
            </w:tcBorders>
          </w:tcPr>
          <w:p w14:paraId="309C2B41" w14:textId="77777777" w:rsidR="00652235" w:rsidRPr="00B30AFA" w:rsidRDefault="00652235" w:rsidP="00F11AFE">
            <w:pPr>
              <w:pStyle w:val="Critiquetabletext"/>
              <w:spacing w:before="0" w:after="0"/>
              <w:jc w:val="center"/>
              <w:rPr>
                <w:b/>
                <w:color w:val="auto"/>
              </w:rPr>
            </w:pPr>
            <w:r w:rsidRPr="00B30AFA">
              <w:rPr>
                <w:b/>
                <w:color w:val="auto"/>
              </w:rPr>
              <w:t>Incremental cost of PUL</w:t>
            </w:r>
          </w:p>
        </w:tc>
        <w:tc>
          <w:tcPr>
            <w:tcW w:w="1209" w:type="dxa"/>
            <w:tcBorders>
              <w:bottom w:val="single" w:sz="4" w:space="0" w:color="auto"/>
            </w:tcBorders>
          </w:tcPr>
          <w:p w14:paraId="72342CEF" w14:textId="77777777" w:rsidR="00652235" w:rsidRPr="00B30AFA" w:rsidRDefault="00652235" w:rsidP="00F11AFE">
            <w:pPr>
              <w:pStyle w:val="Critiquetabletext"/>
              <w:spacing w:before="0" w:after="0"/>
              <w:jc w:val="center"/>
              <w:rPr>
                <w:b/>
                <w:color w:val="auto"/>
              </w:rPr>
            </w:pPr>
            <w:r w:rsidRPr="00B30AFA">
              <w:rPr>
                <w:b/>
                <w:color w:val="auto"/>
              </w:rPr>
              <w:t>VLAP</w:t>
            </w:r>
          </w:p>
        </w:tc>
        <w:tc>
          <w:tcPr>
            <w:tcW w:w="1209" w:type="dxa"/>
            <w:tcBorders>
              <w:bottom w:val="single" w:sz="4" w:space="0" w:color="auto"/>
            </w:tcBorders>
          </w:tcPr>
          <w:p w14:paraId="56ACC23C" w14:textId="77777777" w:rsidR="00652235" w:rsidRPr="00B30AFA" w:rsidRDefault="00652235" w:rsidP="00F11AFE">
            <w:pPr>
              <w:pStyle w:val="Critiquetabletext"/>
              <w:spacing w:before="0" w:after="0"/>
              <w:jc w:val="center"/>
              <w:rPr>
                <w:b/>
                <w:color w:val="auto"/>
              </w:rPr>
            </w:pPr>
            <w:r w:rsidRPr="00B30AFA">
              <w:rPr>
                <w:b/>
                <w:color w:val="auto"/>
              </w:rPr>
              <w:t>Incremental cost of PUL</w:t>
            </w:r>
          </w:p>
        </w:tc>
      </w:tr>
      <w:tr w:rsidR="00652235" w:rsidRPr="00D93FA3" w14:paraId="633C519F" w14:textId="77777777" w:rsidTr="00F11AFE">
        <w:tc>
          <w:tcPr>
            <w:tcW w:w="2972" w:type="dxa"/>
            <w:tcBorders>
              <w:bottom w:val="nil"/>
              <w:right w:val="single" w:sz="4" w:space="0" w:color="auto"/>
            </w:tcBorders>
          </w:tcPr>
          <w:p w14:paraId="0A8001FD" w14:textId="77777777" w:rsidR="00652235" w:rsidRPr="00B30AFA" w:rsidRDefault="00652235" w:rsidP="00F11AFE">
            <w:pPr>
              <w:pStyle w:val="Critiquetabletext"/>
              <w:spacing w:before="0" w:after="0"/>
              <w:rPr>
                <w:color w:val="auto"/>
              </w:rPr>
            </w:pPr>
            <w:r w:rsidRPr="00B30AFA">
              <w:rPr>
                <w:color w:val="auto"/>
              </w:rPr>
              <w:t>Procedure cost without complications</w:t>
            </w:r>
          </w:p>
        </w:tc>
        <w:tc>
          <w:tcPr>
            <w:tcW w:w="1208" w:type="dxa"/>
            <w:tcBorders>
              <w:left w:val="single" w:sz="4" w:space="0" w:color="auto"/>
              <w:bottom w:val="nil"/>
              <w:right w:val="single" w:sz="4" w:space="0" w:color="auto"/>
            </w:tcBorders>
          </w:tcPr>
          <w:p w14:paraId="6BD9016D" w14:textId="77777777" w:rsidR="00652235" w:rsidRPr="00B30AFA" w:rsidRDefault="00652235" w:rsidP="00F11AFE">
            <w:pPr>
              <w:pStyle w:val="Critiquetabletext"/>
              <w:spacing w:before="0" w:after="0"/>
              <w:jc w:val="right"/>
              <w:rPr>
                <w:color w:val="auto"/>
              </w:rPr>
            </w:pPr>
          </w:p>
        </w:tc>
        <w:tc>
          <w:tcPr>
            <w:tcW w:w="1209" w:type="dxa"/>
            <w:tcBorders>
              <w:left w:val="single" w:sz="4" w:space="0" w:color="auto"/>
              <w:bottom w:val="nil"/>
              <w:right w:val="single" w:sz="4" w:space="0" w:color="auto"/>
            </w:tcBorders>
          </w:tcPr>
          <w:p w14:paraId="7F18AD7A" w14:textId="77777777" w:rsidR="00652235" w:rsidRPr="00B30AFA" w:rsidRDefault="00652235" w:rsidP="00F11AFE">
            <w:pPr>
              <w:pStyle w:val="Critiquetabletext"/>
              <w:spacing w:before="0" w:after="0"/>
              <w:jc w:val="right"/>
              <w:rPr>
                <w:color w:val="auto"/>
              </w:rPr>
            </w:pPr>
          </w:p>
        </w:tc>
        <w:tc>
          <w:tcPr>
            <w:tcW w:w="1209" w:type="dxa"/>
            <w:tcBorders>
              <w:left w:val="single" w:sz="4" w:space="0" w:color="auto"/>
              <w:bottom w:val="nil"/>
              <w:right w:val="single" w:sz="4" w:space="0" w:color="auto"/>
            </w:tcBorders>
          </w:tcPr>
          <w:p w14:paraId="70C41D53" w14:textId="77777777" w:rsidR="00652235" w:rsidRPr="00B30AFA" w:rsidRDefault="00652235" w:rsidP="00F11AFE">
            <w:pPr>
              <w:pStyle w:val="Critiquetabletext"/>
              <w:spacing w:before="0" w:after="0"/>
              <w:jc w:val="right"/>
              <w:rPr>
                <w:color w:val="auto"/>
              </w:rPr>
            </w:pPr>
          </w:p>
        </w:tc>
        <w:tc>
          <w:tcPr>
            <w:tcW w:w="1209" w:type="dxa"/>
            <w:tcBorders>
              <w:left w:val="single" w:sz="4" w:space="0" w:color="auto"/>
              <w:bottom w:val="nil"/>
              <w:right w:val="single" w:sz="4" w:space="0" w:color="auto"/>
            </w:tcBorders>
          </w:tcPr>
          <w:p w14:paraId="2EA5EAAC" w14:textId="77777777" w:rsidR="00652235" w:rsidRPr="00B30AFA" w:rsidRDefault="00652235" w:rsidP="00F11AFE">
            <w:pPr>
              <w:pStyle w:val="Critiquetabletext"/>
              <w:spacing w:before="0" w:after="0"/>
              <w:jc w:val="right"/>
              <w:rPr>
                <w:color w:val="auto"/>
              </w:rPr>
            </w:pPr>
          </w:p>
        </w:tc>
        <w:tc>
          <w:tcPr>
            <w:tcW w:w="1209" w:type="dxa"/>
            <w:tcBorders>
              <w:left w:val="single" w:sz="4" w:space="0" w:color="auto"/>
              <w:bottom w:val="nil"/>
            </w:tcBorders>
          </w:tcPr>
          <w:p w14:paraId="2E288328" w14:textId="77777777" w:rsidR="00652235" w:rsidRPr="00B30AFA" w:rsidRDefault="00652235" w:rsidP="00F11AFE">
            <w:pPr>
              <w:pStyle w:val="Critiquetabletext"/>
              <w:spacing w:before="0" w:after="0"/>
              <w:jc w:val="right"/>
              <w:rPr>
                <w:color w:val="auto"/>
              </w:rPr>
            </w:pPr>
          </w:p>
        </w:tc>
      </w:tr>
      <w:tr w:rsidR="00652235" w:rsidRPr="00D93FA3" w14:paraId="237476BB" w14:textId="77777777" w:rsidTr="00F11AFE">
        <w:tc>
          <w:tcPr>
            <w:tcW w:w="2972" w:type="dxa"/>
            <w:tcBorders>
              <w:top w:val="nil"/>
              <w:bottom w:val="nil"/>
            </w:tcBorders>
          </w:tcPr>
          <w:p w14:paraId="1C143487"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Procedure costs</w:t>
            </w:r>
          </w:p>
        </w:tc>
        <w:tc>
          <w:tcPr>
            <w:tcW w:w="1208" w:type="dxa"/>
            <w:tcBorders>
              <w:top w:val="nil"/>
              <w:bottom w:val="nil"/>
            </w:tcBorders>
          </w:tcPr>
          <w:p w14:paraId="4E2FEADF" w14:textId="77777777" w:rsidR="00652235" w:rsidRPr="00B30AFA" w:rsidRDefault="00652235" w:rsidP="00F11AFE">
            <w:pPr>
              <w:pStyle w:val="Critiquetabletext"/>
              <w:spacing w:before="0" w:after="0"/>
              <w:jc w:val="right"/>
              <w:rPr>
                <w:color w:val="auto"/>
              </w:rPr>
            </w:pPr>
            <w:r w:rsidRPr="00B30AFA">
              <w:rPr>
                <w:color w:val="auto"/>
              </w:rPr>
              <w:t xml:space="preserve">$1,058.80 </w:t>
            </w:r>
            <w:r w:rsidRPr="00B30AFA">
              <w:rPr>
                <w:color w:val="auto"/>
                <w:vertAlign w:val="superscript"/>
              </w:rPr>
              <w:t>a</w:t>
            </w:r>
          </w:p>
        </w:tc>
        <w:tc>
          <w:tcPr>
            <w:tcW w:w="1209" w:type="dxa"/>
            <w:tcBorders>
              <w:top w:val="nil"/>
              <w:bottom w:val="nil"/>
            </w:tcBorders>
          </w:tcPr>
          <w:p w14:paraId="1F523FF6" w14:textId="77777777" w:rsidR="00652235" w:rsidRPr="00B30AFA" w:rsidRDefault="00652235" w:rsidP="00F11AFE">
            <w:pPr>
              <w:pStyle w:val="Critiquetabletext"/>
              <w:spacing w:before="0" w:after="0"/>
              <w:jc w:val="right"/>
              <w:rPr>
                <w:color w:val="auto"/>
              </w:rPr>
            </w:pPr>
            <w:r w:rsidRPr="00B30AFA">
              <w:rPr>
                <w:color w:val="auto"/>
              </w:rPr>
              <w:t>$1,058.80</w:t>
            </w:r>
          </w:p>
        </w:tc>
        <w:tc>
          <w:tcPr>
            <w:tcW w:w="1209" w:type="dxa"/>
            <w:tcBorders>
              <w:top w:val="nil"/>
              <w:bottom w:val="nil"/>
            </w:tcBorders>
          </w:tcPr>
          <w:p w14:paraId="316C76C4" w14:textId="77777777" w:rsidR="00652235" w:rsidRPr="00B30AFA" w:rsidRDefault="00652235" w:rsidP="00F11AFE">
            <w:pPr>
              <w:pStyle w:val="Critiquetabletext"/>
              <w:spacing w:before="0" w:after="0"/>
              <w:jc w:val="right"/>
              <w:rPr>
                <w:color w:val="auto"/>
              </w:rPr>
            </w:pPr>
            <w:r w:rsidRPr="00B30AFA">
              <w:rPr>
                <w:color w:val="auto"/>
              </w:rPr>
              <w:t>$0.00</w:t>
            </w:r>
          </w:p>
        </w:tc>
        <w:tc>
          <w:tcPr>
            <w:tcW w:w="1209" w:type="dxa"/>
            <w:tcBorders>
              <w:top w:val="nil"/>
              <w:bottom w:val="nil"/>
            </w:tcBorders>
          </w:tcPr>
          <w:p w14:paraId="29151219" w14:textId="77777777" w:rsidR="00652235" w:rsidRPr="00B30AFA" w:rsidRDefault="00652235" w:rsidP="00F11AFE">
            <w:pPr>
              <w:pStyle w:val="Critiquetabletext"/>
              <w:spacing w:before="0" w:after="0"/>
              <w:jc w:val="right"/>
              <w:rPr>
                <w:color w:val="auto"/>
              </w:rPr>
            </w:pPr>
            <w:r w:rsidRPr="00B30AFA">
              <w:rPr>
                <w:color w:val="auto"/>
              </w:rPr>
              <w:t>$1,058.80</w:t>
            </w:r>
          </w:p>
        </w:tc>
        <w:tc>
          <w:tcPr>
            <w:tcW w:w="1209" w:type="dxa"/>
            <w:tcBorders>
              <w:top w:val="nil"/>
              <w:bottom w:val="nil"/>
            </w:tcBorders>
          </w:tcPr>
          <w:p w14:paraId="28641B35" w14:textId="77777777" w:rsidR="00652235" w:rsidRPr="00B30AFA" w:rsidRDefault="00652235" w:rsidP="00F11AFE">
            <w:pPr>
              <w:pStyle w:val="Critiquetabletext"/>
              <w:spacing w:before="0" w:after="0"/>
              <w:jc w:val="right"/>
              <w:rPr>
                <w:color w:val="auto"/>
              </w:rPr>
            </w:pPr>
            <w:r w:rsidRPr="00B30AFA">
              <w:rPr>
                <w:color w:val="auto"/>
              </w:rPr>
              <w:t>$0.00</w:t>
            </w:r>
          </w:p>
        </w:tc>
      </w:tr>
      <w:tr w:rsidR="00652235" w:rsidRPr="00D93FA3" w14:paraId="3D2765AC" w14:textId="77777777" w:rsidTr="00F11AFE">
        <w:tc>
          <w:tcPr>
            <w:tcW w:w="2972" w:type="dxa"/>
            <w:tcBorders>
              <w:top w:val="nil"/>
              <w:bottom w:val="nil"/>
            </w:tcBorders>
          </w:tcPr>
          <w:p w14:paraId="45FB996F"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Anaesthesia costs</w:t>
            </w:r>
          </w:p>
        </w:tc>
        <w:tc>
          <w:tcPr>
            <w:tcW w:w="1208" w:type="dxa"/>
            <w:tcBorders>
              <w:top w:val="nil"/>
              <w:bottom w:val="nil"/>
            </w:tcBorders>
          </w:tcPr>
          <w:p w14:paraId="603A0553" w14:textId="77777777" w:rsidR="00652235" w:rsidRPr="00B30AFA" w:rsidRDefault="00652235" w:rsidP="00F11AFE">
            <w:pPr>
              <w:pStyle w:val="Critiquetabletext"/>
              <w:spacing w:before="0" w:after="0"/>
              <w:jc w:val="right"/>
              <w:rPr>
                <w:color w:val="auto"/>
              </w:rPr>
            </w:pPr>
            <w:r w:rsidRPr="00B30AFA">
              <w:rPr>
                <w:color w:val="auto"/>
              </w:rPr>
              <w:t>$205.15</w:t>
            </w:r>
          </w:p>
        </w:tc>
        <w:tc>
          <w:tcPr>
            <w:tcW w:w="1209" w:type="dxa"/>
            <w:tcBorders>
              <w:top w:val="nil"/>
              <w:bottom w:val="nil"/>
            </w:tcBorders>
          </w:tcPr>
          <w:p w14:paraId="2CEB1E5D" w14:textId="77777777" w:rsidR="00652235" w:rsidRPr="00B30AFA" w:rsidRDefault="00652235" w:rsidP="00F11AFE">
            <w:pPr>
              <w:pStyle w:val="Critiquetabletext"/>
              <w:spacing w:before="0" w:after="0"/>
              <w:jc w:val="right"/>
              <w:rPr>
                <w:color w:val="auto"/>
              </w:rPr>
            </w:pPr>
            <w:r w:rsidRPr="00B30AFA">
              <w:rPr>
                <w:color w:val="auto"/>
              </w:rPr>
              <w:t>$265.45</w:t>
            </w:r>
          </w:p>
        </w:tc>
        <w:tc>
          <w:tcPr>
            <w:tcW w:w="1209" w:type="dxa"/>
            <w:tcBorders>
              <w:top w:val="nil"/>
              <w:bottom w:val="nil"/>
            </w:tcBorders>
          </w:tcPr>
          <w:p w14:paraId="52F8AE20" w14:textId="77777777" w:rsidR="00652235" w:rsidRPr="00B30AFA" w:rsidRDefault="00652235" w:rsidP="00F11AFE">
            <w:pPr>
              <w:pStyle w:val="Critiquetabletext"/>
              <w:spacing w:before="0" w:after="0"/>
              <w:jc w:val="right"/>
              <w:rPr>
                <w:color w:val="auto"/>
              </w:rPr>
            </w:pPr>
            <w:r w:rsidRPr="00B30AFA">
              <w:rPr>
                <w:color w:val="auto"/>
              </w:rPr>
              <w:t>–$60.30</w:t>
            </w:r>
          </w:p>
        </w:tc>
        <w:tc>
          <w:tcPr>
            <w:tcW w:w="1209" w:type="dxa"/>
            <w:tcBorders>
              <w:top w:val="nil"/>
              <w:bottom w:val="nil"/>
            </w:tcBorders>
          </w:tcPr>
          <w:p w14:paraId="293CE163" w14:textId="77777777" w:rsidR="00652235" w:rsidRPr="00B30AFA" w:rsidRDefault="00652235" w:rsidP="00F11AFE">
            <w:pPr>
              <w:pStyle w:val="Critiquetabletext"/>
              <w:spacing w:before="0" w:after="0"/>
              <w:jc w:val="right"/>
              <w:rPr>
                <w:color w:val="auto"/>
              </w:rPr>
            </w:pPr>
            <w:r w:rsidRPr="00B30AFA">
              <w:rPr>
                <w:color w:val="auto"/>
              </w:rPr>
              <w:t>$225.25</w:t>
            </w:r>
          </w:p>
        </w:tc>
        <w:tc>
          <w:tcPr>
            <w:tcW w:w="1209" w:type="dxa"/>
            <w:tcBorders>
              <w:top w:val="nil"/>
              <w:bottom w:val="nil"/>
            </w:tcBorders>
          </w:tcPr>
          <w:p w14:paraId="1F9F4BB0" w14:textId="77777777" w:rsidR="00652235" w:rsidRPr="00B30AFA" w:rsidRDefault="00652235" w:rsidP="00F11AFE">
            <w:pPr>
              <w:pStyle w:val="Critiquetabletext"/>
              <w:spacing w:before="0" w:after="0"/>
              <w:jc w:val="right"/>
              <w:rPr>
                <w:color w:val="auto"/>
              </w:rPr>
            </w:pPr>
            <w:r w:rsidRPr="00B30AFA">
              <w:rPr>
                <w:color w:val="auto"/>
              </w:rPr>
              <w:t>–$20.10</w:t>
            </w:r>
          </w:p>
        </w:tc>
      </w:tr>
      <w:tr w:rsidR="00652235" w:rsidRPr="00D93FA3" w14:paraId="0A581F4A" w14:textId="77777777" w:rsidTr="00F11AFE">
        <w:tc>
          <w:tcPr>
            <w:tcW w:w="2972" w:type="dxa"/>
            <w:tcBorders>
              <w:top w:val="nil"/>
              <w:bottom w:val="nil"/>
            </w:tcBorders>
          </w:tcPr>
          <w:p w14:paraId="2B743CF2"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Hospital (non-procedure) costs</w:t>
            </w:r>
          </w:p>
        </w:tc>
        <w:tc>
          <w:tcPr>
            <w:tcW w:w="1208" w:type="dxa"/>
            <w:tcBorders>
              <w:top w:val="nil"/>
              <w:bottom w:val="nil"/>
            </w:tcBorders>
          </w:tcPr>
          <w:p w14:paraId="2552D201" w14:textId="77777777" w:rsidR="00652235" w:rsidRPr="00B30AFA" w:rsidRDefault="00652235" w:rsidP="00F11AFE">
            <w:pPr>
              <w:pStyle w:val="Critiquetabletext"/>
              <w:spacing w:before="0" w:after="0"/>
              <w:jc w:val="right"/>
              <w:rPr>
                <w:color w:val="auto"/>
              </w:rPr>
            </w:pPr>
            <w:r w:rsidRPr="00B30AFA">
              <w:rPr>
                <w:color w:val="auto"/>
              </w:rPr>
              <w:t>$1,406.40</w:t>
            </w:r>
          </w:p>
        </w:tc>
        <w:tc>
          <w:tcPr>
            <w:tcW w:w="1209" w:type="dxa"/>
            <w:tcBorders>
              <w:top w:val="nil"/>
              <w:bottom w:val="nil"/>
            </w:tcBorders>
          </w:tcPr>
          <w:p w14:paraId="754F2BC7" w14:textId="77777777" w:rsidR="00652235" w:rsidRPr="00B30AFA" w:rsidRDefault="00652235" w:rsidP="00F11AFE">
            <w:pPr>
              <w:pStyle w:val="Critiquetabletext"/>
              <w:spacing w:before="0" w:after="0"/>
              <w:jc w:val="right"/>
              <w:rPr>
                <w:color w:val="auto"/>
              </w:rPr>
            </w:pPr>
            <w:r w:rsidRPr="00B30AFA">
              <w:rPr>
                <w:color w:val="auto"/>
              </w:rPr>
              <w:t>$3,647.55</w:t>
            </w:r>
          </w:p>
        </w:tc>
        <w:tc>
          <w:tcPr>
            <w:tcW w:w="1209" w:type="dxa"/>
            <w:tcBorders>
              <w:top w:val="nil"/>
              <w:bottom w:val="nil"/>
            </w:tcBorders>
          </w:tcPr>
          <w:p w14:paraId="794F7311" w14:textId="77777777" w:rsidR="00652235" w:rsidRPr="00B30AFA" w:rsidRDefault="00652235" w:rsidP="00F11AFE">
            <w:pPr>
              <w:pStyle w:val="Critiquetabletext"/>
              <w:spacing w:before="0" w:after="0"/>
              <w:jc w:val="right"/>
              <w:rPr>
                <w:color w:val="auto"/>
              </w:rPr>
            </w:pPr>
            <w:r w:rsidRPr="00B30AFA">
              <w:rPr>
                <w:color w:val="auto"/>
              </w:rPr>
              <w:t>–$2,241.15</w:t>
            </w:r>
          </w:p>
        </w:tc>
        <w:tc>
          <w:tcPr>
            <w:tcW w:w="1209" w:type="dxa"/>
            <w:tcBorders>
              <w:top w:val="nil"/>
              <w:bottom w:val="nil"/>
            </w:tcBorders>
          </w:tcPr>
          <w:p w14:paraId="77FE4417" w14:textId="77777777" w:rsidR="00652235" w:rsidRPr="00B30AFA" w:rsidRDefault="00652235" w:rsidP="00F11AFE">
            <w:pPr>
              <w:pStyle w:val="Critiquetabletext"/>
              <w:spacing w:before="0" w:after="0"/>
              <w:jc w:val="right"/>
              <w:rPr>
                <w:color w:val="auto"/>
              </w:rPr>
            </w:pPr>
            <w:r w:rsidRPr="00B30AFA">
              <w:rPr>
                <w:color w:val="auto"/>
              </w:rPr>
              <w:t>$2,195.50</w:t>
            </w:r>
          </w:p>
        </w:tc>
        <w:tc>
          <w:tcPr>
            <w:tcW w:w="1209" w:type="dxa"/>
            <w:tcBorders>
              <w:top w:val="nil"/>
              <w:bottom w:val="nil"/>
            </w:tcBorders>
          </w:tcPr>
          <w:p w14:paraId="70871C5D" w14:textId="77777777" w:rsidR="00652235" w:rsidRPr="00B30AFA" w:rsidRDefault="00652235" w:rsidP="00F11AFE">
            <w:pPr>
              <w:pStyle w:val="Critiquetabletext"/>
              <w:spacing w:before="0" w:after="0"/>
              <w:jc w:val="right"/>
              <w:rPr>
                <w:color w:val="auto"/>
              </w:rPr>
            </w:pPr>
            <w:r w:rsidRPr="00B30AFA">
              <w:rPr>
                <w:color w:val="auto"/>
              </w:rPr>
              <w:t>–$789.10</w:t>
            </w:r>
          </w:p>
        </w:tc>
      </w:tr>
      <w:tr w:rsidR="00652235" w:rsidRPr="00D93FA3" w14:paraId="5655B3AB" w14:textId="77777777" w:rsidTr="00F11AFE">
        <w:tc>
          <w:tcPr>
            <w:tcW w:w="2972" w:type="dxa"/>
            <w:tcBorders>
              <w:top w:val="nil"/>
              <w:bottom w:val="nil"/>
            </w:tcBorders>
          </w:tcPr>
          <w:p w14:paraId="71B504F7"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Prostheses/consumables costs</w:t>
            </w:r>
          </w:p>
        </w:tc>
        <w:tc>
          <w:tcPr>
            <w:tcW w:w="1208" w:type="dxa"/>
            <w:tcBorders>
              <w:top w:val="nil"/>
              <w:bottom w:val="nil"/>
            </w:tcBorders>
          </w:tcPr>
          <w:p w14:paraId="488C6294" w14:textId="77777777" w:rsidR="00652235" w:rsidRPr="00B30AFA" w:rsidRDefault="00652235" w:rsidP="00F11AFE">
            <w:pPr>
              <w:pStyle w:val="Critiquetabletext"/>
              <w:spacing w:before="0" w:after="0"/>
              <w:jc w:val="right"/>
              <w:rPr>
                <w:color w:val="auto"/>
              </w:rPr>
            </w:pPr>
            <w:r w:rsidRPr="00B30AFA">
              <w:rPr>
                <w:color w:val="auto"/>
              </w:rPr>
              <w:t>$2,848.00</w:t>
            </w:r>
          </w:p>
        </w:tc>
        <w:tc>
          <w:tcPr>
            <w:tcW w:w="1209" w:type="dxa"/>
            <w:tcBorders>
              <w:top w:val="nil"/>
              <w:bottom w:val="nil"/>
            </w:tcBorders>
          </w:tcPr>
          <w:p w14:paraId="4CAEA281" w14:textId="77777777" w:rsidR="00652235" w:rsidRPr="00B30AFA" w:rsidRDefault="00652235" w:rsidP="00F11AFE">
            <w:pPr>
              <w:pStyle w:val="Critiquetabletext"/>
              <w:spacing w:before="0" w:after="0"/>
              <w:jc w:val="right"/>
              <w:rPr>
                <w:color w:val="auto"/>
              </w:rPr>
            </w:pPr>
            <w:r w:rsidRPr="00B30AFA">
              <w:rPr>
                <w:color w:val="auto"/>
              </w:rPr>
              <w:t>$0.00</w:t>
            </w:r>
          </w:p>
        </w:tc>
        <w:tc>
          <w:tcPr>
            <w:tcW w:w="1209" w:type="dxa"/>
            <w:tcBorders>
              <w:top w:val="nil"/>
              <w:bottom w:val="nil"/>
            </w:tcBorders>
          </w:tcPr>
          <w:p w14:paraId="629D076D" w14:textId="77777777" w:rsidR="00652235" w:rsidRPr="00B30AFA" w:rsidRDefault="00652235" w:rsidP="00F11AFE">
            <w:pPr>
              <w:pStyle w:val="Critiquetabletext"/>
              <w:spacing w:before="0" w:after="0"/>
              <w:jc w:val="right"/>
              <w:rPr>
                <w:color w:val="auto"/>
              </w:rPr>
            </w:pPr>
            <w:r w:rsidRPr="00B30AFA">
              <w:rPr>
                <w:color w:val="auto"/>
              </w:rPr>
              <w:t>$2,848.00</w:t>
            </w:r>
          </w:p>
        </w:tc>
        <w:tc>
          <w:tcPr>
            <w:tcW w:w="1209" w:type="dxa"/>
            <w:tcBorders>
              <w:top w:val="nil"/>
              <w:bottom w:val="nil"/>
            </w:tcBorders>
          </w:tcPr>
          <w:p w14:paraId="3D32D543" w14:textId="77777777" w:rsidR="00652235" w:rsidRPr="00B30AFA" w:rsidRDefault="00652235" w:rsidP="00F11AFE">
            <w:pPr>
              <w:pStyle w:val="Critiquetabletext"/>
              <w:spacing w:before="0" w:after="0"/>
              <w:jc w:val="right"/>
              <w:rPr>
                <w:color w:val="auto"/>
              </w:rPr>
            </w:pPr>
            <w:r w:rsidRPr="00B30AFA">
              <w:rPr>
                <w:color w:val="auto"/>
              </w:rPr>
              <w:t>$1,242.00</w:t>
            </w:r>
          </w:p>
        </w:tc>
        <w:tc>
          <w:tcPr>
            <w:tcW w:w="1209" w:type="dxa"/>
            <w:tcBorders>
              <w:top w:val="nil"/>
              <w:bottom w:val="nil"/>
            </w:tcBorders>
          </w:tcPr>
          <w:p w14:paraId="622C3E0F" w14:textId="77777777" w:rsidR="00652235" w:rsidRPr="00B30AFA" w:rsidRDefault="00652235" w:rsidP="00F11AFE">
            <w:pPr>
              <w:pStyle w:val="Critiquetabletext"/>
              <w:spacing w:before="0" w:after="0"/>
              <w:jc w:val="right"/>
              <w:rPr>
                <w:color w:val="auto"/>
              </w:rPr>
            </w:pPr>
            <w:r w:rsidRPr="00B30AFA">
              <w:rPr>
                <w:color w:val="auto"/>
              </w:rPr>
              <w:t>$1,606.00</w:t>
            </w:r>
          </w:p>
        </w:tc>
      </w:tr>
      <w:tr w:rsidR="00652235" w:rsidRPr="00D93FA3" w14:paraId="1AC5CF90" w14:textId="77777777" w:rsidTr="00F11AFE">
        <w:tc>
          <w:tcPr>
            <w:tcW w:w="2972" w:type="dxa"/>
            <w:tcBorders>
              <w:top w:val="nil"/>
              <w:bottom w:val="nil"/>
            </w:tcBorders>
          </w:tcPr>
          <w:p w14:paraId="30DA8861"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Capital and maintenance costs</w:t>
            </w:r>
          </w:p>
        </w:tc>
        <w:tc>
          <w:tcPr>
            <w:tcW w:w="1208" w:type="dxa"/>
            <w:tcBorders>
              <w:top w:val="nil"/>
              <w:bottom w:val="nil"/>
            </w:tcBorders>
          </w:tcPr>
          <w:p w14:paraId="4AAEC23C" w14:textId="288A2FF9" w:rsidR="00652235" w:rsidRPr="0025213E" w:rsidRDefault="00652235" w:rsidP="00F11AFE">
            <w:pPr>
              <w:pStyle w:val="Critiquetabletext"/>
              <w:spacing w:before="0" w:after="0"/>
              <w:jc w:val="right"/>
              <w:rPr>
                <w:color w:val="auto"/>
              </w:rPr>
            </w:pPr>
            <w:r w:rsidRPr="0025213E">
              <w:rPr>
                <w:color w:val="auto"/>
              </w:rPr>
              <w:t>$172.90</w:t>
            </w:r>
          </w:p>
        </w:tc>
        <w:tc>
          <w:tcPr>
            <w:tcW w:w="1209" w:type="dxa"/>
            <w:tcBorders>
              <w:top w:val="nil"/>
              <w:bottom w:val="nil"/>
            </w:tcBorders>
          </w:tcPr>
          <w:p w14:paraId="2D5E5F33" w14:textId="77777777" w:rsidR="00652235" w:rsidRPr="0025213E" w:rsidRDefault="00652235" w:rsidP="00F11AFE">
            <w:pPr>
              <w:pStyle w:val="Critiquetabletext"/>
              <w:spacing w:before="0" w:after="0"/>
              <w:jc w:val="right"/>
              <w:rPr>
                <w:color w:val="auto"/>
              </w:rPr>
            </w:pPr>
            <w:r w:rsidRPr="0025213E">
              <w:rPr>
                <w:color w:val="auto"/>
              </w:rPr>
              <w:t>$0.00</w:t>
            </w:r>
          </w:p>
        </w:tc>
        <w:tc>
          <w:tcPr>
            <w:tcW w:w="1209" w:type="dxa"/>
            <w:tcBorders>
              <w:top w:val="nil"/>
              <w:bottom w:val="nil"/>
            </w:tcBorders>
          </w:tcPr>
          <w:p w14:paraId="1876F47B" w14:textId="54C5CC10" w:rsidR="00652235" w:rsidRPr="0025213E" w:rsidRDefault="00652235" w:rsidP="00F11AFE">
            <w:pPr>
              <w:pStyle w:val="Critiquetabletext"/>
              <w:spacing w:before="0" w:after="0"/>
              <w:jc w:val="right"/>
              <w:rPr>
                <w:color w:val="auto"/>
              </w:rPr>
            </w:pPr>
            <w:r w:rsidRPr="0025213E">
              <w:rPr>
                <w:color w:val="auto"/>
              </w:rPr>
              <w:t>$172.90</w:t>
            </w:r>
          </w:p>
        </w:tc>
        <w:tc>
          <w:tcPr>
            <w:tcW w:w="1209" w:type="dxa"/>
            <w:tcBorders>
              <w:top w:val="nil"/>
              <w:bottom w:val="nil"/>
            </w:tcBorders>
          </w:tcPr>
          <w:p w14:paraId="268DDB11" w14:textId="77777777" w:rsidR="00652235" w:rsidRPr="00B30AFA" w:rsidRDefault="00652235" w:rsidP="00F11AFE">
            <w:pPr>
              <w:pStyle w:val="Critiquetabletext"/>
              <w:spacing w:before="0" w:after="0"/>
              <w:jc w:val="right"/>
              <w:rPr>
                <w:color w:val="auto"/>
              </w:rPr>
            </w:pPr>
            <w:r w:rsidRPr="00B30AFA">
              <w:rPr>
                <w:color w:val="auto"/>
              </w:rPr>
              <w:t>$1,271.19</w:t>
            </w:r>
          </w:p>
        </w:tc>
        <w:tc>
          <w:tcPr>
            <w:tcW w:w="1209" w:type="dxa"/>
            <w:tcBorders>
              <w:top w:val="nil"/>
              <w:bottom w:val="nil"/>
            </w:tcBorders>
          </w:tcPr>
          <w:p w14:paraId="2B19E07C" w14:textId="7E09E64D" w:rsidR="00652235" w:rsidRPr="00B30AFA" w:rsidRDefault="00652235" w:rsidP="00F11AFE">
            <w:pPr>
              <w:pStyle w:val="Critiquetabletext"/>
              <w:spacing w:before="0" w:after="0"/>
              <w:jc w:val="right"/>
              <w:rPr>
                <w:color w:val="auto"/>
              </w:rPr>
            </w:pPr>
            <w:r w:rsidRPr="00B30AFA">
              <w:rPr>
                <w:color w:val="auto"/>
              </w:rPr>
              <w:t>–$1,098.28</w:t>
            </w:r>
          </w:p>
        </w:tc>
      </w:tr>
      <w:tr w:rsidR="00652235" w:rsidRPr="00D93FA3" w14:paraId="070F4757" w14:textId="77777777" w:rsidTr="00F11AFE">
        <w:tc>
          <w:tcPr>
            <w:tcW w:w="2972" w:type="dxa"/>
            <w:tcBorders>
              <w:top w:val="nil"/>
              <w:bottom w:val="nil"/>
            </w:tcBorders>
          </w:tcPr>
          <w:p w14:paraId="31B88AF9"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Reintervention costs</w:t>
            </w:r>
          </w:p>
        </w:tc>
        <w:tc>
          <w:tcPr>
            <w:tcW w:w="1208" w:type="dxa"/>
            <w:tcBorders>
              <w:top w:val="nil"/>
              <w:bottom w:val="nil"/>
            </w:tcBorders>
          </w:tcPr>
          <w:p w14:paraId="0FB84D20" w14:textId="77777777" w:rsidR="00652235" w:rsidRPr="00B30AFA" w:rsidRDefault="00652235" w:rsidP="00F11AFE">
            <w:pPr>
              <w:pStyle w:val="Critiquetabletext"/>
              <w:spacing w:before="0" w:after="0"/>
              <w:jc w:val="right"/>
              <w:rPr>
                <w:color w:val="auto"/>
              </w:rPr>
            </w:pPr>
            <w:r w:rsidRPr="00B30AFA">
              <w:rPr>
                <w:color w:val="auto"/>
              </w:rPr>
              <w:t>$83.88</w:t>
            </w:r>
          </w:p>
        </w:tc>
        <w:tc>
          <w:tcPr>
            <w:tcW w:w="1209" w:type="dxa"/>
            <w:tcBorders>
              <w:top w:val="nil"/>
              <w:bottom w:val="nil"/>
            </w:tcBorders>
          </w:tcPr>
          <w:p w14:paraId="2C736FDC" w14:textId="77777777" w:rsidR="00652235" w:rsidRPr="00B30AFA" w:rsidRDefault="00652235" w:rsidP="00F11AFE">
            <w:pPr>
              <w:pStyle w:val="Critiquetabletext"/>
              <w:spacing w:before="0" w:after="0"/>
              <w:jc w:val="right"/>
              <w:rPr>
                <w:color w:val="auto"/>
              </w:rPr>
            </w:pPr>
            <w:r w:rsidRPr="00B30AFA">
              <w:rPr>
                <w:color w:val="auto"/>
              </w:rPr>
              <w:t>$0.00</w:t>
            </w:r>
          </w:p>
        </w:tc>
        <w:tc>
          <w:tcPr>
            <w:tcW w:w="1209" w:type="dxa"/>
            <w:tcBorders>
              <w:top w:val="nil"/>
              <w:bottom w:val="nil"/>
            </w:tcBorders>
          </w:tcPr>
          <w:p w14:paraId="63971D57" w14:textId="77777777" w:rsidR="00652235" w:rsidRPr="00B30AFA" w:rsidRDefault="00652235" w:rsidP="00F11AFE">
            <w:pPr>
              <w:pStyle w:val="Critiquetabletext"/>
              <w:spacing w:before="0" w:after="0"/>
              <w:jc w:val="right"/>
              <w:rPr>
                <w:color w:val="auto"/>
              </w:rPr>
            </w:pPr>
            <w:r w:rsidRPr="00B30AFA">
              <w:rPr>
                <w:color w:val="auto"/>
              </w:rPr>
              <w:t>$83.88</w:t>
            </w:r>
          </w:p>
        </w:tc>
        <w:tc>
          <w:tcPr>
            <w:tcW w:w="1209" w:type="dxa"/>
            <w:tcBorders>
              <w:top w:val="nil"/>
              <w:bottom w:val="nil"/>
            </w:tcBorders>
          </w:tcPr>
          <w:p w14:paraId="374D8B51" w14:textId="77777777" w:rsidR="00652235" w:rsidRPr="00B30AFA" w:rsidRDefault="00652235" w:rsidP="00F11AFE">
            <w:pPr>
              <w:pStyle w:val="Critiquetabletext"/>
              <w:spacing w:before="0" w:after="0"/>
              <w:jc w:val="right"/>
              <w:rPr>
                <w:color w:val="auto"/>
              </w:rPr>
            </w:pPr>
            <w:r w:rsidRPr="00B30AFA">
              <w:rPr>
                <w:color w:val="auto"/>
              </w:rPr>
              <w:t>$0.00</w:t>
            </w:r>
          </w:p>
        </w:tc>
        <w:tc>
          <w:tcPr>
            <w:tcW w:w="1209" w:type="dxa"/>
            <w:tcBorders>
              <w:top w:val="nil"/>
              <w:bottom w:val="nil"/>
            </w:tcBorders>
          </w:tcPr>
          <w:p w14:paraId="34E66DCE" w14:textId="77777777" w:rsidR="00652235" w:rsidRPr="00B30AFA" w:rsidRDefault="00652235" w:rsidP="00F11AFE">
            <w:pPr>
              <w:pStyle w:val="Critiquetabletext"/>
              <w:spacing w:before="0" w:after="0"/>
              <w:jc w:val="right"/>
              <w:rPr>
                <w:color w:val="auto"/>
              </w:rPr>
            </w:pPr>
            <w:r w:rsidRPr="00B30AFA">
              <w:rPr>
                <w:color w:val="auto"/>
              </w:rPr>
              <w:t>$83.88</w:t>
            </w:r>
          </w:p>
        </w:tc>
      </w:tr>
      <w:tr w:rsidR="00652235" w:rsidRPr="003D4187" w14:paraId="4413E394" w14:textId="77777777" w:rsidTr="00F11AFE">
        <w:tc>
          <w:tcPr>
            <w:tcW w:w="2972" w:type="dxa"/>
            <w:tcBorders>
              <w:top w:val="nil"/>
            </w:tcBorders>
          </w:tcPr>
          <w:p w14:paraId="70307D5D" w14:textId="77777777" w:rsidR="00652235" w:rsidRPr="00B30AFA" w:rsidRDefault="00652235" w:rsidP="00F11AFE">
            <w:pPr>
              <w:pStyle w:val="Critiquetabletext"/>
              <w:spacing w:before="0" w:after="0"/>
              <w:rPr>
                <w:b/>
                <w:color w:val="auto"/>
              </w:rPr>
            </w:pPr>
            <w:r w:rsidRPr="00B30AFA">
              <w:rPr>
                <w:b/>
                <w:color w:val="auto"/>
              </w:rPr>
              <w:t>Subtotal</w:t>
            </w:r>
          </w:p>
        </w:tc>
        <w:tc>
          <w:tcPr>
            <w:tcW w:w="1208" w:type="dxa"/>
            <w:tcBorders>
              <w:top w:val="nil"/>
            </w:tcBorders>
          </w:tcPr>
          <w:p w14:paraId="0F4651CC" w14:textId="77777777" w:rsidR="00652235" w:rsidRPr="00B30AFA" w:rsidRDefault="00652235" w:rsidP="00F11AFE">
            <w:pPr>
              <w:pStyle w:val="Critiquetabletext"/>
              <w:spacing w:before="0" w:after="0"/>
              <w:jc w:val="right"/>
              <w:rPr>
                <w:b/>
                <w:color w:val="auto"/>
              </w:rPr>
            </w:pPr>
            <w:r w:rsidRPr="00B30AFA">
              <w:rPr>
                <w:b/>
                <w:color w:val="auto"/>
              </w:rPr>
              <w:t>$5,775.13</w:t>
            </w:r>
          </w:p>
        </w:tc>
        <w:tc>
          <w:tcPr>
            <w:tcW w:w="1209" w:type="dxa"/>
            <w:tcBorders>
              <w:top w:val="nil"/>
            </w:tcBorders>
          </w:tcPr>
          <w:p w14:paraId="17BCC013" w14:textId="77777777" w:rsidR="00652235" w:rsidRPr="00B30AFA" w:rsidRDefault="00652235" w:rsidP="00F11AFE">
            <w:pPr>
              <w:pStyle w:val="Critiquetabletext"/>
              <w:spacing w:before="0" w:after="0"/>
              <w:jc w:val="right"/>
              <w:rPr>
                <w:b/>
                <w:color w:val="auto"/>
              </w:rPr>
            </w:pPr>
            <w:r w:rsidRPr="00B30AFA">
              <w:rPr>
                <w:b/>
                <w:color w:val="auto"/>
              </w:rPr>
              <w:t>$4,971.80</w:t>
            </w:r>
          </w:p>
        </w:tc>
        <w:tc>
          <w:tcPr>
            <w:tcW w:w="1209" w:type="dxa"/>
            <w:tcBorders>
              <w:top w:val="nil"/>
            </w:tcBorders>
          </w:tcPr>
          <w:p w14:paraId="3F215EE3" w14:textId="77777777" w:rsidR="00652235" w:rsidRPr="00B30AFA" w:rsidRDefault="00652235" w:rsidP="00F11AFE">
            <w:pPr>
              <w:pStyle w:val="Critiquetabletext"/>
              <w:spacing w:before="0" w:after="0"/>
              <w:jc w:val="right"/>
              <w:rPr>
                <w:b/>
                <w:color w:val="auto"/>
              </w:rPr>
            </w:pPr>
            <w:r w:rsidRPr="00B30AFA">
              <w:rPr>
                <w:b/>
                <w:color w:val="auto"/>
              </w:rPr>
              <w:t>$803.33</w:t>
            </w:r>
          </w:p>
        </w:tc>
        <w:tc>
          <w:tcPr>
            <w:tcW w:w="1209" w:type="dxa"/>
            <w:tcBorders>
              <w:top w:val="nil"/>
            </w:tcBorders>
          </w:tcPr>
          <w:p w14:paraId="7E41F6F7" w14:textId="77777777" w:rsidR="00652235" w:rsidRPr="00B30AFA" w:rsidRDefault="00652235" w:rsidP="00F11AFE">
            <w:pPr>
              <w:pStyle w:val="Critiquetabletext"/>
              <w:spacing w:before="0" w:after="0"/>
              <w:jc w:val="right"/>
              <w:rPr>
                <w:b/>
                <w:color w:val="auto"/>
              </w:rPr>
            </w:pPr>
            <w:r w:rsidRPr="00B30AFA">
              <w:rPr>
                <w:b/>
                <w:color w:val="auto"/>
              </w:rPr>
              <w:t>$5,992.74</w:t>
            </w:r>
          </w:p>
        </w:tc>
        <w:tc>
          <w:tcPr>
            <w:tcW w:w="1209" w:type="dxa"/>
            <w:tcBorders>
              <w:top w:val="nil"/>
            </w:tcBorders>
          </w:tcPr>
          <w:p w14:paraId="43AC4D07" w14:textId="77777777" w:rsidR="00652235" w:rsidRPr="00B30AFA" w:rsidRDefault="00652235" w:rsidP="00F11AFE">
            <w:pPr>
              <w:pStyle w:val="Critiquetabletext"/>
              <w:spacing w:before="0" w:after="0"/>
              <w:jc w:val="right"/>
              <w:rPr>
                <w:b/>
                <w:color w:val="auto"/>
              </w:rPr>
            </w:pPr>
            <w:r w:rsidRPr="00B30AFA">
              <w:rPr>
                <w:b/>
                <w:color w:val="auto"/>
              </w:rPr>
              <w:t>–$217.61</w:t>
            </w:r>
          </w:p>
        </w:tc>
      </w:tr>
      <w:tr w:rsidR="00652235" w:rsidRPr="00D93FA3" w14:paraId="5FF451E1" w14:textId="77777777" w:rsidTr="00F11AFE">
        <w:tc>
          <w:tcPr>
            <w:tcW w:w="2972" w:type="dxa"/>
            <w:tcBorders>
              <w:bottom w:val="nil"/>
            </w:tcBorders>
          </w:tcPr>
          <w:p w14:paraId="4A0E7D08" w14:textId="77777777" w:rsidR="00652235" w:rsidRPr="00B30AFA" w:rsidRDefault="00652235" w:rsidP="00F11AFE">
            <w:pPr>
              <w:pStyle w:val="Critiquetabletext"/>
              <w:spacing w:before="0" w:after="0"/>
              <w:rPr>
                <w:color w:val="auto"/>
              </w:rPr>
            </w:pPr>
            <w:r w:rsidRPr="00B30AFA">
              <w:rPr>
                <w:color w:val="auto"/>
              </w:rPr>
              <w:t>Proportion with complications</w:t>
            </w:r>
          </w:p>
        </w:tc>
        <w:tc>
          <w:tcPr>
            <w:tcW w:w="1208" w:type="dxa"/>
            <w:tcBorders>
              <w:bottom w:val="nil"/>
            </w:tcBorders>
          </w:tcPr>
          <w:p w14:paraId="28DF74B3" w14:textId="77777777" w:rsidR="00652235" w:rsidRPr="00B30AFA" w:rsidRDefault="00652235" w:rsidP="00F11AFE">
            <w:pPr>
              <w:pStyle w:val="Critiquetabletext"/>
              <w:spacing w:before="0" w:after="0"/>
              <w:jc w:val="right"/>
              <w:rPr>
                <w:color w:val="auto"/>
              </w:rPr>
            </w:pPr>
            <w:r w:rsidRPr="00B30AFA">
              <w:rPr>
                <w:color w:val="auto"/>
              </w:rPr>
              <w:t>-</w:t>
            </w:r>
          </w:p>
        </w:tc>
        <w:tc>
          <w:tcPr>
            <w:tcW w:w="1209" w:type="dxa"/>
            <w:tcBorders>
              <w:bottom w:val="nil"/>
            </w:tcBorders>
          </w:tcPr>
          <w:p w14:paraId="1F8CB3DF" w14:textId="77777777" w:rsidR="00652235" w:rsidRPr="00B30AFA" w:rsidRDefault="00652235" w:rsidP="00F11AFE">
            <w:pPr>
              <w:pStyle w:val="Critiquetabletext"/>
              <w:spacing w:before="0" w:after="0"/>
              <w:jc w:val="right"/>
              <w:rPr>
                <w:color w:val="auto"/>
              </w:rPr>
            </w:pPr>
            <w:r w:rsidRPr="00B30AFA">
              <w:rPr>
                <w:color w:val="auto"/>
              </w:rPr>
              <w:t>12%</w:t>
            </w:r>
          </w:p>
        </w:tc>
        <w:tc>
          <w:tcPr>
            <w:tcW w:w="1209" w:type="dxa"/>
            <w:tcBorders>
              <w:bottom w:val="nil"/>
            </w:tcBorders>
          </w:tcPr>
          <w:p w14:paraId="73DD385E" w14:textId="77777777" w:rsidR="00652235" w:rsidRPr="00B30AFA" w:rsidRDefault="00652235" w:rsidP="00F11AFE">
            <w:pPr>
              <w:pStyle w:val="Critiquetabletext"/>
              <w:spacing w:before="0" w:after="0"/>
              <w:jc w:val="right"/>
              <w:rPr>
                <w:color w:val="auto"/>
              </w:rPr>
            </w:pPr>
          </w:p>
        </w:tc>
        <w:tc>
          <w:tcPr>
            <w:tcW w:w="1209" w:type="dxa"/>
            <w:tcBorders>
              <w:bottom w:val="nil"/>
            </w:tcBorders>
          </w:tcPr>
          <w:p w14:paraId="08C85D7F" w14:textId="77777777" w:rsidR="00652235" w:rsidRPr="00B30AFA" w:rsidRDefault="00652235" w:rsidP="00F11AFE">
            <w:pPr>
              <w:pStyle w:val="Critiquetabletext"/>
              <w:spacing w:before="0" w:after="0"/>
              <w:jc w:val="right"/>
              <w:rPr>
                <w:color w:val="auto"/>
              </w:rPr>
            </w:pPr>
            <w:r w:rsidRPr="00B30AFA">
              <w:rPr>
                <w:color w:val="auto"/>
              </w:rPr>
              <w:t>-</w:t>
            </w:r>
          </w:p>
        </w:tc>
        <w:tc>
          <w:tcPr>
            <w:tcW w:w="1209" w:type="dxa"/>
            <w:tcBorders>
              <w:bottom w:val="nil"/>
            </w:tcBorders>
          </w:tcPr>
          <w:p w14:paraId="09B7819E" w14:textId="77777777" w:rsidR="00652235" w:rsidRPr="00B30AFA" w:rsidRDefault="00652235" w:rsidP="00F11AFE">
            <w:pPr>
              <w:pStyle w:val="Critiquetabletext"/>
              <w:spacing w:before="0" w:after="0"/>
              <w:jc w:val="right"/>
              <w:rPr>
                <w:color w:val="auto"/>
              </w:rPr>
            </w:pPr>
          </w:p>
        </w:tc>
      </w:tr>
      <w:tr w:rsidR="00652235" w:rsidRPr="00D93FA3" w14:paraId="0DF78F09" w14:textId="77777777" w:rsidTr="00F11AFE">
        <w:tc>
          <w:tcPr>
            <w:tcW w:w="2972" w:type="dxa"/>
            <w:tcBorders>
              <w:top w:val="nil"/>
            </w:tcBorders>
          </w:tcPr>
          <w:p w14:paraId="3AF60984" w14:textId="77777777" w:rsidR="00652235" w:rsidRPr="00B30AFA" w:rsidRDefault="00652235" w:rsidP="00F11AFE">
            <w:pPr>
              <w:pStyle w:val="Critiquetabletext"/>
              <w:spacing w:before="0" w:after="0"/>
              <w:rPr>
                <w:color w:val="auto"/>
              </w:rPr>
            </w:pPr>
            <w:r w:rsidRPr="00B30AFA">
              <w:rPr>
                <w:color w:val="auto"/>
              </w:rPr>
              <w:t>Procedure cost with complications</w:t>
            </w:r>
          </w:p>
        </w:tc>
        <w:tc>
          <w:tcPr>
            <w:tcW w:w="1208" w:type="dxa"/>
            <w:tcBorders>
              <w:top w:val="nil"/>
            </w:tcBorders>
          </w:tcPr>
          <w:p w14:paraId="0BD7F28F" w14:textId="77777777" w:rsidR="00652235" w:rsidRPr="00B30AFA" w:rsidRDefault="00652235" w:rsidP="00F11AFE">
            <w:pPr>
              <w:pStyle w:val="Critiquetabletext"/>
              <w:spacing w:before="0" w:after="0"/>
              <w:jc w:val="right"/>
              <w:rPr>
                <w:color w:val="auto"/>
              </w:rPr>
            </w:pPr>
            <w:r w:rsidRPr="00B30AFA">
              <w:rPr>
                <w:color w:val="auto"/>
              </w:rPr>
              <w:t>-</w:t>
            </w:r>
          </w:p>
        </w:tc>
        <w:tc>
          <w:tcPr>
            <w:tcW w:w="1209" w:type="dxa"/>
            <w:tcBorders>
              <w:top w:val="nil"/>
            </w:tcBorders>
          </w:tcPr>
          <w:p w14:paraId="7681171C" w14:textId="77777777" w:rsidR="00652235" w:rsidRPr="00B30AFA" w:rsidRDefault="00652235" w:rsidP="00F11AFE">
            <w:pPr>
              <w:pStyle w:val="Critiquetabletext"/>
              <w:spacing w:before="0" w:after="0"/>
              <w:jc w:val="right"/>
              <w:rPr>
                <w:color w:val="auto"/>
              </w:rPr>
            </w:pPr>
            <w:r w:rsidRPr="00B30AFA">
              <w:rPr>
                <w:color w:val="auto"/>
              </w:rPr>
              <w:t>$12,079.44</w:t>
            </w:r>
          </w:p>
        </w:tc>
        <w:tc>
          <w:tcPr>
            <w:tcW w:w="1209" w:type="dxa"/>
            <w:tcBorders>
              <w:top w:val="nil"/>
            </w:tcBorders>
          </w:tcPr>
          <w:p w14:paraId="51609218" w14:textId="77777777" w:rsidR="00652235" w:rsidRPr="00B30AFA" w:rsidRDefault="00652235" w:rsidP="00F11AFE">
            <w:pPr>
              <w:pStyle w:val="Critiquetabletext"/>
              <w:spacing w:before="0" w:after="0"/>
              <w:jc w:val="right"/>
              <w:rPr>
                <w:color w:val="auto"/>
              </w:rPr>
            </w:pPr>
          </w:p>
        </w:tc>
        <w:tc>
          <w:tcPr>
            <w:tcW w:w="1209" w:type="dxa"/>
            <w:tcBorders>
              <w:top w:val="nil"/>
            </w:tcBorders>
          </w:tcPr>
          <w:p w14:paraId="00D1858E" w14:textId="77777777" w:rsidR="00652235" w:rsidRPr="00B30AFA" w:rsidRDefault="00652235" w:rsidP="00F11AFE">
            <w:pPr>
              <w:pStyle w:val="Critiquetabletext"/>
              <w:spacing w:before="0" w:after="0"/>
              <w:jc w:val="right"/>
              <w:rPr>
                <w:color w:val="auto"/>
              </w:rPr>
            </w:pPr>
            <w:r w:rsidRPr="00B30AFA">
              <w:rPr>
                <w:color w:val="auto"/>
              </w:rPr>
              <w:t>-</w:t>
            </w:r>
          </w:p>
        </w:tc>
        <w:tc>
          <w:tcPr>
            <w:tcW w:w="1209" w:type="dxa"/>
            <w:tcBorders>
              <w:top w:val="nil"/>
            </w:tcBorders>
          </w:tcPr>
          <w:p w14:paraId="00FD3C1B" w14:textId="77777777" w:rsidR="00652235" w:rsidRPr="00B30AFA" w:rsidRDefault="00652235" w:rsidP="00F11AFE">
            <w:pPr>
              <w:pStyle w:val="Critiquetabletext"/>
              <w:spacing w:before="0" w:after="0"/>
              <w:jc w:val="right"/>
              <w:rPr>
                <w:color w:val="auto"/>
              </w:rPr>
            </w:pPr>
          </w:p>
        </w:tc>
      </w:tr>
      <w:tr w:rsidR="00652235" w:rsidRPr="009A7D61" w14:paraId="50FC08C2" w14:textId="77777777" w:rsidTr="00F11AFE">
        <w:tc>
          <w:tcPr>
            <w:tcW w:w="2972" w:type="dxa"/>
          </w:tcPr>
          <w:p w14:paraId="6D370639" w14:textId="77777777" w:rsidR="00652235" w:rsidRPr="00B30AFA" w:rsidRDefault="00652235" w:rsidP="00F11AFE">
            <w:pPr>
              <w:pStyle w:val="Critiquetabletext"/>
              <w:spacing w:before="0" w:after="0"/>
              <w:rPr>
                <w:b/>
                <w:color w:val="auto"/>
              </w:rPr>
            </w:pPr>
            <w:r w:rsidRPr="00B30AFA">
              <w:rPr>
                <w:b/>
                <w:color w:val="auto"/>
              </w:rPr>
              <w:t>Total</w:t>
            </w:r>
          </w:p>
        </w:tc>
        <w:tc>
          <w:tcPr>
            <w:tcW w:w="1208" w:type="dxa"/>
          </w:tcPr>
          <w:p w14:paraId="72F6A1DE" w14:textId="77777777" w:rsidR="00652235" w:rsidRPr="00B30AFA" w:rsidRDefault="00652235" w:rsidP="00F11AFE">
            <w:pPr>
              <w:pStyle w:val="Critiquetabletext"/>
              <w:spacing w:before="0" w:after="0"/>
              <w:jc w:val="right"/>
              <w:rPr>
                <w:b/>
                <w:color w:val="auto"/>
              </w:rPr>
            </w:pPr>
            <w:r w:rsidRPr="00B30AFA">
              <w:rPr>
                <w:b/>
                <w:color w:val="auto"/>
              </w:rPr>
              <w:t>$5,775.13</w:t>
            </w:r>
          </w:p>
        </w:tc>
        <w:tc>
          <w:tcPr>
            <w:tcW w:w="1209" w:type="dxa"/>
          </w:tcPr>
          <w:p w14:paraId="7AACAC1E" w14:textId="77777777" w:rsidR="00652235" w:rsidRPr="00B30AFA" w:rsidRDefault="00652235" w:rsidP="00F11AFE">
            <w:pPr>
              <w:pStyle w:val="Critiquetabletext"/>
              <w:spacing w:before="0" w:after="0"/>
              <w:jc w:val="right"/>
              <w:rPr>
                <w:b/>
                <w:color w:val="auto"/>
              </w:rPr>
            </w:pPr>
            <w:r w:rsidRPr="00B30AFA">
              <w:rPr>
                <w:b/>
                <w:color w:val="auto"/>
              </w:rPr>
              <w:t>$5,824.72</w:t>
            </w:r>
          </w:p>
        </w:tc>
        <w:tc>
          <w:tcPr>
            <w:tcW w:w="1209" w:type="dxa"/>
          </w:tcPr>
          <w:p w14:paraId="4D53FF72" w14:textId="77777777" w:rsidR="00652235" w:rsidRPr="00B30AFA" w:rsidRDefault="00652235" w:rsidP="00F11AFE">
            <w:pPr>
              <w:pStyle w:val="Critiquetabletext"/>
              <w:spacing w:before="0" w:after="0"/>
              <w:jc w:val="right"/>
              <w:rPr>
                <w:b/>
                <w:color w:val="auto"/>
              </w:rPr>
            </w:pPr>
            <w:r w:rsidRPr="00B30AFA">
              <w:rPr>
                <w:b/>
                <w:color w:val="auto"/>
              </w:rPr>
              <w:t>–$49.59</w:t>
            </w:r>
          </w:p>
        </w:tc>
        <w:tc>
          <w:tcPr>
            <w:tcW w:w="1209" w:type="dxa"/>
          </w:tcPr>
          <w:p w14:paraId="2A7B9EB1" w14:textId="77777777" w:rsidR="00652235" w:rsidRPr="00B30AFA" w:rsidRDefault="00652235" w:rsidP="00F11AFE">
            <w:pPr>
              <w:pStyle w:val="Critiquetabletext"/>
              <w:spacing w:before="0" w:after="0"/>
              <w:jc w:val="right"/>
              <w:rPr>
                <w:b/>
                <w:color w:val="auto"/>
              </w:rPr>
            </w:pPr>
            <w:r w:rsidRPr="00B30AFA">
              <w:rPr>
                <w:b/>
                <w:color w:val="auto"/>
              </w:rPr>
              <w:t>$5,992.74</w:t>
            </w:r>
          </w:p>
        </w:tc>
        <w:tc>
          <w:tcPr>
            <w:tcW w:w="1209" w:type="dxa"/>
          </w:tcPr>
          <w:p w14:paraId="6383C3D1" w14:textId="77777777" w:rsidR="00652235" w:rsidRPr="00B30AFA" w:rsidRDefault="00652235" w:rsidP="00F11AFE">
            <w:pPr>
              <w:pStyle w:val="Critiquetabletext"/>
              <w:spacing w:before="0" w:after="0"/>
              <w:jc w:val="right"/>
              <w:rPr>
                <w:b/>
                <w:color w:val="auto"/>
              </w:rPr>
            </w:pPr>
            <w:r w:rsidRPr="00B30AFA">
              <w:rPr>
                <w:b/>
                <w:color w:val="auto"/>
              </w:rPr>
              <w:t>–$217.61</w:t>
            </w:r>
          </w:p>
        </w:tc>
      </w:tr>
    </w:tbl>
    <w:p w14:paraId="6FE8E087" w14:textId="77777777" w:rsidR="00652235" w:rsidRDefault="00652235" w:rsidP="00C11BBE">
      <w:pPr>
        <w:pStyle w:val="Tablenotes"/>
      </w:pPr>
      <w:r w:rsidRPr="00C36B03">
        <w:rPr>
          <w:vertAlign w:val="superscript"/>
        </w:rPr>
        <w:t>a</w:t>
      </w:r>
      <w:r>
        <w:t xml:space="preserve"> Proposed PUL MBS fee.</w:t>
      </w:r>
    </w:p>
    <w:p w14:paraId="53FA8404" w14:textId="77777777" w:rsidR="00652235" w:rsidRPr="00D93FA3" w:rsidRDefault="00652235" w:rsidP="00C11BBE">
      <w:pPr>
        <w:pStyle w:val="Tablenotes"/>
      </w:pPr>
      <w:r>
        <w:t xml:space="preserve">Abbreviations: </w:t>
      </w:r>
      <w:r w:rsidRPr="00D93FA3">
        <w:t>PUL = prosthetic urethral lift; TURP = transurethral resection of the prostate; VLAP = visual laser ablation of the prostate.</w:t>
      </w:r>
    </w:p>
    <w:p w14:paraId="4FF59A1A" w14:textId="115796E3" w:rsidR="00652235" w:rsidRDefault="00652235" w:rsidP="00C11BBE">
      <w:pPr>
        <w:pStyle w:val="Tablenotes"/>
      </w:pPr>
      <w:r>
        <w:t xml:space="preserve">Source: </w:t>
      </w:r>
      <w:bookmarkStart w:id="26" w:name="_Ref36647803"/>
      <w:r w:rsidRPr="00047E8A">
        <w:t xml:space="preserve">ADAR Critique Table </w:t>
      </w:r>
      <w:fldSimple w:instr=" SEQ ADAR_Critique_Table \* ARABIC ">
        <w:r>
          <w:rPr>
            <w:noProof/>
          </w:rPr>
          <w:t>1</w:t>
        </w:r>
      </w:fldSimple>
      <w:bookmarkEnd w:id="26"/>
      <w:r>
        <w:t>, p25 of the commentary.</w:t>
      </w:r>
    </w:p>
    <w:p w14:paraId="704AE9F1" w14:textId="4D808FF7" w:rsidR="00652235" w:rsidRPr="00D93FA3" w:rsidRDefault="00652235" w:rsidP="00652235">
      <w:r>
        <w:t>The commentary noted that r</w:t>
      </w:r>
      <w:r w:rsidRPr="00D93FA3">
        <w:t>elative to TURP, the ADAR estimates that PUL is associated with a slight cost saving ($49.59). This is due to costs related to major complications with TURP being included in the analysis</w:t>
      </w:r>
      <w:r>
        <w:t>, which may not be reasonable</w:t>
      </w:r>
      <w:r w:rsidRPr="00D93FA3">
        <w:t xml:space="preserve">. Relative to VLAP, the ADAR estimates that PUL is associated with a cost saving of $217.61. This is driven by cost offsets related to a reduction in hospital costs and capital expenditure. </w:t>
      </w:r>
      <w:r>
        <w:t>T</w:t>
      </w:r>
      <w:r w:rsidRPr="00D93FA3">
        <w:t>he assumption of differential hospital costs (due to a longer assumed length of stay) has not been justified. Further, the assumptions used to estimate the per patient capital costs (50 patients per year over 5 years) may not be reasonable.</w:t>
      </w:r>
      <w:r>
        <w:t xml:space="preserve"> </w:t>
      </w:r>
    </w:p>
    <w:p w14:paraId="166FF480" w14:textId="71254976" w:rsidR="00652235" w:rsidRDefault="00652235" w:rsidP="00C11BBE">
      <w:pPr>
        <w:spacing w:before="240"/>
      </w:pPr>
      <w:r>
        <w:t>The commentary considered that the cost of PUL is likely to be underestimated, given the assumptions regarding the number of prostheses and reintervention. Therefore,</w:t>
      </w:r>
      <w:r w:rsidRPr="00D93FA3">
        <w:t xml:space="preserve"> the cost savings claimed,</w:t>
      </w:r>
      <w:r>
        <w:t xml:space="preserve"> is </w:t>
      </w:r>
      <w:r w:rsidRPr="00D93FA3">
        <w:t>likely to be overestimated.</w:t>
      </w:r>
    </w:p>
    <w:p w14:paraId="04626089" w14:textId="2529851E" w:rsidR="00652235" w:rsidRPr="000537B0" w:rsidRDefault="00652235" w:rsidP="00C11BBE">
      <w:pPr>
        <w:spacing w:before="240"/>
        <w:jc w:val="both"/>
      </w:pPr>
      <w:r>
        <w:t>The</w:t>
      </w:r>
      <w:r w:rsidRPr="000537B0">
        <w:t xml:space="preserve"> modelled</w:t>
      </w:r>
      <w:r>
        <w:t xml:space="preserve"> results were most sensitive to the number of prostheses (PUL), number of bed-days (TURP) and life of capital (VLAP) as shown in </w:t>
      </w:r>
      <w:r>
        <w:fldChar w:fldCharType="begin"/>
      </w:r>
      <w:r>
        <w:instrText xml:space="preserve"> REF _Ref40978439 \h </w:instrText>
      </w:r>
      <w:r>
        <w:fldChar w:fldCharType="separate"/>
      </w:r>
      <w:r>
        <w:t xml:space="preserve">Table </w:t>
      </w:r>
      <w:r>
        <w:rPr>
          <w:noProof/>
        </w:rPr>
        <w:t>16</w:t>
      </w:r>
      <w:r>
        <w:fldChar w:fldCharType="end"/>
      </w:r>
      <w:r>
        <w:t>.</w:t>
      </w:r>
    </w:p>
    <w:p w14:paraId="4D1E250F" w14:textId="77777777" w:rsidR="00652235" w:rsidRPr="00D863C8" w:rsidRDefault="00652235" w:rsidP="00D863C8">
      <w:pPr>
        <w:spacing w:before="240"/>
        <w:rPr>
          <w:rFonts w:ascii="Arial Narrow" w:hAnsi="Arial Narrow"/>
          <w:b/>
          <w:sz w:val="20"/>
        </w:rPr>
      </w:pPr>
      <w:bookmarkStart w:id="27" w:name="_Ref40978439"/>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16</w:t>
      </w:r>
      <w:r w:rsidR="00C11BBE" w:rsidRPr="00D863C8">
        <w:rPr>
          <w:rFonts w:ascii="Arial Narrow" w:hAnsi="Arial Narrow"/>
          <w:b/>
          <w:sz w:val="20"/>
        </w:rPr>
        <w:fldChar w:fldCharType="end"/>
      </w:r>
      <w:bookmarkEnd w:id="27"/>
      <w:r w:rsidRPr="00D863C8">
        <w:rPr>
          <w:rFonts w:ascii="Arial Narrow" w:hAnsi="Arial Narrow"/>
          <w:b/>
          <w:sz w:val="20"/>
        </w:rPr>
        <w:t xml:space="preserve"> Key drivers of the economic model</w:t>
      </w:r>
    </w:p>
    <w:tbl>
      <w:tblPr>
        <w:tblStyle w:val="TableGrid1"/>
        <w:tblW w:w="5010" w:type="pct"/>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2562"/>
        <w:gridCol w:w="4362"/>
        <w:gridCol w:w="2110"/>
      </w:tblGrid>
      <w:tr w:rsidR="00652235" w:rsidRPr="000537B0" w14:paraId="068D1B79" w14:textId="77777777" w:rsidTr="000B0156">
        <w:trPr>
          <w:cnfStyle w:val="100000000000" w:firstRow="1" w:lastRow="0" w:firstColumn="0" w:lastColumn="0" w:oddVBand="0" w:evenVBand="0" w:oddHBand="0" w:evenHBand="0" w:firstRowFirstColumn="0" w:firstRowLastColumn="0" w:lastRowFirstColumn="0" w:lastRowLastColumn="0"/>
          <w:tblHeader/>
        </w:trPr>
        <w:tc>
          <w:tcPr>
            <w:tcW w:w="1418" w:type="pct"/>
          </w:tcPr>
          <w:p w14:paraId="1880A09F" w14:textId="77777777" w:rsidR="00652235" w:rsidRPr="00191A30" w:rsidRDefault="00652235" w:rsidP="00F11AFE">
            <w:pPr>
              <w:pStyle w:val="TableHeading"/>
            </w:pPr>
            <w:r w:rsidRPr="00191A30">
              <w:t>Description</w:t>
            </w:r>
          </w:p>
        </w:tc>
        <w:tc>
          <w:tcPr>
            <w:tcW w:w="2414" w:type="pct"/>
          </w:tcPr>
          <w:p w14:paraId="199EA405" w14:textId="77777777" w:rsidR="00652235" w:rsidRPr="00191A30" w:rsidRDefault="00652235" w:rsidP="00F11AFE">
            <w:pPr>
              <w:pStyle w:val="TableHeading"/>
            </w:pPr>
            <w:r w:rsidRPr="00191A30">
              <w:t>Method/Value</w:t>
            </w:r>
          </w:p>
        </w:tc>
        <w:tc>
          <w:tcPr>
            <w:tcW w:w="1168" w:type="pct"/>
          </w:tcPr>
          <w:p w14:paraId="76070664" w14:textId="77777777" w:rsidR="00652235" w:rsidRPr="00191A30" w:rsidRDefault="00652235" w:rsidP="00F11AFE">
            <w:pPr>
              <w:pStyle w:val="TableHeading"/>
            </w:pPr>
            <w:r w:rsidRPr="00191A30">
              <w:t>Impact</w:t>
            </w:r>
          </w:p>
        </w:tc>
      </w:tr>
      <w:tr w:rsidR="00652235" w:rsidRPr="000537B0" w14:paraId="6D0606B5" w14:textId="77777777" w:rsidTr="000B0156">
        <w:tc>
          <w:tcPr>
            <w:tcW w:w="1418" w:type="pct"/>
            <w:tcBorders>
              <w:bottom w:val="single" w:sz="4" w:space="0" w:color="auto"/>
            </w:tcBorders>
          </w:tcPr>
          <w:p w14:paraId="6E63AF38" w14:textId="77777777" w:rsidR="00652235" w:rsidRPr="000537B0" w:rsidRDefault="00652235" w:rsidP="00F11AFE">
            <w:pPr>
              <w:pStyle w:val="Tabletext"/>
              <w:rPr>
                <w:snapToGrid w:val="0"/>
              </w:rPr>
            </w:pPr>
            <w:r w:rsidRPr="000537B0">
              <w:rPr>
                <w:snapToGrid w:val="0"/>
              </w:rPr>
              <w:t>PUL - Number of prostheses</w:t>
            </w:r>
          </w:p>
        </w:tc>
        <w:tc>
          <w:tcPr>
            <w:tcW w:w="2414" w:type="pct"/>
            <w:tcBorders>
              <w:bottom w:val="single" w:sz="4" w:space="0" w:color="auto"/>
            </w:tcBorders>
          </w:tcPr>
          <w:p w14:paraId="0145F561" w14:textId="77777777" w:rsidR="00652235" w:rsidRPr="000537B0" w:rsidRDefault="00652235" w:rsidP="00F11AFE">
            <w:pPr>
              <w:pStyle w:val="Tabletext"/>
              <w:rPr>
                <w:snapToGrid w:val="0"/>
              </w:rPr>
            </w:pPr>
            <w:r w:rsidRPr="000537B0">
              <w:rPr>
                <w:snapToGrid w:val="0"/>
              </w:rPr>
              <w:t>Increase from 4 to 4.5 (12.5%)</w:t>
            </w:r>
          </w:p>
        </w:tc>
        <w:tc>
          <w:tcPr>
            <w:tcW w:w="1168" w:type="pct"/>
            <w:tcBorders>
              <w:bottom w:val="single" w:sz="4" w:space="0" w:color="auto"/>
            </w:tcBorders>
          </w:tcPr>
          <w:p w14:paraId="73E32B6E" w14:textId="77777777" w:rsidR="00652235" w:rsidRPr="000537B0" w:rsidRDefault="00652235" w:rsidP="00F11AFE">
            <w:pPr>
              <w:pStyle w:val="Tabletext"/>
              <w:rPr>
                <w:snapToGrid w:val="0"/>
              </w:rPr>
            </w:pPr>
            <w:r w:rsidRPr="000537B0">
              <w:rPr>
                <w:snapToGrid w:val="0"/>
              </w:rPr>
              <w:t>+ $356.00</w:t>
            </w:r>
          </w:p>
        </w:tc>
      </w:tr>
      <w:tr w:rsidR="00652235" w:rsidRPr="000537B0" w14:paraId="5A275F84" w14:textId="77777777" w:rsidTr="000B0156">
        <w:tc>
          <w:tcPr>
            <w:tcW w:w="1418" w:type="pct"/>
            <w:tcBorders>
              <w:bottom w:val="nil"/>
            </w:tcBorders>
          </w:tcPr>
          <w:p w14:paraId="1B3C3AC7" w14:textId="77777777" w:rsidR="00652235" w:rsidRPr="000537B0" w:rsidRDefault="00652235" w:rsidP="00F11AFE">
            <w:pPr>
              <w:pStyle w:val="Tabletext"/>
              <w:rPr>
                <w:snapToGrid w:val="0"/>
              </w:rPr>
            </w:pPr>
            <w:r w:rsidRPr="000537B0">
              <w:rPr>
                <w:snapToGrid w:val="0"/>
              </w:rPr>
              <w:t>TURP – Number of bed-days</w:t>
            </w:r>
          </w:p>
        </w:tc>
        <w:tc>
          <w:tcPr>
            <w:tcW w:w="2414" w:type="pct"/>
            <w:tcBorders>
              <w:bottom w:val="nil"/>
            </w:tcBorders>
          </w:tcPr>
          <w:p w14:paraId="70A7A2DB" w14:textId="77777777" w:rsidR="00652235" w:rsidRPr="000537B0" w:rsidRDefault="00652235" w:rsidP="00F11AFE">
            <w:pPr>
              <w:pStyle w:val="Tabletext"/>
              <w:rPr>
                <w:snapToGrid w:val="0"/>
              </w:rPr>
            </w:pPr>
            <w:r w:rsidRPr="000537B0">
              <w:rPr>
                <w:snapToGrid w:val="0"/>
              </w:rPr>
              <w:t>Increase from 3.22 to 3.62 (12.5%)</w:t>
            </w:r>
          </w:p>
        </w:tc>
        <w:tc>
          <w:tcPr>
            <w:tcW w:w="1168" w:type="pct"/>
            <w:tcBorders>
              <w:bottom w:val="nil"/>
            </w:tcBorders>
          </w:tcPr>
          <w:p w14:paraId="6A1F9F19" w14:textId="77777777" w:rsidR="00652235" w:rsidRPr="000537B0" w:rsidRDefault="00652235" w:rsidP="00F11AFE">
            <w:pPr>
              <w:pStyle w:val="Tabletext"/>
              <w:rPr>
                <w:snapToGrid w:val="0"/>
              </w:rPr>
            </w:pPr>
            <w:r w:rsidRPr="000537B0">
              <w:rPr>
                <w:snapToGrid w:val="0"/>
              </w:rPr>
              <w:t>+ $337.42</w:t>
            </w:r>
          </w:p>
        </w:tc>
      </w:tr>
      <w:tr w:rsidR="00652235" w:rsidRPr="002F2C3E" w14:paraId="621AB014" w14:textId="77777777" w:rsidTr="000B0156">
        <w:tc>
          <w:tcPr>
            <w:tcW w:w="1418" w:type="pct"/>
            <w:tcBorders>
              <w:top w:val="nil"/>
            </w:tcBorders>
          </w:tcPr>
          <w:p w14:paraId="33883833" w14:textId="77777777" w:rsidR="00652235" w:rsidRPr="002F2C3E" w:rsidRDefault="00652235" w:rsidP="00F11AFE">
            <w:pPr>
              <w:pStyle w:val="Tabletext"/>
              <w:rPr>
                <w:i/>
                <w:snapToGrid w:val="0"/>
              </w:rPr>
            </w:pPr>
            <w:r>
              <w:rPr>
                <w:i/>
                <w:snapToGrid w:val="0"/>
              </w:rPr>
              <w:t>TURP – Number of bed-days</w:t>
            </w:r>
          </w:p>
        </w:tc>
        <w:tc>
          <w:tcPr>
            <w:tcW w:w="2414" w:type="pct"/>
            <w:tcBorders>
              <w:top w:val="nil"/>
            </w:tcBorders>
          </w:tcPr>
          <w:p w14:paraId="0BE0CFED" w14:textId="77777777" w:rsidR="00652235" w:rsidRPr="002F2C3E" w:rsidRDefault="00652235" w:rsidP="00F11AFE">
            <w:pPr>
              <w:pStyle w:val="Tabletext"/>
              <w:rPr>
                <w:i/>
                <w:snapToGrid w:val="0"/>
              </w:rPr>
            </w:pPr>
            <w:r>
              <w:rPr>
                <w:i/>
                <w:snapToGrid w:val="0"/>
              </w:rPr>
              <w:t>Increase from 2.56 to 2.88 (12.5% increase)</w:t>
            </w:r>
          </w:p>
        </w:tc>
        <w:tc>
          <w:tcPr>
            <w:tcW w:w="1168" w:type="pct"/>
            <w:tcBorders>
              <w:top w:val="nil"/>
            </w:tcBorders>
          </w:tcPr>
          <w:p w14:paraId="4A9570F1" w14:textId="77777777" w:rsidR="00652235" w:rsidRPr="002F2C3E" w:rsidRDefault="00652235" w:rsidP="00F11AFE">
            <w:pPr>
              <w:pStyle w:val="Tabletext"/>
              <w:rPr>
                <w:i/>
                <w:snapToGrid w:val="0"/>
              </w:rPr>
            </w:pPr>
            <w:r>
              <w:rPr>
                <w:i/>
                <w:snapToGrid w:val="0"/>
              </w:rPr>
              <w:t>−$309.75</w:t>
            </w:r>
          </w:p>
        </w:tc>
      </w:tr>
      <w:tr w:rsidR="00652235" w:rsidRPr="000537B0" w14:paraId="70D1CA24" w14:textId="77777777" w:rsidTr="00D863C8">
        <w:tc>
          <w:tcPr>
            <w:tcW w:w="1418" w:type="pct"/>
          </w:tcPr>
          <w:p w14:paraId="34E1EA00" w14:textId="77777777" w:rsidR="00652235" w:rsidRPr="000537B0" w:rsidRDefault="00652235" w:rsidP="00F11AFE">
            <w:pPr>
              <w:pStyle w:val="Tabletext"/>
              <w:rPr>
                <w:snapToGrid w:val="0"/>
              </w:rPr>
            </w:pPr>
            <w:r w:rsidRPr="000537B0">
              <w:rPr>
                <w:snapToGrid w:val="0"/>
              </w:rPr>
              <w:t>VLAP – Life of capital</w:t>
            </w:r>
          </w:p>
        </w:tc>
        <w:tc>
          <w:tcPr>
            <w:tcW w:w="2414" w:type="pct"/>
          </w:tcPr>
          <w:p w14:paraId="59DAC9B5" w14:textId="77777777" w:rsidR="00652235" w:rsidRPr="000537B0" w:rsidRDefault="00652235" w:rsidP="00F11AFE">
            <w:pPr>
              <w:pStyle w:val="Tabletext"/>
              <w:rPr>
                <w:snapToGrid w:val="0"/>
              </w:rPr>
            </w:pPr>
            <w:r w:rsidRPr="000537B0">
              <w:rPr>
                <w:snapToGrid w:val="0"/>
              </w:rPr>
              <w:t>Increase from 5 to 7 years</w:t>
            </w:r>
          </w:p>
        </w:tc>
        <w:tc>
          <w:tcPr>
            <w:tcW w:w="1168" w:type="pct"/>
          </w:tcPr>
          <w:p w14:paraId="3978F813" w14:textId="77777777" w:rsidR="00652235" w:rsidRPr="000537B0" w:rsidRDefault="00652235" w:rsidP="00F11AFE">
            <w:pPr>
              <w:pStyle w:val="Tabletext"/>
              <w:rPr>
                <w:snapToGrid w:val="0"/>
              </w:rPr>
            </w:pPr>
            <w:r w:rsidRPr="000537B0">
              <w:rPr>
                <w:snapToGrid w:val="0"/>
              </w:rPr>
              <w:t>-$228.38</w:t>
            </w:r>
          </w:p>
        </w:tc>
      </w:tr>
    </w:tbl>
    <w:p w14:paraId="3B44ADBB" w14:textId="77777777" w:rsidR="00652235" w:rsidRDefault="00652235" w:rsidP="00C11BBE">
      <w:pPr>
        <w:pStyle w:val="Tablenotes"/>
      </w:pPr>
      <w:r>
        <w:t>Note: Analyses in italics were conducted by the commentary as the results presented in the ADAR could not be verified.</w:t>
      </w:r>
    </w:p>
    <w:p w14:paraId="54C9B314" w14:textId="77777777" w:rsidR="00652235" w:rsidRPr="00D93FA3" w:rsidRDefault="00652235" w:rsidP="00C11BBE">
      <w:pPr>
        <w:pStyle w:val="Tablenotes"/>
      </w:pPr>
      <w:r>
        <w:t xml:space="preserve">Abbreviations: </w:t>
      </w:r>
      <w:r w:rsidRPr="00D93FA3">
        <w:t>PUL = prosthetic urethral lift; TURP = transurethral resection of the prostate; VLAP = visual laser ablation of the prostate.</w:t>
      </w:r>
    </w:p>
    <w:p w14:paraId="52735EA5" w14:textId="75121E28" w:rsidR="00652235" w:rsidRDefault="00652235" w:rsidP="00C11BBE">
      <w:pPr>
        <w:pStyle w:val="Tablenotes"/>
      </w:pPr>
      <w:r>
        <w:t>Source: Table 9, p26 of the commentary.</w:t>
      </w:r>
    </w:p>
    <w:p w14:paraId="67831ADF" w14:textId="6B2A733A" w:rsidR="00C11BBE" w:rsidRPr="00C11BBE" w:rsidRDefault="00652235" w:rsidP="00C11BBE">
      <w:pPr>
        <w:spacing w:after="240"/>
      </w:pPr>
      <w:r>
        <w:t>The commentary noted that t</w:t>
      </w:r>
      <w:r w:rsidRPr="002D5795">
        <w:t xml:space="preserve">he sensitivity analyses presented in the ADAR </w:t>
      </w:r>
      <w:r>
        <w:t>were based on</w:t>
      </w:r>
      <w:r w:rsidRPr="002D5795">
        <w:t xml:space="preserve"> arbitrary increases (12.5%</w:t>
      </w:r>
      <w:r>
        <w:t xml:space="preserve"> for the number of PUL prostheses or number of TURP bed days, or 2 year increase for VLAP capital).</w:t>
      </w:r>
      <w:r w:rsidRPr="002D5795">
        <w:t xml:space="preserve"> These arbitrary values do not reflect the range of uncerta</w:t>
      </w:r>
      <w:r>
        <w:t xml:space="preserve">inty in the parameters tested. </w:t>
      </w:r>
      <w:r w:rsidRPr="00FD633A">
        <w:t xml:space="preserve">Additional sensitivity analyses conducted </w:t>
      </w:r>
      <w:r>
        <w:t>by the commentary</w:t>
      </w:r>
      <w:r w:rsidRPr="00FD633A">
        <w:t xml:space="preserve"> are presented in</w:t>
      </w:r>
      <w:r>
        <w:t xml:space="preserve"> </w:t>
      </w:r>
      <w:r>
        <w:fldChar w:fldCharType="begin"/>
      </w:r>
      <w:r>
        <w:instrText xml:space="preserve"> REF _Ref40975009 \h </w:instrText>
      </w:r>
      <w:r>
        <w:fldChar w:fldCharType="separate"/>
      </w:r>
      <w:r>
        <w:t xml:space="preserve">Table </w:t>
      </w:r>
      <w:r>
        <w:rPr>
          <w:noProof/>
        </w:rPr>
        <w:t>17</w:t>
      </w:r>
      <w:r>
        <w:fldChar w:fldCharType="end"/>
      </w:r>
      <w:r w:rsidRPr="00FD633A">
        <w:t>.</w:t>
      </w:r>
      <w:bookmarkStart w:id="28" w:name="_Ref40975009"/>
      <w:r w:rsidR="00C11BBE">
        <w:br w:type="page"/>
      </w:r>
    </w:p>
    <w:p w14:paraId="5E058F6B" w14:textId="28DAA89B" w:rsidR="00652235" w:rsidRPr="00D863C8" w:rsidRDefault="00652235" w:rsidP="00D863C8">
      <w:pPr>
        <w:rPr>
          <w:rFonts w:ascii="Arial Narrow" w:hAnsi="Arial Narrow"/>
          <w:b/>
          <w:sz w:val="20"/>
        </w:rPr>
      </w:pPr>
      <w:r w:rsidRPr="00D863C8">
        <w:rPr>
          <w:rFonts w:ascii="Arial Narrow" w:hAnsi="Arial Narrow"/>
          <w:b/>
          <w:sz w:val="20"/>
        </w:rPr>
        <w:lastRenderedPageBreak/>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17</w:t>
      </w:r>
      <w:r w:rsidR="00C11BBE" w:rsidRPr="00D863C8">
        <w:rPr>
          <w:rFonts w:ascii="Arial Narrow" w:hAnsi="Arial Narrow"/>
          <w:b/>
          <w:sz w:val="20"/>
        </w:rPr>
        <w:fldChar w:fldCharType="end"/>
      </w:r>
      <w:bookmarkEnd w:id="28"/>
      <w:r w:rsidRPr="00D863C8">
        <w:rPr>
          <w:rFonts w:ascii="Arial Narrow" w:hAnsi="Arial Narrow"/>
          <w:b/>
          <w:sz w:val="20"/>
        </w:rPr>
        <w:t xml:space="preserve"> Sensitivity analyses conducted by the commentary</w:t>
      </w:r>
    </w:p>
    <w:tbl>
      <w:tblPr>
        <w:tblStyle w:val="TableGrid"/>
        <w:tblW w:w="0" w:type="auto"/>
        <w:tblLook w:val="04A0" w:firstRow="1" w:lastRow="0" w:firstColumn="1" w:lastColumn="0" w:noHBand="0" w:noVBand="1"/>
        <w:tblDescription w:val="Sensitivity analyses conducted by the commentary"/>
      </w:tblPr>
      <w:tblGrid>
        <w:gridCol w:w="3539"/>
        <w:gridCol w:w="1095"/>
        <w:gridCol w:w="1095"/>
        <w:gridCol w:w="1096"/>
        <w:gridCol w:w="1095"/>
        <w:gridCol w:w="1096"/>
      </w:tblGrid>
      <w:tr w:rsidR="00652235" w:rsidRPr="00FD633A" w14:paraId="3E27402E" w14:textId="77777777" w:rsidTr="00221228">
        <w:trPr>
          <w:tblHeader/>
        </w:trPr>
        <w:tc>
          <w:tcPr>
            <w:tcW w:w="3539" w:type="dxa"/>
          </w:tcPr>
          <w:p w14:paraId="165BE7D8" w14:textId="77777777" w:rsidR="00652235" w:rsidRPr="000014F2" w:rsidRDefault="00652235" w:rsidP="0083662B">
            <w:pPr>
              <w:pStyle w:val="Critiquetabletext"/>
              <w:spacing w:before="0" w:after="0"/>
              <w:rPr>
                <w:b/>
                <w:color w:val="auto"/>
              </w:rPr>
            </w:pPr>
          </w:p>
        </w:tc>
        <w:tc>
          <w:tcPr>
            <w:tcW w:w="1095" w:type="dxa"/>
          </w:tcPr>
          <w:p w14:paraId="5EDA197E" w14:textId="77777777" w:rsidR="00652235" w:rsidRPr="000014F2" w:rsidRDefault="00652235" w:rsidP="0083662B">
            <w:pPr>
              <w:pStyle w:val="Critiquetabletext"/>
              <w:spacing w:before="0" w:after="0"/>
              <w:jc w:val="center"/>
              <w:rPr>
                <w:b/>
                <w:color w:val="auto"/>
              </w:rPr>
            </w:pPr>
            <w:r w:rsidRPr="000014F2">
              <w:rPr>
                <w:b/>
                <w:color w:val="auto"/>
              </w:rPr>
              <w:t>PUL</w:t>
            </w:r>
          </w:p>
        </w:tc>
        <w:tc>
          <w:tcPr>
            <w:tcW w:w="1095" w:type="dxa"/>
          </w:tcPr>
          <w:p w14:paraId="7010D04F" w14:textId="77777777" w:rsidR="00652235" w:rsidRPr="000014F2" w:rsidRDefault="00652235" w:rsidP="0083662B">
            <w:pPr>
              <w:pStyle w:val="Critiquetabletext"/>
              <w:spacing w:before="0" w:after="0"/>
              <w:jc w:val="center"/>
              <w:rPr>
                <w:b/>
                <w:color w:val="auto"/>
              </w:rPr>
            </w:pPr>
            <w:r w:rsidRPr="000014F2">
              <w:rPr>
                <w:b/>
                <w:color w:val="auto"/>
              </w:rPr>
              <w:t>TURP</w:t>
            </w:r>
          </w:p>
        </w:tc>
        <w:tc>
          <w:tcPr>
            <w:tcW w:w="1096" w:type="dxa"/>
          </w:tcPr>
          <w:p w14:paraId="50146939" w14:textId="77777777" w:rsidR="00652235" w:rsidRPr="000014F2" w:rsidRDefault="00652235" w:rsidP="0083662B">
            <w:pPr>
              <w:pStyle w:val="Critiquetabletext"/>
              <w:spacing w:before="0" w:after="0"/>
              <w:jc w:val="center"/>
              <w:rPr>
                <w:b/>
                <w:color w:val="auto"/>
              </w:rPr>
            </w:pPr>
            <w:r w:rsidRPr="000014F2">
              <w:rPr>
                <w:b/>
                <w:color w:val="auto"/>
              </w:rPr>
              <w:t>Inc. cost</w:t>
            </w:r>
          </w:p>
        </w:tc>
        <w:tc>
          <w:tcPr>
            <w:tcW w:w="1095" w:type="dxa"/>
          </w:tcPr>
          <w:p w14:paraId="3A1599BB" w14:textId="77777777" w:rsidR="00652235" w:rsidRPr="000014F2" w:rsidRDefault="00652235" w:rsidP="0083662B">
            <w:pPr>
              <w:pStyle w:val="Critiquetabletext"/>
              <w:spacing w:before="0" w:after="0"/>
              <w:jc w:val="center"/>
              <w:rPr>
                <w:b/>
                <w:color w:val="auto"/>
              </w:rPr>
            </w:pPr>
            <w:r w:rsidRPr="000014F2">
              <w:rPr>
                <w:b/>
                <w:color w:val="auto"/>
              </w:rPr>
              <w:t>VLAP</w:t>
            </w:r>
          </w:p>
        </w:tc>
        <w:tc>
          <w:tcPr>
            <w:tcW w:w="1096" w:type="dxa"/>
          </w:tcPr>
          <w:p w14:paraId="69B77598" w14:textId="77777777" w:rsidR="00652235" w:rsidRPr="000014F2" w:rsidRDefault="00652235" w:rsidP="0083662B">
            <w:pPr>
              <w:pStyle w:val="Critiquetabletext"/>
              <w:spacing w:before="0" w:after="0"/>
              <w:jc w:val="center"/>
              <w:rPr>
                <w:b/>
                <w:color w:val="auto"/>
              </w:rPr>
            </w:pPr>
            <w:r w:rsidRPr="000014F2">
              <w:rPr>
                <w:b/>
                <w:color w:val="auto"/>
              </w:rPr>
              <w:t>Inc. cost</w:t>
            </w:r>
          </w:p>
        </w:tc>
      </w:tr>
      <w:tr w:rsidR="00652235" w:rsidRPr="00FD633A" w14:paraId="484A52F9" w14:textId="77777777" w:rsidTr="00F11AFE">
        <w:tc>
          <w:tcPr>
            <w:tcW w:w="3539" w:type="dxa"/>
          </w:tcPr>
          <w:p w14:paraId="02D5F723" w14:textId="77777777" w:rsidR="00652235" w:rsidRPr="000014F2" w:rsidRDefault="00652235" w:rsidP="0083662B">
            <w:pPr>
              <w:pStyle w:val="Critiquetabletext"/>
              <w:spacing w:before="0" w:after="0"/>
              <w:rPr>
                <w:b/>
                <w:color w:val="auto"/>
              </w:rPr>
            </w:pPr>
            <w:r w:rsidRPr="000014F2">
              <w:rPr>
                <w:b/>
                <w:color w:val="auto"/>
              </w:rPr>
              <w:t>Base case</w:t>
            </w:r>
          </w:p>
        </w:tc>
        <w:tc>
          <w:tcPr>
            <w:tcW w:w="1095" w:type="dxa"/>
          </w:tcPr>
          <w:p w14:paraId="6576A5B2" w14:textId="77777777" w:rsidR="00652235" w:rsidRPr="000014F2" w:rsidRDefault="00652235" w:rsidP="0083662B">
            <w:pPr>
              <w:pStyle w:val="Critiquetabletext"/>
              <w:spacing w:before="0" w:after="0"/>
              <w:jc w:val="right"/>
              <w:rPr>
                <w:b/>
                <w:color w:val="auto"/>
              </w:rPr>
            </w:pPr>
            <w:r w:rsidRPr="000014F2">
              <w:rPr>
                <w:b/>
                <w:color w:val="auto"/>
              </w:rPr>
              <w:t>$5,775.13</w:t>
            </w:r>
          </w:p>
        </w:tc>
        <w:tc>
          <w:tcPr>
            <w:tcW w:w="1095" w:type="dxa"/>
          </w:tcPr>
          <w:p w14:paraId="13BF8F69" w14:textId="77777777" w:rsidR="00652235" w:rsidRPr="000014F2" w:rsidRDefault="00652235" w:rsidP="0083662B">
            <w:pPr>
              <w:pStyle w:val="Critiquetabletext"/>
              <w:spacing w:before="0" w:after="0"/>
              <w:jc w:val="right"/>
              <w:rPr>
                <w:b/>
                <w:color w:val="auto"/>
              </w:rPr>
            </w:pPr>
            <w:r w:rsidRPr="000014F2">
              <w:rPr>
                <w:b/>
                <w:color w:val="auto"/>
              </w:rPr>
              <w:t>$5,824.72</w:t>
            </w:r>
          </w:p>
        </w:tc>
        <w:tc>
          <w:tcPr>
            <w:tcW w:w="1096" w:type="dxa"/>
          </w:tcPr>
          <w:p w14:paraId="36ED6F49" w14:textId="77777777" w:rsidR="00652235" w:rsidRPr="000014F2" w:rsidRDefault="00652235" w:rsidP="0083662B">
            <w:pPr>
              <w:pStyle w:val="Critiquetabletext"/>
              <w:spacing w:before="0" w:after="0"/>
              <w:jc w:val="right"/>
              <w:rPr>
                <w:b/>
                <w:color w:val="auto"/>
              </w:rPr>
            </w:pPr>
            <w:r w:rsidRPr="000014F2">
              <w:rPr>
                <w:b/>
                <w:color w:val="auto"/>
              </w:rPr>
              <w:t>–$49.59</w:t>
            </w:r>
          </w:p>
        </w:tc>
        <w:tc>
          <w:tcPr>
            <w:tcW w:w="1095" w:type="dxa"/>
          </w:tcPr>
          <w:p w14:paraId="4DD30994" w14:textId="77777777" w:rsidR="00652235" w:rsidRPr="000014F2" w:rsidRDefault="00652235" w:rsidP="0083662B">
            <w:pPr>
              <w:pStyle w:val="Critiquetabletext"/>
              <w:spacing w:before="0" w:after="0"/>
              <w:jc w:val="right"/>
              <w:rPr>
                <w:b/>
                <w:color w:val="auto"/>
              </w:rPr>
            </w:pPr>
            <w:r w:rsidRPr="000014F2">
              <w:rPr>
                <w:b/>
                <w:color w:val="auto"/>
              </w:rPr>
              <w:t>$5,992.74</w:t>
            </w:r>
          </w:p>
        </w:tc>
        <w:tc>
          <w:tcPr>
            <w:tcW w:w="1096" w:type="dxa"/>
          </w:tcPr>
          <w:p w14:paraId="3423463D" w14:textId="77777777" w:rsidR="00652235" w:rsidRPr="000014F2" w:rsidRDefault="00652235" w:rsidP="0083662B">
            <w:pPr>
              <w:pStyle w:val="Critiquetabletext"/>
              <w:spacing w:before="0" w:after="0"/>
              <w:jc w:val="right"/>
              <w:rPr>
                <w:b/>
                <w:color w:val="auto"/>
              </w:rPr>
            </w:pPr>
            <w:r w:rsidRPr="000014F2">
              <w:rPr>
                <w:b/>
                <w:color w:val="auto"/>
              </w:rPr>
              <w:t>–$217.61</w:t>
            </w:r>
          </w:p>
        </w:tc>
      </w:tr>
      <w:tr w:rsidR="00652235" w:rsidRPr="00FD633A" w14:paraId="50EB6D17" w14:textId="77777777" w:rsidTr="00F11AFE">
        <w:tc>
          <w:tcPr>
            <w:tcW w:w="3539" w:type="dxa"/>
            <w:tcBorders>
              <w:right w:val="nil"/>
            </w:tcBorders>
          </w:tcPr>
          <w:p w14:paraId="665DF8DD" w14:textId="77777777" w:rsidR="00652235" w:rsidRPr="000014F2" w:rsidRDefault="00652235" w:rsidP="0083662B">
            <w:pPr>
              <w:pStyle w:val="Critiquetabletext"/>
              <w:spacing w:before="0" w:after="0"/>
              <w:rPr>
                <w:i/>
                <w:iCs/>
                <w:color w:val="auto"/>
              </w:rPr>
            </w:pPr>
            <w:r w:rsidRPr="000014F2">
              <w:rPr>
                <w:i/>
                <w:iCs/>
                <w:color w:val="auto"/>
              </w:rPr>
              <w:t>Hospital length of stay</w:t>
            </w:r>
          </w:p>
        </w:tc>
        <w:tc>
          <w:tcPr>
            <w:tcW w:w="1095" w:type="dxa"/>
            <w:tcBorders>
              <w:left w:val="nil"/>
              <w:right w:val="nil"/>
            </w:tcBorders>
          </w:tcPr>
          <w:p w14:paraId="3E213165"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1A70B3E1" w14:textId="77777777" w:rsidR="00652235" w:rsidRPr="000014F2" w:rsidRDefault="00652235" w:rsidP="0083662B">
            <w:pPr>
              <w:pStyle w:val="Critiquetabletext"/>
              <w:spacing w:before="0" w:after="0"/>
              <w:jc w:val="right"/>
              <w:rPr>
                <w:i/>
                <w:iCs/>
                <w:color w:val="auto"/>
              </w:rPr>
            </w:pPr>
          </w:p>
        </w:tc>
        <w:tc>
          <w:tcPr>
            <w:tcW w:w="1096" w:type="dxa"/>
            <w:tcBorders>
              <w:left w:val="nil"/>
              <w:right w:val="nil"/>
            </w:tcBorders>
          </w:tcPr>
          <w:p w14:paraId="70B17D73"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6426A640" w14:textId="77777777" w:rsidR="00652235" w:rsidRPr="000014F2" w:rsidRDefault="00652235" w:rsidP="0083662B">
            <w:pPr>
              <w:pStyle w:val="Critiquetabletext"/>
              <w:spacing w:before="0" w:after="0"/>
              <w:jc w:val="right"/>
              <w:rPr>
                <w:i/>
                <w:iCs/>
                <w:color w:val="auto"/>
              </w:rPr>
            </w:pPr>
          </w:p>
        </w:tc>
        <w:tc>
          <w:tcPr>
            <w:tcW w:w="1096" w:type="dxa"/>
            <w:tcBorders>
              <w:left w:val="nil"/>
            </w:tcBorders>
          </w:tcPr>
          <w:p w14:paraId="39C4E0A8" w14:textId="77777777" w:rsidR="00652235" w:rsidRPr="000014F2" w:rsidRDefault="00652235" w:rsidP="0083662B">
            <w:pPr>
              <w:pStyle w:val="Critiquetabletext"/>
              <w:spacing w:before="0" w:after="0"/>
              <w:jc w:val="right"/>
              <w:rPr>
                <w:i/>
                <w:iCs/>
                <w:color w:val="auto"/>
              </w:rPr>
            </w:pPr>
          </w:p>
        </w:tc>
      </w:tr>
      <w:tr w:rsidR="00652235" w:rsidRPr="00FD633A" w14:paraId="1E937F52" w14:textId="77777777" w:rsidTr="00F11AFE">
        <w:tc>
          <w:tcPr>
            <w:tcW w:w="3539" w:type="dxa"/>
            <w:tcBorders>
              <w:bottom w:val="nil"/>
            </w:tcBorders>
          </w:tcPr>
          <w:p w14:paraId="72C4DFF2" w14:textId="77777777" w:rsidR="00652235" w:rsidRPr="000014F2" w:rsidRDefault="00652235" w:rsidP="0083662B">
            <w:pPr>
              <w:pStyle w:val="Critiquetabletext"/>
              <w:spacing w:before="0" w:after="0"/>
              <w:rPr>
                <w:i/>
                <w:iCs/>
                <w:color w:val="auto"/>
              </w:rPr>
            </w:pPr>
            <w:r w:rsidRPr="000014F2">
              <w:rPr>
                <w:i/>
                <w:iCs/>
                <w:color w:val="auto"/>
              </w:rPr>
              <w:t xml:space="preserve">TURP, 1.9 days (base case: 2.56) </w:t>
            </w:r>
            <w:r w:rsidRPr="000014F2">
              <w:rPr>
                <w:b/>
                <w:i/>
                <w:iCs/>
                <w:color w:val="auto"/>
              </w:rPr>
              <w:t>(#5)</w:t>
            </w:r>
          </w:p>
        </w:tc>
        <w:tc>
          <w:tcPr>
            <w:tcW w:w="1095" w:type="dxa"/>
            <w:tcBorders>
              <w:bottom w:val="nil"/>
            </w:tcBorders>
          </w:tcPr>
          <w:p w14:paraId="05D049E5" w14:textId="77777777" w:rsidR="00652235" w:rsidRPr="000014F2" w:rsidRDefault="00652235" w:rsidP="0083662B">
            <w:pPr>
              <w:pStyle w:val="Critiquetabletext"/>
              <w:spacing w:before="0" w:after="0"/>
              <w:jc w:val="right"/>
              <w:rPr>
                <w:i/>
                <w:iCs/>
                <w:color w:val="auto"/>
              </w:rPr>
            </w:pPr>
            <w:r w:rsidRPr="000014F2">
              <w:rPr>
                <w:i/>
                <w:iCs/>
                <w:color w:val="auto"/>
              </w:rPr>
              <w:t>$5,765.79</w:t>
            </w:r>
          </w:p>
        </w:tc>
        <w:tc>
          <w:tcPr>
            <w:tcW w:w="1095" w:type="dxa"/>
            <w:tcBorders>
              <w:bottom w:val="nil"/>
            </w:tcBorders>
          </w:tcPr>
          <w:p w14:paraId="22AF76CA" w14:textId="77777777" w:rsidR="00652235" w:rsidRPr="000014F2" w:rsidRDefault="00652235" w:rsidP="0083662B">
            <w:pPr>
              <w:pStyle w:val="Critiquetabletext"/>
              <w:spacing w:before="0" w:after="0"/>
              <w:jc w:val="right"/>
              <w:rPr>
                <w:i/>
                <w:iCs/>
                <w:color w:val="auto"/>
              </w:rPr>
            </w:pPr>
            <w:r w:rsidRPr="000014F2">
              <w:rPr>
                <w:i/>
                <w:iCs/>
                <w:color w:val="auto"/>
              </w:rPr>
              <w:t>$5,176.52</w:t>
            </w:r>
          </w:p>
        </w:tc>
        <w:tc>
          <w:tcPr>
            <w:tcW w:w="1096" w:type="dxa"/>
            <w:tcBorders>
              <w:bottom w:val="nil"/>
            </w:tcBorders>
          </w:tcPr>
          <w:p w14:paraId="406CD762" w14:textId="77777777" w:rsidR="00652235" w:rsidRPr="000014F2" w:rsidRDefault="00652235" w:rsidP="0083662B">
            <w:pPr>
              <w:pStyle w:val="Critiquetabletext"/>
              <w:spacing w:before="0" w:after="0"/>
              <w:jc w:val="right"/>
              <w:rPr>
                <w:i/>
                <w:iCs/>
                <w:color w:val="auto"/>
              </w:rPr>
            </w:pPr>
            <w:r w:rsidRPr="000014F2">
              <w:rPr>
                <w:i/>
                <w:iCs/>
                <w:color w:val="auto"/>
              </w:rPr>
              <w:t>$589.27</w:t>
            </w:r>
          </w:p>
        </w:tc>
        <w:tc>
          <w:tcPr>
            <w:tcW w:w="1095" w:type="dxa"/>
            <w:tcBorders>
              <w:bottom w:val="nil"/>
            </w:tcBorders>
          </w:tcPr>
          <w:p w14:paraId="2A8FA6B1"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nil"/>
            </w:tcBorders>
          </w:tcPr>
          <w:p w14:paraId="63FA90D7" w14:textId="77777777" w:rsidR="00652235" w:rsidRPr="000014F2" w:rsidRDefault="00652235" w:rsidP="0083662B">
            <w:pPr>
              <w:pStyle w:val="Critiquetabletext"/>
              <w:spacing w:before="0" w:after="0"/>
              <w:jc w:val="right"/>
              <w:rPr>
                <w:i/>
                <w:iCs/>
                <w:color w:val="auto"/>
              </w:rPr>
            </w:pPr>
            <w:r w:rsidRPr="000014F2">
              <w:rPr>
                <w:i/>
                <w:iCs/>
                <w:color w:val="auto"/>
              </w:rPr>
              <w:t>–$226.94</w:t>
            </w:r>
          </w:p>
        </w:tc>
      </w:tr>
      <w:tr w:rsidR="00652235" w:rsidRPr="00FD633A" w14:paraId="02476DDC" w14:textId="77777777" w:rsidTr="00F11AFE">
        <w:tc>
          <w:tcPr>
            <w:tcW w:w="3539" w:type="dxa"/>
            <w:tcBorders>
              <w:top w:val="nil"/>
            </w:tcBorders>
          </w:tcPr>
          <w:p w14:paraId="1B881FE5" w14:textId="77777777" w:rsidR="00652235" w:rsidRPr="000014F2" w:rsidRDefault="00652235" w:rsidP="0083662B">
            <w:pPr>
              <w:pStyle w:val="Critiquetabletext"/>
              <w:spacing w:before="0" w:after="0"/>
              <w:rPr>
                <w:i/>
                <w:iCs/>
                <w:color w:val="auto"/>
              </w:rPr>
            </w:pPr>
            <w:r w:rsidRPr="000014F2">
              <w:rPr>
                <w:i/>
                <w:iCs/>
                <w:color w:val="auto"/>
              </w:rPr>
              <w:t>VLAP, 1 day (base case: 2 days)</w:t>
            </w:r>
          </w:p>
        </w:tc>
        <w:tc>
          <w:tcPr>
            <w:tcW w:w="1095" w:type="dxa"/>
            <w:tcBorders>
              <w:top w:val="nil"/>
            </w:tcBorders>
          </w:tcPr>
          <w:p w14:paraId="503C4305" w14:textId="77777777" w:rsidR="00652235" w:rsidRPr="000014F2" w:rsidRDefault="00652235" w:rsidP="0083662B">
            <w:pPr>
              <w:pStyle w:val="Critiquetabletext"/>
              <w:spacing w:before="0" w:after="0"/>
              <w:jc w:val="right"/>
              <w:rPr>
                <w:i/>
                <w:iCs/>
                <w:color w:val="auto"/>
              </w:rPr>
            </w:pPr>
            <w:r w:rsidRPr="000014F2">
              <w:rPr>
                <w:i/>
                <w:iCs/>
                <w:color w:val="auto"/>
              </w:rPr>
              <w:t>$5,775.13</w:t>
            </w:r>
          </w:p>
        </w:tc>
        <w:tc>
          <w:tcPr>
            <w:tcW w:w="1095" w:type="dxa"/>
            <w:tcBorders>
              <w:top w:val="nil"/>
            </w:tcBorders>
          </w:tcPr>
          <w:p w14:paraId="32E404D0"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Borders>
              <w:top w:val="nil"/>
            </w:tcBorders>
          </w:tcPr>
          <w:p w14:paraId="70996BE9" w14:textId="77777777" w:rsidR="00652235" w:rsidRPr="000014F2" w:rsidRDefault="00652235" w:rsidP="0083662B">
            <w:pPr>
              <w:pStyle w:val="Critiquetabletext"/>
              <w:spacing w:before="0" w:after="0"/>
              <w:jc w:val="right"/>
              <w:rPr>
                <w:i/>
                <w:iCs/>
                <w:color w:val="auto"/>
              </w:rPr>
            </w:pPr>
            <w:r w:rsidRPr="000014F2">
              <w:rPr>
                <w:i/>
                <w:iCs/>
                <w:color w:val="auto"/>
              </w:rPr>
              <w:t>–$49.59</w:t>
            </w:r>
          </w:p>
        </w:tc>
        <w:tc>
          <w:tcPr>
            <w:tcW w:w="1095" w:type="dxa"/>
            <w:tcBorders>
              <w:top w:val="nil"/>
            </w:tcBorders>
          </w:tcPr>
          <w:p w14:paraId="48CDCD5E" w14:textId="77777777" w:rsidR="00652235" w:rsidRPr="000014F2" w:rsidRDefault="00652235" w:rsidP="0083662B">
            <w:pPr>
              <w:pStyle w:val="Critiquetabletext"/>
              <w:spacing w:before="0" w:after="0"/>
              <w:jc w:val="right"/>
              <w:rPr>
                <w:i/>
                <w:iCs/>
                <w:color w:val="auto"/>
              </w:rPr>
            </w:pPr>
            <w:r w:rsidRPr="000014F2">
              <w:rPr>
                <w:i/>
                <w:iCs/>
                <w:color w:val="auto"/>
              </w:rPr>
              <w:t>$5,203.64</w:t>
            </w:r>
          </w:p>
        </w:tc>
        <w:tc>
          <w:tcPr>
            <w:tcW w:w="1096" w:type="dxa"/>
            <w:tcBorders>
              <w:top w:val="nil"/>
            </w:tcBorders>
          </w:tcPr>
          <w:p w14:paraId="1A4C7594" w14:textId="77777777" w:rsidR="00652235" w:rsidRPr="000014F2" w:rsidRDefault="00652235" w:rsidP="0083662B">
            <w:pPr>
              <w:pStyle w:val="Critiquetabletext"/>
              <w:spacing w:before="0" w:after="0"/>
              <w:jc w:val="right"/>
              <w:rPr>
                <w:i/>
                <w:iCs/>
                <w:color w:val="auto"/>
              </w:rPr>
            </w:pPr>
            <w:r w:rsidRPr="000014F2">
              <w:rPr>
                <w:i/>
                <w:iCs/>
                <w:color w:val="auto"/>
              </w:rPr>
              <w:t>$571.49</w:t>
            </w:r>
          </w:p>
        </w:tc>
      </w:tr>
      <w:tr w:rsidR="00652235" w:rsidRPr="00FD633A" w14:paraId="731616D6" w14:textId="77777777" w:rsidTr="00F11AFE">
        <w:tc>
          <w:tcPr>
            <w:tcW w:w="3539" w:type="dxa"/>
            <w:tcBorders>
              <w:right w:val="nil"/>
            </w:tcBorders>
          </w:tcPr>
          <w:p w14:paraId="094E4227" w14:textId="77777777" w:rsidR="00652235" w:rsidRPr="000014F2" w:rsidRDefault="00652235" w:rsidP="0083662B">
            <w:pPr>
              <w:pStyle w:val="Critiquetabletext"/>
              <w:spacing w:before="0" w:after="0"/>
              <w:rPr>
                <w:i/>
                <w:iCs/>
                <w:color w:val="auto"/>
              </w:rPr>
            </w:pPr>
            <w:r w:rsidRPr="000014F2">
              <w:rPr>
                <w:i/>
                <w:iCs/>
                <w:color w:val="auto"/>
              </w:rPr>
              <w:t xml:space="preserve">Source of TURP major cost weight multiplier </w:t>
            </w:r>
            <w:r w:rsidRPr="000014F2">
              <w:rPr>
                <w:i/>
                <w:iCs/>
                <w:color w:val="auto"/>
              </w:rPr>
              <w:br/>
              <w:t>(base case: 2018-19, 2.43)</w:t>
            </w:r>
          </w:p>
        </w:tc>
        <w:tc>
          <w:tcPr>
            <w:tcW w:w="1095" w:type="dxa"/>
            <w:tcBorders>
              <w:left w:val="nil"/>
              <w:right w:val="nil"/>
            </w:tcBorders>
          </w:tcPr>
          <w:p w14:paraId="1A4C929C"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06A13D3D" w14:textId="77777777" w:rsidR="00652235" w:rsidRPr="000014F2" w:rsidRDefault="00652235" w:rsidP="0083662B">
            <w:pPr>
              <w:pStyle w:val="Critiquetabletext"/>
              <w:spacing w:before="0" w:after="0"/>
              <w:jc w:val="right"/>
              <w:rPr>
                <w:i/>
                <w:iCs/>
                <w:color w:val="auto"/>
              </w:rPr>
            </w:pPr>
          </w:p>
        </w:tc>
        <w:tc>
          <w:tcPr>
            <w:tcW w:w="1096" w:type="dxa"/>
            <w:tcBorders>
              <w:left w:val="nil"/>
              <w:right w:val="nil"/>
            </w:tcBorders>
          </w:tcPr>
          <w:p w14:paraId="72B6F7D4"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704E7E14" w14:textId="77777777" w:rsidR="00652235" w:rsidRPr="000014F2" w:rsidRDefault="00652235" w:rsidP="0083662B">
            <w:pPr>
              <w:pStyle w:val="Critiquetabletext"/>
              <w:spacing w:before="0" w:after="0"/>
              <w:jc w:val="right"/>
              <w:rPr>
                <w:i/>
                <w:iCs/>
                <w:color w:val="auto"/>
              </w:rPr>
            </w:pPr>
          </w:p>
        </w:tc>
        <w:tc>
          <w:tcPr>
            <w:tcW w:w="1096" w:type="dxa"/>
            <w:tcBorders>
              <w:left w:val="nil"/>
            </w:tcBorders>
          </w:tcPr>
          <w:p w14:paraId="0E47C9D1" w14:textId="77777777" w:rsidR="00652235" w:rsidRPr="000014F2" w:rsidRDefault="00652235" w:rsidP="0083662B">
            <w:pPr>
              <w:pStyle w:val="Critiquetabletext"/>
              <w:spacing w:before="0" w:after="0"/>
              <w:jc w:val="right"/>
              <w:rPr>
                <w:i/>
                <w:iCs/>
                <w:color w:val="auto"/>
              </w:rPr>
            </w:pPr>
          </w:p>
        </w:tc>
      </w:tr>
      <w:tr w:rsidR="00652235" w:rsidRPr="00FD633A" w14:paraId="769EF216" w14:textId="77777777" w:rsidTr="00F11AFE">
        <w:tc>
          <w:tcPr>
            <w:tcW w:w="3539" w:type="dxa"/>
            <w:tcBorders>
              <w:bottom w:val="nil"/>
            </w:tcBorders>
          </w:tcPr>
          <w:p w14:paraId="31770D9F" w14:textId="77777777" w:rsidR="00652235" w:rsidRPr="000014F2" w:rsidRDefault="00652235" w:rsidP="0083662B">
            <w:pPr>
              <w:pStyle w:val="Critiquetabletext"/>
              <w:spacing w:before="0" w:after="0"/>
              <w:rPr>
                <w:i/>
                <w:iCs/>
                <w:color w:val="auto"/>
              </w:rPr>
            </w:pPr>
            <w:r w:rsidRPr="000014F2">
              <w:rPr>
                <w:i/>
                <w:iCs/>
                <w:color w:val="auto"/>
              </w:rPr>
              <w:t xml:space="preserve">2019-20 (2.13) </w:t>
            </w:r>
            <w:r w:rsidRPr="000014F2">
              <w:rPr>
                <w:b/>
                <w:i/>
                <w:iCs/>
                <w:color w:val="auto"/>
              </w:rPr>
              <w:t>(#1)</w:t>
            </w:r>
          </w:p>
        </w:tc>
        <w:tc>
          <w:tcPr>
            <w:tcW w:w="1095" w:type="dxa"/>
            <w:tcBorders>
              <w:bottom w:val="nil"/>
            </w:tcBorders>
          </w:tcPr>
          <w:p w14:paraId="3F526C98" w14:textId="77777777" w:rsidR="00652235" w:rsidRPr="000014F2" w:rsidRDefault="00652235" w:rsidP="0083662B">
            <w:pPr>
              <w:pStyle w:val="Critiquetabletext"/>
              <w:spacing w:before="0" w:after="0"/>
              <w:jc w:val="right"/>
              <w:rPr>
                <w:i/>
                <w:iCs/>
                <w:color w:val="auto"/>
              </w:rPr>
            </w:pPr>
            <w:r w:rsidRPr="000014F2">
              <w:rPr>
                <w:i/>
                <w:iCs/>
                <w:color w:val="auto"/>
              </w:rPr>
              <w:t>$5,772.58</w:t>
            </w:r>
          </w:p>
        </w:tc>
        <w:tc>
          <w:tcPr>
            <w:tcW w:w="1095" w:type="dxa"/>
            <w:tcBorders>
              <w:bottom w:val="nil"/>
            </w:tcBorders>
          </w:tcPr>
          <w:p w14:paraId="581CE945" w14:textId="77777777" w:rsidR="00652235" w:rsidRPr="000014F2" w:rsidRDefault="00652235" w:rsidP="0083662B">
            <w:pPr>
              <w:pStyle w:val="Critiquetabletext"/>
              <w:spacing w:before="0" w:after="0"/>
              <w:jc w:val="right"/>
              <w:rPr>
                <w:i/>
                <w:iCs/>
                <w:color w:val="auto"/>
              </w:rPr>
            </w:pPr>
            <w:r w:rsidRPr="000014F2">
              <w:rPr>
                <w:i/>
                <w:iCs/>
                <w:color w:val="auto"/>
              </w:rPr>
              <w:t>$5,647.82</w:t>
            </w:r>
          </w:p>
        </w:tc>
        <w:tc>
          <w:tcPr>
            <w:tcW w:w="1096" w:type="dxa"/>
            <w:tcBorders>
              <w:bottom w:val="nil"/>
            </w:tcBorders>
          </w:tcPr>
          <w:p w14:paraId="682DE50A" w14:textId="77777777" w:rsidR="00652235" w:rsidRPr="000014F2" w:rsidRDefault="00652235" w:rsidP="0083662B">
            <w:pPr>
              <w:pStyle w:val="Critiquetabletext"/>
              <w:spacing w:before="0" w:after="0"/>
              <w:jc w:val="right"/>
              <w:rPr>
                <w:i/>
                <w:iCs/>
                <w:color w:val="auto"/>
              </w:rPr>
            </w:pPr>
            <w:r w:rsidRPr="000014F2">
              <w:rPr>
                <w:i/>
                <w:iCs/>
                <w:color w:val="auto"/>
              </w:rPr>
              <w:t>$124.76</w:t>
            </w:r>
          </w:p>
        </w:tc>
        <w:tc>
          <w:tcPr>
            <w:tcW w:w="1095" w:type="dxa"/>
            <w:tcBorders>
              <w:bottom w:val="nil"/>
            </w:tcBorders>
          </w:tcPr>
          <w:p w14:paraId="43B89CD4"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nil"/>
            </w:tcBorders>
          </w:tcPr>
          <w:p w14:paraId="1C6555F2" w14:textId="77777777" w:rsidR="00652235" w:rsidRPr="000014F2" w:rsidRDefault="00652235" w:rsidP="0083662B">
            <w:pPr>
              <w:pStyle w:val="Critiquetabletext"/>
              <w:spacing w:before="0" w:after="0"/>
              <w:jc w:val="right"/>
              <w:rPr>
                <w:i/>
                <w:iCs/>
                <w:color w:val="auto"/>
              </w:rPr>
            </w:pPr>
            <w:r w:rsidRPr="000014F2">
              <w:rPr>
                <w:i/>
                <w:iCs/>
                <w:color w:val="auto"/>
              </w:rPr>
              <w:t>–$220.16</w:t>
            </w:r>
          </w:p>
        </w:tc>
      </w:tr>
      <w:tr w:rsidR="00652235" w:rsidRPr="00FD633A" w14:paraId="2A25BD24" w14:textId="77777777" w:rsidTr="00F11AFE">
        <w:tc>
          <w:tcPr>
            <w:tcW w:w="3539" w:type="dxa"/>
            <w:tcBorders>
              <w:top w:val="nil"/>
            </w:tcBorders>
          </w:tcPr>
          <w:p w14:paraId="4ABA39A4" w14:textId="77777777" w:rsidR="00652235" w:rsidRPr="000014F2" w:rsidRDefault="00652235" w:rsidP="0083662B">
            <w:pPr>
              <w:pStyle w:val="Critiquetabletext"/>
              <w:spacing w:before="0" w:after="0"/>
              <w:rPr>
                <w:i/>
                <w:iCs/>
                <w:color w:val="auto"/>
              </w:rPr>
            </w:pPr>
            <w:r w:rsidRPr="000014F2">
              <w:rPr>
                <w:i/>
                <w:iCs/>
                <w:color w:val="auto"/>
              </w:rPr>
              <w:t>2020-21 (1.98)</w:t>
            </w:r>
          </w:p>
        </w:tc>
        <w:tc>
          <w:tcPr>
            <w:tcW w:w="1095" w:type="dxa"/>
            <w:tcBorders>
              <w:top w:val="nil"/>
            </w:tcBorders>
          </w:tcPr>
          <w:p w14:paraId="654227F6" w14:textId="77777777" w:rsidR="00652235" w:rsidRPr="000014F2" w:rsidRDefault="00652235" w:rsidP="0083662B">
            <w:pPr>
              <w:pStyle w:val="Critiquetabletext"/>
              <w:spacing w:before="0" w:after="0"/>
              <w:jc w:val="right"/>
              <w:rPr>
                <w:i/>
                <w:iCs/>
                <w:color w:val="auto"/>
              </w:rPr>
            </w:pPr>
            <w:r w:rsidRPr="000014F2">
              <w:rPr>
                <w:i/>
                <w:iCs/>
                <w:color w:val="auto"/>
              </w:rPr>
              <w:t>$5,771.30</w:t>
            </w:r>
          </w:p>
        </w:tc>
        <w:tc>
          <w:tcPr>
            <w:tcW w:w="1095" w:type="dxa"/>
            <w:tcBorders>
              <w:top w:val="nil"/>
            </w:tcBorders>
          </w:tcPr>
          <w:p w14:paraId="3603EAF9" w14:textId="77777777" w:rsidR="00652235" w:rsidRPr="000014F2" w:rsidRDefault="00652235" w:rsidP="0083662B">
            <w:pPr>
              <w:pStyle w:val="Critiquetabletext"/>
              <w:spacing w:before="0" w:after="0"/>
              <w:jc w:val="right"/>
              <w:rPr>
                <w:i/>
                <w:iCs/>
                <w:color w:val="auto"/>
              </w:rPr>
            </w:pPr>
            <w:r w:rsidRPr="000014F2">
              <w:rPr>
                <w:i/>
                <w:iCs/>
                <w:color w:val="auto"/>
              </w:rPr>
              <w:t>$5,559.16</w:t>
            </w:r>
          </w:p>
        </w:tc>
        <w:tc>
          <w:tcPr>
            <w:tcW w:w="1096" w:type="dxa"/>
            <w:tcBorders>
              <w:top w:val="nil"/>
            </w:tcBorders>
          </w:tcPr>
          <w:p w14:paraId="4F5A2DCB" w14:textId="77777777" w:rsidR="00652235" w:rsidRPr="000014F2" w:rsidRDefault="00652235" w:rsidP="0083662B">
            <w:pPr>
              <w:pStyle w:val="Critiquetabletext"/>
              <w:spacing w:before="0" w:after="0"/>
              <w:jc w:val="right"/>
              <w:rPr>
                <w:i/>
                <w:iCs/>
                <w:color w:val="auto"/>
              </w:rPr>
            </w:pPr>
            <w:r w:rsidRPr="000014F2">
              <w:rPr>
                <w:i/>
                <w:iCs/>
                <w:color w:val="auto"/>
              </w:rPr>
              <w:t>$212.14</w:t>
            </w:r>
          </w:p>
        </w:tc>
        <w:tc>
          <w:tcPr>
            <w:tcW w:w="1095" w:type="dxa"/>
            <w:tcBorders>
              <w:top w:val="nil"/>
            </w:tcBorders>
          </w:tcPr>
          <w:p w14:paraId="519BAEB2"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top w:val="nil"/>
            </w:tcBorders>
          </w:tcPr>
          <w:p w14:paraId="5C89B65C" w14:textId="77777777" w:rsidR="00652235" w:rsidRPr="000014F2" w:rsidRDefault="00652235" w:rsidP="0083662B">
            <w:pPr>
              <w:pStyle w:val="Critiquetabletext"/>
              <w:spacing w:before="0" w:after="0"/>
              <w:jc w:val="right"/>
              <w:rPr>
                <w:i/>
                <w:iCs/>
                <w:color w:val="auto"/>
              </w:rPr>
            </w:pPr>
            <w:r w:rsidRPr="000014F2">
              <w:rPr>
                <w:i/>
                <w:iCs/>
                <w:color w:val="auto"/>
              </w:rPr>
              <w:t>–$221.43</w:t>
            </w:r>
          </w:p>
        </w:tc>
      </w:tr>
      <w:tr w:rsidR="00652235" w:rsidRPr="00FD633A" w14:paraId="31CE8E48" w14:textId="77777777" w:rsidTr="00F11AFE">
        <w:tc>
          <w:tcPr>
            <w:tcW w:w="3539" w:type="dxa"/>
          </w:tcPr>
          <w:p w14:paraId="04D5E021" w14:textId="77777777" w:rsidR="00652235" w:rsidRPr="000014F2" w:rsidRDefault="00652235" w:rsidP="0083662B">
            <w:pPr>
              <w:pStyle w:val="Critiquetabletext"/>
              <w:spacing w:before="0" w:after="0"/>
              <w:rPr>
                <w:i/>
                <w:iCs/>
                <w:color w:val="auto"/>
              </w:rPr>
            </w:pPr>
            <w:r w:rsidRPr="000014F2">
              <w:rPr>
                <w:i/>
                <w:iCs/>
                <w:color w:val="auto"/>
              </w:rPr>
              <w:t>Proportion of TURP major complications, 6%</w:t>
            </w:r>
            <w:r w:rsidRPr="000014F2">
              <w:rPr>
                <w:i/>
                <w:iCs/>
                <w:color w:val="auto"/>
                <w:vertAlign w:val="superscript"/>
              </w:rPr>
              <w:t>a</w:t>
            </w:r>
            <w:r w:rsidRPr="000014F2">
              <w:rPr>
                <w:i/>
                <w:iCs/>
                <w:color w:val="auto"/>
              </w:rPr>
              <w:t xml:space="preserve"> (base case: 12%)</w:t>
            </w:r>
          </w:p>
        </w:tc>
        <w:tc>
          <w:tcPr>
            <w:tcW w:w="1095" w:type="dxa"/>
          </w:tcPr>
          <w:p w14:paraId="1C04017F" w14:textId="77777777" w:rsidR="00652235" w:rsidRPr="000014F2" w:rsidRDefault="00652235" w:rsidP="0083662B">
            <w:pPr>
              <w:pStyle w:val="Critiquetabletext"/>
              <w:spacing w:before="0" w:after="0"/>
              <w:jc w:val="right"/>
              <w:rPr>
                <w:i/>
                <w:iCs/>
                <w:color w:val="auto"/>
              </w:rPr>
            </w:pPr>
            <w:r w:rsidRPr="000014F2">
              <w:rPr>
                <w:i/>
                <w:iCs/>
                <w:color w:val="auto"/>
              </w:rPr>
              <w:t>$5,768.99</w:t>
            </w:r>
          </w:p>
        </w:tc>
        <w:tc>
          <w:tcPr>
            <w:tcW w:w="1095" w:type="dxa"/>
          </w:tcPr>
          <w:p w14:paraId="60BA1EC1" w14:textId="77777777" w:rsidR="00652235" w:rsidRPr="000014F2" w:rsidRDefault="00652235" w:rsidP="0083662B">
            <w:pPr>
              <w:pStyle w:val="Critiquetabletext"/>
              <w:spacing w:before="0" w:after="0"/>
              <w:jc w:val="right"/>
              <w:rPr>
                <w:i/>
                <w:iCs/>
                <w:color w:val="auto"/>
              </w:rPr>
            </w:pPr>
            <w:r w:rsidRPr="000014F2">
              <w:rPr>
                <w:i/>
                <w:iCs/>
                <w:color w:val="auto"/>
              </w:rPr>
              <w:t>$5,398.26</w:t>
            </w:r>
          </w:p>
        </w:tc>
        <w:tc>
          <w:tcPr>
            <w:tcW w:w="1096" w:type="dxa"/>
          </w:tcPr>
          <w:p w14:paraId="5F3AC61A" w14:textId="77777777" w:rsidR="00652235" w:rsidRPr="000014F2" w:rsidRDefault="00652235" w:rsidP="0083662B">
            <w:pPr>
              <w:pStyle w:val="Critiquetabletext"/>
              <w:spacing w:before="0" w:after="0"/>
              <w:jc w:val="right"/>
              <w:rPr>
                <w:i/>
                <w:iCs/>
                <w:color w:val="auto"/>
              </w:rPr>
            </w:pPr>
            <w:r w:rsidRPr="000014F2">
              <w:rPr>
                <w:i/>
                <w:iCs/>
                <w:color w:val="auto"/>
              </w:rPr>
              <w:t>$370.73</w:t>
            </w:r>
          </w:p>
        </w:tc>
        <w:tc>
          <w:tcPr>
            <w:tcW w:w="1095" w:type="dxa"/>
          </w:tcPr>
          <w:p w14:paraId="6CCEB42D"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Pr>
          <w:p w14:paraId="50E30F4B" w14:textId="77777777" w:rsidR="00652235" w:rsidRPr="000014F2" w:rsidRDefault="00652235" w:rsidP="0083662B">
            <w:pPr>
              <w:pStyle w:val="Critiquetabletext"/>
              <w:spacing w:before="0" w:after="0"/>
              <w:jc w:val="right"/>
              <w:rPr>
                <w:i/>
                <w:iCs/>
                <w:color w:val="auto"/>
              </w:rPr>
            </w:pPr>
            <w:r w:rsidRPr="000014F2">
              <w:rPr>
                <w:i/>
                <w:iCs/>
                <w:color w:val="auto"/>
              </w:rPr>
              <w:t>–$223.75</w:t>
            </w:r>
          </w:p>
        </w:tc>
      </w:tr>
      <w:tr w:rsidR="00652235" w:rsidRPr="00FD633A" w14:paraId="11016854" w14:textId="77777777" w:rsidTr="00F11AFE">
        <w:tc>
          <w:tcPr>
            <w:tcW w:w="3539" w:type="dxa"/>
            <w:tcBorders>
              <w:bottom w:val="single" w:sz="4" w:space="0" w:color="auto"/>
              <w:right w:val="nil"/>
            </w:tcBorders>
          </w:tcPr>
          <w:p w14:paraId="5C35386C" w14:textId="77777777" w:rsidR="00652235" w:rsidRPr="000014F2" w:rsidRDefault="00652235" w:rsidP="0083662B">
            <w:pPr>
              <w:pStyle w:val="Critiquetabletext"/>
              <w:spacing w:before="0" w:after="0"/>
              <w:rPr>
                <w:i/>
                <w:iCs/>
                <w:color w:val="auto"/>
              </w:rPr>
            </w:pPr>
            <w:r w:rsidRPr="000014F2">
              <w:rPr>
                <w:i/>
                <w:iCs/>
                <w:color w:val="auto"/>
              </w:rPr>
              <w:t>No. PUL prostheses implanted (base case: 4)</w:t>
            </w:r>
          </w:p>
        </w:tc>
        <w:tc>
          <w:tcPr>
            <w:tcW w:w="1095" w:type="dxa"/>
            <w:tcBorders>
              <w:left w:val="nil"/>
              <w:bottom w:val="single" w:sz="4" w:space="0" w:color="auto"/>
              <w:right w:val="nil"/>
            </w:tcBorders>
          </w:tcPr>
          <w:p w14:paraId="00C26007" w14:textId="77777777" w:rsidR="00652235" w:rsidRPr="000014F2" w:rsidRDefault="00652235" w:rsidP="0083662B">
            <w:pPr>
              <w:pStyle w:val="Critiquetabletext"/>
              <w:spacing w:before="0" w:after="0"/>
              <w:jc w:val="right"/>
              <w:rPr>
                <w:i/>
                <w:iCs/>
                <w:color w:val="auto"/>
              </w:rPr>
            </w:pPr>
          </w:p>
        </w:tc>
        <w:tc>
          <w:tcPr>
            <w:tcW w:w="1095" w:type="dxa"/>
            <w:tcBorders>
              <w:left w:val="nil"/>
              <w:bottom w:val="single" w:sz="4" w:space="0" w:color="auto"/>
              <w:right w:val="nil"/>
            </w:tcBorders>
          </w:tcPr>
          <w:p w14:paraId="3BEAA963" w14:textId="77777777" w:rsidR="00652235" w:rsidRPr="000014F2" w:rsidRDefault="00652235" w:rsidP="0083662B">
            <w:pPr>
              <w:pStyle w:val="Critiquetabletext"/>
              <w:spacing w:before="0" w:after="0"/>
              <w:jc w:val="right"/>
              <w:rPr>
                <w:i/>
                <w:iCs/>
                <w:color w:val="auto"/>
              </w:rPr>
            </w:pPr>
          </w:p>
        </w:tc>
        <w:tc>
          <w:tcPr>
            <w:tcW w:w="1096" w:type="dxa"/>
            <w:tcBorders>
              <w:left w:val="nil"/>
              <w:bottom w:val="single" w:sz="4" w:space="0" w:color="auto"/>
              <w:right w:val="nil"/>
            </w:tcBorders>
          </w:tcPr>
          <w:p w14:paraId="34710153" w14:textId="77777777" w:rsidR="00652235" w:rsidRPr="000014F2" w:rsidRDefault="00652235" w:rsidP="0083662B">
            <w:pPr>
              <w:pStyle w:val="Critiquetabletext"/>
              <w:spacing w:before="0" w:after="0"/>
              <w:jc w:val="right"/>
              <w:rPr>
                <w:i/>
                <w:iCs/>
                <w:color w:val="auto"/>
              </w:rPr>
            </w:pPr>
          </w:p>
        </w:tc>
        <w:tc>
          <w:tcPr>
            <w:tcW w:w="1095" w:type="dxa"/>
            <w:tcBorders>
              <w:left w:val="nil"/>
              <w:bottom w:val="single" w:sz="4" w:space="0" w:color="auto"/>
              <w:right w:val="nil"/>
            </w:tcBorders>
          </w:tcPr>
          <w:p w14:paraId="6E4CA198" w14:textId="77777777" w:rsidR="00652235" w:rsidRPr="000014F2" w:rsidRDefault="00652235" w:rsidP="0083662B">
            <w:pPr>
              <w:pStyle w:val="Critiquetabletext"/>
              <w:spacing w:before="0" w:after="0"/>
              <w:jc w:val="right"/>
              <w:rPr>
                <w:i/>
                <w:iCs/>
                <w:color w:val="auto"/>
              </w:rPr>
            </w:pPr>
          </w:p>
        </w:tc>
        <w:tc>
          <w:tcPr>
            <w:tcW w:w="1096" w:type="dxa"/>
            <w:tcBorders>
              <w:left w:val="nil"/>
              <w:bottom w:val="single" w:sz="4" w:space="0" w:color="auto"/>
            </w:tcBorders>
          </w:tcPr>
          <w:p w14:paraId="0CE03943" w14:textId="77777777" w:rsidR="00652235" w:rsidRPr="000014F2" w:rsidRDefault="00652235" w:rsidP="0083662B">
            <w:pPr>
              <w:pStyle w:val="Critiquetabletext"/>
              <w:spacing w:before="0" w:after="0"/>
              <w:jc w:val="right"/>
              <w:rPr>
                <w:i/>
                <w:iCs/>
                <w:color w:val="auto"/>
              </w:rPr>
            </w:pPr>
          </w:p>
        </w:tc>
      </w:tr>
      <w:tr w:rsidR="00652235" w:rsidRPr="00FD633A" w14:paraId="0D0B5DB0" w14:textId="77777777" w:rsidTr="00F11AFE">
        <w:tc>
          <w:tcPr>
            <w:tcW w:w="3539" w:type="dxa"/>
            <w:tcBorders>
              <w:bottom w:val="nil"/>
            </w:tcBorders>
          </w:tcPr>
          <w:p w14:paraId="7E0C1FB3" w14:textId="77777777" w:rsidR="00652235" w:rsidRPr="000014F2" w:rsidRDefault="00652235" w:rsidP="0083662B">
            <w:pPr>
              <w:pStyle w:val="Critiquetabletext"/>
              <w:spacing w:before="0" w:after="0"/>
              <w:rPr>
                <w:i/>
                <w:iCs/>
                <w:color w:val="auto"/>
              </w:rPr>
            </w:pPr>
            <w:r w:rsidRPr="000014F2">
              <w:rPr>
                <w:i/>
                <w:iCs/>
                <w:color w:val="auto"/>
              </w:rPr>
              <w:t xml:space="preserve">4.7 </w:t>
            </w:r>
            <w:r w:rsidRPr="000014F2">
              <w:rPr>
                <w:b/>
                <w:i/>
                <w:iCs/>
                <w:color w:val="auto"/>
              </w:rPr>
              <w:t>(#6)</w:t>
            </w:r>
          </w:p>
        </w:tc>
        <w:tc>
          <w:tcPr>
            <w:tcW w:w="1095" w:type="dxa"/>
            <w:tcBorders>
              <w:bottom w:val="nil"/>
            </w:tcBorders>
          </w:tcPr>
          <w:p w14:paraId="32291748" w14:textId="77777777" w:rsidR="00652235" w:rsidRPr="000014F2" w:rsidRDefault="00652235" w:rsidP="0083662B">
            <w:pPr>
              <w:pStyle w:val="Critiquetabletext"/>
              <w:spacing w:before="0" w:after="0"/>
              <w:jc w:val="right"/>
              <w:rPr>
                <w:i/>
                <w:iCs/>
                <w:color w:val="auto"/>
              </w:rPr>
            </w:pPr>
            <w:r w:rsidRPr="000014F2">
              <w:rPr>
                <w:i/>
                <w:iCs/>
                <w:color w:val="auto"/>
              </w:rPr>
              <w:t>$6,273.53</w:t>
            </w:r>
          </w:p>
        </w:tc>
        <w:tc>
          <w:tcPr>
            <w:tcW w:w="1095" w:type="dxa"/>
            <w:tcBorders>
              <w:bottom w:val="nil"/>
            </w:tcBorders>
          </w:tcPr>
          <w:p w14:paraId="6D6EE55E"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Borders>
              <w:bottom w:val="nil"/>
            </w:tcBorders>
          </w:tcPr>
          <w:p w14:paraId="52623A8A" w14:textId="77777777" w:rsidR="00652235" w:rsidRPr="000014F2" w:rsidRDefault="00652235" w:rsidP="0083662B">
            <w:pPr>
              <w:pStyle w:val="Critiquetabletext"/>
              <w:spacing w:before="0" w:after="0"/>
              <w:jc w:val="right"/>
              <w:rPr>
                <w:i/>
                <w:iCs/>
                <w:color w:val="auto"/>
              </w:rPr>
            </w:pPr>
            <w:r w:rsidRPr="000014F2">
              <w:rPr>
                <w:i/>
                <w:iCs/>
                <w:color w:val="auto"/>
              </w:rPr>
              <w:t>$448.81</w:t>
            </w:r>
          </w:p>
        </w:tc>
        <w:tc>
          <w:tcPr>
            <w:tcW w:w="1095" w:type="dxa"/>
            <w:tcBorders>
              <w:bottom w:val="nil"/>
            </w:tcBorders>
          </w:tcPr>
          <w:p w14:paraId="1D6C8F7C"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nil"/>
            </w:tcBorders>
          </w:tcPr>
          <w:p w14:paraId="68C9493B" w14:textId="77777777" w:rsidR="00652235" w:rsidRPr="000014F2" w:rsidRDefault="00652235" w:rsidP="0083662B">
            <w:pPr>
              <w:pStyle w:val="Critiquetabletext"/>
              <w:spacing w:before="0" w:after="0"/>
              <w:jc w:val="right"/>
              <w:rPr>
                <w:i/>
                <w:iCs/>
                <w:color w:val="auto"/>
              </w:rPr>
            </w:pPr>
            <w:r w:rsidRPr="000014F2">
              <w:rPr>
                <w:i/>
                <w:iCs/>
                <w:color w:val="auto"/>
              </w:rPr>
              <w:t>$280.79</w:t>
            </w:r>
          </w:p>
        </w:tc>
      </w:tr>
      <w:tr w:rsidR="00652235" w:rsidRPr="00FD633A" w14:paraId="74D088B3" w14:textId="77777777" w:rsidTr="00F11AFE">
        <w:tc>
          <w:tcPr>
            <w:tcW w:w="3539" w:type="dxa"/>
            <w:tcBorders>
              <w:top w:val="nil"/>
            </w:tcBorders>
          </w:tcPr>
          <w:p w14:paraId="0815E914" w14:textId="77777777" w:rsidR="00652235" w:rsidRPr="000014F2" w:rsidRDefault="00652235" w:rsidP="0083662B">
            <w:pPr>
              <w:pStyle w:val="Critiquetabletext"/>
              <w:spacing w:before="0" w:after="0"/>
              <w:rPr>
                <w:i/>
                <w:iCs/>
                <w:color w:val="auto"/>
              </w:rPr>
            </w:pPr>
            <w:r w:rsidRPr="000014F2">
              <w:rPr>
                <w:i/>
                <w:iCs/>
                <w:color w:val="auto"/>
              </w:rPr>
              <w:t xml:space="preserve">3.1 </w:t>
            </w:r>
            <w:r w:rsidRPr="000014F2">
              <w:rPr>
                <w:i/>
                <w:iCs/>
                <w:color w:val="auto"/>
                <w:vertAlign w:val="superscript"/>
              </w:rPr>
              <w:t>b</w:t>
            </w:r>
          </w:p>
        </w:tc>
        <w:tc>
          <w:tcPr>
            <w:tcW w:w="1095" w:type="dxa"/>
            <w:tcBorders>
              <w:top w:val="nil"/>
            </w:tcBorders>
          </w:tcPr>
          <w:p w14:paraId="4B9B6A53" w14:textId="77777777" w:rsidR="00652235" w:rsidRPr="000014F2" w:rsidRDefault="00652235" w:rsidP="0083662B">
            <w:pPr>
              <w:pStyle w:val="Critiquetabletext"/>
              <w:spacing w:before="0" w:after="0"/>
              <w:jc w:val="right"/>
              <w:rPr>
                <w:i/>
                <w:iCs/>
                <w:color w:val="auto"/>
              </w:rPr>
            </w:pPr>
            <w:r w:rsidRPr="000014F2">
              <w:rPr>
                <w:i/>
                <w:color w:val="auto"/>
              </w:rPr>
              <w:t>$5,134.33</w:t>
            </w:r>
          </w:p>
        </w:tc>
        <w:tc>
          <w:tcPr>
            <w:tcW w:w="1095" w:type="dxa"/>
            <w:tcBorders>
              <w:top w:val="nil"/>
            </w:tcBorders>
          </w:tcPr>
          <w:p w14:paraId="244AC5A0" w14:textId="77777777" w:rsidR="00652235" w:rsidRPr="000014F2" w:rsidRDefault="00652235" w:rsidP="0083662B">
            <w:pPr>
              <w:pStyle w:val="Critiquetabletext"/>
              <w:spacing w:before="0" w:after="0"/>
              <w:jc w:val="right"/>
              <w:rPr>
                <w:i/>
                <w:iCs/>
                <w:color w:val="auto"/>
              </w:rPr>
            </w:pPr>
            <w:r w:rsidRPr="000014F2">
              <w:rPr>
                <w:i/>
                <w:color w:val="auto"/>
              </w:rPr>
              <w:t>$5,824.72</w:t>
            </w:r>
          </w:p>
        </w:tc>
        <w:tc>
          <w:tcPr>
            <w:tcW w:w="1096" w:type="dxa"/>
            <w:tcBorders>
              <w:top w:val="nil"/>
            </w:tcBorders>
          </w:tcPr>
          <w:p w14:paraId="638C4BF0" w14:textId="77777777" w:rsidR="00652235" w:rsidRPr="000014F2" w:rsidRDefault="00652235" w:rsidP="0083662B">
            <w:pPr>
              <w:pStyle w:val="Critiquetabletext"/>
              <w:spacing w:before="0" w:after="0"/>
              <w:jc w:val="right"/>
              <w:rPr>
                <w:i/>
                <w:iCs/>
                <w:color w:val="auto"/>
              </w:rPr>
            </w:pPr>
            <w:r w:rsidRPr="000014F2">
              <w:rPr>
                <w:i/>
                <w:color w:val="auto"/>
              </w:rPr>
              <w:t>-$690.39</w:t>
            </w:r>
          </w:p>
        </w:tc>
        <w:tc>
          <w:tcPr>
            <w:tcW w:w="1095" w:type="dxa"/>
            <w:tcBorders>
              <w:top w:val="nil"/>
            </w:tcBorders>
          </w:tcPr>
          <w:p w14:paraId="184A149A" w14:textId="77777777" w:rsidR="00652235" w:rsidRPr="000014F2" w:rsidRDefault="00652235" w:rsidP="0083662B">
            <w:pPr>
              <w:pStyle w:val="Critiquetabletext"/>
              <w:spacing w:before="0" w:after="0"/>
              <w:jc w:val="right"/>
              <w:rPr>
                <w:i/>
                <w:iCs/>
                <w:color w:val="auto"/>
              </w:rPr>
            </w:pPr>
            <w:r w:rsidRPr="000014F2">
              <w:rPr>
                <w:i/>
                <w:color w:val="auto"/>
              </w:rPr>
              <w:t>$5,992.74</w:t>
            </w:r>
          </w:p>
        </w:tc>
        <w:tc>
          <w:tcPr>
            <w:tcW w:w="1096" w:type="dxa"/>
            <w:tcBorders>
              <w:top w:val="nil"/>
            </w:tcBorders>
          </w:tcPr>
          <w:p w14:paraId="6D050653" w14:textId="77777777" w:rsidR="00652235" w:rsidRPr="000014F2" w:rsidRDefault="00652235" w:rsidP="0083662B">
            <w:pPr>
              <w:pStyle w:val="Critiquetabletext"/>
              <w:spacing w:before="0" w:after="0"/>
              <w:jc w:val="right"/>
              <w:rPr>
                <w:i/>
                <w:iCs/>
                <w:color w:val="auto"/>
              </w:rPr>
            </w:pPr>
            <w:r w:rsidRPr="000014F2">
              <w:rPr>
                <w:i/>
                <w:color w:val="auto"/>
              </w:rPr>
              <w:t>-$858.41</w:t>
            </w:r>
          </w:p>
        </w:tc>
      </w:tr>
      <w:tr w:rsidR="00652235" w:rsidRPr="00FD633A" w14:paraId="4990BEEC" w14:textId="77777777" w:rsidTr="00F11AFE">
        <w:tc>
          <w:tcPr>
            <w:tcW w:w="3539" w:type="dxa"/>
          </w:tcPr>
          <w:p w14:paraId="7F192040" w14:textId="77777777" w:rsidR="00652235" w:rsidRPr="000014F2" w:rsidRDefault="00652235" w:rsidP="0083662B">
            <w:pPr>
              <w:pStyle w:val="Critiquetabletext"/>
              <w:spacing w:before="0" w:after="0"/>
              <w:rPr>
                <w:i/>
                <w:iCs/>
                <w:color w:val="auto"/>
              </w:rPr>
            </w:pPr>
            <w:r w:rsidRPr="000014F2">
              <w:rPr>
                <w:i/>
                <w:iCs/>
                <w:color w:val="auto"/>
              </w:rPr>
              <w:t xml:space="preserve">Prosthesis handling fee (5%) included </w:t>
            </w:r>
            <w:r w:rsidRPr="000014F2">
              <w:rPr>
                <w:i/>
                <w:iCs/>
                <w:color w:val="auto"/>
              </w:rPr>
              <w:br/>
              <w:t>(base case: not included)</w:t>
            </w:r>
          </w:p>
        </w:tc>
        <w:tc>
          <w:tcPr>
            <w:tcW w:w="1095" w:type="dxa"/>
          </w:tcPr>
          <w:p w14:paraId="01F746BE" w14:textId="77777777" w:rsidR="00652235" w:rsidRPr="000014F2" w:rsidRDefault="00652235" w:rsidP="0083662B">
            <w:pPr>
              <w:pStyle w:val="Critiquetabletext"/>
              <w:spacing w:before="0" w:after="0"/>
              <w:jc w:val="right"/>
              <w:rPr>
                <w:i/>
                <w:iCs/>
                <w:color w:val="auto"/>
              </w:rPr>
            </w:pPr>
            <w:r w:rsidRPr="000014F2">
              <w:rPr>
                <w:i/>
                <w:iCs/>
                <w:color w:val="auto"/>
              </w:rPr>
              <w:t>$5,917.53</w:t>
            </w:r>
          </w:p>
        </w:tc>
        <w:tc>
          <w:tcPr>
            <w:tcW w:w="1095" w:type="dxa"/>
          </w:tcPr>
          <w:p w14:paraId="06619482"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Pr>
          <w:p w14:paraId="688AFC85" w14:textId="77777777" w:rsidR="00652235" w:rsidRPr="000014F2" w:rsidRDefault="00652235" w:rsidP="0083662B">
            <w:pPr>
              <w:pStyle w:val="Critiquetabletext"/>
              <w:spacing w:before="0" w:after="0"/>
              <w:jc w:val="right"/>
              <w:rPr>
                <w:i/>
                <w:iCs/>
                <w:color w:val="auto"/>
              </w:rPr>
            </w:pPr>
            <w:r w:rsidRPr="000014F2">
              <w:rPr>
                <w:i/>
                <w:iCs/>
                <w:color w:val="auto"/>
              </w:rPr>
              <w:t>$92.81</w:t>
            </w:r>
          </w:p>
        </w:tc>
        <w:tc>
          <w:tcPr>
            <w:tcW w:w="1095" w:type="dxa"/>
          </w:tcPr>
          <w:p w14:paraId="37065B1E"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Pr>
          <w:p w14:paraId="09E24C2B" w14:textId="77777777" w:rsidR="00652235" w:rsidRPr="000014F2" w:rsidRDefault="00652235" w:rsidP="0083662B">
            <w:pPr>
              <w:pStyle w:val="Critiquetabletext"/>
              <w:spacing w:before="0" w:after="0"/>
              <w:jc w:val="right"/>
              <w:rPr>
                <w:i/>
                <w:iCs/>
                <w:color w:val="auto"/>
              </w:rPr>
            </w:pPr>
            <w:r w:rsidRPr="000014F2">
              <w:rPr>
                <w:i/>
                <w:iCs/>
                <w:color w:val="auto"/>
              </w:rPr>
              <w:t>–$75.21</w:t>
            </w:r>
          </w:p>
        </w:tc>
      </w:tr>
      <w:tr w:rsidR="00652235" w:rsidRPr="00FD633A" w14:paraId="1B2024B0" w14:textId="77777777" w:rsidTr="00F11AFE">
        <w:tc>
          <w:tcPr>
            <w:tcW w:w="3539" w:type="dxa"/>
          </w:tcPr>
          <w:p w14:paraId="50F95181" w14:textId="77777777" w:rsidR="00652235" w:rsidRPr="000014F2" w:rsidRDefault="00652235" w:rsidP="0083662B">
            <w:pPr>
              <w:pStyle w:val="Critiquetabletext"/>
              <w:spacing w:before="0" w:after="0"/>
              <w:rPr>
                <w:i/>
                <w:iCs/>
                <w:color w:val="auto"/>
              </w:rPr>
            </w:pPr>
            <w:r w:rsidRPr="000014F2">
              <w:rPr>
                <w:i/>
                <w:iCs/>
                <w:color w:val="auto"/>
              </w:rPr>
              <w:t>No. VLAP fibres, 1.08 (base case: 1.38)</w:t>
            </w:r>
          </w:p>
        </w:tc>
        <w:tc>
          <w:tcPr>
            <w:tcW w:w="1095" w:type="dxa"/>
          </w:tcPr>
          <w:p w14:paraId="07B89FAD" w14:textId="77777777" w:rsidR="00652235" w:rsidRPr="000014F2" w:rsidRDefault="00652235" w:rsidP="0083662B">
            <w:pPr>
              <w:pStyle w:val="Critiquetabletext"/>
              <w:spacing w:before="0" w:after="0"/>
              <w:jc w:val="right"/>
              <w:rPr>
                <w:i/>
                <w:iCs/>
                <w:color w:val="auto"/>
              </w:rPr>
            </w:pPr>
            <w:r w:rsidRPr="000014F2">
              <w:rPr>
                <w:i/>
                <w:iCs/>
                <w:color w:val="auto"/>
              </w:rPr>
              <w:t>$5,775.13</w:t>
            </w:r>
          </w:p>
        </w:tc>
        <w:tc>
          <w:tcPr>
            <w:tcW w:w="1095" w:type="dxa"/>
          </w:tcPr>
          <w:p w14:paraId="50D27335"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Pr>
          <w:p w14:paraId="349A9D68" w14:textId="77777777" w:rsidR="00652235" w:rsidRPr="000014F2" w:rsidRDefault="00652235" w:rsidP="0083662B">
            <w:pPr>
              <w:pStyle w:val="Critiquetabletext"/>
              <w:spacing w:before="0" w:after="0"/>
              <w:jc w:val="right"/>
              <w:rPr>
                <w:i/>
                <w:iCs/>
                <w:color w:val="auto"/>
              </w:rPr>
            </w:pPr>
            <w:r w:rsidRPr="000014F2">
              <w:rPr>
                <w:i/>
                <w:iCs/>
                <w:color w:val="auto"/>
              </w:rPr>
              <w:t>–$49.59</w:t>
            </w:r>
          </w:p>
        </w:tc>
        <w:tc>
          <w:tcPr>
            <w:tcW w:w="1095" w:type="dxa"/>
          </w:tcPr>
          <w:p w14:paraId="2A9580DD" w14:textId="77777777" w:rsidR="00652235" w:rsidRPr="000014F2" w:rsidRDefault="00652235" w:rsidP="0083662B">
            <w:pPr>
              <w:pStyle w:val="Critiquetabletext"/>
              <w:spacing w:before="0" w:after="0"/>
              <w:jc w:val="right"/>
              <w:rPr>
                <w:i/>
                <w:iCs/>
                <w:color w:val="auto"/>
              </w:rPr>
            </w:pPr>
            <w:r w:rsidRPr="000014F2">
              <w:rPr>
                <w:i/>
                <w:iCs/>
                <w:color w:val="auto"/>
              </w:rPr>
              <w:t>$5,722.74</w:t>
            </w:r>
          </w:p>
        </w:tc>
        <w:tc>
          <w:tcPr>
            <w:tcW w:w="1096" w:type="dxa"/>
          </w:tcPr>
          <w:p w14:paraId="447D6F35" w14:textId="77777777" w:rsidR="00652235" w:rsidRPr="000014F2" w:rsidRDefault="00652235" w:rsidP="0083662B">
            <w:pPr>
              <w:pStyle w:val="Critiquetabletext"/>
              <w:spacing w:before="0" w:after="0"/>
              <w:jc w:val="right"/>
              <w:rPr>
                <w:i/>
                <w:iCs/>
                <w:color w:val="auto"/>
              </w:rPr>
            </w:pPr>
            <w:r w:rsidRPr="000014F2">
              <w:rPr>
                <w:i/>
                <w:iCs/>
                <w:color w:val="auto"/>
              </w:rPr>
              <w:t>$52.39</w:t>
            </w:r>
          </w:p>
        </w:tc>
      </w:tr>
      <w:tr w:rsidR="00652235" w:rsidRPr="00FD633A" w14:paraId="2E3F7EAF" w14:textId="77777777" w:rsidTr="00F11AFE">
        <w:tc>
          <w:tcPr>
            <w:tcW w:w="3539" w:type="dxa"/>
          </w:tcPr>
          <w:p w14:paraId="3B2C4503" w14:textId="77777777" w:rsidR="00652235" w:rsidRPr="000014F2" w:rsidRDefault="00652235" w:rsidP="0083662B">
            <w:pPr>
              <w:pStyle w:val="Critiquetabletext"/>
              <w:spacing w:before="0" w:after="0"/>
              <w:rPr>
                <w:i/>
                <w:iCs/>
                <w:color w:val="auto"/>
              </w:rPr>
            </w:pPr>
            <w:r w:rsidRPr="000014F2">
              <w:rPr>
                <w:i/>
                <w:iCs/>
                <w:color w:val="auto"/>
              </w:rPr>
              <w:t xml:space="preserve">VLAP capital cost, $254.15 </w:t>
            </w:r>
            <w:r w:rsidRPr="000014F2">
              <w:rPr>
                <w:i/>
                <w:iCs/>
                <w:color w:val="auto"/>
                <w:vertAlign w:val="superscript"/>
              </w:rPr>
              <w:t xml:space="preserve">c </w:t>
            </w:r>
            <w:r w:rsidRPr="000014F2">
              <w:rPr>
                <w:i/>
                <w:iCs/>
                <w:color w:val="auto"/>
              </w:rPr>
              <w:br/>
              <w:t xml:space="preserve">(base case: $913.19) </w:t>
            </w:r>
            <w:r w:rsidRPr="000014F2">
              <w:rPr>
                <w:b/>
                <w:i/>
                <w:iCs/>
                <w:color w:val="auto"/>
              </w:rPr>
              <w:t>(#3)</w:t>
            </w:r>
          </w:p>
        </w:tc>
        <w:tc>
          <w:tcPr>
            <w:tcW w:w="1095" w:type="dxa"/>
          </w:tcPr>
          <w:p w14:paraId="2C604C19" w14:textId="77777777" w:rsidR="00652235" w:rsidRPr="000014F2" w:rsidRDefault="00652235" w:rsidP="0083662B">
            <w:pPr>
              <w:pStyle w:val="Critiquetabletext"/>
              <w:spacing w:before="0" w:after="0"/>
              <w:jc w:val="right"/>
              <w:rPr>
                <w:i/>
                <w:iCs/>
                <w:color w:val="auto"/>
              </w:rPr>
            </w:pPr>
            <w:r w:rsidRPr="000014F2">
              <w:rPr>
                <w:i/>
                <w:iCs/>
                <w:color w:val="auto"/>
              </w:rPr>
              <w:t>$5,775.13</w:t>
            </w:r>
          </w:p>
        </w:tc>
        <w:tc>
          <w:tcPr>
            <w:tcW w:w="1095" w:type="dxa"/>
          </w:tcPr>
          <w:p w14:paraId="055423EB"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Pr>
          <w:p w14:paraId="07F290C4" w14:textId="77777777" w:rsidR="00652235" w:rsidRPr="000014F2" w:rsidRDefault="00652235" w:rsidP="0083662B">
            <w:pPr>
              <w:pStyle w:val="Critiquetabletext"/>
              <w:spacing w:before="0" w:after="0"/>
              <w:jc w:val="right"/>
              <w:rPr>
                <w:i/>
                <w:iCs/>
                <w:color w:val="auto"/>
              </w:rPr>
            </w:pPr>
            <w:r w:rsidRPr="000014F2">
              <w:rPr>
                <w:i/>
                <w:iCs/>
                <w:color w:val="auto"/>
              </w:rPr>
              <w:t>–$49.59</w:t>
            </w:r>
          </w:p>
        </w:tc>
        <w:tc>
          <w:tcPr>
            <w:tcW w:w="1095" w:type="dxa"/>
          </w:tcPr>
          <w:p w14:paraId="7FA870FD" w14:textId="77777777" w:rsidR="00652235" w:rsidRPr="000014F2" w:rsidRDefault="00652235" w:rsidP="0083662B">
            <w:pPr>
              <w:pStyle w:val="Critiquetabletext"/>
              <w:spacing w:before="0" w:after="0"/>
              <w:jc w:val="right"/>
              <w:rPr>
                <w:i/>
                <w:iCs/>
                <w:color w:val="auto"/>
              </w:rPr>
            </w:pPr>
            <w:r w:rsidRPr="000014F2">
              <w:rPr>
                <w:i/>
                <w:iCs/>
                <w:color w:val="auto"/>
              </w:rPr>
              <w:t>$5,333.70</w:t>
            </w:r>
          </w:p>
        </w:tc>
        <w:tc>
          <w:tcPr>
            <w:tcW w:w="1096" w:type="dxa"/>
          </w:tcPr>
          <w:p w14:paraId="7C03862E" w14:textId="77777777" w:rsidR="00652235" w:rsidRPr="000014F2" w:rsidRDefault="00652235" w:rsidP="0083662B">
            <w:pPr>
              <w:pStyle w:val="Critiquetabletext"/>
              <w:spacing w:before="0" w:after="0"/>
              <w:jc w:val="right"/>
              <w:rPr>
                <w:i/>
                <w:iCs/>
                <w:color w:val="auto"/>
              </w:rPr>
            </w:pPr>
            <w:r w:rsidRPr="000014F2">
              <w:rPr>
                <w:i/>
                <w:iCs/>
                <w:color w:val="auto"/>
              </w:rPr>
              <w:t>$441.42</w:t>
            </w:r>
          </w:p>
        </w:tc>
      </w:tr>
      <w:tr w:rsidR="00652235" w:rsidRPr="00FD633A" w14:paraId="749C899C" w14:textId="77777777" w:rsidTr="00F11AFE">
        <w:tc>
          <w:tcPr>
            <w:tcW w:w="3539" w:type="dxa"/>
          </w:tcPr>
          <w:p w14:paraId="54EBCFAC" w14:textId="77777777" w:rsidR="00652235" w:rsidRPr="000014F2" w:rsidRDefault="00652235" w:rsidP="0083662B">
            <w:pPr>
              <w:pStyle w:val="Critiquetabletext"/>
              <w:spacing w:before="0" w:after="0"/>
              <w:rPr>
                <w:i/>
                <w:iCs/>
                <w:color w:val="auto"/>
              </w:rPr>
            </w:pPr>
            <w:r w:rsidRPr="000014F2">
              <w:rPr>
                <w:i/>
                <w:iCs/>
                <w:color w:val="auto"/>
              </w:rPr>
              <w:t xml:space="preserve">VLAP capital maintenance costs, $179 </w:t>
            </w:r>
            <w:r w:rsidRPr="000014F2">
              <w:rPr>
                <w:i/>
                <w:iCs/>
                <w:color w:val="auto"/>
                <w:vertAlign w:val="superscript"/>
              </w:rPr>
              <w:t>d</w:t>
            </w:r>
            <w:r w:rsidRPr="000014F2">
              <w:rPr>
                <w:i/>
                <w:iCs/>
                <w:color w:val="auto"/>
              </w:rPr>
              <w:t xml:space="preserve"> </w:t>
            </w:r>
            <w:r w:rsidRPr="000014F2">
              <w:rPr>
                <w:i/>
                <w:iCs/>
                <w:color w:val="auto"/>
              </w:rPr>
              <w:br/>
              <w:t xml:space="preserve">(base case: $358) </w:t>
            </w:r>
            <w:r w:rsidRPr="000014F2">
              <w:rPr>
                <w:b/>
                <w:i/>
                <w:iCs/>
                <w:color w:val="auto"/>
              </w:rPr>
              <w:t>(#3)</w:t>
            </w:r>
          </w:p>
        </w:tc>
        <w:tc>
          <w:tcPr>
            <w:tcW w:w="1095" w:type="dxa"/>
          </w:tcPr>
          <w:p w14:paraId="758AD9FD" w14:textId="77777777" w:rsidR="00652235" w:rsidRPr="000014F2" w:rsidRDefault="00652235" w:rsidP="0083662B">
            <w:pPr>
              <w:pStyle w:val="Critiquetabletext"/>
              <w:spacing w:before="0" w:after="0"/>
              <w:jc w:val="right"/>
              <w:rPr>
                <w:i/>
                <w:iCs/>
                <w:color w:val="auto"/>
              </w:rPr>
            </w:pPr>
            <w:r w:rsidRPr="000014F2">
              <w:rPr>
                <w:i/>
                <w:iCs/>
                <w:color w:val="auto"/>
              </w:rPr>
              <w:t>$5,775.13</w:t>
            </w:r>
          </w:p>
        </w:tc>
        <w:tc>
          <w:tcPr>
            <w:tcW w:w="1095" w:type="dxa"/>
          </w:tcPr>
          <w:p w14:paraId="6AD9BD50"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Pr>
          <w:p w14:paraId="3E409063" w14:textId="77777777" w:rsidR="00652235" w:rsidRPr="000014F2" w:rsidRDefault="00652235" w:rsidP="0083662B">
            <w:pPr>
              <w:pStyle w:val="Critiquetabletext"/>
              <w:spacing w:before="0" w:after="0"/>
              <w:jc w:val="right"/>
              <w:rPr>
                <w:i/>
                <w:iCs/>
                <w:color w:val="auto"/>
              </w:rPr>
            </w:pPr>
            <w:r w:rsidRPr="000014F2">
              <w:rPr>
                <w:i/>
                <w:iCs/>
                <w:color w:val="auto"/>
              </w:rPr>
              <w:t>–$49.59</w:t>
            </w:r>
          </w:p>
        </w:tc>
        <w:tc>
          <w:tcPr>
            <w:tcW w:w="1095" w:type="dxa"/>
          </w:tcPr>
          <w:p w14:paraId="4DEFF636" w14:textId="77777777" w:rsidR="00652235" w:rsidRPr="000014F2" w:rsidRDefault="00652235" w:rsidP="0083662B">
            <w:pPr>
              <w:pStyle w:val="Critiquetabletext"/>
              <w:spacing w:before="0" w:after="0"/>
              <w:jc w:val="right"/>
              <w:rPr>
                <w:i/>
                <w:iCs/>
                <w:color w:val="auto"/>
              </w:rPr>
            </w:pPr>
            <w:r w:rsidRPr="000014F2">
              <w:rPr>
                <w:i/>
                <w:iCs/>
                <w:color w:val="auto"/>
              </w:rPr>
              <w:t>$5,813.74</w:t>
            </w:r>
          </w:p>
        </w:tc>
        <w:tc>
          <w:tcPr>
            <w:tcW w:w="1096" w:type="dxa"/>
          </w:tcPr>
          <w:p w14:paraId="09C56411" w14:textId="77777777" w:rsidR="00652235" w:rsidRPr="000014F2" w:rsidRDefault="00652235" w:rsidP="0083662B">
            <w:pPr>
              <w:pStyle w:val="Critiquetabletext"/>
              <w:spacing w:before="0" w:after="0"/>
              <w:jc w:val="right"/>
              <w:rPr>
                <w:i/>
                <w:iCs/>
                <w:color w:val="auto"/>
              </w:rPr>
            </w:pPr>
            <w:r w:rsidRPr="000014F2">
              <w:rPr>
                <w:i/>
                <w:iCs/>
                <w:color w:val="auto"/>
              </w:rPr>
              <w:t>–$38.61</w:t>
            </w:r>
          </w:p>
        </w:tc>
      </w:tr>
      <w:tr w:rsidR="00652235" w:rsidRPr="00FD633A" w14:paraId="04A44F6A" w14:textId="77777777" w:rsidTr="00F11AFE">
        <w:tc>
          <w:tcPr>
            <w:tcW w:w="3539" w:type="dxa"/>
          </w:tcPr>
          <w:p w14:paraId="345810AC" w14:textId="77777777" w:rsidR="00652235" w:rsidRPr="000014F2" w:rsidRDefault="00652235" w:rsidP="0083662B">
            <w:pPr>
              <w:pStyle w:val="Critiquetabletext"/>
              <w:spacing w:before="0" w:after="0"/>
              <w:rPr>
                <w:i/>
                <w:iCs/>
                <w:color w:val="auto"/>
              </w:rPr>
            </w:pPr>
            <w:r w:rsidRPr="000014F2">
              <w:rPr>
                <w:i/>
                <w:iCs/>
                <w:color w:val="auto"/>
              </w:rPr>
              <w:t xml:space="preserve">Reintervention cost after PUL, $6.105.77 </w:t>
            </w:r>
            <w:r w:rsidRPr="000014F2">
              <w:rPr>
                <w:i/>
                <w:iCs/>
                <w:color w:val="auto"/>
              </w:rPr>
              <w:br/>
              <w:t>(base case: $5,824.72)</w:t>
            </w:r>
          </w:p>
        </w:tc>
        <w:tc>
          <w:tcPr>
            <w:tcW w:w="1095" w:type="dxa"/>
          </w:tcPr>
          <w:p w14:paraId="318458A6" w14:textId="77777777" w:rsidR="00652235" w:rsidRPr="000014F2" w:rsidRDefault="00652235" w:rsidP="0083662B">
            <w:pPr>
              <w:pStyle w:val="Critiquetabletext"/>
              <w:spacing w:before="0" w:after="0"/>
              <w:jc w:val="right"/>
              <w:rPr>
                <w:i/>
                <w:iCs/>
                <w:color w:val="auto"/>
              </w:rPr>
            </w:pPr>
            <w:r w:rsidRPr="000014F2">
              <w:rPr>
                <w:i/>
                <w:iCs/>
                <w:color w:val="auto"/>
              </w:rPr>
              <w:t>$5,779.17</w:t>
            </w:r>
          </w:p>
        </w:tc>
        <w:tc>
          <w:tcPr>
            <w:tcW w:w="1095" w:type="dxa"/>
          </w:tcPr>
          <w:p w14:paraId="3D499AB1"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Pr>
          <w:p w14:paraId="4BC04F98" w14:textId="77777777" w:rsidR="00652235" w:rsidRPr="000014F2" w:rsidRDefault="00652235" w:rsidP="0083662B">
            <w:pPr>
              <w:pStyle w:val="Critiquetabletext"/>
              <w:spacing w:before="0" w:after="0"/>
              <w:jc w:val="right"/>
              <w:rPr>
                <w:i/>
                <w:iCs/>
                <w:color w:val="auto"/>
              </w:rPr>
            </w:pPr>
            <w:r w:rsidRPr="000014F2">
              <w:rPr>
                <w:i/>
                <w:iCs/>
                <w:color w:val="auto"/>
              </w:rPr>
              <w:t>–$45.54</w:t>
            </w:r>
          </w:p>
        </w:tc>
        <w:tc>
          <w:tcPr>
            <w:tcW w:w="1095" w:type="dxa"/>
          </w:tcPr>
          <w:p w14:paraId="2BBA4526"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Pr>
          <w:p w14:paraId="23FB8EDC" w14:textId="77777777" w:rsidR="00652235" w:rsidRPr="000014F2" w:rsidRDefault="00652235" w:rsidP="0083662B">
            <w:pPr>
              <w:pStyle w:val="Critiquetabletext"/>
              <w:spacing w:before="0" w:after="0"/>
              <w:jc w:val="right"/>
              <w:rPr>
                <w:i/>
                <w:iCs/>
                <w:color w:val="auto"/>
              </w:rPr>
            </w:pPr>
            <w:r w:rsidRPr="000014F2">
              <w:rPr>
                <w:i/>
                <w:iCs/>
                <w:color w:val="auto"/>
              </w:rPr>
              <w:t>–$213.56</w:t>
            </w:r>
          </w:p>
        </w:tc>
      </w:tr>
      <w:tr w:rsidR="00652235" w:rsidRPr="00FD633A" w14:paraId="490B5565" w14:textId="77777777" w:rsidTr="00F11AFE">
        <w:tc>
          <w:tcPr>
            <w:tcW w:w="3539" w:type="dxa"/>
            <w:tcBorders>
              <w:right w:val="nil"/>
            </w:tcBorders>
          </w:tcPr>
          <w:p w14:paraId="2E873F8B" w14:textId="77777777" w:rsidR="00652235" w:rsidRPr="000014F2" w:rsidRDefault="00652235" w:rsidP="0083662B">
            <w:pPr>
              <w:pStyle w:val="Critiquetabletext"/>
              <w:spacing w:before="0" w:after="0"/>
              <w:rPr>
                <w:i/>
                <w:iCs/>
                <w:color w:val="auto"/>
              </w:rPr>
            </w:pPr>
            <w:r w:rsidRPr="000014F2">
              <w:rPr>
                <w:i/>
                <w:iCs/>
                <w:color w:val="auto"/>
              </w:rPr>
              <w:t>Proportion of additional reintervention after PUL (base case: 1.44%)</w:t>
            </w:r>
          </w:p>
        </w:tc>
        <w:tc>
          <w:tcPr>
            <w:tcW w:w="1095" w:type="dxa"/>
            <w:tcBorders>
              <w:left w:val="nil"/>
              <w:right w:val="nil"/>
            </w:tcBorders>
          </w:tcPr>
          <w:p w14:paraId="159D8D84"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584AC882" w14:textId="77777777" w:rsidR="00652235" w:rsidRPr="000014F2" w:rsidRDefault="00652235" w:rsidP="0083662B">
            <w:pPr>
              <w:pStyle w:val="Critiquetabletext"/>
              <w:spacing w:before="0" w:after="0"/>
              <w:jc w:val="right"/>
              <w:rPr>
                <w:i/>
                <w:iCs/>
                <w:color w:val="auto"/>
              </w:rPr>
            </w:pPr>
          </w:p>
        </w:tc>
        <w:tc>
          <w:tcPr>
            <w:tcW w:w="1096" w:type="dxa"/>
            <w:tcBorders>
              <w:left w:val="nil"/>
              <w:right w:val="nil"/>
            </w:tcBorders>
          </w:tcPr>
          <w:p w14:paraId="47FB0EF9"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057A47F1" w14:textId="77777777" w:rsidR="00652235" w:rsidRPr="000014F2" w:rsidRDefault="00652235" w:rsidP="0083662B">
            <w:pPr>
              <w:pStyle w:val="Critiquetabletext"/>
              <w:spacing w:before="0" w:after="0"/>
              <w:jc w:val="right"/>
              <w:rPr>
                <w:i/>
                <w:iCs/>
                <w:color w:val="auto"/>
              </w:rPr>
            </w:pPr>
          </w:p>
        </w:tc>
        <w:tc>
          <w:tcPr>
            <w:tcW w:w="1096" w:type="dxa"/>
            <w:tcBorders>
              <w:left w:val="nil"/>
            </w:tcBorders>
          </w:tcPr>
          <w:p w14:paraId="3F26A817" w14:textId="77777777" w:rsidR="00652235" w:rsidRPr="000014F2" w:rsidRDefault="00652235" w:rsidP="0083662B">
            <w:pPr>
              <w:pStyle w:val="Critiquetabletext"/>
              <w:spacing w:before="0" w:after="0"/>
              <w:jc w:val="right"/>
              <w:rPr>
                <w:i/>
                <w:iCs/>
                <w:color w:val="auto"/>
              </w:rPr>
            </w:pPr>
          </w:p>
        </w:tc>
      </w:tr>
      <w:tr w:rsidR="00652235" w:rsidRPr="00FD633A" w14:paraId="22D45247" w14:textId="77777777" w:rsidTr="00F11AFE">
        <w:tc>
          <w:tcPr>
            <w:tcW w:w="3539" w:type="dxa"/>
            <w:tcBorders>
              <w:bottom w:val="nil"/>
            </w:tcBorders>
          </w:tcPr>
          <w:p w14:paraId="52D7D1C4" w14:textId="77777777" w:rsidR="00652235" w:rsidRPr="000014F2" w:rsidRDefault="00652235" w:rsidP="0083662B">
            <w:pPr>
              <w:pStyle w:val="Critiquetabletext"/>
              <w:spacing w:before="0" w:after="0"/>
              <w:rPr>
                <w:i/>
                <w:iCs/>
                <w:color w:val="auto"/>
              </w:rPr>
            </w:pPr>
            <w:r w:rsidRPr="000014F2">
              <w:rPr>
                <w:i/>
                <w:iCs/>
                <w:color w:val="auto"/>
              </w:rPr>
              <w:t xml:space="preserve">7.2% </w:t>
            </w:r>
            <w:r w:rsidRPr="000014F2">
              <w:rPr>
                <w:b/>
                <w:i/>
                <w:iCs/>
                <w:color w:val="auto"/>
              </w:rPr>
              <w:t>(#2)</w:t>
            </w:r>
          </w:p>
        </w:tc>
        <w:tc>
          <w:tcPr>
            <w:tcW w:w="1095" w:type="dxa"/>
            <w:tcBorders>
              <w:bottom w:val="nil"/>
            </w:tcBorders>
          </w:tcPr>
          <w:p w14:paraId="3C973062" w14:textId="77777777" w:rsidR="00652235" w:rsidRPr="000014F2" w:rsidRDefault="00652235" w:rsidP="0083662B">
            <w:pPr>
              <w:pStyle w:val="Critiquetabletext"/>
              <w:spacing w:before="0" w:after="0"/>
              <w:jc w:val="right"/>
              <w:rPr>
                <w:i/>
                <w:iCs/>
                <w:color w:val="auto"/>
              </w:rPr>
            </w:pPr>
            <w:r w:rsidRPr="000014F2">
              <w:rPr>
                <w:i/>
                <w:iCs/>
                <w:color w:val="auto"/>
              </w:rPr>
              <w:t>$6,110.63</w:t>
            </w:r>
          </w:p>
        </w:tc>
        <w:tc>
          <w:tcPr>
            <w:tcW w:w="1095" w:type="dxa"/>
            <w:tcBorders>
              <w:bottom w:val="nil"/>
            </w:tcBorders>
          </w:tcPr>
          <w:p w14:paraId="0F27F3D3"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Borders>
              <w:bottom w:val="nil"/>
            </w:tcBorders>
          </w:tcPr>
          <w:p w14:paraId="0AC19F6D" w14:textId="77777777" w:rsidR="00652235" w:rsidRPr="000014F2" w:rsidRDefault="00652235" w:rsidP="0083662B">
            <w:pPr>
              <w:pStyle w:val="Critiquetabletext"/>
              <w:spacing w:before="0" w:after="0"/>
              <w:jc w:val="right"/>
              <w:rPr>
                <w:i/>
                <w:iCs/>
                <w:color w:val="auto"/>
              </w:rPr>
            </w:pPr>
            <w:r w:rsidRPr="000014F2">
              <w:rPr>
                <w:i/>
                <w:iCs/>
                <w:color w:val="auto"/>
              </w:rPr>
              <w:t>$285.92</w:t>
            </w:r>
          </w:p>
        </w:tc>
        <w:tc>
          <w:tcPr>
            <w:tcW w:w="1095" w:type="dxa"/>
            <w:tcBorders>
              <w:bottom w:val="nil"/>
            </w:tcBorders>
          </w:tcPr>
          <w:p w14:paraId="410DCDCC"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nil"/>
            </w:tcBorders>
          </w:tcPr>
          <w:p w14:paraId="499CE399" w14:textId="77777777" w:rsidR="00652235" w:rsidRPr="000014F2" w:rsidRDefault="00652235" w:rsidP="0083662B">
            <w:pPr>
              <w:pStyle w:val="Critiquetabletext"/>
              <w:spacing w:before="0" w:after="0"/>
              <w:jc w:val="right"/>
              <w:rPr>
                <w:i/>
                <w:iCs/>
                <w:color w:val="auto"/>
              </w:rPr>
            </w:pPr>
            <w:r w:rsidRPr="000014F2">
              <w:rPr>
                <w:i/>
                <w:iCs/>
                <w:color w:val="auto"/>
              </w:rPr>
              <w:t>$117.89</w:t>
            </w:r>
          </w:p>
        </w:tc>
      </w:tr>
      <w:tr w:rsidR="00652235" w:rsidRPr="00FD633A" w14:paraId="69D980C2" w14:textId="77777777" w:rsidTr="00F11AFE">
        <w:tc>
          <w:tcPr>
            <w:tcW w:w="3539" w:type="dxa"/>
            <w:tcBorders>
              <w:top w:val="nil"/>
              <w:bottom w:val="single" w:sz="4" w:space="0" w:color="auto"/>
            </w:tcBorders>
          </w:tcPr>
          <w:p w14:paraId="466544A3" w14:textId="77777777" w:rsidR="00652235" w:rsidRPr="000014F2" w:rsidDel="00CF37A7" w:rsidRDefault="00652235" w:rsidP="0083662B">
            <w:pPr>
              <w:pStyle w:val="Critiquetabletext"/>
              <w:spacing w:before="0" w:after="0"/>
              <w:rPr>
                <w:i/>
                <w:iCs/>
                <w:color w:val="auto"/>
              </w:rPr>
            </w:pPr>
            <w:r w:rsidRPr="000014F2">
              <w:rPr>
                <w:i/>
                <w:iCs/>
                <w:color w:val="auto"/>
              </w:rPr>
              <w:t>7.9%</w:t>
            </w:r>
          </w:p>
        </w:tc>
        <w:tc>
          <w:tcPr>
            <w:tcW w:w="1095" w:type="dxa"/>
            <w:tcBorders>
              <w:top w:val="nil"/>
              <w:bottom w:val="single" w:sz="4" w:space="0" w:color="auto"/>
            </w:tcBorders>
          </w:tcPr>
          <w:p w14:paraId="3606E8B3" w14:textId="77777777" w:rsidR="00652235" w:rsidRPr="000014F2" w:rsidRDefault="00652235" w:rsidP="0083662B">
            <w:pPr>
              <w:pStyle w:val="Critiquetabletext"/>
              <w:spacing w:before="0" w:after="0"/>
              <w:jc w:val="right"/>
              <w:rPr>
                <w:i/>
                <w:iCs/>
                <w:color w:val="auto"/>
              </w:rPr>
            </w:pPr>
            <w:r w:rsidRPr="000014F2">
              <w:rPr>
                <w:i/>
                <w:iCs/>
                <w:color w:val="auto"/>
              </w:rPr>
              <w:t>$6,151.40</w:t>
            </w:r>
          </w:p>
        </w:tc>
        <w:tc>
          <w:tcPr>
            <w:tcW w:w="1095" w:type="dxa"/>
            <w:tcBorders>
              <w:top w:val="nil"/>
              <w:bottom w:val="single" w:sz="4" w:space="0" w:color="auto"/>
            </w:tcBorders>
          </w:tcPr>
          <w:p w14:paraId="4219D971"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Borders>
              <w:top w:val="nil"/>
              <w:bottom w:val="single" w:sz="4" w:space="0" w:color="auto"/>
            </w:tcBorders>
          </w:tcPr>
          <w:p w14:paraId="74B7A9A7" w14:textId="77777777" w:rsidR="00652235" w:rsidRPr="000014F2" w:rsidRDefault="00652235" w:rsidP="0083662B">
            <w:pPr>
              <w:pStyle w:val="Critiquetabletext"/>
              <w:spacing w:before="0" w:after="0"/>
              <w:jc w:val="right"/>
              <w:rPr>
                <w:i/>
                <w:iCs/>
                <w:color w:val="auto"/>
              </w:rPr>
            </w:pPr>
            <w:r w:rsidRPr="000014F2">
              <w:rPr>
                <w:i/>
                <w:iCs/>
                <w:color w:val="auto"/>
              </w:rPr>
              <w:t>$326.69</w:t>
            </w:r>
          </w:p>
        </w:tc>
        <w:tc>
          <w:tcPr>
            <w:tcW w:w="1095" w:type="dxa"/>
            <w:tcBorders>
              <w:top w:val="nil"/>
              <w:bottom w:val="single" w:sz="4" w:space="0" w:color="auto"/>
            </w:tcBorders>
          </w:tcPr>
          <w:p w14:paraId="44F45132"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top w:val="nil"/>
              <w:bottom w:val="single" w:sz="4" w:space="0" w:color="auto"/>
            </w:tcBorders>
          </w:tcPr>
          <w:p w14:paraId="6BDBC9CC" w14:textId="77777777" w:rsidR="00652235" w:rsidRPr="000014F2" w:rsidRDefault="00652235" w:rsidP="0083662B">
            <w:pPr>
              <w:pStyle w:val="Critiquetabletext"/>
              <w:spacing w:before="0" w:after="0"/>
              <w:jc w:val="right"/>
              <w:rPr>
                <w:i/>
                <w:iCs/>
                <w:color w:val="auto"/>
              </w:rPr>
            </w:pPr>
            <w:r w:rsidRPr="000014F2">
              <w:rPr>
                <w:i/>
                <w:iCs/>
                <w:color w:val="auto"/>
              </w:rPr>
              <w:t>$158.67</w:t>
            </w:r>
          </w:p>
        </w:tc>
      </w:tr>
      <w:tr w:rsidR="00652235" w:rsidRPr="00FD633A" w14:paraId="5B36756C" w14:textId="77777777" w:rsidTr="00F11AFE">
        <w:tc>
          <w:tcPr>
            <w:tcW w:w="3539" w:type="dxa"/>
            <w:tcBorders>
              <w:bottom w:val="single" w:sz="4" w:space="0" w:color="auto"/>
            </w:tcBorders>
          </w:tcPr>
          <w:p w14:paraId="582D70CF" w14:textId="77777777" w:rsidR="00652235" w:rsidRPr="000014F2" w:rsidRDefault="00652235" w:rsidP="0083662B">
            <w:pPr>
              <w:pStyle w:val="Critiquetabletext"/>
              <w:spacing w:before="0" w:after="0"/>
              <w:rPr>
                <w:i/>
                <w:iCs/>
                <w:color w:val="auto"/>
              </w:rPr>
            </w:pPr>
            <w:r w:rsidRPr="000014F2">
              <w:rPr>
                <w:i/>
                <w:iCs/>
                <w:color w:val="auto"/>
              </w:rPr>
              <w:t xml:space="preserve">Inclusion of TURP disposable loop costs </w:t>
            </w:r>
            <w:r w:rsidRPr="000014F2">
              <w:rPr>
                <w:i/>
                <w:iCs/>
                <w:color w:val="auto"/>
                <w:vertAlign w:val="superscript"/>
              </w:rPr>
              <w:t>e</w:t>
            </w:r>
            <w:r w:rsidRPr="000014F2">
              <w:rPr>
                <w:i/>
                <w:iCs/>
                <w:color w:val="auto"/>
              </w:rPr>
              <w:t xml:space="preserve"> </w:t>
            </w:r>
            <w:r w:rsidRPr="000014F2">
              <w:rPr>
                <w:i/>
                <w:iCs/>
                <w:color w:val="auto"/>
              </w:rPr>
              <w:br/>
              <w:t xml:space="preserve">(base case: not included) </w:t>
            </w:r>
            <w:r w:rsidRPr="000014F2">
              <w:rPr>
                <w:b/>
                <w:i/>
                <w:iCs/>
                <w:color w:val="auto"/>
              </w:rPr>
              <w:t>(#4)</w:t>
            </w:r>
          </w:p>
        </w:tc>
        <w:tc>
          <w:tcPr>
            <w:tcW w:w="1095" w:type="dxa"/>
            <w:tcBorders>
              <w:bottom w:val="single" w:sz="4" w:space="0" w:color="auto"/>
            </w:tcBorders>
          </w:tcPr>
          <w:p w14:paraId="624DA956" w14:textId="77777777" w:rsidR="00652235" w:rsidRPr="000014F2" w:rsidRDefault="00652235" w:rsidP="0083662B">
            <w:pPr>
              <w:pStyle w:val="Critiquetabletext"/>
              <w:spacing w:before="0" w:after="0"/>
              <w:jc w:val="right"/>
              <w:rPr>
                <w:i/>
                <w:iCs/>
                <w:color w:val="auto"/>
              </w:rPr>
            </w:pPr>
            <w:r w:rsidRPr="000014F2">
              <w:rPr>
                <w:i/>
                <w:iCs/>
                <w:color w:val="auto"/>
              </w:rPr>
              <w:t>$5,782.07</w:t>
            </w:r>
          </w:p>
        </w:tc>
        <w:tc>
          <w:tcPr>
            <w:tcW w:w="1095" w:type="dxa"/>
            <w:tcBorders>
              <w:bottom w:val="single" w:sz="4" w:space="0" w:color="auto"/>
            </w:tcBorders>
          </w:tcPr>
          <w:p w14:paraId="586636E9" w14:textId="77777777" w:rsidR="00652235" w:rsidRPr="000014F2" w:rsidRDefault="00652235" w:rsidP="0083662B">
            <w:pPr>
              <w:pStyle w:val="Critiquetabletext"/>
              <w:spacing w:before="0" w:after="0"/>
              <w:jc w:val="right"/>
              <w:rPr>
                <w:i/>
                <w:iCs/>
                <w:color w:val="auto"/>
              </w:rPr>
            </w:pPr>
            <w:r w:rsidRPr="000014F2">
              <w:rPr>
                <w:i/>
                <w:iCs/>
                <w:color w:val="auto"/>
              </w:rPr>
              <w:t>$6,306.98</w:t>
            </w:r>
          </w:p>
        </w:tc>
        <w:tc>
          <w:tcPr>
            <w:tcW w:w="1096" w:type="dxa"/>
            <w:tcBorders>
              <w:bottom w:val="single" w:sz="4" w:space="0" w:color="auto"/>
            </w:tcBorders>
          </w:tcPr>
          <w:p w14:paraId="64556D59" w14:textId="77777777" w:rsidR="00652235" w:rsidRPr="000014F2" w:rsidRDefault="00652235" w:rsidP="0083662B">
            <w:pPr>
              <w:pStyle w:val="Critiquetabletext"/>
              <w:spacing w:before="0" w:after="0"/>
              <w:jc w:val="right"/>
              <w:rPr>
                <w:i/>
                <w:iCs/>
                <w:color w:val="auto"/>
              </w:rPr>
            </w:pPr>
            <w:r w:rsidRPr="000014F2">
              <w:rPr>
                <w:i/>
                <w:iCs/>
                <w:color w:val="auto"/>
              </w:rPr>
              <w:t>–$524.91</w:t>
            </w:r>
          </w:p>
        </w:tc>
        <w:tc>
          <w:tcPr>
            <w:tcW w:w="1095" w:type="dxa"/>
            <w:tcBorders>
              <w:bottom w:val="single" w:sz="4" w:space="0" w:color="auto"/>
            </w:tcBorders>
          </w:tcPr>
          <w:p w14:paraId="3C50CDF8"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single" w:sz="4" w:space="0" w:color="auto"/>
            </w:tcBorders>
          </w:tcPr>
          <w:p w14:paraId="02FA6662" w14:textId="77777777" w:rsidR="00652235" w:rsidRPr="000014F2" w:rsidRDefault="00652235" w:rsidP="0083662B">
            <w:pPr>
              <w:pStyle w:val="Critiquetabletext"/>
              <w:spacing w:before="0" w:after="0"/>
              <w:jc w:val="right"/>
              <w:rPr>
                <w:i/>
                <w:iCs/>
                <w:color w:val="auto"/>
              </w:rPr>
            </w:pPr>
            <w:r w:rsidRPr="000014F2">
              <w:rPr>
                <w:i/>
                <w:iCs/>
                <w:color w:val="auto"/>
              </w:rPr>
              <w:t>–$210.66</w:t>
            </w:r>
          </w:p>
        </w:tc>
      </w:tr>
      <w:tr w:rsidR="00652235" w:rsidRPr="00FD633A" w14:paraId="347C09DD" w14:textId="77777777" w:rsidTr="00F11AFE">
        <w:tc>
          <w:tcPr>
            <w:tcW w:w="3539" w:type="dxa"/>
            <w:tcBorders>
              <w:top w:val="single" w:sz="4" w:space="0" w:color="auto"/>
              <w:bottom w:val="single" w:sz="4" w:space="0" w:color="auto"/>
            </w:tcBorders>
          </w:tcPr>
          <w:p w14:paraId="53439670" w14:textId="77777777" w:rsidR="00652235" w:rsidRPr="000014F2" w:rsidRDefault="00652235" w:rsidP="0083662B">
            <w:pPr>
              <w:pStyle w:val="Critiquetabletext"/>
              <w:spacing w:before="0" w:after="0"/>
              <w:rPr>
                <w:i/>
                <w:iCs/>
                <w:color w:val="auto"/>
              </w:rPr>
            </w:pPr>
            <w:r w:rsidRPr="000014F2">
              <w:rPr>
                <w:i/>
                <w:iCs/>
                <w:color w:val="auto"/>
              </w:rPr>
              <w:t xml:space="preserve">PHDB AR-DRG hospital cost data </w:t>
            </w:r>
            <w:r w:rsidRPr="000014F2">
              <w:rPr>
                <w:i/>
                <w:iCs/>
                <w:color w:val="auto"/>
                <w:vertAlign w:val="superscript"/>
              </w:rPr>
              <w:t>f</w:t>
            </w:r>
            <w:r w:rsidRPr="000014F2">
              <w:rPr>
                <w:i/>
                <w:iCs/>
                <w:color w:val="auto"/>
              </w:rPr>
              <w:t xml:space="preserve"> (2.56 days of TURP, 2 day of VLAP)</w:t>
            </w:r>
          </w:p>
        </w:tc>
        <w:tc>
          <w:tcPr>
            <w:tcW w:w="1095" w:type="dxa"/>
            <w:tcBorders>
              <w:top w:val="single" w:sz="4" w:space="0" w:color="auto"/>
              <w:bottom w:val="single" w:sz="4" w:space="0" w:color="auto"/>
            </w:tcBorders>
          </w:tcPr>
          <w:p w14:paraId="62EF2E3D" w14:textId="77777777" w:rsidR="00652235" w:rsidRPr="000014F2" w:rsidRDefault="00652235" w:rsidP="0083662B">
            <w:pPr>
              <w:pStyle w:val="Critiquetabletext"/>
              <w:spacing w:before="0" w:after="0"/>
              <w:jc w:val="right"/>
              <w:rPr>
                <w:i/>
                <w:color w:val="auto"/>
              </w:rPr>
            </w:pPr>
            <w:r w:rsidRPr="000014F2">
              <w:rPr>
                <w:i/>
                <w:color w:val="auto"/>
              </w:rPr>
              <w:t>$5,661.00</w:t>
            </w:r>
          </w:p>
        </w:tc>
        <w:tc>
          <w:tcPr>
            <w:tcW w:w="1095" w:type="dxa"/>
            <w:tcBorders>
              <w:top w:val="single" w:sz="4" w:space="0" w:color="auto"/>
              <w:bottom w:val="single" w:sz="4" w:space="0" w:color="auto"/>
            </w:tcBorders>
          </w:tcPr>
          <w:p w14:paraId="0CCDB50D" w14:textId="77777777" w:rsidR="00652235" w:rsidRPr="000014F2" w:rsidRDefault="00652235" w:rsidP="0083662B">
            <w:pPr>
              <w:pStyle w:val="Critiquetabletext"/>
              <w:spacing w:before="0" w:after="0"/>
              <w:jc w:val="right"/>
              <w:rPr>
                <w:i/>
                <w:color w:val="auto"/>
              </w:rPr>
            </w:pPr>
            <w:r w:rsidRPr="000014F2">
              <w:rPr>
                <w:i/>
                <w:color w:val="auto"/>
              </w:rPr>
              <w:t>$5,763.67</w:t>
            </w:r>
          </w:p>
        </w:tc>
        <w:tc>
          <w:tcPr>
            <w:tcW w:w="1096" w:type="dxa"/>
            <w:tcBorders>
              <w:top w:val="single" w:sz="4" w:space="0" w:color="auto"/>
              <w:bottom w:val="single" w:sz="4" w:space="0" w:color="auto"/>
            </w:tcBorders>
          </w:tcPr>
          <w:p w14:paraId="4AA773DC" w14:textId="77777777" w:rsidR="00652235" w:rsidRPr="000014F2" w:rsidRDefault="00652235" w:rsidP="0083662B">
            <w:pPr>
              <w:pStyle w:val="Critiquetabletext"/>
              <w:spacing w:before="0" w:after="0"/>
              <w:jc w:val="right"/>
              <w:rPr>
                <w:i/>
                <w:color w:val="auto"/>
              </w:rPr>
            </w:pPr>
            <w:r w:rsidRPr="000014F2">
              <w:rPr>
                <w:i/>
                <w:color w:val="auto"/>
              </w:rPr>
              <w:t>−$102.67</w:t>
            </w:r>
          </w:p>
        </w:tc>
        <w:tc>
          <w:tcPr>
            <w:tcW w:w="1095" w:type="dxa"/>
            <w:tcBorders>
              <w:top w:val="single" w:sz="4" w:space="0" w:color="auto"/>
              <w:bottom w:val="single" w:sz="4" w:space="0" w:color="auto"/>
            </w:tcBorders>
          </w:tcPr>
          <w:p w14:paraId="1514AB59" w14:textId="77777777" w:rsidR="00652235" w:rsidRPr="000014F2" w:rsidRDefault="00652235" w:rsidP="0083662B">
            <w:pPr>
              <w:pStyle w:val="Critiquetabletext"/>
              <w:spacing w:before="0" w:after="0"/>
              <w:jc w:val="right"/>
              <w:rPr>
                <w:i/>
                <w:color w:val="auto"/>
              </w:rPr>
            </w:pPr>
            <w:r w:rsidRPr="000014F2">
              <w:rPr>
                <w:i/>
                <w:color w:val="auto"/>
              </w:rPr>
              <w:t>$7,265.53</w:t>
            </w:r>
          </w:p>
        </w:tc>
        <w:tc>
          <w:tcPr>
            <w:tcW w:w="1096" w:type="dxa"/>
            <w:tcBorders>
              <w:top w:val="single" w:sz="4" w:space="0" w:color="auto"/>
              <w:bottom w:val="single" w:sz="4" w:space="0" w:color="auto"/>
            </w:tcBorders>
          </w:tcPr>
          <w:p w14:paraId="54FE2270" w14:textId="77777777" w:rsidR="00652235" w:rsidRPr="000014F2" w:rsidRDefault="00652235" w:rsidP="0083662B">
            <w:pPr>
              <w:pStyle w:val="Critiquetabletext"/>
              <w:spacing w:before="0" w:after="0"/>
              <w:jc w:val="right"/>
              <w:rPr>
                <w:i/>
                <w:color w:val="auto"/>
              </w:rPr>
            </w:pPr>
            <w:r w:rsidRPr="000014F2">
              <w:rPr>
                <w:i/>
                <w:color w:val="auto"/>
              </w:rPr>
              <w:t>−$1,604.54</w:t>
            </w:r>
          </w:p>
        </w:tc>
      </w:tr>
      <w:tr w:rsidR="00652235" w:rsidRPr="00FD633A" w14:paraId="6CB9138D" w14:textId="77777777" w:rsidTr="00F11AFE">
        <w:tc>
          <w:tcPr>
            <w:tcW w:w="3539" w:type="dxa"/>
            <w:tcBorders>
              <w:top w:val="single" w:sz="4" w:space="0" w:color="auto"/>
              <w:bottom w:val="double" w:sz="4" w:space="0" w:color="auto"/>
            </w:tcBorders>
          </w:tcPr>
          <w:p w14:paraId="159341B3" w14:textId="77777777" w:rsidR="00652235" w:rsidRPr="000014F2" w:rsidRDefault="00652235" w:rsidP="0083662B">
            <w:pPr>
              <w:pStyle w:val="Critiquetabletext"/>
              <w:spacing w:before="0" w:after="0"/>
              <w:rPr>
                <w:i/>
                <w:iCs/>
                <w:color w:val="auto"/>
              </w:rPr>
            </w:pPr>
            <w:r w:rsidRPr="000014F2">
              <w:rPr>
                <w:i/>
                <w:iCs/>
                <w:color w:val="auto"/>
              </w:rPr>
              <w:t xml:space="preserve">PHDB AR-DRG hospital cost data </w:t>
            </w:r>
            <w:r w:rsidRPr="000014F2">
              <w:rPr>
                <w:i/>
                <w:iCs/>
                <w:color w:val="auto"/>
                <w:vertAlign w:val="superscript"/>
              </w:rPr>
              <w:t>f</w:t>
            </w:r>
            <w:r w:rsidRPr="000014F2">
              <w:rPr>
                <w:i/>
                <w:iCs/>
                <w:color w:val="auto"/>
              </w:rPr>
              <w:t xml:space="preserve"> (1.9 days of TURP, 1 day of VLAP)</w:t>
            </w:r>
          </w:p>
        </w:tc>
        <w:tc>
          <w:tcPr>
            <w:tcW w:w="1095" w:type="dxa"/>
            <w:tcBorders>
              <w:top w:val="single" w:sz="4" w:space="0" w:color="auto"/>
              <w:bottom w:val="double" w:sz="4" w:space="0" w:color="auto"/>
            </w:tcBorders>
          </w:tcPr>
          <w:p w14:paraId="4D4C1E68" w14:textId="77777777" w:rsidR="00652235" w:rsidRPr="000014F2" w:rsidRDefault="00652235" w:rsidP="0083662B">
            <w:pPr>
              <w:pStyle w:val="Critiquetabletext"/>
              <w:spacing w:before="0" w:after="0"/>
              <w:jc w:val="right"/>
              <w:rPr>
                <w:i/>
                <w:iCs/>
                <w:color w:val="auto"/>
              </w:rPr>
            </w:pPr>
            <w:r w:rsidRPr="000014F2">
              <w:rPr>
                <w:i/>
                <w:color w:val="auto"/>
              </w:rPr>
              <w:t>$5,644.52</w:t>
            </w:r>
          </w:p>
        </w:tc>
        <w:tc>
          <w:tcPr>
            <w:tcW w:w="1095" w:type="dxa"/>
            <w:tcBorders>
              <w:top w:val="single" w:sz="4" w:space="0" w:color="auto"/>
              <w:bottom w:val="double" w:sz="4" w:space="0" w:color="auto"/>
            </w:tcBorders>
          </w:tcPr>
          <w:p w14:paraId="7C376653" w14:textId="77777777" w:rsidR="00652235" w:rsidRPr="000014F2" w:rsidRDefault="00652235" w:rsidP="0083662B">
            <w:pPr>
              <w:pStyle w:val="Critiquetabletext"/>
              <w:spacing w:before="0" w:after="0"/>
              <w:jc w:val="right"/>
              <w:rPr>
                <w:i/>
                <w:iCs/>
                <w:color w:val="auto"/>
              </w:rPr>
            </w:pPr>
            <w:r w:rsidRPr="000014F2">
              <w:rPr>
                <w:i/>
                <w:color w:val="auto"/>
              </w:rPr>
              <w:t>$4,619.13</w:t>
            </w:r>
          </w:p>
        </w:tc>
        <w:tc>
          <w:tcPr>
            <w:tcW w:w="1096" w:type="dxa"/>
            <w:tcBorders>
              <w:top w:val="single" w:sz="4" w:space="0" w:color="auto"/>
              <w:bottom w:val="double" w:sz="4" w:space="0" w:color="auto"/>
            </w:tcBorders>
          </w:tcPr>
          <w:p w14:paraId="745D8997" w14:textId="77777777" w:rsidR="00652235" w:rsidRPr="000014F2" w:rsidRDefault="00652235" w:rsidP="0083662B">
            <w:pPr>
              <w:pStyle w:val="Critiquetabletext"/>
              <w:spacing w:before="0" w:after="0"/>
              <w:jc w:val="right"/>
              <w:rPr>
                <w:i/>
                <w:iCs/>
                <w:color w:val="auto"/>
              </w:rPr>
            </w:pPr>
            <w:r w:rsidRPr="000014F2">
              <w:rPr>
                <w:i/>
                <w:color w:val="auto"/>
              </w:rPr>
              <w:t>$1,025.38</w:t>
            </w:r>
          </w:p>
        </w:tc>
        <w:tc>
          <w:tcPr>
            <w:tcW w:w="1095" w:type="dxa"/>
            <w:tcBorders>
              <w:top w:val="single" w:sz="4" w:space="0" w:color="auto"/>
              <w:bottom w:val="double" w:sz="4" w:space="0" w:color="auto"/>
            </w:tcBorders>
          </w:tcPr>
          <w:p w14:paraId="43746768" w14:textId="77777777" w:rsidR="00652235" w:rsidRPr="000014F2" w:rsidRDefault="00652235" w:rsidP="0083662B">
            <w:pPr>
              <w:pStyle w:val="Critiquetabletext"/>
              <w:spacing w:before="0" w:after="0"/>
              <w:jc w:val="right"/>
              <w:rPr>
                <w:i/>
                <w:iCs/>
                <w:color w:val="auto"/>
              </w:rPr>
            </w:pPr>
            <w:r w:rsidRPr="000014F2">
              <w:rPr>
                <w:i/>
                <w:color w:val="auto"/>
              </w:rPr>
              <w:t>$5,531.38</w:t>
            </w:r>
          </w:p>
        </w:tc>
        <w:tc>
          <w:tcPr>
            <w:tcW w:w="1096" w:type="dxa"/>
            <w:tcBorders>
              <w:top w:val="single" w:sz="4" w:space="0" w:color="auto"/>
              <w:bottom w:val="double" w:sz="4" w:space="0" w:color="auto"/>
            </w:tcBorders>
          </w:tcPr>
          <w:p w14:paraId="63AFDCDE" w14:textId="77777777" w:rsidR="00652235" w:rsidRPr="000014F2" w:rsidRDefault="00652235" w:rsidP="0083662B">
            <w:pPr>
              <w:pStyle w:val="Critiquetabletext"/>
              <w:spacing w:before="0" w:after="0"/>
              <w:jc w:val="right"/>
              <w:rPr>
                <w:i/>
                <w:iCs/>
                <w:color w:val="auto"/>
              </w:rPr>
            </w:pPr>
            <w:r w:rsidRPr="000014F2">
              <w:rPr>
                <w:i/>
                <w:color w:val="auto"/>
              </w:rPr>
              <w:t>$113.13</w:t>
            </w:r>
          </w:p>
        </w:tc>
      </w:tr>
      <w:tr w:rsidR="00652235" w:rsidRPr="00FD633A" w14:paraId="65A99B43" w14:textId="77777777" w:rsidTr="00F11AFE">
        <w:tc>
          <w:tcPr>
            <w:tcW w:w="3539" w:type="dxa"/>
            <w:tcBorders>
              <w:top w:val="double" w:sz="4" w:space="0" w:color="auto"/>
              <w:right w:val="nil"/>
            </w:tcBorders>
          </w:tcPr>
          <w:p w14:paraId="132FFF70" w14:textId="77777777" w:rsidR="00652235" w:rsidRPr="000014F2" w:rsidRDefault="00652235" w:rsidP="0083662B">
            <w:pPr>
              <w:pStyle w:val="Critiquetabletext"/>
              <w:spacing w:before="0" w:after="0"/>
              <w:rPr>
                <w:i/>
                <w:iCs/>
                <w:color w:val="auto"/>
              </w:rPr>
            </w:pPr>
            <w:r w:rsidRPr="000014F2">
              <w:rPr>
                <w:i/>
                <w:iCs/>
                <w:color w:val="auto"/>
              </w:rPr>
              <w:t>Multivariate analyses</w:t>
            </w:r>
          </w:p>
        </w:tc>
        <w:tc>
          <w:tcPr>
            <w:tcW w:w="1095" w:type="dxa"/>
            <w:tcBorders>
              <w:top w:val="double" w:sz="4" w:space="0" w:color="auto"/>
              <w:left w:val="nil"/>
              <w:right w:val="nil"/>
            </w:tcBorders>
          </w:tcPr>
          <w:p w14:paraId="33671EDD" w14:textId="77777777" w:rsidR="00652235" w:rsidRPr="000014F2" w:rsidRDefault="00652235" w:rsidP="0083662B">
            <w:pPr>
              <w:pStyle w:val="Critiquetabletext"/>
              <w:spacing w:before="0" w:after="0"/>
              <w:jc w:val="right"/>
              <w:rPr>
                <w:i/>
                <w:iCs/>
                <w:color w:val="auto"/>
              </w:rPr>
            </w:pPr>
          </w:p>
        </w:tc>
        <w:tc>
          <w:tcPr>
            <w:tcW w:w="1095" w:type="dxa"/>
            <w:tcBorders>
              <w:top w:val="double" w:sz="4" w:space="0" w:color="auto"/>
              <w:left w:val="nil"/>
              <w:right w:val="nil"/>
            </w:tcBorders>
          </w:tcPr>
          <w:p w14:paraId="1617E073" w14:textId="77777777" w:rsidR="00652235" w:rsidRPr="000014F2" w:rsidRDefault="00652235" w:rsidP="0083662B">
            <w:pPr>
              <w:pStyle w:val="Critiquetabletext"/>
              <w:spacing w:before="0" w:after="0"/>
              <w:jc w:val="right"/>
              <w:rPr>
                <w:i/>
                <w:iCs/>
                <w:color w:val="auto"/>
              </w:rPr>
            </w:pPr>
          </w:p>
        </w:tc>
        <w:tc>
          <w:tcPr>
            <w:tcW w:w="1096" w:type="dxa"/>
            <w:tcBorders>
              <w:top w:val="double" w:sz="4" w:space="0" w:color="auto"/>
              <w:left w:val="nil"/>
              <w:right w:val="nil"/>
            </w:tcBorders>
          </w:tcPr>
          <w:p w14:paraId="2D0A5F4A" w14:textId="77777777" w:rsidR="00652235" w:rsidRPr="000014F2" w:rsidRDefault="00652235" w:rsidP="0083662B">
            <w:pPr>
              <w:pStyle w:val="Critiquetabletext"/>
              <w:spacing w:before="0" w:after="0"/>
              <w:jc w:val="right"/>
              <w:rPr>
                <w:i/>
                <w:iCs/>
                <w:color w:val="auto"/>
              </w:rPr>
            </w:pPr>
          </w:p>
        </w:tc>
        <w:tc>
          <w:tcPr>
            <w:tcW w:w="1095" w:type="dxa"/>
            <w:tcBorders>
              <w:top w:val="double" w:sz="4" w:space="0" w:color="auto"/>
              <w:left w:val="nil"/>
              <w:right w:val="nil"/>
            </w:tcBorders>
          </w:tcPr>
          <w:p w14:paraId="01F6669D" w14:textId="77777777" w:rsidR="00652235" w:rsidRPr="000014F2" w:rsidRDefault="00652235" w:rsidP="0083662B">
            <w:pPr>
              <w:pStyle w:val="Critiquetabletext"/>
              <w:spacing w:before="0" w:after="0"/>
              <w:jc w:val="right"/>
              <w:rPr>
                <w:i/>
                <w:iCs/>
                <w:color w:val="auto"/>
              </w:rPr>
            </w:pPr>
          </w:p>
        </w:tc>
        <w:tc>
          <w:tcPr>
            <w:tcW w:w="1096" w:type="dxa"/>
            <w:tcBorders>
              <w:top w:val="double" w:sz="4" w:space="0" w:color="auto"/>
              <w:left w:val="nil"/>
            </w:tcBorders>
          </w:tcPr>
          <w:p w14:paraId="64CB4882" w14:textId="77777777" w:rsidR="00652235" w:rsidRPr="000014F2" w:rsidRDefault="00652235" w:rsidP="0083662B">
            <w:pPr>
              <w:pStyle w:val="Critiquetabletext"/>
              <w:spacing w:before="0" w:after="0"/>
              <w:jc w:val="right"/>
              <w:rPr>
                <w:i/>
                <w:iCs/>
                <w:color w:val="auto"/>
              </w:rPr>
            </w:pPr>
          </w:p>
        </w:tc>
      </w:tr>
      <w:tr w:rsidR="00652235" w:rsidRPr="00FD633A" w14:paraId="037F563C" w14:textId="77777777" w:rsidTr="00F11AFE">
        <w:tc>
          <w:tcPr>
            <w:tcW w:w="3539" w:type="dxa"/>
            <w:tcBorders>
              <w:bottom w:val="nil"/>
            </w:tcBorders>
          </w:tcPr>
          <w:p w14:paraId="36B649BC" w14:textId="77777777" w:rsidR="00652235" w:rsidRPr="000014F2" w:rsidRDefault="00652235" w:rsidP="0083662B">
            <w:pPr>
              <w:pStyle w:val="Critiquetabletext"/>
              <w:spacing w:before="0" w:after="0"/>
              <w:rPr>
                <w:i/>
                <w:iCs/>
                <w:color w:val="auto"/>
              </w:rPr>
            </w:pPr>
            <w:r w:rsidRPr="000014F2">
              <w:rPr>
                <w:i/>
                <w:iCs/>
                <w:color w:val="auto"/>
              </w:rPr>
              <w:t>#1 AND #2</w:t>
            </w:r>
          </w:p>
        </w:tc>
        <w:tc>
          <w:tcPr>
            <w:tcW w:w="1095" w:type="dxa"/>
            <w:tcBorders>
              <w:bottom w:val="nil"/>
            </w:tcBorders>
          </w:tcPr>
          <w:p w14:paraId="0A377676" w14:textId="77777777" w:rsidR="00652235" w:rsidRPr="000014F2" w:rsidRDefault="00652235" w:rsidP="0083662B">
            <w:pPr>
              <w:pStyle w:val="Critiquetabletext"/>
              <w:spacing w:before="0" w:after="0"/>
              <w:jc w:val="right"/>
              <w:rPr>
                <w:i/>
                <w:iCs/>
                <w:color w:val="auto"/>
              </w:rPr>
            </w:pPr>
            <w:r w:rsidRPr="000014F2">
              <w:rPr>
                <w:i/>
                <w:iCs/>
                <w:color w:val="auto"/>
              </w:rPr>
              <w:t>$6,097.89</w:t>
            </w:r>
          </w:p>
        </w:tc>
        <w:tc>
          <w:tcPr>
            <w:tcW w:w="1095" w:type="dxa"/>
            <w:tcBorders>
              <w:bottom w:val="nil"/>
            </w:tcBorders>
          </w:tcPr>
          <w:p w14:paraId="0CC83316" w14:textId="77777777" w:rsidR="00652235" w:rsidRPr="000014F2" w:rsidRDefault="00652235" w:rsidP="0083662B">
            <w:pPr>
              <w:pStyle w:val="Critiquetabletext"/>
              <w:spacing w:before="0" w:after="0"/>
              <w:jc w:val="right"/>
              <w:rPr>
                <w:i/>
                <w:iCs/>
                <w:color w:val="auto"/>
              </w:rPr>
            </w:pPr>
            <w:r w:rsidRPr="000014F2">
              <w:rPr>
                <w:i/>
                <w:iCs/>
                <w:color w:val="auto"/>
              </w:rPr>
              <w:t>$5,647.82</w:t>
            </w:r>
          </w:p>
        </w:tc>
        <w:tc>
          <w:tcPr>
            <w:tcW w:w="1096" w:type="dxa"/>
            <w:tcBorders>
              <w:bottom w:val="nil"/>
            </w:tcBorders>
          </w:tcPr>
          <w:p w14:paraId="775C7887" w14:textId="77777777" w:rsidR="00652235" w:rsidRPr="000014F2" w:rsidRDefault="00652235" w:rsidP="0083662B">
            <w:pPr>
              <w:pStyle w:val="Critiquetabletext"/>
              <w:spacing w:before="0" w:after="0"/>
              <w:jc w:val="right"/>
              <w:rPr>
                <w:i/>
                <w:iCs/>
                <w:color w:val="auto"/>
              </w:rPr>
            </w:pPr>
            <w:r w:rsidRPr="000014F2">
              <w:rPr>
                <w:i/>
                <w:iCs/>
                <w:color w:val="auto"/>
              </w:rPr>
              <w:t>$450.07</w:t>
            </w:r>
          </w:p>
        </w:tc>
        <w:tc>
          <w:tcPr>
            <w:tcW w:w="1095" w:type="dxa"/>
            <w:tcBorders>
              <w:bottom w:val="nil"/>
            </w:tcBorders>
          </w:tcPr>
          <w:p w14:paraId="3188D352"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nil"/>
            </w:tcBorders>
          </w:tcPr>
          <w:p w14:paraId="691FC96D" w14:textId="77777777" w:rsidR="00652235" w:rsidRPr="000014F2" w:rsidRDefault="00652235" w:rsidP="0083662B">
            <w:pPr>
              <w:pStyle w:val="Critiquetabletext"/>
              <w:spacing w:before="0" w:after="0"/>
              <w:jc w:val="right"/>
              <w:rPr>
                <w:i/>
                <w:iCs/>
                <w:color w:val="auto"/>
              </w:rPr>
            </w:pPr>
            <w:r w:rsidRPr="000014F2">
              <w:rPr>
                <w:i/>
                <w:iCs/>
                <w:color w:val="auto"/>
              </w:rPr>
              <w:t>$105.16</w:t>
            </w:r>
          </w:p>
        </w:tc>
      </w:tr>
      <w:tr w:rsidR="00652235" w:rsidRPr="00FD633A" w14:paraId="492BAEEA" w14:textId="77777777" w:rsidTr="00F11AFE">
        <w:tc>
          <w:tcPr>
            <w:tcW w:w="3539" w:type="dxa"/>
            <w:tcBorders>
              <w:top w:val="nil"/>
              <w:bottom w:val="nil"/>
            </w:tcBorders>
          </w:tcPr>
          <w:p w14:paraId="471BE409" w14:textId="77777777" w:rsidR="00652235" w:rsidRPr="000014F2" w:rsidRDefault="00652235" w:rsidP="0083662B">
            <w:pPr>
              <w:pStyle w:val="Critiquetabletext"/>
              <w:spacing w:before="0" w:after="0"/>
              <w:rPr>
                <w:i/>
                <w:iCs/>
                <w:color w:val="auto"/>
              </w:rPr>
            </w:pPr>
            <w:r w:rsidRPr="000014F2">
              <w:rPr>
                <w:i/>
                <w:iCs/>
                <w:color w:val="auto"/>
              </w:rPr>
              <w:t>#1, #2 AND #3</w:t>
            </w:r>
          </w:p>
        </w:tc>
        <w:tc>
          <w:tcPr>
            <w:tcW w:w="1095" w:type="dxa"/>
            <w:tcBorders>
              <w:top w:val="nil"/>
              <w:bottom w:val="nil"/>
            </w:tcBorders>
          </w:tcPr>
          <w:p w14:paraId="1407F581" w14:textId="77777777" w:rsidR="00652235" w:rsidRPr="000014F2" w:rsidRDefault="00652235" w:rsidP="0083662B">
            <w:pPr>
              <w:pStyle w:val="Critiquetabletext"/>
              <w:spacing w:before="0" w:after="0"/>
              <w:jc w:val="right"/>
              <w:rPr>
                <w:i/>
                <w:iCs/>
                <w:color w:val="auto"/>
              </w:rPr>
            </w:pPr>
            <w:r w:rsidRPr="000014F2">
              <w:rPr>
                <w:i/>
                <w:iCs/>
                <w:color w:val="auto"/>
              </w:rPr>
              <w:t>$6,097.89</w:t>
            </w:r>
          </w:p>
        </w:tc>
        <w:tc>
          <w:tcPr>
            <w:tcW w:w="1095" w:type="dxa"/>
            <w:tcBorders>
              <w:top w:val="nil"/>
              <w:bottom w:val="nil"/>
            </w:tcBorders>
          </w:tcPr>
          <w:p w14:paraId="10620D3D" w14:textId="77777777" w:rsidR="00652235" w:rsidRPr="000014F2" w:rsidRDefault="00652235" w:rsidP="0083662B">
            <w:pPr>
              <w:pStyle w:val="Critiquetabletext"/>
              <w:spacing w:before="0" w:after="0"/>
              <w:jc w:val="right"/>
              <w:rPr>
                <w:i/>
                <w:iCs/>
                <w:color w:val="auto"/>
              </w:rPr>
            </w:pPr>
            <w:r w:rsidRPr="000014F2">
              <w:rPr>
                <w:i/>
                <w:iCs/>
                <w:color w:val="auto"/>
              </w:rPr>
              <w:t>$5,647.82</w:t>
            </w:r>
          </w:p>
        </w:tc>
        <w:tc>
          <w:tcPr>
            <w:tcW w:w="1096" w:type="dxa"/>
            <w:tcBorders>
              <w:top w:val="nil"/>
              <w:bottom w:val="nil"/>
            </w:tcBorders>
          </w:tcPr>
          <w:p w14:paraId="1CA2998E" w14:textId="77777777" w:rsidR="00652235" w:rsidRPr="000014F2" w:rsidRDefault="00652235" w:rsidP="0083662B">
            <w:pPr>
              <w:pStyle w:val="Critiquetabletext"/>
              <w:spacing w:before="0" w:after="0"/>
              <w:jc w:val="right"/>
              <w:rPr>
                <w:i/>
                <w:iCs/>
                <w:color w:val="auto"/>
              </w:rPr>
            </w:pPr>
            <w:r w:rsidRPr="000014F2">
              <w:rPr>
                <w:i/>
                <w:iCs/>
                <w:color w:val="auto"/>
              </w:rPr>
              <w:t>$450.07</w:t>
            </w:r>
          </w:p>
        </w:tc>
        <w:tc>
          <w:tcPr>
            <w:tcW w:w="1095" w:type="dxa"/>
            <w:tcBorders>
              <w:top w:val="nil"/>
              <w:bottom w:val="nil"/>
            </w:tcBorders>
          </w:tcPr>
          <w:p w14:paraId="24E99F80" w14:textId="77777777" w:rsidR="00652235" w:rsidRPr="000014F2" w:rsidRDefault="00652235" w:rsidP="0083662B">
            <w:pPr>
              <w:pStyle w:val="Critiquetabletext"/>
              <w:spacing w:before="0" w:after="0"/>
              <w:jc w:val="right"/>
              <w:rPr>
                <w:i/>
                <w:iCs/>
                <w:color w:val="auto"/>
              </w:rPr>
            </w:pPr>
            <w:r w:rsidRPr="000014F2">
              <w:rPr>
                <w:i/>
                <w:iCs/>
                <w:color w:val="auto"/>
              </w:rPr>
              <w:t>$5,154.70</w:t>
            </w:r>
          </w:p>
        </w:tc>
        <w:tc>
          <w:tcPr>
            <w:tcW w:w="1096" w:type="dxa"/>
            <w:tcBorders>
              <w:top w:val="nil"/>
              <w:bottom w:val="nil"/>
            </w:tcBorders>
          </w:tcPr>
          <w:p w14:paraId="3198ACD8" w14:textId="77777777" w:rsidR="00652235" w:rsidRPr="000014F2" w:rsidRDefault="00652235" w:rsidP="0083662B">
            <w:pPr>
              <w:pStyle w:val="Critiquetabletext"/>
              <w:spacing w:before="0" w:after="0"/>
              <w:jc w:val="right"/>
              <w:rPr>
                <w:i/>
                <w:iCs/>
                <w:color w:val="auto"/>
              </w:rPr>
            </w:pPr>
            <w:r w:rsidRPr="000014F2">
              <w:rPr>
                <w:i/>
                <w:iCs/>
                <w:color w:val="auto"/>
              </w:rPr>
              <w:t>$943.19</w:t>
            </w:r>
          </w:p>
        </w:tc>
      </w:tr>
      <w:tr w:rsidR="00652235" w:rsidRPr="00FD633A" w14:paraId="0941B680" w14:textId="77777777" w:rsidTr="00F11AFE">
        <w:tc>
          <w:tcPr>
            <w:tcW w:w="3539" w:type="dxa"/>
            <w:tcBorders>
              <w:top w:val="nil"/>
              <w:bottom w:val="nil"/>
            </w:tcBorders>
          </w:tcPr>
          <w:p w14:paraId="2BE215AF" w14:textId="77777777" w:rsidR="00652235" w:rsidRPr="000014F2" w:rsidRDefault="00652235" w:rsidP="0083662B">
            <w:pPr>
              <w:pStyle w:val="Critiquetabletext"/>
              <w:spacing w:before="0" w:after="0"/>
              <w:rPr>
                <w:i/>
                <w:iCs/>
                <w:color w:val="auto"/>
              </w:rPr>
            </w:pPr>
            <w:r w:rsidRPr="000014F2">
              <w:rPr>
                <w:i/>
                <w:iCs/>
                <w:color w:val="auto"/>
              </w:rPr>
              <w:t>#1, #2, #3 AND #4</w:t>
            </w:r>
          </w:p>
        </w:tc>
        <w:tc>
          <w:tcPr>
            <w:tcW w:w="1095" w:type="dxa"/>
            <w:tcBorders>
              <w:top w:val="nil"/>
              <w:bottom w:val="nil"/>
            </w:tcBorders>
          </w:tcPr>
          <w:p w14:paraId="1B66A9C7" w14:textId="77777777" w:rsidR="00652235" w:rsidRPr="000014F2" w:rsidRDefault="00652235" w:rsidP="0083662B">
            <w:pPr>
              <w:pStyle w:val="Critiquetabletext"/>
              <w:spacing w:before="0" w:after="0"/>
              <w:jc w:val="right"/>
              <w:rPr>
                <w:i/>
                <w:iCs/>
                <w:color w:val="auto"/>
              </w:rPr>
            </w:pPr>
            <w:r w:rsidRPr="000014F2">
              <w:rPr>
                <w:i/>
                <w:iCs/>
                <w:color w:val="auto"/>
              </w:rPr>
              <w:t>$6,131.56</w:t>
            </w:r>
          </w:p>
        </w:tc>
        <w:tc>
          <w:tcPr>
            <w:tcW w:w="1095" w:type="dxa"/>
            <w:tcBorders>
              <w:top w:val="nil"/>
              <w:bottom w:val="nil"/>
            </w:tcBorders>
          </w:tcPr>
          <w:p w14:paraId="4C8BEA8B" w14:textId="77777777" w:rsidR="00652235" w:rsidRPr="000014F2" w:rsidRDefault="00652235" w:rsidP="0083662B">
            <w:pPr>
              <w:pStyle w:val="Critiquetabletext"/>
              <w:spacing w:before="0" w:after="0"/>
              <w:jc w:val="right"/>
              <w:rPr>
                <w:i/>
                <w:iCs/>
                <w:color w:val="auto"/>
              </w:rPr>
            </w:pPr>
            <w:r w:rsidRPr="000014F2">
              <w:rPr>
                <w:i/>
                <w:iCs/>
                <w:color w:val="auto"/>
              </w:rPr>
              <w:t>$6,115.44</w:t>
            </w:r>
          </w:p>
        </w:tc>
        <w:tc>
          <w:tcPr>
            <w:tcW w:w="1096" w:type="dxa"/>
            <w:tcBorders>
              <w:top w:val="nil"/>
              <w:bottom w:val="nil"/>
            </w:tcBorders>
          </w:tcPr>
          <w:p w14:paraId="2EB1B9A1" w14:textId="77777777" w:rsidR="00652235" w:rsidRPr="000014F2" w:rsidRDefault="00652235" w:rsidP="0083662B">
            <w:pPr>
              <w:pStyle w:val="Critiquetabletext"/>
              <w:spacing w:before="0" w:after="0"/>
              <w:jc w:val="right"/>
              <w:rPr>
                <w:i/>
                <w:iCs/>
                <w:color w:val="auto"/>
              </w:rPr>
            </w:pPr>
            <w:r w:rsidRPr="000014F2">
              <w:rPr>
                <w:i/>
                <w:iCs/>
                <w:color w:val="auto"/>
              </w:rPr>
              <w:t>$16.12</w:t>
            </w:r>
          </w:p>
        </w:tc>
        <w:tc>
          <w:tcPr>
            <w:tcW w:w="1095" w:type="dxa"/>
            <w:tcBorders>
              <w:top w:val="nil"/>
              <w:bottom w:val="nil"/>
            </w:tcBorders>
          </w:tcPr>
          <w:p w14:paraId="732B14E0" w14:textId="77777777" w:rsidR="00652235" w:rsidRPr="000014F2" w:rsidRDefault="00652235" w:rsidP="0083662B">
            <w:pPr>
              <w:pStyle w:val="Critiquetabletext"/>
              <w:spacing w:before="0" w:after="0"/>
              <w:jc w:val="right"/>
              <w:rPr>
                <w:i/>
                <w:iCs/>
                <w:color w:val="auto"/>
              </w:rPr>
            </w:pPr>
            <w:r w:rsidRPr="000014F2">
              <w:rPr>
                <w:i/>
                <w:iCs/>
                <w:color w:val="auto"/>
              </w:rPr>
              <w:t>$5,154.70</w:t>
            </w:r>
          </w:p>
        </w:tc>
        <w:tc>
          <w:tcPr>
            <w:tcW w:w="1096" w:type="dxa"/>
            <w:tcBorders>
              <w:top w:val="nil"/>
              <w:bottom w:val="nil"/>
            </w:tcBorders>
          </w:tcPr>
          <w:p w14:paraId="56CCC8D7" w14:textId="77777777" w:rsidR="00652235" w:rsidRPr="000014F2" w:rsidRDefault="00652235" w:rsidP="0083662B">
            <w:pPr>
              <w:pStyle w:val="Critiquetabletext"/>
              <w:spacing w:before="0" w:after="0"/>
              <w:jc w:val="right"/>
              <w:rPr>
                <w:i/>
                <w:iCs/>
                <w:color w:val="auto"/>
              </w:rPr>
            </w:pPr>
            <w:r w:rsidRPr="000014F2">
              <w:rPr>
                <w:i/>
                <w:iCs/>
                <w:color w:val="auto"/>
              </w:rPr>
              <w:t>$976.86</w:t>
            </w:r>
          </w:p>
        </w:tc>
      </w:tr>
      <w:tr w:rsidR="00652235" w:rsidRPr="00FD633A" w14:paraId="22E509CC" w14:textId="77777777" w:rsidTr="00F11AFE">
        <w:tc>
          <w:tcPr>
            <w:tcW w:w="3539" w:type="dxa"/>
            <w:tcBorders>
              <w:top w:val="nil"/>
              <w:bottom w:val="nil"/>
            </w:tcBorders>
          </w:tcPr>
          <w:p w14:paraId="39031089" w14:textId="77777777" w:rsidR="00652235" w:rsidRPr="000014F2" w:rsidRDefault="00652235" w:rsidP="0083662B">
            <w:pPr>
              <w:pStyle w:val="Critiquetabletext"/>
              <w:spacing w:before="0" w:after="0"/>
              <w:rPr>
                <w:i/>
                <w:iCs/>
                <w:color w:val="auto"/>
              </w:rPr>
            </w:pPr>
            <w:r w:rsidRPr="000014F2">
              <w:rPr>
                <w:i/>
                <w:iCs/>
                <w:color w:val="auto"/>
              </w:rPr>
              <w:t>#1, #2, #3, #4 AND #5</w:t>
            </w:r>
          </w:p>
        </w:tc>
        <w:tc>
          <w:tcPr>
            <w:tcW w:w="1095" w:type="dxa"/>
            <w:tcBorders>
              <w:top w:val="nil"/>
              <w:bottom w:val="nil"/>
            </w:tcBorders>
          </w:tcPr>
          <w:p w14:paraId="459E2EE9" w14:textId="77777777" w:rsidR="00652235" w:rsidRPr="000014F2" w:rsidRDefault="00652235" w:rsidP="0083662B">
            <w:pPr>
              <w:pStyle w:val="Critiquetabletext"/>
              <w:spacing w:before="0" w:after="0"/>
              <w:jc w:val="right"/>
              <w:rPr>
                <w:i/>
                <w:iCs/>
                <w:color w:val="auto"/>
              </w:rPr>
            </w:pPr>
            <w:r w:rsidRPr="000014F2">
              <w:rPr>
                <w:i/>
                <w:iCs/>
                <w:color w:val="auto"/>
              </w:rPr>
              <w:t>$6,086.31</w:t>
            </w:r>
          </w:p>
        </w:tc>
        <w:tc>
          <w:tcPr>
            <w:tcW w:w="1095" w:type="dxa"/>
            <w:tcBorders>
              <w:top w:val="nil"/>
              <w:bottom w:val="nil"/>
            </w:tcBorders>
          </w:tcPr>
          <w:p w14:paraId="607A83FF" w14:textId="77777777" w:rsidR="00652235" w:rsidRPr="000014F2" w:rsidRDefault="00652235" w:rsidP="0083662B">
            <w:pPr>
              <w:pStyle w:val="Critiquetabletext"/>
              <w:spacing w:before="0" w:after="0"/>
              <w:jc w:val="right"/>
              <w:rPr>
                <w:i/>
                <w:iCs/>
                <w:color w:val="auto"/>
              </w:rPr>
            </w:pPr>
            <w:r w:rsidRPr="000014F2">
              <w:rPr>
                <w:i/>
                <w:iCs/>
                <w:color w:val="auto"/>
              </w:rPr>
              <w:t>$5,486.93</w:t>
            </w:r>
          </w:p>
        </w:tc>
        <w:tc>
          <w:tcPr>
            <w:tcW w:w="1096" w:type="dxa"/>
            <w:tcBorders>
              <w:top w:val="nil"/>
              <w:bottom w:val="nil"/>
            </w:tcBorders>
          </w:tcPr>
          <w:p w14:paraId="5726C84B" w14:textId="77777777" w:rsidR="00652235" w:rsidRPr="000014F2" w:rsidRDefault="00652235" w:rsidP="0083662B">
            <w:pPr>
              <w:pStyle w:val="Critiquetabletext"/>
              <w:spacing w:before="0" w:after="0"/>
              <w:jc w:val="right"/>
              <w:rPr>
                <w:i/>
                <w:iCs/>
                <w:color w:val="auto"/>
              </w:rPr>
            </w:pPr>
            <w:r w:rsidRPr="000014F2">
              <w:rPr>
                <w:i/>
                <w:iCs/>
                <w:color w:val="auto"/>
              </w:rPr>
              <w:t>$599.38</w:t>
            </w:r>
          </w:p>
        </w:tc>
        <w:tc>
          <w:tcPr>
            <w:tcW w:w="1095" w:type="dxa"/>
            <w:tcBorders>
              <w:top w:val="nil"/>
              <w:bottom w:val="nil"/>
            </w:tcBorders>
          </w:tcPr>
          <w:p w14:paraId="05DECC5A" w14:textId="77777777" w:rsidR="00652235" w:rsidRPr="000014F2" w:rsidRDefault="00652235" w:rsidP="0083662B">
            <w:pPr>
              <w:pStyle w:val="Critiquetabletext"/>
              <w:spacing w:before="0" w:after="0"/>
              <w:jc w:val="right"/>
              <w:rPr>
                <w:i/>
                <w:iCs/>
                <w:color w:val="auto"/>
              </w:rPr>
            </w:pPr>
            <w:r w:rsidRPr="000014F2">
              <w:rPr>
                <w:i/>
                <w:iCs/>
                <w:color w:val="auto"/>
              </w:rPr>
              <w:t>$5,154.70</w:t>
            </w:r>
          </w:p>
        </w:tc>
        <w:tc>
          <w:tcPr>
            <w:tcW w:w="1096" w:type="dxa"/>
            <w:tcBorders>
              <w:top w:val="nil"/>
              <w:bottom w:val="nil"/>
            </w:tcBorders>
          </w:tcPr>
          <w:p w14:paraId="4F5249C6" w14:textId="77777777" w:rsidR="00652235" w:rsidRPr="000014F2" w:rsidRDefault="00652235" w:rsidP="0083662B">
            <w:pPr>
              <w:pStyle w:val="Critiquetabletext"/>
              <w:spacing w:before="0" w:after="0"/>
              <w:jc w:val="right"/>
              <w:rPr>
                <w:i/>
                <w:iCs/>
                <w:color w:val="auto"/>
              </w:rPr>
            </w:pPr>
            <w:r w:rsidRPr="000014F2">
              <w:rPr>
                <w:i/>
                <w:iCs/>
                <w:color w:val="auto"/>
              </w:rPr>
              <w:t>$931.61</w:t>
            </w:r>
          </w:p>
        </w:tc>
      </w:tr>
      <w:tr w:rsidR="00652235" w:rsidRPr="00FD633A" w14:paraId="04C11292" w14:textId="77777777" w:rsidTr="00F11AFE">
        <w:tc>
          <w:tcPr>
            <w:tcW w:w="3539" w:type="dxa"/>
            <w:tcBorders>
              <w:top w:val="nil"/>
            </w:tcBorders>
          </w:tcPr>
          <w:p w14:paraId="47B59AEB" w14:textId="77777777" w:rsidR="00652235" w:rsidRPr="000014F2" w:rsidRDefault="00652235" w:rsidP="0083662B">
            <w:pPr>
              <w:pStyle w:val="Critiquetabletext"/>
              <w:spacing w:before="0" w:after="0"/>
              <w:rPr>
                <w:i/>
                <w:iCs/>
                <w:color w:val="auto"/>
              </w:rPr>
            </w:pPr>
            <w:r w:rsidRPr="000014F2">
              <w:rPr>
                <w:i/>
                <w:iCs/>
                <w:color w:val="auto"/>
              </w:rPr>
              <w:t>#1, #2, #3, #4, #5 AND #6</w:t>
            </w:r>
          </w:p>
        </w:tc>
        <w:tc>
          <w:tcPr>
            <w:tcW w:w="1095" w:type="dxa"/>
            <w:tcBorders>
              <w:top w:val="nil"/>
            </w:tcBorders>
          </w:tcPr>
          <w:p w14:paraId="1D0511F9" w14:textId="77777777" w:rsidR="00652235" w:rsidRPr="000014F2" w:rsidRDefault="00652235" w:rsidP="0083662B">
            <w:pPr>
              <w:pStyle w:val="Critiquetabletext"/>
              <w:spacing w:before="0" w:after="0"/>
              <w:jc w:val="right"/>
              <w:rPr>
                <w:i/>
                <w:iCs/>
                <w:color w:val="auto"/>
              </w:rPr>
            </w:pPr>
            <w:r w:rsidRPr="000014F2">
              <w:rPr>
                <w:i/>
                <w:iCs/>
                <w:color w:val="auto"/>
              </w:rPr>
              <w:t>$6,584.71</w:t>
            </w:r>
          </w:p>
        </w:tc>
        <w:tc>
          <w:tcPr>
            <w:tcW w:w="1095" w:type="dxa"/>
            <w:tcBorders>
              <w:top w:val="nil"/>
            </w:tcBorders>
          </w:tcPr>
          <w:p w14:paraId="668F46CF" w14:textId="77777777" w:rsidR="00652235" w:rsidRPr="000014F2" w:rsidRDefault="00652235" w:rsidP="0083662B">
            <w:pPr>
              <w:pStyle w:val="Critiquetabletext"/>
              <w:spacing w:before="0" w:after="0"/>
              <w:jc w:val="right"/>
              <w:rPr>
                <w:i/>
                <w:iCs/>
                <w:color w:val="auto"/>
              </w:rPr>
            </w:pPr>
            <w:r w:rsidRPr="000014F2">
              <w:rPr>
                <w:i/>
                <w:iCs/>
                <w:color w:val="auto"/>
              </w:rPr>
              <w:t>$5,486.93</w:t>
            </w:r>
          </w:p>
        </w:tc>
        <w:tc>
          <w:tcPr>
            <w:tcW w:w="1096" w:type="dxa"/>
            <w:tcBorders>
              <w:top w:val="nil"/>
            </w:tcBorders>
          </w:tcPr>
          <w:p w14:paraId="219C6CBC" w14:textId="77777777" w:rsidR="00652235" w:rsidRPr="000014F2" w:rsidRDefault="00652235" w:rsidP="0083662B">
            <w:pPr>
              <w:pStyle w:val="Critiquetabletext"/>
              <w:spacing w:before="0" w:after="0"/>
              <w:jc w:val="right"/>
              <w:rPr>
                <w:i/>
                <w:iCs/>
                <w:color w:val="auto"/>
              </w:rPr>
            </w:pPr>
            <w:r w:rsidRPr="000014F2">
              <w:rPr>
                <w:i/>
                <w:iCs/>
                <w:color w:val="auto"/>
              </w:rPr>
              <w:t>$1,097.78</w:t>
            </w:r>
          </w:p>
        </w:tc>
        <w:tc>
          <w:tcPr>
            <w:tcW w:w="1095" w:type="dxa"/>
            <w:tcBorders>
              <w:top w:val="nil"/>
            </w:tcBorders>
          </w:tcPr>
          <w:p w14:paraId="0904339A" w14:textId="77777777" w:rsidR="00652235" w:rsidRPr="000014F2" w:rsidRDefault="00652235" w:rsidP="0083662B">
            <w:pPr>
              <w:pStyle w:val="Critiquetabletext"/>
              <w:spacing w:before="0" w:after="0"/>
              <w:jc w:val="right"/>
              <w:rPr>
                <w:i/>
                <w:iCs/>
                <w:color w:val="auto"/>
              </w:rPr>
            </w:pPr>
            <w:r w:rsidRPr="000014F2">
              <w:rPr>
                <w:i/>
                <w:iCs/>
                <w:color w:val="auto"/>
              </w:rPr>
              <w:t>$5,154.70</w:t>
            </w:r>
          </w:p>
        </w:tc>
        <w:tc>
          <w:tcPr>
            <w:tcW w:w="1096" w:type="dxa"/>
            <w:tcBorders>
              <w:top w:val="nil"/>
            </w:tcBorders>
          </w:tcPr>
          <w:p w14:paraId="013C637B" w14:textId="77777777" w:rsidR="00652235" w:rsidRPr="000014F2" w:rsidRDefault="00652235" w:rsidP="0083662B">
            <w:pPr>
              <w:pStyle w:val="Critiquetabletext"/>
              <w:spacing w:before="0" w:after="0"/>
              <w:jc w:val="right"/>
              <w:rPr>
                <w:i/>
                <w:iCs/>
                <w:color w:val="auto"/>
              </w:rPr>
            </w:pPr>
            <w:r w:rsidRPr="000014F2">
              <w:rPr>
                <w:i/>
                <w:iCs/>
                <w:color w:val="auto"/>
              </w:rPr>
              <w:t>$1,430.01</w:t>
            </w:r>
          </w:p>
        </w:tc>
      </w:tr>
    </w:tbl>
    <w:p w14:paraId="7DF216F2" w14:textId="77777777" w:rsidR="00652235" w:rsidRPr="00FD633A" w:rsidRDefault="00652235" w:rsidP="00C11BBE">
      <w:pPr>
        <w:pStyle w:val="Tablenotes"/>
      </w:pPr>
      <w:r>
        <w:t xml:space="preserve">Abbreviations: PHDB = Private Hospital Data Bureau; </w:t>
      </w:r>
      <w:r w:rsidRPr="00FD633A">
        <w:t>PUL = prosthetic urethral lift; TURP = transurethral resection of the prostate; VLAP = visual laser ablation of the prostate.</w:t>
      </w:r>
    </w:p>
    <w:p w14:paraId="4B67382F" w14:textId="77777777" w:rsidR="00652235" w:rsidRPr="00FD633A" w:rsidRDefault="00652235" w:rsidP="00C11BBE">
      <w:pPr>
        <w:pStyle w:val="Tablenotes"/>
      </w:pPr>
      <w:r w:rsidRPr="00FD633A">
        <w:rPr>
          <w:vertAlign w:val="superscript"/>
        </w:rPr>
        <w:t>a</w:t>
      </w:r>
      <w:r w:rsidRPr="00FD633A">
        <w:t xml:space="preserve"> Proportion of Clavien-Dindo grade 3b bleeding events with TURP in the BPH6 study. Note that this was not significantly different to the proportion of Clavien-Dindo grade 3b bleeding events with PUL in the BPH6 study.</w:t>
      </w:r>
    </w:p>
    <w:p w14:paraId="51E33DD0" w14:textId="77777777" w:rsidR="00652235" w:rsidRPr="00FD633A" w:rsidRDefault="00652235" w:rsidP="00C11BBE">
      <w:pPr>
        <w:pStyle w:val="Tablenotes"/>
      </w:pPr>
      <w:r w:rsidRPr="00FD633A">
        <w:rPr>
          <w:vertAlign w:val="superscript"/>
        </w:rPr>
        <w:t>b</w:t>
      </w:r>
      <w:r w:rsidRPr="00FD633A">
        <w:t xml:space="preserve"> </w:t>
      </w:r>
      <w:r>
        <w:t xml:space="preserve">The average number of prostheses implanted per patient as reported in the Private Healthcare Australia targeted consultation feedback. It should be noted however that this number is lower than the average number of prostheses used in the BPH6 trial that was the basis for the claim of non-inferiority. The ADAR did not consider whether the number of implants used would affect the relative treatment effect if PUL. </w:t>
      </w:r>
    </w:p>
    <w:p w14:paraId="15C72D21" w14:textId="77777777" w:rsidR="00652235" w:rsidRPr="00FD633A" w:rsidRDefault="00652235" w:rsidP="00C11BBE">
      <w:pPr>
        <w:pStyle w:val="Tablenotes"/>
      </w:pPr>
      <w:r w:rsidRPr="00FD633A">
        <w:rPr>
          <w:vertAlign w:val="superscript"/>
        </w:rPr>
        <w:t>c</w:t>
      </w:r>
      <w:r w:rsidRPr="00FD633A">
        <w:t xml:space="preserve"> Assuming the VLAP capital costs are amortised over 10 years, assuming 100 patients per year (base case: discounted over 5 years, assuming 50 patients per year).</w:t>
      </w:r>
    </w:p>
    <w:p w14:paraId="151B194B" w14:textId="77777777" w:rsidR="00652235" w:rsidRDefault="00652235" w:rsidP="00C11BBE">
      <w:pPr>
        <w:pStyle w:val="Tablenotes"/>
      </w:pPr>
      <w:r w:rsidRPr="00FD633A">
        <w:rPr>
          <w:vertAlign w:val="superscript"/>
        </w:rPr>
        <w:t>d</w:t>
      </w:r>
      <w:r w:rsidRPr="00FD633A">
        <w:t xml:space="preserve"> Assuming 100 patients per year (base case: 50 patients per year).</w:t>
      </w:r>
    </w:p>
    <w:p w14:paraId="4BA5FE9A" w14:textId="77777777" w:rsidR="00652235" w:rsidRDefault="00652235" w:rsidP="00C11BBE">
      <w:pPr>
        <w:pStyle w:val="Tablenotes"/>
      </w:pPr>
      <w:r w:rsidRPr="00EA1AAB">
        <w:rPr>
          <w:vertAlign w:val="superscript"/>
        </w:rPr>
        <w:t>e</w:t>
      </w:r>
      <w:r>
        <w:t xml:space="preserve"> </w:t>
      </w:r>
      <w:r w:rsidRPr="00FD633A">
        <w:t xml:space="preserve">1.1278 loops, as per the GOLIATH trial, at a cost of $365 each assumed, based on Whitty et al. </w:t>
      </w:r>
      <w:r>
        <w:fldChar w:fldCharType="begin">
          <w:fldData xml:space="preserve">PEVuZE5vdGU+PENpdGUgRXhjbHVkZUF1dGg9IjEiPjxBdXRob3I+V2hpdHR5PC9BdXRob3I+PFll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</w:fldData>
        </w:fldChar>
      </w:r>
      <w:r>
        <w:instrText xml:space="preserve"> ADDIN EN.CITE </w:instrText>
      </w:r>
      <w:r>
        <w:fldChar w:fldCharType="begin">
          <w:fldData xml:space="preserve">PEVuZE5vdGU+PENpdGUgRXhjbHVkZUF1dGg9IjEiPjxBdXRob3I+V2hpdHR5PC9BdXRob3I+PFll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</w:fldData>
        </w:fldChar>
      </w:r>
      <w:r>
        <w:instrText xml:space="preserve"> ADDIN EN.CITE.DATA </w:instrText>
      </w:r>
      <w:r>
        <w:fldChar w:fldCharType="end"/>
      </w:r>
      <w:r>
        <w:fldChar w:fldCharType="separate"/>
      </w:r>
      <w:r>
        <w:rPr>
          <w:noProof/>
        </w:rPr>
        <w:t>(</w:t>
      </w:r>
      <w:hyperlink w:anchor="_ENREF_30" w:tooltip="Whitty, 2014 #82" w:history="1">
        <w:r>
          <w:rPr>
            <w:noProof/>
          </w:rPr>
          <w:t>2014</w:t>
        </w:r>
      </w:hyperlink>
      <w:r>
        <w:rPr>
          <w:noProof/>
        </w:rPr>
        <w:t>)</w:t>
      </w:r>
      <w:r>
        <w:fldChar w:fldCharType="end"/>
      </w:r>
      <w:r w:rsidRPr="00FD633A">
        <w:t>.</w:t>
      </w:r>
    </w:p>
    <w:p w14:paraId="3A25482A" w14:textId="74BCBE46" w:rsidR="00652235" w:rsidRPr="00FD633A" w:rsidRDefault="00652235" w:rsidP="00C11BBE">
      <w:pPr>
        <w:pStyle w:val="Tablenotes"/>
      </w:pPr>
      <w:r>
        <w:t xml:space="preserve">f The average hospital cost per day was estimated from the average cost </w:t>
      </w:r>
      <w:r w:rsidR="0083662B">
        <w:t xml:space="preserve">of TURP separation presented in ADAR Critique Table 15 </w:t>
      </w:r>
      <w:r>
        <w:t>($1,734). This was applied per day stay for TURP and VLAP. No additional costs were applied to account for TURP complexity as the AR-DRG costs already consider this. The average cost of PUL hospitalisation was applied as estimated in</w:t>
      </w:r>
      <w:r w:rsidR="0083662B">
        <w:t xml:space="preserve"> ADAR Critique Table 15 (</w:t>
      </w:r>
      <w:r>
        <w:t>$1,293).</w:t>
      </w:r>
    </w:p>
    <w:p w14:paraId="2F0D1CF4" w14:textId="7EC88CAC" w:rsidR="00652235" w:rsidRPr="00FD633A" w:rsidRDefault="00652235" w:rsidP="00C11BBE">
      <w:pPr>
        <w:pStyle w:val="Tablenotes"/>
      </w:pPr>
      <w:r>
        <w:t>Source: ADAR Commentary</w:t>
      </w:r>
      <w:r w:rsidR="0083662B">
        <w:t xml:space="preserve"> Table 3, p26 of the commentary</w:t>
      </w:r>
    </w:p>
    <w:p w14:paraId="510E4929" w14:textId="78FBC7DF" w:rsidR="00652235" w:rsidRDefault="00652235" w:rsidP="00652235">
      <w:r>
        <w:t>The m</w:t>
      </w:r>
      <w:r w:rsidRPr="00FD633A">
        <w:t xml:space="preserve">ultivariate analyses </w:t>
      </w:r>
      <w:r>
        <w:t>conducted by the commentary provide</w:t>
      </w:r>
      <w:r w:rsidRPr="00FD633A">
        <w:t xml:space="preserve"> alternate assumptions in a stepped manner</w:t>
      </w:r>
      <w:r>
        <w:t xml:space="preserve"> (i.e. TURP cost weight multiplier, using the five-year reintervention rate rather than the annualised rate applied once, VLAP capital assumptions, TURP consumables and length of hospital stay and number of PUL prostheses)</w:t>
      </w:r>
      <w:r w:rsidRPr="00FD633A">
        <w:t xml:space="preserve">. </w:t>
      </w:r>
      <w:r>
        <w:t xml:space="preserve">The commentary proposed that MSAC may wish to consider whether the base case should be respecified to apply these </w:t>
      </w:r>
      <w:r>
        <w:lastRenderedPageBreak/>
        <w:t xml:space="preserve">changes. </w:t>
      </w:r>
      <w:r w:rsidRPr="00FD633A">
        <w:t>PUL was observed to be associated with substantial costs when these alternate assumptions</w:t>
      </w:r>
      <w:r w:rsidR="00D2501B">
        <w:t xml:space="preserve"> were changed at the same time.</w:t>
      </w:r>
    </w:p>
    <w:p w14:paraId="6D0190E2" w14:textId="68437E74" w:rsidR="00652235" w:rsidRDefault="00652235" w:rsidP="00D2501B">
      <w:pPr>
        <w:spacing w:before="240"/>
      </w:pPr>
      <w:r>
        <w:t>The commentary considers</w:t>
      </w:r>
      <w:r w:rsidR="003A2225">
        <w:t xml:space="preserve"> the proposed increase in fee not well justified</w:t>
      </w:r>
      <w:r>
        <w:t xml:space="preserve"> g</w:t>
      </w:r>
      <w:r w:rsidRPr="00FD633A">
        <w:t>iven that the claim of non-inferiority was not well supported in the ADAR, and that PUL may be associated with substantial additional costs</w:t>
      </w:r>
      <w:r w:rsidR="003A2225">
        <w:t>.</w:t>
      </w:r>
    </w:p>
    <w:p w14:paraId="1DB716D9" w14:textId="14675646" w:rsidR="00652235" w:rsidRDefault="00D70B59" w:rsidP="00D2501B">
      <w:pPr>
        <w:spacing w:before="240" w:after="240"/>
      </w:pPr>
      <w:r>
        <w:t>In the pre-ESC response, t</w:t>
      </w:r>
      <w:r w:rsidR="00652235">
        <w:t>he applicant noted the commentary’s analysis used a bed-day stay of 1.9 days for TURP.  According to the IHPA National Efficient Price Determination 2018</w:t>
      </w:r>
      <w:r w:rsidR="008F0CB8">
        <w:noBreakHyphen/>
      </w:r>
      <w:r w:rsidR="00652235">
        <w:t>19 the length of stay for TURP with minor complications, ignoring the impact of including with major complications, was 2.56 days.  The multivaria</w:t>
      </w:r>
      <w:r w:rsidR="00D52151">
        <w:t>te</w:t>
      </w:r>
      <w:r w:rsidR="00652235">
        <w:t xml:space="preserve"> analysis also (incorrectly) looked at the effect of a 5% handling</w:t>
      </w:r>
      <w:r w:rsidR="004A6094">
        <w:t xml:space="preserve"> fee.</w:t>
      </w:r>
    </w:p>
    <w:p w14:paraId="13F43736" w14:textId="77777777" w:rsidR="00652235" w:rsidRPr="00250EF2" w:rsidRDefault="00652235" w:rsidP="00250EF2">
      <w:pPr>
        <w:rPr>
          <w:rFonts w:ascii="Arial Narrow" w:hAnsi="Arial Narrow"/>
          <w:b/>
          <w:sz w:val="20"/>
        </w:rPr>
      </w:pPr>
      <w:r w:rsidRPr="00250EF2">
        <w:rPr>
          <w:rFonts w:ascii="Arial Narrow" w:hAnsi="Arial Narrow"/>
          <w:b/>
          <w:sz w:val="20"/>
        </w:rPr>
        <w:t>Table 18</w:t>
      </w:r>
      <w:r w:rsidRPr="00250EF2">
        <w:rPr>
          <w:rFonts w:ascii="Arial Narrow" w:hAnsi="Arial Narrow"/>
          <w:b/>
          <w:sz w:val="20"/>
        </w:rPr>
        <w:tab/>
        <w:t>ESC Revised multivariate sensitivity analysis: Disaggregated and aggregated incremental cost of PUL relative to TURP and VLAP (revised inputs in italic text)</w:t>
      </w:r>
    </w:p>
    <w:tbl>
      <w:tblPr>
        <w:tblStyle w:val="TableGrid7"/>
        <w:tblW w:w="0" w:type="auto"/>
        <w:tblLook w:val="04A0" w:firstRow="1" w:lastRow="0" w:firstColumn="1" w:lastColumn="0" w:noHBand="0" w:noVBand="1"/>
        <w:tblDescription w:val="Revised multivariate sensitivity analysis: Disaggregated and aggregated incremental cost of PUL relative to TURP and VLAP"/>
      </w:tblPr>
      <w:tblGrid>
        <w:gridCol w:w="2972"/>
        <w:gridCol w:w="1208"/>
        <w:gridCol w:w="1209"/>
        <w:gridCol w:w="1209"/>
        <w:gridCol w:w="1209"/>
        <w:gridCol w:w="1209"/>
      </w:tblGrid>
      <w:tr w:rsidR="00652235" w:rsidRPr="00652235" w14:paraId="2CF71DF7" w14:textId="77777777" w:rsidTr="00221228">
        <w:trPr>
          <w:tblHeader/>
        </w:trPr>
        <w:tc>
          <w:tcPr>
            <w:tcW w:w="2972" w:type="dxa"/>
            <w:tcBorders>
              <w:bottom w:val="single" w:sz="4" w:space="0" w:color="auto"/>
            </w:tcBorders>
          </w:tcPr>
          <w:p w14:paraId="1AF6C4D2" w14:textId="77777777" w:rsidR="00652235" w:rsidRPr="00652235" w:rsidRDefault="00652235" w:rsidP="00F11AFE">
            <w:pPr>
              <w:jc w:val="center"/>
              <w:rPr>
                <w:rFonts w:ascii="Arial Narrow" w:hAnsi="Arial Narrow" w:cs="Tahoma"/>
                <w:b/>
                <w:sz w:val="20"/>
              </w:rPr>
            </w:pPr>
          </w:p>
        </w:tc>
        <w:tc>
          <w:tcPr>
            <w:tcW w:w="1208" w:type="dxa"/>
            <w:tcBorders>
              <w:bottom w:val="single" w:sz="4" w:space="0" w:color="auto"/>
            </w:tcBorders>
          </w:tcPr>
          <w:p w14:paraId="07E97A98" w14:textId="77777777" w:rsidR="00652235" w:rsidRPr="00652235" w:rsidRDefault="00652235" w:rsidP="00F11AFE">
            <w:pPr>
              <w:jc w:val="center"/>
              <w:rPr>
                <w:rFonts w:ascii="Arial Narrow" w:hAnsi="Arial Narrow" w:cs="Tahoma"/>
                <w:b/>
                <w:sz w:val="20"/>
              </w:rPr>
            </w:pPr>
            <w:r w:rsidRPr="00652235">
              <w:rPr>
                <w:rFonts w:ascii="Arial Narrow" w:hAnsi="Arial Narrow" w:cs="Tahoma"/>
                <w:b/>
                <w:sz w:val="20"/>
              </w:rPr>
              <w:t>PUL</w:t>
            </w:r>
          </w:p>
        </w:tc>
        <w:tc>
          <w:tcPr>
            <w:tcW w:w="1209" w:type="dxa"/>
            <w:tcBorders>
              <w:bottom w:val="single" w:sz="4" w:space="0" w:color="auto"/>
            </w:tcBorders>
          </w:tcPr>
          <w:p w14:paraId="2310C594" w14:textId="77777777" w:rsidR="00652235" w:rsidRPr="00652235" w:rsidRDefault="00652235" w:rsidP="00F11AFE">
            <w:pPr>
              <w:jc w:val="center"/>
              <w:rPr>
                <w:rFonts w:ascii="Arial Narrow" w:hAnsi="Arial Narrow" w:cs="Tahoma"/>
                <w:b/>
                <w:sz w:val="20"/>
              </w:rPr>
            </w:pPr>
            <w:r w:rsidRPr="00652235">
              <w:rPr>
                <w:rFonts w:ascii="Arial Narrow" w:hAnsi="Arial Narrow" w:cs="Tahoma"/>
                <w:b/>
                <w:sz w:val="20"/>
              </w:rPr>
              <w:t>TURP</w:t>
            </w:r>
          </w:p>
        </w:tc>
        <w:tc>
          <w:tcPr>
            <w:tcW w:w="1209" w:type="dxa"/>
            <w:tcBorders>
              <w:bottom w:val="single" w:sz="4" w:space="0" w:color="auto"/>
            </w:tcBorders>
          </w:tcPr>
          <w:p w14:paraId="5578869F" w14:textId="77777777" w:rsidR="00652235" w:rsidRPr="00652235" w:rsidRDefault="00652235" w:rsidP="00F11AFE">
            <w:pPr>
              <w:jc w:val="center"/>
              <w:rPr>
                <w:rFonts w:ascii="Arial Narrow" w:hAnsi="Arial Narrow" w:cs="Tahoma"/>
                <w:b/>
                <w:sz w:val="20"/>
              </w:rPr>
            </w:pPr>
            <w:r w:rsidRPr="00652235">
              <w:rPr>
                <w:rFonts w:ascii="Arial Narrow" w:hAnsi="Arial Narrow" w:cs="Tahoma"/>
                <w:b/>
                <w:sz w:val="20"/>
              </w:rPr>
              <w:t>Incremental cost of PUL</w:t>
            </w:r>
          </w:p>
        </w:tc>
        <w:tc>
          <w:tcPr>
            <w:tcW w:w="1209" w:type="dxa"/>
            <w:tcBorders>
              <w:bottom w:val="single" w:sz="4" w:space="0" w:color="auto"/>
            </w:tcBorders>
          </w:tcPr>
          <w:p w14:paraId="0BD16306" w14:textId="77777777" w:rsidR="00652235" w:rsidRPr="00652235" w:rsidRDefault="00652235" w:rsidP="00F11AFE">
            <w:pPr>
              <w:jc w:val="center"/>
              <w:rPr>
                <w:rFonts w:ascii="Arial Narrow" w:hAnsi="Arial Narrow" w:cs="Tahoma"/>
                <w:b/>
                <w:sz w:val="20"/>
              </w:rPr>
            </w:pPr>
            <w:r w:rsidRPr="00652235">
              <w:rPr>
                <w:rFonts w:ascii="Arial Narrow" w:hAnsi="Arial Narrow" w:cs="Tahoma"/>
                <w:b/>
                <w:sz w:val="20"/>
              </w:rPr>
              <w:t>VLAP</w:t>
            </w:r>
          </w:p>
        </w:tc>
        <w:tc>
          <w:tcPr>
            <w:tcW w:w="1209" w:type="dxa"/>
            <w:tcBorders>
              <w:bottom w:val="single" w:sz="4" w:space="0" w:color="auto"/>
            </w:tcBorders>
          </w:tcPr>
          <w:p w14:paraId="7AD087D0" w14:textId="77777777" w:rsidR="00652235" w:rsidRPr="00652235" w:rsidRDefault="00652235" w:rsidP="00F11AFE">
            <w:pPr>
              <w:jc w:val="center"/>
              <w:rPr>
                <w:rFonts w:ascii="Arial Narrow" w:hAnsi="Arial Narrow" w:cs="Tahoma"/>
                <w:b/>
                <w:sz w:val="20"/>
              </w:rPr>
            </w:pPr>
            <w:r w:rsidRPr="00652235">
              <w:rPr>
                <w:rFonts w:ascii="Arial Narrow" w:hAnsi="Arial Narrow" w:cs="Tahoma"/>
                <w:b/>
                <w:sz w:val="20"/>
              </w:rPr>
              <w:t>Incremental cost of PUL</w:t>
            </w:r>
          </w:p>
        </w:tc>
      </w:tr>
      <w:tr w:rsidR="00652235" w:rsidRPr="00652235" w14:paraId="0CD99217" w14:textId="77777777" w:rsidTr="00F11AFE">
        <w:tc>
          <w:tcPr>
            <w:tcW w:w="2972" w:type="dxa"/>
            <w:tcBorders>
              <w:bottom w:val="nil"/>
              <w:right w:val="single" w:sz="4" w:space="0" w:color="auto"/>
            </w:tcBorders>
          </w:tcPr>
          <w:p w14:paraId="1F4559AF" w14:textId="77777777" w:rsidR="00652235" w:rsidRPr="00652235" w:rsidRDefault="00652235" w:rsidP="00F11AFE">
            <w:pPr>
              <w:rPr>
                <w:rFonts w:ascii="Arial Narrow" w:hAnsi="Arial Narrow" w:cs="Tahoma"/>
                <w:sz w:val="20"/>
              </w:rPr>
            </w:pPr>
            <w:r w:rsidRPr="00652235">
              <w:rPr>
                <w:rFonts w:ascii="Arial Narrow" w:hAnsi="Arial Narrow" w:cs="Tahoma"/>
                <w:sz w:val="20"/>
              </w:rPr>
              <w:t>Procedure cost without complications</w:t>
            </w:r>
          </w:p>
        </w:tc>
        <w:tc>
          <w:tcPr>
            <w:tcW w:w="1208" w:type="dxa"/>
            <w:tcBorders>
              <w:left w:val="single" w:sz="4" w:space="0" w:color="auto"/>
              <w:bottom w:val="nil"/>
              <w:right w:val="single" w:sz="4" w:space="0" w:color="auto"/>
            </w:tcBorders>
          </w:tcPr>
          <w:p w14:paraId="428E56F5" w14:textId="77777777" w:rsidR="00652235" w:rsidRPr="00652235" w:rsidRDefault="00652235" w:rsidP="00F11AFE">
            <w:pPr>
              <w:jc w:val="right"/>
              <w:rPr>
                <w:rFonts w:ascii="Arial Narrow" w:hAnsi="Arial Narrow" w:cs="Tahoma"/>
                <w:sz w:val="20"/>
              </w:rPr>
            </w:pPr>
          </w:p>
        </w:tc>
        <w:tc>
          <w:tcPr>
            <w:tcW w:w="1209" w:type="dxa"/>
            <w:tcBorders>
              <w:left w:val="single" w:sz="4" w:space="0" w:color="auto"/>
              <w:bottom w:val="nil"/>
              <w:right w:val="single" w:sz="4" w:space="0" w:color="auto"/>
            </w:tcBorders>
          </w:tcPr>
          <w:p w14:paraId="69AABA4F" w14:textId="77777777" w:rsidR="00652235" w:rsidRPr="00652235" w:rsidRDefault="00652235" w:rsidP="00F11AFE">
            <w:pPr>
              <w:jc w:val="right"/>
              <w:rPr>
                <w:rFonts w:ascii="Arial Narrow" w:hAnsi="Arial Narrow" w:cs="Tahoma"/>
                <w:sz w:val="20"/>
              </w:rPr>
            </w:pPr>
          </w:p>
        </w:tc>
        <w:tc>
          <w:tcPr>
            <w:tcW w:w="1209" w:type="dxa"/>
            <w:tcBorders>
              <w:left w:val="single" w:sz="4" w:space="0" w:color="auto"/>
              <w:bottom w:val="nil"/>
              <w:right w:val="single" w:sz="4" w:space="0" w:color="auto"/>
            </w:tcBorders>
          </w:tcPr>
          <w:p w14:paraId="55BA6993" w14:textId="77777777" w:rsidR="00652235" w:rsidRPr="00652235" w:rsidRDefault="00652235" w:rsidP="00F11AFE">
            <w:pPr>
              <w:jc w:val="right"/>
              <w:rPr>
                <w:rFonts w:ascii="Arial Narrow" w:hAnsi="Arial Narrow" w:cs="Tahoma"/>
                <w:sz w:val="20"/>
              </w:rPr>
            </w:pPr>
          </w:p>
        </w:tc>
        <w:tc>
          <w:tcPr>
            <w:tcW w:w="1209" w:type="dxa"/>
            <w:tcBorders>
              <w:left w:val="single" w:sz="4" w:space="0" w:color="auto"/>
              <w:bottom w:val="nil"/>
              <w:right w:val="single" w:sz="4" w:space="0" w:color="auto"/>
            </w:tcBorders>
          </w:tcPr>
          <w:p w14:paraId="6B71166C" w14:textId="77777777" w:rsidR="00652235" w:rsidRPr="00652235" w:rsidRDefault="00652235" w:rsidP="00F11AFE">
            <w:pPr>
              <w:jc w:val="right"/>
              <w:rPr>
                <w:rFonts w:ascii="Arial Narrow" w:hAnsi="Arial Narrow" w:cs="Tahoma"/>
                <w:sz w:val="20"/>
              </w:rPr>
            </w:pPr>
          </w:p>
        </w:tc>
        <w:tc>
          <w:tcPr>
            <w:tcW w:w="1209" w:type="dxa"/>
            <w:tcBorders>
              <w:left w:val="single" w:sz="4" w:space="0" w:color="auto"/>
              <w:bottom w:val="nil"/>
            </w:tcBorders>
          </w:tcPr>
          <w:p w14:paraId="6C762E42" w14:textId="77777777" w:rsidR="00652235" w:rsidRPr="00652235" w:rsidRDefault="00652235" w:rsidP="00F11AFE">
            <w:pPr>
              <w:jc w:val="right"/>
              <w:rPr>
                <w:rFonts w:ascii="Arial Narrow" w:hAnsi="Arial Narrow" w:cs="Tahoma"/>
                <w:sz w:val="20"/>
              </w:rPr>
            </w:pPr>
          </w:p>
        </w:tc>
      </w:tr>
      <w:tr w:rsidR="00652235" w:rsidRPr="00652235" w14:paraId="572221D7" w14:textId="77777777" w:rsidTr="00F11AFE">
        <w:tc>
          <w:tcPr>
            <w:tcW w:w="2972" w:type="dxa"/>
            <w:tcBorders>
              <w:top w:val="nil"/>
              <w:bottom w:val="nil"/>
            </w:tcBorders>
          </w:tcPr>
          <w:p w14:paraId="11C6366E"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Procedure costs</w:t>
            </w:r>
          </w:p>
        </w:tc>
        <w:tc>
          <w:tcPr>
            <w:tcW w:w="1208" w:type="dxa"/>
            <w:tcBorders>
              <w:top w:val="nil"/>
              <w:left w:val="single" w:sz="8" w:space="0" w:color="auto"/>
              <w:bottom w:val="nil"/>
              <w:right w:val="single" w:sz="8" w:space="0" w:color="auto"/>
            </w:tcBorders>
            <w:shd w:val="clear" w:color="auto" w:fill="auto"/>
            <w:vAlign w:val="center"/>
          </w:tcPr>
          <w:p w14:paraId="7C22C4AB"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1,058.80 </w:t>
            </w:r>
          </w:p>
        </w:tc>
        <w:tc>
          <w:tcPr>
            <w:tcW w:w="1209" w:type="dxa"/>
            <w:tcBorders>
              <w:top w:val="nil"/>
              <w:left w:val="nil"/>
              <w:bottom w:val="nil"/>
              <w:right w:val="single" w:sz="8" w:space="0" w:color="auto"/>
            </w:tcBorders>
            <w:shd w:val="clear" w:color="auto" w:fill="auto"/>
            <w:vAlign w:val="center"/>
          </w:tcPr>
          <w:p w14:paraId="5CDFC27D"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1,058.80 </w:t>
            </w:r>
          </w:p>
        </w:tc>
        <w:tc>
          <w:tcPr>
            <w:tcW w:w="1209" w:type="dxa"/>
            <w:tcBorders>
              <w:top w:val="nil"/>
              <w:left w:val="nil"/>
              <w:bottom w:val="nil"/>
              <w:right w:val="single" w:sz="8" w:space="0" w:color="auto"/>
            </w:tcBorders>
            <w:shd w:val="clear" w:color="auto" w:fill="auto"/>
            <w:vAlign w:val="center"/>
          </w:tcPr>
          <w:p w14:paraId="0F3524AF"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   </w:t>
            </w:r>
          </w:p>
        </w:tc>
        <w:tc>
          <w:tcPr>
            <w:tcW w:w="1209" w:type="dxa"/>
            <w:tcBorders>
              <w:top w:val="nil"/>
              <w:left w:val="nil"/>
              <w:bottom w:val="nil"/>
              <w:right w:val="single" w:sz="8" w:space="0" w:color="auto"/>
            </w:tcBorders>
            <w:shd w:val="clear" w:color="auto" w:fill="auto"/>
            <w:vAlign w:val="center"/>
          </w:tcPr>
          <w:p w14:paraId="04CCF6F0"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$ 1,058.80 </w:t>
            </w:r>
          </w:p>
        </w:tc>
        <w:tc>
          <w:tcPr>
            <w:tcW w:w="1209" w:type="dxa"/>
            <w:tcBorders>
              <w:top w:val="nil"/>
              <w:left w:val="nil"/>
              <w:bottom w:val="nil"/>
              <w:right w:val="single" w:sz="8" w:space="0" w:color="auto"/>
            </w:tcBorders>
            <w:shd w:val="clear" w:color="auto" w:fill="auto"/>
            <w:vAlign w:val="center"/>
          </w:tcPr>
          <w:p w14:paraId="462A12DA"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   </w:t>
            </w:r>
          </w:p>
        </w:tc>
      </w:tr>
      <w:tr w:rsidR="00652235" w:rsidRPr="00652235" w14:paraId="103DBBD9" w14:textId="77777777" w:rsidTr="00F11AFE">
        <w:tc>
          <w:tcPr>
            <w:tcW w:w="2972" w:type="dxa"/>
            <w:tcBorders>
              <w:top w:val="nil"/>
              <w:bottom w:val="nil"/>
            </w:tcBorders>
          </w:tcPr>
          <w:p w14:paraId="53791D7B"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Anaesthesia costs</w:t>
            </w:r>
          </w:p>
        </w:tc>
        <w:tc>
          <w:tcPr>
            <w:tcW w:w="1208" w:type="dxa"/>
            <w:tcBorders>
              <w:top w:val="nil"/>
              <w:left w:val="single" w:sz="8" w:space="0" w:color="auto"/>
              <w:bottom w:val="nil"/>
              <w:right w:val="single" w:sz="8" w:space="0" w:color="auto"/>
            </w:tcBorders>
            <w:shd w:val="clear" w:color="auto" w:fill="auto"/>
            <w:vAlign w:val="center"/>
          </w:tcPr>
          <w:p w14:paraId="686CD27F"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205.15 </w:t>
            </w:r>
          </w:p>
        </w:tc>
        <w:tc>
          <w:tcPr>
            <w:tcW w:w="1209" w:type="dxa"/>
            <w:tcBorders>
              <w:top w:val="nil"/>
              <w:left w:val="nil"/>
              <w:bottom w:val="nil"/>
              <w:right w:val="single" w:sz="8" w:space="0" w:color="auto"/>
            </w:tcBorders>
            <w:shd w:val="clear" w:color="auto" w:fill="auto"/>
            <w:vAlign w:val="center"/>
          </w:tcPr>
          <w:p w14:paraId="31D431AC"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265.45 </w:t>
            </w:r>
          </w:p>
        </w:tc>
        <w:tc>
          <w:tcPr>
            <w:tcW w:w="1209" w:type="dxa"/>
            <w:tcBorders>
              <w:top w:val="nil"/>
              <w:left w:val="nil"/>
              <w:bottom w:val="nil"/>
              <w:right w:val="single" w:sz="8" w:space="0" w:color="auto"/>
            </w:tcBorders>
            <w:shd w:val="clear" w:color="auto" w:fill="auto"/>
            <w:vAlign w:val="center"/>
          </w:tcPr>
          <w:p w14:paraId="34825DAA"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60.30 </w:t>
            </w:r>
          </w:p>
        </w:tc>
        <w:tc>
          <w:tcPr>
            <w:tcW w:w="1209" w:type="dxa"/>
            <w:tcBorders>
              <w:top w:val="nil"/>
              <w:left w:val="nil"/>
              <w:bottom w:val="nil"/>
              <w:right w:val="single" w:sz="8" w:space="0" w:color="auto"/>
            </w:tcBorders>
            <w:shd w:val="clear" w:color="auto" w:fill="auto"/>
            <w:vAlign w:val="center"/>
          </w:tcPr>
          <w:p w14:paraId="085015DB"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225.25 </w:t>
            </w:r>
          </w:p>
        </w:tc>
        <w:tc>
          <w:tcPr>
            <w:tcW w:w="1209" w:type="dxa"/>
            <w:tcBorders>
              <w:top w:val="nil"/>
              <w:left w:val="nil"/>
              <w:bottom w:val="nil"/>
              <w:right w:val="single" w:sz="8" w:space="0" w:color="auto"/>
            </w:tcBorders>
            <w:shd w:val="clear" w:color="auto" w:fill="auto"/>
            <w:vAlign w:val="center"/>
          </w:tcPr>
          <w:p w14:paraId="036336E6"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20.10 </w:t>
            </w:r>
          </w:p>
        </w:tc>
      </w:tr>
      <w:tr w:rsidR="00652235" w:rsidRPr="00652235" w14:paraId="71444098" w14:textId="77777777" w:rsidTr="00F11AFE">
        <w:tc>
          <w:tcPr>
            <w:tcW w:w="2972" w:type="dxa"/>
            <w:tcBorders>
              <w:top w:val="nil"/>
              <w:bottom w:val="nil"/>
            </w:tcBorders>
          </w:tcPr>
          <w:p w14:paraId="2B5C2057"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Hospital (non-procedure) costs</w:t>
            </w:r>
          </w:p>
        </w:tc>
        <w:tc>
          <w:tcPr>
            <w:tcW w:w="1208" w:type="dxa"/>
            <w:tcBorders>
              <w:top w:val="nil"/>
              <w:left w:val="single" w:sz="8" w:space="0" w:color="auto"/>
              <w:bottom w:val="nil"/>
              <w:right w:val="single" w:sz="8" w:space="0" w:color="auto"/>
            </w:tcBorders>
            <w:shd w:val="clear" w:color="auto" w:fill="auto"/>
            <w:vAlign w:val="center"/>
          </w:tcPr>
          <w:p w14:paraId="08517F67"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$ 1,406.40 </w:t>
            </w:r>
          </w:p>
        </w:tc>
        <w:tc>
          <w:tcPr>
            <w:tcW w:w="1209" w:type="dxa"/>
            <w:tcBorders>
              <w:top w:val="nil"/>
              <w:left w:val="nil"/>
              <w:bottom w:val="nil"/>
              <w:right w:val="single" w:sz="8" w:space="0" w:color="auto"/>
            </w:tcBorders>
            <w:shd w:val="clear" w:color="auto" w:fill="auto"/>
            <w:vAlign w:val="center"/>
          </w:tcPr>
          <w:p w14:paraId="39914512"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3,647.55 </w:t>
            </w:r>
          </w:p>
        </w:tc>
        <w:tc>
          <w:tcPr>
            <w:tcW w:w="1209" w:type="dxa"/>
            <w:tcBorders>
              <w:top w:val="nil"/>
              <w:left w:val="nil"/>
              <w:bottom w:val="nil"/>
              <w:right w:val="single" w:sz="8" w:space="0" w:color="auto"/>
            </w:tcBorders>
            <w:shd w:val="clear" w:color="auto" w:fill="auto"/>
            <w:vAlign w:val="center"/>
          </w:tcPr>
          <w:p w14:paraId="1513954A"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2,241.15 </w:t>
            </w:r>
          </w:p>
        </w:tc>
        <w:tc>
          <w:tcPr>
            <w:tcW w:w="1209" w:type="dxa"/>
            <w:tcBorders>
              <w:top w:val="nil"/>
              <w:left w:val="nil"/>
              <w:bottom w:val="nil"/>
              <w:right w:val="single" w:sz="8" w:space="0" w:color="auto"/>
            </w:tcBorders>
            <w:shd w:val="clear" w:color="auto" w:fill="auto"/>
            <w:vAlign w:val="center"/>
          </w:tcPr>
          <w:p w14:paraId="2B52F1E1"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 xml:space="preserve"> $ 1,406.40</w:t>
            </w:r>
            <w:r w:rsidRPr="00652235">
              <w:rPr>
                <w:rFonts w:ascii="Arial Narrow" w:eastAsiaTheme="minorHAnsi" w:hAnsi="Arial Narrow" w:cs="Calibri"/>
                <w:i/>
                <w:sz w:val="20"/>
                <w:vertAlign w:val="superscript"/>
              </w:rPr>
              <w:t xml:space="preserve">e </w:t>
            </w:r>
          </w:p>
        </w:tc>
        <w:tc>
          <w:tcPr>
            <w:tcW w:w="1209" w:type="dxa"/>
            <w:tcBorders>
              <w:top w:val="nil"/>
              <w:left w:val="nil"/>
              <w:bottom w:val="nil"/>
              <w:right w:val="single" w:sz="8" w:space="0" w:color="auto"/>
            </w:tcBorders>
            <w:shd w:val="clear" w:color="auto" w:fill="auto"/>
            <w:vAlign w:val="center"/>
          </w:tcPr>
          <w:p w14:paraId="28160ED8"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   </w:t>
            </w:r>
          </w:p>
        </w:tc>
      </w:tr>
      <w:tr w:rsidR="00652235" w:rsidRPr="00652235" w14:paraId="2766A0F1" w14:textId="77777777" w:rsidTr="00F11AFE">
        <w:tc>
          <w:tcPr>
            <w:tcW w:w="2972" w:type="dxa"/>
            <w:tcBorders>
              <w:top w:val="nil"/>
              <w:bottom w:val="nil"/>
            </w:tcBorders>
          </w:tcPr>
          <w:p w14:paraId="626EF609"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Prostheses/consumables costs</w:t>
            </w:r>
          </w:p>
        </w:tc>
        <w:tc>
          <w:tcPr>
            <w:tcW w:w="1208" w:type="dxa"/>
            <w:tcBorders>
              <w:top w:val="nil"/>
              <w:left w:val="single" w:sz="8" w:space="0" w:color="auto"/>
              <w:bottom w:val="nil"/>
              <w:right w:val="single" w:sz="8" w:space="0" w:color="auto"/>
            </w:tcBorders>
            <w:shd w:val="clear" w:color="auto" w:fill="auto"/>
            <w:vAlign w:val="center"/>
          </w:tcPr>
          <w:p w14:paraId="55E1A9FC"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 xml:space="preserve"> $ 3,346.40</w:t>
            </w:r>
            <w:r w:rsidRPr="00652235">
              <w:rPr>
                <w:rFonts w:ascii="Arial Narrow" w:eastAsiaTheme="minorHAnsi" w:hAnsi="Arial Narrow" w:cs="Calibri"/>
                <w:i/>
                <w:sz w:val="20"/>
                <w:vertAlign w:val="superscript"/>
              </w:rPr>
              <w:t xml:space="preserve">a </w:t>
            </w:r>
          </w:p>
        </w:tc>
        <w:tc>
          <w:tcPr>
            <w:tcW w:w="1209" w:type="dxa"/>
            <w:tcBorders>
              <w:top w:val="nil"/>
              <w:left w:val="nil"/>
              <w:bottom w:val="nil"/>
              <w:right w:val="single" w:sz="8" w:space="0" w:color="auto"/>
            </w:tcBorders>
            <w:shd w:val="clear" w:color="auto" w:fill="auto"/>
            <w:vAlign w:val="center"/>
          </w:tcPr>
          <w:p w14:paraId="4D4305E8" w14:textId="40FF4000" w:rsidR="00652235" w:rsidRPr="00652235" w:rsidRDefault="00652235" w:rsidP="00250EF2">
            <w:pPr>
              <w:jc w:val="right"/>
              <w:rPr>
                <w:rFonts w:ascii="Arial Narrow" w:eastAsiaTheme="minorHAnsi" w:hAnsi="Arial Narrow" w:cs="Calibri"/>
                <w:i/>
                <w:sz w:val="20"/>
              </w:rPr>
            </w:pPr>
            <w:r w:rsidRPr="00652235">
              <w:rPr>
                <w:rFonts w:ascii="Arial Narrow" w:eastAsiaTheme="minorHAnsi" w:hAnsi="Arial Narrow" w:cs="Calibri"/>
                <w:sz w:val="20"/>
              </w:rPr>
              <w:t xml:space="preserve"> </w:t>
            </w:r>
            <w:r w:rsidRPr="00652235">
              <w:rPr>
                <w:rFonts w:ascii="Arial Narrow" w:eastAsiaTheme="minorHAnsi" w:hAnsi="Arial Narrow" w:cs="Calibri"/>
                <w:i/>
                <w:sz w:val="20"/>
              </w:rPr>
              <w:t>$ 412.45</w:t>
            </w:r>
            <w:r w:rsidRPr="00652235">
              <w:rPr>
                <w:rFonts w:ascii="Arial Narrow" w:eastAsiaTheme="minorHAnsi" w:hAnsi="Arial Narrow" w:cs="Calibri"/>
                <w:i/>
                <w:sz w:val="20"/>
                <w:vertAlign w:val="superscript"/>
              </w:rPr>
              <w:t>c</w:t>
            </w:r>
            <w:r w:rsidRPr="00652235">
              <w:rPr>
                <w:rFonts w:ascii="Arial Narrow" w:eastAsiaTheme="minorHAnsi" w:hAnsi="Arial Narrow" w:cs="Calibri"/>
                <w:i/>
                <w:sz w:val="20"/>
              </w:rPr>
              <w:t xml:space="preserve"> </w:t>
            </w:r>
          </w:p>
        </w:tc>
        <w:tc>
          <w:tcPr>
            <w:tcW w:w="1209" w:type="dxa"/>
            <w:tcBorders>
              <w:top w:val="nil"/>
              <w:left w:val="nil"/>
              <w:bottom w:val="nil"/>
              <w:right w:val="single" w:sz="8" w:space="0" w:color="auto"/>
            </w:tcBorders>
            <w:shd w:val="clear" w:color="auto" w:fill="auto"/>
            <w:vAlign w:val="center"/>
          </w:tcPr>
          <w:p w14:paraId="1F467B90"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$2,933.95</w:t>
            </w:r>
          </w:p>
        </w:tc>
        <w:tc>
          <w:tcPr>
            <w:tcW w:w="1209" w:type="dxa"/>
            <w:tcBorders>
              <w:top w:val="nil"/>
              <w:left w:val="nil"/>
              <w:bottom w:val="nil"/>
              <w:right w:val="single" w:sz="8" w:space="0" w:color="auto"/>
            </w:tcBorders>
            <w:shd w:val="clear" w:color="auto" w:fill="auto"/>
            <w:vAlign w:val="center"/>
          </w:tcPr>
          <w:p w14:paraId="6DFEF477"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1,242.00 </w:t>
            </w:r>
          </w:p>
        </w:tc>
        <w:tc>
          <w:tcPr>
            <w:tcW w:w="1209" w:type="dxa"/>
            <w:tcBorders>
              <w:top w:val="nil"/>
              <w:left w:val="nil"/>
              <w:bottom w:val="nil"/>
              <w:right w:val="single" w:sz="8" w:space="0" w:color="auto"/>
            </w:tcBorders>
            <w:shd w:val="clear" w:color="auto" w:fill="auto"/>
            <w:vAlign w:val="center"/>
          </w:tcPr>
          <w:p w14:paraId="68F55910"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2,104.40 </w:t>
            </w:r>
          </w:p>
        </w:tc>
      </w:tr>
      <w:tr w:rsidR="00652235" w:rsidRPr="00652235" w14:paraId="65C4AF91" w14:textId="77777777" w:rsidTr="00F11AFE">
        <w:tc>
          <w:tcPr>
            <w:tcW w:w="2972" w:type="dxa"/>
            <w:tcBorders>
              <w:top w:val="nil"/>
              <w:bottom w:val="nil"/>
            </w:tcBorders>
          </w:tcPr>
          <w:p w14:paraId="27390722"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Capital and maintenance costs</w:t>
            </w:r>
          </w:p>
        </w:tc>
        <w:tc>
          <w:tcPr>
            <w:tcW w:w="1208" w:type="dxa"/>
            <w:tcBorders>
              <w:top w:val="nil"/>
              <w:left w:val="single" w:sz="8" w:space="0" w:color="auto"/>
              <w:bottom w:val="nil"/>
              <w:right w:val="single" w:sz="8" w:space="0" w:color="auto"/>
            </w:tcBorders>
            <w:shd w:val="clear" w:color="auto" w:fill="auto"/>
            <w:vAlign w:val="center"/>
          </w:tcPr>
          <w:p w14:paraId="51D36510" w14:textId="76CAFF8E" w:rsidR="00652235" w:rsidRPr="0025213E" w:rsidRDefault="00652235" w:rsidP="00F11AFE">
            <w:pPr>
              <w:jc w:val="right"/>
              <w:rPr>
                <w:rFonts w:ascii="Arial Narrow" w:eastAsiaTheme="minorHAnsi" w:hAnsi="Arial Narrow" w:cs="Calibri"/>
                <w:sz w:val="20"/>
              </w:rPr>
            </w:pPr>
            <w:r w:rsidRPr="0025213E">
              <w:rPr>
                <w:rFonts w:ascii="Arial Narrow" w:eastAsiaTheme="minorHAnsi" w:hAnsi="Arial Narrow" w:cs="Calibri"/>
                <w:sz w:val="20"/>
              </w:rPr>
              <w:t xml:space="preserve"> $ 172.90 </w:t>
            </w:r>
          </w:p>
        </w:tc>
        <w:tc>
          <w:tcPr>
            <w:tcW w:w="1209" w:type="dxa"/>
            <w:tcBorders>
              <w:top w:val="nil"/>
              <w:left w:val="nil"/>
              <w:bottom w:val="nil"/>
              <w:right w:val="single" w:sz="8" w:space="0" w:color="auto"/>
            </w:tcBorders>
            <w:shd w:val="clear" w:color="auto" w:fill="auto"/>
            <w:vAlign w:val="center"/>
          </w:tcPr>
          <w:p w14:paraId="35D8FC1E"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   </w:t>
            </w:r>
          </w:p>
        </w:tc>
        <w:tc>
          <w:tcPr>
            <w:tcW w:w="1209" w:type="dxa"/>
            <w:tcBorders>
              <w:top w:val="nil"/>
              <w:left w:val="nil"/>
              <w:bottom w:val="nil"/>
              <w:right w:val="single" w:sz="8" w:space="0" w:color="auto"/>
            </w:tcBorders>
            <w:shd w:val="clear" w:color="auto" w:fill="auto"/>
            <w:vAlign w:val="center"/>
          </w:tcPr>
          <w:p w14:paraId="604CD48D" w14:textId="7243F3C0" w:rsidR="00652235" w:rsidRPr="0025213E" w:rsidRDefault="00652235" w:rsidP="00F11AFE">
            <w:pPr>
              <w:jc w:val="right"/>
              <w:rPr>
                <w:rFonts w:ascii="Arial Narrow" w:eastAsiaTheme="minorHAnsi" w:hAnsi="Arial Narrow" w:cs="Calibri"/>
                <w:sz w:val="20"/>
              </w:rPr>
            </w:pPr>
            <w:r w:rsidRPr="0025213E">
              <w:rPr>
                <w:rFonts w:ascii="Arial Narrow" w:eastAsiaTheme="minorHAnsi" w:hAnsi="Arial Narrow" w:cs="Calibri"/>
                <w:sz w:val="20"/>
              </w:rPr>
              <w:t xml:space="preserve"> $  172.90 </w:t>
            </w:r>
          </w:p>
        </w:tc>
        <w:tc>
          <w:tcPr>
            <w:tcW w:w="1209" w:type="dxa"/>
            <w:tcBorders>
              <w:top w:val="nil"/>
              <w:left w:val="nil"/>
              <w:bottom w:val="nil"/>
              <w:right w:val="single" w:sz="8" w:space="0" w:color="auto"/>
            </w:tcBorders>
            <w:shd w:val="clear" w:color="auto" w:fill="auto"/>
            <w:vAlign w:val="center"/>
          </w:tcPr>
          <w:p w14:paraId="7E831443"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 xml:space="preserve"> $   433.15</w:t>
            </w:r>
            <w:r w:rsidRPr="00652235">
              <w:rPr>
                <w:rFonts w:ascii="Arial Narrow" w:eastAsiaTheme="minorHAnsi" w:hAnsi="Arial Narrow" w:cs="Calibri"/>
                <w:i/>
                <w:sz w:val="20"/>
                <w:vertAlign w:val="superscript"/>
              </w:rPr>
              <w:t xml:space="preserve">f </w:t>
            </w:r>
          </w:p>
        </w:tc>
        <w:tc>
          <w:tcPr>
            <w:tcW w:w="1209" w:type="dxa"/>
            <w:tcBorders>
              <w:top w:val="nil"/>
              <w:left w:val="nil"/>
              <w:bottom w:val="nil"/>
              <w:right w:val="single" w:sz="8" w:space="0" w:color="auto"/>
            </w:tcBorders>
            <w:shd w:val="clear" w:color="auto" w:fill="auto"/>
            <w:vAlign w:val="center"/>
          </w:tcPr>
          <w:p w14:paraId="05AD55E4"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60.25 </w:t>
            </w:r>
          </w:p>
        </w:tc>
      </w:tr>
      <w:tr w:rsidR="00652235" w:rsidRPr="00652235" w14:paraId="7C4116F4" w14:textId="77777777" w:rsidTr="00F11AFE">
        <w:tc>
          <w:tcPr>
            <w:tcW w:w="2972" w:type="dxa"/>
            <w:tcBorders>
              <w:top w:val="nil"/>
              <w:bottom w:val="nil"/>
            </w:tcBorders>
          </w:tcPr>
          <w:p w14:paraId="4590402B"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Reintervention costs</w:t>
            </w:r>
          </w:p>
        </w:tc>
        <w:tc>
          <w:tcPr>
            <w:tcW w:w="1208" w:type="dxa"/>
            <w:tcBorders>
              <w:top w:val="nil"/>
              <w:left w:val="single" w:sz="8" w:space="0" w:color="auto"/>
              <w:bottom w:val="nil"/>
              <w:right w:val="single" w:sz="8" w:space="0" w:color="auto"/>
            </w:tcBorders>
            <w:shd w:val="clear" w:color="auto" w:fill="auto"/>
            <w:vAlign w:val="center"/>
          </w:tcPr>
          <w:p w14:paraId="49FA7A14"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 xml:space="preserve"> $  445.65</w:t>
            </w:r>
            <w:r w:rsidRPr="00652235">
              <w:rPr>
                <w:rFonts w:ascii="Arial Narrow" w:eastAsiaTheme="minorHAnsi" w:hAnsi="Arial Narrow" w:cs="Calibri"/>
                <w:i/>
                <w:sz w:val="20"/>
                <w:vertAlign w:val="superscript"/>
              </w:rPr>
              <w:t>b</w:t>
            </w:r>
            <w:r w:rsidRPr="00652235">
              <w:rPr>
                <w:rFonts w:ascii="Arial Narrow" w:eastAsiaTheme="minorHAnsi" w:hAnsi="Arial Narrow" w:cs="Calibri"/>
                <w:i/>
                <w:sz w:val="20"/>
              </w:rPr>
              <w:t xml:space="preserve"> </w:t>
            </w:r>
          </w:p>
        </w:tc>
        <w:tc>
          <w:tcPr>
            <w:tcW w:w="1209" w:type="dxa"/>
            <w:tcBorders>
              <w:top w:val="nil"/>
              <w:left w:val="nil"/>
              <w:bottom w:val="nil"/>
              <w:right w:val="single" w:sz="8" w:space="0" w:color="auto"/>
            </w:tcBorders>
            <w:shd w:val="clear" w:color="auto" w:fill="auto"/>
            <w:vAlign w:val="center"/>
          </w:tcPr>
          <w:p w14:paraId="292A1D8B"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   </w:t>
            </w:r>
          </w:p>
        </w:tc>
        <w:tc>
          <w:tcPr>
            <w:tcW w:w="1209" w:type="dxa"/>
            <w:tcBorders>
              <w:top w:val="nil"/>
              <w:left w:val="nil"/>
              <w:bottom w:val="nil"/>
              <w:right w:val="single" w:sz="8" w:space="0" w:color="auto"/>
            </w:tcBorders>
            <w:shd w:val="clear" w:color="auto" w:fill="auto"/>
            <w:vAlign w:val="center"/>
          </w:tcPr>
          <w:p w14:paraId="4FBC33E3"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445.65 </w:t>
            </w:r>
          </w:p>
        </w:tc>
        <w:tc>
          <w:tcPr>
            <w:tcW w:w="1209" w:type="dxa"/>
            <w:tcBorders>
              <w:top w:val="nil"/>
              <w:left w:val="nil"/>
              <w:bottom w:val="nil"/>
              <w:right w:val="single" w:sz="8" w:space="0" w:color="auto"/>
            </w:tcBorders>
            <w:shd w:val="clear" w:color="auto" w:fill="auto"/>
            <w:vAlign w:val="center"/>
          </w:tcPr>
          <w:p w14:paraId="021F75DE" w14:textId="02A3D72C" w:rsidR="00652235" w:rsidRPr="00652235" w:rsidRDefault="00652235" w:rsidP="00250EF2">
            <w:pPr>
              <w:jc w:val="right"/>
              <w:rPr>
                <w:rFonts w:ascii="Arial Narrow" w:eastAsiaTheme="minorHAnsi" w:hAnsi="Arial Narrow" w:cs="Calibri"/>
                <w:sz w:val="20"/>
              </w:rPr>
            </w:pPr>
            <w:r w:rsidRPr="00652235">
              <w:rPr>
                <w:rFonts w:ascii="Arial Narrow" w:eastAsiaTheme="minorHAnsi" w:hAnsi="Arial Narrow" w:cs="Calibri"/>
                <w:sz w:val="20"/>
              </w:rPr>
              <w:t xml:space="preserve"> $</w:t>
            </w:r>
            <w:r w:rsidR="00250EF2">
              <w:rPr>
                <w:rFonts w:ascii="Arial Narrow" w:eastAsiaTheme="minorHAnsi" w:hAnsi="Arial Narrow" w:cs="Calibri"/>
                <w:sz w:val="20"/>
              </w:rPr>
              <w:t xml:space="preserve"> </w:t>
            </w:r>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0BF9766E"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445.65 </w:t>
            </w:r>
          </w:p>
        </w:tc>
      </w:tr>
      <w:tr w:rsidR="00652235" w:rsidRPr="00652235" w14:paraId="6358A4F3" w14:textId="77777777" w:rsidTr="00F11AFE">
        <w:tc>
          <w:tcPr>
            <w:tcW w:w="2972" w:type="dxa"/>
            <w:tcBorders>
              <w:top w:val="nil"/>
              <w:bottom w:val="single" w:sz="4" w:space="0" w:color="auto"/>
            </w:tcBorders>
          </w:tcPr>
          <w:p w14:paraId="681A79ED" w14:textId="77777777" w:rsidR="00652235" w:rsidRPr="00652235" w:rsidRDefault="00652235" w:rsidP="00F11AFE">
            <w:pPr>
              <w:rPr>
                <w:rFonts w:ascii="Arial Narrow" w:hAnsi="Arial Narrow" w:cs="Tahoma"/>
                <w:b/>
                <w:sz w:val="20"/>
              </w:rPr>
            </w:pPr>
            <w:r w:rsidRPr="00652235">
              <w:rPr>
                <w:rFonts w:ascii="Arial Narrow" w:hAnsi="Arial Narrow" w:cs="Tahoma"/>
                <w:b/>
                <w:sz w:val="20"/>
              </w:rPr>
              <w:t>Subtotal</w:t>
            </w:r>
          </w:p>
        </w:tc>
        <w:tc>
          <w:tcPr>
            <w:tcW w:w="1208" w:type="dxa"/>
            <w:tcBorders>
              <w:top w:val="nil"/>
              <w:left w:val="single" w:sz="8" w:space="0" w:color="auto"/>
              <w:bottom w:val="single" w:sz="4" w:space="0" w:color="auto"/>
              <w:right w:val="single" w:sz="8" w:space="0" w:color="auto"/>
            </w:tcBorders>
            <w:shd w:val="clear" w:color="auto" w:fill="auto"/>
            <w:vAlign w:val="center"/>
          </w:tcPr>
          <w:p w14:paraId="5AC46E5C" w14:textId="77777777" w:rsidR="00652235" w:rsidRPr="00652235" w:rsidRDefault="00652235" w:rsidP="00F11AFE">
            <w:pPr>
              <w:jc w:val="right"/>
              <w:rPr>
                <w:rFonts w:ascii="Arial Narrow" w:eastAsiaTheme="minorHAnsi" w:hAnsi="Arial Narrow" w:cs="Calibri"/>
                <w:b/>
                <w:bCs/>
                <w:color w:val="000000"/>
                <w:sz w:val="20"/>
              </w:rPr>
            </w:pPr>
            <w:r w:rsidRPr="00652235">
              <w:rPr>
                <w:rFonts w:ascii="Arial Narrow" w:eastAsiaTheme="minorHAnsi" w:hAnsi="Arial Narrow" w:cs="Calibri"/>
                <w:b/>
                <w:bCs/>
                <w:color w:val="000000"/>
                <w:sz w:val="20"/>
              </w:rPr>
              <w:t xml:space="preserve"> $  6,635.30 </w:t>
            </w:r>
          </w:p>
        </w:tc>
        <w:tc>
          <w:tcPr>
            <w:tcW w:w="1209" w:type="dxa"/>
            <w:tcBorders>
              <w:top w:val="nil"/>
              <w:left w:val="nil"/>
              <w:bottom w:val="single" w:sz="4" w:space="0" w:color="auto"/>
              <w:right w:val="single" w:sz="8" w:space="0" w:color="auto"/>
            </w:tcBorders>
            <w:shd w:val="clear" w:color="auto" w:fill="auto"/>
            <w:vAlign w:val="center"/>
          </w:tcPr>
          <w:p w14:paraId="3CCAA387" w14:textId="77777777" w:rsidR="00652235" w:rsidRPr="00652235" w:rsidRDefault="00652235" w:rsidP="00F11AFE">
            <w:pPr>
              <w:jc w:val="right"/>
              <w:rPr>
                <w:rFonts w:ascii="Arial Narrow" w:eastAsiaTheme="minorHAnsi" w:hAnsi="Arial Narrow" w:cs="Calibri"/>
                <w:b/>
                <w:bCs/>
                <w:color w:val="000000"/>
                <w:sz w:val="20"/>
              </w:rPr>
            </w:pPr>
            <w:r w:rsidRPr="00652235">
              <w:rPr>
                <w:rFonts w:ascii="Arial Narrow" w:eastAsiaTheme="minorHAnsi" w:hAnsi="Arial Narrow" w:cs="Calibri"/>
                <w:b/>
                <w:bCs/>
                <w:color w:val="000000"/>
                <w:sz w:val="20"/>
              </w:rPr>
              <w:t>$5,384.25</w:t>
            </w:r>
          </w:p>
        </w:tc>
        <w:tc>
          <w:tcPr>
            <w:tcW w:w="1209" w:type="dxa"/>
            <w:tcBorders>
              <w:top w:val="nil"/>
              <w:left w:val="nil"/>
              <w:bottom w:val="single" w:sz="4" w:space="0" w:color="auto"/>
              <w:right w:val="single" w:sz="8" w:space="0" w:color="auto"/>
            </w:tcBorders>
            <w:shd w:val="clear" w:color="auto" w:fill="auto"/>
            <w:vAlign w:val="center"/>
          </w:tcPr>
          <w:p w14:paraId="44F03F4B" w14:textId="77777777" w:rsidR="00652235" w:rsidRPr="00652235" w:rsidRDefault="00652235" w:rsidP="00F11AFE">
            <w:pPr>
              <w:jc w:val="right"/>
              <w:rPr>
                <w:rFonts w:ascii="Arial Narrow" w:eastAsiaTheme="minorHAnsi" w:hAnsi="Arial Narrow" w:cs="Calibri"/>
                <w:b/>
                <w:bCs/>
                <w:color w:val="000000"/>
                <w:sz w:val="20"/>
              </w:rPr>
            </w:pPr>
            <w:r w:rsidRPr="00652235">
              <w:rPr>
                <w:rFonts w:ascii="Arial Narrow" w:eastAsiaTheme="minorHAnsi" w:hAnsi="Arial Narrow" w:cs="Calibri"/>
                <w:b/>
                <w:bCs/>
                <w:color w:val="000000"/>
                <w:sz w:val="20"/>
              </w:rPr>
              <w:t>$1,251.05</w:t>
            </w:r>
          </w:p>
        </w:tc>
        <w:tc>
          <w:tcPr>
            <w:tcW w:w="1209" w:type="dxa"/>
            <w:tcBorders>
              <w:top w:val="nil"/>
              <w:left w:val="nil"/>
              <w:bottom w:val="single" w:sz="4" w:space="0" w:color="auto"/>
              <w:right w:val="single" w:sz="8" w:space="0" w:color="auto"/>
            </w:tcBorders>
            <w:shd w:val="clear" w:color="auto" w:fill="auto"/>
            <w:vAlign w:val="center"/>
          </w:tcPr>
          <w:p w14:paraId="4FB90480" w14:textId="77777777" w:rsidR="00652235" w:rsidRPr="00652235" w:rsidRDefault="00652235" w:rsidP="00F11AFE">
            <w:pPr>
              <w:jc w:val="right"/>
              <w:rPr>
                <w:rFonts w:ascii="Arial Narrow" w:eastAsiaTheme="minorHAnsi" w:hAnsi="Arial Narrow" w:cs="Calibri"/>
                <w:b/>
                <w:bCs/>
                <w:color w:val="000000"/>
                <w:sz w:val="20"/>
              </w:rPr>
            </w:pPr>
            <w:r w:rsidRPr="00652235">
              <w:rPr>
                <w:rFonts w:ascii="Arial Narrow" w:eastAsiaTheme="minorHAnsi" w:hAnsi="Arial Narrow" w:cs="Calibri"/>
                <w:b/>
                <w:bCs/>
                <w:color w:val="000000"/>
                <w:sz w:val="20"/>
              </w:rPr>
              <w:t xml:space="preserve"> $  4,365.60 </w:t>
            </w:r>
          </w:p>
        </w:tc>
        <w:tc>
          <w:tcPr>
            <w:tcW w:w="1209" w:type="dxa"/>
            <w:tcBorders>
              <w:top w:val="nil"/>
              <w:left w:val="nil"/>
              <w:bottom w:val="single" w:sz="4" w:space="0" w:color="auto"/>
              <w:right w:val="single" w:sz="8" w:space="0" w:color="auto"/>
            </w:tcBorders>
            <w:shd w:val="clear" w:color="auto" w:fill="auto"/>
            <w:vAlign w:val="center"/>
          </w:tcPr>
          <w:p w14:paraId="07EE7DB1" w14:textId="77777777" w:rsidR="00652235" w:rsidRPr="00652235" w:rsidRDefault="00652235" w:rsidP="00F11AFE">
            <w:pPr>
              <w:jc w:val="right"/>
              <w:rPr>
                <w:rFonts w:ascii="Arial Narrow" w:eastAsiaTheme="minorHAnsi" w:hAnsi="Arial Narrow" w:cs="Calibri"/>
                <w:b/>
                <w:bCs/>
                <w:color w:val="000000"/>
                <w:sz w:val="20"/>
              </w:rPr>
            </w:pPr>
            <w:r w:rsidRPr="00652235">
              <w:rPr>
                <w:rFonts w:ascii="Arial Narrow" w:eastAsiaTheme="minorHAnsi" w:hAnsi="Arial Narrow" w:cs="Calibri"/>
                <w:b/>
                <w:bCs/>
                <w:color w:val="000000"/>
                <w:sz w:val="20"/>
              </w:rPr>
              <w:t xml:space="preserve"> $  2,269.70 </w:t>
            </w:r>
          </w:p>
        </w:tc>
      </w:tr>
      <w:tr w:rsidR="00652235" w:rsidRPr="00652235" w14:paraId="1DB78781" w14:textId="77777777" w:rsidTr="00F11AFE">
        <w:tc>
          <w:tcPr>
            <w:tcW w:w="2972" w:type="dxa"/>
            <w:tcBorders>
              <w:top w:val="single" w:sz="4" w:space="0" w:color="auto"/>
              <w:bottom w:val="single" w:sz="4" w:space="0" w:color="auto"/>
              <w:right w:val="single" w:sz="4" w:space="0" w:color="auto"/>
            </w:tcBorders>
          </w:tcPr>
          <w:p w14:paraId="5ABCDA37" w14:textId="77777777" w:rsidR="00652235" w:rsidRPr="00652235" w:rsidRDefault="00652235" w:rsidP="00F11AFE">
            <w:pPr>
              <w:rPr>
                <w:rFonts w:ascii="Arial Narrow" w:hAnsi="Arial Narrow" w:cs="Tahoma"/>
                <w:sz w:val="20"/>
              </w:rPr>
            </w:pPr>
            <w:r w:rsidRPr="00652235">
              <w:rPr>
                <w:rFonts w:ascii="Arial Narrow" w:hAnsi="Arial Narrow" w:cs="Tahoma"/>
                <w:sz w:val="20"/>
              </w:rPr>
              <w:t>Proportion with complications</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A0C44F4"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BDF75D"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6%</w:t>
            </w:r>
            <w:r w:rsidRPr="00652235">
              <w:rPr>
                <w:rFonts w:ascii="Arial Narrow" w:eastAsiaTheme="minorHAnsi" w:hAnsi="Arial Narrow" w:cs="Calibri"/>
                <w:i/>
                <w:sz w:val="20"/>
                <w:vertAlign w:val="superscript"/>
              </w:rPr>
              <w:t>d</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C7A9DE"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CC5F86"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796228"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w:t>
            </w:r>
          </w:p>
        </w:tc>
      </w:tr>
      <w:tr w:rsidR="00652235" w:rsidRPr="00652235" w14:paraId="77211CAA" w14:textId="77777777" w:rsidTr="00F11AFE">
        <w:tc>
          <w:tcPr>
            <w:tcW w:w="2972" w:type="dxa"/>
            <w:tcBorders>
              <w:top w:val="single" w:sz="4" w:space="0" w:color="auto"/>
              <w:bottom w:val="single" w:sz="4" w:space="0" w:color="auto"/>
              <w:right w:val="single" w:sz="4" w:space="0" w:color="auto"/>
            </w:tcBorders>
          </w:tcPr>
          <w:p w14:paraId="24D613CA" w14:textId="77777777" w:rsidR="00652235" w:rsidRPr="00652235" w:rsidRDefault="00652235" w:rsidP="00F11AFE">
            <w:pPr>
              <w:rPr>
                <w:rFonts w:ascii="Arial Narrow" w:hAnsi="Arial Narrow" w:cs="Tahoma"/>
                <w:sz w:val="20"/>
              </w:rPr>
            </w:pPr>
            <w:r w:rsidRPr="00652235">
              <w:rPr>
                <w:rFonts w:ascii="Arial Narrow" w:hAnsi="Arial Narrow" w:cs="Tahoma"/>
                <w:sz w:val="20"/>
              </w:rPr>
              <w:t>Procedure cost with complications</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43C20180"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C07288"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 xml:space="preserve"> $ 10,589.9</w:t>
            </w:r>
            <w:r w:rsidRPr="00652235">
              <w:rPr>
                <w:rFonts w:ascii="Arial Narrow" w:eastAsiaTheme="minorHAnsi" w:hAnsi="Arial Narrow" w:cs="Calibri"/>
                <w:i/>
                <w:sz w:val="20"/>
                <w:vertAlign w:val="superscript"/>
              </w:rPr>
              <w:t>d</w:t>
            </w:r>
            <w:r w:rsidRPr="00652235">
              <w:rPr>
                <w:rFonts w:ascii="Arial Narrow" w:eastAsiaTheme="minorHAnsi" w:hAnsi="Arial Narrow" w:cs="Calibri"/>
                <w:i/>
                <w:sz w:val="20"/>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5F67584"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0725F1"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C4751FD"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w:t>
            </w:r>
          </w:p>
        </w:tc>
      </w:tr>
      <w:tr w:rsidR="00652235" w:rsidRPr="00652235" w14:paraId="7A17EB93" w14:textId="77777777" w:rsidTr="00F11AFE">
        <w:tc>
          <w:tcPr>
            <w:tcW w:w="2972" w:type="dxa"/>
            <w:tcBorders>
              <w:top w:val="single" w:sz="4" w:space="0" w:color="auto"/>
              <w:bottom w:val="single" w:sz="4" w:space="0" w:color="auto"/>
              <w:right w:val="single" w:sz="4" w:space="0" w:color="auto"/>
            </w:tcBorders>
          </w:tcPr>
          <w:p w14:paraId="4C55AA15" w14:textId="77777777" w:rsidR="00652235" w:rsidRPr="00652235" w:rsidRDefault="00652235" w:rsidP="00F11AFE">
            <w:pPr>
              <w:rPr>
                <w:rFonts w:ascii="Arial Narrow" w:hAnsi="Arial Narrow" w:cs="Tahoma"/>
                <w:b/>
                <w:sz w:val="20"/>
              </w:rPr>
            </w:pPr>
            <w:r w:rsidRPr="00652235">
              <w:rPr>
                <w:rFonts w:ascii="Arial Narrow" w:hAnsi="Arial Narrow" w:cs="Tahoma"/>
                <w:b/>
                <w:sz w:val="20"/>
              </w:rPr>
              <w:t>Total</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14:paraId="0D6AB914" w14:textId="77777777" w:rsidR="00652235" w:rsidRPr="00652235" w:rsidRDefault="00652235" w:rsidP="00250EF2">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xml:space="preserve"> $ 6,635.30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524AF8C0" w14:textId="77777777" w:rsidR="00652235" w:rsidRPr="00652235" w:rsidRDefault="00652235" w:rsidP="00250EF2">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xml:space="preserve"> $6,019.65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135B857" w14:textId="77777777" w:rsidR="00652235" w:rsidRPr="00652235" w:rsidRDefault="00652235" w:rsidP="00250EF2">
            <w:pPr>
              <w:jc w:val="right"/>
              <w:rPr>
                <w:rFonts w:ascii="Arial Narrow" w:eastAsiaTheme="minorHAnsi" w:hAnsi="Arial Narrow" w:cs="Calibri"/>
                <w:b/>
                <w:color w:val="000000"/>
                <w:sz w:val="20"/>
              </w:rPr>
            </w:pPr>
            <w:r w:rsidRPr="00652235">
              <w:rPr>
                <w:rFonts w:ascii="Arial Narrow" w:eastAsiaTheme="minorHAnsi" w:hAnsi="Arial Narrow" w:cs="Calibri"/>
                <w:b/>
                <w:color w:val="000000"/>
                <w:sz w:val="20"/>
              </w:rPr>
              <w:t>$615.65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4EDAC3C" w14:textId="77777777" w:rsidR="00652235" w:rsidRPr="00652235" w:rsidRDefault="00652235" w:rsidP="00250EF2">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xml:space="preserve"> $ 4,365.60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4CF55057" w14:textId="1E43AA28" w:rsidR="00652235" w:rsidRPr="00652235" w:rsidRDefault="00652235" w:rsidP="00250EF2">
            <w:pPr>
              <w:jc w:val="right"/>
              <w:rPr>
                <w:rFonts w:ascii="Arial Narrow" w:eastAsiaTheme="minorHAnsi" w:hAnsi="Arial Narrow" w:cs="Calibri"/>
                <w:b/>
                <w:color w:val="000000"/>
                <w:sz w:val="20"/>
              </w:rPr>
            </w:pPr>
            <w:r w:rsidRPr="00652235">
              <w:rPr>
                <w:rFonts w:ascii="Arial Narrow" w:eastAsiaTheme="minorHAnsi" w:hAnsi="Arial Narrow" w:cs="Calibri"/>
                <w:b/>
                <w:color w:val="000000"/>
                <w:sz w:val="20"/>
              </w:rPr>
              <w:t xml:space="preserve"> $</w:t>
            </w:r>
            <w:r w:rsidR="00250EF2">
              <w:rPr>
                <w:rFonts w:ascii="Arial Narrow" w:eastAsiaTheme="minorHAnsi" w:hAnsi="Arial Narrow" w:cs="Calibri"/>
                <w:b/>
                <w:color w:val="000000"/>
                <w:sz w:val="20"/>
              </w:rPr>
              <w:t xml:space="preserve"> </w:t>
            </w:r>
            <w:r w:rsidRPr="00652235">
              <w:rPr>
                <w:rFonts w:ascii="Arial Narrow" w:eastAsiaTheme="minorHAnsi" w:hAnsi="Arial Narrow" w:cs="Calibri"/>
                <w:b/>
                <w:color w:val="000000"/>
                <w:sz w:val="20"/>
              </w:rPr>
              <w:t xml:space="preserve">2,269.70 </w:t>
            </w:r>
          </w:p>
        </w:tc>
      </w:tr>
    </w:tbl>
    <w:p w14:paraId="02B55BAB" w14:textId="77777777" w:rsidR="00652235" w:rsidRPr="004C6C8F" w:rsidRDefault="00652235" w:rsidP="00C11BBE">
      <w:pPr>
        <w:pStyle w:val="Tablenotes"/>
      </w:pPr>
      <w:r w:rsidRPr="004C6C8F">
        <w:t>a = 4.7 prostheses per procedure</w:t>
      </w:r>
    </w:p>
    <w:p w14:paraId="028A6CF1" w14:textId="77777777" w:rsidR="00652235" w:rsidRPr="004C6C8F" w:rsidRDefault="00652235" w:rsidP="00C11BBE">
      <w:pPr>
        <w:pStyle w:val="Tablenotes"/>
      </w:pPr>
      <w:r w:rsidRPr="004C6C8F">
        <w:t>b = 7.2% overall re-intervention rate (at higher number of prosthesis)</w:t>
      </w:r>
    </w:p>
    <w:p w14:paraId="1382076A" w14:textId="77777777" w:rsidR="00652235" w:rsidRPr="004C6C8F" w:rsidRDefault="00652235" w:rsidP="00C11BBE">
      <w:pPr>
        <w:pStyle w:val="Tablenotes"/>
      </w:pPr>
      <w:r w:rsidRPr="004C6C8F">
        <w:t>c = 1.13 loops at $365 per loop</w:t>
      </w:r>
    </w:p>
    <w:p w14:paraId="7E6317E9" w14:textId="77777777" w:rsidR="00652235" w:rsidRPr="004C6C8F" w:rsidRDefault="00652235" w:rsidP="00C11BBE">
      <w:pPr>
        <w:pStyle w:val="Tablenotes"/>
      </w:pPr>
      <w:r w:rsidRPr="004C6C8F">
        <w:t>d = cost weight multiplier 2.13 (versus 2.43); proportion major complications 6% (versus 12%)</w:t>
      </w:r>
    </w:p>
    <w:p w14:paraId="3A9936E1" w14:textId="77777777" w:rsidR="00652235" w:rsidRPr="004C6C8F" w:rsidRDefault="00652235" w:rsidP="00C11BBE">
      <w:pPr>
        <w:pStyle w:val="Tablenotes"/>
      </w:pPr>
      <w:r w:rsidRPr="004C6C8F">
        <w:t>e = no difference in hospital costs for VLAP versus PUL</w:t>
      </w:r>
    </w:p>
    <w:p w14:paraId="4F38815E" w14:textId="7D1341A6" w:rsidR="00BC1364" w:rsidRPr="002050A3" w:rsidRDefault="00652235" w:rsidP="00C11BBE">
      <w:pPr>
        <w:pStyle w:val="Tablenotes"/>
      </w:pPr>
      <w:r w:rsidRPr="004C6C8F">
        <w:t>f = VLAP capital and maintenance costs revised per commentary ($433.15 vs $1271.19)</w:t>
      </w:r>
    </w:p>
    <w:p w14:paraId="287CB793" w14:textId="5ADB8338" w:rsidR="002D22F7" w:rsidRDefault="002D22F7" w:rsidP="002D22F7">
      <w:r>
        <w:t>The pre-MSAC response reiterated</w:t>
      </w:r>
      <w:r w:rsidR="00DE44AB">
        <w:t xml:space="preserve"> that:</w:t>
      </w:r>
    </w:p>
    <w:p w14:paraId="3245D782" w14:textId="43F649F1" w:rsidR="00DE44AB" w:rsidRDefault="00807B37" w:rsidP="00D70B59">
      <w:pPr>
        <w:pStyle w:val="ListParagraph"/>
        <w:numPr>
          <w:ilvl w:val="0"/>
          <w:numId w:val="7"/>
        </w:numPr>
      </w:pPr>
      <w:r>
        <w:t>The ADAR</w:t>
      </w:r>
      <w:r w:rsidR="00DE44AB">
        <w:t xml:space="preserve"> included a net annual reintervention rate of 1.44% for each of the five years post PUL and was added to the total cost of PUL when comparing procedure costs.</w:t>
      </w:r>
    </w:p>
    <w:p w14:paraId="49C1973F" w14:textId="34C9B634" w:rsidR="00DE44AB" w:rsidRDefault="00807B37" w:rsidP="00D70B59">
      <w:pPr>
        <w:pStyle w:val="ListParagraph"/>
        <w:numPr>
          <w:ilvl w:val="0"/>
          <w:numId w:val="7"/>
        </w:numPr>
      </w:pPr>
      <w:r>
        <w:t>The sensitivity analysis determined the modelled results were most sensitive to the number of prostheses used and re-justified the assumption that an average of 4 devices is used in each PUL procedure.</w:t>
      </w:r>
    </w:p>
    <w:p w14:paraId="395FC5CD" w14:textId="10CD2223" w:rsidR="00807B37" w:rsidRDefault="00807B37" w:rsidP="00D70B59">
      <w:pPr>
        <w:pStyle w:val="ListParagraph"/>
        <w:numPr>
          <w:ilvl w:val="0"/>
          <w:numId w:val="7"/>
        </w:numPr>
      </w:pPr>
      <w:r>
        <w:t>The cos</w:t>
      </w:r>
      <w:r w:rsidR="00D70B59">
        <w:t xml:space="preserve">t of TURP is most sensitive to </w:t>
      </w:r>
      <w:r>
        <w:t>the length and cost of stay, and re-justi</w:t>
      </w:r>
      <w:r w:rsidR="003F6C90">
        <w:t>f</w:t>
      </w:r>
      <w:r>
        <w:t>ied the use of 2.56 days at a cost of $838.30 in the ADAR based on</w:t>
      </w:r>
      <w:r w:rsidRPr="00807B37">
        <w:t xml:space="preserve"> the IHPA National Efficient Price Determination 2018-19 </w:t>
      </w:r>
      <w:r>
        <w:t xml:space="preserve">in which </w:t>
      </w:r>
      <w:r w:rsidRPr="00807B37">
        <w:t>the length of stay for TURP with minor complications, ignoring the impact of including with major</w:t>
      </w:r>
      <w:r w:rsidR="00250EF2">
        <w:t xml:space="preserve"> complications, was 2.56 days.</w:t>
      </w:r>
    </w:p>
    <w:p w14:paraId="6C172445" w14:textId="40D0ED4E" w:rsidR="00807B37" w:rsidRPr="005A4362" w:rsidRDefault="00807B37" w:rsidP="00D70B59">
      <w:pPr>
        <w:pStyle w:val="ListParagraph"/>
        <w:numPr>
          <w:ilvl w:val="0"/>
          <w:numId w:val="7"/>
        </w:numPr>
        <w:spacing w:before="120"/>
        <w:jc w:val="both"/>
      </w:pPr>
      <w:r>
        <w:t>T</w:t>
      </w:r>
      <w:r w:rsidRPr="002C67D9">
        <w:t>he hospital stays used for the costing of the procedures, 2.56 days for TURP and overnight for PUL, were based on Australian practice rather than the international stays in the BPH6 study.</w:t>
      </w:r>
    </w:p>
    <w:p w14:paraId="45C7C5A5" w14:textId="77777777" w:rsidR="00BC1364" w:rsidRPr="00F715D1" w:rsidRDefault="00BC1364" w:rsidP="00F715D1">
      <w:pPr>
        <w:pStyle w:val="Heading1"/>
      </w:pPr>
      <w:r w:rsidRPr="00F715D1">
        <w:t>Financial/budgetary impacts</w:t>
      </w:r>
    </w:p>
    <w:p w14:paraId="1BF62442" w14:textId="2F0DDF95" w:rsidR="00652235" w:rsidRPr="004F7E50" w:rsidRDefault="00652235" w:rsidP="00652235">
      <w:r w:rsidRPr="004F7E50">
        <w:t>The financial implications to the MBS resulting from the proposed increased fee for PUL</w:t>
      </w:r>
      <w:r>
        <w:t>, summarised by the ADAR with modifications by the commentary, are presented</w:t>
      </w:r>
      <w:r w:rsidRPr="004F7E50">
        <w:t xml:space="preserve"> in </w:t>
      </w:r>
      <w:r>
        <w:fldChar w:fldCharType="begin"/>
      </w:r>
      <w:r>
        <w:instrText xml:space="preserve"> REF _Ref40967409 \h </w:instrText>
      </w:r>
      <w:r>
        <w:fldChar w:fldCharType="separate"/>
      </w:r>
      <w:r>
        <w:t xml:space="preserve">Table </w:t>
      </w:r>
      <w:r>
        <w:rPr>
          <w:noProof/>
        </w:rPr>
        <w:t>19</w:t>
      </w:r>
      <w:r>
        <w:fldChar w:fldCharType="end"/>
      </w:r>
      <w:r w:rsidR="00D2501B">
        <w:t>.</w:t>
      </w:r>
    </w:p>
    <w:p w14:paraId="487A0216" w14:textId="7AC6826A" w:rsidR="00652235" w:rsidRDefault="00652235" w:rsidP="00D2501B">
      <w:r w:rsidRPr="000537B0">
        <w:lastRenderedPageBreak/>
        <w:t xml:space="preserve">The current fee for </w:t>
      </w:r>
      <w:r>
        <w:t>PUL (MBS Item 36811) is $328.55 of which t</w:t>
      </w:r>
      <w:r w:rsidRPr="000537B0">
        <w:t>he MBS pays $246.45 (75%). The proposed fee is $1,058.80 (the same as TURP)</w:t>
      </w:r>
      <w:r>
        <w:t xml:space="preserve"> of which th</w:t>
      </w:r>
      <w:r w:rsidRPr="000537B0">
        <w:t>e MBS would pay $794.10 (75%)</w:t>
      </w:r>
      <w:r>
        <w:t>.</w:t>
      </w:r>
      <w:r w:rsidRPr="000537B0">
        <w:t xml:space="preserve"> Thus, the incremen</w:t>
      </w:r>
      <w:r w:rsidR="00D2501B">
        <w:t>tal cost to the MBS is $547.65.</w:t>
      </w:r>
    </w:p>
    <w:p w14:paraId="50630DD1" w14:textId="504168A4" w:rsidR="00652235" w:rsidRDefault="00652235" w:rsidP="00D2501B">
      <w:pPr>
        <w:spacing w:before="240"/>
      </w:pPr>
      <w:r>
        <w:t>The ADAR estimate</w:t>
      </w:r>
      <w:r w:rsidRPr="004F7E50">
        <w:t xml:space="preserve"> assume</w:t>
      </w:r>
      <w:r>
        <w:t>d</w:t>
      </w:r>
      <w:r w:rsidRPr="004F7E50">
        <w:t xml:space="preserve"> an annual 10% growth in PUL with the additional patients swapping from TURP.</w:t>
      </w:r>
      <w:r>
        <w:t xml:space="preserve"> It</w:t>
      </w:r>
      <w:r w:rsidRPr="004F7E50">
        <w:t xml:space="preserve"> also assumes that both procedures, PUL and TURP, are performed as inpatient procedures.</w:t>
      </w:r>
      <w:r>
        <w:t xml:space="preserve"> Since the proposed fee is the same as TURP, any increase in the use of PUL resulting from a switch from TURP has a zero incremental impact.</w:t>
      </w:r>
    </w:p>
    <w:p w14:paraId="790D2F59" w14:textId="63924DAA" w:rsidR="00652235" w:rsidRPr="000537B0" w:rsidRDefault="00652235" w:rsidP="00D2501B">
      <w:pPr>
        <w:spacing w:before="240" w:after="240"/>
      </w:pPr>
      <w:r>
        <w:t>The commentary clarified that th</w:t>
      </w:r>
      <w:r w:rsidRPr="000D6DCA">
        <w:t>e ADAR assumed that with the proposed fee increase for PUL, estimated utilisation would be comprised of (#1) those services that would have occurred in the absence of the fee change; and (#2) a proportion of services that switch from TURP to PUL due to the fee change.</w:t>
      </w:r>
      <w:r>
        <w:t xml:space="preserve"> As a comparison, data presented at ESC showed that the VLAP price increase was not related to increased utilisation. </w:t>
      </w:r>
      <w:r>
        <w:fldChar w:fldCharType="begin"/>
      </w:r>
      <w:r>
        <w:instrText xml:space="preserve"> REF _Ref40967409 \h </w:instrText>
      </w:r>
      <w:r>
        <w:fldChar w:fldCharType="separate"/>
      </w:r>
      <w:r>
        <w:t xml:space="preserve">Table </w:t>
      </w:r>
      <w:r>
        <w:rPr>
          <w:noProof/>
        </w:rPr>
        <w:t>18</w:t>
      </w:r>
      <w:r>
        <w:fldChar w:fldCharType="end"/>
      </w:r>
      <w:r>
        <w:t xml:space="preserve"> includes modifications by the commentary to distinguish be</w:t>
      </w:r>
      <w:r w:rsidR="00D2501B">
        <w:t>tween these services.</w:t>
      </w:r>
    </w:p>
    <w:p w14:paraId="09DE5DA0" w14:textId="77777777" w:rsidR="00652235" w:rsidRPr="00D863C8" w:rsidRDefault="00652235" w:rsidP="00D863C8">
      <w:pPr>
        <w:rPr>
          <w:rFonts w:ascii="Arial Narrow" w:hAnsi="Arial Narrow"/>
          <w:b/>
          <w:sz w:val="20"/>
        </w:rPr>
      </w:pPr>
      <w:bookmarkStart w:id="29" w:name="_Ref40967409"/>
      <w:bookmarkStart w:id="30" w:name="_Toc393197779"/>
      <w:bookmarkStart w:id="31" w:name="_Toc393378192"/>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19</w:t>
      </w:r>
      <w:r w:rsidR="00C11BBE" w:rsidRPr="00D863C8">
        <w:rPr>
          <w:rFonts w:ascii="Arial Narrow" w:hAnsi="Arial Narrow"/>
          <w:b/>
          <w:sz w:val="20"/>
        </w:rPr>
        <w:fldChar w:fldCharType="end"/>
      </w:r>
      <w:bookmarkEnd w:id="29"/>
      <w:r w:rsidRPr="00D863C8">
        <w:rPr>
          <w:rFonts w:ascii="Arial Narrow" w:hAnsi="Arial Narrow"/>
          <w:b/>
          <w:sz w:val="20"/>
        </w:rPr>
        <w:t xml:space="preserve"> Additional costs to the MBS associated with </w:t>
      </w:r>
      <w:bookmarkEnd w:id="30"/>
      <w:bookmarkEnd w:id="31"/>
      <w:r w:rsidRPr="00D863C8">
        <w:rPr>
          <w:rFonts w:ascii="Arial Narrow" w:hAnsi="Arial Narrow"/>
          <w:b/>
          <w:sz w:val="20"/>
        </w:rPr>
        <w:t>increase fee for PUL</w:t>
      </w:r>
    </w:p>
    <w:tbl>
      <w:tblPr>
        <w:tblStyle w:val="TableGrid1"/>
        <w:tblW w:w="4877" w:type="pct"/>
        <w:tblLayout w:type="fixed"/>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3256"/>
        <w:gridCol w:w="1106"/>
        <w:gridCol w:w="1108"/>
        <w:gridCol w:w="1108"/>
        <w:gridCol w:w="1108"/>
        <w:gridCol w:w="1108"/>
      </w:tblGrid>
      <w:tr w:rsidR="00652235" w:rsidRPr="00652235" w14:paraId="777AE571" w14:textId="77777777" w:rsidTr="000B0156">
        <w:trPr>
          <w:cnfStyle w:val="100000000000" w:firstRow="1" w:lastRow="0" w:firstColumn="0" w:lastColumn="0" w:oddVBand="0" w:evenVBand="0" w:oddHBand="0" w:evenHBand="0" w:firstRowFirstColumn="0" w:firstRowLastColumn="0" w:lastRowFirstColumn="0" w:lastRowLastColumn="0"/>
          <w:trHeight w:val="300"/>
          <w:tblHeader/>
        </w:trPr>
        <w:tc>
          <w:tcPr>
            <w:tcW w:w="1851" w:type="pct"/>
            <w:tcBorders>
              <w:bottom w:val="single" w:sz="4" w:space="0" w:color="auto"/>
            </w:tcBorders>
          </w:tcPr>
          <w:p w14:paraId="32BA8A15" w14:textId="34D992FF" w:rsidR="00652235" w:rsidRPr="00652235" w:rsidRDefault="00652235" w:rsidP="00652235">
            <w:pPr>
              <w:pStyle w:val="TableHeading"/>
            </w:pPr>
            <w:r w:rsidRPr="00652235">
              <w:t>PUL</w:t>
            </w:r>
          </w:p>
        </w:tc>
        <w:tc>
          <w:tcPr>
            <w:tcW w:w="629" w:type="pct"/>
            <w:tcBorders>
              <w:bottom w:val="single" w:sz="4" w:space="0" w:color="auto"/>
            </w:tcBorders>
          </w:tcPr>
          <w:p w14:paraId="395021FE" w14:textId="77777777" w:rsidR="00652235" w:rsidRPr="00652235" w:rsidRDefault="00652235" w:rsidP="00652235">
            <w:pPr>
              <w:pStyle w:val="TableHeading"/>
            </w:pPr>
            <w:r w:rsidRPr="00652235">
              <w:t>2020-21</w:t>
            </w:r>
          </w:p>
        </w:tc>
        <w:tc>
          <w:tcPr>
            <w:tcW w:w="630" w:type="pct"/>
            <w:tcBorders>
              <w:bottom w:val="single" w:sz="4" w:space="0" w:color="auto"/>
            </w:tcBorders>
          </w:tcPr>
          <w:p w14:paraId="5234E95C" w14:textId="77777777" w:rsidR="00652235" w:rsidRPr="00652235" w:rsidRDefault="00652235" w:rsidP="00652235">
            <w:pPr>
              <w:pStyle w:val="TableHeading"/>
            </w:pPr>
            <w:r w:rsidRPr="00652235">
              <w:t>2021-22</w:t>
            </w:r>
          </w:p>
        </w:tc>
        <w:tc>
          <w:tcPr>
            <w:tcW w:w="630" w:type="pct"/>
            <w:tcBorders>
              <w:bottom w:val="single" w:sz="4" w:space="0" w:color="auto"/>
            </w:tcBorders>
          </w:tcPr>
          <w:p w14:paraId="52E95154" w14:textId="77777777" w:rsidR="00652235" w:rsidRPr="00652235" w:rsidRDefault="00652235" w:rsidP="00652235">
            <w:pPr>
              <w:pStyle w:val="TableHeading"/>
            </w:pPr>
            <w:r w:rsidRPr="00652235">
              <w:t>2022-23</w:t>
            </w:r>
          </w:p>
        </w:tc>
        <w:tc>
          <w:tcPr>
            <w:tcW w:w="630" w:type="pct"/>
            <w:tcBorders>
              <w:bottom w:val="single" w:sz="4" w:space="0" w:color="auto"/>
            </w:tcBorders>
          </w:tcPr>
          <w:p w14:paraId="5BE1D45D" w14:textId="77777777" w:rsidR="00652235" w:rsidRPr="00652235" w:rsidRDefault="00652235" w:rsidP="00652235">
            <w:pPr>
              <w:pStyle w:val="TableHeading"/>
            </w:pPr>
            <w:r w:rsidRPr="00652235">
              <w:t>2023-24</w:t>
            </w:r>
          </w:p>
        </w:tc>
        <w:tc>
          <w:tcPr>
            <w:tcW w:w="630" w:type="pct"/>
            <w:tcBorders>
              <w:bottom w:val="single" w:sz="4" w:space="0" w:color="auto"/>
            </w:tcBorders>
          </w:tcPr>
          <w:p w14:paraId="019CCD41" w14:textId="77777777" w:rsidR="00652235" w:rsidRPr="00652235" w:rsidRDefault="00652235" w:rsidP="00652235">
            <w:pPr>
              <w:pStyle w:val="TableHeading"/>
            </w:pPr>
            <w:r w:rsidRPr="00652235">
              <w:t>2024-25</w:t>
            </w:r>
          </w:p>
        </w:tc>
      </w:tr>
      <w:tr w:rsidR="00652235" w:rsidRPr="00652235" w14:paraId="1DC1428C" w14:textId="77777777" w:rsidTr="000B0156">
        <w:trPr>
          <w:trHeight w:val="300"/>
        </w:trPr>
        <w:tc>
          <w:tcPr>
            <w:tcW w:w="1851" w:type="pct"/>
            <w:tcBorders>
              <w:bottom w:val="nil"/>
            </w:tcBorders>
          </w:tcPr>
          <w:p w14:paraId="40C10E0C" w14:textId="77777777" w:rsidR="00652235" w:rsidRPr="00652235" w:rsidRDefault="00652235" w:rsidP="00652235">
            <w:pPr>
              <w:pStyle w:val="Tabletext"/>
              <w:rPr>
                <w:szCs w:val="20"/>
              </w:rPr>
            </w:pPr>
            <w:r w:rsidRPr="00652235">
              <w:rPr>
                <w:szCs w:val="20"/>
              </w:rPr>
              <w:t>Existing PUL services (#1)</w:t>
            </w:r>
          </w:p>
        </w:tc>
        <w:tc>
          <w:tcPr>
            <w:tcW w:w="629" w:type="pct"/>
            <w:tcBorders>
              <w:bottom w:val="nil"/>
            </w:tcBorders>
          </w:tcPr>
          <w:p w14:paraId="4944BA40" w14:textId="77777777" w:rsidR="00652235" w:rsidRPr="00652235" w:rsidRDefault="00652235" w:rsidP="00652235">
            <w:pPr>
              <w:pStyle w:val="Tabletext"/>
              <w:rPr>
                <w:szCs w:val="20"/>
              </w:rPr>
            </w:pPr>
            <w:r w:rsidRPr="00652235">
              <w:rPr>
                <w:szCs w:val="20"/>
              </w:rPr>
              <w:t>1,230</w:t>
            </w:r>
          </w:p>
        </w:tc>
        <w:tc>
          <w:tcPr>
            <w:tcW w:w="630" w:type="pct"/>
            <w:tcBorders>
              <w:bottom w:val="nil"/>
            </w:tcBorders>
          </w:tcPr>
          <w:p w14:paraId="6CAA058F" w14:textId="77777777" w:rsidR="00652235" w:rsidRPr="00652235" w:rsidRDefault="00652235" w:rsidP="00652235">
            <w:pPr>
              <w:pStyle w:val="Tabletext"/>
              <w:rPr>
                <w:szCs w:val="20"/>
              </w:rPr>
            </w:pPr>
            <w:r w:rsidRPr="00652235">
              <w:rPr>
                <w:szCs w:val="20"/>
              </w:rPr>
              <w:t>1,230</w:t>
            </w:r>
          </w:p>
        </w:tc>
        <w:tc>
          <w:tcPr>
            <w:tcW w:w="630" w:type="pct"/>
            <w:tcBorders>
              <w:bottom w:val="nil"/>
            </w:tcBorders>
          </w:tcPr>
          <w:p w14:paraId="51A436C2" w14:textId="77777777" w:rsidR="00652235" w:rsidRPr="00652235" w:rsidRDefault="00652235" w:rsidP="00652235">
            <w:pPr>
              <w:pStyle w:val="Tabletext"/>
              <w:rPr>
                <w:szCs w:val="20"/>
              </w:rPr>
            </w:pPr>
            <w:r w:rsidRPr="00652235">
              <w:rPr>
                <w:szCs w:val="20"/>
              </w:rPr>
              <w:t>1,230</w:t>
            </w:r>
          </w:p>
        </w:tc>
        <w:tc>
          <w:tcPr>
            <w:tcW w:w="630" w:type="pct"/>
            <w:tcBorders>
              <w:bottom w:val="nil"/>
            </w:tcBorders>
          </w:tcPr>
          <w:p w14:paraId="23D59B67" w14:textId="77777777" w:rsidR="00652235" w:rsidRPr="00652235" w:rsidRDefault="00652235" w:rsidP="00652235">
            <w:pPr>
              <w:pStyle w:val="Tabletext"/>
              <w:rPr>
                <w:szCs w:val="20"/>
              </w:rPr>
            </w:pPr>
            <w:r w:rsidRPr="00652235">
              <w:rPr>
                <w:szCs w:val="20"/>
              </w:rPr>
              <w:t>1,230</w:t>
            </w:r>
          </w:p>
        </w:tc>
        <w:tc>
          <w:tcPr>
            <w:tcW w:w="630" w:type="pct"/>
            <w:tcBorders>
              <w:bottom w:val="nil"/>
            </w:tcBorders>
          </w:tcPr>
          <w:p w14:paraId="54B7799C" w14:textId="77777777" w:rsidR="00652235" w:rsidRPr="00652235" w:rsidRDefault="00652235" w:rsidP="00652235">
            <w:pPr>
              <w:pStyle w:val="Tabletext"/>
              <w:rPr>
                <w:szCs w:val="20"/>
              </w:rPr>
            </w:pPr>
            <w:r w:rsidRPr="00652235">
              <w:rPr>
                <w:szCs w:val="20"/>
              </w:rPr>
              <w:t>1,230</w:t>
            </w:r>
          </w:p>
        </w:tc>
      </w:tr>
      <w:tr w:rsidR="00652235" w:rsidRPr="00652235" w14:paraId="1E80129F" w14:textId="77777777" w:rsidTr="000B0156">
        <w:trPr>
          <w:trHeight w:val="300"/>
        </w:trPr>
        <w:tc>
          <w:tcPr>
            <w:tcW w:w="1851" w:type="pct"/>
            <w:tcBorders>
              <w:top w:val="nil"/>
              <w:bottom w:val="nil"/>
            </w:tcBorders>
          </w:tcPr>
          <w:p w14:paraId="1A22A56A" w14:textId="77777777" w:rsidR="00652235" w:rsidRPr="00652235" w:rsidRDefault="00652235" w:rsidP="00652235">
            <w:pPr>
              <w:pStyle w:val="Tabletext"/>
              <w:rPr>
                <w:szCs w:val="20"/>
              </w:rPr>
            </w:pPr>
            <w:r w:rsidRPr="00652235">
              <w:rPr>
                <w:szCs w:val="20"/>
              </w:rPr>
              <w:t>Incremental cost to the MBS per service</w:t>
            </w:r>
          </w:p>
        </w:tc>
        <w:tc>
          <w:tcPr>
            <w:tcW w:w="629" w:type="pct"/>
            <w:tcBorders>
              <w:top w:val="nil"/>
              <w:bottom w:val="nil"/>
            </w:tcBorders>
          </w:tcPr>
          <w:p w14:paraId="3E30A1F5" w14:textId="77777777" w:rsidR="00652235" w:rsidRPr="00652235" w:rsidRDefault="00652235" w:rsidP="00652235">
            <w:pPr>
              <w:pStyle w:val="Tabletext"/>
              <w:rPr>
                <w:szCs w:val="20"/>
              </w:rPr>
            </w:pPr>
            <w:r w:rsidRPr="00652235">
              <w:rPr>
                <w:szCs w:val="20"/>
              </w:rPr>
              <w:t>$547.65</w:t>
            </w:r>
          </w:p>
        </w:tc>
        <w:tc>
          <w:tcPr>
            <w:tcW w:w="630" w:type="pct"/>
            <w:tcBorders>
              <w:top w:val="nil"/>
              <w:bottom w:val="nil"/>
            </w:tcBorders>
          </w:tcPr>
          <w:p w14:paraId="6AC214A9" w14:textId="77777777" w:rsidR="00652235" w:rsidRPr="00652235" w:rsidRDefault="00652235" w:rsidP="00652235">
            <w:pPr>
              <w:pStyle w:val="Tabletext"/>
              <w:rPr>
                <w:szCs w:val="20"/>
              </w:rPr>
            </w:pPr>
          </w:p>
        </w:tc>
        <w:tc>
          <w:tcPr>
            <w:tcW w:w="630" w:type="pct"/>
            <w:tcBorders>
              <w:top w:val="nil"/>
              <w:bottom w:val="nil"/>
            </w:tcBorders>
          </w:tcPr>
          <w:p w14:paraId="329F7D60" w14:textId="77777777" w:rsidR="00652235" w:rsidRPr="00652235" w:rsidRDefault="00652235" w:rsidP="00652235">
            <w:pPr>
              <w:pStyle w:val="Tabletext"/>
              <w:rPr>
                <w:szCs w:val="20"/>
              </w:rPr>
            </w:pPr>
          </w:p>
        </w:tc>
        <w:tc>
          <w:tcPr>
            <w:tcW w:w="630" w:type="pct"/>
            <w:tcBorders>
              <w:top w:val="nil"/>
              <w:bottom w:val="nil"/>
            </w:tcBorders>
          </w:tcPr>
          <w:p w14:paraId="2B998785" w14:textId="77777777" w:rsidR="00652235" w:rsidRPr="00652235" w:rsidRDefault="00652235" w:rsidP="00652235">
            <w:pPr>
              <w:pStyle w:val="Tabletext"/>
              <w:rPr>
                <w:szCs w:val="20"/>
              </w:rPr>
            </w:pPr>
          </w:p>
        </w:tc>
        <w:tc>
          <w:tcPr>
            <w:tcW w:w="630" w:type="pct"/>
            <w:tcBorders>
              <w:top w:val="nil"/>
              <w:bottom w:val="nil"/>
            </w:tcBorders>
          </w:tcPr>
          <w:p w14:paraId="3BF0C345" w14:textId="77777777" w:rsidR="00652235" w:rsidRPr="00652235" w:rsidRDefault="00652235" w:rsidP="00652235">
            <w:pPr>
              <w:pStyle w:val="Tabletext"/>
              <w:rPr>
                <w:szCs w:val="20"/>
              </w:rPr>
            </w:pPr>
          </w:p>
        </w:tc>
      </w:tr>
      <w:tr w:rsidR="00652235" w:rsidRPr="00652235" w14:paraId="66A5E34F" w14:textId="77777777" w:rsidTr="000B0156">
        <w:trPr>
          <w:trHeight w:val="300"/>
        </w:trPr>
        <w:tc>
          <w:tcPr>
            <w:tcW w:w="1851" w:type="pct"/>
            <w:tcBorders>
              <w:top w:val="nil"/>
              <w:bottom w:val="single" w:sz="4" w:space="0" w:color="auto"/>
            </w:tcBorders>
          </w:tcPr>
          <w:p w14:paraId="32572E76" w14:textId="77777777" w:rsidR="00652235" w:rsidRPr="00652235" w:rsidRDefault="00652235" w:rsidP="00652235">
            <w:pPr>
              <w:pStyle w:val="Tabletext"/>
              <w:rPr>
                <w:szCs w:val="20"/>
              </w:rPr>
            </w:pPr>
            <w:r w:rsidRPr="00652235">
              <w:rPr>
                <w:szCs w:val="20"/>
              </w:rPr>
              <w:t>Cost to the MBS</w:t>
            </w:r>
          </w:p>
        </w:tc>
        <w:tc>
          <w:tcPr>
            <w:tcW w:w="629" w:type="pct"/>
            <w:tcBorders>
              <w:top w:val="nil"/>
              <w:bottom w:val="single" w:sz="4" w:space="0" w:color="auto"/>
            </w:tcBorders>
          </w:tcPr>
          <w:p w14:paraId="559E3065" w14:textId="77777777" w:rsidR="00652235" w:rsidRPr="00652235" w:rsidRDefault="00652235" w:rsidP="00652235">
            <w:pPr>
              <w:pStyle w:val="Tabletext"/>
              <w:rPr>
                <w:szCs w:val="20"/>
              </w:rPr>
            </w:pPr>
            <w:r w:rsidRPr="00652235">
              <w:rPr>
                <w:szCs w:val="20"/>
              </w:rPr>
              <w:t>$673,610</w:t>
            </w:r>
          </w:p>
        </w:tc>
        <w:tc>
          <w:tcPr>
            <w:tcW w:w="630" w:type="pct"/>
            <w:tcBorders>
              <w:top w:val="nil"/>
              <w:bottom w:val="single" w:sz="4" w:space="0" w:color="auto"/>
            </w:tcBorders>
          </w:tcPr>
          <w:p w14:paraId="30B37021" w14:textId="77777777" w:rsidR="00652235" w:rsidRPr="00652235" w:rsidRDefault="00652235" w:rsidP="00652235">
            <w:pPr>
              <w:pStyle w:val="Tabletext"/>
              <w:rPr>
                <w:szCs w:val="20"/>
              </w:rPr>
            </w:pPr>
            <w:r w:rsidRPr="00652235">
              <w:rPr>
                <w:szCs w:val="20"/>
              </w:rPr>
              <w:t>$673,610</w:t>
            </w:r>
          </w:p>
        </w:tc>
        <w:tc>
          <w:tcPr>
            <w:tcW w:w="630" w:type="pct"/>
            <w:tcBorders>
              <w:top w:val="nil"/>
              <w:bottom w:val="single" w:sz="4" w:space="0" w:color="auto"/>
            </w:tcBorders>
          </w:tcPr>
          <w:p w14:paraId="6EE168DE" w14:textId="77777777" w:rsidR="00652235" w:rsidRPr="00652235" w:rsidRDefault="00652235" w:rsidP="00652235">
            <w:pPr>
              <w:pStyle w:val="Tabletext"/>
              <w:rPr>
                <w:szCs w:val="20"/>
              </w:rPr>
            </w:pPr>
            <w:r w:rsidRPr="00652235">
              <w:rPr>
                <w:szCs w:val="20"/>
              </w:rPr>
              <w:t>$673,610</w:t>
            </w:r>
          </w:p>
        </w:tc>
        <w:tc>
          <w:tcPr>
            <w:tcW w:w="630" w:type="pct"/>
            <w:tcBorders>
              <w:top w:val="nil"/>
              <w:bottom w:val="single" w:sz="4" w:space="0" w:color="auto"/>
            </w:tcBorders>
          </w:tcPr>
          <w:p w14:paraId="58810668" w14:textId="77777777" w:rsidR="00652235" w:rsidRPr="00652235" w:rsidRDefault="00652235" w:rsidP="00652235">
            <w:pPr>
              <w:pStyle w:val="Tabletext"/>
              <w:rPr>
                <w:szCs w:val="20"/>
              </w:rPr>
            </w:pPr>
            <w:r w:rsidRPr="00652235">
              <w:rPr>
                <w:szCs w:val="20"/>
              </w:rPr>
              <w:t>$673,610</w:t>
            </w:r>
          </w:p>
        </w:tc>
        <w:tc>
          <w:tcPr>
            <w:tcW w:w="630" w:type="pct"/>
            <w:tcBorders>
              <w:top w:val="nil"/>
              <w:bottom w:val="single" w:sz="4" w:space="0" w:color="auto"/>
            </w:tcBorders>
          </w:tcPr>
          <w:p w14:paraId="68DFA410" w14:textId="77777777" w:rsidR="00652235" w:rsidRPr="00652235" w:rsidRDefault="00652235" w:rsidP="00652235">
            <w:pPr>
              <w:pStyle w:val="Tabletext"/>
              <w:rPr>
                <w:szCs w:val="20"/>
              </w:rPr>
            </w:pPr>
            <w:r w:rsidRPr="00652235">
              <w:rPr>
                <w:szCs w:val="20"/>
              </w:rPr>
              <w:t>$673,610</w:t>
            </w:r>
          </w:p>
        </w:tc>
      </w:tr>
      <w:tr w:rsidR="00652235" w:rsidRPr="00652235" w14:paraId="4C2A1FE7" w14:textId="77777777" w:rsidTr="000B0156">
        <w:trPr>
          <w:trHeight w:val="300"/>
        </w:trPr>
        <w:tc>
          <w:tcPr>
            <w:tcW w:w="1851" w:type="pct"/>
            <w:tcBorders>
              <w:bottom w:val="nil"/>
            </w:tcBorders>
          </w:tcPr>
          <w:p w14:paraId="050E4451" w14:textId="77777777" w:rsidR="00652235" w:rsidRPr="00652235" w:rsidRDefault="00652235" w:rsidP="00652235">
            <w:pPr>
              <w:pStyle w:val="Tabletext"/>
              <w:rPr>
                <w:szCs w:val="20"/>
              </w:rPr>
            </w:pPr>
            <w:r w:rsidRPr="00652235">
              <w:rPr>
                <w:szCs w:val="20"/>
              </w:rPr>
              <w:t>Existing TURP services that switch (#2)</w:t>
            </w:r>
          </w:p>
        </w:tc>
        <w:tc>
          <w:tcPr>
            <w:tcW w:w="629" w:type="pct"/>
            <w:tcBorders>
              <w:bottom w:val="nil"/>
            </w:tcBorders>
          </w:tcPr>
          <w:p w14:paraId="0F5F7926" w14:textId="77777777" w:rsidR="00652235" w:rsidRPr="00652235" w:rsidRDefault="00652235" w:rsidP="00652235">
            <w:pPr>
              <w:pStyle w:val="Tabletext"/>
              <w:rPr>
                <w:szCs w:val="20"/>
              </w:rPr>
            </w:pPr>
            <w:r w:rsidRPr="00652235">
              <w:rPr>
                <w:szCs w:val="20"/>
              </w:rPr>
              <w:t>–</w:t>
            </w:r>
          </w:p>
        </w:tc>
        <w:tc>
          <w:tcPr>
            <w:tcW w:w="630" w:type="pct"/>
            <w:tcBorders>
              <w:bottom w:val="nil"/>
            </w:tcBorders>
          </w:tcPr>
          <w:p w14:paraId="5CB7503D" w14:textId="77777777" w:rsidR="00652235" w:rsidRPr="00652235" w:rsidRDefault="00652235" w:rsidP="00652235">
            <w:pPr>
              <w:pStyle w:val="Tabletext"/>
              <w:rPr>
                <w:szCs w:val="20"/>
              </w:rPr>
            </w:pPr>
            <w:r w:rsidRPr="00652235">
              <w:rPr>
                <w:szCs w:val="20"/>
              </w:rPr>
              <w:t>123</w:t>
            </w:r>
          </w:p>
        </w:tc>
        <w:tc>
          <w:tcPr>
            <w:tcW w:w="630" w:type="pct"/>
            <w:tcBorders>
              <w:bottom w:val="nil"/>
            </w:tcBorders>
          </w:tcPr>
          <w:p w14:paraId="7F8E1F27" w14:textId="77777777" w:rsidR="00652235" w:rsidRPr="00652235" w:rsidRDefault="00652235" w:rsidP="00652235">
            <w:pPr>
              <w:pStyle w:val="Tabletext"/>
              <w:rPr>
                <w:szCs w:val="20"/>
              </w:rPr>
            </w:pPr>
            <w:r w:rsidRPr="00652235">
              <w:rPr>
                <w:szCs w:val="20"/>
              </w:rPr>
              <w:t>258</w:t>
            </w:r>
          </w:p>
        </w:tc>
        <w:tc>
          <w:tcPr>
            <w:tcW w:w="630" w:type="pct"/>
            <w:tcBorders>
              <w:bottom w:val="nil"/>
            </w:tcBorders>
          </w:tcPr>
          <w:p w14:paraId="0A4E2A0F" w14:textId="77777777" w:rsidR="00652235" w:rsidRPr="00652235" w:rsidRDefault="00652235" w:rsidP="00652235">
            <w:pPr>
              <w:pStyle w:val="Tabletext"/>
              <w:rPr>
                <w:szCs w:val="20"/>
              </w:rPr>
            </w:pPr>
            <w:r w:rsidRPr="00652235">
              <w:rPr>
                <w:szCs w:val="20"/>
              </w:rPr>
              <w:t>407</w:t>
            </w:r>
          </w:p>
        </w:tc>
        <w:tc>
          <w:tcPr>
            <w:tcW w:w="630" w:type="pct"/>
            <w:tcBorders>
              <w:bottom w:val="nil"/>
            </w:tcBorders>
          </w:tcPr>
          <w:p w14:paraId="73B043E8" w14:textId="77777777" w:rsidR="00652235" w:rsidRPr="00652235" w:rsidRDefault="00652235" w:rsidP="00652235">
            <w:pPr>
              <w:pStyle w:val="Tabletext"/>
              <w:rPr>
                <w:szCs w:val="20"/>
              </w:rPr>
            </w:pPr>
            <w:r w:rsidRPr="00652235">
              <w:rPr>
                <w:szCs w:val="20"/>
              </w:rPr>
              <w:t>571</w:t>
            </w:r>
          </w:p>
        </w:tc>
      </w:tr>
      <w:tr w:rsidR="00652235" w:rsidRPr="00652235" w14:paraId="74A60D59" w14:textId="77777777" w:rsidTr="000B0156">
        <w:trPr>
          <w:trHeight w:val="300"/>
        </w:trPr>
        <w:tc>
          <w:tcPr>
            <w:tcW w:w="1851" w:type="pct"/>
            <w:tcBorders>
              <w:top w:val="nil"/>
              <w:bottom w:val="nil"/>
            </w:tcBorders>
          </w:tcPr>
          <w:p w14:paraId="0716CE3E" w14:textId="77777777" w:rsidR="00652235" w:rsidRPr="00652235" w:rsidRDefault="00652235" w:rsidP="00652235">
            <w:pPr>
              <w:pStyle w:val="Tabletext"/>
              <w:rPr>
                <w:szCs w:val="20"/>
              </w:rPr>
            </w:pPr>
            <w:r w:rsidRPr="00652235">
              <w:rPr>
                <w:szCs w:val="20"/>
              </w:rPr>
              <w:t>Incremental cost to the MBS per service</w:t>
            </w:r>
          </w:p>
        </w:tc>
        <w:tc>
          <w:tcPr>
            <w:tcW w:w="629" w:type="pct"/>
            <w:tcBorders>
              <w:top w:val="nil"/>
              <w:bottom w:val="nil"/>
            </w:tcBorders>
          </w:tcPr>
          <w:p w14:paraId="10F2D487" w14:textId="77777777" w:rsidR="00652235" w:rsidRPr="00652235" w:rsidRDefault="00652235" w:rsidP="00652235">
            <w:pPr>
              <w:pStyle w:val="Tabletext"/>
              <w:rPr>
                <w:szCs w:val="20"/>
              </w:rPr>
            </w:pPr>
            <w:r w:rsidRPr="00652235">
              <w:rPr>
                <w:szCs w:val="20"/>
              </w:rPr>
              <w:t>$0.00</w:t>
            </w:r>
          </w:p>
        </w:tc>
        <w:tc>
          <w:tcPr>
            <w:tcW w:w="630" w:type="pct"/>
            <w:tcBorders>
              <w:top w:val="nil"/>
              <w:bottom w:val="nil"/>
            </w:tcBorders>
          </w:tcPr>
          <w:p w14:paraId="4ECFF4C4" w14:textId="77777777" w:rsidR="00652235" w:rsidRPr="00652235" w:rsidRDefault="00652235" w:rsidP="00652235">
            <w:pPr>
              <w:pStyle w:val="Tabletext"/>
              <w:rPr>
                <w:szCs w:val="20"/>
              </w:rPr>
            </w:pPr>
          </w:p>
        </w:tc>
        <w:tc>
          <w:tcPr>
            <w:tcW w:w="630" w:type="pct"/>
            <w:tcBorders>
              <w:top w:val="nil"/>
              <w:bottom w:val="nil"/>
            </w:tcBorders>
          </w:tcPr>
          <w:p w14:paraId="1AEDE61C" w14:textId="77777777" w:rsidR="00652235" w:rsidRPr="00652235" w:rsidRDefault="00652235" w:rsidP="00652235">
            <w:pPr>
              <w:pStyle w:val="Tabletext"/>
              <w:rPr>
                <w:szCs w:val="20"/>
              </w:rPr>
            </w:pPr>
          </w:p>
        </w:tc>
        <w:tc>
          <w:tcPr>
            <w:tcW w:w="630" w:type="pct"/>
            <w:tcBorders>
              <w:top w:val="nil"/>
              <w:bottom w:val="nil"/>
            </w:tcBorders>
          </w:tcPr>
          <w:p w14:paraId="33A19105" w14:textId="77777777" w:rsidR="00652235" w:rsidRPr="00652235" w:rsidRDefault="00652235" w:rsidP="00652235">
            <w:pPr>
              <w:pStyle w:val="Tabletext"/>
              <w:rPr>
                <w:szCs w:val="20"/>
              </w:rPr>
            </w:pPr>
          </w:p>
        </w:tc>
        <w:tc>
          <w:tcPr>
            <w:tcW w:w="630" w:type="pct"/>
            <w:tcBorders>
              <w:top w:val="nil"/>
              <w:bottom w:val="nil"/>
            </w:tcBorders>
          </w:tcPr>
          <w:p w14:paraId="58454648" w14:textId="77777777" w:rsidR="00652235" w:rsidRPr="00652235" w:rsidRDefault="00652235" w:rsidP="00652235">
            <w:pPr>
              <w:pStyle w:val="Tabletext"/>
              <w:rPr>
                <w:szCs w:val="20"/>
              </w:rPr>
            </w:pPr>
          </w:p>
        </w:tc>
      </w:tr>
      <w:tr w:rsidR="00652235" w:rsidRPr="00652235" w14:paraId="53D17717" w14:textId="77777777" w:rsidTr="000B0156">
        <w:trPr>
          <w:trHeight w:val="300"/>
        </w:trPr>
        <w:tc>
          <w:tcPr>
            <w:tcW w:w="1851" w:type="pct"/>
            <w:tcBorders>
              <w:top w:val="nil"/>
            </w:tcBorders>
          </w:tcPr>
          <w:p w14:paraId="215AFD54" w14:textId="77777777" w:rsidR="00652235" w:rsidRPr="00652235" w:rsidRDefault="00652235" w:rsidP="00652235">
            <w:pPr>
              <w:pStyle w:val="Tabletext"/>
              <w:rPr>
                <w:szCs w:val="20"/>
              </w:rPr>
            </w:pPr>
            <w:r w:rsidRPr="00652235">
              <w:rPr>
                <w:szCs w:val="20"/>
              </w:rPr>
              <w:t>Cost to the MBS</w:t>
            </w:r>
          </w:p>
        </w:tc>
        <w:tc>
          <w:tcPr>
            <w:tcW w:w="629" w:type="pct"/>
            <w:tcBorders>
              <w:top w:val="nil"/>
            </w:tcBorders>
          </w:tcPr>
          <w:p w14:paraId="3AB54BDE" w14:textId="77777777" w:rsidR="00652235" w:rsidRPr="00652235" w:rsidRDefault="00652235" w:rsidP="00652235">
            <w:pPr>
              <w:pStyle w:val="Tabletext"/>
              <w:rPr>
                <w:szCs w:val="20"/>
              </w:rPr>
            </w:pPr>
            <w:r w:rsidRPr="00652235">
              <w:rPr>
                <w:szCs w:val="20"/>
              </w:rPr>
              <w:t>$0.00</w:t>
            </w:r>
          </w:p>
        </w:tc>
        <w:tc>
          <w:tcPr>
            <w:tcW w:w="630" w:type="pct"/>
            <w:tcBorders>
              <w:top w:val="nil"/>
            </w:tcBorders>
          </w:tcPr>
          <w:p w14:paraId="582C6102" w14:textId="77777777" w:rsidR="00652235" w:rsidRPr="00652235" w:rsidRDefault="00652235" w:rsidP="00652235">
            <w:pPr>
              <w:pStyle w:val="Tabletext"/>
              <w:rPr>
                <w:szCs w:val="20"/>
              </w:rPr>
            </w:pPr>
            <w:r w:rsidRPr="00652235">
              <w:rPr>
                <w:szCs w:val="20"/>
              </w:rPr>
              <w:t>$0.00</w:t>
            </w:r>
          </w:p>
        </w:tc>
        <w:tc>
          <w:tcPr>
            <w:tcW w:w="630" w:type="pct"/>
            <w:tcBorders>
              <w:top w:val="nil"/>
            </w:tcBorders>
          </w:tcPr>
          <w:p w14:paraId="39927001" w14:textId="77777777" w:rsidR="00652235" w:rsidRPr="00652235" w:rsidRDefault="00652235" w:rsidP="00652235">
            <w:pPr>
              <w:pStyle w:val="Tabletext"/>
              <w:rPr>
                <w:szCs w:val="20"/>
              </w:rPr>
            </w:pPr>
            <w:r w:rsidRPr="00652235">
              <w:rPr>
                <w:szCs w:val="20"/>
              </w:rPr>
              <w:t>$0.00</w:t>
            </w:r>
          </w:p>
        </w:tc>
        <w:tc>
          <w:tcPr>
            <w:tcW w:w="630" w:type="pct"/>
            <w:tcBorders>
              <w:top w:val="nil"/>
            </w:tcBorders>
          </w:tcPr>
          <w:p w14:paraId="41DFADE1" w14:textId="77777777" w:rsidR="00652235" w:rsidRPr="00652235" w:rsidRDefault="00652235" w:rsidP="00652235">
            <w:pPr>
              <w:pStyle w:val="Tabletext"/>
              <w:rPr>
                <w:szCs w:val="20"/>
              </w:rPr>
            </w:pPr>
            <w:r w:rsidRPr="00652235">
              <w:rPr>
                <w:szCs w:val="20"/>
              </w:rPr>
              <w:t>$0.00</w:t>
            </w:r>
          </w:p>
        </w:tc>
        <w:tc>
          <w:tcPr>
            <w:tcW w:w="630" w:type="pct"/>
            <w:tcBorders>
              <w:top w:val="nil"/>
            </w:tcBorders>
          </w:tcPr>
          <w:p w14:paraId="3D1E7092" w14:textId="77777777" w:rsidR="00652235" w:rsidRPr="00652235" w:rsidRDefault="00652235" w:rsidP="00652235">
            <w:pPr>
              <w:pStyle w:val="Tabletext"/>
              <w:rPr>
                <w:szCs w:val="20"/>
              </w:rPr>
            </w:pPr>
            <w:r w:rsidRPr="00652235">
              <w:rPr>
                <w:szCs w:val="20"/>
              </w:rPr>
              <w:t>$0.00</w:t>
            </w:r>
          </w:p>
        </w:tc>
      </w:tr>
      <w:tr w:rsidR="00652235" w:rsidRPr="00652235" w14:paraId="2F928EDE" w14:textId="77777777" w:rsidTr="000B0156">
        <w:trPr>
          <w:trHeight w:val="300"/>
        </w:trPr>
        <w:tc>
          <w:tcPr>
            <w:tcW w:w="1851" w:type="pct"/>
          </w:tcPr>
          <w:p w14:paraId="25D29655" w14:textId="77777777" w:rsidR="00652235" w:rsidRPr="00652235" w:rsidRDefault="00652235" w:rsidP="00652235">
            <w:pPr>
              <w:pStyle w:val="Tabletext"/>
              <w:rPr>
                <w:szCs w:val="20"/>
              </w:rPr>
            </w:pPr>
            <w:r w:rsidRPr="00652235">
              <w:rPr>
                <w:szCs w:val="20"/>
              </w:rPr>
              <w:t>Number of services</w:t>
            </w:r>
          </w:p>
        </w:tc>
        <w:tc>
          <w:tcPr>
            <w:tcW w:w="629" w:type="pct"/>
          </w:tcPr>
          <w:p w14:paraId="1ADE00B7" w14:textId="77777777" w:rsidR="00652235" w:rsidRPr="00652235" w:rsidRDefault="00652235" w:rsidP="00652235">
            <w:pPr>
              <w:pStyle w:val="Tabletext"/>
              <w:rPr>
                <w:szCs w:val="20"/>
              </w:rPr>
            </w:pPr>
            <w:r w:rsidRPr="00652235">
              <w:rPr>
                <w:szCs w:val="20"/>
              </w:rPr>
              <w:t>1,230</w:t>
            </w:r>
          </w:p>
        </w:tc>
        <w:tc>
          <w:tcPr>
            <w:tcW w:w="630" w:type="pct"/>
          </w:tcPr>
          <w:p w14:paraId="51CE2B0B" w14:textId="77777777" w:rsidR="00652235" w:rsidRPr="00652235" w:rsidRDefault="00652235" w:rsidP="00652235">
            <w:pPr>
              <w:pStyle w:val="Tabletext"/>
              <w:rPr>
                <w:szCs w:val="20"/>
              </w:rPr>
            </w:pPr>
            <w:r w:rsidRPr="00652235">
              <w:rPr>
                <w:szCs w:val="20"/>
              </w:rPr>
              <w:t>1,353</w:t>
            </w:r>
          </w:p>
        </w:tc>
        <w:tc>
          <w:tcPr>
            <w:tcW w:w="630" w:type="pct"/>
          </w:tcPr>
          <w:p w14:paraId="6D563888" w14:textId="77777777" w:rsidR="00652235" w:rsidRPr="00652235" w:rsidRDefault="00652235" w:rsidP="00652235">
            <w:pPr>
              <w:pStyle w:val="Tabletext"/>
              <w:rPr>
                <w:szCs w:val="20"/>
              </w:rPr>
            </w:pPr>
            <w:r w:rsidRPr="00652235">
              <w:rPr>
                <w:szCs w:val="20"/>
              </w:rPr>
              <w:t>1,488</w:t>
            </w:r>
          </w:p>
        </w:tc>
        <w:tc>
          <w:tcPr>
            <w:tcW w:w="630" w:type="pct"/>
          </w:tcPr>
          <w:p w14:paraId="1FC3BD0F" w14:textId="77777777" w:rsidR="00652235" w:rsidRPr="00652235" w:rsidRDefault="00652235" w:rsidP="00652235">
            <w:pPr>
              <w:pStyle w:val="Tabletext"/>
              <w:rPr>
                <w:szCs w:val="20"/>
              </w:rPr>
            </w:pPr>
            <w:r w:rsidRPr="00652235">
              <w:rPr>
                <w:szCs w:val="20"/>
              </w:rPr>
              <w:t>1,637</w:t>
            </w:r>
          </w:p>
        </w:tc>
        <w:tc>
          <w:tcPr>
            <w:tcW w:w="630" w:type="pct"/>
          </w:tcPr>
          <w:p w14:paraId="3338A179" w14:textId="77777777" w:rsidR="00652235" w:rsidRPr="00652235" w:rsidRDefault="00652235" w:rsidP="00652235">
            <w:pPr>
              <w:pStyle w:val="Tabletext"/>
              <w:rPr>
                <w:szCs w:val="20"/>
              </w:rPr>
            </w:pPr>
            <w:r w:rsidRPr="00652235">
              <w:rPr>
                <w:szCs w:val="20"/>
              </w:rPr>
              <w:t>1,800</w:t>
            </w:r>
          </w:p>
          <w:p w14:paraId="1E975B34" w14:textId="77777777" w:rsidR="00652235" w:rsidRPr="00652235" w:rsidRDefault="00652235" w:rsidP="00652235">
            <w:pPr>
              <w:pStyle w:val="Tabletext"/>
              <w:rPr>
                <w:szCs w:val="20"/>
              </w:rPr>
            </w:pPr>
            <w:r w:rsidRPr="00652235">
              <w:rPr>
                <w:iCs/>
                <w:szCs w:val="20"/>
              </w:rPr>
              <w:t>1,801</w:t>
            </w:r>
          </w:p>
        </w:tc>
      </w:tr>
      <w:tr w:rsidR="00652235" w:rsidRPr="00652235" w14:paraId="0315B479" w14:textId="77777777" w:rsidTr="000B0156">
        <w:trPr>
          <w:trHeight w:val="315"/>
        </w:trPr>
        <w:tc>
          <w:tcPr>
            <w:tcW w:w="1851" w:type="pct"/>
          </w:tcPr>
          <w:p w14:paraId="247F9E3C" w14:textId="77777777" w:rsidR="00652235" w:rsidRPr="00652235" w:rsidRDefault="00652235" w:rsidP="00652235">
            <w:pPr>
              <w:pStyle w:val="Tabletext"/>
              <w:rPr>
                <w:szCs w:val="20"/>
              </w:rPr>
            </w:pPr>
            <w:r w:rsidRPr="00652235">
              <w:rPr>
                <w:szCs w:val="20"/>
              </w:rPr>
              <w:t>Total</w:t>
            </w:r>
          </w:p>
        </w:tc>
        <w:tc>
          <w:tcPr>
            <w:tcW w:w="629" w:type="pct"/>
          </w:tcPr>
          <w:p w14:paraId="4EE6377E" w14:textId="77777777" w:rsidR="00652235" w:rsidRPr="00652235" w:rsidRDefault="00652235" w:rsidP="00652235">
            <w:pPr>
              <w:pStyle w:val="Tabletext"/>
              <w:rPr>
                <w:szCs w:val="20"/>
              </w:rPr>
            </w:pPr>
            <w:r w:rsidRPr="00652235">
              <w:rPr>
                <w:szCs w:val="20"/>
              </w:rPr>
              <w:t>$673,610</w:t>
            </w:r>
          </w:p>
        </w:tc>
        <w:tc>
          <w:tcPr>
            <w:tcW w:w="630" w:type="pct"/>
          </w:tcPr>
          <w:p w14:paraId="70EBB27D" w14:textId="77777777" w:rsidR="00652235" w:rsidRPr="00652235" w:rsidRDefault="00652235" w:rsidP="00652235">
            <w:pPr>
              <w:pStyle w:val="Tabletext"/>
              <w:rPr>
                <w:szCs w:val="20"/>
              </w:rPr>
            </w:pPr>
            <w:r w:rsidRPr="00652235">
              <w:rPr>
                <w:szCs w:val="20"/>
              </w:rPr>
              <w:t>$673,610</w:t>
            </w:r>
          </w:p>
        </w:tc>
        <w:tc>
          <w:tcPr>
            <w:tcW w:w="630" w:type="pct"/>
          </w:tcPr>
          <w:p w14:paraId="1D2B5DD3" w14:textId="77777777" w:rsidR="00652235" w:rsidRPr="00652235" w:rsidRDefault="00652235" w:rsidP="00652235">
            <w:pPr>
              <w:pStyle w:val="Tabletext"/>
              <w:rPr>
                <w:szCs w:val="20"/>
              </w:rPr>
            </w:pPr>
            <w:r w:rsidRPr="00652235">
              <w:rPr>
                <w:szCs w:val="20"/>
              </w:rPr>
              <w:t>$673,610</w:t>
            </w:r>
          </w:p>
        </w:tc>
        <w:tc>
          <w:tcPr>
            <w:tcW w:w="630" w:type="pct"/>
          </w:tcPr>
          <w:p w14:paraId="23BB173C" w14:textId="77777777" w:rsidR="00652235" w:rsidRPr="00652235" w:rsidRDefault="00652235" w:rsidP="00652235">
            <w:pPr>
              <w:pStyle w:val="Tabletext"/>
              <w:rPr>
                <w:szCs w:val="20"/>
              </w:rPr>
            </w:pPr>
            <w:r w:rsidRPr="00652235">
              <w:rPr>
                <w:szCs w:val="20"/>
              </w:rPr>
              <w:t>$673,610</w:t>
            </w:r>
          </w:p>
        </w:tc>
        <w:tc>
          <w:tcPr>
            <w:tcW w:w="630" w:type="pct"/>
          </w:tcPr>
          <w:p w14:paraId="5B771962" w14:textId="77777777" w:rsidR="00652235" w:rsidRPr="00652235" w:rsidRDefault="00652235" w:rsidP="00652235">
            <w:pPr>
              <w:pStyle w:val="Tabletext"/>
              <w:rPr>
                <w:szCs w:val="20"/>
              </w:rPr>
            </w:pPr>
            <w:r w:rsidRPr="00652235">
              <w:rPr>
                <w:szCs w:val="20"/>
              </w:rPr>
              <w:t>$673,610</w:t>
            </w:r>
          </w:p>
        </w:tc>
      </w:tr>
    </w:tbl>
    <w:p w14:paraId="47F3FC74" w14:textId="43C5D3E4" w:rsidR="00652235" w:rsidRPr="00C742CB" w:rsidRDefault="00652235" w:rsidP="00C11BBE">
      <w:pPr>
        <w:pStyle w:val="Tablenotes"/>
      </w:pPr>
      <w:r>
        <w:t>Source: T</w:t>
      </w:r>
      <w:r w:rsidR="00D2501B">
        <w:t>able 10, p28 of the commentary.</w:t>
      </w:r>
    </w:p>
    <w:p w14:paraId="1683EEBC" w14:textId="48D76043" w:rsidR="00652235" w:rsidRPr="000D6DCA" w:rsidRDefault="00652235" w:rsidP="00652235">
      <w:r>
        <w:t>The commentary noted that i</w:t>
      </w:r>
      <w:r w:rsidRPr="000D6DCA">
        <w:t>n estimating #1, the ADAR assumed that the number of services would remain the same over the projected period (i.e. 1,230 service per year), and so does not consider an increase in services due to population growth (which may not be reasonable).</w:t>
      </w:r>
      <w:r>
        <w:t xml:space="preserve"> </w:t>
      </w:r>
      <w:r w:rsidRPr="000D6DCA">
        <w:t xml:space="preserve">Furthermore, the approach taken does not take into account the generic nature of MBS item 36811. </w:t>
      </w:r>
      <w:r>
        <w:t>This item</w:t>
      </w:r>
      <w:r w:rsidRPr="000D6DCA">
        <w:t xml:space="preserve"> is not specific to PUL and is used for cystoscopy with insertion of any urethral prostheses. Given the three-fold proposed fee increase, use of this item in other indications may substantially increase.</w:t>
      </w:r>
    </w:p>
    <w:p w14:paraId="34B92CF1" w14:textId="434E3997" w:rsidR="00652235" w:rsidRDefault="00652235" w:rsidP="00D2501B">
      <w:pPr>
        <w:spacing w:before="240"/>
      </w:pPr>
      <w:r w:rsidRPr="000D6DCA">
        <w:t>While the number of PUL services that would have occurred in the absence of the fee change was not estimated to change over the projected period, the total number of PUL services was estimated to increase by 10% per year.</w:t>
      </w:r>
      <w:r>
        <w:t xml:space="preserve"> No justification was provided for this estimate.</w:t>
      </w:r>
      <w:r w:rsidRPr="000D6DCA">
        <w:t xml:space="preserve"> This was comprised totally of services that would have switched from TURP to PUL (i.e. #2,</w:t>
      </w:r>
      <w:r>
        <w:t xml:space="preserve"> </w:t>
      </w:r>
      <w:r>
        <w:fldChar w:fldCharType="begin"/>
      </w:r>
      <w:r>
        <w:instrText xml:space="preserve"> REF _Ref40967409 \h </w:instrText>
      </w:r>
      <w:r>
        <w:fldChar w:fldCharType="separate"/>
      </w:r>
      <w:r>
        <w:t xml:space="preserve">Table </w:t>
      </w:r>
      <w:r>
        <w:rPr>
          <w:noProof/>
        </w:rPr>
        <w:t>18</w:t>
      </w:r>
      <w:r>
        <w:fldChar w:fldCharType="end"/>
      </w:r>
      <w:r w:rsidRPr="000D6DCA">
        <w:t>).</w:t>
      </w:r>
      <w:r>
        <w:t xml:space="preserve"> However, the ADAR has not considered that some of these reduced TURP services would be displaced rather than replaced by PUL, due to reintervention. While the net difference in the rate of reintervention was considered in the cost-comparison analysis, this was not included in the</w:t>
      </w:r>
      <w:r w:rsidR="00D2501B">
        <w:t xml:space="preserve"> estimates of financial impact.</w:t>
      </w:r>
    </w:p>
    <w:p w14:paraId="2DEDE655" w14:textId="7E477E3B" w:rsidR="00652235" w:rsidRDefault="00652235" w:rsidP="00D2501B">
      <w:pPr>
        <w:spacing w:before="240"/>
      </w:pPr>
      <w:r w:rsidRPr="000D6DCA">
        <w:t xml:space="preserve">The 75% MBS Benefit is proposed to increase from $246.45 to $794.10 (i.e. $547.65 increase). In estimating the increase in cost to the MBS due to the proposed increase in the fee for MBS item 36811, the ADAR applied the difference in the 75% MBS Benefit (i.e. $547.65) to those patients who would have received PUL irrespective of the fee change (i.e. #1 in </w:t>
      </w:r>
      <w:r>
        <w:fldChar w:fldCharType="begin"/>
      </w:r>
      <w:r>
        <w:instrText xml:space="preserve"> REF _Ref40967409 \h </w:instrText>
      </w:r>
      <w:r>
        <w:fldChar w:fldCharType="separate"/>
      </w:r>
      <w:r>
        <w:t xml:space="preserve">Table </w:t>
      </w:r>
      <w:r>
        <w:rPr>
          <w:noProof/>
        </w:rPr>
        <w:t>19</w:t>
      </w:r>
      <w:r>
        <w:fldChar w:fldCharType="end"/>
      </w:r>
      <w:r w:rsidRPr="000D6DCA">
        <w:t xml:space="preserve">). As the proposed MBS fee is the same as the current fee for TURP, no change </w:t>
      </w:r>
      <w:r w:rsidRPr="000D6DCA">
        <w:lastRenderedPageBreak/>
        <w:t>in the cost to the MBS is applied for patients who switch from TURP to PUL</w:t>
      </w:r>
      <w:r>
        <w:t xml:space="preserve"> (i.e. #2</w:t>
      </w:r>
      <w:r w:rsidRPr="000D6DCA">
        <w:t xml:space="preserve"> in </w:t>
      </w:r>
      <w:r>
        <w:fldChar w:fldCharType="begin"/>
      </w:r>
      <w:r>
        <w:instrText xml:space="preserve"> REF _Ref40967409 \h </w:instrText>
      </w:r>
      <w:r>
        <w:fldChar w:fldCharType="separate"/>
      </w:r>
      <w:r>
        <w:t>Table</w:t>
      </w:r>
      <w:r w:rsidR="0092251A">
        <w:t> </w:t>
      </w:r>
      <w:r>
        <w:rPr>
          <w:noProof/>
        </w:rPr>
        <w:t>19</w:t>
      </w:r>
      <w:r>
        <w:fldChar w:fldCharType="end"/>
      </w:r>
      <w:r>
        <w:t>)</w:t>
      </w:r>
      <w:r w:rsidRPr="000D6DCA">
        <w:t>.</w:t>
      </w:r>
    </w:p>
    <w:p w14:paraId="1AAA0D0B" w14:textId="6EEEB361" w:rsidR="00652235" w:rsidRDefault="00652235" w:rsidP="00D2501B">
      <w:pPr>
        <w:spacing w:before="240"/>
      </w:pPr>
      <w:r>
        <w:t>The pre-ESC response clarified that the ADAR assumed the highest possible number of PUL procedures</w:t>
      </w:r>
      <w:r w:rsidR="003F6C90">
        <w:t xml:space="preserve"> -</w:t>
      </w:r>
      <w:r>
        <w:t xml:space="preserve"> </w:t>
      </w:r>
      <w:r w:rsidR="003F6C90">
        <w:t>a</w:t>
      </w:r>
      <w:r>
        <w:t xml:space="preserve">ll claims on MBS Item 36811 - CYSTOSCOPY with insertion of urethral prosthesis </w:t>
      </w:r>
      <w:r w:rsidR="003F6C90">
        <w:t>were</w:t>
      </w:r>
      <w:r>
        <w:t xml:space="preserve"> all for PUL. The applicant noted that the commentary questioned the number of claims estimated. Moreover, the commentary stated that targeted consultation feedback from Private Healthcare Australia indicated that sales of the prostheses is approximately $2.7</w:t>
      </w:r>
      <w:r w:rsidR="008F0CB8">
        <w:t> </w:t>
      </w:r>
      <w:r>
        <w:t>million at present with the average number of prostheses implanted being 3.1 at a cost of $712 per prosthesis. The applicant noted that $2,700,000 divided by $712 divided by 3.1 gives a patient population of 1223 and that the ADAR used a patient population of 1230.</w:t>
      </w:r>
    </w:p>
    <w:p w14:paraId="22F8D1DD" w14:textId="1E2C609B" w:rsidR="00D2501B" w:rsidRPr="00D2501B" w:rsidRDefault="006A0D97" w:rsidP="00022111">
      <w:pPr>
        <w:pStyle w:val="Heading1"/>
      </w:pPr>
      <w:r w:rsidRPr="00F715D1">
        <w:t>Key issues from ESC for MSAC</w:t>
      </w:r>
    </w:p>
    <w:tbl>
      <w:tblPr>
        <w:tblStyle w:val="TableGrid3"/>
        <w:tblW w:w="9186" w:type="dxa"/>
        <w:tblLook w:val="04A0" w:firstRow="1" w:lastRow="0" w:firstColumn="1" w:lastColumn="0" w:noHBand="0" w:noVBand="1"/>
        <w:tblDescription w:val="Key issues identified by ESC for MSAC consideration"/>
      </w:tblPr>
      <w:tblGrid>
        <w:gridCol w:w="2830"/>
        <w:gridCol w:w="6356"/>
      </w:tblGrid>
      <w:tr w:rsidR="00652235" w:rsidRPr="00022111" w14:paraId="5E787850" w14:textId="77777777" w:rsidTr="00221228">
        <w:trPr>
          <w:cantSplit/>
          <w:tblHeader/>
        </w:trPr>
        <w:tc>
          <w:tcPr>
            <w:tcW w:w="2830" w:type="dxa"/>
          </w:tcPr>
          <w:p w14:paraId="40E483E5" w14:textId="77777777" w:rsidR="00652235" w:rsidRPr="00022111" w:rsidRDefault="00652235" w:rsidP="00022111">
            <w:pPr>
              <w:rPr>
                <w:rFonts w:ascii="Arial Narrow" w:hAnsi="Arial Narrow"/>
              </w:rPr>
            </w:pPr>
            <w:r w:rsidRPr="00022111">
              <w:rPr>
                <w:rFonts w:ascii="Arial Narrow" w:hAnsi="Arial Narrow"/>
              </w:rPr>
              <w:t>ESC key issue</w:t>
            </w:r>
          </w:p>
        </w:tc>
        <w:tc>
          <w:tcPr>
            <w:tcW w:w="6356" w:type="dxa"/>
          </w:tcPr>
          <w:p w14:paraId="19A4B31F" w14:textId="77777777" w:rsidR="00652235" w:rsidRPr="00022111" w:rsidRDefault="00652235" w:rsidP="00022111">
            <w:pPr>
              <w:rPr>
                <w:rFonts w:ascii="Arial Narrow" w:hAnsi="Arial Narrow"/>
              </w:rPr>
            </w:pPr>
            <w:r w:rsidRPr="00022111">
              <w:rPr>
                <w:rFonts w:ascii="Arial Narrow" w:hAnsi="Arial Narrow"/>
              </w:rPr>
              <w:t>ESC advice to MSAC</w:t>
            </w:r>
          </w:p>
        </w:tc>
      </w:tr>
      <w:tr w:rsidR="00652235" w:rsidRPr="00022111" w14:paraId="37E084CD" w14:textId="77777777" w:rsidTr="00022111">
        <w:trPr>
          <w:cantSplit/>
        </w:trPr>
        <w:tc>
          <w:tcPr>
            <w:tcW w:w="2830" w:type="dxa"/>
          </w:tcPr>
          <w:p w14:paraId="4EAC7CEA" w14:textId="77777777" w:rsidR="00652235" w:rsidRPr="00022111" w:rsidRDefault="00652235" w:rsidP="00022111">
            <w:pPr>
              <w:rPr>
                <w:rFonts w:ascii="Arial Narrow" w:hAnsi="Arial Narrow"/>
              </w:rPr>
            </w:pPr>
            <w:r w:rsidRPr="00022111">
              <w:rPr>
                <w:rFonts w:ascii="Arial Narrow" w:hAnsi="Arial Narrow"/>
              </w:rPr>
              <w:t>Current MBS item encompasses a range of services</w:t>
            </w:r>
          </w:p>
        </w:tc>
        <w:tc>
          <w:tcPr>
            <w:tcW w:w="6356" w:type="dxa"/>
          </w:tcPr>
          <w:p w14:paraId="4A40ED68" w14:textId="77777777" w:rsidR="00652235" w:rsidRPr="00022111" w:rsidRDefault="00652235" w:rsidP="00022111">
            <w:pPr>
              <w:rPr>
                <w:rFonts w:ascii="Arial Narrow" w:hAnsi="Arial Narrow"/>
              </w:rPr>
            </w:pPr>
            <w:r w:rsidRPr="00022111">
              <w:rPr>
                <w:rFonts w:ascii="Arial Narrow" w:hAnsi="Arial Narrow"/>
              </w:rPr>
              <w:t>A new MBS item specific to prostatic urethral lift may be appropriate if the fee increase is supported by MSAC.</w:t>
            </w:r>
          </w:p>
        </w:tc>
      </w:tr>
      <w:tr w:rsidR="00652235" w:rsidRPr="00022111" w14:paraId="3F25245D" w14:textId="77777777" w:rsidTr="00022111">
        <w:trPr>
          <w:cantSplit/>
        </w:trPr>
        <w:tc>
          <w:tcPr>
            <w:tcW w:w="2830" w:type="dxa"/>
          </w:tcPr>
          <w:p w14:paraId="3B537408" w14:textId="77777777" w:rsidR="00652235" w:rsidRPr="00022111" w:rsidRDefault="00652235" w:rsidP="00022111">
            <w:pPr>
              <w:rPr>
                <w:rFonts w:ascii="Arial Narrow" w:hAnsi="Arial Narrow"/>
              </w:rPr>
            </w:pPr>
            <w:r w:rsidRPr="00022111">
              <w:rPr>
                <w:rFonts w:ascii="Arial Narrow" w:hAnsi="Arial Narrow"/>
              </w:rPr>
              <w:t>PUL may not be non-inferior to TURP</w:t>
            </w:r>
          </w:p>
        </w:tc>
        <w:tc>
          <w:tcPr>
            <w:tcW w:w="6356" w:type="dxa"/>
          </w:tcPr>
          <w:p w14:paraId="0B971C4B" w14:textId="7DEE3B60" w:rsidR="00652235" w:rsidRPr="00022111" w:rsidRDefault="00652235" w:rsidP="00022111">
            <w:pPr>
              <w:rPr>
                <w:rFonts w:ascii="Arial Narrow" w:hAnsi="Arial Narrow"/>
              </w:rPr>
            </w:pPr>
            <w:r w:rsidRPr="00022111">
              <w:rPr>
                <w:rFonts w:ascii="Arial Narrow" w:hAnsi="Arial Narrow"/>
              </w:rPr>
              <w:t xml:space="preserve">The key direct comparative study, BPH6, used a composite outcome which biases the results against TURP. However PUL was statistically and clinically inferior to TURP on the clinically relevant measures of effectiveness: International Prostate Symptom Score and peak urine flow rate. For the safety outcomes relating to surgical outcomes and functioning, PUL has superior safety to TURP, particularly on measures of ejaculation. </w:t>
            </w:r>
            <w:r w:rsidRPr="008D65B5">
              <w:rPr>
                <w:rFonts w:ascii="Arial Narrow" w:hAnsi="Arial Narrow"/>
              </w:rPr>
              <w:t>However, the MBS already has previously noted that retrograde ejaculation is not considered a serious complication of TURP.</w:t>
            </w:r>
          </w:p>
        </w:tc>
      </w:tr>
      <w:tr w:rsidR="00652235" w:rsidRPr="00022111" w14:paraId="393A47E5" w14:textId="77777777" w:rsidTr="00022111">
        <w:trPr>
          <w:cantSplit/>
        </w:trPr>
        <w:tc>
          <w:tcPr>
            <w:tcW w:w="2830" w:type="dxa"/>
          </w:tcPr>
          <w:p w14:paraId="0EF0E9B1" w14:textId="77777777" w:rsidR="00652235" w:rsidRPr="00022111" w:rsidRDefault="00652235" w:rsidP="00022111">
            <w:pPr>
              <w:rPr>
                <w:rFonts w:ascii="Arial Narrow" w:hAnsi="Arial Narrow"/>
              </w:rPr>
            </w:pPr>
            <w:r w:rsidRPr="00022111">
              <w:rPr>
                <w:rFonts w:ascii="Arial Narrow" w:hAnsi="Arial Narrow"/>
              </w:rPr>
              <w:t>Non-inferiority claim vs VLAP is uncertain and not well supported.</w:t>
            </w:r>
          </w:p>
        </w:tc>
        <w:tc>
          <w:tcPr>
            <w:tcW w:w="6356" w:type="dxa"/>
          </w:tcPr>
          <w:p w14:paraId="4B41DFFA" w14:textId="262D68B8" w:rsidR="00652235" w:rsidRPr="00022111" w:rsidRDefault="00652235" w:rsidP="00022111">
            <w:pPr>
              <w:rPr>
                <w:rFonts w:ascii="Arial Narrow" w:hAnsi="Arial Narrow"/>
              </w:rPr>
            </w:pPr>
            <w:r w:rsidRPr="00022111">
              <w:rPr>
                <w:rFonts w:ascii="Arial Narrow" w:hAnsi="Arial Narrow"/>
              </w:rPr>
              <w:t>As there is no direct evidence comparing VLAP to PUL, the claim of non</w:t>
            </w:r>
            <w:r w:rsidR="000A49E8" w:rsidRPr="00022111">
              <w:rPr>
                <w:rFonts w:ascii="Arial Narrow" w:hAnsi="Arial Narrow"/>
              </w:rPr>
              <w:noBreakHyphen/>
            </w:r>
            <w:r w:rsidRPr="00022111">
              <w:rPr>
                <w:rFonts w:ascii="Arial Narrow" w:hAnsi="Arial Narrow"/>
              </w:rPr>
              <w:t>inferiority of PUL to VLAP rests on the MSAC advice that VLAP is non</w:t>
            </w:r>
            <w:r w:rsidR="000A49E8" w:rsidRPr="00022111">
              <w:rPr>
                <w:rFonts w:ascii="Arial Narrow" w:hAnsi="Arial Narrow"/>
              </w:rPr>
              <w:noBreakHyphen/>
            </w:r>
            <w:r w:rsidRPr="00022111">
              <w:rPr>
                <w:rFonts w:ascii="Arial Narrow" w:hAnsi="Arial Narrow"/>
              </w:rPr>
              <w:t>inferior to TURP. As the claim of non-inferiority to TURP is not well</w:t>
            </w:r>
            <w:r w:rsidR="000A49E8" w:rsidRPr="00022111">
              <w:rPr>
                <w:rFonts w:ascii="Arial Narrow" w:hAnsi="Arial Narrow"/>
              </w:rPr>
              <w:t xml:space="preserve"> </w:t>
            </w:r>
            <w:r w:rsidRPr="00022111">
              <w:rPr>
                <w:rFonts w:ascii="Arial Narrow" w:hAnsi="Arial Narrow"/>
              </w:rPr>
              <w:t>supported, neither is the claim of non-inferiority to VLAP.</w:t>
            </w:r>
          </w:p>
        </w:tc>
      </w:tr>
      <w:tr w:rsidR="00652235" w:rsidRPr="00022111" w:rsidDel="00075508" w14:paraId="738F53B2" w14:textId="77777777" w:rsidTr="00022111">
        <w:trPr>
          <w:cantSplit/>
        </w:trPr>
        <w:tc>
          <w:tcPr>
            <w:tcW w:w="2830" w:type="dxa"/>
          </w:tcPr>
          <w:p w14:paraId="0BE50060" w14:textId="77777777" w:rsidR="00652235" w:rsidRPr="00022111" w:rsidDel="00075508" w:rsidRDefault="00652235" w:rsidP="00022111">
            <w:pPr>
              <w:rPr>
                <w:rFonts w:ascii="Arial Narrow" w:hAnsi="Arial Narrow"/>
              </w:rPr>
            </w:pPr>
            <w:r w:rsidRPr="00022111">
              <w:rPr>
                <w:rFonts w:ascii="Arial Narrow" w:hAnsi="Arial Narrow"/>
              </w:rPr>
              <w:t>PUL may cost more than TURP or VLAP</w:t>
            </w:r>
          </w:p>
        </w:tc>
        <w:tc>
          <w:tcPr>
            <w:tcW w:w="6356" w:type="dxa"/>
          </w:tcPr>
          <w:p w14:paraId="6B4C10BB" w14:textId="77777777" w:rsidR="00652235" w:rsidRPr="00022111" w:rsidRDefault="00652235" w:rsidP="00022111">
            <w:pPr>
              <w:rPr>
                <w:rFonts w:ascii="Arial Narrow" w:hAnsi="Arial Narrow"/>
              </w:rPr>
            </w:pPr>
            <w:r w:rsidRPr="00022111">
              <w:rPr>
                <w:rFonts w:ascii="Arial Narrow" w:hAnsi="Arial Narrow"/>
              </w:rPr>
              <w:t>Overall</w:t>
            </w:r>
          </w:p>
          <w:p w14:paraId="602AB611" w14:textId="77777777" w:rsidR="00652235" w:rsidRPr="00022111" w:rsidRDefault="00652235" w:rsidP="00022111">
            <w:pPr>
              <w:rPr>
                <w:rFonts w:ascii="Arial Narrow" w:hAnsi="Arial Narrow"/>
              </w:rPr>
            </w:pPr>
            <w:r w:rsidRPr="00022111">
              <w:rPr>
                <w:rFonts w:ascii="Arial Narrow" w:hAnsi="Arial Narrow"/>
              </w:rPr>
              <w:t>The cost of reintervention for PUL is underestimated</w:t>
            </w:r>
          </w:p>
          <w:p w14:paraId="0CF55C06" w14:textId="6DB872A4" w:rsidR="00652235" w:rsidRPr="00022111" w:rsidRDefault="00652235" w:rsidP="00022111">
            <w:pPr>
              <w:rPr>
                <w:rFonts w:ascii="Arial Narrow" w:hAnsi="Arial Narrow"/>
              </w:rPr>
            </w:pPr>
            <w:r w:rsidRPr="00022111">
              <w:rPr>
                <w:rFonts w:ascii="Arial Narrow" w:hAnsi="Arial Narrow"/>
              </w:rPr>
              <w:t xml:space="preserve">The cost of PUL may be underestimated due to a lower number of prostheses used (4) than in the BPH6 trial that was used as the basis for </w:t>
            </w:r>
            <w:r w:rsidR="00022111">
              <w:rPr>
                <w:rFonts w:ascii="Arial Narrow" w:hAnsi="Arial Narrow"/>
              </w:rPr>
              <w:t>the non-inferiority claim (4.7)</w:t>
            </w:r>
          </w:p>
          <w:p w14:paraId="3BD81564" w14:textId="77777777" w:rsidR="00652235" w:rsidRPr="00022111" w:rsidRDefault="00652235" w:rsidP="00022111">
            <w:pPr>
              <w:spacing w:before="240"/>
              <w:rPr>
                <w:rFonts w:ascii="Arial Narrow" w:hAnsi="Arial Narrow"/>
              </w:rPr>
            </w:pPr>
            <w:r w:rsidRPr="00022111">
              <w:rPr>
                <w:rFonts w:ascii="Arial Narrow" w:hAnsi="Arial Narrow"/>
              </w:rPr>
              <w:t>Versus TURP</w:t>
            </w:r>
          </w:p>
          <w:p w14:paraId="6BB9748B" w14:textId="77777777" w:rsidR="00652235" w:rsidRPr="00022111" w:rsidRDefault="00652235" w:rsidP="00022111">
            <w:pPr>
              <w:rPr>
                <w:rFonts w:ascii="Arial Narrow" w:hAnsi="Arial Narrow"/>
              </w:rPr>
            </w:pPr>
            <w:r w:rsidRPr="00022111">
              <w:rPr>
                <w:rFonts w:ascii="Arial Narrow" w:hAnsi="Arial Narrow"/>
              </w:rPr>
              <w:t>the inclusion of major complications costs for TURP only where operative complications did not significantly differ between PUL and TURP in the BPH6 study;</w:t>
            </w:r>
          </w:p>
          <w:p w14:paraId="44B8E2D2" w14:textId="77777777" w:rsidR="00652235" w:rsidRPr="00022111" w:rsidRDefault="00652235" w:rsidP="00022111">
            <w:pPr>
              <w:rPr>
                <w:rFonts w:ascii="Arial Narrow" w:hAnsi="Arial Narrow"/>
              </w:rPr>
            </w:pPr>
            <w:r w:rsidRPr="00022111">
              <w:rPr>
                <w:rFonts w:ascii="Arial Narrow" w:hAnsi="Arial Narrow"/>
              </w:rPr>
              <w:t>the cost weight used to estimate the cost of major complications was outdated and overestimated the weighted cost</w:t>
            </w:r>
          </w:p>
          <w:p w14:paraId="03E2628B" w14:textId="77777777" w:rsidR="00652235" w:rsidRPr="00022111" w:rsidRDefault="00652235" w:rsidP="00022111">
            <w:pPr>
              <w:rPr>
                <w:rFonts w:ascii="Arial Narrow" w:hAnsi="Arial Narrow"/>
              </w:rPr>
            </w:pPr>
            <w:r w:rsidRPr="00022111">
              <w:rPr>
                <w:rFonts w:ascii="Arial Narrow" w:hAnsi="Arial Narrow"/>
              </w:rPr>
              <w:t xml:space="preserve">the cost of TURP disposable loops was omitted </w:t>
            </w:r>
          </w:p>
          <w:p w14:paraId="3AD9DDC8" w14:textId="0774534A" w:rsidR="00652235" w:rsidRPr="00022111" w:rsidRDefault="00652235" w:rsidP="00022111">
            <w:pPr>
              <w:rPr>
                <w:rFonts w:ascii="Arial Narrow" w:hAnsi="Arial Narrow"/>
              </w:rPr>
            </w:pPr>
            <w:r w:rsidRPr="00022111">
              <w:rPr>
                <w:rFonts w:ascii="Arial Narrow" w:hAnsi="Arial Narrow"/>
              </w:rPr>
              <w:t>ESC agreed the estimated length of hospital stay (2.56 days)</w:t>
            </w:r>
            <w:r w:rsidR="00022111">
              <w:rPr>
                <w:rFonts w:ascii="Arial Narrow" w:hAnsi="Arial Narrow"/>
              </w:rPr>
              <w:t xml:space="preserve"> for TURP is likely reasonable.</w:t>
            </w:r>
          </w:p>
          <w:p w14:paraId="531E064A" w14:textId="77777777" w:rsidR="00652235" w:rsidRPr="00022111" w:rsidRDefault="00652235" w:rsidP="00022111">
            <w:pPr>
              <w:spacing w:before="240"/>
              <w:rPr>
                <w:rFonts w:ascii="Arial Narrow" w:hAnsi="Arial Narrow"/>
              </w:rPr>
            </w:pPr>
            <w:r w:rsidRPr="00022111">
              <w:rPr>
                <w:rFonts w:ascii="Arial Narrow" w:hAnsi="Arial Narrow"/>
              </w:rPr>
              <w:t>Versus VLAP</w:t>
            </w:r>
          </w:p>
          <w:p w14:paraId="41E42D68" w14:textId="77777777" w:rsidR="00652235" w:rsidRPr="00022111" w:rsidRDefault="00652235" w:rsidP="00022111">
            <w:pPr>
              <w:rPr>
                <w:rFonts w:ascii="Arial Narrow" w:hAnsi="Arial Narrow"/>
              </w:rPr>
            </w:pPr>
            <w:r w:rsidRPr="00022111">
              <w:rPr>
                <w:rFonts w:ascii="Arial Narrow" w:hAnsi="Arial Narrow"/>
              </w:rPr>
              <w:t xml:space="preserve">The cost of VLAP may be an overestimation due to the assumed capital and maintenance cost of  $1,271.19 per procedure </w:t>
            </w:r>
          </w:p>
          <w:p w14:paraId="69AED787" w14:textId="77777777" w:rsidR="00652235" w:rsidRPr="00022111" w:rsidDel="00075508" w:rsidRDefault="00652235" w:rsidP="00022111">
            <w:pPr>
              <w:rPr>
                <w:rFonts w:ascii="Arial Narrow" w:hAnsi="Arial Narrow"/>
              </w:rPr>
            </w:pPr>
            <w:r w:rsidRPr="00022111">
              <w:rPr>
                <w:rFonts w:ascii="Arial Narrow" w:hAnsi="Arial Narrow"/>
              </w:rPr>
              <w:t>The assumption of a longer length of hospital stay with VLAP (2 days) relative to PUL (1 day) was not justified.</w:t>
            </w:r>
          </w:p>
        </w:tc>
      </w:tr>
      <w:tr w:rsidR="00652235" w:rsidRPr="00022111" w14:paraId="12107697" w14:textId="77777777" w:rsidTr="00022111">
        <w:trPr>
          <w:cantSplit/>
        </w:trPr>
        <w:tc>
          <w:tcPr>
            <w:tcW w:w="2830" w:type="dxa"/>
          </w:tcPr>
          <w:p w14:paraId="5C8AC4F4" w14:textId="77777777" w:rsidR="00652235" w:rsidRPr="00022111" w:rsidRDefault="00652235" w:rsidP="00022111">
            <w:pPr>
              <w:rPr>
                <w:rFonts w:ascii="Arial Narrow" w:hAnsi="Arial Narrow"/>
              </w:rPr>
            </w:pPr>
            <w:r w:rsidRPr="00022111">
              <w:rPr>
                <w:rFonts w:ascii="Arial Narrow" w:hAnsi="Arial Narrow"/>
              </w:rPr>
              <w:lastRenderedPageBreak/>
              <w:t xml:space="preserve">Financial estimates uncertain </w:t>
            </w:r>
          </w:p>
        </w:tc>
        <w:tc>
          <w:tcPr>
            <w:tcW w:w="6356" w:type="dxa"/>
          </w:tcPr>
          <w:p w14:paraId="52B2B70E" w14:textId="77777777" w:rsidR="00652235" w:rsidRPr="00022111" w:rsidRDefault="00652235" w:rsidP="00022111">
            <w:pPr>
              <w:rPr>
                <w:rFonts w:ascii="Arial Narrow" w:hAnsi="Arial Narrow"/>
              </w:rPr>
            </w:pPr>
            <w:r w:rsidRPr="00022111">
              <w:rPr>
                <w:rFonts w:ascii="Arial Narrow" w:hAnsi="Arial Narrow"/>
              </w:rPr>
              <w:t>The ADAR assumes that with the proposed fee increase, a proportion of patients would switch from TURP to PUL. However, the ADAR has not considered that some of these TURP services will be displaced, rather than replaced by PUL, as some patients will require subsequent reintervention by TURP. No change in the use of VLAP was assumed.</w:t>
            </w:r>
          </w:p>
          <w:p w14:paraId="2D257BF0" w14:textId="77777777" w:rsidR="00652235" w:rsidRPr="00022111" w:rsidRDefault="00652235" w:rsidP="00022111">
            <w:pPr>
              <w:rPr>
                <w:rFonts w:ascii="Arial Narrow" w:hAnsi="Arial Narrow"/>
              </w:rPr>
            </w:pPr>
            <w:r w:rsidRPr="00022111">
              <w:rPr>
                <w:rFonts w:ascii="Arial Narrow" w:hAnsi="Arial Narrow"/>
              </w:rPr>
              <w:t>The ESC considered the costs to the MBS were likely underestimated by the applicant.</w:t>
            </w:r>
          </w:p>
        </w:tc>
      </w:tr>
    </w:tbl>
    <w:p w14:paraId="14DF1F26" w14:textId="77777777" w:rsidR="006A0D97" w:rsidRPr="00022111" w:rsidRDefault="00F56D7F" w:rsidP="00022111">
      <w:pPr>
        <w:spacing w:before="240" w:after="240"/>
        <w:rPr>
          <w:b/>
        </w:rPr>
      </w:pPr>
      <w:r w:rsidRPr="00022111">
        <w:rPr>
          <w:b/>
        </w:rPr>
        <w:t>ESC discussion</w:t>
      </w:r>
    </w:p>
    <w:p w14:paraId="4EBABA30" w14:textId="0F77F188" w:rsidR="00652235" w:rsidRDefault="00652235" w:rsidP="00022111">
      <w:pPr>
        <w:rPr>
          <w:rFonts w:eastAsia="Calibri"/>
          <w:lang w:eastAsia="en-US"/>
        </w:rPr>
      </w:pPr>
      <w:r w:rsidRPr="00022111">
        <w:rPr>
          <w:rFonts w:eastAsia="Calibri"/>
        </w:rPr>
        <w:t>ESC noted that this application was a request to correct a claimed fee discrepancy (by</w:t>
      </w:r>
      <w:r>
        <w:rPr>
          <w:rFonts w:eastAsia="Calibri"/>
          <w:lang w:eastAsia="en-US"/>
        </w:rPr>
        <w:t xml:space="preserve"> seeking </w:t>
      </w:r>
      <w:r w:rsidRPr="00D71348">
        <w:rPr>
          <w:rFonts w:eastAsia="Calibri"/>
          <w:lang w:eastAsia="en-US"/>
        </w:rPr>
        <w:t>a</w:t>
      </w:r>
      <w:r>
        <w:rPr>
          <w:rFonts w:eastAsia="Calibri"/>
          <w:lang w:eastAsia="en-US"/>
        </w:rPr>
        <w:t xml:space="preserve"> fee</w:t>
      </w:r>
      <w:r w:rsidRPr="00D71348">
        <w:rPr>
          <w:rFonts w:eastAsia="Calibri"/>
          <w:lang w:eastAsia="en-US"/>
        </w:rPr>
        <w:t xml:space="preserve"> increase of 250%) for prostatic urethral lift (PUL), </w:t>
      </w:r>
      <w:r>
        <w:rPr>
          <w:rFonts w:eastAsia="Calibri"/>
          <w:lang w:eastAsia="en-US"/>
        </w:rPr>
        <w:t xml:space="preserve">following </w:t>
      </w:r>
      <w:r w:rsidRPr="00D71348">
        <w:rPr>
          <w:rFonts w:eastAsia="Calibri"/>
          <w:lang w:eastAsia="en-US"/>
        </w:rPr>
        <w:t>the March 2019 MSAC recommendation to increase the fee for a</w:t>
      </w:r>
      <w:r>
        <w:rPr>
          <w:rFonts w:eastAsia="Calibri"/>
          <w:lang w:eastAsia="en-US"/>
        </w:rPr>
        <w:t>n alternative procedure</w:t>
      </w:r>
      <w:r w:rsidRPr="00D71348">
        <w:rPr>
          <w:rFonts w:eastAsia="Calibri"/>
          <w:lang w:eastAsia="en-US"/>
        </w:rPr>
        <w:t xml:space="preserve"> – visual laser ablation of prostate (VLAP) [Application 1518]. </w:t>
      </w:r>
    </w:p>
    <w:p w14:paraId="6C85A4EB" w14:textId="6272A42C" w:rsidR="00652235" w:rsidRPr="00D71348" w:rsidRDefault="00652235" w:rsidP="0092251A">
      <w:pPr>
        <w:spacing w:before="240" w:after="240"/>
        <w:rPr>
          <w:color w:val="000000"/>
        </w:rPr>
      </w:pPr>
      <w:r w:rsidRPr="00D71348">
        <w:rPr>
          <w:color w:val="000000"/>
        </w:rPr>
        <w:t xml:space="preserve">ESC noted the consultation feedback from two professional groups, which supported the short-term benefits of PUL (a minimally invasive procedure resulting in reduced risks to sexual outcomes), but </w:t>
      </w:r>
      <w:r>
        <w:rPr>
          <w:color w:val="000000"/>
        </w:rPr>
        <w:t xml:space="preserve">that these professional organisations </w:t>
      </w:r>
      <w:r w:rsidRPr="00D71348">
        <w:rPr>
          <w:color w:val="000000"/>
        </w:rPr>
        <w:t>also acknowledged the lack of longer-term clinical effectiveness and safety</w:t>
      </w:r>
      <w:r>
        <w:rPr>
          <w:color w:val="000000"/>
        </w:rPr>
        <w:t xml:space="preserve"> information</w:t>
      </w:r>
      <w:r w:rsidRPr="00D71348">
        <w:rPr>
          <w:color w:val="000000"/>
        </w:rPr>
        <w:t>. ESC noted the</w:t>
      </w:r>
      <w:r>
        <w:rPr>
          <w:color w:val="000000"/>
        </w:rPr>
        <w:t>re</w:t>
      </w:r>
      <w:r w:rsidRPr="00D71348">
        <w:rPr>
          <w:color w:val="000000"/>
        </w:rPr>
        <w:t xml:space="preserve"> </w:t>
      </w:r>
      <w:r>
        <w:rPr>
          <w:color w:val="000000"/>
        </w:rPr>
        <w:t>was no</w:t>
      </w:r>
      <w:r w:rsidRPr="00D71348">
        <w:rPr>
          <w:color w:val="000000"/>
        </w:rPr>
        <w:t xml:space="preserve"> consumer feedback.</w:t>
      </w:r>
    </w:p>
    <w:p w14:paraId="5E14B146" w14:textId="77777777" w:rsidR="00652235" w:rsidRPr="00D71348" w:rsidRDefault="00652235" w:rsidP="00652235">
      <w:pPr>
        <w:spacing w:after="240"/>
        <w:rPr>
          <w:rFonts w:eastAsia="Calibri"/>
          <w:color w:val="000000"/>
          <w:lang w:eastAsia="en-US"/>
        </w:rPr>
      </w:pPr>
      <w:r w:rsidRPr="00D71348">
        <w:rPr>
          <w:rFonts w:eastAsia="Calibri"/>
          <w:color w:val="000000"/>
          <w:lang w:eastAsia="en-US"/>
        </w:rPr>
        <w:t xml:space="preserve">ESC agreed with the commentary that PUL would require a new Medicare Benefits Schedule (MBS) item number if </w:t>
      </w:r>
      <w:r>
        <w:rPr>
          <w:rFonts w:eastAsia="Calibri"/>
          <w:color w:val="000000"/>
          <w:lang w:eastAsia="en-US"/>
        </w:rPr>
        <w:t>the fee increase was supported</w:t>
      </w:r>
      <w:r w:rsidRPr="00D71348">
        <w:rPr>
          <w:rFonts w:eastAsia="Calibri"/>
          <w:color w:val="000000"/>
          <w:lang w:eastAsia="en-US"/>
        </w:rPr>
        <w:t>, as it is currently being billed under MBS item 36811 for cystoscopy with insertion of urethral prosthesis</w:t>
      </w:r>
      <w:r>
        <w:rPr>
          <w:rFonts w:eastAsia="Calibri"/>
          <w:color w:val="000000"/>
          <w:lang w:eastAsia="en-US"/>
        </w:rPr>
        <w:t>, and this is a generic MBS item that covers a number of procedures</w:t>
      </w:r>
      <w:r w:rsidRPr="00D71348">
        <w:rPr>
          <w:rFonts w:eastAsia="Calibri"/>
          <w:color w:val="000000"/>
          <w:lang w:eastAsia="en-US"/>
        </w:rPr>
        <w:t>.</w:t>
      </w:r>
    </w:p>
    <w:p w14:paraId="5AE1A577" w14:textId="77777777" w:rsidR="00652235" w:rsidRPr="0029055F" w:rsidRDefault="00652235" w:rsidP="00652235">
      <w:pPr>
        <w:rPr>
          <w:rFonts w:eastAsia="Calibri"/>
          <w:b/>
        </w:rPr>
      </w:pPr>
      <w:r w:rsidRPr="0029055F">
        <w:rPr>
          <w:rFonts w:eastAsia="Calibri"/>
        </w:rPr>
        <w:t xml:space="preserve">The ESC advised MSAC should consider whether </w:t>
      </w:r>
      <w:r>
        <w:rPr>
          <w:rFonts w:eastAsia="Calibri"/>
        </w:rPr>
        <w:t>any</w:t>
      </w:r>
      <w:r w:rsidRPr="0029055F">
        <w:rPr>
          <w:rFonts w:eastAsia="Calibri"/>
        </w:rPr>
        <w:t xml:space="preserve"> </w:t>
      </w:r>
      <w:r>
        <w:rPr>
          <w:rFonts w:eastAsia="Calibri"/>
        </w:rPr>
        <w:t>new</w:t>
      </w:r>
      <w:r w:rsidRPr="0029055F">
        <w:rPr>
          <w:rFonts w:eastAsia="Calibri"/>
        </w:rPr>
        <w:t xml:space="preserve"> MBS item descriptor</w:t>
      </w:r>
      <w:r>
        <w:rPr>
          <w:rFonts w:eastAsia="Calibri"/>
        </w:rPr>
        <w:t xml:space="preserve"> for this procedure</w:t>
      </w:r>
      <w:r w:rsidRPr="0029055F">
        <w:rPr>
          <w:rFonts w:eastAsia="Calibri"/>
        </w:rPr>
        <w:t xml:space="preserve"> should include the following clinical criteria in addition to describing the procedure as “CYSTOSCOPY with insertion of urethral prostheses for the treatment of BPH in men”</w:t>
      </w:r>
    </w:p>
    <w:p w14:paraId="1D95BAAC" w14:textId="77777777" w:rsidR="00652235" w:rsidRPr="00652235" w:rsidRDefault="00652235" w:rsidP="00D70B59">
      <w:pPr>
        <w:pStyle w:val="ListParagraph"/>
        <w:numPr>
          <w:ilvl w:val="0"/>
          <w:numId w:val="14"/>
        </w:numPr>
        <w:rPr>
          <w:rFonts w:eastAsia="Calibri"/>
          <w:b/>
        </w:rPr>
      </w:pPr>
      <w:r w:rsidRPr="00652235">
        <w:rPr>
          <w:rFonts w:eastAsia="Calibri"/>
        </w:rPr>
        <w:t>Aged &gt; 50 years;</w:t>
      </w:r>
    </w:p>
    <w:p w14:paraId="1427164E" w14:textId="77777777" w:rsidR="00652235" w:rsidRPr="00652235" w:rsidRDefault="00652235" w:rsidP="00D70B59">
      <w:pPr>
        <w:pStyle w:val="ListParagraph"/>
        <w:numPr>
          <w:ilvl w:val="0"/>
          <w:numId w:val="14"/>
        </w:numPr>
        <w:rPr>
          <w:rFonts w:eastAsia="Calibri"/>
          <w:b/>
        </w:rPr>
      </w:pPr>
      <w:r w:rsidRPr="00652235">
        <w:rPr>
          <w:rFonts w:eastAsia="Calibri"/>
        </w:rPr>
        <w:t xml:space="preserve">IPSS &gt; 12, noting this would allow patients with less severe symptoms of benign prostatic hyperplasia (BPH) to be eligible for the procedure; </w:t>
      </w:r>
    </w:p>
    <w:p w14:paraId="28D0A3EF" w14:textId="68C75DE0" w:rsidR="00652235" w:rsidRPr="00022111" w:rsidRDefault="00652235" w:rsidP="00652235">
      <w:pPr>
        <w:pStyle w:val="ListParagraph"/>
        <w:numPr>
          <w:ilvl w:val="0"/>
          <w:numId w:val="14"/>
        </w:numPr>
        <w:rPr>
          <w:rFonts w:eastAsia="Calibri"/>
        </w:rPr>
      </w:pPr>
      <w:r w:rsidRPr="00652235">
        <w:rPr>
          <w:rFonts w:eastAsia="Calibri"/>
        </w:rPr>
        <w:t xml:space="preserve">Prostate Volume &lt; 80 mL </w:t>
      </w:r>
      <w:r w:rsidRPr="00647DCD">
        <w:rPr>
          <w:rFonts w:eastAsia="Calibri"/>
        </w:rPr>
        <w:t>in line with</w:t>
      </w:r>
      <w:r w:rsidRPr="00454BA5">
        <w:t xml:space="preserve"> </w:t>
      </w:r>
      <w:r w:rsidRPr="00652235">
        <w:rPr>
          <w:rFonts w:eastAsia="Calibri"/>
        </w:rPr>
        <w:t>in line with international guidelines and the applicant’s own website for UroLift®; or &lt;100 mL in line with TGA approval.</w:t>
      </w:r>
    </w:p>
    <w:p w14:paraId="66792574" w14:textId="27B24280" w:rsidR="00652235" w:rsidRDefault="00652235" w:rsidP="00022111">
      <w:pPr>
        <w:spacing w:before="240"/>
        <w:rPr>
          <w:rFonts w:eastAsia="Calibri"/>
          <w:lang w:eastAsia="en-US"/>
        </w:rPr>
      </w:pPr>
      <w:r>
        <w:rPr>
          <w:rFonts w:eastAsia="Calibri"/>
          <w:lang w:eastAsia="en-US"/>
        </w:rPr>
        <w:t>The ESC noted that MSAC had considered whether to include patient eligibility criteria in the MBS item for VLAP (level of symptoms, prostate size, use of anticoagulants) during its review of the fee for that procedure in March 2019 [MSAC 1518].  On that occasion, MSAC advised against including patient eligibility cr</w:t>
      </w:r>
      <w:r w:rsidR="00022111">
        <w:rPr>
          <w:rFonts w:eastAsia="Calibri"/>
          <w:lang w:eastAsia="en-US"/>
        </w:rPr>
        <w:t>iteria in the item description.</w:t>
      </w:r>
    </w:p>
    <w:p w14:paraId="509EC0D6" w14:textId="77777777" w:rsidR="00652235" w:rsidRDefault="00652235" w:rsidP="00022111">
      <w:pPr>
        <w:spacing w:before="240" w:after="240"/>
        <w:rPr>
          <w:rFonts w:eastAsia="Calibri"/>
          <w:color w:val="000000"/>
          <w:lang w:eastAsia="en-US"/>
        </w:rPr>
      </w:pPr>
      <w:r>
        <w:rPr>
          <w:rFonts w:eastAsia="Calibri"/>
          <w:color w:val="000000"/>
          <w:lang w:eastAsia="en-US"/>
        </w:rPr>
        <w:t xml:space="preserve">ESC agreed that </w:t>
      </w:r>
      <w:r w:rsidRPr="006B0304">
        <w:rPr>
          <w:rFonts w:eastAsia="Calibri"/>
          <w:color w:val="000000"/>
          <w:lang w:eastAsia="en-US"/>
        </w:rPr>
        <w:t xml:space="preserve">transurethral resection of the prostate </w:t>
      </w:r>
      <w:r>
        <w:rPr>
          <w:rFonts w:eastAsia="Calibri"/>
          <w:color w:val="000000"/>
          <w:lang w:eastAsia="en-US"/>
        </w:rPr>
        <w:t>(TURP) and VLAP are appropriate main comparators for PUL.</w:t>
      </w:r>
    </w:p>
    <w:p w14:paraId="7558A895" w14:textId="566478C3" w:rsidR="00652235" w:rsidRDefault="00652235" w:rsidP="00652235">
      <w:pPr>
        <w:spacing w:after="240"/>
        <w:rPr>
          <w:rFonts w:eastAsia="Calibri"/>
          <w:color w:val="000000"/>
          <w:lang w:eastAsia="en-US"/>
        </w:rPr>
      </w:pPr>
      <w:r>
        <w:rPr>
          <w:rFonts w:eastAsia="Calibri"/>
          <w:color w:val="000000"/>
          <w:lang w:eastAsia="en-US"/>
        </w:rPr>
        <w:t>ESC noted the commentary suggested PUL could also be compared with TUMT or TUNA but agreed these procedures are rarely claimed in contemporary Australian practice so these comparisons would not be informative for MSAC. On the other hand, a comparison with</w:t>
      </w:r>
      <w:r w:rsidRPr="00320691">
        <w:rPr>
          <w:rFonts w:eastAsia="Calibri"/>
          <w:color w:val="000000"/>
          <w:lang w:eastAsia="en-US"/>
        </w:rPr>
        <w:t xml:space="preserve"> transurethral water ablation (TUWA)</w:t>
      </w:r>
      <w:r>
        <w:rPr>
          <w:rFonts w:eastAsia="Calibri"/>
          <w:color w:val="000000"/>
          <w:lang w:eastAsia="en-US"/>
        </w:rPr>
        <w:t xml:space="preserve"> may be informative for MSAC as the use of this procedure is growing and an application seeking on-going subsidy for TUWA is also being considered at the July 2020 MSAC (see MSAC </w:t>
      </w:r>
      <w:r w:rsidR="000A49E8">
        <w:rPr>
          <w:rFonts w:eastAsia="Calibri"/>
          <w:color w:val="000000"/>
          <w:lang w:eastAsia="en-US"/>
        </w:rPr>
        <w:t xml:space="preserve">application </w:t>
      </w:r>
      <w:r>
        <w:rPr>
          <w:rFonts w:eastAsia="Calibri"/>
          <w:color w:val="000000"/>
          <w:lang w:eastAsia="en-US"/>
        </w:rPr>
        <w:t>1586).</w:t>
      </w:r>
    </w:p>
    <w:p w14:paraId="214ABA63" w14:textId="617796FC" w:rsidR="00652235" w:rsidRPr="00022111" w:rsidRDefault="00652235" w:rsidP="00652235">
      <w:r>
        <w:rPr>
          <w:rFonts w:eastAsia="Calibri"/>
          <w:color w:val="000000"/>
          <w:lang w:eastAsia="en-US"/>
        </w:rPr>
        <w:lastRenderedPageBreak/>
        <w:t xml:space="preserve">ESC noted the safety and effectiveness comparisons for PUL with TURP or VLAP were primarily informed by two clinical studies: </w:t>
      </w:r>
      <w:r>
        <w:t>BPH6 and</w:t>
      </w:r>
      <w:r w:rsidRPr="00D4537A">
        <w:t xml:space="preserve"> GOLIATH</w:t>
      </w:r>
      <w:r>
        <w:t>.</w:t>
      </w:r>
    </w:p>
    <w:p w14:paraId="4ADD3524" w14:textId="366B30C2" w:rsidR="00652235" w:rsidRPr="00D71348" w:rsidRDefault="00652235" w:rsidP="00BF3E59">
      <w:pPr>
        <w:spacing w:before="240" w:after="240"/>
        <w:rPr>
          <w:rFonts w:eastAsia="Calibri"/>
          <w:color w:val="000000"/>
          <w:lang w:eastAsia="en-US"/>
        </w:rPr>
      </w:pPr>
      <w:r w:rsidRPr="00D71348">
        <w:rPr>
          <w:rFonts w:eastAsia="Calibri"/>
          <w:color w:val="000000"/>
          <w:lang w:eastAsia="en-US"/>
        </w:rPr>
        <w:t xml:space="preserve">ESC agreed with the commentary’s assessment that PUL’s safety was superior to TURP based on the BPH6 study. ESC highlighted that the </w:t>
      </w:r>
      <w:r>
        <w:rPr>
          <w:rFonts w:eastAsia="Calibri"/>
          <w:color w:val="000000"/>
          <w:lang w:eastAsia="en-US"/>
        </w:rPr>
        <w:t xml:space="preserve">ADAR </w:t>
      </w:r>
      <w:r w:rsidRPr="00D71348">
        <w:rPr>
          <w:rFonts w:eastAsia="Calibri"/>
          <w:color w:val="000000"/>
          <w:lang w:eastAsia="en-US"/>
        </w:rPr>
        <w:t>did not include any studies directly</w:t>
      </w:r>
      <w:r>
        <w:rPr>
          <w:rFonts w:eastAsia="Calibri"/>
          <w:color w:val="000000"/>
          <w:lang w:eastAsia="en-US"/>
        </w:rPr>
        <w:t>, or indirectly,</w:t>
      </w:r>
      <w:r w:rsidRPr="00D71348">
        <w:rPr>
          <w:rFonts w:eastAsia="Calibri"/>
          <w:color w:val="000000"/>
          <w:lang w:eastAsia="en-US"/>
        </w:rPr>
        <w:t xml:space="preserve"> comparing PUL to VLAP. Thus, </w:t>
      </w:r>
      <w:r>
        <w:rPr>
          <w:rFonts w:eastAsia="Calibri"/>
          <w:color w:val="000000"/>
          <w:lang w:eastAsia="en-US"/>
        </w:rPr>
        <w:t xml:space="preserve">ESC could not comment on the comparative </w:t>
      </w:r>
      <w:r w:rsidRPr="00D71348">
        <w:rPr>
          <w:rFonts w:eastAsia="Calibri"/>
          <w:color w:val="000000"/>
          <w:lang w:eastAsia="en-US"/>
        </w:rPr>
        <w:t>safety of PUL with VLAP</w:t>
      </w:r>
      <w:r>
        <w:rPr>
          <w:rFonts w:eastAsia="Calibri"/>
          <w:color w:val="000000"/>
          <w:lang w:eastAsia="en-US"/>
        </w:rPr>
        <w:t xml:space="preserve">. </w:t>
      </w:r>
    </w:p>
    <w:p w14:paraId="234C835E" w14:textId="77777777" w:rsidR="00652235" w:rsidRPr="00D71348" w:rsidRDefault="00652235" w:rsidP="00652235">
      <w:pPr>
        <w:spacing w:after="240"/>
        <w:rPr>
          <w:rFonts w:eastAsia="Calibri"/>
          <w:color w:val="000000"/>
          <w:lang w:eastAsia="en-US"/>
        </w:rPr>
      </w:pPr>
      <w:r w:rsidRPr="009153BE">
        <w:rPr>
          <w:rFonts w:eastAsia="Calibri"/>
          <w:color w:val="000000"/>
          <w:lang w:eastAsia="en-US"/>
        </w:rPr>
        <w:t>ESC acknowledged the uncertainty in the</w:t>
      </w:r>
      <w:r>
        <w:rPr>
          <w:rFonts w:eastAsia="Calibri"/>
          <w:color w:val="000000"/>
          <w:lang w:eastAsia="en-US"/>
        </w:rPr>
        <w:t xml:space="preserve"> claim of </w:t>
      </w:r>
      <w:r w:rsidRPr="009153BE">
        <w:rPr>
          <w:rFonts w:eastAsia="Calibri"/>
          <w:color w:val="000000"/>
          <w:lang w:eastAsia="en-US"/>
        </w:rPr>
        <w:t>non-inferior</w:t>
      </w:r>
      <w:r>
        <w:rPr>
          <w:rFonts w:eastAsia="Calibri"/>
          <w:color w:val="000000"/>
          <w:lang w:eastAsia="en-US"/>
        </w:rPr>
        <w:t xml:space="preserve"> effectiveness</w:t>
      </w:r>
      <w:r w:rsidRPr="009153BE">
        <w:rPr>
          <w:rFonts w:eastAsia="Calibri"/>
          <w:color w:val="000000"/>
          <w:lang w:eastAsia="en-US"/>
        </w:rPr>
        <w:t xml:space="preserve"> claim when comparing PUL with transurethral resection of the prostate (TURP), </w:t>
      </w:r>
      <w:r w:rsidRPr="00425226">
        <w:rPr>
          <w:rFonts w:eastAsia="Calibri"/>
          <w:color w:val="000000"/>
          <w:lang w:eastAsia="en-US"/>
        </w:rPr>
        <w:t xml:space="preserve">as the only direct randomised trial, BPH6, was </w:t>
      </w:r>
      <w:r w:rsidRPr="00DA6746">
        <w:rPr>
          <w:rFonts w:eastAsia="Calibri"/>
          <w:color w:val="000000"/>
          <w:lang w:eastAsia="en-US"/>
        </w:rPr>
        <w:t xml:space="preserve">sponsored by UroLift® and had as its primary outcome, a composite measure that was made up of five safety-orientated endpoints and one efficacy-oriented endpoint, which likely biased the study against TURP. However, the comparative effectiveness data </w:t>
      </w:r>
      <w:r w:rsidRPr="00425226">
        <w:rPr>
          <w:rFonts w:eastAsia="Calibri"/>
          <w:color w:val="000000"/>
          <w:lang w:eastAsia="en-US"/>
        </w:rPr>
        <w:t>from this study favoured TURP with the 24-month results for IPSS and Qmax both showing clinically and stati</w:t>
      </w:r>
      <w:r>
        <w:rPr>
          <w:rFonts w:eastAsia="Calibri"/>
          <w:color w:val="000000"/>
          <w:lang w:eastAsia="en-US"/>
        </w:rPr>
        <w:t>sti</w:t>
      </w:r>
      <w:r w:rsidRPr="00425226">
        <w:rPr>
          <w:rFonts w:eastAsia="Calibri"/>
          <w:color w:val="000000"/>
          <w:lang w:eastAsia="en-US"/>
        </w:rPr>
        <w:t>cally significant differences in favour of TURP.</w:t>
      </w:r>
      <w:r w:rsidRPr="00D71348">
        <w:rPr>
          <w:rFonts w:eastAsia="Calibri"/>
          <w:color w:val="000000"/>
          <w:lang w:eastAsia="en-US"/>
        </w:rPr>
        <w:t xml:space="preserve"> </w:t>
      </w:r>
    </w:p>
    <w:p w14:paraId="5F51825B" w14:textId="3D3F57DE" w:rsidR="00652235" w:rsidRDefault="00652235" w:rsidP="00652235">
      <w:pPr>
        <w:pStyle w:val="Tabletext"/>
        <w:rPr>
          <w:rFonts w:ascii="Times New Roman" w:eastAsia="Calibri" w:hAnsi="Times New Roman"/>
          <w:color w:val="000000"/>
          <w:sz w:val="24"/>
          <w:szCs w:val="20"/>
        </w:rPr>
      </w:pPr>
      <w:r w:rsidRPr="00E41A38">
        <w:rPr>
          <w:rFonts w:ascii="Times New Roman" w:eastAsia="Calibri" w:hAnsi="Times New Roman"/>
          <w:color w:val="000000"/>
          <w:sz w:val="24"/>
          <w:szCs w:val="20"/>
        </w:rPr>
        <w:t>ESC noted the re-intervention rate in the BPH6 study at 2-years was 13.6% for PUL and</w:t>
      </w:r>
      <w:r w:rsidRPr="002A1F06">
        <w:rPr>
          <w:rFonts w:ascii="Times New Roman" w:eastAsia="Calibri" w:hAnsi="Times New Roman"/>
          <w:color w:val="000000"/>
          <w:sz w:val="24"/>
          <w:szCs w:val="20"/>
        </w:rPr>
        <w:t xml:space="preserve"> 5.7% for</w:t>
      </w:r>
      <w:r w:rsidRPr="00DA6746">
        <w:rPr>
          <w:rFonts w:ascii="Times New Roman" w:eastAsia="Calibri" w:hAnsi="Times New Roman"/>
          <w:color w:val="000000"/>
          <w:sz w:val="24"/>
          <w:szCs w:val="20"/>
        </w:rPr>
        <w:t xml:space="preserve"> TURP (see Table 5). The ESC considered the observed difference in re-intervention rate also supports a conclusion of superior ef</w:t>
      </w:r>
      <w:r w:rsidR="00022111">
        <w:rPr>
          <w:rFonts w:ascii="Times New Roman" w:eastAsia="Calibri" w:hAnsi="Times New Roman"/>
          <w:color w:val="000000"/>
          <w:sz w:val="24"/>
          <w:szCs w:val="20"/>
        </w:rPr>
        <w:t>fectiveness for TURP over PUL.</w:t>
      </w:r>
    </w:p>
    <w:p w14:paraId="6506FD86" w14:textId="5D61AF80" w:rsidR="00652235" w:rsidRPr="00E41A38" w:rsidRDefault="00652235" w:rsidP="00022111">
      <w:pPr>
        <w:pStyle w:val="Tabletext"/>
        <w:spacing w:before="240" w:after="240"/>
        <w:rPr>
          <w:rFonts w:ascii="Times New Roman" w:eastAsia="Calibri" w:hAnsi="Times New Roman"/>
          <w:color w:val="000000"/>
          <w:sz w:val="24"/>
          <w:szCs w:val="20"/>
        </w:rPr>
      </w:pPr>
      <w:r>
        <w:rPr>
          <w:rFonts w:ascii="Times New Roman" w:eastAsia="Calibri" w:hAnsi="Times New Roman"/>
          <w:color w:val="000000"/>
          <w:sz w:val="24"/>
          <w:szCs w:val="20"/>
        </w:rPr>
        <w:t>The ESC noted that in the pre</w:t>
      </w:r>
      <w:r w:rsidRPr="00566E7E">
        <w:rPr>
          <w:rFonts w:ascii="Times New Roman" w:eastAsia="Calibri" w:hAnsi="Times New Roman"/>
          <w:color w:val="000000"/>
          <w:sz w:val="24"/>
          <w:szCs w:val="20"/>
        </w:rPr>
        <w:t>-ESC response, the applicant re-iterated that the BPH6 study concluded that PUL was clinically non-inferior to TURP using a composite endpoint. However</w:t>
      </w:r>
      <w:r>
        <w:rPr>
          <w:rFonts w:ascii="Times New Roman" w:eastAsia="Calibri" w:hAnsi="Times New Roman"/>
          <w:color w:val="000000"/>
          <w:sz w:val="24"/>
          <w:szCs w:val="20"/>
        </w:rPr>
        <w:t>,</w:t>
      </w:r>
      <w:r w:rsidRPr="00566E7E">
        <w:rPr>
          <w:rFonts w:ascii="Times New Roman" w:eastAsia="Calibri" w:hAnsi="Times New Roman"/>
          <w:color w:val="000000"/>
          <w:sz w:val="24"/>
          <w:szCs w:val="20"/>
        </w:rPr>
        <w:t xml:space="preserve"> ESC considered this conclusion was not well supported by the results for othe</w:t>
      </w:r>
      <w:r w:rsidR="00022111">
        <w:rPr>
          <w:rFonts w:ascii="Times New Roman" w:eastAsia="Calibri" w:hAnsi="Times New Roman"/>
          <w:color w:val="000000"/>
          <w:sz w:val="24"/>
          <w:szCs w:val="20"/>
        </w:rPr>
        <w:t>r outcomes as described above.</w:t>
      </w:r>
    </w:p>
    <w:p w14:paraId="1D0BFD4D" w14:textId="209372E2" w:rsidR="00652235" w:rsidRDefault="00652235" w:rsidP="00652235">
      <w:pPr>
        <w:pStyle w:val="Tabletext"/>
        <w:rPr>
          <w:rFonts w:ascii="Times New Roman" w:eastAsia="Calibri" w:hAnsi="Times New Roman"/>
          <w:color w:val="000000"/>
          <w:sz w:val="24"/>
          <w:szCs w:val="20"/>
        </w:rPr>
      </w:pPr>
      <w:r w:rsidRPr="001B39D6">
        <w:rPr>
          <w:rFonts w:ascii="Times New Roman" w:eastAsia="Calibri" w:hAnsi="Times New Roman"/>
          <w:color w:val="000000"/>
          <w:sz w:val="24"/>
          <w:szCs w:val="20"/>
        </w:rPr>
        <w:t>The ESC also noted the applicant’s pre</w:t>
      </w:r>
      <w:r>
        <w:rPr>
          <w:rFonts w:ascii="Times New Roman" w:eastAsia="Calibri" w:hAnsi="Times New Roman"/>
          <w:color w:val="000000"/>
          <w:sz w:val="24"/>
          <w:szCs w:val="20"/>
        </w:rPr>
        <w:t>-</w:t>
      </w:r>
      <w:r w:rsidRPr="001B39D6">
        <w:rPr>
          <w:rFonts w:ascii="Times New Roman" w:eastAsia="Calibri" w:hAnsi="Times New Roman"/>
          <w:color w:val="000000"/>
          <w:sz w:val="24"/>
          <w:szCs w:val="20"/>
        </w:rPr>
        <w:t xml:space="preserve">ESC claim that since the conclusion of the GOLIATH study was that VLAP was non-inferior to TURP, and there are no studies directly comparing PUL to VLAP, it is reasonable to conclude PUL is non-inferior to VLAP in terms of effectiveness. However, as ESC considered the claim that PUL is non-inferior in terms of effectiveness to TURP cannot be supported for reasons described above, it also follows that the claim that PUL is non-inferior to VLAP </w:t>
      </w:r>
      <w:r>
        <w:rPr>
          <w:rFonts w:ascii="Times New Roman" w:eastAsia="Calibri" w:hAnsi="Times New Roman"/>
          <w:color w:val="000000"/>
          <w:sz w:val="24"/>
          <w:szCs w:val="20"/>
        </w:rPr>
        <w:t xml:space="preserve">cannot be </w:t>
      </w:r>
      <w:r w:rsidR="00022111">
        <w:rPr>
          <w:rFonts w:ascii="Times New Roman" w:eastAsia="Calibri" w:hAnsi="Times New Roman"/>
          <w:color w:val="000000"/>
          <w:sz w:val="24"/>
          <w:szCs w:val="20"/>
        </w:rPr>
        <w:t>supported.</w:t>
      </w:r>
    </w:p>
    <w:p w14:paraId="70014325" w14:textId="77777777" w:rsidR="00652235" w:rsidRPr="001B39D6" w:rsidRDefault="00652235" w:rsidP="00022111">
      <w:pPr>
        <w:pStyle w:val="Tabletext"/>
        <w:spacing w:before="240"/>
        <w:rPr>
          <w:rFonts w:ascii="Times New Roman" w:eastAsia="Calibri" w:hAnsi="Times New Roman"/>
          <w:color w:val="000000"/>
          <w:sz w:val="24"/>
          <w:szCs w:val="20"/>
        </w:rPr>
      </w:pPr>
      <w:r w:rsidRPr="001B39D6">
        <w:rPr>
          <w:rFonts w:ascii="Times New Roman" w:eastAsia="Calibri" w:hAnsi="Times New Roman"/>
          <w:color w:val="000000"/>
          <w:sz w:val="24"/>
          <w:szCs w:val="20"/>
        </w:rPr>
        <w:t>ESC noted a number of issues with the economic analysis presented by the applicant, including:</w:t>
      </w:r>
    </w:p>
    <w:p w14:paraId="7B79C9EA" w14:textId="77777777" w:rsidR="00652235" w:rsidRPr="001B39D6" w:rsidRDefault="00652235" w:rsidP="00D70B59">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use of the cost of reintervention for one year only (underestimates cost of PUL)</w:t>
      </w:r>
    </w:p>
    <w:p w14:paraId="0A44105F" w14:textId="77777777" w:rsidR="00652235" w:rsidRPr="001B39D6" w:rsidRDefault="00652235" w:rsidP="00D70B59">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assumption that an average of 4 devices will be used in each procedure when the BPH6 study used 4.7 (underestimates cost of PUL)</w:t>
      </w:r>
    </w:p>
    <w:p w14:paraId="7034B173" w14:textId="77777777" w:rsidR="00652235" w:rsidRPr="001B39D6" w:rsidRDefault="00652235" w:rsidP="00D70B59">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inclusion of major complications costs for TURP only</w:t>
      </w:r>
      <w:r>
        <w:rPr>
          <w:rFonts w:ascii="Times New Roman" w:eastAsia="Calibri" w:hAnsi="Times New Roman"/>
          <w:color w:val="000000"/>
          <w:sz w:val="24"/>
          <w:szCs w:val="20"/>
        </w:rPr>
        <w:t>,</w:t>
      </w:r>
      <w:r w:rsidRPr="001B39D6">
        <w:rPr>
          <w:rFonts w:ascii="Times New Roman" w:eastAsia="Calibri" w:hAnsi="Times New Roman"/>
          <w:color w:val="000000"/>
          <w:sz w:val="24"/>
          <w:szCs w:val="20"/>
        </w:rPr>
        <w:t xml:space="preserve"> </w:t>
      </w:r>
      <w:r>
        <w:rPr>
          <w:rFonts w:ascii="Times New Roman" w:eastAsia="Calibri" w:hAnsi="Times New Roman"/>
          <w:color w:val="000000"/>
          <w:sz w:val="24"/>
          <w:szCs w:val="20"/>
        </w:rPr>
        <w:t>when</w:t>
      </w:r>
      <w:r w:rsidRPr="001B39D6">
        <w:rPr>
          <w:rFonts w:ascii="Times New Roman" w:eastAsia="Calibri" w:hAnsi="Times New Roman"/>
          <w:color w:val="000000"/>
          <w:sz w:val="24"/>
          <w:szCs w:val="20"/>
        </w:rPr>
        <w:t xml:space="preserve"> operative complications did not significantly differ between PUL and TURP in the BPH6 study (overestimates cost of TURP)</w:t>
      </w:r>
    </w:p>
    <w:p w14:paraId="308877AC" w14:textId="77777777" w:rsidR="00652235" w:rsidRPr="001B39D6" w:rsidRDefault="00652235" w:rsidP="00D70B59">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cost of TURP disposable loops was omitted (underestimates cost of TURP)</w:t>
      </w:r>
    </w:p>
    <w:p w14:paraId="7E63D4BA" w14:textId="77777777" w:rsidR="00652235" w:rsidRPr="001B39D6" w:rsidRDefault="00652235" w:rsidP="00D70B59">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inclusion of a very large capital and maintenance cost in the costings for VLAP (overestimates the cost of VLAP)</w:t>
      </w:r>
    </w:p>
    <w:p w14:paraId="24E0A1D1" w14:textId="4A06137E" w:rsidR="00652235" w:rsidRPr="0092251A" w:rsidRDefault="00652235" w:rsidP="00022111">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assumption that VLAP will require an average of 2 days of hospitalisation whereas PUL will require an average of 1 day of hospitalisation (overestimates the cost of VLAP)</w:t>
      </w:r>
      <w:r>
        <w:rPr>
          <w:rFonts w:ascii="Times New Roman" w:eastAsia="Calibri" w:hAnsi="Times New Roman"/>
          <w:color w:val="000000"/>
          <w:sz w:val="24"/>
          <w:szCs w:val="20"/>
        </w:rPr>
        <w:t>.</w:t>
      </w:r>
      <w:bookmarkStart w:id="32" w:name="_GoBack"/>
      <w:bookmarkEnd w:id="32"/>
    </w:p>
    <w:p w14:paraId="58AC8A1E" w14:textId="0BD3DB43" w:rsidR="00652235" w:rsidRPr="001B39D6" w:rsidRDefault="00652235" w:rsidP="00022111">
      <w:pPr>
        <w:pStyle w:val="Tabletext"/>
        <w:spacing w:before="240"/>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However</w:t>
      </w:r>
      <w:r>
        <w:rPr>
          <w:rFonts w:ascii="Times New Roman" w:eastAsia="Calibri" w:hAnsi="Times New Roman"/>
          <w:color w:val="000000"/>
          <w:sz w:val="24"/>
          <w:szCs w:val="20"/>
        </w:rPr>
        <w:t>,</w:t>
      </w:r>
      <w:r w:rsidRPr="001B39D6">
        <w:rPr>
          <w:rFonts w:ascii="Times New Roman" w:eastAsia="Calibri" w:hAnsi="Times New Roman"/>
          <w:color w:val="000000"/>
          <w:sz w:val="24"/>
          <w:szCs w:val="20"/>
        </w:rPr>
        <w:t xml:space="preserve"> ESC agreed </w:t>
      </w:r>
      <w:r w:rsidR="003F6C90">
        <w:rPr>
          <w:rFonts w:ascii="Times New Roman" w:eastAsia="Calibri" w:hAnsi="Times New Roman"/>
          <w:color w:val="000000"/>
          <w:sz w:val="24"/>
          <w:szCs w:val="20"/>
        </w:rPr>
        <w:t>that:</w:t>
      </w:r>
    </w:p>
    <w:p w14:paraId="6E3B8DC4" w14:textId="78791E41" w:rsidR="00652235" w:rsidRPr="001B39D6" w:rsidRDefault="00652235" w:rsidP="00D70B59">
      <w:pPr>
        <w:pStyle w:val="Tabletext"/>
        <w:numPr>
          <w:ilvl w:val="0"/>
          <w:numId w:val="13"/>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submission</w:t>
      </w:r>
      <w:r w:rsidR="000A49E8">
        <w:rPr>
          <w:rFonts w:ascii="Times New Roman" w:eastAsia="Calibri" w:hAnsi="Times New Roman"/>
          <w:color w:val="000000"/>
          <w:sz w:val="24"/>
          <w:szCs w:val="20"/>
        </w:rPr>
        <w:t>’</w:t>
      </w:r>
      <w:r w:rsidRPr="001B39D6">
        <w:rPr>
          <w:rFonts w:ascii="Times New Roman" w:eastAsia="Calibri" w:hAnsi="Times New Roman"/>
          <w:color w:val="000000"/>
          <w:sz w:val="24"/>
          <w:szCs w:val="20"/>
        </w:rPr>
        <w:t>s assumption of an average of 2.57 days hospital</w:t>
      </w:r>
      <w:r>
        <w:rPr>
          <w:rFonts w:ascii="Times New Roman" w:eastAsia="Calibri" w:hAnsi="Times New Roman"/>
          <w:color w:val="000000"/>
          <w:sz w:val="24"/>
          <w:szCs w:val="20"/>
        </w:rPr>
        <w:t xml:space="preserve"> for TURP</w:t>
      </w:r>
      <w:r w:rsidRPr="001B39D6">
        <w:rPr>
          <w:rFonts w:ascii="Times New Roman" w:eastAsia="Calibri" w:hAnsi="Times New Roman"/>
          <w:color w:val="000000"/>
          <w:sz w:val="24"/>
          <w:szCs w:val="20"/>
        </w:rPr>
        <w:t xml:space="preserve"> is reasonable</w:t>
      </w:r>
    </w:p>
    <w:p w14:paraId="7A05847E" w14:textId="2DE60F00" w:rsidR="00652235" w:rsidRPr="00022111" w:rsidRDefault="00652235" w:rsidP="00652235">
      <w:pPr>
        <w:pStyle w:val="Tabletext"/>
        <w:numPr>
          <w:ilvl w:val="0"/>
          <w:numId w:val="13"/>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submission</w:t>
      </w:r>
      <w:r w:rsidR="000A49E8">
        <w:rPr>
          <w:rFonts w:ascii="Times New Roman" w:eastAsia="Calibri" w:hAnsi="Times New Roman"/>
          <w:color w:val="000000"/>
          <w:sz w:val="24"/>
          <w:szCs w:val="20"/>
        </w:rPr>
        <w:t>’</w:t>
      </w:r>
      <w:r w:rsidRPr="001B39D6">
        <w:rPr>
          <w:rFonts w:ascii="Times New Roman" w:eastAsia="Calibri" w:hAnsi="Times New Roman"/>
          <w:color w:val="000000"/>
          <w:sz w:val="24"/>
          <w:szCs w:val="20"/>
        </w:rPr>
        <w:t>s assumption of no handling fee for prost</w:t>
      </w:r>
      <w:r>
        <w:rPr>
          <w:rFonts w:ascii="Times New Roman" w:eastAsia="Calibri" w:hAnsi="Times New Roman"/>
          <w:color w:val="000000"/>
          <w:sz w:val="24"/>
          <w:szCs w:val="20"/>
        </w:rPr>
        <w:t>h</w:t>
      </w:r>
      <w:r w:rsidRPr="001B39D6">
        <w:rPr>
          <w:rFonts w:ascii="Times New Roman" w:eastAsia="Calibri" w:hAnsi="Times New Roman"/>
          <w:color w:val="000000"/>
          <w:sz w:val="24"/>
          <w:szCs w:val="20"/>
        </w:rPr>
        <w:t>etic devices is appropriate</w:t>
      </w:r>
      <w:r w:rsidR="00022111">
        <w:rPr>
          <w:rFonts w:ascii="Times New Roman" w:eastAsia="Calibri" w:hAnsi="Times New Roman"/>
          <w:color w:val="000000"/>
          <w:sz w:val="24"/>
          <w:szCs w:val="20"/>
        </w:rPr>
        <w:t>.</w:t>
      </w:r>
    </w:p>
    <w:p w14:paraId="40B8DCDF" w14:textId="77777777" w:rsidR="00652235" w:rsidRDefault="00652235" w:rsidP="00022111">
      <w:pPr>
        <w:spacing w:before="240" w:after="240"/>
        <w:rPr>
          <w:color w:val="000000"/>
          <w:szCs w:val="24"/>
        </w:rPr>
      </w:pPr>
      <w:r w:rsidRPr="00534125">
        <w:rPr>
          <w:color w:val="000000"/>
          <w:szCs w:val="24"/>
        </w:rPr>
        <w:lastRenderedPageBreak/>
        <w:t xml:space="preserve">ESC noted that the applicant had conducted limited sensitivity analyses, and acknowledged the attempt to perform parameter testing using a stepped approach in the commentary. </w:t>
      </w:r>
    </w:p>
    <w:p w14:paraId="0EFE1DAC" w14:textId="3422558C" w:rsidR="00652235" w:rsidRDefault="00652235" w:rsidP="00652235">
      <w:pPr>
        <w:spacing w:after="240"/>
        <w:rPr>
          <w:color w:val="000000"/>
          <w:szCs w:val="24"/>
        </w:rPr>
      </w:pPr>
      <w:r w:rsidRPr="00534125">
        <w:rPr>
          <w:color w:val="000000"/>
          <w:szCs w:val="24"/>
        </w:rPr>
        <w:t xml:space="preserve">The ESC noted </w:t>
      </w:r>
      <w:r>
        <w:rPr>
          <w:color w:val="000000"/>
          <w:szCs w:val="24"/>
        </w:rPr>
        <w:t>t</w:t>
      </w:r>
      <w:r w:rsidRPr="00534125">
        <w:rPr>
          <w:color w:val="000000"/>
          <w:szCs w:val="24"/>
        </w:rPr>
        <w:t xml:space="preserve">he outcomes of a revised multi-variate analysis </w:t>
      </w:r>
      <w:r>
        <w:rPr>
          <w:color w:val="000000"/>
          <w:szCs w:val="24"/>
        </w:rPr>
        <w:t xml:space="preserve">addressing </w:t>
      </w:r>
      <w:r w:rsidRPr="00534125">
        <w:rPr>
          <w:color w:val="000000"/>
          <w:szCs w:val="24"/>
        </w:rPr>
        <w:t xml:space="preserve">the issues described above </w:t>
      </w:r>
      <w:r>
        <w:rPr>
          <w:color w:val="000000"/>
          <w:szCs w:val="24"/>
        </w:rPr>
        <w:t xml:space="preserve">is presented </w:t>
      </w:r>
      <w:r w:rsidRPr="00534125">
        <w:rPr>
          <w:color w:val="000000"/>
          <w:szCs w:val="24"/>
        </w:rPr>
        <w:t xml:space="preserve">in Table 18.  The ESC noted that this revised analysis suggests PUL is more expensive than either TURP (by </w:t>
      </w:r>
      <w:r>
        <w:rPr>
          <w:color w:val="000000"/>
          <w:szCs w:val="24"/>
        </w:rPr>
        <w:t xml:space="preserve">up to </w:t>
      </w:r>
      <w:r w:rsidRPr="00534125">
        <w:rPr>
          <w:color w:val="000000"/>
          <w:szCs w:val="24"/>
        </w:rPr>
        <w:t xml:space="preserve">$615.65) or VLAP (by </w:t>
      </w:r>
      <w:r>
        <w:rPr>
          <w:color w:val="000000"/>
          <w:szCs w:val="24"/>
        </w:rPr>
        <w:t xml:space="preserve">up to </w:t>
      </w:r>
      <w:r w:rsidR="00022111">
        <w:rPr>
          <w:color w:val="000000"/>
          <w:szCs w:val="24"/>
        </w:rPr>
        <w:t>$2,269.70).</w:t>
      </w:r>
    </w:p>
    <w:p w14:paraId="45C50DF9" w14:textId="2846572C" w:rsidR="00652235" w:rsidRDefault="00652235" w:rsidP="00652235">
      <w:pPr>
        <w:spacing w:after="240"/>
        <w:rPr>
          <w:color w:val="000000"/>
        </w:rPr>
      </w:pPr>
      <w:r>
        <w:rPr>
          <w:color w:val="000000"/>
        </w:rPr>
        <w:t xml:space="preserve">ESC advised that overall, the clinical and economic information presented in the submission and evaluation report, suggests that PUL is dominated by TURP and VLAP </w:t>
      </w:r>
      <w:r w:rsidRPr="00C23468">
        <w:rPr>
          <w:color w:val="000000"/>
        </w:rPr>
        <w:t>(i</w:t>
      </w:r>
      <w:r>
        <w:rPr>
          <w:color w:val="000000"/>
        </w:rPr>
        <w:t>.</w:t>
      </w:r>
      <w:r w:rsidRPr="00C23468">
        <w:rPr>
          <w:color w:val="000000"/>
        </w:rPr>
        <w:t>e</w:t>
      </w:r>
      <w:r>
        <w:rPr>
          <w:color w:val="000000"/>
        </w:rPr>
        <w:t>.</w:t>
      </w:r>
      <w:r w:rsidRPr="00C23468">
        <w:rPr>
          <w:color w:val="000000"/>
        </w:rPr>
        <w:t xml:space="preserve"> </w:t>
      </w:r>
      <w:r>
        <w:rPr>
          <w:color w:val="000000"/>
        </w:rPr>
        <w:t xml:space="preserve">PUL is less effective </w:t>
      </w:r>
      <w:r w:rsidRPr="00C23468">
        <w:rPr>
          <w:color w:val="000000"/>
        </w:rPr>
        <w:t xml:space="preserve">and </w:t>
      </w:r>
      <w:r>
        <w:rPr>
          <w:color w:val="000000"/>
        </w:rPr>
        <w:t>more</w:t>
      </w:r>
      <w:r w:rsidRPr="00C23468">
        <w:rPr>
          <w:color w:val="000000"/>
        </w:rPr>
        <w:t xml:space="preserve"> expensive)</w:t>
      </w:r>
      <w:r>
        <w:rPr>
          <w:color w:val="000000"/>
        </w:rPr>
        <w:t xml:space="preserve">. </w:t>
      </w:r>
      <w:r w:rsidRPr="00D71348">
        <w:rPr>
          <w:color w:val="000000"/>
        </w:rPr>
        <w:t xml:space="preserve">ESC </w:t>
      </w:r>
      <w:r>
        <w:rPr>
          <w:color w:val="000000"/>
        </w:rPr>
        <w:t>noted</w:t>
      </w:r>
      <w:r w:rsidRPr="00D71348">
        <w:rPr>
          <w:color w:val="000000"/>
        </w:rPr>
        <w:t xml:space="preserve"> that PUL is a non-invasive procedure compared with TURP and other ablative procedures, but did not consider the request for a fee increase to be justified</w:t>
      </w:r>
      <w:r>
        <w:rPr>
          <w:color w:val="000000"/>
        </w:rPr>
        <w:t xml:space="preserve"> by the evidence. </w:t>
      </w:r>
    </w:p>
    <w:p w14:paraId="33B5F607" w14:textId="77777777" w:rsidR="00652235" w:rsidRDefault="00652235" w:rsidP="00652235">
      <w:pPr>
        <w:spacing w:after="240"/>
        <w:rPr>
          <w:color w:val="000000"/>
        </w:rPr>
      </w:pPr>
      <w:r>
        <w:rPr>
          <w:color w:val="000000"/>
        </w:rPr>
        <w:t>ESC advised the MSAC may wish to recommend the Prosthesis List Advisory Committee conduct a review of the price of the prosthesis used in PUL.</w:t>
      </w:r>
    </w:p>
    <w:p w14:paraId="66AC4BF3" w14:textId="3F275EAE" w:rsidR="00652235" w:rsidRPr="00D71348" w:rsidRDefault="00652235" w:rsidP="00652235">
      <w:pPr>
        <w:spacing w:after="240"/>
        <w:rPr>
          <w:color w:val="000000"/>
        </w:rPr>
      </w:pPr>
      <w:r w:rsidRPr="00D71348">
        <w:rPr>
          <w:color w:val="000000"/>
        </w:rPr>
        <w:t>ESC noted the application</w:t>
      </w:r>
      <w:r>
        <w:rPr>
          <w:color w:val="000000"/>
        </w:rPr>
        <w:t xml:space="preserve"> estimated the financial impact to the MBS by</w:t>
      </w:r>
      <w:r w:rsidRPr="00D71348">
        <w:rPr>
          <w:color w:val="000000"/>
        </w:rPr>
        <w:t xml:space="preserve"> us</w:t>
      </w:r>
      <w:r>
        <w:rPr>
          <w:color w:val="000000"/>
        </w:rPr>
        <w:t>ing</w:t>
      </w:r>
      <w:r w:rsidRPr="00D71348">
        <w:rPr>
          <w:color w:val="000000"/>
        </w:rPr>
        <w:t xml:space="preserve"> a modified market share approach, using the cost of current services under MBS item 36811</w:t>
      </w:r>
      <w:r w:rsidR="000A49E8">
        <w:rPr>
          <w:color w:val="000000"/>
        </w:rPr>
        <w:t xml:space="preserve"> </w:t>
      </w:r>
      <w:r w:rsidRPr="00D71348">
        <w:rPr>
          <w:color w:val="000000"/>
        </w:rPr>
        <w:t>and an estimate of the proportion of future TURP patients that will instead undergo PUL. However, ESC also noted that the assessment report did not consider the additional cost to the MBS and to health budgets of the prosthesis from switching to PUL and the additional cost</w:t>
      </w:r>
      <w:r>
        <w:rPr>
          <w:color w:val="000000"/>
        </w:rPr>
        <w:t>s</w:t>
      </w:r>
      <w:r w:rsidRPr="00D71348">
        <w:rPr>
          <w:color w:val="000000"/>
        </w:rPr>
        <w:t xml:space="preserve"> of re</w:t>
      </w:r>
      <w:r w:rsidR="000A49E8">
        <w:rPr>
          <w:color w:val="000000"/>
        </w:rPr>
        <w:noBreakHyphen/>
      </w:r>
      <w:r w:rsidRPr="00D71348">
        <w:rPr>
          <w:color w:val="000000"/>
        </w:rPr>
        <w:t xml:space="preserve">intervention. </w:t>
      </w:r>
    </w:p>
    <w:p w14:paraId="7AEA8835" w14:textId="77777777" w:rsidR="00652235" w:rsidRPr="00D71348" w:rsidRDefault="00652235" w:rsidP="00652235">
      <w:pPr>
        <w:spacing w:after="240"/>
        <w:rPr>
          <w:color w:val="000000"/>
        </w:rPr>
      </w:pPr>
      <w:r w:rsidRPr="00D71348">
        <w:rPr>
          <w:color w:val="000000"/>
        </w:rPr>
        <w:t xml:space="preserve">ESC acknowledged that </w:t>
      </w:r>
      <w:r>
        <w:rPr>
          <w:color w:val="000000"/>
        </w:rPr>
        <w:t xml:space="preserve">some </w:t>
      </w:r>
      <w:r w:rsidRPr="00D71348">
        <w:rPr>
          <w:color w:val="000000"/>
        </w:rPr>
        <w:t>men may prefer PUL to TURP to maintain ejaculat</w:t>
      </w:r>
      <w:r>
        <w:rPr>
          <w:color w:val="000000"/>
        </w:rPr>
        <w:t>ory</w:t>
      </w:r>
      <w:r w:rsidRPr="00D71348">
        <w:rPr>
          <w:color w:val="000000"/>
        </w:rPr>
        <w:t xml:space="preserve"> function, </w:t>
      </w:r>
      <w:r>
        <w:rPr>
          <w:color w:val="000000"/>
        </w:rPr>
        <w:t>but</w:t>
      </w:r>
      <w:r w:rsidRPr="00D71348">
        <w:rPr>
          <w:color w:val="000000"/>
        </w:rPr>
        <w:t xml:space="preserve"> queried whether PUL is a substit</w:t>
      </w:r>
      <w:r>
        <w:rPr>
          <w:color w:val="000000"/>
        </w:rPr>
        <w:t xml:space="preserve">ute </w:t>
      </w:r>
      <w:r w:rsidRPr="00D71348">
        <w:rPr>
          <w:color w:val="000000"/>
        </w:rPr>
        <w:t>for TURP</w:t>
      </w:r>
      <w:r>
        <w:rPr>
          <w:color w:val="000000"/>
        </w:rPr>
        <w:t xml:space="preserve"> for all of these patients</w:t>
      </w:r>
      <w:r w:rsidRPr="00D71348">
        <w:rPr>
          <w:color w:val="000000"/>
        </w:rPr>
        <w:t xml:space="preserve">, or if it </w:t>
      </w:r>
      <w:r>
        <w:rPr>
          <w:color w:val="000000"/>
        </w:rPr>
        <w:t xml:space="preserve">only </w:t>
      </w:r>
      <w:r w:rsidRPr="00D71348">
        <w:rPr>
          <w:color w:val="000000"/>
        </w:rPr>
        <w:t xml:space="preserve">serves to delay TURP. ESC considered this to be important for the </w:t>
      </w:r>
      <w:r>
        <w:rPr>
          <w:color w:val="000000"/>
        </w:rPr>
        <w:t>financial</w:t>
      </w:r>
      <w:r w:rsidRPr="00D71348">
        <w:rPr>
          <w:color w:val="000000"/>
        </w:rPr>
        <w:t xml:space="preserve"> analysis, as</w:t>
      </w:r>
      <w:r>
        <w:rPr>
          <w:color w:val="000000"/>
        </w:rPr>
        <w:t xml:space="preserve"> </w:t>
      </w:r>
      <w:r w:rsidRPr="00D71348">
        <w:rPr>
          <w:color w:val="000000"/>
        </w:rPr>
        <w:t xml:space="preserve">patients requiring TURP as a re-intervention procedure after PUL would </w:t>
      </w:r>
      <w:r>
        <w:rPr>
          <w:color w:val="000000"/>
        </w:rPr>
        <w:t>have</w:t>
      </w:r>
      <w:r w:rsidRPr="00D71348">
        <w:rPr>
          <w:color w:val="000000"/>
        </w:rPr>
        <w:t xml:space="preserve"> long-term impacts </w:t>
      </w:r>
      <w:r>
        <w:rPr>
          <w:color w:val="000000"/>
        </w:rPr>
        <w:t>for</w:t>
      </w:r>
      <w:r w:rsidRPr="00D71348">
        <w:rPr>
          <w:color w:val="000000"/>
        </w:rPr>
        <w:t xml:space="preserve"> MBS costs that the </w:t>
      </w:r>
      <w:r>
        <w:rPr>
          <w:color w:val="000000"/>
        </w:rPr>
        <w:t>applicant</w:t>
      </w:r>
      <w:r w:rsidRPr="00D71348">
        <w:rPr>
          <w:color w:val="000000"/>
        </w:rPr>
        <w:t xml:space="preserve"> has not </w:t>
      </w:r>
      <w:r>
        <w:rPr>
          <w:color w:val="000000"/>
        </w:rPr>
        <w:t xml:space="preserve">adequately </w:t>
      </w:r>
      <w:r w:rsidRPr="00D71348">
        <w:rPr>
          <w:color w:val="000000"/>
        </w:rPr>
        <w:t>accounted for.</w:t>
      </w:r>
    </w:p>
    <w:p w14:paraId="2ED8C625" w14:textId="44A8BBA1" w:rsidR="00652235" w:rsidRDefault="00652235" w:rsidP="00652235">
      <w:pPr>
        <w:tabs>
          <w:tab w:val="left" w:pos="2265"/>
          <w:tab w:val="left" w:pos="3420"/>
          <w:tab w:val="left" w:pos="4320"/>
        </w:tabs>
        <w:rPr>
          <w:color w:val="000000"/>
        </w:rPr>
      </w:pPr>
      <w:r>
        <w:rPr>
          <w:color w:val="000000"/>
        </w:rPr>
        <w:t xml:space="preserve">ESC noted the pre-ESC response considered the estimate that 1230 (Table 19) of the current claims under MBS item 36811 relate to PUL is supported by the </w:t>
      </w:r>
      <w:r w:rsidRPr="00B0146A">
        <w:rPr>
          <w:color w:val="000000"/>
        </w:rPr>
        <w:t xml:space="preserve">feedback from Private Healthcare Australia that sales of the prostheses </w:t>
      </w:r>
      <w:r>
        <w:rPr>
          <w:color w:val="000000"/>
        </w:rPr>
        <w:t>are</w:t>
      </w:r>
      <w:r w:rsidRPr="00B0146A">
        <w:rPr>
          <w:color w:val="000000"/>
        </w:rPr>
        <w:t xml:space="preserve"> currently</w:t>
      </w:r>
      <w:r>
        <w:rPr>
          <w:color w:val="000000"/>
        </w:rPr>
        <w:t xml:space="preserve"> </w:t>
      </w:r>
      <w:r w:rsidRPr="00B0146A">
        <w:rPr>
          <w:color w:val="000000"/>
        </w:rPr>
        <w:t>approxima</w:t>
      </w:r>
      <w:r>
        <w:rPr>
          <w:color w:val="000000"/>
        </w:rPr>
        <w:t>tely $2.7 million. The applicant notes that</w:t>
      </w:r>
      <w:r w:rsidRPr="00B0146A">
        <w:rPr>
          <w:color w:val="000000"/>
        </w:rPr>
        <w:t xml:space="preserve"> $2</w:t>
      </w:r>
      <w:r>
        <w:rPr>
          <w:color w:val="000000"/>
        </w:rPr>
        <w:t>.7 million</w:t>
      </w:r>
      <w:r w:rsidRPr="00B0146A">
        <w:rPr>
          <w:color w:val="000000"/>
        </w:rPr>
        <w:t xml:space="preserve"> divided by</w:t>
      </w:r>
      <w:r>
        <w:rPr>
          <w:color w:val="000000"/>
        </w:rPr>
        <w:t xml:space="preserve"> the </w:t>
      </w:r>
      <w:r w:rsidRPr="00B0146A">
        <w:rPr>
          <w:color w:val="000000"/>
        </w:rPr>
        <w:t>$712</w:t>
      </w:r>
      <w:r>
        <w:rPr>
          <w:color w:val="000000"/>
        </w:rPr>
        <w:t xml:space="preserve"> price of a PUL device,</w:t>
      </w:r>
      <w:r w:rsidRPr="00B0146A">
        <w:rPr>
          <w:color w:val="000000"/>
        </w:rPr>
        <w:t xml:space="preserve"> divided by</w:t>
      </w:r>
      <w:r>
        <w:rPr>
          <w:color w:val="000000"/>
        </w:rPr>
        <w:t xml:space="preserve"> an average</w:t>
      </w:r>
      <w:r w:rsidRPr="00B0146A">
        <w:rPr>
          <w:color w:val="000000"/>
        </w:rPr>
        <w:t xml:space="preserve"> 3.1</w:t>
      </w:r>
      <w:r>
        <w:rPr>
          <w:color w:val="000000"/>
        </w:rPr>
        <w:t xml:space="preserve"> devices per procedure,</w:t>
      </w:r>
      <w:r w:rsidRPr="00B0146A">
        <w:rPr>
          <w:color w:val="000000"/>
        </w:rPr>
        <w:t xml:space="preserve"> gives a patient population of 1223 and that the </w:t>
      </w:r>
      <w:r>
        <w:rPr>
          <w:color w:val="000000"/>
        </w:rPr>
        <w:t xml:space="preserve">application </w:t>
      </w:r>
      <w:r w:rsidRPr="00B0146A">
        <w:rPr>
          <w:color w:val="000000"/>
        </w:rPr>
        <w:t>used a patient population of 1230.</w:t>
      </w:r>
      <w:r>
        <w:rPr>
          <w:color w:val="000000"/>
        </w:rPr>
        <w:t xml:space="preserve"> However, in another part of the pre-ESC response, the applicant contends that more than 3.1 PUL devices will be used on average. ESC noted that if the applicant’s calculation is re-done assuming an average of 4 or 4.7 devices per procedure, then the number of patients undergoing PUL becom</w:t>
      </w:r>
      <w:r w:rsidR="00022111">
        <w:rPr>
          <w:color w:val="000000"/>
        </w:rPr>
        <w:t>es 948 and 807, respectively.</w:t>
      </w:r>
    </w:p>
    <w:p w14:paraId="4D3648B7" w14:textId="77777777" w:rsidR="00652235" w:rsidRPr="00652235" w:rsidRDefault="00652235" w:rsidP="00022111">
      <w:pPr>
        <w:tabs>
          <w:tab w:val="left" w:pos="2265"/>
          <w:tab w:val="left" w:pos="3420"/>
          <w:tab w:val="left" w:pos="4320"/>
        </w:tabs>
        <w:spacing w:before="240"/>
        <w:rPr>
          <w:color w:val="000000"/>
        </w:rPr>
      </w:pPr>
      <w:r>
        <w:rPr>
          <w:color w:val="000000"/>
        </w:rPr>
        <w:t>Overall, the ESC considered the costs to the MBS to be underestimated by the application.</w:t>
      </w:r>
    </w:p>
    <w:p w14:paraId="36907510" w14:textId="77777777" w:rsidR="00D90A38" w:rsidRPr="00F715D1" w:rsidRDefault="00BC1364" w:rsidP="00F715D1">
      <w:pPr>
        <w:pStyle w:val="Heading1"/>
      </w:pPr>
      <w:r w:rsidRPr="00F715D1">
        <w:t>Other significant factors</w:t>
      </w:r>
    </w:p>
    <w:p w14:paraId="5EE7C5D2" w14:textId="4EF084C7" w:rsidR="00BC1364" w:rsidRPr="000D2426" w:rsidRDefault="00BC1364" w:rsidP="00F715D1">
      <w:pPr>
        <w:spacing w:after="240"/>
        <w:rPr>
          <w:szCs w:val="24"/>
        </w:rPr>
      </w:pPr>
      <w:r w:rsidRPr="000D2426">
        <w:rPr>
          <w:szCs w:val="24"/>
        </w:rPr>
        <w:t>Nil</w:t>
      </w:r>
    </w:p>
    <w:p w14:paraId="7C9CEF6A"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2B99A574" w14:textId="5CFEE297" w:rsidR="00BC1364" w:rsidRPr="000440DA" w:rsidRDefault="000440DA" w:rsidP="000440DA">
      <w:pPr>
        <w:rPr>
          <w:b/>
          <w:color w:val="000000"/>
        </w:rPr>
      </w:pPr>
      <w:r w:rsidRPr="000440DA">
        <w:rPr>
          <w:rStyle w:val="Strong"/>
          <w:b w:val="0"/>
          <w:color w:val="000000"/>
        </w:rPr>
        <w:t xml:space="preserve">The sponsor is concerned that the deferred MSAC decision, pending a review of the fee for all MBS listed treatments for BPH, allows the on-going perverse incentive against surgeons using the prostatic urethral lift (PUL) procedure due to the current low fee rather than clinical effectiveness.  Clinical evidence presented in Application 1612 supports a substantial increase in the current MBS fee of $333.50 for PUL especially relative to the MBS fee of </w:t>
      </w:r>
      <w:r w:rsidRPr="000440DA">
        <w:rPr>
          <w:rStyle w:val="Strong"/>
          <w:b w:val="0"/>
          <w:color w:val="000000"/>
        </w:rPr>
        <w:lastRenderedPageBreak/>
        <w:t>$1,074.70 for the main comparator, TURP, and the alternative comparator VLAP.  PUL is an important alternative for the treatment of BPH since it is not only minimally invasive but unlike the comparators, involves no cutting, heating or re</w:t>
      </w:r>
      <w:r w:rsidR="004A62CA">
        <w:rPr>
          <w:rStyle w:val="Strong"/>
          <w:b w:val="0"/>
          <w:color w:val="000000"/>
        </w:rPr>
        <w:t xml:space="preserve">moval of prostate </w:t>
      </w:r>
      <w:r w:rsidRPr="000440DA">
        <w:rPr>
          <w:rStyle w:val="Strong"/>
          <w:b w:val="0"/>
          <w:color w:val="000000"/>
        </w:rPr>
        <w:t>tissue.  Additionally, many men require the advantages of PUL, namely far more rapid recovery, fewer serious adverse effects and preservation of sexual function.</w:t>
      </w:r>
    </w:p>
    <w:p w14:paraId="406D1501" w14:textId="77777777" w:rsidR="00BC1364" w:rsidRPr="00F715D1" w:rsidRDefault="00271F18" w:rsidP="00F715D1">
      <w:pPr>
        <w:pStyle w:val="Heading1"/>
      </w:pPr>
      <w:r w:rsidRPr="00F715D1">
        <w:t>Further information on MSAC</w:t>
      </w:r>
    </w:p>
    <w:p w14:paraId="33CB943E"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5C190" w14:textId="77777777" w:rsidR="008D65B5" w:rsidRDefault="008D65B5" w:rsidP="00065623">
      <w:r>
        <w:separator/>
      </w:r>
    </w:p>
  </w:endnote>
  <w:endnote w:type="continuationSeparator" w:id="0">
    <w:p w14:paraId="4FF1C10A" w14:textId="77777777" w:rsidR="008D65B5" w:rsidRDefault="008D65B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6143" w14:textId="77777777" w:rsidR="00770B52" w:rsidRDefault="00770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2AB193E" w14:textId="0387536E" w:rsidR="008D65B5" w:rsidRDefault="008D65B5">
        <w:pPr>
          <w:pStyle w:val="Footer"/>
          <w:jc w:val="right"/>
        </w:pPr>
        <w:r>
          <w:fldChar w:fldCharType="begin"/>
        </w:r>
        <w:r>
          <w:instrText xml:space="preserve"> PAGE   \* MERGEFORMAT </w:instrText>
        </w:r>
        <w:r>
          <w:fldChar w:fldCharType="separate"/>
        </w:r>
        <w:r w:rsidR="00770B52">
          <w:rPr>
            <w:noProof/>
          </w:rPr>
          <w:t>26</w:t>
        </w:r>
        <w:r>
          <w:rPr>
            <w:noProof/>
          </w:rPr>
          <w:fldChar w:fldCharType="end"/>
        </w:r>
      </w:p>
    </w:sdtContent>
  </w:sdt>
  <w:p w14:paraId="18F42E0D" w14:textId="77777777" w:rsidR="008D65B5" w:rsidRDefault="008D6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CBEA" w14:textId="77777777" w:rsidR="00770B52" w:rsidRDefault="0077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A30FE" w14:textId="77777777" w:rsidR="008D65B5" w:rsidRDefault="008D65B5" w:rsidP="00065623">
      <w:r>
        <w:separator/>
      </w:r>
    </w:p>
  </w:footnote>
  <w:footnote w:type="continuationSeparator" w:id="0">
    <w:p w14:paraId="4573F0C9" w14:textId="77777777" w:rsidR="008D65B5" w:rsidRDefault="008D65B5" w:rsidP="00065623">
      <w:r>
        <w:continuationSeparator/>
      </w:r>
    </w:p>
  </w:footnote>
  <w:footnote w:id="1">
    <w:p w14:paraId="5166B3CC" w14:textId="77777777" w:rsidR="008D65B5" w:rsidRDefault="008D65B5" w:rsidP="00D4501D">
      <w:pPr>
        <w:pStyle w:val="FootnoteText"/>
      </w:pPr>
      <w:r>
        <w:rPr>
          <w:rStyle w:val="FootnoteReference"/>
        </w:rPr>
        <w:footnoteRef/>
      </w:r>
      <w:r>
        <w:t xml:space="preserve"> Nickel</w:t>
      </w:r>
      <w:r w:rsidRPr="007D5D27">
        <w:t xml:space="preserve"> JC</w:t>
      </w:r>
      <w:r>
        <w:t>,</w:t>
      </w:r>
      <w:r w:rsidRPr="007D5D27">
        <w:t xml:space="preserve"> Aaron L, Barkin J, Elterman D, Nachabe M &amp; Zorn KC </w:t>
      </w:r>
      <w:r>
        <w:t>(</w:t>
      </w:r>
      <w:r w:rsidRPr="007D5D27">
        <w:t>2018</w:t>
      </w:r>
      <w:r>
        <w:t>). Can Urol Assoc J</w:t>
      </w:r>
      <w:r w:rsidRPr="007D5D27">
        <w:t xml:space="preserve"> 12</w:t>
      </w:r>
      <w:r>
        <w:t>(</w:t>
      </w:r>
      <w:r w:rsidRPr="007D5D27">
        <w:t>10</w:t>
      </w:r>
      <w:r>
        <w:t xml:space="preserve">): </w:t>
      </w:r>
      <w:r w:rsidRPr="007D5D27">
        <w:t>303-312.</w:t>
      </w:r>
    </w:p>
  </w:footnote>
  <w:footnote w:id="2">
    <w:p w14:paraId="6C0C85E7" w14:textId="77777777" w:rsidR="008D65B5" w:rsidRDefault="008D65B5" w:rsidP="00D4501D">
      <w:pPr>
        <w:pStyle w:val="FootnoteText"/>
      </w:pPr>
      <w:r>
        <w:rPr>
          <w:rStyle w:val="FootnoteReference"/>
        </w:rPr>
        <w:footnoteRef/>
      </w:r>
      <w:r>
        <w:t xml:space="preserve"> Teo</w:t>
      </w:r>
      <w:r w:rsidRPr="007807FA">
        <w:t xml:space="preserve"> JS, Lee YM &amp; Ho HSS </w:t>
      </w:r>
      <w:r>
        <w:t>(</w:t>
      </w:r>
      <w:r w:rsidRPr="007807FA">
        <w:t>2017</w:t>
      </w:r>
      <w:r>
        <w:t>). Asian Journal of Urology</w:t>
      </w:r>
      <w:r w:rsidRPr="007807FA">
        <w:t xml:space="preserve"> 4</w:t>
      </w:r>
      <w:r>
        <w:t>(3): 6-</w:t>
      </w:r>
      <w:r w:rsidRPr="007807FA">
        <w:t>15</w:t>
      </w:r>
      <w:r>
        <w:t>.</w:t>
      </w:r>
    </w:p>
  </w:footnote>
  <w:footnote w:id="3">
    <w:p w14:paraId="3779E53B" w14:textId="77777777" w:rsidR="008D65B5" w:rsidRDefault="008D65B5" w:rsidP="00D4501D">
      <w:pPr>
        <w:pStyle w:val="FootnoteText"/>
      </w:pPr>
      <w:r>
        <w:rPr>
          <w:rStyle w:val="FootnoteReference"/>
        </w:rPr>
        <w:footnoteRef/>
      </w:r>
      <w:r>
        <w:t xml:space="preserve"> </w:t>
      </w:r>
      <w:r w:rsidRPr="007807FA">
        <w:t xml:space="preserve">EAU </w:t>
      </w:r>
      <w:r>
        <w:t>(</w:t>
      </w:r>
      <w:r w:rsidRPr="007807FA">
        <w:t>2016</w:t>
      </w:r>
      <w:r>
        <w:t>).</w:t>
      </w:r>
      <w:r w:rsidRPr="007807FA">
        <w:t xml:space="preserve"> </w:t>
      </w:r>
      <w:r>
        <w:t>“</w:t>
      </w:r>
      <w:r w:rsidRPr="007807FA">
        <w:t>Treatm</w:t>
      </w:r>
      <w:r>
        <w:t>ent of non-neurogenic male LUTS.”</w:t>
      </w:r>
      <w:r w:rsidRPr="007807FA">
        <w:t xml:space="preserve">  European Association of Urology Guidelines.</w:t>
      </w:r>
    </w:p>
  </w:footnote>
  <w:footnote w:id="4">
    <w:p w14:paraId="5A5BDB14" w14:textId="77777777" w:rsidR="008D65B5" w:rsidRDefault="008D65B5" w:rsidP="00D4501D">
      <w:pPr>
        <w:pStyle w:val="FootnoteText"/>
      </w:pPr>
      <w:r>
        <w:rPr>
          <w:rStyle w:val="FootnoteReference"/>
        </w:rPr>
        <w:footnoteRef/>
      </w:r>
      <w:r>
        <w:t xml:space="preserve"> </w:t>
      </w:r>
      <w:r w:rsidRPr="00181300">
        <w:t>Comparison of the UroLift System to TURP for Benign Prostatic Hyperplasia (BPH-6)</w:t>
      </w:r>
      <w:r>
        <w:t xml:space="preserve"> - </w:t>
      </w:r>
      <w:r w:rsidRPr="00181300">
        <w:t>NCT01533038</w:t>
      </w:r>
      <w:r>
        <w:t xml:space="preserve">; cited in </w:t>
      </w:r>
      <w:r w:rsidRPr="00503A25">
        <w:t>Sønksen et al. 2015</w:t>
      </w:r>
      <w:r>
        <w:t xml:space="preserve"> and </w:t>
      </w:r>
      <w:r w:rsidRPr="00503A25">
        <w:t>Gratzke et al. 2017</w:t>
      </w:r>
      <w:r>
        <w:t>.</w:t>
      </w:r>
    </w:p>
  </w:footnote>
  <w:footnote w:id="5">
    <w:p w14:paraId="10F07585" w14:textId="77777777" w:rsidR="008D65B5" w:rsidRDefault="008D65B5" w:rsidP="00D4501D">
      <w:pPr>
        <w:pStyle w:val="FootnoteText"/>
      </w:pPr>
      <w:r>
        <w:rPr>
          <w:rStyle w:val="FootnoteReference"/>
        </w:rPr>
        <w:footnoteRef/>
      </w:r>
      <w:r>
        <w:t xml:space="preserve"> </w:t>
      </w:r>
      <w:r w:rsidRPr="00951C27">
        <w:t>Luminal Improvement Following Prostatic Tissue Approximation for the Tre</w:t>
      </w:r>
      <w:r>
        <w:t xml:space="preserve">atment of LUTS secondary to BPH; cited in </w:t>
      </w:r>
      <w:r w:rsidRPr="00D77A6C">
        <w:t>Roehrborn et al</w:t>
      </w:r>
      <w:r>
        <w:t>.</w:t>
      </w:r>
      <w:r w:rsidRPr="00D77A6C">
        <w:t xml:space="preserve"> 2013; McVary et al</w:t>
      </w:r>
      <w:r>
        <w:t>.</w:t>
      </w:r>
      <w:r w:rsidRPr="00D77A6C">
        <w:t xml:space="preserve"> 2014; Cantwell et al</w:t>
      </w:r>
      <w:r>
        <w:t>.</w:t>
      </w:r>
      <w:r w:rsidRPr="00D77A6C">
        <w:t xml:space="preserve"> 2014; Roehrborn et al</w:t>
      </w:r>
      <w:r>
        <w:t>.</w:t>
      </w:r>
      <w:r w:rsidRPr="00D77A6C">
        <w:t xml:space="preserve"> 2015; Rukstalis et al</w:t>
      </w:r>
      <w:r>
        <w:t>.</w:t>
      </w:r>
      <w:r w:rsidRPr="00D77A6C">
        <w:t xml:space="preserve"> 2016; McVary et al</w:t>
      </w:r>
      <w:r>
        <w:t>.</w:t>
      </w:r>
      <w:r w:rsidRPr="00D77A6C">
        <w:t xml:space="preserve"> 2017; Rukstalis et al</w:t>
      </w:r>
      <w:r>
        <w:t>.</w:t>
      </w:r>
      <w:r w:rsidRPr="00D77A6C">
        <w:t xml:space="preserve"> 2019</w:t>
      </w:r>
    </w:p>
  </w:footnote>
  <w:footnote w:id="6">
    <w:p w14:paraId="73D92E54" w14:textId="77777777" w:rsidR="008D65B5" w:rsidRDefault="008D65B5" w:rsidP="00D4501D">
      <w:pPr>
        <w:pStyle w:val="FootnoteText"/>
      </w:pPr>
      <w:r>
        <w:rPr>
          <w:rStyle w:val="FootnoteReference"/>
        </w:rPr>
        <w:footnoteRef/>
      </w:r>
      <w:r>
        <w:t xml:space="preserve"> </w:t>
      </w:r>
      <w:r w:rsidRPr="00D4537A">
        <w:t>A Prospective Multicenter Randomized Study Comparing Photoselective Vaporization of the Prostate With the GreenLight XPS™ Laser System and Transurethral Resection of the Prostate for the Treatment of Benign Prostatic Hyperplasia</w:t>
      </w:r>
      <w:r>
        <w:t>; cited in Bachman et al. 2014.</w:t>
      </w:r>
    </w:p>
  </w:footnote>
  <w:footnote w:id="7">
    <w:p w14:paraId="6DD34380" w14:textId="77777777" w:rsidR="008D65B5" w:rsidRDefault="008D65B5" w:rsidP="00D4501D">
      <w:pPr>
        <w:pStyle w:val="FootnoteText"/>
      </w:pPr>
      <w:r>
        <w:rPr>
          <w:rStyle w:val="FootnoteReference"/>
        </w:rPr>
        <w:footnoteRef/>
      </w:r>
      <w:r>
        <w:t xml:space="preserve"> Patel NH, Uppaluri N, Iorga M, Schulman A, Bloom JB, Phillips</w:t>
      </w:r>
      <w:r w:rsidRPr="001C751D">
        <w:t xml:space="preserve"> J, Fullerton S, Konno S, Choudhury M &amp; Eshghi M </w:t>
      </w:r>
      <w:r>
        <w:t>(</w:t>
      </w:r>
      <w:r w:rsidRPr="001C751D">
        <w:t>2019</w:t>
      </w:r>
      <w:r>
        <w:t xml:space="preserve">) </w:t>
      </w:r>
      <w:r w:rsidRPr="001C751D">
        <w:t>Journal of endourology</w:t>
      </w:r>
      <w:r>
        <w:t xml:space="preserve"> </w:t>
      </w:r>
      <w:r w:rsidRPr="001C751D">
        <w:t>33</w:t>
      </w:r>
      <w:r>
        <w:t>(</w:t>
      </w:r>
      <w:r w:rsidRPr="001C751D">
        <w:t>6</w:t>
      </w:r>
      <w:r>
        <w:t>):</w:t>
      </w:r>
      <w:r w:rsidRPr="001C751D">
        <w:t xml:space="preserve"> 448-454.</w:t>
      </w:r>
    </w:p>
  </w:footnote>
  <w:footnote w:id="8">
    <w:p w14:paraId="5CD1706C" w14:textId="77777777" w:rsidR="008D65B5" w:rsidRPr="00140FD6" w:rsidRDefault="008D65B5" w:rsidP="00652235">
      <w:pPr>
        <w:pStyle w:val="FootnoteText"/>
      </w:pPr>
      <w:r w:rsidRPr="00140FD6">
        <w:rPr>
          <w:rStyle w:val="FootnoteReference"/>
          <w:iCs/>
        </w:rPr>
        <w:footnoteRef/>
      </w:r>
      <w:r w:rsidRPr="00140FD6">
        <w:rPr>
          <w:iCs/>
        </w:rPr>
        <w:t xml:space="preserve"> Transurethral Prostatectomy for Urinary Disorder, Minor Complexity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B118" w14:textId="77777777" w:rsidR="00770B52" w:rsidRDefault="0077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19E1" w14:textId="77777777" w:rsidR="00770B52" w:rsidRDefault="0077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A3EB" w14:textId="77777777" w:rsidR="00770B52" w:rsidRDefault="0077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33C8"/>
    <w:multiLevelType w:val="hybridMultilevel"/>
    <w:tmpl w:val="93AA49E0"/>
    <w:lvl w:ilvl="0" w:tplc="90F0D13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7C365A"/>
    <w:multiLevelType w:val="multilevel"/>
    <w:tmpl w:val="9E76C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1E10B9"/>
    <w:multiLevelType w:val="hybridMultilevel"/>
    <w:tmpl w:val="C83E9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BD3AA3"/>
    <w:multiLevelType w:val="hybridMultilevel"/>
    <w:tmpl w:val="8FA4E980"/>
    <w:lvl w:ilvl="0" w:tplc="9556A85A">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AB1F1F"/>
    <w:multiLevelType w:val="hybridMultilevel"/>
    <w:tmpl w:val="B6742D8E"/>
    <w:lvl w:ilvl="0" w:tplc="DB9467D4">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9" w15:restartNumberingAfterBreak="0">
    <w:nsid w:val="57DB3682"/>
    <w:multiLevelType w:val="hybridMultilevel"/>
    <w:tmpl w:val="9E98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274D9A"/>
    <w:multiLevelType w:val="hybridMultilevel"/>
    <w:tmpl w:val="A9F4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B16DE0"/>
    <w:multiLevelType w:val="hybridMultilevel"/>
    <w:tmpl w:val="0048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BA2948"/>
    <w:multiLevelType w:val="hybridMultilevel"/>
    <w:tmpl w:val="F5626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33608C"/>
    <w:multiLevelType w:val="hybridMultilevel"/>
    <w:tmpl w:val="493CFE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73E01B50"/>
    <w:multiLevelType w:val="hybridMultilevel"/>
    <w:tmpl w:val="14DA644C"/>
    <w:lvl w:ilvl="0" w:tplc="25A8177A">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40555D"/>
    <w:multiLevelType w:val="hybridMultilevel"/>
    <w:tmpl w:val="42480F9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6526D7"/>
    <w:multiLevelType w:val="hybridMultilevel"/>
    <w:tmpl w:val="A4EEB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8"/>
  </w:num>
  <w:num w:numId="6">
    <w:abstractNumId w:val="4"/>
  </w:num>
  <w:num w:numId="7">
    <w:abstractNumId w:val="3"/>
  </w:num>
  <w:num w:numId="8">
    <w:abstractNumId w:val="11"/>
  </w:num>
  <w:num w:numId="9">
    <w:abstractNumId w:val="13"/>
  </w:num>
  <w:num w:numId="10">
    <w:abstractNumId w:val="7"/>
  </w:num>
  <w:num w:numId="11">
    <w:abstractNumId w:val="14"/>
  </w:num>
  <w:num w:numId="12">
    <w:abstractNumId w:val="9"/>
  </w:num>
  <w:num w:numId="13">
    <w:abstractNumId w:val="16"/>
  </w:num>
  <w:num w:numId="14">
    <w:abstractNumId w:val="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16353"/>
    <w:rsid w:val="00022111"/>
    <w:rsid w:val="000317F2"/>
    <w:rsid w:val="000440DA"/>
    <w:rsid w:val="00047606"/>
    <w:rsid w:val="00052407"/>
    <w:rsid w:val="00064BCB"/>
    <w:rsid w:val="00065623"/>
    <w:rsid w:val="00073D0F"/>
    <w:rsid w:val="000756B9"/>
    <w:rsid w:val="00094EF9"/>
    <w:rsid w:val="00096B67"/>
    <w:rsid w:val="00096DAF"/>
    <w:rsid w:val="000A49E8"/>
    <w:rsid w:val="000A560A"/>
    <w:rsid w:val="000B0156"/>
    <w:rsid w:val="000C2F47"/>
    <w:rsid w:val="000D2426"/>
    <w:rsid w:val="000D2B9A"/>
    <w:rsid w:val="000D6C00"/>
    <w:rsid w:val="000E4E04"/>
    <w:rsid w:val="000F14B4"/>
    <w:rsid w:val="000F75DF"/>
    <w:rsid w:val="001023DC"/>
    <w:rsid w:val="001328FA"/>
    <w:rsid w:val="00136505"/>
    <w:rsid w:val="00147AAF"/>
    <w:rsid w:val="001552C0"/>
    <w:rsid w:val="0016295D"/>
    <w:rsid w:val="001631B6"/>
    <w:rsid w:val="001640B1"/>
    <w:rsid w:val="0017423B"/>
    <w:rsid w:val="001765F3"/>
    <w:rsid w:val="001842B7"/>
    <w:rsid w:val="0018435E"/>
    <w:rsid w:val="0019608A"/>
    <w:rsid w:val="001B12C3"/>
    <w:rsid w:val="001C4A58"/>
    <w:rsid w:val="001D312B"/>
    <w:rsid w:val="001E47B6"/>
    <w:rsid w:val="002041A1"/>
    <w:rsid w:val="002050A3"/>
    <w:rsid w:val="002054F0"/>
    <w:rsid w:val="00221228"/>
    <w:rsid w:val="00230D6B"/>
    <w:rsid w:val="00230E27"/>
    <w:rsid w:val="00232068"/>
    <w:rsid w:val="002330F2"/>
    <w:rsid w:val="00243D9E"/>
    <w:rsid w:val="00245143"/>
    <w:rsid w:val="00250EF2"/>
    <w:rsid w:val="0025213E"/>
    <w:rsid w:val="00253B66"/>
    <w:rsid w:val="00261DF1"/>
    <w:rsid w:val="00263A2C"/>
    <w:rsid w:val="00271F18"/>
    <w:rsid w:val="0028237B"/>
    <w:rsid w:val="00282779"/>
    <w:rsid w:val="0028334D"/>
    <w:rsid w:val="00286EF1"/>
    <w:rsid w:val="002A26B2"/>
    <w:rsid w:val="002A2E5E"/>
    <w:rsid w:val="002B7FFA"/>
    <w:rsid w:val="002C2BCF"/>
    <w:rsid w:val="002C6FD9"/>
    <w:rsid w:val="002C7F61"/>
    <w:rsid w:val="002D22F7"/>
    <w:rsid w:val="002E2D9A"/>
    <w:rsid w:val="002F279D"/>
    <w:rsid w:val="002F43B8"/>
    <w:rsid w:val="002F739A"/>
    <w:rsid w:val="003251E2"/>
    <w:rsid w:val="00336856"/>
    <w:rsid w:val="0034554D"/>
    <w:rsid w:val="00352224"/>
    <w:rsid w:val="0036361C"/>
    <w:rsid w:val="003636DE"/>
    <w:rsid w:val="003671E6"/>
    <w:rsid w:val="003738CE"/>
    <w:rsid w:val="00384272"/>
    <w:rsid w:val="00386D67"/>
    <w:rsid w:val="003945B8"/>
    <w:rsid w:val="003A2225"/>
    <w:rsid w:val="003A4E07"/>
    <w:rsid w:val="003B2E32"/>
    <w:rsid w:val="003D4F14"/>
    <w:rsid w:val="003D7F29"/>
    <w:rsid w:val="003E70F4"/>
    <w:rsid w:val="003F6C90"/>
    <w:rsid w:val="00405A6B"/>
    <w:rsid w:val="00407B1F"/>
    <w:rsid w:val="0041184F"/>
    <w:rsid w:val="004140EF"/>
    <w:rsid w:val="00414C57"/>
    <w:rsid w:val="0041758C"/>
    <w:rsid w:val="00432A64"/>
    <w:rsid w:val="004474AC"/>
    <w:rsid w:val="004539DE"/>
    <w:rsid w:val="004662B2"/>
    <w:rsid w:val="00474CE9"/>
    <w:rsid w:val="004A2CF1"/>
    <w:rsid w:val="004A51BF"/>
    <w:rsid w:val="004A6094"/>
    <w:rsid w:val="004A62CA"/>
    <w:rsid w:val="004A7E0B"/>
    <w:rsid w:val="004B46AD"/>
    <w:rsid w:val="004C3035"/>
    <w:rsid w:val="004C307F"/>
    <w:rsid w:val="004C4CAA"/>
    <w:rsid w:val="004E029A"/>
    <w:rsid w:val="004E4BA8"/>
    <w:rsid w:val="004F209C"/>
    <w:rsid w:val="004F340F"/>
    <w:rsid w:val="004F7B7C"/>
    <w:rsid w:val="00510FB2"/>
    <w:rsid w:val="0052243D"/>
    <w:rsid w:val="00532435"/>
    <w:rsid w:val="00550354"/>
    <w:rsid w:val="00552D60"/>
    <w:rsid w:val="00571236"/>
    <w:rsid w:val="00573DFD"/>
    <w:rsid w:val="005953A1"/>
    <w:rsid w:val="005A4362"/>
    <w:rsid w:val="005A7298"/>
    <w:rsid w:val="005B5434"/>
    <w:rsid w:val="005D0332"/>
    <w:rsid w:val="005D0D8C"/>
    <w:rsid w:val="006016EE"/>
    <w:rsid w:val="00640A46"/>
    <w:rsid w:val="00643F05"/>
    <w:rsid w:val="00647DCD"/>
    <w:rsid w:val="00652235"/>
    <w:rsid w:val="006773C2"/>
    <w:rsid w:val="006776AE"/>
    <w:rsid w:val="00692E6B"/>
    <w:rsid w:val="006A0D97"/>
    <w:rsid w:val="006B1F86"/>
    <w:rsid w:val="006B4769"/>
    <w:rsid w:val="006C0A91"/>
    <w:rsid w:val="00700626"/>
    <w:rsid w:val="007054BB"/>
    <w:rsid w:val="00707064"/>
    <w:rsid w:val="00724C12"/>
    <w:rsid w:val="00725626"/>
    <w:rsid w:val="00730683"/>
    <w:rsid w:val="0075261F"/>
    <w:rsid w:val="0075468E"/>
    <w:rsid w:val="00757328"/>
    <w:rsid w:val="007665D8"/>
    <w:rsid w:val="00766E36"/>
    <w:rsid w:val="00767402"/>
    <w:rsid w:val="00770B52"/>
    <w:rsid w:val="007765F4"/>
    <w:rsid w:val="00776633"/>
    <w:rsid w:val="007819BF"/>
    <w:rsid w:val="00784D53"/>
    <w:rsid w:val="0078621E"/>
    <w:rsid w:val="00797797"/>
    <w:rsid w:val="007A0856"/>
    <w:rsid w:val="007A63C9"/>
    <w:rsid w:val="007A6537"/>
    <w:rsid w:val="007B32D1"/>
    <w:rsid w:val="007B7095"/>
    <w:rsid w:val="007C2D07"/>
    <w:rsid w:val="007D24E1"/>
    <w:rsid w:val="007D3EA9"/>
    <w:rsid w:val="007D6288"/>
    <w:rsid w:val="007D63F2"/>
    <w:rsid w:val="007E32FF"/>
    <w:rsid w:val="007E5664"/>
    <w:rsid w:val="007F4CE9"/>
    <w:rsid w:val="007F4E20"/>
    <w:rsid w:val="00802D61"/>
    <w:rsid w:val="00807B37"/>
    <w:rsid w:val="00822C7E"/>
    <w:rsid w:val="0083662B"/>
    <w:rsid w:val="00847060"/>
    <w:rsid w:val="00847A36"/>
    <w:rsid w:val="00856A33"/>
    <w:rsid w:val="00873B87"/>
    <w:rsid w:val="0087527B"/>
    <w:rsid w:val="00891B0D"/>
    <w:rsid w:val="00892620"/>
    <w:rsid w:val="00892BAD"/>
    <w:rsid w:val="008A6215"/>
    <w:rsid w:val="008C778E"/>
    <w:rsid w:val="008C7D37"/>
    <w:rsid w:val="008D5885"/>
    <w:rsid w:val="008D65B5"/>
    <w:rsid w:val="008F0CB8"/>
    <w:rsid w:val="0092251A"/>
    <w:rsid w:val="00923FA2"/>
    <w:rsid w:val="0096060D"/>
    <w:rsid w:val="00970D92"/>
    <w:rsid w:val="00974A50"/>
    <w:rsid w:val="0097585A"/>
    <w:rsid w:val="009868A6"/>
    <w:rsid w:val="009924B0"/>
    <w:rsid w:val="009942C9"/>
    <w:rsid w:val="009B35C4"/>
    <w:rsid w:val="009B6C10"/>
    <w:rsid w:val="009B7AB3"/>
    <w:rsid w:val="009C596F"/>
    <w:rsid w:val="009C630A"/>
    <w:rsid w:val="009D23B4"/>
    <w:rsid w:val="009E0D98"/>
    <w:rsid w:val="00A06878"/>
    <w:rsid w:val="00A068A1"/>
    <w:rsid w:val="00A1207D"/>
    <w:rsid w:val="00A12623"/>
    <w:rsid w:val="00A12FD8"/>
    <w:rsid w:val="00A250BF"/>
    <w:rsid w:val="00A346FC"/>
    <w:rsid w:val="00A46D77"/>
    <w:rsid w:val="00A528C6"/>
    <w:rsid w:val="00A56F6C"/>
    <w:rsid w:val="00A6376C"/>
    <w:rsid w:val="00A83064"/>
    <w:rsid w:val="00A846F2"/>
    <w:rsid w:val="00A84AA9"/>
    <w:rsid w:val="00A84F93"/>
    <w:rsid w:val="00A91537"/>
    <w:rsid w:val="00A959DB"/>
    <w:rsid w:val="00A97838"/>
    <w:rsid w:val="00AB1AC5"/>
    <w:rsid w:val="00AB3BFC"/>
    <w:rsid w:val="00AC4F2E"/>
    <w:rsid w:val="00AC6C2C"/>
    <w:rsid w:val="00AD083E"/>
    <w:rsid w:val="00AD0C37"/>
    <w:rsid w:val="00AD385F"/>
    <w:rsid w:val="00AE6E2A"/>
    <w:rsid w:val="00AF30AE"/>
    <w:rsid w:val="00AF4529"/>
    <w:rsid w:val="00B00A50"/>
    <w:rsid w:val="00B03EAB"/>
    <w:rsid w:val="00B139B9"/>
    <w:rsid w:val="00B31E9C"/>
    <w:rsid w:val="00B34F48"/>
    <w:rsid w:val="00B35595"/>
    <w:rsid w:val="00B51C6D"/>
    <w:rsid w:val="00B51D7D"/>
    <w:rsid w:val="00B55B07"/>
    <w:rsid w:val="00B72191"/>
    <w:rsid w:val="00B80ADB"/>
    <w:rsid w:val="00B83DD2"/>
    <w:rsid w:val="00B86D64"/>
    <w:rsid w:val="00BA4AC5"/>
    <w:rsid w:val="00BB00B9"/>
    <w:rsid w:val="00BB02F7"/>
    <w:rsid w:val="00BC1364"/>
    <w:rsid w:val="00BC2667"/>
    <w:rsid w:val="00BC7DE9"/>
    <w:rsid w:val="00BD23EE"/>
    <w:rsid w:val="00BD6625"/>
    <w:rsid w:val="00BE2085"/>
    <w:rsid w:val="00BF3E59"/>
    <w:rsid w:val="00BF479B"/>
    <w:rsid w:val="00C02577"/>
    <w:rsid w:val="00C04D09"/>
    <w:rsid w:val="00C06B0B"/>
    <w:rsid w:val="00C11BBE"/>
    <w:rsid w:val="00C15513"/>
    <w:rsid w:val="00C204FB"/>
    <w:rsid w:val="00C20BEE"/>
    <w:rsid w:val="00C2158D"/>
    <w:rsid w:val="00C44A29"/>
    <w:rsid w:val="00C5370C"/>
    <w:rsid w:val="00C56FD4"/>
    <w:rsid w:val="00C67DD2"/>
    <w:rsid w:val="00C725CB"/>
    <w:rsid w:val="00C76F5C"/>
    <w:rsid w:val="00C867A4"/>
    <w:rsid w:val="00C874D6"/>
    <w:rsid w:val="00C95869"/>
    <w:rsid w:val="00C96BAD"/>
    <w:rsid w:val="00CA6944"/>
    <w:rsid w:val="00CB0F8E"/>
    <w:rsid w:val="00CB7E7D"/>
    <w:rsid w:val="00CC273F"/>
    <w:rsid w:val="00CC2911"/>
    <w:rsid w:val="00CD557E"/>
    <w:rsid w:val="00CE1372"/>
    <w:rsid w:val="00CE75AC"/>
    <w:rsid w:val="00CF0C6D"/>
    <w:rsid w:val="00CF3440"/>
    <w:rsid w:val="00CF4E81"/>
    <w:rsid w:val="00CF7307"/>
    <w:rsid w:val="00CF7C68"/>
    <w:rsid w:val="00D01902"/>
    <w:rsid w:val="00D124FA"/>
    <w:rsid w:val="00D23F82"/>
    <w:rsid w:val="00D2501B"/>
    <w:rsid w:val="00D340DE"/>
    <w:rsid w:val="00D4501D"/>
    <w:rsid w:val="00D50CFD"/>
    <w:rsid w:val="00D52151"/>
    <w:rsid w:val="00D55723"/>
    <w:rsid w:val="00D62FAD"/>
    <w:rsid w:val="00D64355"/>
    <w:rsid w:val="00D70450"/>
    <w:rsid w:val="00D70B59"/>
    <w:rsid w:val="00D80465"/>
    <w:rsid w:val="00D83BFD"/>
    <w:rsid w:val="00D863C8"/>
    <w:rsid w:val="00D90A38"/>
    <w:rsid w:val="00D95739"/>
    <w:rsid w:val="00DA0515"/>
    <w:rsid w:val="00DA1573"/>
    <w:rsid w:val="00DA171E"/>
    <w:rsid w:val="00DA56AA"/>
    <w:rsid w:val="00DB5833"/>
    <w:rsid w:val="00DD2858"/>
    <w:rsid w:val="00DE44AB"/>
    <w:rsid w:val="00DF489D"/>
    <w:rsid w:val="00E03E33"/>
    <w:rsid w:val="00E059E0"/>
    <w:rsid w:val="00E116A1"/>
    <w:rsid w:val="00E15D83"/>
    <w:rsid w:val="00E3642A"/>
    <w:rsid w:val="00E37ED2"/>
    <w:rsid w:val="00E415C4"/>
    <w:rsid w:val="00E42512"/>
    <w:rsid w:val="00E50016"/>
    <w:rsid w:val="00E50EAA"/>
    <w:rsid w:val="00E60F1E"/>
    <w:rsid w:val="00E63EDD"/>
    <w:rsid w:val="00E656D6"/>
    <w:rsid w:val="00E7131B"/>
    <w:rsid w:val="00E8115B"/>
    <w:rsid w:val="00E977EE"/>
    <w:rsid w:val="00E97E77"/>
    <w:rsid w:val="00EA2F24"/>
    <w:rsid w:val="00EA426F"/>
    <w:rsid w:val="00EA5C0E"/>
    <w:rsid w:val="00EA67A2"/>
    <w:rsid w:val="00EB630F"/>
    <w:rsid w:val="00EB6B6F"/>
    <w:rsid w:val="00EC4F98"/>
    <w:rsid w:val="00ED0502"/>
    <w:rsid w:val="00EE3E77"/>
    <w:rsid w:val="00F11AFE"/>
    <w:rsid w:val="00F12F02"/>
    <w:rsid w:val="00F32E0D"/>
    <w:rsid w:val="00F33C63"/>
    <w:rsid w:val="00F35134"/>
    <w:rsid w:val="00F37B9C"/>
    <w:rsid w:val="00F41812"/>
    <w:rsid w:val="00F45920"/>
    <w:rsid w:val="00F53620"/>
    <w:rsid w:val="00F56D7F"/>
    <w:rsid w:val="00F715D1"/>
    <w:rsid w:val="00F72715"/>
    <w:rsid w:val="00F73333"/>
    <w:rsid w:val="00F878CB"/>
    <w:rsid w:val="00F95D8F"/>
    <w:rsid w:val="00FB350A"/>
    <w:rsid w:val="00FB4C5D"/>
    <w:rsid w:val="00FC3856"/>
    <w:rsid w:val="00FC3B7F"/>
    <w:rsid w:val="00FD0063"/>
    <w:rsid w:val="00FE1C3F"/>
    <w:rsid w:val="00FE731D"/>
    <w:rsid w:val="00FF6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2E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
    <w:qFormat/>
    <w:rsid w:val="00A846F2"/>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locked/>
    <w:rsid w:val="00D4501D"/>
    <w:pPr>
      <w:spacing w:after="240"/>
      <w:outlineLvl w:val="1"/>
    </w:pPr>
    <w:rPr>
      <w:b/>
      <w:szCs w:val="24"/>
    </w:rPr>
  </w:style>
  <w:style w:type="paragraph" w:styleId="Heading3">
    <w:name w:val="heading 3"/>
    <w:basedOn w:val="Normal"/>
    <w:next w:val="Normal"/>
    <w:link w:val="Heading3Char"/>
    <w:uiPriority w:val="9"/>
    <w:unhideWhenUsed/>
    <w:qFormat/>
    <w:locked/>
    <w:rsid w:val="00D4501D"/>
    <w:pPr>
      <w:keepNext/>
      <w:keepLines/>
      <w:spacing w:before="40"/>
      <w:outlineLvl w:val="2"/>
    </w:pPr>
    <w:rPr>
      <w:rFonts w:eastAsiaTheme="majorEastAsia"/>
      <w:szCs w:val="24"/>
      <w:u w:val="single"/>
    </w:rPr>
  </w:style>
  <w:style w:type="paragraph" w:styleId="Heading4">
    <w:name w:val="heading 4"/>
    <w:basedOn w:val="Normal"/>
    <w:next w:val="Normal"/>
    <w:link w:val="Heading4Char"/>
    <w:uiPriority w:val="9"/>
    <w:semiHidden/>
    <w:unhideWhenUsed/>
    <w:qFormat/>
    <w:locked/>
    <w:rsid w:val="006522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D4501D"/>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3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D4501D"/>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D4501D"/>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D4501D"/>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D4501D"/>
    <w:rPr>
      <w:rFonts w:ascii="Arial Narrow" w:eastAsia="Times New Roman" w:hAnsi="Arial Narrow" w:cs="Arial"/>
      <w:b/>
      <w:bCs/>
      <w:iCs/>
      <w:sz w:val="20"/>
      <w:szCs w:val="20"/>
      <w:lang w:eastAsia="en-US"/>
    </w:rPr>
  </w:style>
  <w:style w:type="paragraph" w:customStyle="1" w:styleId="TableHeading">
    <w:name w:val="TableHeading"/>
    <w:basedOn w:val="Normal"/>
    <w:link w:val="TableHeadingChar"/>
    <w:qFormat/>
    <w:rsid w:val="00D4501D"/>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D4501D"/>
    <w:rPr>
      <w:rFonts w:ascii="Arial Narrow" w:eastAsia="Times New Roman" w:hAnsi="Arial Narrow" w:cs="Tahoma"/>
      <w:b/>
      <w:noProof/>
      <w:sz w:val="20"/>
      <w:szCs w:val="20"/>
    </w:rPr>
  </w:style>
  <w:style w:type="paragraph" w:customStyle="1" w:styleId="Tablenotes">
    <w:name w:val="Tablenotes"/>
    <w:basedOn w:val="Normal"/>
    <w:link w:val="TablenotesChar"/>
    <w:autoRedefine/>
    <w:qFormat/>
    <w:rsid w:val="00C11BBE"/>
    <w:pPr>
      <w:widowControl w:val="0"/>
      <w:spacing w:before="60" w:after="240"/>
      <w:contextualSpacing/>
    </w:pPr>
    <w:rPr>
      <w:rFonts w:ascii="Arial Narrow" w:eastAsiaTheme="minorHAnsi" w:hAnsi="Arial Narrow" w:cs="Arial"/>
      <w:snapToGrid w:val="0"/>
      <w:sz w:val="18"/>
      <w:lang w:eastAsia="en-US"/>
    </w:rPr>
  </w:style>
  <w:style w:type="character" w:customStyle="1" w:styleId="TablenotesChar">
    <w:name w:val="Tablenotes Char"/>
    <w:basedOn w:val="DefaultParagraphFont"/>
    <w:link w:val="Tablenotes"/>
    <w:rsid w:val="00C11BBE"/>
    <w:rPr>
      <w:rFonts w:ascii="Arial Narrow" w:eastAsiaTheme="minorHAnsi" w:hAnsi="Arial Narrow" w:cs="Arial"/>
      <w:snapToGrid w:val="0"/>
      <w:sz w:val="18"/>
      <w:szCs w:val="20"/>
      <w:lang w:eastAsia="en-US"/>
    </w:rPr>
  </w:style>
  <w:style w:type="character" w:customStyle="1" w:styleId="ListParagraphChar">
    <w:name w:val="List Paragraph Char"/>
    <w:aliases w:val="Styl moj Char,Akapit z listą1 Char,Akapit z listą11 Char"/>
    <w:link w:val="ListParagraph"/>
    <w:uiPriority w:val="34"/>
    <w:rsid w:val="00D4501D"/>
    <w:rPr>
      <w:rFonts w:eastAsia="Times New Roman"/>
      <w:sz w:val="24"/>
      <w:szCs w:val="20"/>
    </w:rPr>
  </w:style>
  <w:style w:type="character" w:customStyle="1" w:styleId="Heading3Char">
    <w:name w:val="Heading 3 Char"/>
    <w:basedOn w:val="DefaultParagraphFont"/>
    <w:link w:val="Heading3"/>
    <w:uiPriority w:val="9"/>
    <w:rsid w:val="00D4501D"/>
    <w:rPr>
      <w:rFonts w:eastAsiaTheme="majorEastAsia"/>
      <w:sz w:val="24"/>
      <w:szCs w:val="24"/>
      <w:u w:val="single"/>
    </w:rPr>
  </w:style>
  <w:style w:type="paragraph" w:customStyle="1" w:styleId="Tabletextboldleft">
    <w:name w:val="Table text bold left"/>
    <w:basedOn w:val="Normal"/>
    <w:link w:val="TabletextboldleftChar"/>
    <w:qFormat/>
    <w:rsid w:val="00D4501D"/>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D4501D"/>
    <w:rPr>
      <w:rFonts w:ascii="Arial Narrow" w:eastAsia="Times New Roman" w:hAnsi="Arial Narrow" w:cs="Arial"/>
      <w:b/>
      <w:sz w:val="20"/>
      <w:szCs w:val="20"/>
      <w:lang w:eastAsia="en-US"/>
    </w:rPr>
  </w:style>
  <w:style w:type="paragraph" w:customStyle="1" w:styleId="Tablenotes1">
    <w:name w:val="Tablenotes 1"/>
    <w:basedOn w:val="Normal"/>
    <w:link w:val="Tablenotes1Char"/>
    <w:qFormat/>
    <w:rsid w:val="00D4501D"/>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D4501D"/>
    <w:rPr>
      <w:rFonts w:ascii="Arial Narrow" w:eastAsia="Times New Roman" w:hAnsi="Arial Narrow" w:cs="Arial"/>
      <w:snapToGrid w:val="0"/>
      <w:sz w:val="18"/>
      <w:szCs w:val="20"/>
      <w:lang w:eastAsia="en-US"/>
    </w:rPr>
  </w:style>
  <w:style w:type="table" w:customStyle="1" w:styleId="TableGrid14">
    <w:name w:val="Table Grid14"/>
    <w:basedOn w:val="TableNormal"/>
    <w:next w:val="TableGrid"/>
    <w:uiPriority w:val="59"/>
    <w:rsid w:val="00D450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450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52235"/>
    <w:rPr>
      <w:rFonts w:asciiTheme="majorHAnsi" w:eastAsiaTheme="majorEastAsia" w:hAnsiTheme="majorHAnsi" w:cstheme="majorBidi"/>
      <w:b/>
      <w:bCs/>
      <w:i/>
      <w:iCs/>
      <w:color w:val="4F81BD" w:themeColor="accent1"/>
      <w:sz w:val="24"/>
      <w:szCs w:val="20"/>
    </w:rPr>
  </w:style>
  <w:style w:type="paragraph" w:customStyle="1" w:styleId="Table">
    <w:name w:val="Table"/>
    <w:basedOn w:val="Normal"/>
    <w:link w:val="TableChar"/>
    <w:qFormat/>
    <w:rsid w:val="00652235"/>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652235"/>
    <w:rPr>
      <w:rFonts w:ascii="Candara" w:eastAsiaTheme="majorEastAsia" w:hAnsi="Candara" w:cstheme="majorBidi"/>
      <w:sz w:val="20"/>
      <w:lang w:eastAsia="en-US" w:bidi="en-US"/>
    </w:rPr>
  </w:style>
  <w:style w:type="paragraph" w:customStyle="1" w:styleId="TableCentre">
    <w:name w:val="Table Centre"/>
    <w:basedOn w:val="Table"/>
    <w:uiPriority w:val="99"/>
    <w:qFormat/>
    <w:rsid w:val="00652235"/>
    <w:pPr>
      <w:jc w:val="center"/>
    </w:pPr>
  </w:style>
  <w:style w:type="paragraph" w:customStyle="1" w:styleId="Tabletextbold">
    <w:name w:val="Table text bold"/>
    <w:basedOn w:val="Normal"/>
    <w:link w:val="TabletextboldChar"/>
    <w:rsid w:val="00652235"/>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652235"/>
    <w:rPr>
      <w:rFonts w:ascii="Arial Narrow" w:eastAsia="Times New Roman" w:hAnsi="Arial Narrow" w:cs="Arial"/>
      <w:b/>
      <w:sz w:val="20"/>
      <w:szCs w:val="20"/>
      <w:lang w:eastAsia="en-US"/>
    </w:rPr>
  </w:style>
  <w:style w:type="paragraph" w:customStyle="1" w:styleId="ESHeading2">
    <w:name w:val="ES Heading 2"/>
    <w:basedOn w:val="Heading2"/>
    <w:link w:val="ESHeading2Char"/>
    <w:rsid w:val="00652235"/>
    <w:pPr>
      <w:keepNext/>
      <w:spacing w:after="0"/>
      <w:ind w:left="576" w:hanging="576"/>
      <w:jc w:val="both"/>
    </w:pPr>
    <w:rPr>
      <w:rFonts w:ascii="Garamond" w:hAnsi="Garamond"/>
      <w:b w:val="0"/>
      <w:bCs/>
      <w:i/>
      <w:iCs/>
      <w:szCs w:val="28"/>
    </w:rPr>
  </w:style>
  <w:style w:type="character" w:customStyle="1" w:styleId="ESHeading2Char">
    <w:name w:val="ES Heading 2 Char"/>
    <w:basedOn w:val="Heading2Char"/>
    <w:link w:val="ESHeading2"/>
    <w:rsid w:val="00652235"/>
    <w:rPr>
      <w:rFonts w:ascii="Garamond" w:eastAsia="Times New Roman" w:hAnsi="Garamond"/>
      <w:b w:val="0"/>
      <w:bCs/>
      <w:i/>
      <w:iCs/>
      <w:sz w:val="24"/>
      <w:szCs w:val="28"/>
    </w:rPr>
  </w:style>
  <w:style w:type="table" w:customStyle="1" w:styleId="Submissiontemplate2">
    <w:name w:val="Submission template2"/>
    <w:basedOn w:val="TableNormal"/>
    <w:uiPriority w:val="99"/>
    <w:rsid w:val="00652235"/>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Emphasis">
    <w:name w:val="Emphasis"/>
    <w:uiPriority w:val="20"/>
    <w:qFormat/>
    <w:locked/>
    <w:rsid w:val="00652235"/>
    <w:rPr>
      <w:rFonts w:ascii="Garamond" w:eastAsia="Times New Roman" w:hAnsi="Garamond" w:cs="Times New Roman"/>
      <w:i/>
      <w:sz w:val="24"/>
      <w:szCs w:val="24"/>
    </w:rPr>
  </w:style>
  <w:style w:type="table" w:customStyle="1" w:styleId="Submissiontemplate7">
    <w:name w:val="Submission template7"/>
    <w:basedOn w:val="TableNormal"/>
    <w:uiPriority w:val="99"/>
    <w:rsid w:val="00652235"/>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652235"/>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652235"/>
    <w:rPr>
      <w:rFonts w:ascii="Arial Narrow" w:eastAsia="Times New Roman" w:hAnsi="Arial Narrow" w:cs="Arial"/>
      <w:sz w:val="20"/>
      <w:szCs w:val="20"/>
      <w:lang w:eastAsia="en-US"/>
    </w:rPr>
  </w:style>
  <w:style w:type="paragraph" w:customStyle="1" w:styleId="Tabletextcentred">
    <w:name w:val="Table text centred"/>
    <w:basedOn w:val="Tabletext"/>
    <w:link w:val="TabletextcentredChar"/>
    <w:qFormat/>
    <w:rsid w:val="00652235"/>
    <w:pPr>
      <w:jc w:val="center"/>
    </w:pPr>
  </w:style>
  <w:style w:type="character" w:customStyle="1" w:styleId="TabletextcentredChar">
    <w:name w:val="Table text centred Char"/>
    <w:basedOn w:val="TabletextChar"/>
    <w:link w:val="Tabletextcentred"/>
    <w:rsid w:val="00652235"/>
    <w:rPr>
      <w:rFonts w:ascii="Arial Narrow" w:eastAsia="Times New Roman" w:hAnsi="Arial Narrow"/>
      <w:sz w:val="20"/>
      <w:szCs w:val="24"/>
      <w:lang w:eastAsia="en-US"/>
    </w:rPr>
  </w:style>
  <w:style w:type="character" w:customStyle="1" w:styleId="TableBold">
    <w:name w:val="Table Bold"/>
    <w:uiPriority w:val="4"/>
    <w:qFormat/>
    <w:rsid w:val="00652235"/>
    <w:rPr>
      <w:rFonts w:ascii="Calibri" w:hAnsi="Calibri" w:hint="default"/>
      <w:b/>
      <w:bCs w:val="0"/>
      <w:sz w:val="20"/>
      <w:lang w:val="en-AU"/>
    </w:rPr>
  </w:style>
  <w:style w:type="table" w:customStyle="1" w:styleId="TableGrid12">
    <w:name w:val="Table Grid12"/>
    <w:basedOn w:val="TableNormal"/>
    <w:next w:val="TableGrid"/>
    <w:uiPriority w:val="59"/>
    <w:rsid w:val="00652235"/>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652235"/>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652235"/>
    <w:rPr>
      <w:rFonts w:ascii="Arial" w:eastAsia="Times New Roman" w:hAnsi="Arial" w:cs="Arial"/>
      <w:color w:val="3366FF"/>
      <w:sz w:val="24"/>
      <w:szCs w:val="24"/>
    </w:rPr>
  </w:style>
  <w:style w:type="paragraph" w:styleId="NoSpacing">
    <w:name w:val="No Spacing"/>
    <w:uiPriority w:val="1"/>
    <w:qFormat/>
    <w:rsid w:val="00652235"/>
    <w:rPr>
      <w:rFonts w:asciiTheme="minorHAnsi" w:eastAsiaTheme="minorHAnsi" w:hAnsiTheme="minorHAnsi" w:cstheme="minorBidi"/>
      <w:lang w:eastAsia="en-US"/>
    </w:rPr>
  </w:style>
  <w:style w:type="paragraph" w:customStyle="1" w:styleId="NormalBulletList">
    <w:name w:val="Normal Bullet List"/>
    <w:basedOn w:val="Normal"/>
    <w:uiPriority w:val="3"/>
    <w:qFormat/>
    <w:rsid w:val="00652235"/>
    <w:pPr>
      <w:numPr>
        <w:numId w:val="5"/>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652235"/>
    <w:pPr>
      <w:widowControl w:val="0"/>
    </w:pPr>
    <w:rPr>
      <w:snapToGrid w:val="0"/>
      <w:sz w:val="20"/>
      <w:lang w:val="en-US" w:eastAsia="en-US"/>
    </w:rPr>
  </w:style>
  <w:style w:type="character" w:customStyle="1" w:styleId="EndnoteTextChar">
    <w:name w:val="Endnote Text Char"/>
    <w:basedOn w:val="DefaultParagraphFont"/>
    <w:link w:val="EndnoteText"/>
    <w:rsid w:val="00652235"/>
    <w:rPr>
      <w:rFonts w:eastAsia="Times New Roman"/>
      <w:snapToGrid w:val="0"/>
      <w:sz w:val="20"/>
      <w:szCs w:val="20"/>
      <w:lang w:val="en-US" w:eastAsia="en-US"/>
    </w:rPr>
  </w:style>
  <w:style w:type="character" w:styleId="EndnoteReference">
    <w:name w:val="endnote reference"/>
    <w:basedOn w:val="DefaultParagraphFont"/>
    <w:rsid w:val="00652235"/>
    <w:rPr>
      <w:vertAlign w:val="superscript"/>
    </w:rPr>
  </w:style>
  <w:style w:type="character" w:customStyle="1" w:styleId="SmallBold">
    <w:name w:val="Small Bold"/>
    <w:basedOn w:val="DefaultParagraphFont"/>
    <w:uiPriority w:val="4"/>
    <w:qFormat/>
    <w:rsid w:val="00652235"/>
    <w:rPr>
      <w:rFonts w:ascii="Candara" w:hAnsi="Candara"/>
      <w:b/>
      <w:sz w:val="20"/>
      <w:lang w:val="en-AU"/>
    </w:rPr>
  </w:style>
  <w:style w:type="table" w:customStyle="1" w:styleId="Submissiontemplate">
    <w:name w:val="Submission template"/>
    <w:basedOn w:val="TableNormal"/>
    <w:uiPriority w:val="99"/>
    <w:rsid w:val="00652235"/>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table" w:customStyle="1" w:styleId="TableGrid2">
    <w:name w:val="Table Grid2"/>
    <w:basedOn w:val="TableNormal"/>
    <w:next w:val="TableGrid"/>
    <w:rsid w:val="00652235"/>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numbering" w:customStyle="1" w:styleId="Heading1a">
    <w:name w:val="Heading 1a"/>
    <w:basedOn w:val="NoList"/>
    <w:uiPriority w:val="99"/>
    <w:rsid w:val="00652235"/>
    <w:pPr>
      <w:numPr>
        <w:numId w:val="6"/>
      </w:numPr>
    </w:pPr>
  </w:style>
  <w:style w:type="paragraph" w:customStyle="1" w:styleId="Tabletext-left">
    <w:name w:val="Table text - left"/>
    <w:basedOn w:val="Normal"/>
    <w:link w:val="Tabletext-leftChar"/>
    <w:rsid w:val="00652235"/>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652235"/>
    <w:rPr>
      <w:rFonts w:asciiTheme="minorHAnsi" w:eastAsia="Times New Roman" w:hAnsiTheme="minorHAnsi" w:cs="Arial"/>
      <w:sz w:val="20"/>
      <w:szCs w:val="20"/>
      <w:lang w:eastAsia="en-US"/>
    </w:rPr>
  </w:style>
  <w:style w:type="table" w:customStyle="1" w:styleId="TableGrid9">
    <w:name w:val="Table Grid9"/>
    <w:basedOn w:val="TableNormal"/>
    <w:next w:val="TableGrid"/>
    <w:uiPriority w:val="39"/>
    <w:rsid w:val="0065223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52235"/>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paragraph" w:customStyle="1" w:styleId="TableText0">
    <w:name w:val="Table Text"/>
    <w:basedOn w:val="Normal"/>
    <w:link w:val="TableTextChar0"/>
    <w:rsid w:val="00652235"/>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652235"/>
    <w:rPr>
      <w:rFonts w:ascii="Arial Narrow" w:eastAsia="Times New Roman" w:hAnsi="Arial Narrow" w:cs="Tahoma"/>
      <w:sz w:val="20"/>
      <w:lang w:eastAsia="en-US"/>
    </w:rPr>
  </w:style>
  <w:style w:type="paragraph" w:customStyle="1" w:styleId="Critiquecaptions">
    <w:name w:val="Critique captions"/>
    <w:basedOn w:val="Caption"/>
    <w:link w:val="CritiquecaptionsChar"/>
    <w:qFormat/>
    <w:rsid w:val="00652235"/>
    <w:pPr>
      <w:spacing w:after="120"/>
      <w:jc w:val="left"/>
      <w:outlineLvl w:val="9"/>
    </w:pPr>
    <w:rPr>
      <w:rFonts w:cs="Tahoma"/>
      <w:i/>
      <w:iCs w:val="0"/>
      <w:color w:val="FF0000"/>
      <w:szCs w:val="22"/>
      <w:lang w:eastAsia="en-AU"/>
    </w:rPr>
  </w:style>
  <w:style w:type="character" w:customStyle="1" w:styleId="CritiquecaptionsChar">
    <w:name w:val="Critique captions Char"/>
    <w:basedOn w:val="DefaultParagraphFont"/>
    <w:link w:val="Critiquecaptions"/>
    <w:rsid w:val="00652235"/>
    <w:rPr>
      <w:rFonts w:ascii="Arial Narrow" w:eastAsia="Times New Roman" w:hAnsi="Arial Narrow" w:cs="Tahoma"/>
      <w:b/>
      <w:bCs/>
      <w:i/>
      <w:color w:val="FF0000"/>
      <w:sz w:val="20"/>
    </w:rPr>
  </w:style>
  <w:style w:type="table" w:customStyle="1" w:styleId="TableGrid4">
    <w:name w:val="Table Grid4"/>
    <w:basedOn w:val="TableNormal"/>
    <w:next w:val="TableGrid"/>
    <w:uiPriority w:val="59"/>
    <w:rsid w:val="0065223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52235"/>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223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52235"/>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223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52235"/>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iquemainbody">
    <w:name w:val="Critique main body"/>
    <w:basedOn w:val="Normal"/>
    <w:link w:val="CritiquemainbodyChar"/>
    <w:qFormat/>
    <w:rsid w:val="00652235"/>
    <w:pPr>
      <w:spacing w:after="240" w:line="312" w:lineRule="auto"/>
      <w:jc w:val="both"/>
    </w:pPr>
    <w:rPr>
      <w:rFonts w:ascii="Calibri" w:hAnsi="Calibri" w:cs="Tahoma"/>
      <w:i/>
      <w:color w:val="FF0000"/>
      <w:sz w:val="22"/>
      <w:szCs w:val="22"/>
    </w:rPr>
  </w:style>
  <w:style w:type="character" w:customStyle="1" w:styleId="CritiquemainbodyChar">
    <w:name w:val="Critique main body Char"/>
    <w:basedOn w:val="DefaultParagraphFont"/>
    <w:link w:val="Critiquemainbody"/>
    <w:rsid w:val="00652235"/>
    <w:rPr>
      <w:rFonts w:ascii="Calibri" w:eastAsia="Times New Roman" w:hAnsi="Calibri" w:cs="Tahoma"/>
      <w:i/>
      <w:color w:val="FF0000"/>
    </w:rPr>
  </w:style>
  <w:style w:type="paragraph" w:customStyle="1" w:styleId="Critiquetabletext">
    <w:name w:val="Critique table text"/>
    <w:basedOn w:val="Tabletext"/>
    <w:link w:val="CritiquetabletextChar"/>
    <w:qFormat/>
    <w:rsid w:val="00652235"/>
    <w:rPr>
      <w:rFonts w:cs="Tahoma"/>
      <w:color w:val="FF0000"/>
      <w:szCs w:val="20"/>
    </w:rPr>
  </w:style>
  <w:style w:type="paragraph" w:customStyle="1" w:styleId="Critiquetablenotes">
    <w:name w:val="Critique table notes"/>
    <w:basedOn w:val="Tablenotes"/>
    <w:link w:val="CritiquetablenotesChar"/>
    <w:qFormat/>
    <w:rsid w:val="00652235"/>
    <w:pPr>
      <w:spacing w:before="0"/>
      <w:jc w:val="both"/>
    </w:pPr>
    <w:rPr>
      <w:i/>
      <w:color w:val="FF0000"/>
    </w:rPr>
  </w:style>
  <w:style w:type="character" w:customStyle="1" w:styleId="CritiquetabletextChar">
    <w:name w:val="Critique table text Char"/>
    <w:basedOn w:val="TabletextChar"/>
    <w:link w:val="Critiquetabletext"/>
    <w:rsid w:val="00652235"/>
    <w:rPr>
      <w:rFonts w:ascii="Arial Narrow" w:eastAsia="Times New Roman" w:hAnsi="Arial Narrow" w:cs="Tahoma"/>
      <w:color w:val="FF0000"/>
      <w:sz w:val="20"/>
      <w:szCs w:val="20"/>
      <w:lang w:eastAsia="en-US"/>
    </w:rPr>
  </w:style>
  <w:style w:type="character" w:customStyle="1" w:styleId="CritiquetablenotesChar">
    <w:name w:val="Critique table notes Char"/>
    <w:basedOn w:val="TablenotesChar"/>
    <w:link w:val="Critiquetablenotes"/>
    <w:rsid w:val="00652235"/>
    <w:rPr>
      <w:rFonts w:ascii="Arial Narrow" w:eastAsia="Times New Roman" w:hAnsi="Arial Narrow" w:cs="Arial"/>
      <w:i/>
      <w:snapToGrid w:val="0"/>
      <w:color w:val="FF0000"/>
      <w:sz w:val="18"/>
      <w:szCs w:val="20"/>
      <w:lang w:eastAsia="en-US"/>
    </w:rPr>
  </w:style>
  <w:style w:type="table" w:customStyle="1" w:styleId="TableGrid3">
    <w:name w:val="Table Grid3"/>
    <w:basedOn w:val="TableNormal"/>
    <w:next w:val="TableGrid"/>
    <w:uiPriority w:val="59"/>
    <w:rsid w:val="0065223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2235"/>
    <w:pPr>
      <w:spacing w:before="100" w:beforeAutospacing="1" w:after="100" w:afterAutospacing="1"/>
    </w:pPr>
    <w:rPr>
      <w:szCs w:val="24"/>
    </w:rPr>
  </w:style>
  <w:style w:type="table" w:customStyle="1" w:styleId="TableGrid7">
    <w:name w:val="Table Grid7"/>
    <w:basedOn w:val="TableNormal"/>
    <w:next w:val="TableGrid"/>
    <w:uiPriority w:val="39"/>
    <w:rsid w:val="0065223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636DE"/>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3636DE"/>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AA9"/>
    <w:rPr>
      <w:rFonts w:eastAsia="Times New Roman"/>
      <w:sz w:val="24"/>
      <w:szCs w:val="20"/>
    </w:rPr>
  </w:style>
  <w:style w:type="character" w:styleId="Strong">
    <w:name w:val="Strong"/>
    <w:basedOn w:val="DefaultParagraphFont"/>
    <w:uiPriority w:val="22"/>
    <w:qFormat/>
    <w:locked/>
    <w:rsid w:val="00044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 w:id="17644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1518-publi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sac.gov.au/" TargetMode="External"/><Relationship Id="rId23" Type="http://schemas.openxmlformats.org/officeDocument/2006/relationships/theme" Target="theme/theme1.xml"/><Relationship Id="rId10" Type="http://schemas.openxmlformats.org/officeDocument/2006/relationships/hyperlink" Target="https://www.ebs.tga.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518-publi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40E9-713B-4B39-8517-950E9FEE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11343</Words>
  <Characters>63849</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 Final PSD_Jul2020</dc:title>
  <dc:creator/>
  <cp:lastModifiedBy/>
  <cp:revision>1</cp:revision>
  <dcterms:created xsi:type="dcterms:W3CDTF">2020-10-20T22:09:00Z</dcterms:created>
  <dcterms:modified xsi:type="dcterms:W3CDTF">2020-10-20T22:09:00Z</dcterms:modified>
</cp:coreProperties>
</file>