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2100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07E72385" wp14:editId="494A573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B7DE429"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7A6F042" w14:textId="77777777" w:rsidR="00BC1364" w:rsidRPr="00F5027D" w:rsidRDefault="00BC1364" w:rsidP="00F5027D">
      <w:pPr>
        <w:pStyle w:val="Subtitle"/>
        <w:rPr>
          <w:iCs/>
        </w:rPr>
      </w:pPr>
      <w:r w:rsidRPr="00F715D1">
        <w:t xml:space="preserve">Application No. </w:t>
      </w:r>
      <w:r w:rsidR="00240BC0">
        <w:t>1440.1</w:t>
      </w:r>
      <w:r w:rsidR="008B100F" w:rsidRPr="008B100F">
        <w:t xml:space="preserve">- </w:t>
      </w:r>
      <w:r w:rsidR="00240BC0" w:rsidRPr="00240BC0">
        <w:rPr>
          <w:iCs/>
        </w:rPr>
        <w:t>PD-L1 testing for access to pembrolizumab in treatment naïve patients with locally advanced or metastatic non-small cell lung cancer</w:t>
      </w:r>
    </w:p>
    <w:p w14:paraId="4A5BD517"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40BC0" w:rsidRPr="00240BC0">
        <w:rPr>
          <w:rFonts w:ascii="Arial" w:hAnsi="Arial" w:cs="Arial"/>
          <w:b/>
          <w:bCs/>
          <w:szCs w:val="24"/>
        </w:rPr>
        <w:t>Merck, Sharp &amp; Dohme (Australia) Pty Ltd</w:t>
      </w:r>
    </w:p>
    <w:p w14:paraId="400AA747"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73C0130D"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AA7C5C5" w14:textId="77777777" w:rsidR="003D7F29" w:rsidRPr="00F715D1" w:rsidRDefault="003D7F29" w:rsidP="00F715D1">
      <w:pPr>
        <w:pStyle w:val="Heading1"/>
      </w:pPr>
      <w:r w:rsidRPr="00F715D1">
        <w:t>Purpose of application</w:t>
      </w:r>
    </w:p>
    <w:p w14:paraId="015AEDB6" w14:textId="1A42E771" w:rsidR="00DC44DA" w:rsidRPr="00213FBA" w:rsidRDefault="00DC44DA" w:rsidP="00DC44DA">
      <w:pPr>
        <w:tabs>
          <w:tab w:val="left" w:pos="720"/>
          <w:tab w:val="left" w:pos="1140"/>
        </w:tabs>
        <w:spacing w:after="120"/>
        <w:rPr>
          <w:szCs w:val="24"/>
        </w:rPr>
      </w:pPr>
      <w:r w:rsidRPr="00213FBA">
        <w:rPr>
          <w:szCs w:val="24"/>
        </w:rPr>
        <w:t>The integrated codependent resubmission requested:</w:t>
      </w:r>
    </w:p>
    <w:p w14:paraId="185E1C1D" w14:textId="77777777" w:rsidR="00DC44DA" w:rsidRPr="00213FBA" w:rsidRDefault="00DC44DA" w:rsidP="00DC44DA">
      <w:pPr>
        <w:numPr>
          <w:ilvl w:val="0"/>
          <w:numId w:val="26"/>
        </w:numPr>
        <w:tabs>
          <w:tab w:val="clear" w:pos="1080"/>
          <w:tab w:val="left" w:pos="709"/>
        </w:tabs>
        <w:ind w:left="709" w:hanging="349"/>
        <w:rPr>
          <w:szCs w:val="24"/>
        </w:rPr>
      </w:pPr>
      <w:r w:rsidRPr="00213FBA">
        <w:rPr>
          <w:szCs w:val="24"/>
        </w:rPr>
        <w:t>Medicare Benefits Schedule (MBS) listing of immunohistochemistry (IHC) testing for the evaluation of programmed cell death ligand 1 (PD-L1) expression in patients diagnosed with metastatic non-small cell lung cancer (NSCLC); and</w:t>
      </w:r>
    </w:p>
    <w:p w14:paraId="6D693277" w14:textId="77777777" w:rsidR="00DC44DA" w:rsidRPr="00213FBA" w:rsidRDefault="00DC44DA" w:rsidP="00DC44DA">
      <w:pPr>
        <w:pStyle w:val="ListParagraph"/>
        <w:numPr>
          <w:ilvl w:val="0"/>
          <w:numId w:val="26"/>
        </w:numPr>
        <w:tabs>
          <w:tab w:val="clear" w:pos="1080"/>
          <w:tab w:val="num" w:pos="709"/>
        </w:tabs>
        <w:spacing w:before="120" w:after="120"/>
        <w:ind w:left="709" w:hanging="352"/>
      </w:pPr>
      <w:r w:rsidRPr="00213FBA">
        <w:t>Section 100 (Efficient Funding of Chemotherapy [EFC]) Authority Required Pharmaceutical Benefits Scheme (PBS) listing for first-line treatment with pembrolizumab of those patients with a performance status of 0 or 1, who do not have an activating epidermal growth factor receptor (</w:t>
      </w:r>
      <w:r w:rsidRPr="0080094D">
        <w:rPr>
          <w:i/>
        </w:rPr>
        <w:t>EGFR</w:t>
      </w:r>
      <w:r w:rsidRPr="00213FBA">
        <w:t>) gene mutation or an anaplastic lymphoma kinase (</w:t>
      </w:r>
      <w:r w:rsidRPr="0080094D">
        <w:rPr>
          <w:i/>
        </w:rPr>
        <w:t>ALK</w:t>
      </w:r>
      <w:r w:rsidRPr="00213FBA">
        <w:t>) gene rearrangement in tumour material, and whose IHC results show evidence of high levels of PD-L1 expression, defined as a tumour proportion score (TPS) of ≥50%.</w:t>
      </w:r>
    </w:p>
    <w:p w14:paraId="77C1F1D5" w14:textId="77777777" w:rsidR="00E977EE" w:rsidRPr="00F715D1" w:rsidRDefault="00E977EE" w:rsidP="00F715D1">
      <w:pPr>
        <w:pStyle w:val="Heading1"/>
      </w:pPr>
      <w:r w:rsidRPr="00F715D1">
        <w:t>MSAC’s advice to the Minister</w:t>
      </w:r>
    </w:p>
    <w:p w14:paraId="66675E81" w14:textId="77777777" w:rsidR="003E4D70" w:rsidRDefault="00C0051D" w:rsidP="003E4D70">
      <w:pPr>
        <w:spacing w:before="240" w:after="240"/>
        <w:rPr>
          <w:sz w:val="23"/>
          <w:szCs w:val="23"/>
        </w:rPr>
      </w:pPr>
      <w:r w:rsidRPr="00C0051D">
        <w:rPr>
          <w:szCs w:val="24"/>
        </w:rPr>
        <w:t xml:space="preserve">After considering the strength of the available evidence in relation to comparative safety, clinical effectiveness and cost effectiveness, </w:t>
      </w:r>
      <w:r w:rsidR="003E4D70">
        <w:rPr>
          <w:szCs w:val="24"/>
        </w:rPr>
        <w:t xml:space="preserve">MSAC </w:t>
      </w:r>
      <w:r w:rsidR="005F7A45">
        <w:rPr>
          <w:sz w:val="23"/>
          <w:szCs w:val="23"/>
        </w:rPr>
        <w:t xml:space="preserve">deferred its advice until such time as PBAC subsequently decides to recommend the PBS listing of </w:t>
      </w:r>
      <w:r w:rsidR="005F7A45">
        <w:rPr>
          <w:szCs w:val="24"/>
        </w:rPr>
        <w:t>pembrolizumab for this population</w:t>
      </w:r>
      <w:r w:rsidR="005F7A45" w:rsidRPr="0002586B">
        <w:rPr>
          <w:sz w:val="23"/>
          <w:szCs w:val="23"/>
        </w:rPr>
        <w:t>.</w:t>
      </w:r>
      <w:r w:rsidR="005F7A45">
        <w:rPr>
          <w:sz w:val="23"/>
          <w:szCs w:val="23"/>
        </w:rPr>
        <w:t xml:space="preserve"> MSAC </w:t>
      </w:r>
      <w:r w:rsidR="003E4D70">
        <w:rPr>
          <w:szCs w:val="24"/>
        </w:rPr>
        <w:t xml:space="preserve">foreshadowed </w:t>
      </w:r>
      <w:r w:rsidR="003E4D70">
        <w:rPr>
          <w:sz w:val="23"/>
          <w:szCs w:val="23"/>
        </w:rPr>
        <w:t xml:space="preserve">its </w:t>
      </w:r>
      <w:r w:rsidR="003E4D70" w:rsidRPr="0002586B">
        <w:rPr>
          <w:sz w:val="23"/>
          <w:szCs w:val="23"/>
        </w:rPr>
        <w:t>support</w:t>
      </w:r>
      <w:r w:rsidR="003E4D70">
        <w:rPr>
          <w:sz w:val="23"/>
          <w:szCs w:val="23"/>
        </w:rPr>
        <w:t xml:space="preserve"> for</w:t>
      </w:r>
      <w:r w:rsidR="003E4D70" w:rsidRPr="0002586B">
        <w:rPr>
          <w:sz w:val="23"/>
          <w:szCs w:val="23"/>
        </w:rPr>
        <w:t xml:space="preserve"> </w:t>
      </w:r>
      <w:r w:rsidR="003E4D70">
        <w:rPr>
          <w:sz w:val="23"/>
          <w:szCs w:val="23"/>
        </w:rPr>
        <w:t xml:space="preserve">a new </w:t>
      </w:r>
      <w:r w:rsidR="003E4D70" w:rsidRPr="0002586B">
        <w:rPr>
          <w:sz w:val="23"/>
          <w:szCs w:val="23"/>
        </w:rPr>
        <w:t xml:space="preserve">MBS </w:t>
      </w:r>
      <w:r w:rsidR="003E4D70">
        <w:rPr>
          <w:sz w:val="23"/>
          <w:szCs w:val="23"/>
        </w:rPr>
        <w:t xml:space="preserve">item for the immunohistochemistry testing of </w:t>
      </w:r>
      <w:r w:rsidR="003E4D70" w:rsidRPr="00FE31A7">
        <w:rPr>
          <w:sz w:val="23"/>
          <w:szCs w:val="23"/>
        </w:rPr>
        <w:t>programmed cell death ligand 1 (</w:t>
      </w:r>
      <w:r w:rsidR="003E4D70">
        <w:rPr>
          <w:szCs w:val="24"/>
        </w:rPr>
        <w:t>PD-L1) expression</w:t>
      </w:r>
      <w:r w:rsidR="003E4D70" w:rsidRPr="0002586B">
        <w:rPr>
          <w:sz w:val="23"/>
          <w:szCs w:val="23"/>
        </w:rPr>
        <w:t xml:space="preserve"> to </w:t>
      </w:r>
      <w:r w:rsidR="003E4D70">
        <w:rPr>
          <w:sz w:val="23"/>
          <w:szCs w:val="23"/>
        </w:rPr>
        <w:t xml:space="preserve">help </w:t>
      </w:r>
      <w:r w:rsidR="003E4D70" w:rsidRPr="0002586B">
        <w:rPr>
          <w:sz w:val="23"/>
          <w:szCs w:val="23"/>
        </w:rPr>
        <w:t xml:space="preserve">determine eligibility for PBS-subsidised </w:t>
      </w:r>
      <w:r w:rsidR="003E4D70">
        <w:rPr>
          <w:szCs w:val="24"/>
        </w:rPr>
        <w:t>pembrolizumab</w:t>
      </w:r>
      <w:r w:rsidR="003E4D70" w:rsidRPr="0002586B">
        <w:rPr>
          <w:sz w:val="23"/>
          <w:szCs w:val="23"/>
        </w:rPr>
        <w:t xml:space="preserve"> in patients with </w:t>
      </w:r>
      <w:r w:rsidR="003E4D70" w:rsidRPr="002B0A92">
        <w:rPr>
          <w:spacing w:val="5"/>
          <w:szCs w:val="24"/>
        </w:rPr>
        <w:t>locally advanced or metastatic</w:t>
      </w:r>
      <w:r w:rsidR="003E4D70">
        <w:rPr>
          <w:spacing w:val="5"/>
          <w:szCs w:val="24"/>
        </w:rPr>
        <w:t xml:space="preserve"> NSCLC</w:t>
      </w:r>
      <w:r w:rsidR="003E4D70" w:rsidRPr="0002586B">
        <w:rPr>
          <w:sz w:val="23"/>
          <w:szCs w:val="23"/>
        </w:rPr>
        <w:t>.</w:t>
      </w:r>
    </w:p>
    <w:p w14:paraId="26A16AE2" w14:textId="77777777" w:rsidR="00DA6102" w:rsidRPr="00C0051D" w:rsidRDefault="00DA6102" w:rsidP="003E4D70">
      <w:pPr>
        <w:spacing w:after="160"/>
        <w:rPr>
          <w:szCs w:val="24"/>
        </w:rPr>
      </w:pPr>
      <w:r>
        <w:rPr>
          <w:szCs w:val="24"/>
        </w:rPr>
        <w:t xml:space="preserve">MSAC </w:t>
      </w:r>
      <w:r w:rsidR="005F7A45">
        <w:rPr>
          <w:szCs w:val="24"/>
        </w:rPr>
        <w:t>advised that</w:t>
      </w:r>
      <w:r>
        <w:rPr>
          <w:szCs w:val="24"/>
        </w:rPr>
        <w:t xml:space="preserve"> an MBS fee of $74.50 would be appropriate as the test requires quantitative assessment.</w:t>
      </w:r>
    </w:p>
    <w:p w14:paraId="198E28C9" w14:textId="77777777" w:rsidR="00550354" w:rsidRPr="00F715D1" w:rsidRDefault="00550354" w:rsidP="00F715D1">
      <w:pPr>
        <w:pStyle w:val="Heading1"/>
      </w:pPr>
      <w:r w:rsidRPr="00F715D1">
        <w:t xml:space="preserve">Summary of consideration and rationale for MSAC’s advice </w:t>
      </w:r>
    </w:p>
    <w:p w14:paraId="7DBF61D6" w14:textId="13B59AB8" w:rsidR="00B305BA" w:rsidRDefault="00B305BA" w:rsidP="00CB7E40">
      <w:pPr>
        <w:spacing w:after="160"/>
        <w:rPr>
          <w:rFonts w:eastAsia="Calibri"/>
          <w:szCs w:val="24"/>
          <w:lang w:eastAsia="en-US"/>
        </w:rPr>
      </w:pPr>
      <w:r w:rsidRPr="00B305BA">
        <w:rPr>
          <w:rFonts w:eastAsia="Calibri"/>
          <w:szCs w:val="24"/>
          <w:lang w:eastAsia="en-US"/>
        </w:rPr>
        <w:t xml:space="preserve">MSAC noted that this was a resubmission for an application which it did not support in April 2017 to list programmed cell death ligand 1 (PD-L1) immunohistochemistry (IHC) testing in </w:t>
      </w:r>
      <w:r w:rsidRPr="00B305BA">
        <w:rPr>
          <w:rFonts w:eastAsia="Calibri"/>
          <w:szCs w:val="24"/>
          <w:lang w:eastAsia="en-US"/>
        </w:rPr>
        <w:lastRenderedPageBreak/>
        <w:t>the MBS (</w:t>
      </w:r>
      <w:hyperlink r:id="rId10" w:history="1">
        <w:r w:rsidRPr="00B305BA">
          <w:rPr>
            <w:rFonts w:eastAsia="Calibri"/>
            <w:color w:val="0563C1"/>
            <w:szCs w:val="24"/>
            <w:u w:val="single"/>
            <w:lang w:eastAsia="en-US"/>
          </w:rPr>
          <w:t>MSAC PSD Application 1440, April 2017</w:t>
        </w:r>
      </w:hyperlink>
      <w:r w:rsidRPr="00B305BA">
        <w:rPr>
          <w:rFonts w:eastAsia="Calibri"/>
          <w:szCs w:val="24"/>
          <w:lang w:eastAsia="en-US"/>
        </w:rPr>
        <w:t xml:space="preserve">). MSAC recalled it had not previously supported the application because it considered PD-L1 testing to be a poor companion diagnostic test with insufficient evidence of analytical and clinical validity, and clinical utility. MSAC also recalled that it considered PD-L1 to be </w:t>
      </w:r>
      <w:r w:rsidR="00363DC9">
        <w:rPr>
          <w:rFonts w:eastAsia="Calibri"/>
          <w:szCs w:val="24"/>
          <w:lang w:eastAsia="en-US"/>
        </w:rPr>
        <w:t xml:space="preserve">such </w:t>
      </w:r>
      <w:r w:rsidRPr="00B305BA">
        <w:rPr>
          <w:rFonts w:eastAsia="Calibri"/>
          <w:szCs w:val="24"/>
          <w:lang w:eastAsia="en-US"/>
        </w:rPr>
        <w:t xml:space="preserve">an imperfect biomarker </w:t>
      </w:r>
      <w:r w:rsidR="00363DC9">
        <w:rPr>
          <w:rFonts w:eastAsia="Calibri"/>
          <w:szCs w:val="24"/>
          <w:lang w:eastAsia="en-US"/>
        </w:rPr>
        <w:t>it</w:t>
      </w:r>
      <w:r w:rsidR="00363DC9" w:rsidRPr="00B305BA">
        <w:rPr>
          <w:rFonts w:eastAsia="Calibri"/>
          <w:szCs w:val="24"/>
          <w:lang w:eastAsia="en-US"/>
        </w:rPr>
        <w:t xml:space="preserve"> </w:t>
      </w:r>
      <w:r w:rsidRPr="00B305BA">
        <w:rPr>
          <w:rFonts w:eastAsia="Calibri"/>
          <w:szCs w:val="24"/>
          <w:lang w:eastAsia="en-US"/>
        </w:rPr>
        <w:t>might exclude patients who may benefit from pembrolizumab from treatment.</w:t>
      </w:r>
    </w:p>
    <w:p w14:paraId="32193F23" w14:textId="5B837BD6" w:rsidR="000C4EF6" w:rsidRPr="00B305BA" w:rsidRDefault="000C4EF6" w:rsidP="00CB7E40">
      <w:pPr>
        <w:spacing w:after="160"/>
        <w:rPr>
          <w:rFonts w:eastAsia="Calibri"/>
          <w:szCs w:val="24"/>
          <w:lang w:eastAsia="en-US"/>
        </w:rPr>
      </w:pPr>
      <w:r>
        <w:rPr>
          <w:rFonts w:eastAsia="Calibri"/>
          <w:szCs w:val="24"/>
          <w:lang w:eastAsia="en-US"/>
        </w:rPr>
        <w:t xml:space="preserve">MSAC considered that </w:t>
      </w:r>
      <w:r w:rsidRPr="00B305BA">
        <w:rPr>
          <w:rFonts w:eastAsia="Calibri"/>
          <w:szCs w:val="24"/>
          <w:lang w:eastAsia="en-US"/>
        </w:rPr>
        <w:t>the development of a Royal College of Pathologists (RCPA) quality assurance program which is currently in the pilot stage</w:t>
      </w:r>
      <w:r>
        <w:rPr>
          <w:rFonts w:eastAsia="Calibri"/>
          <w:szCs w:val="24"/>
          <w:lang w:eastAsia="en-US"/>
        </w:rPr>
        <w:t xml:space="preserve"> had addressed one of its concerns. However, the most influential development since the previous consideration was the PBS listing of </w:t>
      </w:r>
      <w:r w:rsidRPr="00B305BA">
        <w:rPr>
          <w:rFonts w:eastAsia="Calibri"/>
          <w:szCs w:val="24"/>
          <w:lang w:eastAsia="en-US"/>
        </w:rPr>
        <w:t xml:space="preserve">an alternative PD-L1 inhibitor, nivolumab, </w:t>
      </w:r>
      <w:r>
        <w:rPr>
          <w:rFonts w:eastAsia="Calibri"/>
          <w:szCs w:val="24"/>
          <w:lang w:eastAsia="en-US"/>
        </w:rPr>
        <w:t xml:space="preserve">for </w:t>
      </w:r>
      <w:r w:rsidRPr="00B305BA">
        <w:rPr>
          <w:rFonts w:eastAsia="Calibri"/>
          <w:szCs w:val="24"/>
          <w:lang w:eastAsia="en-US"/>
        </w:rPr>
        <w:t xml:space="preserve">second-line treatment </w:t>
      </w:r>
      <w:r>
        <w:rPr>
          <w:rFonts w:eastAsia="Calibri"/>
          <w:szCs w:val="24"/>
          <w:lang w:eastAsia="en-US"/>
        </w:rPr>
        <w:t xml:space="preserve">of patients with </w:t>
      </w:r>
      <w:r w:rsidR="00ED1507">
        <w:rPr>
          <w:rFonts w:eastAsia="Calibri"/>
          <w:szCs w:val="24"/>
          <w:lang w:eastAsia="en-US"/>
        </w:rPr>
        <w:t xml:space="preserve">metastatic </w:t>
      </w:r>
      <w:r>
        <w:rPr>
          <w:rFonts w:eastAsia="Calibri"/>
          <w:szCs w:val="24"/>
          <w:lang w:eastAsia="en-US"/>
        </w:rPr>
        <w:t xml:space="preserve">NSCLC </w:t>
      </w:r>
      <w:r w:rsidRPr="00B305BA">
        <w:rPr>
          <w:rFonts w:eastAsia="Calibri"/>
          <w:szCs w:val="24"/>
          <w:lang w:eastAsia="en-US"/>
        </w:rPr>
        <w:t>w</w:t>
      </w:r>
      <w:r>
        <w:rPr>
          <w:rFonts w:eastAsia="Calibri"/>
          <w:szCs w:val="24"/>
          <w:lang w:eastAsia="en-US"/>
        </w:rPr>
        <w:t xml:space="preserve">hose </w:t>
      </w:r>
      <w:r w:rsidRPr="00B305BA">
        <w:rPr>
          <w:rFonts w:eastAsia="Calibri"/>
          <w:szCs w:val="24"/>
          <w:lang w:eastAsia="en-US"/>
        </w:rPr>
        <w:t xml:space="preserve">disease </w:t>
      </w:r>
      <w:r>
        <w:rPr>
          <w:rFonts w:eastAsia="Calibri"/>
          <w:szCs w:val="24"/>
          <w:lang w:eastAsia="en-US"/>
        </w:rPr>
        <w:t xml:space="preserve">had </w:t>
      </w:r>
      <w:r w:rsidRPr="00B305BA">
        <w:rPr>
          <w:rFonts w:eastAsia="Calibri"/>
          <w:szCs w:val="24"/>
          <w:lang w:eastAsia="en-US"/>
        </w:rPr>
        <w:t>progressed following treatment with platinum-based chemotherapy</w:t>
      </w:r>
      <w:r w:rsidR="00791A4B">
        <w:rPr>
          <w:rFonts w:eastAsia="Calibri"/>
          <w:szCs w:val="24"/>
          <w:lang w:eastAsia="en-US"/>
        </w:rPr>
        <w:t xml:space="preserve"> without there being a requirement for PD-L1 testing</w:t>
      </w:r>
      <w:r>
        <w:rPr>
          <w:rFonts w:eastAsia="Calibri"/>
          <w:szCs w:val="24"/>
          <w:lang w:eastAsia="en-US"/>
        </w:rPr>
        <w:t>. This changed the clinical utility consequences of poor PD-L1 IHC test performance, because most patients with advanced NSCLC who test negative (correctly or not) for treatment with pembrolizumab</w:t>
      </w:r>
      <w:r w:rsidR="00540A74">
        <w:rPr>
          <w:rFonts w:eastAsia="Calibri"/>
          <w:szCs w:val="24"/>
          <w:lang w:eastAsia="en-US"/>
        </w:rPr>
        <w:t xml:space="preserve"> would </w:t>
      </w:r>
      <w:r w:rsidR="00363DC9">
        <w:rPr>
          <w:rFonts w:eastAsia="Calibri"/>
          <w:szCs w:val="24"/>
          <w:lang w:eastAsia="en-US"/>
        </w:rPr>
        <w:t>now have access to</w:t>
      </w:r>
      <w:r w:rsidR="00540A74">
        <w:rPr>
          <w:rFonts w:eastAsia="Calibri"/>
          <w:szCs w:val="24"/>
          <w:lang w:eastAsia="en-US"/>
        </w:rPr>
        <w:t xml:space="preserve"> nivolumab in due course.</w:t>
      </w:r>
    </w:p>
    <w:p w14:paraId="3EB21B97" w14:textId="4D2F998C" w:rsidR="00B305BA" w:rsidRPr="00B305BA" w:rsidRDefault="00B305BA" w:rsidP="00CB7E40">
      <w:pPr>
        <w:spacing w:after="160"/>
        <w:rPr>
          <w:rFonts w:eastAsia="Calibri"/>
          <w:szCs w:val="24"/>
          <w:lang w:eastAsia="en-US"/>
        </w:rPr>
      </w:pPr>
      <w:r w:rsidRPr="00B305BA">
        <w:rPr>
          <w:rFonts w:eastAsia="Calibri"/>
          <w:szCs w:val="24"/>
          <w:lang w:eastAsia="en-US"/>
        </w:rPr>
        <w:t xml:space="preserve">As a result, MSAC </w:t>
      </w:r>
      <w:r w:rsidR="00ED1507">
        <w:rPr>
          <w:rFonts w:eastAsia="Calibri"/>
          <w:szCs w:val="24"/>
          <w:lang w:eastAsia="en-US"/>
        </w:rPr>
        <w:t xml:space="preserve">considered </w:t>
      </w:r>
      <w:r w:rsidRPr="00B305BA">
        <w:rPr>
          <w:rFonts w:eastAsia="Calibri"/>
          <w:szCs w:val="24"/>
          <w:lang w:eastAsia="en-US"/>
        </w:rPr>
        <w:t>that supporting PD-L1 testing for access to pembrolizumab was unlikely to cause harm provided the risk and benefit profiles of pembrolizumab and nivolumab are similar. MSAC noted that decisions about the comparative safety and effectiveness of the two medicines fel</w:t>
      </w:r>
      <w:r w:rsidR="00ED1507">
        <w:rPr>
          <w:rFonts w:eastAsia="Calibri"/>
          <w:szCs w:val="24"/>
          <w:lang w:eastAsia="en-US"/>
        </w:rPr>
        <w:t>l within the remit of the PBAC.</w:t>
      </w:r>
    </w:p>
    <w:p w14:paraId="1640B69C" w14:textId="005CFD7E" w:rsidR="00B305BA" w:rsidRPr="00B305BA" w:rsidRDefault="00B305BA" w:rsidP="00CB7E40">
      <w:pPr>
        <w:spacing w:after="160"/>
        <w:rPr>
          <w:rFonts w:eastAsia="Calibri"/>
          <w:szCs w:val="24"/>
          <w:lang w:eastAsia="en-US"/>
        </w:rPr>
      </w:pPr>
      <w:r w:rsidRPr="00B305BA">
        <w:rPr>
          <w:rFonts w:eastAsia="Calibri"/>
          <w:szCs w:val="24"/>
          <w:lang w:eastAsia="en-US"/>
        </w:rPr>
        <w:t>MSAC accepted that PD-L1 testing would pose no direct safety risks to patients because it would be carried out using tissue samples taken as part of standard diagnostic work-up</w:t>
      </w:r>
      <w:r w:rsidR="00ED1507">
        <w:rPr>
          <w:rFonts w:eastAsia="Calibri"/>
          <w:szCs w:val="24"/>
          <w:lang w:eastAsia="en-US"/>
        </w:rPr>
        <w:t xml:space="preserve"> for patients first presenting with metastatic NSCLC</w:t>
      </w:r>
      <w:r w:rsidRPr="00B305BA">
        <w:rPr>
          <w:rFonts w:eastAsia="Calibri"/>
          <w:szCs w:val="24"/>
          <w:lang w:eastAsia="en-US"/>
        </w:rPr>
        <w:t xml:space="preserve">. However, MSAC noted that there may be some risk of pneumothorax or haemorrhage should a patient need to be re-biopsied to determine eligibility for pembrolizumab treatment. MSAC noted that this may sometimes be necessary in patients diagnosed with earlier stage NSCLC who </w:t>
      </w:r>
      <w:r w:rsidR="00ED1507">
        <w:rPr>
          <w:rFonts w:eastAsia="Calibri"/>
          <w:szCs w:val="24"/>
          <w:lang w:eastAsia="en-US"/>
        </w:rPr>
        <w:t>subsequently develop metastases.</w:t>
      </w:r>
      <w:r w:rsidR="00363DC9">
        <w:rPr>
          <w:rFonts w:eastAsia="Calibri"/>
          <w:szCs w:val="24"/>
          <w:lang w:eastAsia="en-US"/>
        </w:rPr>
        <w:t xml:space="preserve"> However, the availability of nivolumab (which doesn’t require PD-L1 immunostaining results) will allow the treating clinician to balance the risks of pursuing a PDL-1 result to potentially confirm eligibility for first line pembrolizumab vs considering immunotherapy in unselected patients as second line therapy.</w:t>
      </w:r>
      <w:r w:rsidR="00230AD3">
        <w:rPr>
          <w:rFonts w:eastAsia="Calibri"/>
          <w:szCs w:val="24"/>
          <w:lang w:eastAsia="en-US"/>
        </w:rPr>
        <w:t xml:space="preserve"> </w:t>
      </w:r>
      <w:r w:rsidRPr="00B305BA">
        <w:rPr>
          <w:rFonts w:eastAsia="Calibri"/>
          <w:szCs w:val="24"/>
          <w:lang w:eastAsia="en-US"/>
        </w:rPr>
        <w:t xml:space="preserve">MSAC noted the economic model was driven by the cost of pembrolizumab rather than PD-L1 IHC testing. Sensitivity analyses which varied the prevalence of PD-L1 positivity within the patient population, or varied the sensitivity and specificity of PD-L1 testing, </w:t>
      </w:r>
      <w:r w:rsidR="007D3872">
        <w:rPr>
          <w:rFonts w:eastAsia="Calibri"/>
          <w:szCs w:val="24"/>
          <w:lang w:eastAsia="en-US"/>
        </w:rPr>
        <w:t xml:space="preserve">also </w:t>
      </w:r>
      <w:r w:rsidRPr="00B305BA">
        <w:rPr>
          <w:rFonts w:eastAsia="Calibri"/>
          <w:szCs w:val="24"/>
          <w:lang w:eastAsia="en-US"/>
        </w:rPr>
        <w:t>had little impact upon cost-effectiveness. In addition, MSAC noted the costs of re-biopsy or re</w:t>
      </w:r>
      <w:r w:rsidR="007D3872">
        <w:rPr>
          <w:rFonts w:eastAsia="Calibri"/>
          <w:szCs w:val="24"/>
          <w:lang w:eastAsia="en-US"/>
        </w:rPr>
        <w:t>-</w:t>
      </w:r>
      <w:r w:rsidRPr="00B305BA">
        <w:rPr>
          <w:rFonts w:eastAsia="Calibri"/>
          <w:szCs w:val="24"/>
          <w:lang w:eastAsia="en-US"/>
        </w:rPr>
        <w:t>testing would have little impact upon cost-effectiveness.</w:t>
      </w:r>
    </w:p>
    <w:p w14:paraId="4BAA31EC" w14:textId="7225AD8F" w:rsidR="00B305BA" w:rsidRPr="006B67E0" w:rsidRDefault="006B67E0" w:rsidP="00CB7E40">
      <w:pPr>
        <w:spacing w:after="160"/>
        <w:rPr>
          <w:rFonts w:eastAsia="Calibri"/>
          <w:b/>
          <w:szCs w:val="24"/>
          <w:lang w:eastAsia="en-US"/>
        </w:rPr>
      </w:pPr>
      <w:r w:rsidRPr="006B67E0">
        <w:rPr>
          <w:rFonts w:eastAsia="Calibri"/>
          <w:b/>
          <w:szCs w:val="24"/>
          <w:lang w:eastAsia="en-US"/>
        </w:rPr>
        <w:t>Paragraph redacted</w:t>
      </w:r>
    </w:p>
    <w:p w14:paraId="5B4A0DDD" w14:textId="0B9E414B" w:rsidR="00B305BA" w:rsidRPr="00B305BA" w:rsidRDefault="00B305BA" w:rsidP="00CB7E40">
      <w:pPr>
        <w:spacing w:after="160"/>
        <w:rPr>
          <w:rFonts w:eastAsia="Calibri"/>
          <w:szCs w:val="24"/>
          <w:lang w:eastAsia="en-US"/>
        </w:rPr>
      </w:pPr>
      <w:r w:rsidRPr="00B305BA">
        <w:rPr>
          <w:rFonts w:eastAsia="Calibri"/>
          <w:szCs w:val="24"/>
          <w:lang w:eastAsia="en-US"/>
        </w:rPr>
        <w:t xml:space="preserve">MSAC noted that the net cost to the MBS for PD-L1 IHC testing would be highest in year 1 due to the large number of prevalent patients requiring testing: </w:t>
      </w:r>
      <w:r w:rsidR="00E9018B" w:rsidRPr="00E9018B">
        <w:rPr>
          <w:rFonts w:eastAsia="Calibri"/>
          <w:b/>
          <w:szCs w:val="24"/>
          <w:lang w:eastAsia="en-US"/>
        </w:rPr>
        <w:t>redacted</w:t>
      </w:r>
      <w:r w:rsidR="00E9018B" w:rsidRPr="00B305BA">
        <w:rPr>
          <w:rFonts w:eastAsia="Calibri"/>
          <w:szCs w:val="24"/>
          <w:lang w:eastAsia="en-US"/>
        </w:rPr>
        <w:t xml:space="preserve"> </w:t>
      </w:r>
      <w:r w:rsidRPr="00B305BA">
        <w:rPr>
          <w:rFonts w:eastAsia="Calibri"/>
          <w:szCs w:val="24"/>
          <w:lang w:eastAsia="en-US"/>
        </w:rPr>
        <w:t>patients at an MBS cost of ~$</w:t>
      </w:r>
      <w:r w:rsidR="00E9018B" w:rsidRPr="00E9018B">
        <w:rPr>
          <w:rFonts w:eastAsia="Calibri"/>
          <w:b/>
          <w:szCs w:val="24"/>
          <w:lang w:eastAsia="en-US"/>
        </w:rPr>
        <w:t>redacted</w:t>
      </w:r>
      <w:r w:rsidRPr="00B305BA">
        <w:rPr>
          <w:rFonts w:eastAsia="Calibri"/>
          <w:szCs w:val="24"/>
          <w:lang w:eastAsia="en-US"/>
        </w:rPr>
        <w:t xml:space="preserve">. MSAC noted that MBS costs would fall </w:t>
      </w:r>
      <w:proofErr w:type="gramStart"/>
      <w:r w:rsidRPr="00B305BA">
        <w:rPr>
          <w:rFonts w:eastAsia="Calibri"/>
          <w:szCs w:val="24"/>
          <w:lang w:eastAsia="en-US"/>
        </w:rPr>
        <w:t>to</w:t>
      </w:r>
      <w:proofErr w:type="gramEnd"/>
      <w:r w:rsidRPr="00B305BA">
        <w:rPr>
          <w:rFonts w:eastAsia="Calibri"/>
          <w:szCs w:val="24"/>
          <w:lang w:eastAsia="en-US"/>
        </w:rPr>
        <w:t xml:space="preserve"> approximately $</w:t>
      </w:r>
      <w:r w:rsidR="00E9018B" w:rsidRPr="00E9018B">
        <w:rPr>
          <w:rFonts w:eastAsia="Calibri"/>
          <w:b/>
          <w:szCs w:val="24"/>
          <w:lang w:eastAsia="en-US"/>
        </w:rPr>
        <w:t>redacted</w:t>
      </w:r>
      <w:r w:rsidRPr="00B305BA">
        <w:rPr>
          <w:rFonts w:eastAsia="Calibri"/>
          <w:szCs w:val="24"/>
          <w:lang w:eastAsia="en-US"/>
        </w:rPr>
        <w:t xml:space="preserve"> per year in the following four years.</w:t>
      </w:r>
    </w:p>
    <w:p w14:paraId="4302BD0A" w14:textId="2E925781" w:rsidR="00B305BA" w:rsidRPr="00B305BA" w:rsidRDefault="00B305BA" w:rsidP="00CB7E40">
      <w:pPr>
        <w:spacing w:after="160"/>
        <w:rPr>
          <w:rFonts w:eastAsia="Calibri"/>
          <w:szCs w:val="24"/>
          <w:lang w:eastAsia="en-US"/>
        </w:rPr>
      </w:pPr>
      <w:r w:rsidRPr="00B305BA">
        <w:rPr>
          <w:rFonts w:eastAsia="Calibri"/>
          <w:szCs w:val="24"/>
          <w:lang w:eastAsia="en-US"/>
        </w:rPr>
        <w:t xml:space="preserve">MSAC </w:t>
      </w:r>
      <w:r w:rsidR="007D3872">
        <w:rPr>
          <w:rFonts w:eastAsia="Calibri"/>
          <w:szCs w:val="24"/>
          <w:lang w:eastAsia="en-US"/>
        </w:rPr>
        <w:t>advised</w:t>
      </w:r>
      <w:r w:rsidRPr="00B305BA">
        <w:rPr>
          <w:rFonts w:eastAsia="Calibri"/>
          <w:szCs w:val="24"/>
          <w:lang w:eastAsia="en-US"/>
        </w:rPr>
        <w:t xml:space="preserve"> that the appropriate fee for the test </w:t>
      </w:r>
      <w:r w:rsidR="007D3872">
        <w:rPr>
          <w:rFonts w:eastAsia="Calibri"/>
          <w:szCs w:val="24"/>
          <w:lang w:eastAsia="en-US"/>
        </w:rPr>
        <w:t>should be</w:t>
      </w:r>
      <w:r w:rsidRPr="00B305BA">
        <w:rPr>
          <w:rFonts w:eastAsia="Calibri"/>
          <w:szCs w:val="24"/>
          <w:lang w:eastAsia="en-US"/>
        </w:rPr>
        <w:t xml:space="preserve"> $74.50, in line with MBS item 72848 (IHC of one, two or three of the oestrogen, progesterone or </w:t>
      </w:r>
      <w:r w:rsidRPr="00B305BA">
        <w:rPr>
          <w:rFonts w:eastAsia="Calibri"/>
          <w:i/>
          <w:szCs w:val="24"/>
          <w:lang w:eastAsia="en-US"/>
        </w:rPr>
        <w:t>HER2</w:t>
      </w:r>
      <w:r w:rsidRPr="00B305BA">
        <w:rPr>
          <w:rFonts w:eastAsia="Calibri"/>
          <w:szCs w:val="24"/>
          <w:lang w:eastAsia="en-US"/>
        </w:rPr>
        <w:t xml:space="preserve"> antibodies). MSAC considered the higher fee was justified because the test requires counting of cells and assessment of staining intensity.</w:t>
      </w:r>
    </w:p>
    <w:p w14:paraId="5B1AF5BC" w14:textId="20DB1BFD" w:rsidR="00305145" w:rsidRDefault="007D3872" w:rsidP="00CB7E40">
      <w:pPr>
        <w:spacing w:after="160"/>
        <w:rPr>
          <w:rFonts w:eastAsia="Calibri"/>
          <w:szCs w:val="24"/>
          <w:lang w:eastAsia="en-US"/>
        </w:rPr>
      </w:pPr>
      <w:r>
        <w:rPr>
          <w:rFonts w:eastAsia="Calibri"/>
          <w:szCs w:val="24"/>
          <w:lang w:eastAsia="en-US"/>
        </w:rPr>
        <w:t xml:space="preserve">Consistent with the proposed PBS restriction for pembrolizumab, </w:t>
      </w:r>
      <w:r w:rsidR="00B305BA" w:rsidRPr="00B305BA">
        <w:rPr>
          <w:rFonts w:eastAsia="Calibri"/>
          <w:szCs w:val="24"/>
          <w:lang w:eastAsia="en-US"/>
        </w:rPr>
        <w:t xml:space="preserve">MSAC </w:t>
      </w:r>
      <w:r>
        <w:rPr>
          <w:rFonts w:eastAsia="Calibri"/>
          <w:szCs w:val="24"/>
          <w:lang w:eastAsia="en-US"/>
        </w:rPr>
        <w:t>advised</w:t>
      </w:r>
      <w:r w:rsidR="00B305BA" w:rsidRPr="00B305BA">
        <w:rPr>
          <w:rFonts w:eastAsia="Calibri"/>
          <w:szCs w:val="24"/>
          <w:lang w:eastAsia="en-US"/>
        </w:rPr>
        <w:t xml:space="preserve"> that </w:t>
      </w:r>
      <w:r w:rsidR="00305145">
        <w:rPr>
          <w:rFonts w:eastAsia="Calibri"/>
          <w:szCs w:val="24"/>
          <w:lang w:eastAsia="en-US"/>
        </w:rPr>
        <w:t xml:space="preserve">the MBS item descriptor stipulate that </w:t>
      </w:r>
      <w:r w:rsidR="00B305BA" w:rsidRPr="00B305BA">
        <w:rPr>
          <w:rFonts w:eastAsia="Calibri"/>
          <w:szCs w:val="24"/>
          <w:lang w:eastAsia="en-US"/>
        </w:rPr>
        <w:t xml:space="preserve">patients being tested for PD-L1 should </w:t>
      </w:r>
      <w:r w:rsidR="005E2774">
        <w:rPr>
          <w:rFonts w:eastAsia="Calibri"/>
          <w:szCs w:val="24"/>
          <w:lang w:eastAsia="en-US"/>
        </w:rPr>
        <w:t xml:space="preserve">have </w:t>
      </w:r>
      <w:r w:rsidR="00305145">
        <w:rPr>
          <w:rFonts w:eastAsia="Calibri"/>
          <w:szCs w:val="24"/>
          <w:lang w:eastAsia="en-US"/>
        </w:rPr>
        <w:t xml:space="preserve">metastatic NSCLC with a WHO performance status of 0 or 1, and should </w:t>
      </w:r>
      <w:r w:rsidR="00B305BA" w:rsidRPr="00B305BA">
        <w:rPr>
          <w:rFonts w:eastAsia="Calibri"/>
          <w:szCs w:val="24"/>
          <w:lang w:eastAsia="en-US"/>
        </w:rPr>
        <w:t xml:space="preserve">already have tested negative for both </w:t>
      </w:r>
      <w:r w:rsidR="00B305BA" w:rsidRPr="00B305BA">
        <w:rPr>
          <w:rFonts w:eastAsia="Calibri"/>
          <w:i/>
          <w:szCs w:val="24"/>
          <w:lang w:eastAsia="en-US"/>
        </w:rPr>
        <w:t>EGFR</w:t>
      </w:r>
      <w:r w:rsidR="00B305BA" w:rsidRPr="00B305BA">
        <w:rPr>
          <w:rFonts w:eastAsia="Calibri"/>
          <w:szCs w:val="24"/>
          <w:lang w:eastAsia="en-US"/>
        </w:rPr>
        <w:t xml:space="preserve"> gene mutation</w:t>
      </w:r>
      <w:r>
        <w:rPr>
          <w:rFonts w:eastAsia="Calibri"/>
          <w:szCs w:val="24"/>
          <w:lang w:eastAsia="en-US"/>
        </w:rPr>
        <w:t>s</w:t>
      </w:r>
      <w:r w:rsidR="00B305BA" w:rsidRPr="00B305BA">
        <w:rPr>
          <w:rFonts w:eastAsia="Calibri"/>
          <w:szCs w:val="24"/>
          <w:lang w:eastAsia="en-US"/>
        </w:rPr>
        <w:t xml:space="preserve"> and </w:t>
      </w:r>
      <w:r w:rsidR="00B305BA" w:rsidRPr="00B305BA">
        <w:rPr>
          <w:rFonts w:eastAsia="Calibri"/>
          <w:i/>
          <w:szCs w:val="24"/>
          <w:lang w:eastAsia="en-US"/>
        </w:rPr>
        <w:t>ALK</w:t>
      </w:r>
      <w:r w:rsidR="00B305BA" w:rsidRPr="00B305BA">
        <w:rPr>
          <w:rFonts w:eastAsia="Calibri"/>
          <w:szCs w:val="24"/>
          <w:lang w:eastAsia="en-US"/>
        </w:rPr>
        <w:t xml:space="preserve"> gene rearrangement</w:t>
      </w:r>
      <w:r>
        <w:rPr>
          <w:rFonts w:eastAsia="Calibri"/>
          <w:szCs w:val="24"/>
          <w:lang w:eastAsia="en-US"/>
        </w:rPr>
        <w:t>s</w:t>
      </w:r>
      <w:r w:rsidR="00B305BA" w:rsidRPr="00B305BA">
        <w:rPr>
          <w:rFonts w:eastAsia="Calibri"/>
          <w:szCs w:val="24"/>
          <w:lang w:eastAsia="en-US"/>
        </w:rPr>
        <w:t xml:space="preserve">. MSAC </w:t>
      </w:r>
      <w:r w:rsidR="00263D5A">
        <w:rPr>
          <w:rFonts w:eastAsia="Calibri"/>
          <w:szCs w:val="24"/>
          <w:lang w:eastAsia="en-US"/>
        </w:rPr>
        <w:t xml:space="preserve">also </w:t>
      </w:r>
      <w:r w:rsidR="00B305BA" w:rsidRPr="00B305BA">
        <w:rPr>
          <w:rFonts w:eastAsia="Calibri"/>
          <w:szCs w:val="24"/>
          <w:lang w:eastAsia="en-US"/>
        </w:rPr>
        <w:t xml:space="preserve">recommended a </w:t>
      </w:r>
      <w:r w:rsidR="00263D5A">
        <w:rPr>
          <w:rFonts w:eastAsia="Calibri"/>
          <w:szCs w:val="24"/>
          <w:lang w:eastAsia="en-US"/>
        </w:rPr>
        <w:t xml:space="preserve">more </w:t>
      </w:r>
      <w:r w:rsidR="00B305BA" w:rsidRPr="00B305BA">
        <w:rPr>
          <w:rFonts w:eastAsia="Calibri"/>
          <w:szCs w:val="24"/>
          <w:lang w:eastAsia="en-US"/>
        </w:rPr>
        <w:t xml:space="preserve">generic item descriptor which covered the use of </w:t>
      </w:r>
      <w:r w:rsidR="00263D5A">
        <w:rPr>
          <w:rFonts w:eastAsia="Calibri"/>
          <w:szCs w:val="24"/>
          <w:lang w:eastAsia="en-US"/>
        </w:rPr>
        <w:t xml:space="preserve">any suitable </w:t>
      </w:r>
      <w:r w:rsidR="00B305BA" w:rsidRPr="00B305BA">
        <w:rPr>
          <w:rFonts w:eastAsia="Calibri"/>
          <w:szCs w:val="24"/>
          <w:lang w:eastAsia="en-US"/>
        </w:rPr>
        <w:t>PD-L1 antibod</w:t>
      </w:r>
      <w:r w:rsidR="00263D5A">
        <w:rPr>
          <w:rFonts w:eastAsia="Calibri"/>
          <w:szCs w:val="24"/>
          <w:lang w:eastAsia="en-US"/>
        </w:rPr>
        <w:t xml:space="preserve">y. </w:t>
      </w:r>
      <w:r w:rsidR="00305145">
        <w:rPr>
          <w:rFonts w:eastAsia="Calibri"/>
          <w:szCs w:val="24"/>
          <w:lang w:eastAsia="en-US"/>
        </w:rPr>
        <w:t>Specifically:</w:t>
      </w:r>
    </w:p>
    <w:p w14:paraId="3452039E" w14:textId="10CD7980" w:rsidR="00305145" w:rsidRDefault="00305145" w:rsidP="00305145">
      <w:pPr>
        <w:spacing w:after="160"/>
        <w:ind w:left="567"/>
        <w:rPr>
          <w:rFonts w:eastAsia="Calibri"/>
          <w:szCs w:val="24"/>
          <w:lang w:eastAsia="en-US"/>
        </w:rPr>
      </w:pPr>
      <w:proofErr w:type="spellStart"/>
      <w:r w:rsidRPr="002947D0">
        <w:rPr>
          <w:rFonts w:ascii="Arial Narrow" w:hAnsi="Arial Narrow"/>
          <w:sz w:val="20"/>
        </w:rPr>
        <w:lastRenderedPageBreak/>
        <w:t>Immunohistochemical</w:t>
      </w:r>
      <w:proofErr w:type="spellEnd"/>
      <w:r w:rsidRPr="002947D0">
        <w:rPr>
          <w:rFonts w:ascii="Arial Narrow" w:hAnsi="Arial Narrow"/>
          <w:sz w:val="20"/>
        </w:rPr>
        <w:t xml:space="preserve"> examination by </w:t>
      </w:r>
      <w:proofErr w:type="spellStart"/>
      <w:r w:rsidRPr="002947D0">
        <w:rPr>
          <w:rFonts w:ascii="Arial Narrow" w:hAnsi="Arial Narrow"/>
          <w:sz w:val="20"/>
        </w:rPr>
        <w:t>immunoperoxidase</w:t>
      </w:r>
      <w:proofErr w:type="spellEnd"/>
      <w:r w:rsidRPr="002947D0">
        <w:rPr>
          <w:rFonts w:ascii="Arial Narrow" w:hAnsi="Arial Narrow"/>
          <w:sz w:val="20"/>
        </w:rPr>
        <w:t xml:space="preserve"> or other labelled antibody techniques using the programmed cell death ligand 1 (PD-L1</w:t>
      </w:r>
      <w:r>
        <w:rPr>
          <w:rFonts w:ascii="Arial Narrow" w:hAnsi="Arial Narrow"/>
          <w:sz w:val="20"/>
        </w:rPr>
        <w:t>)</w:t>
      </w:r>
      <w:r w:rsidRPr="002947D0">
        <w:rPr>
          <w:rFonts w:ascii="Arial Narrow" w:hAnsi="Arial Narrow"/>
          <w:sz w:val="20"/>
        </w:rPr>
        <w:t xml:space="preserve"> antibody of tumour material from a patient diagnosed with </w:t>
      </w:r>
      <w:r>
        <w:rPr>
          <w:rFonts w:ascii="Arial Narrow" w:hAnsi="Arial Narrow"/>
          <w:sz w:val="20"/>
        </w:rPr>
        <w:t xml:space="preserve">metastatic </w:t>
      </w:r>
      <w:r w:rsidRPr="002947D0">
        <w:rPr>
          <w:rFonts w:ascii="Arial Narrow" w:hAnsi="Arial Narrow"/>
          <w:sz w:val="20"/>
        </w:rPr>
        <w:t>non-small cell lung cancer</w:t>
      </w:r>
      <w:r>
        <w:rPr>
          <w:rFonts w:ascii="Arial Narrow" w:hAnsi="Arial Narrow"/>
          <w:sz w:val="20"/>
        </w:rPr>
        <w:t>, with a WHO performance status of 0 or 1, and who does not have either an activating epidermal growth factor (EGFR) mutation or a</w:t>
      </w:r>
      <w:r w:rsidR="00795570">
        <w:rPr>
          <w:rFonts w:ascii="Arial Narrow" w:hAnsi="Arial Narrow"/>
          <w:sz w:val="20"/>
        </w:rPr>
        <w:t>n</w:t>
      </w:r>
      <w:r>
        <w:rPr>
          <w:rFonts w:ascii="Arial Narrow" w:hAnsi="Arial Narrow"/>
          <w:sz w:val="20"/>
        </w:rPr>
        <w:t xml:space="preserve"> anaplastic lymphoma kinase (ALK) gene rearrangement,</w:t>
      </w:r>
      <w:r w:rsidRPr="002947D0">
        <w:rPr>
          <w:rFonts w:ascii="Arial Narrow" w:hAnsi="Arial Narrow"/>
          <w:sz w:val="20"/>
        </w:rPr>
        <w:t xml:space="preserve"> to determine if the requirements relating to PD-L1 status for access to pembrolizumab under the Pharmaceutical Benefits Scheme (PBS) are fulfilled.</w:t>
      </w:r>
    </w:p>
    <w:p w14:paraId="49618177" w14:textId="77777777" w:rsidR="00B305BA" w:rsidRPr="00B305BA" w:rsidRDefault="00263D5A" w:rsidP="00CB7E40">
      <w:pPr>
        <w:spacing w:after="160"/>
        <w:rPr>
          <w:rFonts w:eastAsia="Calibri"/>
          <w:szCs w:val="24"/>
          <w:lang w:eastAsia="en-US"/>
        </w:rPr>
      </w:pPr>
      <w:r>
        <w:rPr>
          <w:rFonts w:eastAsia="Calibri"/>
          <w:szCs w:val="24"/>
          <w:lang w:eastAsia="en-US"/>
        </w:rPr>
        <w:t xml:space="preserve">For clarity for those interpreting the results of the PD-L1 IHC test, MSAC </w:t>
      </w:r>
      <w:r w:rsidR="00305145">
        <w:rPr>
          <w:rFonts w:eastAsia="Calibri"/>
          <w:szCs w:val="24"/>
          <w:lang w:eastAsia="en-US"/>
        </w:rPr>
        <w:t xml:space="preserve">also </w:t>
      </w:r>
      <w:r>
        <w:rPr>
          <w:rFonts w:eastAsia="Calibri"/>
          <w:szCs w:val="24"/>
          <w:lang w:eastAsia="en-US"/>
        </w:rPr>
        <w:t xml:space="preserve">suggested that an administrative note accompanying the MBS item descriptor provide the threshold TPS beyond which the tested patient </w:t>
      </w:r>
      <w:r w:rsidR="008C0864">
        <w:rPr>
          <w:rFonts w:eastAsia="Calibri"/>
          <w:szCs w:val="24"/>
          <w:lang w:eastAsia="en-US"/>
        </w:rPr>
        <w:t>c</w:t>
      </w:r>
      <w:r>
        <w:rPr>
          <w:rFonts w:eastAsia="Calibri"/>
          <w:szCs w:val="24"/>
          <w:lang w:eastAsia="en-US"/>
        </w:rPr>
        <w:t xml:space="preserve">ould be </w:t>
      </w:r>
      <w:r w:rsidR="008C0864">
        <w:rPr>
          <w:rFonts w:eastAsia="Calibri"/>
          <w:szCs w:val="24"/>
          <w:lang w:eastAsia="en-US"/>
        </w:rPr>
        <w:t xml:space="preserve">considered </w:t>
      </w:r>
      <w:r>
        <w:rPr>
          <w:rFonts w:eastAsia="Calibri"/>
          <w:szCs w:val="24"/>
          <w:lang w:eastAsia="en-US"/>
        </w:rPr>
        <w:t>eligible for pembrolizumab.</w:t>
      </w:r>
    </w:p>
    <w:p w14:paraId="3CB08D7E" w14:textId="77777777" w:rsidR="00BC1364" w:rsidRPr="00F715D1" w:rsidRDefault="00BC1364" w:rsidP="00F715D1">
      <w:pPr>
        <w:pStyle w:val="Heading1"/>
      </w:pPr>
      <w:r w:rsidRPr="00F715D1">
        <w:t>Background</w:t>
      </w:r>
    </w:p>
    <w:p w14:paraId="5C30FDC1" w14:textId="77777777" w:rsidR="00DC44DA" w:rsidRPr="00213FBA" w:rsidRDefault="00DC44DA" w:rsidP="00DC44DA">
      <w:pPr>
        <w:tabs>
          <w:tab w:val="left" w:pos="720"/>
          <w:tab w:val="left" w:pos="1140"/>
        </w:tabs>
        <w:spacing w:after="240"/>
        <w:rPr>
          <w:szCs w:val="24"/>
        </w:rPr>
      </w:pPr>
      <w:r w:rsidRPr="00213FBA">
        <w:rPr>
          <w:szCs w:val="24"/>
        </w:rPr>
        <w:t>At its March 2017 meeting, MSAC considered Application 1440 - PD-L1 testing for access to pembrolizumab for treatment naïve locall</w:t>
      </w:r>
      <w:r w:rsidR="008C0864">
        <w:rPr>
          <w:szCs w:val="24"/>
        </w:rPr>
        <w:t>y advanced or metastatic NSCLC.</w:t>
      </w:r>
    </w:p>
    <w:p w14:paraId="5E83ACED" w14:textId="77777777" w:rsidR="00DC44DA" w:rsidRPr="00213FBA" w:rsidRDefault="00DC44DA" w:rsidP="00DC44DA">
      <w:pPr>
        <w:spacing w:after="240"/>
      </w:pPr>
      <w:r w:rsidRPr="00213FBA">
        <w:t xml:space="preserve">MSAC did not support public funding of PD-L1 IHC as a companion diagnostic test for selecting patients with NSCLC for treatment with pembrolizumab. MSAC considered that PD-L1 IHC is a poor companion diagnostic test with insufficient evidence of analytical and clinical validity, and clinical utility. MSAC advised that, as PD-L1 is an imperfect biomarker, there is </w:t>
      </w:r>
      <w:proofErr w:type="gramStart"/>
      <w:r w:rsidRPr="00213FBA">
        <w:t>a likelihood</w:t>
      </w:r>
      <w:proofErr w:type="gramEnd"/>
      <w:r w:rsidRPr="00213FBA">
        <w:t xml:space="preserve"> that patients who might benefit from pembrolizumab treatment would be excluded by the test result.</w:t>
      </w:r>
    </w:p>
    <w:p w14:paraId="7C8DFBCD" w14:textId="77777777" w:rsidR="00DC44DA" w:rsidRPr="00213FBA" w:rsidRDefault="00DC44DA" w:rsidP="00DC44DA">
      <w:pPr>
        <w:tabs>
          <w:tab w:val="left" w:pos="720"/>
          <w:tab w:val="left" w:pos="1140"/>
        </w:tabs>
        <w:spacing w:after="240"/>
        <w:rPr>
          <w:szCs w:val="24"/>
        </w:rPr>
      </w:pPr>
      <w:r w:rsidRPr="00213FBA">
        <w:rPr>
          <w:szCs w:val="24"/>
        </w:rPr>
        <w:t>At its November 2016 meeting, MSAC considered Application 1414 - PD-L1 testing for access to pembrolizumab for the later-line treatment of locally advanced or metastatic NSCLC.</w:t>
      </w:r>
    </w:p>
    <w:p w14:paraId="6E01E367" w14:textId="7B008777" w:rsidR="00DC44DA" w:rsidRPr="00213FBA" w:rsidRDefault="00DC44DA" w:rsidP="00DC44DA">
      <w:pPr>
        <w:tabs>
          <w:tab w:val="left" w:pos="720"/>
          <w:tab w:val="left" w:pos="1140"/>
        </w:tabs>
        <w:spacing w:after="240"/>
        <w:rPr>
          <w:szCs w:val="24"/>
        </w:rPr>
      </w:pPr>
      <w:r w:rsidRPr="00213FBA">
        <w:rPr>
          <w:szCs w:val="24"/>
        </w:rPr>
        <w:t xml:space="preserve">The Public Summary Documents (PSDs) for these applications can be found on the MSAC website at </w:t>
      </w:r>
      <w:hyperlink r:id="rId11" w:tooltip="Link to Medical Services Advisory Committee website" w:history="1">
        <w:r w:rsidRPr="00213FBA">
          <w:rPr>
            <w:rStyle w:val="Hyperlink"/>
            <w:rFonts w:eastAsiaTheme="majorEastAsia"/>
            <w:szCs w:val="24"/>
          </w:rPr>
          <w:t>www.msac.gov.au</w:t>
        </w:r>
      </w:hyperlink>
      <w:r w:rsidRPr="00213FBA">
        <w:rPr>
          <w:szCs w:val="24"/>
        </w:rPr>
        <w:t>.</w:t>
      </w:r>
    </w:p>
    <w:p w14:paraId="597DD10A" w14:textId="77777777" w:rsidR="00BC1364" w:rsidRPr="00F715D1" w:rsidRDefault="00BC1364" w:rsidP="00F715D1">
      <w:pPr>
        <w:pStyle w:val="Heading1"/>
      </w:pPr>
      <w:r w:rsidRPr="00F715D1">
        <w:t>Prerequisites to implementation of any funding advice</w:t>
      </w:r>
    </w:p>
    <w:p w14:paraId="4AC958C1" w14:textId="77777777" w:rsidR="00E91F70" w:rsidRPr="002947D0" w:rsidRDefault="00E91F70" w:rsidP="00E91F70">
      <w:r w:rsidRPr="002947D0">
        <w:t>PD-L1 expression assays should be registered with the Therapeutic Goods Administration (TGA) on the Australian Register of Therapeutic Goods (ARTG).</w:t>
      </w:r>
    </w:p>
    <w:p w14:paraId="295EC213" w14:textId="77777777" w:rsidR="00E91F70" w:rsidRPr="002947D0" w:rsidRDefault="00E91F70" w:rsidP="006662D8">
      <w:pPr>
        <w:spacing w:before="240" w:after="240"/>
      </w:pPr>
      <w:r w:rsidRPr="002947D0">
        <w:t xml:space="preserve">Registration of the PD-L1 22C3 </w:t>
      </w:r>
      <w:proofErr w:type="spellStart"/>
      <w:r w:rsidRPr="002947D0">
        <w:t>pharmDXTM</w:t>
      </w:r>
      <w:proofErr w:type="spellEnd"/>
      <w:r w:rsidRPr="002947D0">
        <w:t xml:space="preserve"> kit was approved by the TGA on 17</w:t>
      </w:r>
      <w:r>
        <w:t> </w:t>
      </w:r>
      <w:r w:rsidRPr="002947D0">
        <w:t xml:space="preserve">November 2016. This kit is intended for use in the detection of PD-L1 protein in formalin-fixed paraffin-embedded (FFPE) NSCLC tissue using the Dako </w:t>
      </w:r>
      <w:proofErr w:type="spellStart"/>
      <w:r w:rsidRPr="002947D0">
        <w:t>Autostainer</w:t>
      </w:r>
      <w:proofErr w:type="spellEnd"/>
      <w:r w:rsidRPr="002947D0">
        <w:t xml:space="preserve"> Link 48 platform as an aid in identifying NSCLC patients for treatment with pembrolizumab. </w:t>
      </w:r>
    </w:p>
    <w:p w14:paraId="33482433" w14:textId="77777777" w:rsidR="00E91F70" w:rsidRPr="002947D0" w:rsidRDefault="00E91F70" w:rsidP="006662D8">
      <w:pPr>
        <w:spacing w:before="240" w:after="240"/>
      </w:pPr>
      <w:r w:rsidRPr="002947D0">
        <w:t>The SP263, SP142 and 28-8 antibody kits are also registered by the TGA. The SP263 antibody is TGA approved to determine eligibility for pembrolizumab and nivolumab.</w:t>
      </w:r>
    </w:p>
    <w:p w14:paraId="71A19570" w14:textId="77777777" w:rsidR="00E91F70" w:rsidRPr="002947D0" w:rsidRDefault="00E91F70" w:rsidP="00E91F70">
      <w:r w:rsidRPr="002947D0">
        <w:t>A prerequisite to public funding is the establishment of a Quality Assurance Program (QAP) to standardise PD-L1 testing and reporting in diagnostic laboratories. A pre-pilot QAP has been conducted with 14 pathologists, but the results are not yet available.</w:t>
      </w:r>
    </w:p>
    <w:p w14:paraId="5EEECC84" w14:textId="77777777" w:rsidR="00BC1364" w:rsidRPr="00F715D1" w:rsidRDefault="00BC1364" w:rsidP="00F715D1">
      <w:pPr>
        <w:pStyle w:val="Heading1"/>
      </w:pPr>
      <w:r w:rsidRPr="00F715D1">
        <w:t>Proposal for public funding</w:t>
      </w:r>
    </w:p>
    <w:p w14:paraId="0A28D446" w14:textId="77777777" w:rsidR="00755B98" w:rsidRPr="002947D0" w:rsidRDefault="00755B98" w:rsidP="00755B98">
      <w:pPr>
        <w:tabs>
          <w:tab w:val="left" w:pos="720"/>
          <w:tab w:val="left" w:pos="1140"/>
        </w:tabs>
        <w:spacing w:before="240"/>
        <w:rPr>
          <w:szCs w:val="24"/>
        </w:rPr>
      </w:pPr>
      <w:r w:rsidRPr="002947D0">
        <w:rPr>
          <w:szCs w:val="24"/>
        </w:rPr>
        <w:t xml:space="preserve">To address MSAC concerns, the resubmission proposed two MBS item options </w:t>
      </w:r>
      <w:r w:rsidR="00863377">
        <w:rPr>
          <w:szCs w:val="24"/>
        </w:rPr>
        <w:t xml:space="preserve">(see Table 1) </w:t>
      </w:r>
      <w:r w:rsidRPr="002947D0">
        <w:rPr>
          <w:szCs w:val="24"/>
        </w:rPr>
        <w:t>as per the previous submission:</w:t>
      </w:r>
    </w:p>
    <w:p w14:paraId="5B643F9E" w14:textId="77777777" w:rsidR="00755B98" w:rsidRPr="002947D0" w:rsidRDefault="00755B98" w:rsidP="00755B98">
      <w:pPr>
        <w:numPr>
          <w:ilvl w:val="0"/>
          <w:numId w:val="27"/>
        </w:numPr>
        <w:tabs>
          <w:tab w:val="left" w:pos="720"/>
          <w:tab w:val="left" w:pos="1140"/>
        </w:tabs>
        <w:spacing w:after="240"/>
        <w:contextualSpacing/>
        <w:rPr>
          <w:szCs w:val="24"/>
        </w:rPr>
      </w:pPr>
      <w:r w:rsidRPr="002947D0">
        <w:rPr>
          <w:szCs w:val="24"/>
        </w:rPr>
        <w:t>A broad item number including all PD-L1 antibodies (preferred by the resubmission). This is in-line with MSAC preferences for the listing of tests and is consistent with the PICO confirmation.</w:t>
      </w:r>
    </w:p>
    <w:p w14:paraId="2FE98776" w14:textId="77777777" w:rsidR="0039165E" w:rsidRDefault="00755B98" w:rsidP="00755B98">
      <w:pPr>
        <w:numPr>
          <w:ilvl w:val="0"/>
          <w:numId w:val="27"/>
        </w:numPr>
        <w:tabs>
          <w:tab w:val="left" w:pos="720"/>
          <w:tab w:val="left" w:pos="1140"/>
        </w:tabs>
        <w:spacing w:after="240"/>
        <w:ind w:left="714" w:hanging="357"/>
        <w:rPr>
          <w:szCs w:val="24"/>
        </w:rPr>
      </w:pPr>
      <w:r w:rsidRPr="002947D0">
        <w:rPr>
          <w:szCs w:val="24"/>
        </w:rPr>
        <w:lastRenderedPageBreak/>
        <w:t>A narrow item number limiting reimbursement to PD-L1 antibodies that MSAC considers are sufficiently concordant.</w:t>
      </w:r>
    </w:p>
    <w:p w14:paraId="2CFE8565" w14:textId="77777777" w:rsidR="00E91F70" w:rsidRPr="002947D0" w:rsidRDefault="00E91F70" w:rsidP="008C0864">
      <w:pPr>
        <w:keepNext/>
        <w:rPr>
          <w:rFonts w:ascii="Arial Narrow" w:hAnsi="Arial Narrow"/>
          <w:b/>
          <w:sz w:val="20"/>
        </w:rPr>
      </w:pPr>
      <w:r w:rsidRPr="002947D0">
        <w:rPr>
          <w:rFonts w:ascii="Arial Narrow" w:hAnsi="Arial Narrow"/>
          <w:b/>
          <w:sz w:val="20"/>
        </w:rPr>
        <w:t>Table 1</w:t>
      </w:r>
      <w:r>
        <w:rPr>
          <w:rFonts w:ascii="Arial Narrow" w:hAnsi="Arial Narrow"/>
          <w:b/>
          <w:sz w:val="20"/>
        </w:rPr>
        <w:t>:</w:t>
      </w:r>
      <w:r w:rsidRPr="002947D0">
        <w:rPr>
          <w:rFonts w:ascii="Arial Narrow" w:hAnsi="Arial Narrow"/>
          <w:b/>
          <w:sz w:val="20"/>
        </w:rPr>
        <w:tab/>
        <w:t>Proposed MBS item</w:t>
      </w:r>
    </w:p>
    <w:tbl>
      <w:tblPr>
        <w:tblStyle w:val="TableGrid1"/>
        <w:tblW w:w="0" w:type="auto"/>
        <w:tblInd w:w="108" w:type="dxa"/>
        <w:tblLook w:val="04A0" w:firstRow="1" w:lastRow="0" w:firstColumn="1" w:lastColumn="0" w:noHBand="0" w:noVBand="1"/>
        <w:tblDescription w:val="Proposed MBS items for the service"/>
      </w:tblPr>
      <w:tblGrid>
        <w:gridCol w:w="8882"/>
      </w:tblGrid>
      <w:tr w:rsidR="00E91F70" w:rsidRPr="002947D0" w14:paraId="134525E0" w14:textId="77777777" w:rsidTr="005938FD">
        <w:trPr>
          <w:tblHeader/>
        </w:trPr>
        <w:tc>
          <w:tcPr>
            <w:tcW w:w="8882" w:type="dxa"/>
          </w:tcPr>
          <w:p w14:paraId="3B505121" w14:textId="77777777" w:rsidR="00E91F70" w:rsidRPr="002947D0" w:rsidRDefault="00E91F70" w:rsidP="00540A74">
            <w:pPr>
              <w:tabs>
                <w:tab w:val="left" w:pos="720"/>
                <w:tab w:val="left" w:pos="1140"/>
              </w:tabs>
              <w:ind w:left="-360"/>
              <w:jc w:val="right"/>
              <w:rPr>
                <w:rFonts w:ascii="Arial Narrow" w:hAnsi="Arial Narrow"/>
                <w:b/>
                <w:sz w:val="20"/>
                <w:lang w:eastAsia="en-AU"/>
              </w:rPr>
            </w:pPr>
            <w:r w:rsidRPr="002947D0">
              <w:rPr>
                <w:rFonts w:ascii="Arial Narrow" w:hAnsi="Arial Narrow"/>
                <w:b/>
                <w:sz w:val="20"/>
                <w:lang w:eastAsia="en-AU"/>
              </w:rPr>
              <w:t>Category 6 – Pathology Services</w:t>
            </w:r>
          </w:p>
        </w:tc>
      </w:tr>
      <w:tr w:rsidR="00E91F70" w:rsidRPr="002947D0" w14:paraId="0D40276C" w14:textId="77777777" w:rsidTr="00540A74">
        <w:tc>
          <w:tcPr>
            <w:tcW w:w="8882" w:type="dxa"/>
          </w:tcPr>
          <w:p w14:paraId="5ECAAF68"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MBS item number</w:t>
            </w:r>
          </w:p>
          <w:p w14:paraId="20B808FE" w14:textId="77777777" w:rsidR="00E91F70" w:rsidRPr="002947D0" w:rsidRDefault="00E91F70" w:rsidP="00E91F70">
            <w:pPr>
              <w:tabs>
                <w:tab w:val="left" w:pos="720"/>
                <w:tab w:val="left" w:pos="1140"/>
              </w:tabs>
              <w:spacing w:before="120" w:after="120"/>
              <w:rPr>
                <w:rFonts w:ascii="Arial Narrow" w:hAnsi="Arial Narrow"/>
                <w:sz w:val="20"/>
                <w:lang w:eastAsia="en-AU"/>
              </w:rPr>
            </w:pPr>
            <w:proofErr w:type="spellStart"/>
            <w:r w:rsidRPr="002947D0">
              <w:rPr>
                <w:rFonts w:ascii="Arial Narrow" w:hAnsi="Arial Narrow"/>
                <w:sz w:val="20"/>
                <w:lang w:eastAsia="en-AU"/>
              </w:rPr>
              <w:t>Immunohistochemical</w:t>
            </w:r>
            <w:proofErr w:type="spellEnd"/>
            <w:r w:rsidRPr="002947D0">
              <w:rPr>
                <w:rFonts w:ascii="Arial Narrow" w:hAnsi="Arial Narrow"/>
                <w:sz w:val="20"/>
                <w:lang w:eastAsia="en-AU"/>
              </w:rPr>
              <w:t xml:space="preserve"> examination by </w:t>
            </w:r>
            <w:proofErr w:type="spellStart"/>
            <w:r w:rsidRPr="002947D0">
              <w:rPr>
                <w:rFonts w:ascii="Arial Narrow" w:hAnsi="Arial Narrow"/>
                <w:sz w:val="20"/>
                <w:lang w:eastAsia="en-AU"/>
              </w:rPr>
              <w:t>immunoperoxidase</w:t>
            </w:r>
            <w:proofErr w:type="spellEnd"/>
            <w:r w:rsidRPr="002947D0">
              <w:rPr>
                <w:rFonts w:ascii="Arial Narrow" w:hAnsi="Arial Narrow"/>
                <w:sz w:val="20"/>
                <w:lang w:eastAsia="en-AU"/>
              </w:rPr>
              <w:t xml:space="preserve"> or other labelled antibody techniques using the PD-L1 antibody of tumour material from a patient diagnosed with non-small cell lung cancer to determine if the requirements relating to programmed cell death ligand 1 (PD-L1) status for access to pembrolizumab under the Pharmaceutical Benefits Scheme (PBS) are fulfilled.</w:t>
            </w:r>
          </w:p>
          <w:p w14:paraId="4F3DB471"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Fee: $74.50 Benefit: 75% = $55.90 85% = $63.35</w:t>
            </w:r>
          </w:p>
        </w:tc>
      </w:tr>
      <w:tr w:rsidR="00E91F70" w:rsidRPr="002947D0" w14:paraId="4E6B46E7" w14:textId="77777777" w:rsidTr="00540A74">
        <w:tc>
          <w:tcPr>
            <w:tcW w:w="8882" w:type="dxa"/>
          </w:tcPr>
          <w:p w14:paraId="713521F0" w14:textId="77777777" w:rsidR="00E91F70" w:rsidRPr="002947D0" w:rsidRDefault="00E91F70" w:rsidP="00E91F70">
            <w:pPr>
              <w:tabs>
                <w:tab w:val="left" w:pos="720"/>
                <w:tab w:val="left" w:pos="1140"/>
              </w:tabs>
              <w:spacing w:before="120" w:after="120"/>
              <w:rPr>
                <w:rFonts w:ascii="Arial Narrow" w:hAnsi="Arial Narrow"/>
                <w:sz w:val="20"/>
                <w:lang w:eastAsia="en-AU"/>
              </w:rPr>
            </w:pPr>
            <w:r w:rsidRPr="002947D0">
              <w:rPr>
                <w:rFonts w:ascii="Arial Narrow" w:hAnsi="Arial Narrow"/>
                <w:sz w:val="20"/>
                <w:lang w:eastAsia="en-AU"/>
              </w:rPr>
              <w:t>MBS item number</w:t>
            </w:r>
          </w:p>
          <w:p w14:paraId="1E63EDE0" w14:textId="77777777" w:rsidR="00E91F70" w:rsidRPr="002947D0" w:rsidRDefault="00E91F70" w:rsidP="00E91F70">
            <w:pPr>
              <w:tabs>
                <w:tab w:val="left" w:pos="720"/>
                <w:tab w:val="left" w:pos="1140"/>
              </w:tabs>
              <w:spacing w:before="120" w:after="120"/>
              <w:rPr>
                <w:rFonts w:ascii="Arial Narrow" w:hAnsi="Arial Narrow"/>
                <w:sz w:val="20"/>
                <w:lang w:eastAsia="en-AU"/>
              </w:rPr>
            </w:pPr>
            <w:proofErr w:type="spellStart"/>
            <w:r w:rsidRPr="002947D0">
              <w:rPr>
                <w:rFonts w:ascii="Arial Narrow" w:hAnsi="Arial Narrow"/>
                <w:sz w:val="20"/>
                <w:lang w:eastAsia="en-AU"/>
              </w:rPr>
              <w:t>Immunohistochemical</w:t>
            </w:r>
            <w:proofErr w:type="spellEnd"/>
            <w:r w:rsidRPr="002947D0">
              <w:rPr>
                <w:rFonts w:ascii="Arial Narrow" w:hAnsi="Arial Narrow"/>
                <w:sz w:val="20"/>
                <w:lang w:eastAsia="en-AU"/>
              </w:rPr>
              <w:t xml:space="preserve"> examination by </w:t>
            </w:r>
            <w:proofErr w:type="spellStart"/>
            <w:r w:rsidRPr="002947D0">
              <w:rPr>
                <w:rFonts w:ascii="Arial Narrow" w:hAnsi="Arial Narrow"/>
                <w:sz w:val="20"/>
                <w:lang w:eastAsia="en-AU"/>
              </w:rPr>
              <w:t>immunoperoxidase</w:t>
            </w:r>
            <w:proofErr w:type="spellEnd"/>
            <w:r w:rsidRPr="002947D0">
              <w:rPr>
                <w:rFonts w:ascii="Arial Narrow" w:hAnsi="Arial Narrow"/>
                <w:sz w:val="20"/>
                <w:lang w:eastAsia="en-AU"/>
              </w:rPr>
              <w:t xml:space="preserve"> or other labelled antibody techniques using the 22C3 (+/- 28-8 +/- SP263) PD-L1 antibody of tumour material from a patient diagnosed with non-small cell lung cancer to determine if the requirements relating to programmed cell death ligand 1 (PD-L1) status for access to pembrolizumab under the Pharmaceutical Benefits Scheme (PBS) are fulfilled.</w:t>
            </w:r>
          </w:p>
          <w:p w14:paraId="7AA95D40" w14:textId="77777777" w:rsidR="00E91F70" w:rsidRPr="002947D0" w:rsidRDefault="00E91F70" w:rsidP="00E91F70">
            <w:pPr>
              <w:tabs>
                <w:tab w:val="left" w:pos="720"/>
                <w:tab w:val="left" w:pos="1140"/>
              </w:tabs>
              <w:spacing w:before="120" w:after="120"/>
              <w:rPr>
                <w:sz w:val="22"/>
                <w:szCs w:val="24"/>
                <w:lang w:eastAsia="en-AU"/>
              </w:rPr>
            </w:pPr>
            <w:r w:rsidRPr="002947D0">
              <w:rPr>
                <w:rFonts w:ascii="Arial Narrow" w:hAnsi="Arial Narrow"/>
                <w:sz w:val="20"/>
                <w:lang w:eastAsia="en-AU"/>
              </w:rPr>
              <w:t>Fee: $74.50 Benefit: 75% = $55.90 85% = $63.35</w:t>
            </w:r>
          </w:p>
        </w:tc>
      </w:tr>
    </w:tbl>
    <w:p w14:paraId="048BE011" w14:textId="77777777" w:rsidR="00E91F70" w:rsidRPr="002947D0" w:rsidRDefault="00E91F70" w:rsidP="00E91F70">
      <w:pPr>
        <w:tabs>
          <w:tab w:val="left" w:pos="720"/>
          <w:tab w:val="left" w:pos="1140"/>
        </w:tabs>
        <w:spacing w:before="240" w:after="240"/>
        <w:rPr>
          <w:szCs w:val="24"/>
        </w:rPr>
      </w:pPr>
      <w:r w:rsidRPr="002947D0">
        <w:rPr>
          <w:szCs w:val="24"/>
        </w:rPr>
        <w:t xml:space="preserve">The resubmission requested an MBS fee of $74.50 in alignment with MBS item 72848 for </w:t>
      </w:r>
      <w:r>
        <w:rPr>
          <w:szCs w:val="24"/>
        </w:rPr>
        <w:t>human erbB-2 (HER2) IHC testing because</w:t>
      </w:r>
      <w:r w:rsidRPr="002947D0">
        <w:rPr>
          <w:szCs w:val="24"/>
        </w:rPr>
        <w:t xml:space="preserve"> both tests</w:t>
      </w:r>
      <w:r w:rsidR="008C0864">
        <w:rPr>
          <w:szCs w:val="24"/>
        </w:rPr>
        <w:t xml:space="preserve"> require the counting of cells.</w:t>
      </w:r>
    </w:p>
    <w:p w14:paraId="051F9EFB" w14:textId="77777777" w:rsidR="00E91F70" w:rsidRPr="002947D0" w:rsidRDefault="00E91F70" w:rsidP="00E91F70">
      <w:pPr>
        <w:tabs>
          <w:tab w:val="left" w:pos="720"/>
          <w:tab w:val="left" w:pos="1140"/>
        </w:tabs>
        <w:spacing w:after="240"/>
        <w:rPr>
          <w:szCs w:val="24"/>
        </w:rPr>
      </w:pPr>
      <w:r w:rsidRPr="002947D0">
        <w:rPr>
          <w:szCs w:val="24"/>
        </w:rPr>
        <w:t xml:space="preserve">The resubmission requested that the PD-L1 IHC test be a pathologist determinable test and that an amendment be made to Note P.1.2 “Services Where Request Not Required” to include the above item number. This is consistent with other IHC tests and </w:t>
      </w:r>
      <w:r w:rsidRPr="002947D0">
        <w:rPr>
          <w:i/>
          <w:szCs w:val="24"/>
        </w:rPr>
        <w:t>EGFR</w:t>
      </w:r>
      <w:r w:rsidRPr="002947D0">
        <w:rPr>
          <w:szCs w:val="24"/>
        </w:rPr>
        <w:t xml:space="preserve"> mutation testing of NSCLC patients, which are pathologist determinable.</w:t>
      </w:r>
    </w:p>
    <w:p w14:paraId="2922BC81" w14:textId="77777777" w:rsidR="00E91F70" w:rsidRPr="002947D0" w:rsidRDefault="00E91F70" w:rsidP="00E91F70">
      <w:pPr>
        <w:spacing w:before="240" w:after="240"/>
        <w:contextualSpacing/>
      </w:pPr>
      <w:r w:rsidRPr="002947D0">
        <w:t>The critique noted that</w:t>
      </w:r>
      <w:r>
        <w:t>,</w:t>
      </w:r>
      <w:r w:rsidRPr="002947D0">
        <w:t xml:space="preserve"> given the concerns about the stability of PD-L1 expression levels, the committee may wish to consider whether testing should occur after patients are diagnosed with or progress to metastatic NSCLC and their tumours are </w:t>
      </w:r>
      <w:r w:rsidRPr="002947D0">
        <w:rPr>
          <w:i/>
        </w:rPr>
        <w:t>EGFR</w:t>
      </w:r>
      <w:r w:rsidRPr="002947D0">
        <w:t xml:space="preserve"> negative and </w:t>
      </w:r>
      <w:r w:rsidRPr="002947D0">
        <w:rPr>
          <w:i/>
        </w:rPr>
        <w:t>ALK</w:t>
      </w:r>
      <w:r w:rsidRPr="002947D0">
        <w:t xml:space="preserve"> negative (i.e. when the determination of their PD-L1 status is required to decide whether they are eligible for</w:t>
      </w:r>
      <w:r w:rsidR="008C0864">
        <w:t xml:space="preserve"> treatment with pembrolizumab).</w:t>
      </w:r>
    </w:p>
    <w:p w14:paraId="34A678FB" w14:textId="77777777" w:rsidR="00BC1364" w:rsidRPr="00F715D1" w:rsidRDefault="00BC1364" w:rsidP="00F715D1">
      <w:pPr>
        <w:pStyle w:val="Heading1"/>
      </w:pPr>
      <w:r w:rsidRPr="00F715D1">
        <w:t xml:space="preserve">Summary of </w:t>
      </w:r>
      <w:r w:rsidR="00095414" w:rsidRPr="00F715D1">
        <w:t>public consultation feedback/consumer i</w:t>
      </w:r>
      <w:r w:rsidR="003D7F29" w:rsidRPr="00F715D1">
        <w:t>ssues</w:t>
      </w:r>
    </w:p>
    <w:p w14:paraId="717C0009" w14:textId="62FFFE2A" w:rsidR="005102D1" w:rsidRPr="0080094D" w:rsidRDefault="005102D1" w:rsidP="005102D1">
      <w:pPr>
        <w:tabs>
          <w:tab w:val="left" w:pos="720"/>
          <w:tab w:val="left" w:pos="1140"/>
        </w:tabs>
        <w:spacing w:after="240"/>
        <w:rPr>
          <w:szCs w:val="24"/>
        </w:rPr>
      </w:pPr>
      <w:r w:rsidRPr="0080094D">
        <w:rPr>
          <w:szCs w:val="24"/>
        </w:rPr>
        <w:t xml:space="preserve">See Application 1440 PSD on the MSAC website at </w:t>
      </w:r>
      <w:hyperlink r:id="rId12" w:tooltip="Link to Medical Services Advisory Committee website" w:history="1">
        <w:r w:rsidRPr="0080094D">
          <w:rPr>
            <w:rStyle w:val="Hyperlink"/>
            <w:rFonts w:eastAsiaTheme="majorEastAsia"/>
            <w:szCs w:val="24"/>
          </w:rPr>
          <w:t>www.msac.gov.au</w:t>
        </w:r>
      </w:hyperlink>
      <w:r w:rsidRPr="0080094D">
        <w:rPr>
          <w:szCs w:val="24"/>
        </w:rPr>
        <w:t>.</w:t>
      </w:r>
    </w:p>
    <w:p w14:paraId="3D1A44B8" w14:textId="77777777" w:rsidR="00BC1364" w:rsidRPr="00F715D1" w:rsidRDefault="00BC1364" w:rsidP="00F715D1">
      <w:pPr>
        <w:pStyle w:val="Heading1"/>
      </w:pPr>
      <w:r w:rsidRPr="00F715D1">
        <w:t>Proposed intervention’s place in clinical management</w:t>
      </w:r>
    </w:p>
    <w:p w14:paraId="33CB0C9A" w14:textId="77777777" w:rsidR="005102D1" w:rsidRPr="00CD3BED" w:rsidRDefault="005102D1" w:rsidP="005102D1">
      <w:pPr>
        <w:pStyle w:val="NormalWeb"/>
        <w:jc w:val="left"/>
        <w:rPr>
          <w:color w:val="000000"/>
        </w:rPr>
      </w:pPr>
      <w:r w:rsidRPr="00CD3BED">
        <w:rPr>
          <w:color w:val="000000"/>
        </w:rPr>
        <w:t>Lung cancer is the fifth most commonly diagnosed invasive cancer and is the leading cause of cancer death in Australia. It is estimated that 12,434 new cases of lung cancer will be diagnosed in 2017 in Australia and that the estimated number of deaths will be 9,012. The target population for PD-L1 testing is patients diagnosed with NSCLC. This remains the same as in the previous submission.</w:t>
      </w:r>
    </w:p>
    <w:p w14:paraId="0FAF4DE9" w14:textId="77777777" w:rsidR="005102D1" w:rsidRPr="00CD3BED" w:rsidRDefault="005102D1" w:rsidP="005102D1">
      <w:pPr>
        <w:pStyle w:val="NormalWeb"/>
        <w:spacing w:before="240" w:after="240"/>
        <w:jc w:val="left"/>
        <w:rPr>
          <w:color w:val="000000"/>
        </w:rPr>
      </w:pPr>
      <w:r w:rsidRPr="00CD3BED">
        <w:rPr>
          <w:color w:val="000000"/>
        </w:rPr>
        <w:t>The median prevalence of PD-L1 TPS ≥50% for both Australia and the broader Caucasian population prevalence is 26% (range 22–29) and 29% (range 25–30), respectively. These values are consistent with the proposed prevalence of 28.5% for the base case in the economic evaluation.</w:t>
      </w:r>
    </w:p>
    <w:p w14:paraId="534C8E94" w14:textId="77777777" w:rsidR="005102D1" w:rsidRDefault="005102D1" w:rsidP="005102D1">
      <w:pPr>
        <w:pStyle w:val="NormalWeb"/>
        <w:jc w:val="left"/>
        <w:rPr>
          <w:color w:val="000000"/>
        </w:rPr>
      </w:pPr>
      <w:r w:rsidRPr="00CD3BED">
        <w:rPr>
          <w:color w:val="000000"/>
        </w:rPr>
        <w:t xml:space="preserve">In the clinical management algorithm, all patients suspected of having NSCLC will undergo a biopsy at initial diagnosis to determine histology. For patients with NSCLC of squamous histology, assessment of PD-L1 status through IHC will be the only biomarker test </w:t>
      </w:r>
      <w:r w:rsidRPr="00CD3BED">
        <w:rPr>
          <w:color w:val="000000"/>
        </w:rPr>
        <w:lastRenderedPageBreak/>
        <w:t xml:space="preserve">undertaken at diagnosis. For patients who have non-squamous or not otherwise specified NSCLC, PD-L1 IHC testing will be performed at initial diagnosis, along with </w:t>
      </w:r>
      <w:r w:rsidRPr="0080094D">
        <w:rPr>
          <w:i/>
          <w:color w:val="000000"/>
        </w:rPr>
        <w:t>EGFR</w:t>
      </w:r>
      <w:r w:rsidRPr="00CD3BED">
        <w:rPr>
          <w:color w:val="000000"/>
        </w:rPr>
        <w:t xml:space="preserve"> and </w:t>
      </w:r>
      <w:r w:rsidRPr="0080094D">
        <w:rPr>
          <w:i/>
          <w:color w:val="000000"/>
        </w:rPr>
        <w:t>ALK</w:t>
      </w:r>
      <w:r w:rsidRPr="00CD3BED">
        <w:rPr>
          <w:color w:val="000000"/>
        </w:rPr>
        <w:t xml:space="preserve"> testing.</w:t>
      </w:r>
    </w:p>
    <w:p w14:paraId="3B06A0AD" w14:textId="77777777" w:rsidR="00BC1364" w:rsidRPr="00F715D1" w:rsidRDefault="00BC1364" w:rsidP="00F715D1">
      <w:pPr>
        <w:pStyle w:val="Heading1"/>
      </w:pPr>
      <w:r w:rsidRPr="00F715D1">
        <w:t xml:space="preserve">Comparator </w:t>
      </w:r>
    </w:p>
    <w:p w14:paraId="084EEFAF" w14:textId="77777777" w:rsidR="005102D1" w:rsidRPr="0080094D" w:rsidRDefault="005102D1" w:rsidP="005102D1">
      <w:r w:rsidRPr="0080094D">
        <w:rPr>
          <w:color w:val="000000"/>
          <w:szCs w:val="24"/>
        </w:rPr>
        <w:t>The re-submission nominated current practice, i.e. no test and treatment with platinum-based doublet chemotherapy for all patients, as the main comparator. This is unchanged from the previous submission.</w:t>
      </w:r>
    </w:p>
    <w:p w14:paraId="574DB017" w14:textId="77777777" w:rsidR="00BC1364" w:rsidRPr="00F715D1" w:rsidRDefault="00BC1364" w:rsidP="00F715D1">
      <w:pPr>
        <w:pStyle w:val="Heading1"/>
      </w:pPr>
      <w:r w:rsidRPr="00F715D1">
        <w:t>Comparative safety</w:t>
      </w:r>
    </w:p>
    <w:p w14:paraId="5A693FF1" w14:textId="77777777" w:rsidR="005102D1" w:rsidRPr="000F4D22" w:rsidRDefault="005102D1" w:rsidP="005102D1">
      <w:pPr>
        <w:pStyle w:val="NormalWeb"/>
        <w:jc w:val="left"/>
        <w:rPr>
          <w:color w:val="000000"/>
        </w:rPr>
      </w:pPr>
      <w:r w:rsidRPr="000F4D22">
        <w:rPr>
          <w:color w:val="000000"/>
        </w:rPr>
        <w:t xml:space="preserve">As PD-L1 testing is to be performed on tissue sections taken from a biopsy specimen obtained as part of standard diagnostic work-up, it would not incur any direct risks to patients. IHC only uses one 4-5 micron section compared to approximately 50 microns required for </w:t>
      </w:r>
      <w:r w:rsidRPr="0080094D">
        <w:rPr>
          <w:i/>
          <w:color w:val="000000"/>
        </w:rPr>
        <w:t>EGFR</w:t>
      </w:r>
      <w:r w:rsidRPr="000F4D22">
        <w:rPr>
          <w:color w:val="000000"/>
        </w:rPr>
        <w:t xml:space="preserve"> mutation testing, and so it is unlikely that a re-biopsy would be required for the PD-L1 test alone. The addition of the PD-L1 biomarker to the testing protocol at initial diagnosis would be unlikely to increase the overall re-biopsy rate.</w:t>
      </w:r>
    </w:p>
    <w:p w14:paraId="12C6D55F" w14:textId="77777777" w:rsidR="005102D1" w:rsidRPr="000F4D22" w:rsidRDefault="005102D1" w:rsidP="005102D1">
      <w:pPr>
        <w:pStyle w:val="NormalWeb"/>
        <w:spacing w:before="240" w:after="240"/>
        <w:jc w:val="left"/>
        <w:rPr>
          <w:color w:val="000000"/>
        </w:rPr>
      </w:pPr>
      <w:r w:rsidRPr="000F4D22">
        <w:rPr>
          <w:color w:val="000000"/>
        </w:rPr>
        <w:t xml:space="preserve">A re-biopsy may be required due to PD-L1 expression changes in patients diagnosed at an earlier stage disease and receiving subsequent treatment. The main risk to the patient would then be complications such as pneumothorax and haemorrhage. However, </w:t>
      </w:r>
      <w:r>
        <w:rPr>
          <w:color w:val="000000"/>
        </w:rPr>
        <w:t xml:space="preserve">the critique noted that </w:t>
      </w:r>
      <w:r w:rsidRPr="000F4D22">
        <w:rPr>
          <w:color w:val="000000"/>
        </w:rPr>
        <w:t>if cytology samples (</w:t>
      </w:r>
      <w:r>
        <w:rPr>
          <w:color w:val="000000"/>
        </w:rPr>
        <w:t xml:space="preserve">fine needle aspirations </w:t>
      </w:r>
      <w:r w:rsidRPr="000F4D22">
        <w:rPr>
          <w:color w:val="000000"/>
        </w:rPr>
        <w:t>and effusions) were used for PD-L1 testing, the associated risks would be reduced.</w:t>
      </w:r>
    </w:p>
    <w:p w14:paraId="70F468AA" w14:textId="77777777" w:rsidR="00BC1364" w:rsidRPr="00F715D1" w:rsidRDefault="00BC1364" w:rsidP="00F715D1">
      <w:pPr>
        <w:pStyle w:val="Heading1"/>
      </w:pPr>
      <w:r w:rsidRPr="00F715D1">
        <w:t>Comparative effectiveness</w:t>
      </w:r>
    </w:p>
    <w:p w14:paraId="4084AC8C" w14:textId="651B9E7E" w:rsidR="00EB36E8" w:rsidRDefault="00863377" w:rsidP="008B570F">
      <w:pPr>
        <w:pStyle w:val="NormalWeb"/>
        <w:spacing w:before="240" w:after="240"/>
        <w:rPr>
          <w:rFonts w:ascii="Arial Narrow" w:hAnsi="Arial Narrow"/>
          <w:b/>
          <w:color w:val="000000"/>
          <w:sz w:val="20"/>
        </w:rPr>
      </w:pPr>
      <w:r w:rsidRPr="00705548">
        <w:rPr>
          <w:color w:val="000000"/>
        </w:rPr>
        <w:t xml:space="preserve">The </w:t>
      </w:r>
      <w:r>
        <w:rPr>
          <w:color w:val="000000"/>
        </w:rPr>
        <w:t>resubmission presented</w:t>
      </w:r>
      <w:r w:rsidRPr="00705548">
        <w:rPr>
          <w:color w:val="000000"/>
        </w:rPr>
        <w:t xml:space="preserve"> </w:t>
      </w:r>
      <w:r>
        <w:rPr>
          <w:color w:val="000000"/>
        </w:rPr>
        <w:t xml:space="preserve">a linked </w:t>
      </w:r>
      <w:r w:rsidRPr="00705548">
        <w:rPr>
          <w:color w:val="000000"/>
        </w:rPr>
        <w:t>evidence</w:t>
      </w:r>
      <w:r>
        <w:rPr>
          <w:color w:val="000000"/>
        </w:rPr>
        <w:t xml:space="preserve"> approach </w:t>
      </w:r>
      <w:r w:rsidRPr="00705548">
        <w:rPr>
          <w:color w:val="000000"/>
        </w:rPr>
        <w:t xml:space="preserve">to </w:t>
      </w:r>
      <w:r>
        <w:rPr>
          <w:color w:val="000000"/>
        </w:rPr>
        <w:t>show</w:t>
      </w:r>
      <w:r w:rsidRPr="00705548">
        <w:rPr>
          <w:color w:val="000000"/>
        </w:rPr>
        <w:t xml:space="preserve"> that targeting of PD-L1 with the medicine will improve health outcomes</w:t>
      </w:r>
      <w:r>
        <w:rPr>
          <w:color w:val="000000"/>
        </w:rPr>
        <w:t>, see Table 2</w:t>
      </w:r>
      <w:r w:rsidRPr="00705548">
        <w:rPr>
          <w:color w:val="000000"/>
        </w:rPr>
        <w:t>.</w:t>
      </w:r>
      <w:r w:rsidR="00EB36E8">
        <w:rPr>
          <w:rFonts w:ascii="Arial Narrow" w:hAnsi="Arial Narrow"/>
          <w:b/>
          <w:color w:val="000000"/>
          <w:sz w:val="20"/>
        </w:rPr>
        <w:br w:type="page"/>
      </w:r>
    </w:p>
    <w:p w14:paraId="6220A21E" w14:textId="608A9BB7" w:rsidR="00863377" w:rsidRPr="0080094D" w:rsidRDefault="00863377" w:rsidP="00863377">
      <w:pPr>
        <w:rPr>
          <w:rFonts w:ascii="Arial Narrow" w:hAnsi="Arial Narrow"/>
          <w:b/>
          <w:color w:val="000000"/>
          <w:sz w:val="20"/>
        </w:rPr>
      </w:pPr>
      <w:r w:rsidRPr="0080094D">
        <w:rPr>
          <w:rFonts w:ascii="Arial Narrow" w:hAnsi="Arial Narrow"/>
          <w:b/>
          <w:color w:val="000000"/>
          <w:sz w:val="20"/>
        </w:rPr>
        <w:lastRenderedPageBreak/>
        <w:t>Table 2</w:t>
      </w:r>
      <w:r>
        <w:rPr>
          <w:rFonts w:ascii="Arial Narrow" w:hAnsi="Arial Narrow"/>
          <w:b/>
          <w:color w:val="000000"/>
          <w:sz w:val="20"/>
        </w:rPr>
        <w:t>:</w:t>
      </w:r>
      <w:r w:rsidRPr="0080094D">
        <w:rPr>
          <w:rFonts w:ascii="Arial Narrow" w:hAnsi="Arial Narrow"/>
          <w:b/>
          <w:color w:val="000000"/>
          <w:sz w:val="20"/>
        </w:rPr>
        <w:tab/>
        <w:t>Evidence provided in the submission to support the use of the codependent technology</w:t>
      </w:r>
    </w:p>
    <w:tbl>
      <w:tblPr>
        <w:tblStyle w:val="TableGrid2"/>
        <w:tblW w:w="0" w:type="auto"/>
        <w:tblLook w:val="04A0" w:firstRow="1" w:lastRow="0" w:firstColumn="1" w:lastColumn="0" w:noHBand="0" w:noVBand="1"/>
        <w:tblDescription w:val="Summarises the evidence provided to support the use of the test"/>
      </w:tblPr>
      <w:tblGrid>
        <w:gridCol w:w="2235"/>
        <w:gridCol w:w="3260"/>
        <w:gridCol w:w="1701"/>
        <w:gridCol w:w="2046"/>
      </w:tblGrid>
      <w:tr w:rsidR="00863377" w:rsidRPr="0080094D" w14:paraId="453FB60B" w14:textId="77777777" w:rsidTr="005938FD">
        <w:trPr>
          <w:tblHeader/>
        </w:trPr>
        <w:tc>
          <w:tcPr>
            <w:tcW w:w="2235" w:type="dxa"/>
          </w:tcPr>
          <w:p w14:paraId="18F8386F" w14:textId="77777777" w:rsidR="00863377" w:rsidRPr="0080094D" w:rsidRDefault="00863377" w:rsidP="00540A74">
            <w:pPr>
              <w:spacing w:before="100" w:beforeAutospacing="1" w:after="100" w:afterAutospacing="1"/>
              <w:rPr>
                <w:rFonts w:ascii="Arial Narrow" w:hAnsi="Arial Narrow"/>
                <w:b/>
                <w:color w:val="000000"/>
                <w:sz w:val="20"/>
                <w:lang w:eastAsia="en-AU"/>
              </w:rPr>
            </w:pPr>
          </w:p>
        </w:tc>
        <w:tc>
          <w:tcPr>
            <w:tcW w:w="3260" w:type="dxa"/>
          </w:tcPr>
          <w:p w14:paraId="0599C482" w14:textId="77777777" w:rsidR="00863377" w:rsidRPr="0080094D" w:rsidRDefault="00863377" w:rsidP="00540A74">
            <w:pPr>
              <w:spacing w:before="100" w:beforeAutospacing="1" w:after="100" w:afterAutospacing="1"/>
              <w:rPr>
                <w:rFonts w:ascii="Arial Narrow" w:hAnsi="Arial Narrow"/>
                <w:b/>
                <w:color w:val="000000"/>
                <w:sz w:val="20"/>
                <w:lang w:eastAsia="en-AU"/>
              </w:rPr>
            </w:pPr>
            <w:r w:rsidRPr="0080094D">
              <w:rPr>
                <w:rFonts w:ascii="Arial Narrow" w:hAnsi="Arial Narrow"/>
                <w:b/>
                <w:color w:val="000000"/>
                <w:sz w:val="20"/>
                <w:lang w:eastAsia="en-AU"/>
              </w:rPr>
              <w:t>Type of evidence supplied</w:t>
            </w:r>
          </w:p>
        </w:tc>
        <w:tc>
          <w:tcPr>
            <w:tcW w:w="1701" w:type="dxa"/>
          </w:tcPr>
          <w:p w14:paraId="77145BF5" w14:textId="77777777" w:rsidR="00863377" w:rsidRPr="0080094D" w:rsidRDefault="00863377" w:rsidP="00540A74">
            <w:pPr>
              <w:spacing w:before="100" w:beforeAutospacing="1" w:after="100" w:afterAutospacing="1"/>
              <w:rPr>
                <w:rFonts w:ascii="Arial Narrow" w:hAnsi="Arial Narrow"/>
                <w:b/>
                <w:color w:val="000000"/>
                <w:sz w:val="20"/>
                <w:lang w:eastAsia="en-AU"/>
              </w:rPr>
            </w:pPr>
            <w:r w:rsidRPr="0080094D">
              <w:rPr>
                <w:rFonts w:ascii="Arial Narrow" w:hAnsi="Arial Narrow"/>
                <w:b/>
                <w:color w:val="000000"/>
                <w:sz w:val="20"/>
                <w:lang w:eastAsia="en-AU"/>
              </w:rPr>
              <w:t>Extent of evidence supplied</w:t>
            </w:r>
          </w:p>
        </w:tc>
        <w:tc>
          <w:tcPr>
            <w:tcW w:w="2046" w:type="dxa"/>
          </w:tcPr>
          <w:p w14:paraId="6318B0B3" w14:textId="77777777" w:rsidR="00863377" w:rsidRPr="0080094D" w:rsidRDefault="00863377" w:rsidP="00540A74">
            <w:pPr>
              <w:spacing w:before="100" w:beforeAutospacing="1" w:after="100" w:afterAutospacing="1"/>
              <w:ind w:firstLine="15"/>
              <w:rPr>
                <w:rFonts w:ascii="Arial Narrow" w:hAnsi="Arial Narrow"/>
                <w:b/>
                <w:color w:val="000000"/>
                <w:sz w:val="20"/>
                <w:lang w:eastAsia="en-AU"/>
              </w:rPr>
            </w:pPr>
            <w:r w:rsidRPr="0080094D">
              <w:rPr>
                <w:rFonts w:ascii="Arial Narrow" w:hAnsi="Arial Narrow"/>
                <w:b/>
                <w:color w:val="000000"/>
                <w:sz w:val="20"/>
                <w:lang w:eastAsia="en-AU"/>
              </w:rPr>
              <w:t>Overall risk of bias in clinical trials</w:t>
            </w:r>
          </w:p>
        </w:tc>
      </w:tr>
      <w:tr w:rsidR="00863377" w:rsidRPr="0080094D" w14:paraId="110FEDD3" w14:textId="77777777" w:rsidTr="00540A74">
        <w:tc>
          <w:tcPr>
            <w:tcW w:w="2235" w:type="dxa"/>
          </w:tcPr>
          <w:p w14:paraId="383796DE"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Accuracy and</w:t>
            </w:r>
            <w:r>
              <w:rPr>
                <w:rFonts w:ascii="Arial Narrow" w:hAnsi="Arial Narrow"/>
                <w:b/>
                <w:color w:val="000000"/>
                <w:sz w:val="20"/>
                <w:lang w:eastAsia="en-AU"/>
              </w:rPr>
              <w:t xml:space="preserve"> </w:t>
            </w:r>
            <w:r w:rsidRPr="0080094D">
              <w:rPr>
                <w:rFonts w:ascii="Arial Narrow" w:hAnsi="Arial Narrow"/>
                <w:b/>
                <w:color w:val="000000"/>
                <w:sz w:val="20"/>
                <w:lang w:eastAsia="en-AU"/>
              </w:rPr>
              <w:t>performance of the test</w:t>
            </w:r>
            <w:r>
              <w:rPr>
                <w:rFonts w:ascii="Arial Narrow" w:hAnsi="Arial Narrow"/>
                <w:b/>
                <w:color w:val="000000"/>
                <w:sz w:val="20"/>
                <w:lang w:eastAsia="en-AU"/>
              </w:rPr>
              <w:t xml:space="preserve"> </w:t>
            </w:r>
            <w:r w:rsidRPr="0080094D">
              <w:rPr>
                <w:rFonts w:ascii="Arial Narrow" w:hAnsi="Arial Narrow"/>
                <w:b/>
                <w:color w:val="000000"/>
                <w:sz w:val="20"/>
                <w:lang w:eastAsia="en-AU"/>
              </w:rPr>
              <w:t>(analytical validity)</w:t>
            </w:r>
          </w:p>
        </w:tc>
        <w:tc>
          <w:tcPr>
            <w:tcW w:w="3260" w:type="dxa"/>
          </w:tcPr>
          <w:p w14:paraId="47A39871"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A study of test accuracy with the evidentiary standard using the 50% TPS threshold</w:t>
            </w:r>
          </w:p>
        </w:tc>
        <w:tc>
          <w:tcPr>
            <w:tcW w:w="1701" w:type="dxa"/>
          </w:tcPr>
          <w:p w14:paraId="6A1C0010"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k=5 n=700</w:t>
            </w:r>
          </w:p>
        </w:tc>
        <w:tc>
          <w:tcPr>
            <w:tcW w:w="2046" w:type="dxa"/>
          </w:tcPr>
          <w:p w14:paraId="4F3B5DEC"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k=3 low risk of bias</w:t>
            </w:r>
          </w:p>
          <w:p w14:paraId="338F0718"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k=2 unclear risk of bias</w:t>
            </w:r>
          </w:p>
        </w:tc>
      </w:tr>
      <w:tr w:rsidR="00863377" w:rsidRPr="0080094D" w14:paraId="29ADD40A" w14:textId="77777777" w:rsidTr="00540A74">
        <w:tc>
          <w:tcPr>
            <w:tcW w:w="2235" w:type="dxa"/>
          </w:tcPr>
          <w:p w14:paraId="2B2383C8"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Prognostic evidence</w:t>
            </w:r>
          </w:p>
        </w:tc>
        <w:tc>
          <w:tcPr>
            <w:tcW w:w="3260" w:type="dxa"/>
          </w:tcPr>
          <w:p w14:paraId="0C83581E"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Comparison of outcomes in patients receiving usual care conditioned on the presence or absence of the biomarker</w:t>
            </w:r>
          </w:p>
        </w:tc>
        <w:tc>
          <w:tcPr>
            <w:tcW w:w="1701" w:type="dxa"/>
          </w:tcPr>
          <w:p w14:paraId="25D81CD0"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k=8 n=12,939</w:t>
            </w:r>
          </w:p>
        </w:tc>
        <w:tc>
          <w:tcPr>
            <w:tcW w:w="2046" w:type="dxa"/>
          </w:tcPr>
          <w:p w14:paraId="6ED62DF4"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Low risk of bias</w:t>
            </w:r>
          </w:p>
        </w:tc>
      </w:tr>
      <w:tr w:rsidR="00863377" w:rsidRPr="0080094D" w14:paraId="218F5360" w14:textId="77777777" w:rsidTr="00540A74">
        <w:tc>
          <w:tcPr>
            <w:tcW w:w="2235" w:type="dxa"/>
          </w:tcPr>
          <w:p w14:paraId="0CAC5AC7"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Change in patient</w:t>
            </w:r>
            <w:r>
              <w:rPr>
                <w:rFonts w:ascii="Arial Narrow" w:hAnsi="Arial Narrow"/>
                <w:b/>
                <w:color w:val="000000"/>
                <w:sz w:val="20"/>
                <w:lang w:eastAsia="en-AU"/>
              </w:rPr>
              <w:t xml:space="preserve"> </w:t>
            </w:r>
            <w:r w:rsidRPr="0080094D">
              <w:rPr>
                <w:rFonts w:ascii="Arial Narrow" w:hAnsi="Arial Narrow"/>
                <w:b/>
                <w:color w:val="000000"/>
                <w:sz w:val="20"/>
                <w:lang w:eastAsia="en-AU"/>
              </w:rPr>
              <w:t>management</w:t>
            </w:r>
          </w:p>
        </w:tc>
        <w:tc>
          <w:tcPr>
            <w:tcW w:w="3260" w:type="dxa"/>
          </w:tcPr>
          <w:p w14:paraId="4B234149"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Evidence to show that biomarker determination guides decisions about treatment with the medicine</w:t>
            </w:r>
          </w:p>
        </w:tc>
        <w:tc>
          <w:tcPr>
            <w:tcW w:w="1701" w:type="dxa"/>
          </w:tcPr>
          <w:p w14:paraId="228C61D1"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k=1 n=545</w:t>
            </w:r>
          </w:p>
        </w:tc>
        <w:tc>
          <w:tcPr>
            <w:tcW w:w="2046" w:type="dxa"/>
          </w:tcPr>
          <w:p w14:paraId="7E914FA9"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PFS: low risk of bias </w:t>
            </w:r>
          </w:p>
          <w:p w14:paraId="27AA0433"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OS: risk of confounding (significant treatment switching) </w:t>
            </w:r>
          </w:p>
          <w:p w14:paraId="406FF178" w14:textId="77777777" w:rsidR="00863377" w:rsidRPr="0080094D" w:rsidRDefault="00863377" w:rsidP="00540A74">
            <w:pPr>
              <w:rPr>
                <w:rFonts w:ascii="Arial Narrow" w:hAnsi="Arial Narrow"/>
                <w:sz w:val="20"/>
                <w:lang w:eastAsia="en-AU"/>
              </w:rPr>
            </w:pPr>
            <w:r w:rsidRPr="0080094D">
              <w:rPr>
                <w:rFonts w:ascii="Arial Narrow" w:hAnsi="Arial Narrow"/>
                <w:color w:val="000000"/>
                <w:sz w:val="20"/>
                <w:lang w:eastAsia="en-AU"/>
              </w:rPr>
              <w:t xml:space="preserve">Safety, </w:t>
            </w:r>
            <w:proofErr w:type="spellStart"/>
            <w:r w:rsidRPr="0080094D">
              <w:rPr>
                <w:rFonts w:ascii="Arial Narrow" w:hAnsi="Arial Narrow"/>
                <w:color w:val="000000"/>
                <w:sz w:val="20"/>
                <w:lang w:eastAsia="en-AU"/>
              </w:rPr>
              <w:t>QoL</w:t>
            </w:r>
            <w:proofErr w:type="spellEnd"/>
            <w:r w:rsidRPr="0080094D">
              <w:rPr>
                <w:rFonts w:ascii="Arial Narrow" w:hAnsi="Arial Narrow"/>
                <w:color w:val="000000"/>
                <w:sz w:val="20"/>
                <w:lang w:eastAsia="en-AU"/>
              </w:rPr>
              <w:t>: High risk of bias</w:t>
            </w:r>
          </w:p>
        </w:tc>
      </w:tr>
      <w:tr w:rsidR="00863377" w:rsidRPr="0080094D" w14:paraId="0E699963" w14:textId="77777777" w:rsidTr="00540A74">
        <w:tc>
          <w:tcPr>
            <w:tcW w:w="2235" w:type="dxa"/>
          </w:tcPr>
          <w:p w14:paraId="119CA502" w14:textId="2646F150" w:rsidR="00863377" w:rsidRPr="0080094D" w:rsidRDefault="00863377" w:rsidP="008B570F">
            <w:pPr>
              <w:spacing w:after="240"/>
              <w:rPr>
                <w:rFonts w:ascii="Arial Narrow" w:hAnsi="Arial Narrow"/>
                <w:b/>
                <w:color w:val="000000"/>
                <w:sz w:val="20"/>
                <w:lang w:eastAsia="en-AU"/>
              </w:rPr>
            </w:pPr>
            <w:r w:rsidRPr="0080094D">
              <w:rPr>
                <w:rFonts w:ascii="Arial Narrow" w:hAnsi="Arial Narrow"/>
                <w:b/>
                <w:color w:val="000000"/>
                <w:sz w:val="20"/>
                <w:lang w:eastAsia="en-AU"/>
              </w:rPr>
              <w:t>Treatment effectiveness</w:t>
            </w:r>
          </w:p>
          <w:p w14:paraId="4172E703"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Predictive effect</w:t>
            </w:r>
          </w:p>
          <w:p w14:paraId="69479BE9" w14:textId="77777777" w:rsidR="00863377" w:rsidRPr="0080094D" w:rsidRDefault="00863377" w:rsidP="008B570F">
            <w:pPr>
              <w:spacing w:before="720"/>
              <w:rPr>
                <w:rFonts w:ascii="Arial Narrow" w:hAnsi="Arial Narrow"/>
                <w:b/>
                <w:color w:val="000000"/>
                <w:sz w:val="20"/>
                <w:lang w:eastAsia="en-AU"/>
              </w:rPr>
            </w:pPr>
            <w:r w:rsidRPr="0080094D">
              <w:rPr>
                <w:rFonts w:ascii="Arial Narrow" w:hAnsi="Arial Narrow"/>
                <w:b/>
                <w:color w:val="000000"/>
                <w:sz w:val="20"/>
                <w:lang w:eastAsia="en-AU"/>
              </w:rPr>
              <w:t>Treatment effect</w:t>
            </w:r>
            <w:r>
              <w:rPr>
                <w:rFonts w:ascii="Arial Narrow" w:hAnsi="Arial Narrow"/>
                <w:b/>
                <w:color w:val="000000"/>
                <w:sz w:val="20"/>
                <w:lang w:eastAsia="en-AU"/>
              </w:rPr>
              <w:t xml:space="preserve"> </w:t>
            </w:r>
            <w:r w:rsidRPr="0080094D">
              <w:rPr>
                <w:rFonts w:ascii="Arial Narrow" w:hAnsi="Arial Narrow"/>
                <w:b/>
                <w:color w:val="000000"/>
                <w:sz w:val="20"/>
                <w:lang w:eastAsia="en-AU"/>
              </w:rPr>
              <w:t>(enriched)</w:t>
            </w:r>
          </w:p>
        </w:tc>
        <w:tc>
          <w:tcPr>
            <w:tcW w:w="3260" w:type="dxa"/>
          </w:tcPr>
          <w:p w14:paraId="179C3BC6" w14:textId="68A76559" w:rsidR="00863377" w:rsidRPr="0080094D" w:rsidRDefault="00863377" w:rsidP="008B570F">
            <w:pPr>
              <w:spacing w:before="480" w:after="240"/>
              <w:rPr>
                <w:rFonts w:ascii="Arial Narrow" w:hAnsi="Arial Narrow"/>
                <w:color w:val="000000"/>
                <w:sz w:val="20"/>
                <w:lang w:eastAsia="en-AU"/>
              </w:rPr>
            </w:pPr>
            <w:r w:rsidRPr="0080094D">
              <w:rPr>
                <w:rFonts w:ascii="Arial Narrow" w:hAnsi="Arial Narrow"/>
                <w:color w:val="000000"/>
                <w:sz w:val="20"/>
                <w:lang w:eastAsia="en-AU"/>
              </w:rPr>
              <w:t xml:space="preserve">Comparison of outcomes in patients with or without the biomarker who receive the medicine or its comparator </w:t>
            </w:r>
          </w:p>
          <w:p w14:paraId="5FADC75C"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Single randomised controlled trial of medicine vs usual care in patients that are test positive in both arms</w:t>
            </w:r>
          </w:p>
        </w:tc>
        <w:tc>
          <w:tcPr>
            <w:tcW w:w="1701" w:type="dxa"/>
          </w:tcPr>
          <w:p w14:paraId="25EA21E2" w14:textId="27B664C7" w:rsidR="00863377" w:rsidRPr="0080094D" w:rsidRDefault="00863377" w:rsidP="008B570F">
            <w:pPr>
              <w:spacing w:before="480"/>
              <w:rPr>
                <w:rFonts w:ascii="Arial Narrow" w:hAnsi="Arial Narrow"/>
                <w:color w:val="000000"/>
                <w:sz w:val="20"/>
                <w:lang w:eastAsia="en-AU"/>
              </w:rPr>
            </w:pPr>
            <w:r w:rsidRPr="0080094D">
              <w:rPr>
                <w:rFonts w:ascii="MS Gothic" w:eastAsia="MS Gothic" w:hAnsi="MS Gothic" w:cs="MS Gothic" w:hint="eastAsia"/>
                <w:color w:val="000000"/>
                <w:sz w:val="20"/>
                <w:lang w:eastAsia="en-AU"/>
              </w:rPr>
              <w:t>☒</w:t>
            </w:r>
            <w:r>
              <w:rPr>
                <w:rFonts w:ascii="Arial Narrow" w:hAnsi="Arial Narrow"/>
                <w:color w:val="000000"/>
                <w:sz w:val="20"/>
                <w:lang w:eastAsia="en-AU"/>
              </w:rPr>
              <w:t xml:space="preserve"> k=2 n=142</w:t>
            </w:r>
          </w:p>
          <w:p w14:paraId="2222B52B" w14:textId="77777777" w:rsidR="00863377" w:rsidRPr="0080094D" w:rsidRDefault="00863377" w:rsidP="008B570F">
            <w:pPr>
              <w:spacing w:before="720"/>
              <w:rPr>
                <w:rFonts w:ascii="Arial Narrow" w:hAnsi="Arial Narrow"/>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k=1 n=545</w:t>
            </w:r>
          </w:p>
        </w:tc>
        <w:tc>
          <w:tcPr>
            <w:tcW w:w="2046" w:type="dxa"/>
          </w:tcPr>
          <w:p w14:paraId="37F9848F" w14:textId="7223D7EC" w:rsidR="00863377" w:rsidRPr="0080094D" w:rsidRDefault="00863377" w:rsidP="008B570F">
            <w:pPr>
              <w:spacing w:before="480" w:after="240"/>
              <w:rPr>
                <w:rFonts w:ascii="Arial Narrow" w:hAnsi="Arial Narrow"/>
                <w:color w:val="000000"/>
                <w:sz w:val="20"/>
                <w:lang w:eastAsia="en-AU"/>
              </w:rPr>
            </w:pPr>
            <w:r w:rsidRPr="0080094D">
              <w:rPr>
                <w:rFonts w:ascii="Arial Narrow" w:hAnsi="Arial Narrow"/>
                <w:color w:val="000000"/>
                <w:sz w:val="20"/>
                <w:lang w:eastAsia="en-AU"/>
              </w:rPr>
              <w:t xml:space="preserve">High risk of bias, unadjusted indirect comparison </w:t>
            </w:r>
          </w:p>
          <w:p w14:paraId="7A5F3CD6"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PFS: low risk of bias </w:t>
            </w:r>
          </w:p>
          <w:p w14:paraId="32ADC43F" w14:textId="77777777" w:rsidR="00863377" w:rsidRPr="0080094D" w:rsidRDefault="00863377" w:rsidP="00540A74">
            <w:pPr>
              <w:rPr>
                <w:rFonts w:ascii="Arial Narrow" w:hAnsi="Arial Narrow"/>
                <w:color w:val="000000"/>
                <w:sz w:val="20"/>
                <w:lang w:eastAsia="en-AU"/>
              </w:rPr>
            </w:pPr>
            <w:r w:rsidRPr="0080094D">
              <w:rPr>
                <w:rFonts w:ascii="Arial Narrow" w:hAnsi="Arial Narrow"/>
                <w:color w:val="000000"/>
                <w:sz w:val="20"/>
                <w:lang w:eastAsia="en-AU"/>
              </w:rPr>
              <w:t xml:space="preserve">OS: risk of confounding (significant treatment switching) </w:t>
            </w:r>
          </w:p>
          <w:p w14:paraId="4F4E6AF2"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 xml:space="preserve">Safety, </w:t>
            </w:r>
            <w:proofErr w:type="spellStart"/>
            <w:r w:rsidRPr="0080094D">
              <w:rPr>
                <w:rFonts w:ascii="Arial Narrow" w:hAnsi="Arial Narrow"/>
                <w:color w:val="000000"/>
                <w:sz w:val="20"/>
                <w:lang w:eastAsia="en-AU"/>
              </w:rPr>
              <w:t>QoL</w:t>
            </w:r>
            <w:proofErr w:type="spellEnd"/>
            <w:r w:rsidRPr="0080094D">
              <w:rPr>
                <w:rFonts w:ascii="Arial Narrow" w:hAnsi="Arial Narrow"/>
                <w:color w:val="000000"/>
                <w:sz w:val="20"/>
                <w:lang w:eastAsia="en-AU"/>
              </w:rPr>
              <w:t>: High risk of bias</w:t>
            </w:r>
          </w:p>
        </w:tc>
      </w:tr>
      <w:tr w:rsidR="00863377" w:rsidRPr="0080094D" w14:paraId="52B33F81" w14:textId="77777777" w:rsidTr="00540A74">
        <w:tc>
          <w:tcPr>
            <w:tcW w:w="2235" w:type="dxa"/>
          </w:tcPr>
          <w:p w14:paraId="042E2BC8" w14:textId="77777777" w:rsidR="00863377" w:rsidRPr="0080094D" w:rsidRDefault="00863377" w:rsidP="00540A74">
            <w:pPr>
              <w:rPr>
                <w:rFonts w:ascii="Arial Narrow" w:hAnsi="Arial Narrow"/>
                <w:b/>
                <w:color w:val="000000"/>
                <w:sz w:val="20"/>
                <w:lang w:eastAsia="en-AU"/>
              </w:rPr>
            </w:pPr>
            <w:r w:rsidRPr="0080094D">
              <w:rPr>
                <w:rFonts w:ascii="Arial Narrow" w:hAnsi="Arial Narrow"/>
                <w:b/>
                <w:color w:val="000000"/>
                <w:sz w:val="20"/>
                <w:lang w:eastAsia="en-AU"/>
              </w:rPr>
              <w:t>Other</w:t>
            </w:r>
          </w:p>
        </w:tc>
        <w:tc>
          <w:tcPr>
            <w:tcW w:w="3260" w:type="dxa"/>
          </w:tcPr>
          <w:p w14:paraId="7A524FB3"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Single arm PD-L1 unselected chemotherapy trials versus KN-001 and KN-024</w:t>
            </w:r>
          </w:p>
        </w:tc>
        <w:tc>
          <w:tcPr>
            <w:tcW w:w="1701" w:type="dxa"/>
          </w:tcPr>
          <w:p w14:paraId="42C88122" w14:textId="77777777" w:rsidR="00863377" w:rsidRPr="0080094D" w:rsidRDefault="00863377" w:rsidP="00540A74">
            <w:pPr>
              <w:rPr>
                <w:rFonts w:ascii="Arial Narrow" w:hAnsi="Arial Narrow"/>
                <w:b/>
                <w:color w:val="000000"/>
                <w:sz w:val="20"/>
                <w:lang w:eastAsia="en-AU"/>
              </w:rPr>
            </w:pPr>
            <w:r w:rsidRPr="0080094D">
              <w:rPr>
                <w:rFonts w:ascii="MS Gothic" w:eastAsia="MS Gothic" w:hAnsi="MS Gothic" w:cs="MS Gothic" w:hint="eastAsia"/>
                <w:color w:val="000000"/>
                <w:sz w:val="20"/>
                <w:lang w:eastAsia="en-AU"/>
              </w:rPr>
              <w:t>☒</w:t>
            </w:r>
            <w:r w:rsidRPr="0080094D">
              <w:rPr>
                <w:rFonts w:ascii="Arial Narrow" w:hAnsi="Arial Narrow"/>
                <w:color w:val="000000"/>
                <w:sz w:val="20"/>
                <w:lang w:eastAsia="en-AU"/>
              </w:rPr>
              <w:t xml:space="preserve"> k=8 n=2,129</w:t>
            </w:r>
          </w:p>
        </w:tc>
        <w:tc>
          <w:tcPr>
            <w:tcW w:w="2046" w:type="dxa"/>
          </w:tcPr>
          <w:p w14:paraId="210EDFFA" w14:textId="77777777" w:rsidR="00863377" w:rsidRPr="0080094D" w:rsidRDefault="00863377" w:rsidP="00540A74">
            <w:pPr>
              <w:rPr>
                <w:rFonts w:ascii="Arial Narrow" w:hAnsi="Arial Narrow"/>
                <w:b/>
                <w:color w:val="000000"/>
                <w:sz w:val="20"/>
                <w:lang w:eastAsia="en-AU"/>
              </w:rPr>
            </w:pPr>
            <w:r w:rsidRPr="0080094D">
              <w:rPr>
                <w:rFonts w:ascii="Arial Narrow" w:hAnsi="Arial Narrow"/>
                <w:color w:val="000000"/>
                <w:sz w:val="20"/>
                <w:lang w:eastAsia="en-AU"/>
              </w:rPr>
              <w:t>High risk of bias; unadjusted indirect comparison</w:t>
            </w:r>
          </w:p>
        </w:tc>
      </w:tr>
    </w:tbl>
    <w:p w14:paraId="017EBCFB" w14:textId="6F9C30F8" w:rsidR="00863377" w:rsidRPr="008B570F" w:rsidRDefault="00863377" w:rsidP="008B570F">
      <w:pPr>
        <w:spacing w:after="240"/>
        <w:rPr>
          <w:rFonts w:ascii="Arial Narrow" w:hAnsi="Arial Narrow"/>
          <w:color w:val="000000"/>
          <w:sz w:val="18"/>
          <w:szCs w:val="18"/>
        </w:rPr>
      </w:pPr>
      <w:proofErr w:type="gramStart"/>
      <w:r w:rsidRPr="0080094D">
        <w:rPr>
          <w:rFonts w:ascii="Arial Narrow" w:hAnsi="Arial Narrow"/>
          <w:color w:val="000000"/>
          <w:sz w:val="18"/>
          <w:szCs w:val="18"/>
        </w:rPr>
        <w:t>a</w:t>
      </w:r>
      <w:proofErr w:type="gramEnd"/>
      <w:r w:rsidRPr="0080094D">
        <w:rPr>
          <w:rFonts w:ascii="Arial Narrow" w:hAnsi="Arial Narrow"/>
          <w:color w:val="000000"/>
          <w:sz w:val="18"/>
          <w:szCs w:val="18"/>
        </w:rPr>
        <w:t xml:space="preserve"> reference standard available; b reference standard not available; k=number of studies, n=number of patients.</w:t>
      </w:r>
    </w:p>
    <w:p w14:paraId="76249F5B" w14:textId="77777777" w:rsidR="00863377" w:rsidRPr="004E6060" w:rsidRDefault="00863377" w:rsidP="008C0864">
      <w:pPr>
        <w:spacing w:after="240"/>
        <w:rPr>
          <w:color w:val="000000"/>
          <w:szCs w:val="24"/>
        </w:rPr>
      </w:pPr>
      <w:r w:rsidRPr="004E6060">
        <w:rPr>
          <w:color w:val="000000"/>
          <w:szCs w:val="24"/>
        </w:rPr>
        <w:t xml:space="preserve">No evidence was presented on the effectiveness of the comparator in a biomarker negative population, see </w:t>
      </w:r>
      <w:r>
        <w:rPr>
          <w:color w:val="000000"/>
          <w:szCs w:val="24"/>
        </w:rPr>
        <w:t>Table 3</w:t>
      </w:r>
      <w:r w:rsidRPr="004E6060">
        <w:rPr>
          <w:color w:val="000000"/>
          <w:szCs w:val="24"/>
        </w:rPr>
        <w:t>. The evidence provided for the effectiveness of pembrolizumab in a biomarker negative population is also limited to a few treatment naïve patients enrolled in a phase II trial (KN-001). The resubmission provided new evidence on the effectiveness of the comparator in a biomarker unselected population as a surrogate for the</w:t>
      </w:r>
      <w:r>
        <w:rPr>
          <w:color w:val="000000"/>
          <w:szCs w:val="24"/>
        </w:rPr>
        <w:t xml:space="preserve"> biomarker negative population.</w:t>
      </w:r>
    </w:p>
    <w:p w14:paraId="76024C69" w14:textId="77777777" w:rsidR="00863377" w:rsidRDefault="00863377" w:rsidP="00863377">
      <w:pPr>
        <w:spacing w:after="240"/>
        <w:rPr>
          <w:color w:val="000000"/>
          <w:szCs w:val="24"/>
        </w:rPr>
      </w:pPr>
      <w:r w:rsidRPr="004E6060">
        <w:rPr>
          <w:color w:val="000000"/>
          <w:szCs w:val="24"/>
        </w:rPr>
        <w:t>The critique noted that biomarker positive is defined as TPS</w:t>
      </w:r>
      <w:r>
        <w:rPr>
          <w:color w:val="000000"/>
          <w:szCs w:val="24"/>
        </w:rPr>
        <w:t xml:space="preserve"> </w:t>
      </w:r>
      <w:r w:rsidRPr="004E6060">
        <w:rPr>
          <w:color w:val="000000"/>
          <w:szCs w:val="24"/>
        </w:rPr>
        <w:t>≥50% which comprises approximately 26% -29% of the population in Australia; meaning that an unselected population would consist primarily of patients without PD-L1 expression (~50%) and also patients with PD-L1 expression</w:t>
      </w:r>
      <w:r>
        <w:rPr>
          <w:color w:val="000000"/>
          <w:szCs w:val="24"/>
        </w:rPr>
        <w:t>,</w:t>
      </w:r>
      <w:r w:rsidRPr="004E6060">
        <w:rPr>
          <w:color w:val="000000"/>
          <w:szCs w:val="24"/>
        </w:rPr>
        <w:t xml:space="preserve"> but below the TPS 50% threshold (~25%).</w:t>
      </w:r>
    </w:p>
    <w:p w14:paraId="513A422B" w14:textId="77777777" w:rsidR="00863377" w:rsidRPr="004E6060" w:rsidRDefault="00863377" w:rsidP="00863377">
      <w:pPr>
        <w:rPr>
          <w:rFonts w:ascii="Arial Narrow" w:hAnsi="Arial Narrow"/>
          <w:b/>
          <w:color w:val="000000"/>
          <w:sz w:val="20"/>
        </w:rPr>
      </w:pPr>
      <w:r w:rsidRPr="004E6060">
        <w:rPr>
          <w:rFonts w:ascii="Arial Narrow" w:hAnsi="Arial Narrow"/>
          <w:b/>
          <w:color w:val="000000"/>
          <w:sz w:val="20"/>
        </w:rPr>
        <w:t>Table 3</w:t>
      </w:r>
      <w:r>
        <w:rPr>
          <w:rFonts w:ascii="Arial Narrow" w:hAnsi="Arial Narrow"/>
          <w:b/>
          <w:color w:val="000000"/>
          <w:sz w:val="20"/>
        </w:rPr>
        <w:t>:</w:t>
      </w:r>
      <w:r w:rsidRPr="004E6060">
        <w:rPr>
          <w:rFonts w:ascii="Arial Narrow" w:hAnsi="Arial Narrow"/>
          <w:b/>
          <w:color w:val="000000"/>
          <w:sz w:val="20"/>
        </w:rPr>
        <w:tab/>
        <w:t>Data availability to inform comparisons</w:t>
      </w:r>
    </w:p>
    <w:tbl>
      <w:tblPr>
        <w:tblStyle w:val="TableGrid3"/>
        <w:tblW w:w="0" w:type="auto"/>
        <w:tblLook w:val="04A0" w:firstRow="1" w:lastRow="0" w:firstColumn="1" w:lastColumn="0" w:noHBand="0" w:noVBand="1"/>
        <w:tblDescription w:val="Summarises the comparative data presented of the test versus no test and alternative test, and data available in several biomarker patient populations"/>
      </w:tblPr>
      <w:tblGrid>
        <w:gridCol w:w="2802"/>
        <w:gridCol w:w="1701"/>
        <w:gridCol w:w="4739"/>
      </w:tblGrid>
      <w:tr w:rsidR="00863377" w:rsidRPr="004E6060" w14:paraId="1CBB2B36" w14:textId="77777777" w:rsidTr="005938FD">
        <w:trPr>
          <w:tblHeader/>
        </w:trPr>
        <w:tc>
          <w:tcPr>
            <w:tcW w:w="2802" w:type="dxa"/>
          </w:tcPr>
          <w:p w14:paraId="4309465C"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Proposed test vs no test</w:t>
            </w:r>
          </w:p>
        </w:tc>
        <w:tc>
          <w:tcPr>
            <w:tcW w:w="6440" w:type="dxa"/>
            <w:gridSpan w:val="2"/>
          </w:tcPr>
          <w:p w14:paraId="55DD0FFC"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r>
      <w:tr w:rsidR="00863377" w:rsidRPr="004E6060" w14:paraId="4CF30E20" w14:textId="77777777" w:rsidTr="00540A74">
        <w:tc>
          <w:tcPr>
            <w:tcW w:w="2802" w:type="dxa"/>
          </w:tcPr>
          <w:p w14:paraId="53758956"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Proposed test vs alternative test</w:t>
            </w:r>
          </w:p>
        </w:tc>
        <w:tc>
          <w:tcPr>
            <w:tcW w:w="6440" w:type="dxa"/>
            <w:gridSpan w:val="2"/>
          </w:tcPr>
          <w:p w14:paraId="5F229676" w14:textId="77777777" w:rsidR="00863377" w:rsidRPr="004E6060" w:rsidRDefault="00863377" w:rsidP="00540A74">
            <w:pPr>
              <w:rPr>
                <w:rFonts w:ascii="Arial Narrow" w:hAnsi="Arial Narrow"/>
                <w:b/>
                <w:sz w:val="20"/>
                <w:lang w:eastAsia="en-AU"/>
              </w:rPr>
            </w:pPr>
            <w:proofErr w:type="spellStart"/>
            <w:r w:rsidRPr="004E6060">
              <w:rPr>
                <w:rFonts w:ascii="Arial Narrow" w:hAnsi="Arial Narrow"/>
                <w:color w:val="000000"/>
                <w:sz w:val="20"/>
                <w:lang w:eastAsia="en-AU"/>
              </w:rPr>
              <w:t>Ratcliffe</w:t>
            </w:r>
            <w:proofErr w:type="spellEnd"/>
            <w:r w:rsidRPr="004E6060">
              <w:rPr>
                <w:rFonts w:ascii="Arial Narrow" w:hAnsi="Arial Narrow"/>
                <w:color w:val="000000"/>
                <w:sz w:val="20"/>
                <w:lang w:eastAsia="en-AU"/>
              </w:rPr>
              <w:t xml:space="preserve"> et al, 2017; </w:t>
            </w:r>
            <w:proofErr w:type="spellStart"/>
            <w:r w:rsidRPr="004E6060">
              <w:rPr>
                <w:rFonts w:ascii="Arial Narrow" w:hAnsi="Arial Narrow"/>
                <w:color w:val="000000"/>
                <w:sz w:val="20"/>
                <w:lang w:eastAsia="en-AU"/>
              </w:rPr>
              <w:t>Rimm</w:t>
            </w:r>
            <w:proofErr w:type="spellEnd"/>
            <w:r w:rsidRPr="004E6060">
              <w:rPr>
                <w:rFonts w:ascii="Arial Narrow" w:hAnsi="Arial Narrow"/>
                <w:color w:val="000000"/>
                <w:sz w:val="20"/>
                <w:lang w:eastAsia="en-AU"/>
              </w:rPr>
              <w:t xml:space="preserve"> et al, 2017; Adam et al, 2016; </w:t>
            </w:r>
            <w:proofErr w:type="spellStart"/>
            <w:r w:rsidRPr="004E6060">
              <w:rPr>
                <w:rFonts w:ascii="Arial Narrow" w:hAnsi="Arial Narrow"/>
                <w:color w:val="000000"/>
                <w:sz w:val="20"/>
                <w:lang w:eastAsia="en-AU"/>
              </w:rPr>
              <w:t>Scheel</w:t>
            </w:r>
            <w:proofErr w:type="spellEnd"/>
            <w:r w:rsidRPr="004E6060">
              <w:rPr>
                <w:rFonts w:ascii="Arial Narrow" w:hAnsi="Arial Narrow"/>
                <w:color w:val="000000"/>
                <w:sz w:val="20"/>
                <w:lang w:eastAsia="en-AU"/>
              </w:rPr>
              <w:t xml:space="preserve"> et al, 2016</w:t>
            </w:r>
          </w:p>
        </w:tc>
      </w:tr>
      <w:tr w:rsidR="00863377" w:rsidRPr="004E6060" w14:paraId="73C2E4FF" w14:textId="77777777" w:rsidTr="00540A74">
        <w:tc>
          <w:tcPr>
            <w:tcW w:w="2802" w:type="dxa"/>
          </w:tcPr>
          <w:p w14:paraId="2371B2A0" w14:textId="77777777" w:rsidR="00863377" w:rsidRPr="004E6060" w:rsidRDefault="00863377" w:rsidP="00540A74">
            <w:pPr>
              <w:rPr>
                <w:rFonts w:ascii="Arial Narrow" w:hAnsi="Arial Narrow"/>
                <w:b/>
                <w:sz w:val="20"/>
                <w:lang w:eastAsia="en-AU"/>
              </w:rPr>
            </w:pPr>
          </w:p>
        </w:tc>
        <w:tc>
          <w:tcPr>
            <w:tcW w:w="1701" w:type="dxa"/>
          </w:tcPr>
          <w:p w14:paraId="5BDE6529"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Pembrolizumab</w:t>
            </w:r>
          </w:p>
        </w:tc>
        <w:tc>
          <w:tcPr>
            <w:tcW w:w="4739" w:type="dxa"/>
          </w:tcPr>
          <w:p w14:paraId="7DDBC935"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Platinum doublet chemotherapy</w:t>
            </w:r>
          </w:p>
        </w:tc>
      </w:tr>
      <w:tr w:rsidR="00863377" w:rsidRPr="004E6060" w14:paraId="01439CB1" w14:textId="77777777" w:rsidTr="00540A74">
        <w:tc>
          <w:tcPr>
            <w:tcW w:w="2802" w:type="dxa"/>
          </w:tcPr>
          <w:p w14:paraId="16D7F676"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test positive</w:t>
            </w:r>
          </w:p>
        </w:tc>
        <w:tc>
          <w:tcPr>
            <w:tcW w:w="1701" w:type="dxa"/>
          </w:tcPr>
          <w:p w14:paraId="7616CF07"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KN-024, KN-001</w:t>
            </w:r>
          </w:p>
        </w:tc>
        <w:tc>
          <w:tcPr>
            <w:tcW w:w="4739" w:type="dxa"/>
          </w:tcPr>
          <w:p w14:paraId="6411284A"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KN-024</w:t>
            </w:r>
          </w:p>
        </w:tc>
      </w:tr>
      <w:tr w:rsidR="00863377" w:rsidRPr="004E6060" w14:paraId="08E95A01" w14:textId="77777777" w:rsidTr="00540A74">
        <w:tc>
          <w:tcPr>
            <w:tcW w:w="2802" w:type="dxa"/>
          </w:tcPr>
          <w:p w14:paraId="19DEE4CE"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test negative</w:t>
            </w:r>
          </w:p>
        </w:tc>
        <w:tc>
          <w:tcPr>
            <w:tcW w:w="1701" w:type="dxa"/>
          </w:tcPr>
          <w:p w14:paraId="16FC76A6"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KN-001</w:t>
            </w:r>
          </w:p>
        </w:tc>
        <w:tc>
          <w:tcPr>
            <w:tcW w:w="4739" w:type="dxa"/>
          </w:tcPr>
          <w:p w14:paraId="6E608C0A"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r>
      <w:tr w:rsidR="00863377" w:rsidRPr="004E6060" w14:paraId="63193E2C" w14:textId="77777777" w:rsidTr="00540A74">
        <w:tc>
          <w:tcPr>
            <w:tcW w:w="2802" w:type="dxa"/>
          </w:tcPr>
          <w:p w14:paraId="7B2E85B1" w14:textId="77777777" w:rsidR="00863377" w:rsidRPr="004E6060" w:rsidRDefault="00863377" w:rsidP="00540A74">
            <w:pPr>
              <w:rPr>
                <w:rFonts w:ascii="Arial Narrow" w:hAnsi="Arial Narrow"/>
                <w:b/>
                <w:sz w:val="20"/>
                <w:lang w:eastAsia="en-AU"/>
              </w:rPr>
            </w:pPr>
            <w:r w:rsidRPr="004E6060">
              <w:rPr>
                <w:rFonts w:ascii="Arial Narrow" w:hAnsi="Arial Narrow"/>
                <w:b/>
                <w:color w:val="000000"/>
                <w:sz w:val="20"/>
                <w:lang w:eastAsia="en-AU"/>
              </w:rPr>
              <w:t>Biomarker unselected</w:t>
            </w:r>
          </w:p>
        </w:tc>
        <w:tc>
          <w:tcPr>
            <w:tcW w:w="1701" w:type="dxa"/>
          </w:tcPr>
          <w:p w14:paraId="42CBD362" w14:textId="77777777" w:rsidR="00863377" w:rsidRPr="004E6060" w:rsidRDefault="00863377" w:rsidP="00540A74">
            <w:pPr>
              <w:rPr>
                <w:rFonts w:ascii="Arial Narrow" w:hAnsi="Arial Narrow"/>
                <w:b/>
                <w:sz w:val="20"/>
                <w:lang w:eastAsia="en-AU"/>
              </w:rPr>
            </w:pPr>
            <w:r w:rsidRPr="004E6060">
              <w:rPr>
                <w:rFonts w:ascii="Arial Narrow" w:hAnsi="Arial Narrow"/>
                <w:color w:val="000000"/>
                <w:sz w:val="20"/>
                <w:lang w:eastAsia="en-AU"/>
              </w:rPr>
              <w:t>No studies</w:t>
            </w:r>
          </w:p>
        </w:tc>
        <w:tc>
          <w:tcPr>
            <w:tcW w:w="4739" w:type="dxa"/>
          </w:tcPr>
          <w:p w14:paraId="207928A6" w14:textId="77777777" w:rsidR="00863377" w:rsidRPr="004E6060" w:rsidRDefault="00863377" w:rsidP="00540A74">
            <w:pPr>
              <w:rPr>
                <w:rFonts w:ascii="Arial Narrow" w:hAnsi="Arial Narrow"/>
                <w:b/>
                <w:sz w:val="20"/>
                <w:lang w:eastAsia="en-AU"/>
              </w:rPr>
            </w:pPr>
            <w:proofErr w:type="spellStart"/>
            <w:r w:rsidRPr="004E6060">
              <w:rPr>
                <w:rFonts w:ascii="Arial Narrow" w:hAnsi="Arial Narrow"/>
                <w:color w:val="000000"/>
                <w:sz w:val="20"/>
                <w:lang w:eastAsia="en-AU"/>
              </w:rPr>
              <w:t>Gronberg</w:t>
            </w:r>
            <w:proofErr w:type="spellEnd"/>
            <w:r w:rsidRPr="004E6060">
              <w:rPr>
                <w:rFonts w:ascii="Arial Narrow" w:hAnsi="Arial Narrow"/>
                <w:color w:val="000000"/>
                <w:sz w:val="20"/>
                <w:lang w:eastAsia="en-AU"/>
              </w:rPr>
              <w:t xml:space="preserve">, 2009; Sandler, 2000; </w:t>
            </w:r>
            <w:proofErr w:type="spellStart"/>
            <w:r w:rsidRPr="004E6060">
              <w:rPr>
                <w:rFonts w:ascii="Arial Narrow" w:hAnsi="Arial Narrow"/>
                <w:color w:val="000000"/>
                <w:sz w:val="20"/>
                <w:lang w:eastAsia="en-AU"/>
              </w:rPr>
              <w:t>Scagliotti</w:t>
            </w:r>
            <w:proofErr w:type="spellEnd"/>
            <w:r w:rsidRPr="004E6060">
              <w:rPr>
                <w:rFonts w:ascii="Arial Narrow" w:hAnsi="Arial Narrow"/>
                <w:color w:val="000000"/>
                <w:sz w:val="20"/>
                <w:lang w:eastAsia="en-AU"/>
              </w:rPr>
              <w:t xml:space="preserve">, 2008; Thomas, 2006; Yamamoto, 2006; </w:t>
            </w:r>
            <w:proofErr w:type="spellStart"/>
            <w:r w:rsidRPr="004E6060">
              <w:rPr>
                <w:rFonts w:ascii="Arial Narrow" w:hAnsi="Arial Narrow"/>
                <w:color w:val="000000"/>
                <w:sz w:val="20"/>
                <w:lang w:eastAsia="en-AU"/>
              </w:rPr>
              <w:t>Zatlouka</w:t>
            </w:r>
            <w:proofErr w:type="spellEnd"/>
            <w:r w:rsidRPr="004E6060">
              <w:rPr>
                <w:rFonts w:ascii="Arial Narrow" w:hAnsi="Arial Narrow"/>
                <w:color w:val="000000"/>
                <w:sz w:val="20"/>
                <w:lang w:eastAsia="en-AU"/>
              </w:rPr>
              <w:t>, 2003</w:t>
            </w:r>
          </w:p>
        </w:tc>
      </w:tr>
    </w:tbl>
    <w:p w14:paraId="5A72FDF7" w14:textId="77777777" w:rsidR="00863377" w:rsidRPr="001242C0" w:rsidRDefault="00863377" w:rsidP="00863377">
      <w:pPr>
        <w:pStyle w:val="MSACESParagraph"/>
        <w:spacing w:before="240"/>
      </w:pPr>
      <w:r w:rsidRPr="001242C0">
        <w:t xml:space="preserve">The critique noted that the studies by </w:t>
      </w:r>
      <w:proofErr w:type="spellStart"/>
      <w:r w:rsidRPr="001242C0">
        <w:t>Rimm</w:t>
      </w:r>
      <w:proofErr w:type="spellEnd"/>
      <w:r w:rsidRPr="001242C0">
        <w:t xml:space="preserve"> et al. (2017) and Adam et al. (2016) provide new concordance data, comparing the four commercially available tests and comparing laboratory developed tests (LDTs) with the evidentiary standard and partially addresses previous MSAC concerns about test concordance.</w:t>
      </w:r>
    </w:p>
    <w:p w14:paraId="0885E0B9" w14:textId="77777777" w:rsidR="00863377" w:rsidRPr="001242C0" w:rsidRDefault="00863377" w:rsidP="00863377">
      <w:pPr>
        <w:pStyle w:val="MSACESParagraph"/>
      </w:pPr>
      <w:r w:rsidRPr="001242C0">
        <w:lastRenderedPageBreak/>
        <w:t xml:space="preserve">The </w:t>
      </w:r>
      <w:r>
        <w:t xml:space="preserve">critique stated that the </w:t>
      </w:r>
      <w:r w:rsidRPr="001242C0">
        <w:t>studies enrolling biomarker-unselected patients receiving platinum-doublet chemotherapy also provide new evidence</w:t>
      </w:r>
      <w:r>
        <w:t>,</w:t>
      </w:r>
      <w:r w:rsidRPr="001242C0">
        <w:t xml:space="preserve"> but are a poor surrogate for biomarker negative studies and the baseline characteristics of the patients enrolled in these studies are highly variable. Therefore, the unadjusted indirect comparisons, undertaken with these studies, are subject to a high risk of bias and do not provide any conclusive evidence.</w:t>
      </w:r>
    </w:p>
    <w:p w14:paraId="130AD394" w14:textId="77777777" w:rsidR="00863377" w:rsidRPr="001242C0" w:rsidRDefault="00863377" w:rsidP="00863377">
      <w:pPr>
        <w:pStyle w:val="MSACESParagraph"/>
        <w:contextualSpacing/>
      </w:pPr>
      <w:r w:rsidRPr="001242C0">
        <w:t xml:space="preserve">The </w:t>
      </w:r>
      <w:r>
        <w:t xml:space="preserve">critique noted that the </w:t>
      </w:r>
      <w:r w:rsidRPr="001242C0">
        <w:t>risk of bias and confounding in KN-024 differed for the different treatment outcomes:</w:t>
      </w:r>
    </w:p>
    <w:p w14:paraId="21639B5A" w14:textId="77777777" w:rsidR="00863377" w:rsidRPr="001242C0" w:rsidRDefault="00863377" w:rsidP="00863377">
      <w:pPr>
        <w:pStyle w:val="MSACESParagraph"/>
        <w:numPr>
          <w:ilvl w:val="0"/>
          <w:numId w:val="29"/>
        </w:numPr>
        <w:ind w:left="426"/>
        <w:contextualSpacing/>
      </w:pPr>
      <w:r w:rsidRPr="001242C0">
        <w:t xml:space="preserve">There was a low risk of bias for PFS, as disease progression was determined by independent radiologists without knowledge of patient treatment assignment. </w:t>
      </w:r>
    </w:p>
    <w:p w14:paraId="054B8339" w14:textId="77777777" w:rsidR="00863377" w:rsidRPr="001242C0" w:rsidRDefault="00863377" w:rsidP="00863377">
      <w:pPr>
        <w:pStyle w:val="MSACESParagraph"/>
        <w:numPr>
          <w:ilvl w:val="0"/>
          <w:numId w:val="29"/>
        </w:numPr>
        <w:ind w:left="426"/>
        <w:contextualSpacing/>
      </w:pPr>
      <w:r w:rsidRPr="001242C0">
        <w:t xml:space="preserve">Assessment of OS had a low risk of confounding. Although patients randomised to the chemotherapy arm were allowed to receive second-line pembrolizumab upon progression, the treatment switching would reflect current clinical practice. </w:t>
      </w:r>
    </w:p>
    <w:p w14:paraId="3CF5C5AC" w14:textId="77777777" w:rsidR="00863377" w:rsidRPr="004E6060" w:rsidRDefault="00863377" w:rsidP="00863377">
      <w:r w:rsidRPr="004E6060">
        <w:t>Assessment of subjective safety outcomes and other patient-reported quality of life (</w:t>
      </w:r>
      <w:proofErr w:type="spellStart"/>
      <w:r w:rsidRPr="004E6060">
        <w:t>QoL</w:t>
      </w:r>
      <w:proofErr w:type="spellEnd"/>
      <w:r w:rsidRPr="004E6060">
        <w:t>) outcomes were likely to be biased given that patients and investigators were aware of treatment allocation.</w:t>
      </w:r>
    </w:p>
    <w:p w14:paraId="3BAD3884" w14:textId="77777777" w:rsidR="00863377" w:rsidRPr="00536F4D" w:rsidRDefault="00863377" w:rsidP="008B3D7D">
      <w:pPr>
        <w:pStyle w:val="MSACESHeading2"/>
        <w:numPr>
          <w:ilvl w:val="6"/>
          <w:numId w:val="28"/>
        </w:numPr>
        <w:spacing w:before="240"/>
        <w:ind w:left="720" w:hanging="720"/>
      </w:pPr>
      <w:r w:rsidRPr="00536F4D">
        <w:t>Prognostic evidence</w:t>
      </w:r>
    </w:p>
    <w:p w14:paraId="7F5E0268" w14:textId="77777777" w:rsidR="00863377" w:rsidRPr="004E6060" w:rsidRDefault="00863377" w:rsidP="00863377">
      <w:r w:rsidRPr="004E6060">
        <w:t>Three meta-analyses found that Asian patients with PD-L1-positive NSCLC had a worse prognosis than those with PD-L1-negative tumours.</w:t>
      </w:r>
    </w:p>
    <w:p w14:paraId="548F438B" w14:textId="77777777" w:rsidR="00863377" w:rsidRPr="004E6060" w:rsidRDefault="00863377" w:rsidP="008B3D7D">
      <w:pPr>
        <w:spacing w:before="240"/>
      </w:pPr>
      <w:r w:rsidRPr="004E6060">
        <w:t>A meta-analysis of five studies found a trend favouring overall survival in Caucasian patients with tumours expressing PD-L1 compared with those whose tumours do not expr</w:t>
      </w:r>
      <w:r w:rsidR="008C0864">
        <w:t>ess detectable levels of PD-L1.</w:t>
      </w:r>
    </w:p>
    <w:p w14:paraId="171F1DC4" w14:textId="77777777" w:rsidR="00863377" w:rsidRPr="00536F4D" w:rsidRDefault="00863377" w:rsidP="008B3D7D">
      <w:pPr>
        <w:pStyle w:val="MSACESHeading2"/>
        <w:numPr>
          <w:ilvl w:val="6"/>
          <w:numId w:val="28"/>
        </w:numPr>
        <w:spacing w:before="240"/>
        <w:ind w:left="720" w:hanging="720"/>
      </w:pPr>
      <w:r w:rsidRPr="00536F4D">
        <w:t>Comparative analytical performance</w:t>
      </w:r>
    </w:p>
    <w:p w14:paraId="1FC59BC2" w14:textId="77777777" w:rsidR="00863377" w:rsidRPr="001242C0" w:rsidRDefault="00863377" w:rsidP="00863377">
      <w:pPr>
        <w:pStyle w:val="MSACESParagraph"/>
      </w:pPr>
      <w:r w:rsidRPr="001242C0">
        <w:t>The critique noted that the concerns about the analytical validity of the Dako 22C3 assay against a reference standard (MSAC 1440 PSD) were not addressed further in the resubmission. This is due to the lack of an appropriate reference standard.</w:t>
      </w:r>
    </w:p>
    <w:p w14:paraId="7AF513C0" w14:textId="77777777" w:rsidR="00863377" w:rsidRPr="001242C0" w:rsidRDefault="00863377" w:rsidP="00863377">
      <w:pPr>
        <w:pStyle w:val="MSACESParagraph"/>
      </w:pPr>
      <w:r w:rsidRPr="001242C0">
        <w:t>MSAC determined that the PD-L1 assay had poor performance at a 50% threshold with 75%</w:t>
      </w:r>
      <w:r w:rsidR="008B3D7D">
        <w:t> </w:t>
      </w:r>
      <w:r w:rsidRPr="001242C0">
        <w:t>sensitivity and 75% specificity based on a comparison with a clinical reference standard of overall tumour response after 19 weeks’ therapy (</w:t>
      </w:r>
      <w:r w:rsidR="008B3D7D">
        <w:t>MSAC Application</w:t>
      </w:r>
      <w:r w:rsidRPr="001242C0">
        <w:t>1440 PSD, page 3). While this represents the predictive accuracy of the test plus the treatment, it does not reflect the diagnostic accuracy of the test on its own.</w:t>
      </w:r>
    </w:p>
    <w:p w14:paraId="2703A862" w14:textId="77777777" w:rsidR="00863377" w:rsidRPr="004E6060" w:rsidRDefault="00863377" w:rsidP="00863377">
      <w:pPr>
        <w:spacing w:after="240"/>
        <w:rPr>
          <w:szCs w:val="24"/>
        </w:rPr>
      </w:pPr>
      <w:r w:rsidRPr="004E6060">
        <w:rPr>
          <w:szCs w:val="24"/>
        </w:rPr>
        <w:t>The evidentiary standard was the Dako 22C3 assay used to determine eligibility for enrolment in the KN-024 trial, which provided the main clinical effectiveness evidence.</w:t>
      </w:r>
    </w:p>
    <w:p w14:paraId="6B9D8E5C" w14:textId="77777777" w:rsidR="00EB36E8" w:rsidRDefault="00EB36E8">
      <w:pPr>
        <w:rPr>
          <w:rFonts w:ascii="Arial Narrow" w:eastAsiaTheme="minorHAnsi" w:hAnsi="Arial Narrow" w:cstheme="minorBidi"/>
          <w:b/>
          <w:iCs/>
          <w:color w:val="000000" w:themeColor="text1"/>
          <w:sz w:val="20"/>
          <w:szCs w:val="18"/>
          <w:lang w:eastAsia="en-US"/>
        </w:rPr>
      </w:pPr>
      <w:r>
        <w:br w:type="page"/>
      </w:r>
    </w:p>
    <w:p w14:paraId="525F865A" w14:textId="3CDC545F" w:rsidR="00863377" w:rsidRDefault="008B3D7D" w:rsidP="00863377">
      <w:pPr>
        <w:pStyle w:val="Caption"/>
      </w:pPr>
      <w:r>
        <w:lastRenderedPageBreak/>
        <w:t xml:space="preserve">Table </w:t>
      </w:r>
      <w:r w:rsidR="00863377">
        <w:t>4:</w:t>
      </w:r>
      <w:r w:rsidR="00863377">
        <w:tab/>
        <w:t>Comparative analytical validity of available PD-L1 tests compared with the evidentiary standard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2327"/>
        <w:gridCol w:w="2468"/>
        <w:gridCol w:w="2423"/>
      </w:tblGrid>
      <w:tr w:rsidR="00863377" w:rsidRPr="008F1A10" w14:paraId="5FAFFCCC" w14:textId="77777777" w:rsidTr="00540A74">
        <w:tc>
          <w:tcPr>
            <w:tcW w:w="5000" w:type="pct"/>
            <w:gridSpan w:val="4"/>
            <w:tcBorders>
              <w:top w:val="single" w:sz="4" w:space="0" w:color="000000"/>
              <w:left w:val="single" w:sz="4" w:space="0" w:color="000000"/>
              <w:bottom w:val="single" w:sz="4" w:space="0" w:color="000000"/>
              <w:right w:val="single" w:sz="4" w:space="0" w:color="000000"/>
            </w:tcBorders>
            <w:hideMark/>
          </w:tcPr>
          <w:p w14:paraId="35B200DD"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Accuracy of commercially available PD-L1 tests using the same nominated TPS threshold for both tests</w:t>
            </w:r>
          </w:p>
          <w:p w14:paraId="08D7F3C8"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Evidentiary standard: Dako 22C3 assay</w:t>
            </w:r>
          </w:p>
        </w:tc>
      </w:tr>
      <w:tr w:rsidR="00863377" w:rsidRPr="008F1A10" w14:paraId="65006E10" w14:textId="77777777" w:rsidTr="00540A74">
        <w:tc>
          <w:tcPr>
            <w:tcW w:w="1095" w:type="pct"/>
            <w:tcBorders>
              <w:top w:val="single" w:sz="4" w:space="0" w:color="000000"/>
              <w:left w:val="single" w:sz="4" w:space="0" w:color="000000"/>
              <w:bottom w:val="single" w:sz="4" w:space="0" w:color="000000"/>
              <w:right w:val="single" w:sz="4" w:space="0" w:color="000000"/>
            </w:tcBorders>
          </w:tcPr>
          <w:p w14:paraId="7D820056" w14:textId="77777777" w:rsidR="00863377" w:rsidRPr="008F1A10" w:rsidRDefault="00863377" w:rsidP="00540A74">
            <w:pPr>
              <w:widowControl w:val="0"/>
              <w:spacing w:before="40" w:after="40"/>
              <w:rPr>
                <w:rFonts w:ascii="Arial Narrow" w:hAnsi="Arial Narrow"/>
                <w:sz w:val="20"/>
              </w:rPr>
            </w:pPr>
          </w:p>
        </w:tc>
        <w:tc>
          <w:tcPr>
            <w:tcW w:w="1259" w:type="pct"/>
            <w:tcBorders>
              <w:top w:val="single" w:sz="4" w:space="0" w:color="000000"/>
              <w:left w:val="single" w:sz="4" w:space="0" w:color="000000"/>
              <w:bottom w:val="single" w:sz="4" w:space="0" w:color="000000"/>
              <w:right w:val="single" w:sz="4" w:space="0" w:color="000000"/>
            </w:tcBorders>
            <w:hideMark/>
          </w:tcPr>
          <w:p w14:paraId="7F53E876"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Dako 28-8</w:t>
            </w:r>
          </w:p>
        </w:tc>
        <w:tc>
          <w:tcPr>
            <w:tcW w:w="1335" w:type="pct"/>
            <w:tcBorders>
              <w:top w:val="single" w:sz="4" w:space="0" w:color="000000"/>
              <w:left w:val="single" w:sz="4" w:space="0" w:color="000000"/>
              <w:bottom w:val="single" w:sz="4" w:space="0" w:color="000000"/>
              <w:right w:val="single" w:sz="4" w:space="0" w:color="000000"/>
            </w:tcBorders>
            <w:hideMark/>
          </w:tcPr>
          <w:p w14:paraId="5109F592"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Ventana SP263</w:t>
            </w:r>
          </w:p>
        </w:tc>
        <w:tc>
          <w:tcPr>
            <w:tcW w:w="1311" w:type="pct"/>
            <w:tcBorders>
              <w:top w:val="single" w:sz="4" w:space="0" w:color="000000"/>
              <w:left w:val="single" w:sz="4" w:space="0" w:color="000000"/>
              <w:bottom w:val="single" w:sz="4" w:space="0" w:color="000000"/>
              <w:right w:val="single" w:sz="4" w:space="0" w:color="000000"/>
            </w:tcBorders>
            <w:hideMark/>
          </w:tcPr>
          <w:p w14:paraId="061EC1E0"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Ventana SP142</w:t>
            </w:r>
          </w:p>
        </w:tc>
      </w:tr>
      <w:tr w:rsidR="00863377" w:rsidRPr="008F1A10" w14:paraId="65DABF37" w14:textId="77777777" w:rsidTr="00540A74">
        <w:tc>
          <w:tcPr>
            <w:tcW w:w="5000" w:type="pct"/>
            <w:gridSpan w:val="4"/>
            <w:tcBorders>
              <w:top w:val="single" w:sz="4" w:space="0" w:color="000000"/>
              <w:left w:val="single" w:sz="4" w:space="0" w:color="000000"/>
              <w:bottom w:val="single" w:sz="4" w:space="0" w:color="000000"/>
              <w:right w:val="single" w:sz="4" w:space="0" w:color="000000"/>
            </w:tcBorders>
            <w:hideMark/>
          </w:tcPr>
          <w:p w14:paraId="5C8B44C9"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sensitivity</w:t>
            </w:r>
          </w:p>
        </w:tc>
      </w:tr>
      <w:tr w:rsidR="00863377" w:rsidRPr="008F1A10" w14:paraId="0BCF0741" w14:textId="77777777" w:rsidTr="00540A74">
        <w:tc>
          <w:tcPr>
            <w:tcW w:w="1095" w:type="pct"/>
            <w:tcBorders>
              <w:top w:val="single" w:sz="4" w:space="0" w:color="000000"/>
              <w:left w:val="single" w:sz="4" w:space="0" w:color="000000"/>
              <w:bottom w:val="nil"/>
              <w:right w:val="single" w:sz="4" w:space="0" w:color="000000"/>
            </w:tcBorders>
          </w:tcPr>
          <w:p w14:paraId="13E685E9" w14:textId="77777777" w:rsidR="00863377" w:rsidRPr="008F1A10" w:rsidRDefault="00863377" w:rsidP="00540A74">
            <w:pPr>
              <w:widowControl w:val="0"/>
              <w:spacing w:before="40" w:after="40"/>
              <w:rPr>
                <w:rFonts w:ascii="Arial Narrow" w:hAnsi="Arial Narrow"/>
                <w:sz w:val="20"/>
              </w:rPr>
            </w:pPr>
            <w:proofErr w:type="spellStart"/>
            <w:r w:rsidRPr="008F1A10">
              <w:rPr>
                <w:rFonts w:ascii="Arial Narrow" w:hAnsi="Arial Narrow"/>
                <w:sz w:val="20"/>
              </w:rPr>
              <w:t>Scheel</w:t>
            </w:r>
            <w:proofErr w:type="spellEnd"/>
            <w:r w:rsidRPr="008F1A10">
              <w:rPr>
                <w:rFonts w:ascii="Arial Narrow" w:hAnsi="Arial Narrow"/>
                <w:sz w:val="20"/>
              </w:rPr>
              <w:t xml:space="preserve"> et al. 92016)</w:t>
            </w:r>
          </w:p>
        </w:tc>
        <w:tc>
          <w:tcPr>
            <w:tcW w:w="1259" w:type="pct"/>
            <w:tcBorders>
              <w:top w:val="single" w:sz="4" w:space="0" w:color="000000"/>
              <w:left w:val="single" w:sz="4" w:space="0" w:color="000000"/>
              <w:bottom w:val="nil"/>
              <w:right w:val="single" w:sz="4" w:space="0" w:color="000000"/>
            </w:tcBorders>
          </w:tcPr>
          <w:p w14:paraId="0DAC08D3"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98% (95%CI 93, 100)</w:t>
            </w:r>
          </w:p>
          <w:p w14:paraId="1BDB3D94"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81% (95%CI 64, 92)</w:t>
            </w:r>
          </w:p>
        </w:tc>
        <w:tc>
          <w:tcPr>
            <w:tcW w:w="1335" w:type="pct"/>
            <w:tcBorders>
              <w:top w:val="single" w:sz="4" w:space="0" w:color="000000"/>
              <w:left w:val="single" w:sz="4" w:space="0" w:color="000000"/>
              <w:bottom w:val="nil"/>
              <w:right w:val="single" w:sz="4" w:space="0" w:color="000000"/>
            </w:tcBorders>
          </w:tcPr>
          <w:p w14:paraId="44D60FB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100% (95%CI 96, 100)</w:t>
            </w:r>
          </w:p>
          <w:p w14:paraId="632594C1"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100% (95%CI 90, 100)</w:t>
            </w:r>
          </w:p>
        </w:tc>
        <w:tc>
          <w:tcPr>
            <w:tcW w:w="1311" w:type="pct"/>
            <w:tcBorders>
              <w:top w:val="single" w:sz="4" w:space="0" w:color="000000"/>
              <w:left w:val="single" w:sz="4" w:space="0" w:color="000000"/>
              <w:bottom w:val="nil"/>
              <w:right w:val="single" w:sz="4" w:space="0" w:color="000000"/>
            </w:tcBorders>
          </w:tcPr>
          <w:p w14:paraId="33C88F93"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79% (95%CI 70, 87)</w:t>
            </w:r>
          </w:p>
          <w:p w14:paraId="3038BD9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75% (95%CI 58, 88)</w:t>
            </w:r>
          </w:p>
        </w:tc>
      </w:tr>
      <w:tr w:rsidR="00863377" w:rsidRPr="008F1A10" w14:paraId="202D3394" w14:textId="77777777" w:rsidTr="00540A74">
        <w:tc>
          <w:tcPr>
            <w:tcW w:w="5000" w:type="pct"/>
            <w:gridSpan w:val="4"/>
            <w:tcBorders>
              <w:top w:val="single" w:sz="4" w:space="0" w:color="000000"/>
              <w:left w:val="single" w:sz="4" w:space="0" w:color="000000"/>
              <w:bottom w:val="single" w:sz="4" w:space="0" w:color="auto"/>
              <w:right w:val="single" w:sz="4" w:space="0" w:color="000000"/>
            </w:tcBorders>
            <w:hideMark/>
          </w:tcPr>
          <w:p w14:paraId="20560C93"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specificity</w:t>
            </w:r>
          </w:p>
        </w:tc>
      </w:tr>
      <w:tr w:rsidR="00863377" w:rsidRPr="008F1A10" w14:paraId="520983F4" w14:textId="77777777" w:rsidTr="00540A74">
        <w:tc>
          <w:tcPr>
            <w:tcW w:w="1095" w:type="pct"/>
            <w:tcBorders>
              <w:top w:val="single" w:sz="4" w:space="0" w:color="auto"/>
              <w:left w:val="single" w:sz="4" w:space="0" w:color="auto"/>
              <w:bottom w:val="single" w:sz="4" w:space="0" w:color="auto"/>
              <w:right w:val="single" w:sz="4" w:space="0" w:color="auto"/>
            </w:tcBorders>
          </w:tcPr>
          <w:p w14:paraId="012075E2" w14:textId="77777777" w:rsidR="00863377" w:rsidRPr="008F1A10" w:rsidRDefault="00863377" w:rsidP="00540A74">
            <w:pPr>
              <w:widowControl w:val="0"/>
              <w:spacing w:before="40" w:after="40"/>
              <w:rPr>
                <w:rFonts w:ascii="Arial Narrow" w:hAnsi="Arial Narrow"/>
                <w:sz w:val="20"/>
              </w:rPr>
            </w:pPr>
            <w:proofErr w:type="spellStart"/>
            <w:r w:rsidRPr="008F1A10">
              <w:rPr>
                <w:rFonts w:ascii="Arial Narrow" w:hAnsi="Arial Narrow"/>
                <w:sz w:val="20"/>
              </w:rPr>
              <w:t>Scheel</w:t>
            </w:r>
            <w:proofErr w:type="spellEnd"/>
            <w:r w:rsidRPr="008F1A10">
              <w:rPr>
                <w:rFonts w:ascii="Arial Narrow" w:hAnsi="Arial Narrow"/>
                <w:sz w:val="20"/>
              </w:rPr>
              <w:t xml:space="preserve"> et al. 92016)</w:t>
            </w:r>
          </w:p>
        </w:tc>
        <w:tc>
          <w:tcPr>
            <w:tcW w:w="1259" w:type="pct"/>
            <w:tcBorders>
              <w:top w:val="single" w:sz="4" w:space="0" w:color="auto"/>
              <w:left w:val="single" w:sz="4" w:space="0" w:color="auto"/>
              <w:bottom w:val="single" w:sz="4" w:space="0" w:color="auto"/>
              <w:right w:val="single" w:sz="4" w:space="0" w:color="auto"/>
            </w:tcBorders>
          </w:tcPr>
          <w:p w14:paraId="55570CA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86% (95%CI 70, 95)</w:t>
            </w:r>
          </w:p>
          <w:p w14:paraId="078D73A9"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97% (95%CI 91, 99)</w:t>
            </w:r>
          </w:p>
        </w:tc>
        <w:tc>
          <w:tcPr>
            <w:tcW w:w="1335" w:type="pct"/>
            <w:tcBorders>
              <w:top w:val="single" w:sz="4" w:space="0" w:color="auto"/>
              <w:left w:val="single" w:sz="4" w:space="0" w:color="auto"/>
              <w:bottom w:val="single" w:sz="4" w:space="0" w:color="auto"/>
              <w:right w:val="single" w:sz="4" w:space="0" w:color="auto"/>
            </w:tcBorders>
          </w:tcPr>
          <w:p w14:paraId="589AC52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63% (95%CI 45, 79)</w:t>
            </w:r>
          </w:p>
          <w:p w14:paraId="448B44A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80% (95%CI 71, 87)</w:t>
            </w:r>
          </w:p>
        </w:tc>
        <w:tc>
          <w:tcPr>
            <w:tcW w:w="1311" w:type="pct"/>
            <w:tcBorders>
              <w:top w:val="single" w:sz="4" w:space="0" w:color="auto"/>
              <w:left w:val="single" w:sz="4" w:space="0" w:color="auto"/>
              <w:bottom w:val="single" w:sz="4" w:space="0" w:color="auto"/>
              <w:right w:val="single" w:sz="4" w:space="0" w:color="auto"/>
            </w:tcBorders>
          </w:tcPr>
          <w:p w14:paraId="2DD6D8A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 94% (95%CI 81, 99)</w:t>
            </w:r>
          </w:p>
          <w:p w14:paraId="26422170"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50%: 97% (95%CI 91, 99)</w:t>
            </w:r>
          </w:p>
        </w:tc>
      </w:tr>
      <w:tr w:rsidR="00863377" w:rsidRPr="008F1A10" w14:paraId="032D9B6B" w14:textId="77777777" w:rsidTr="00540A74">
        <w:tc>
          <w:tcPr>
            <w:tcW w:w="1095" w:type="pct"/>
            <w:tcBorders>
              <w:top w:val="single" w:sz="4" w:space="0" w:color="000000"/>
              <w:left w:val="single" w:sz="4" w:space="0" w:color="000000"/>
              <w:bottom w:val="single" w:sz="4" w:space="0" w:color="000000"/>
              <w:right w:val="single" w:sz="4" w:space="0" w:color="000000"/>
            </w:tcBorders>
          </w:tcPr>
          <w:p w14:paraId="5217FF4E" w14:textId="77777777" w:rsidR="00863377" w:rsidRPr="008F1A10" w:rsidRDefault="00863377" w:rsidP="00540A74">
            <w:pPr>
              <w:keepNext/>
              <w:widowControl w:val="0"/>
              <w:spacing w:before="40" w:after="40"/>
              <w:rPr>
                <w:rFonts w:ascii="Arial Narrow" w:hAnsi="Arial Narrow"/>
                <w:b/>
                <w:sz w:val="20"/>
              </w:rPr>
            </w:pPr>
          </w:p>
        </w:tc>
        <w:tc>
          <w:tcPr>
            <w:tcW w:w="1259" w:type="pct"/>
            <w:tcBorders>
              <w:top w:val="single" w:sz="4" w:space="0" w:color="000000"/>
              <w:left w:val="single" w:sz="4" w:space="0" w:color="000000"/>
              <w:bottom w:val="single" w:sz="4" w:space="0" w:color="000000"/>
              <w:right w:val="single" w:sz="4" w:space="0" w:color="000000"/>
            </w:tcBorders>
            <w:hideMark/>
          </w:tcPr>
          <w:p w14:paraId="7DAA411A"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Dako 28-8</w:t>
            </w:r>
          </w:p>
        </w:tc>
        <w:tc>
          <w:tcPr>
            <w:tcW w:w="1335" w:type="pct"/>
            <w:tcBorders>
              <w:top w:val="single" w:sz="4" w:space="0" w:color="000000"/>
              <w:left w:val="single" w:sz="4" w:space="0" w:color="000000"/>
              <w:bottom w:val="single" w:sz="4" w:space="0" w:color="000000"/>
              <w:right w:val="single" w:sz="4" w:space="0" w:color="000000"/>
            </w:tcBorders>
          </w:tcPr>
          <w:p w14:paraId="0790869F"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Ventana SP263</w:t>
            </w:r>
          </w:p>
        </w:tc>
        <w:tc>
          <w:tcPr>
            <w:tcW w:w="1311" w:type="pct"/>
            <w:tcBorders>
              <w:top w:val="single" w:sz="4" w:space="0" w:color="000000"/>
              <w:left w:val="single" w:sz="4" w:space="0" w:color="000000"/>
              <w:bottom w:val="single" w:sz="4" w:space="0" w:color="000000"/>
              <w:right w:val="single" w:sz="4" w:space="0" w:color="000000"/>
            </w:tcBorders>
          </w:tcPr>
          <w:p w14:paraId="4E89451F"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Ventana SP142</w:t>
            </w:r>
          </w:p>
        </w:tc>
      </w:tr>
      <w:tr w:rsidR="00863377" w:rsidRPr="008F1A10" w14:paraId="35031B28" w14:textId="77777777" w:rsidTr="00540A74">
        <w:tc>
          <w:tcPr>
            <w:tcW w:w="1095" w:type="pct"/>
            <w:tcBorders>
              <w:top w:val="single" w:sz="4" w:space="0" w:color="000000"/>
              <w:left w:val="single" w:sz="4" w:space="0" w:color="000000"/>
              <w:bottom w:val="single" w:sz="4" w:space="0" w:color="000000"/>
              <w:right w:val="single" w:sz="4" w:space="0" w:color="000000"/>
            </w:tcBorders>
            <w:hideMark/>
          </w:tcPr>
          <w:p w14:paraId="07B0139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 xml:space="preserve">Prevalence </w:t>
            </w:r>
            <w:proofErr w:type="spellStart"/>
            <w:r w:rsidRPr="008F1A10">
              <w:rPr>
                <w:rFonts w:ascii="Arial Narrow" w:hAnsi="Arial Narrow"/>
                <w:sz w:val="20"/>
              </w:rPr>
              <w:t>rates</w:t>
            </w:r>
            <w:r w:rsidRPr="008F1A10">
              <w:rPr>
                <w:rFonts w:ascii="Arial Narrow" w:hAnsi="Arial Narrow"/>
                <w:sz w:val="20"/>
                <w:vertAlign w:val="superscript"/>
              </w:rPr>
              <w:t>a</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14:paraId="08EC58C9"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c>
          <w:tcPr>
            <w:tcW w:w="1335" w:type="pct"/>
            <w:tcBorders>
              <w:top w:val="single" w:sz="4" w:space="0" w:color="000000"/>
              <w:left w:val="single" w:sz="4" w:space="0" w:color="000000"/>
              <w:bottom w:val="single" w:sz="4" w:space="0" w:color="000000"/>
              <w:right w:val="single" w:sz="4" w:space="0" w:color="000000"/>
            </w:tcBorders>
          </w:tcPr>
          <w:p w14:paraId="6E16C1B8"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c>
          <w:tcPr>
            <w:tcW w:w="1311" w:type="pct"/>
            <w:tcBorders>
              <w:top w:val="single" w:sz="4" w:space="0" w:color="000000"/>
              <w:left w:val="single" w:sz="4" w:space="0" w:color="000000"/>
              <w:bottom w:val="single" w:sz="4" w:space="0" w:color="000000"/>
              <w:right w:val="single" w:sz="4" w:space="0" w:color="000000"/>
            </w:tcBorders>
          </w:tcPr>
          <w:p w14:paraId="7A128EF4"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22%, 28,5%, 30%</w:t>
            </w:r>
          </w:p>
        </w:tc>
      </w:tr>
      <w:tr w:rsidR="00863377" w:rsidRPr="008F1A10" w14:paraId="493DDD65" w14:textId="77777777" w:rsidTr="00540A74">
        <w:tc>
          <w:tcPr>
            <w:tcW w:w="5000" w:type="pct"/>
            <w:gridSpan w:val="4"/>
            <w:tcBorders>
              <w:top w:val="single" w:sz="4" w:space="0" w:color="000000"/>
              <w:left w:val="single" w:sz="4" w:space="0" w:color="000000"/>
              <w:bottom w:val="single" w:sz="4" w:space="0" w:color="000000"/>
              <w:right w:val="single" w:sz="4" w:space="0" w:color="000000"/>
            </w:tcBorders>
            <w:hideMark/>
          </w:tcPr>
          <w:p w14:paraId="53359264" w14:textId="77777777" w:rsidR="00863377" w:rsidRPr="008F1A10" w:rsidRDefault="00863377" w:rsidP="00540A74">
            <w:pPr>
              <w:keepNext/>
              <w:widowControl w:val="0"/>
              <w:spacing w:before="40" w:after="40"/>
              <w:rPr>
                <w:rFonts w:ascii="Arial Narrow" w:hAnsi="Arial Narrow"/>
                <w:b/>
                <w:sz w:val="20"/>
              </w:rPr>
            </w:pPr>
            <w:r w:rsidRPr="008F1A10">
              <w:rPr>
                <w:rFonts w:ascii="Arial Narrow" w:hAnsi="Arial Narrow"/>
                <w:b/>
                <w:sz w:val="20"/>
              </w:rPr>
              <w:t>Estimated positive predictive value at the above prevalence rates (TPS ≥50%)</w:t>
            </w:r>
          </w:p>
        </w:tc>
      </w:tr>
      <w:tr w:rsidR="00863377" w:rsidRPr="008F1A10" w14:paraId="6DB66546" w14:textId="77777777" w:rsidTr="00540A74">
        <w:tc>
          <w:tcPr>
            <w:tcW w:w="1095" w:type="pct"/>
            <w:tcBorders>
              <w:top w:val="single" w:sz="4" w:space="0" w:color="000000"/>
              <w:left w:val="single" w:sz="4" w:space="0" w:color="000000"/>
              <w:bottom w:val="single" w:sz="4" w:space="0" w:color="000000"/>
              <w:right w:val="single" w:sz="4" w:space="0" w:color="000000"/>
            </w:tcBorders>
          </w:tcPr>
          <w:p w14:paraId="65634813" w14:textId="77777777" w:rsidR="00863377" w:rsidRPr="008F1A10" w:rsidRDefault="00863377" w:rsidP="00540A74">
            <w:pPr>
              <w:widowControl w:val="0"/>
              <w:spacing w:before="40" w:after="40"/>
              <w:rPr>
                <w:rFonts w:ascii="Arial Narrow" w:hAnsi="Arial Narrow"/>
                <w:sz w:val="20"/>
              </w:rPr>
            </w:pPr>
            <w:proofErr w:type="spellStart"/>
            <w:r w:rsidRPr="008F1A10">
              <w:rPr>
                <w:rFonts w:ascii="Arial Narrow" w:hAnsi="Arial Narrow"/>
                <w:sz w:val="20"/>
              </w:rPr>
              <w:t>Scheel</w:t>
            </w:r>
            <w:proofErr w:type="spellEnd"/>
            <w:r w:rsidRPr="008F1A10">
              <w:rPr>
                <w:rFonts w:ascii="Arial Narrow" w:hAnsi="Arial Narrow"/>
                <w:sz w:val="20"/>
              </w:rPr>
              <w:t xml:space="preserve"> et al. (2016)</w:t>
            </w:r>
          </w:p>
        </w:tc>
        <w:tc>
          <w:tcPr>
            <w:tcW w:w="1259" w:type="pct"/>
            <w:tcBorders>
              <w:top w:val="single" w:sz="4" w:space="0" w:color="000000"/>
              <w:left w:val="single" w:sz="4" w:space="0" w:color="000000"/>
              <w:bottom w:val="single" w:sz="4" w:space="0" w:color="000000"/>
              <w:right w:val="single" w:sz="4" w:space="0" w:color="000000"/>
            </w:tcBorders>
          </w:tcPr>
          <w:p w14:paraId="2CD0FFA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88%, 92%, 92%</w:t>
            </w:r>
          </w:p>
        </w:tc>
        <w:tc>
          <w:tcPr>
            <w:tcW w:w="1335" w:type="pct"/>
            <w:tcBorders>
              <w:top w:val="single" w:sz="4" w:space="0" w:color="000000"/>
              <w:left w:val="single" w:sz="4" w:space="0" w:color="000000"/>
              <w:bottom w:val="single" w:sz="4" w:space="0" w:color="000000"/>
              <w:right w:val="single" w:sz="4" w:space="0" w:color="000000"/>
            </w:tcBorders>
          </w:tcPr>
          <w:p w14:paraId="68ED9CEF"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59%, 67%, 68%</w:t>
            </w:r>
          </w:p>
        </w:tc>
        <w:tc>
          <w:tcPr>
            <w:tcW w:w="1311" w:type="pct"/>
            <w:tcBorders>
              <w:top w:val="single" w:sz="4" w:space="0" w:color="000000"/>
              <w:left w:val="single" w:sz="4" w:space="0" w:color="000000"/>
              <w:bottom w:val="single" w:sz="4" w:space="0" w:color="000000"/>
              <w:right w:val="single" w:sz="4" w:space="0" w:color="000000"/>
            </w:tcBorders>
          </w:tcPr>
          <w:p w14:paraId="7EAA7E26"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88%, 91%, 91%</w:t>
            </w:r>
          </w:p>
        </w:tc>
      </w:tr>
      <w:tr w:rsidR="00863377" w:rsidRPr="008F1A10" w14:paraId="136FB7BA" w14:textId="77777777" w:rsidTr="00540A74">
        <w:tc>
          <w:tcPr>
            <w:tcW w:w="5000" w:type="pct"/>
            <w:gridSpan w:val="4"/>
            <w:tcBorders>
              <w:top w:val="single" w:sz="4" w:space="0" w:color="000000"/>
              <w:left w:val="single" w:sz="4" w:space="0" w:color="000000"/>
              <w:bottom w:val="single" w:sz="4" w:space="0" w:color="000000"/>
              <w:right w:val="single" w:sz="4" w:space="0" w:color="000000"/>
            </w:tcBorders>
            <w:hideMark/>
          </w:tcPr>
          <w:p w14:paraId="095816CF" w14:textId="77777777" w:rsidR="00863377" w:rsidRPr="008F1A10" w:rsidRDefault="00863377" w:rsidP="00540A74">
            <w:pPr>
              <w:widowControl w:val="0"/>
              <w:spacing w:before="40" w:after="40"/>
              <w:rPr>
                <w:rFonts w:ascii="Arial Narrow" w:hAnsi="Arial Narrow"/>
                <w:b/>
                <w:sz w:val="20"/>
              </w:rPr>
            </w:pPr>
            <w:r w:rsidRPr="008F1A10">
              <w:rPr>
                <w:rFonts w:ascii="Arial Narrow" w:hAnsi="Arial Narrow"/>
                <w:b/>
                <w:sz w:val="20"/>
              </w:rPr>
              <w:t>Estimated negative predictive value</w:t>
            </w:r>
            <w:r w:rsidRPr="008F1A10">
              <w:t xml:space="preserve"> </w:t>
            </w:r>
            <w:r w:rsidRPr="008F1A10">
              <w:rPr>
                <w:rFonts w:ascii="Arial Narrow" w:hAnsi="Arial Narrow"/>
                <w:b/>
                <w:sz w:val="20"/>
              </w:rPr>
              <w:t>at the above prevalence rates (TPS ≥50%)</w:t>
            </w:r>
          </w:p>
        </w:tc>
      </w:tr>
      <w:tr w:rsidR="00863377" w:rsidRPr="008F1A10" w14:paraId="721CC7DA" w14:textId="77777777" w:rsidTr="00540A74">
        <w:tc>
          <w:tcPr>
            <w:tcW w:w="1095" w:type="pct"/>
            <w:tcBorders>
              <w:top w:val="single" w:sz="4" w:space="0" w:color="000000"/>
              <w:left w:val="single" w:sz="4" w:space="0" w:color="000000"/>
              <w:bottom w:val="single" w:sz="4" w:space="0" w:color="000000"/>
              <w:right w:val="single" w:sz="4" w:space="0" w:color="000000"/>
            </w:tcBorders>
          </w:tcPr>
          <w:p w14:paraId="3FE81AB6" w14:textId="77777777" w:rsidR="00863377" w:rsidRPr="008F1A10" w:rsidRDefault="00863377" w:rsidP="00540A74">
            <w:pPr>
              <w:widowControl w:val="0"/>
              <w:spacing w:before="40" w:after="40"/>
              <w:rPr>
                <w:rFonts w:ascii="Arial Narrow" w:hAnsi="Arial Narrow"/>
                <w:sz w:val="20"/>
              </w:rPr>
            </w:pPr>
            <w:proofErr w:type="spellStart"/>
            <w:r w:rsidRPr="008F1A10">
              <w:rPr>
                <w:rFonts w:ascii="Arial Narrow" w:hAnsi="Arial Narrow"/>
                <w:sz w:val="20"/>
              </w:rPr>
              <w:t>Scheel</w:t>
            </w:r>
            <w:proofErr w:type="spellEnd"/>
            <w:r w:rsidRPr="008F1A10">
              <w:rPr>
                <w:rFonts w:ascii="Arial Narrow" w:hAnsi="Arial Narrow"/>
                <w:sz w:val="20"/>
              </w:rPr>
              <w:t xml:space="preserve"> et al. (2016)</w:t>
            </w:r>
            <w:r w:rsidRPr="008F1A10">
              <w:rPr>
                <w:rFonts w:ascii="Arial Narrow" w:hAnsi="Arial Narrow"/>
                <w:sz w:val="20"/>
                <w:vertAlign w:val="superscript"/>
              </w:rPr>
              <w:t>b</w:t>
            </w:r>
          </w:p>
        </w:tc>
        <w:tc>
          <w:tcPr>
            <w:tcW w:w="1259" w:type="pct"/>
            <w:tcBorders>
              <w:top w:val="single" w:sz="4" w:space="0" w:color="000000"/>
              <w:left w:val="single" w:sz="4" w:space="0" w:color="000000"/>
              <w:bottom w:val="single" w:sz="4" w:space="0" w:color="000000"/>
              <w:right w:val="single" w:sz="4" w:space="0" w:color="000000"/>
            </w:tcBorders>
          </w:tcPr>
          <w:p w14:paraId="46557E2D"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95%, 93%, 92%</w:t>
            </w:r>
          </w:p>
        </w:tc>
        <w:tc>
          <w:tcPr>
            <w:tcW w:w="1335" w:type="pct"/>
            <w:tcBorders>
              <w:top w:val="single" w:sz="4" w:space="0" w:color="000000"/>
              <w:left w:val="single" w:sz="4" w:space="0" w:color="000000"/>
              <w:bottom w:val="single" w:sz="4" w:space="0" w:color="auto"/>
              <w:right w:val="single" w:sz="4" w:space="0" w:color="000000"/>
            </w:tcBorders>
          </w:tcPr>
          <w:p w14:paraId="58D657D1"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100%</w:t>
            </w:r>
          </w:p>
        </w:tc>
        <w:tc>
          <w:tcPr>
            <w:tcW w:w="1311" w:type="pct"/>
            <w:tcBorders>
              <w:top w:val="single" w:sz="4" w:space="0" w:color="000000"/>
              <w:left w:val="single" w:sz="4" w:space="0" w:color="000000"/>
              <w:bottom w:val="single" w:sz="4" w:space="0" w:color="auto"/>
              <w:right w:val="single" w:sz="4" w:space="0" w:color="000000"/>
            </w:tcBorders>
          </w:tcPr>
          <w:p w14:paraId="31F3D41A" w14:textId="77777777" w:rsidR="00863377" w:rsidRPr="008F1A10" w:rsidRDefault="00863377" w:rsidP="00540A74">
            <w:pPr>
              <w:widowControl w:val="0"/>
              <w:spacing w:before="40" w:after="40"/>
              <w:rPr>
                <w:rFonts w:ascii="Arial Narrow" w:hAnsi="Arial Narrow"/>
                <w:sz w:val="20"/>
              </w:rPr>
            </w:pPr>
            <w:r w:rsidRPr="008F1A10">
              <w:rPr>
                <w:rFonts w:ascii="Arial Narrow" w:hAnsi="Arial Narrow"/>
                <w:sz w:val="20"/>
              </w:rPr>
              <w:t>93%, 91%, 90%</w:t>
            </w:r>
          </w:p>
        </w:tc>
      </w:tr>
    </w:tbl>
    <w:p w14:paraId="552BF14D" w14:textId="77777777" w:rsidR="00863377" w:rsidRDefault="00863377" w:rsidP="00863377">
      <w:pPr>
        <w:pStyle w:val="TableFooter"/>
      </w:pPr>
      <w:proofErr w:type="gramStart"/>
      <w:r w:rsidRPr="001B2611">
        <w:rPr>
          <w:vertAlign w:val="superscript"/>
        </w:rPr>
        <w:t>a</w:t>
      </w:r>
      <w:proofErr w:type="gramEnd"/>
      <w:r>
        <w:t xml:space="preserve"> Prevalence rates used was the prevalence of TPS ≥50% in the Australian cohort from the KN-o24 trial (28.5%), and the lowest and highest estimated prevalence rates from studies included to determine median prevalence in Australian and Caucasian studies.</w:t>
      </w:r>
    </w:p>
    <w:p w14:paraId="11D50199" w14:textId="77777777" w:rsidR="00863377" w:rsidRDefault="00863377" w:rsidP="00863377">
      <w:pPr>
        <w:pStyle w:val="MSACESParagraph"/>
      </w:pPr>
      <w:r w:rsidRPr="001242C0">
        <w:t>The critique noted that</w:t>
      </w:r>
      <w:r>
        <w:t>,</w:t>
      </w:r>
      <w:r w:rsidRPr="001242C0">
        <w:t xml:space="preserve"> as the true sensitivity and specificity of the evidentiary standard has yet to be determined, the proportion of false negative and false positive results obtained by the individual tests cannot be conclusively determined.</w:t>
      </w:r>
    </w:p>
    <w:p w14:paraId="33AB1044" w14:textId="77777777" w:rsidR="00863377" w:rsidRPr="0060497A" w:rsidRDefault="008B3D7D" w:rsidP="00863377">
      <w:pPr>
        <w:pStyle w:val="Caption"/>
      </w:pPr>
      <w:r>
        <w:t xml:space="preserve">Table </w:t>
      </w:r>
      <w:r w:rsidR="00863377">
        <w:t>5:</w:t>
      </w:r>
      <w:r w:rsidR="00863377" w:rsidRPr="0060497A">
        <w:tab/>
        <w:t xml:space="preserve">Comparative analytical concordance of </w:t>
      </w:r>
      <w:r w:rsidR="00863377">
        <w:t xml:space="preserve">various </w:t>
      </w:r>
      <w:r w:rsidR="00863377" w:rsidRPr="0060497A">
        <w:t xml:space="preserve">PD-L1 tests compared with </w:t>
      </w:r>
      <w:r w:rsidR="00863377">
        <w:t xml:space="preserve">the </w:t>
      </w:r>
      <w:r w:rsidR="00863377" w:rsidRPr="0060497A">
        <w:t>evidentiary standard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541"/>
        <w:gridCol w:w="1542"/>
        <w:gridCol w:w="1540"/>
        <w:gridCol w:w="1542"/>
        <w:gridCol w:w="1538"/>
      </w:tblGrid>
      <w:tr w:rsidR="00863377" w:rsidRPr="0060497A" w14:paraId="09BEC9F4" w14:textId="77777777" w:rsidTr="00540A74">
        <w:tc>
          <w:tcPr>
            <w:tcW w:w="833" w:type="pct"/>
            <w:tcBorders>
              <w:top w:val="single" w:sz="4" w:space="0" w:color="000000"/>
              <w:left w:val="single" w:sz="4" w:space="0" w:color="000000"/>
              <w:bottom w:val="single" w:sz="4" w:space="0" w:color="000000"/>
              <w:right w:val="single" w:sz="4" w:space="0" w:color="000000"/>
            </w:tcBorders>
          </w:tcPr>
          <w:p w14:paraId="449BD7B2" w14:textId="77777777" w:rsidR="00863377" w:rsidRPr="0060497A" w:rsidRDefault="00863377" w:rsidP="008B3D7D">
            <w:pPr>
              <w:pStyle w:val="TableText"/>
              <w:keepNext/>
              <w:spacing w:before="0" w:after="0" w:line="256" w:lineRule="auto"/>
              <w:jc w:val="left"/>
              <w:rPr>
                <w:lang w:eastAsia="en-AU"/>
              </w:rPr>
            </w:pPr>
          </w:p>
        </w:tc>
        <w:tc>
          <w:tcPr>
            <w:tcW w:w="834" w:type="pct"/>
            <w:tcBorders>
              <w:top w:val="single" w:sz="4" w:space="0" w:color="000000"/>
              <w:left w:val="single" w:sz="4" w:space="0" w:color="000000"/>
              <w:bottom w:val="single" w:sz="4" w:space="0" w:color="000000"/>
              <w:right w:val="single" w:sz="4" w:space="0" w:color="000000"/>
            </w:tcBorders>
            <w:hideMark/>
          </w:tcPr>
          <w:p w14:paraId="29AE9D16" w14:textId="77777777" w:rsidR="00863377" w:rsidRPr="0060497A" w:rsidRDefault="00863377" w:rsidP="008B3D7D">
            <w:pPr>
              <w:pStyle w:val="TableText"/>
              <w:keepNext/>
              <w:spacing w:before="0" w:after="0" w:line="256" w:lineRule="auto"/>
              <w:jc w:val="left"/>
              <w:rPr>
                <w:b/>
                <w:lang w:eastAsia="en-AU"/>
              </w:rPr>
            </w:pPr>
            <w:r w:rsidRPr="0060497A">
              <w:rPr>
                <w:b/>
                <w:lang w:eastAsia="en-AU"/>
              </w:rPr>
              <w:t>22C3</w:t>
            </w:r>
          </w:p>
        </w:tc>
        <w:tc>
          <w:tcPr>
            <w:tcW w:w="834" w:type="pct"/>
            <w:tcBorders>
              <w:top w:val="single" w:sz="4" w:space="0" w:color="000000"/>
              <w:left w:val="single" w:sz="4" w:space="0" w:color="000000"/>
              <w:bottom w:val="single" w:sz="4" w:space="0" w:color="000000"/>
              <w:right w:val="single" w:sz="4" w:space="0" w:color="000000"/>
            </w:tcBorders>
            <w:hideMark/>
          </w:tcPr>
          <w:p w14:paraId="2ACD0B2B" w14:textId="77777777" w:rsidR="00863377" w:rsidRPr="0060497A" w:rsidRDefault="00863377" w:rsidP="008B3D7D">
            <w:pPr>
              <w:pStyle w:val="TableText"/>
              <w:keepNext/>
              <w:spacing w:before="0" w:after="0" w:line="256" w:lineRule="auto"/>
              <w:jc w:val="left"/>
              <w:rPr>
                <w:b/>
              </w:rPr>
            </w:pPr>
            <w:r w:rsidRPr="0060497A">
              <w:rPr>
                <w:b/>
                <w:lang w:eastAsia="en-AU"/>
              </w:rPr>
              <w:t>28-8</w:t>
            </w:r>
          </w:p>
        </w:tc>
        <w:tc>
          <w:tcPr>
            <w:tcW w:w="833" w:type="pct"/>
            <w:tcBorders>
              <w:top w:val="single" w:sz="4" w:space="0" w:color="000000"/>
              <w:left w:val="single" w:sz="4" w:space="0" w:color="000000"/>
              <w:bottom w:val="single" w:sz="4" w:space="0" w:color="000000"/>
              <w:right w:val="single" w:sz="4" w:space="0" w:color="000000"/>
            </w:tcBorders>
            <w:hideMark/>
          </w:tcPr>
          <w:p w14:paraId="1732309D" w14:textId="77777777" w:rsidR="00863377" w:rsidRPr="0060497A" w:rsidRDefault="00863377" w:rsidP="008B3D7D">
            <w:pPr>
              <w:pStyle w:val="TableText"/>
              <w:keepNext/>
              <w:spacing w:before="0" w:after="0" w:line="256" w:lineRule="auto"/>
              <w:jc w:val="left"/>
              <w:rPr>
                <w:b/>
              </w:rPr>
            </w:pPr>
            <w:r w:rsidRPr="0060497A">
              <w:rPr>
                <w:b/>
                <w:lang w:eastAsia="en-AU"/>
              </w:rPr>
              <w:t>SP263</w:t>
            </w:r>
          </w:p>
        </w:tc>
        <w:tc>
          <w:tcPr>
            <w:tcW w:w="834" w:type="pct"/>
            <w:tcBorders>
              <w:top w:val="single" w:sz="4" w:space="0" w:color="000000"/>
              <w:left w:val="single" w:sz="4" w:space="0" w:color="000000"/>
              <w:bottom w:val="single" w:sz="4" w:space="0" w:color="000000"/>
              <w:right w:val="single" w:sz="4" w:space="0" w:color="000000"/>
            </w:tcBorders>
            <w:hideMark/>
          </w:tcPr>
          <w:p w14:paraId="7B7FAF27" w14:textId="77777777" w:rsidR="00863377" w:rsidRPr="0060497A" w:rsidRDefault="00863377" w:rsidP="008B3D7D">
            <w:pPr>
              <w:pStyle w:val="TableText"/>
              <w:keepNext/>
              <w:spacing w:before="0" w:after="0" w:line="256" w:lineRule="auto"/>
              <w:jc w:val="left"/>
              <w:rPr>
                <w:b/>
              </w:rPr>
            </w:pPr>
            <w:r w:rsidRPr="0060497A">
              <w:rPr>
                <w:b/>
                <w:lang w:eastAsia="en-AU"/>
              </w:rPr>
              <w:t>SP142</w:t>
            </w:r>
          </w:p>
        </w:tc>
        <w:tc>
          <w:tcPr>
            <w:tcW w:w="832" w:type="pct"/>
            <w:tcBorders>
              <w:top w:val="single" w:sz="4" w:space="0" w:color="000000"/>
              <w:left w:val="single" w:sz="4" w:space="0" w:color="000000"/>
              <w:bottom w:val="single" w:sz="4" w:space="0" w:color="000000"/>
              <w:right w:val="single" w:sz="4" w:space="0" w:color="000000"/>
            </w:tcBorders>
            <w:hideMark/>
          </w:tcPr>
          <w:p w14:paraId="6C6F6D3E" w14:textId="77777777" w:rsidR="00863377" w:rsidRPr="0060497A" w:rsidRDefault="00863377" w:rsidP="008B3D7D">
            <w:pPr>
              <w:pStyle w:val="TableText"/>
              <w:keepNext/>
              <w:spacing w:before="0" w:after="0" w:line="256" w:lineRule="auto"/>
              <w:jc w:val="left"/>
              <w:rPr>
                <w:b/>
              </w:rPr>
            </w:pPr>
            <w:r w:rsidRPr="0060497A">
              <w:rPr>
                <w:b/>
                <w:lang w:eastAsia="en-AU"/>
              </w:rPr>
              <w:t>E1L3N</w:t>
            </w:r>
          </w:p>
        </w:tc>
      </w:tr>
      <w:tr w:rsidR="00863377" w:rsidRPr="0060497A" w14:paraId="46004165" w14:textId="77777777" w:rsidTr="00540A74">
        <w:tc>
          <w:tcPr>
            <w:tcW w:w="5000" w:type="pct"/>
            <w:gridSpan w:val="6"/>
            <w:tcBorders>
              <w:top w:val="single" w:sz="4" w:space="0" w:color="000000"/>
              <w:left w:val="single" w:sz="4" w:space="0" w:color="000000"/>
              <w:bottom w:val="single" w:sz="4" w:space="0" w:color="000000"/>
              <w:right w:val="single" w:sz="4" w:space="0" w:color="000000"/>
            </w:tcBorders>
            <w:hideMark/>
          </w:tcPr>
          <w:p w14:paraId="775654CD" w14:textId="77777777" w:rsidR="00863377" w:rsidRPr="0060497A" w:rsidRDefault="00863377" w:rsidP="008B3D7D">
            <w:pPr>
              <w:pStyle w:val="TableText"/>
              <w:keepNext/>
              <w:spacing w:before="0" w:after="0" w:line="256" w:lineRule="auto"/>
              <w:jc w:val="left"/>
              <w:rPr>
                <w:b/>
                <w:lang w:eastAsia="en-AU"/>
              </w:rPr>
            </w:pPr>
            <w:r w:rsidRPr="0060497A">
              <w:rPr>
                <w:b/>
                <w:lang w:eastAsia="en-AU"/>
              </w:rPr>
              <w:t>Weighted kappa 1% and 50% TPS threshold</w:t>
            </w:r>
          </w:p>
        </w:tc>
      </w:tr>
      <w:tr w:rsidR="00863377" w:rsidRPr="0060497A" w14:paraId="039FCABA" w14:textId="77777777" w:rsidTr="00540A74">
        <w:tc>
          <w:tcPr>
            <w:tcW w:w="833" w:type="pct"/>
            <w:tcBorders>
              <w:top w:val="single" w:sz="4" w:space="0" w:color="000000"/>
              <w:left w:val="single" w:sz="4" w:space="0" w:color="000000"/>
              <w:bottom w:val="nil"/>
              <w:right w:val="single" w:sz="4" w:space="0" w:color="000000"/>
            </w:tcBorders>
            <w:hideMark/>
          </w:tcPr>
          <w:p w14:paraId="12D9A286" w14:textId="77777777" w:rsidR="00863377" w:rsidRPr="0060497A" w:rsidRDefault="00863377" w:rsidP="008B3D7D">
            <w:pPr>
              <w:pStyle w:val="TableText"/>
              <w:keepNext/>
              <w:spacing w:before="0" w:after="0" w:line="256" w:lineRule="auto"/>
              <w:jc w:val="left"/>
              <w:rPr>
                <w:lang w:eastAsia="en-AU"/>
              </w:rPr>
            </w:pPr>
            <w:r w:rsidRPr="0060497A">
              <w:rPr>
                <w:lang w:eastAsia="en-AU"/>
              </w:rPr>
              <w:t>Adam et al. (2017)</w:t>
            </w:r>
          </w:p>
        </w:tc>
        <w:tc>
          <w:tcPr>
            <w:tcW w:w="834" w:type="pct"/>
            <w:shd w:val="clear" w:color="auto" w:fill="auto"/>
            <w:hideMark/>
          </w:tcPr>
          <w:p w14:paraId="423CB88F" w14:textId="77777777" w:rsidR="00863377" w:rsidRPr="0060497A" w:rsidRDefault="00863377" w:rsidP="008B3D7D">
            <w:pPr>
              <w:pStyle w:val="TableText"/>
              <w:keepNext/>
              <w:spacing w:before="0" w:after="0"/>
              <w:jc w:val="left"/>
              <w:rPr>
                <w:snapToGrid w:val="0"/>
              </w:rPr>
            </w:pPr>
            <w:r w:rsidRPr="0060497A">
              <w:rPr>
                <w:snapToGrid w:val="0"/>
              </w:rPr>
              <w:t xml:space="preserve">Ref: </w:t>
            </w:r>
            <w:r w:rsidRPr="0060497A">
              <w:rPr>
                <w:snapToGrid w:val="0"/>
              </w:rPr>
              <w:br/>
              <w:t>Dako 22C3</w:t>
            </w:r>
          </w:p>
          <w:p w14:paraId="2B3D1397" w14:textId="4A5418D7" w:rsidR="00863377" w:rsidRPr="0060497A" w:rsidRDefault="00863377" w:rsidP="008B570F">
            <w:pPr>
              <w:pStyle w:val="TableText"/>
              <w:keepNext/>
              <w:spacing w:before="0"/>
              <w:jc w:val="left"/>
              <w:rPr>
                <w:snapToGrid w:val="0"/>
              </w:rPr>
            </w:pPr>
            <w:r w:rsidRPr="0060497A">
              <w:rPr>
                <w:snapToGrid w:val="0"/>
              </w:rPr>
              <w:t>Dako: 0.82–0.91</w:t>
            </w:r>
          </w:p>
          <w:p w14:paraId="61255302" w14:textId="77777777" w:rsidR="00863377" w:rsidRPr="0060497A" w:rsidRDefault="00863377" w:rsidP="008B3D7D">
            <w:pPr>
              <w:pStyle w:val="TableText"/>
              <w:keepNext/>
              <w:spacing w:before="0" w:after="0"/>
              <w:jc w:val="left"/>
              <w:rPr>
                <w:snapToGrid w:val="0"/>
              </w:rPr>
            </w:pPr>
            <w:r w:rsidRPr="0060497A">
              <w:rPr>
                <w:snapToGrid w:val="0"/>
              </w:rPr>
              <w:t>LDT-Ventana: 0.77–0.81</w:t>
            </w:r>
          </w:p>
          <w:p w14:paraId="6FEE54AE" w14:textId="77777777" w:rsidR="00863377" w:rsidRPr="0060497A" w:rsidRDefault="00863377" w:rsidP="008B3D7D">
            <w:pPr>
              <w:pStyle w:val="TableText"/>
              <w:keepNext/>
              <w:spacing w:before="0" w:after="0"/>
              <w:jc w:val="left"/>
              <w:rPr>
                <w:snapToGrid w:val="0"/>
              </w:rPr>
            </w:pPr>
            <w:r w:rsidRPr="0060497A">
              <w:rPr>
                <w:snapToGrid w:val="0"/>
              </w:rPr>
              <w:t>LDT-Leica: 0.50–0.62</w:t>
            </w:r>
          </w:p>
          <w:p w14:paraId="25339910"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0.73</w:t>
            </w:r>
          </w:p>
        </w:tc>
        <w:tc>
          <w:tcPr>
            <w:tcW w:w="834" w:type="pct"/>
            <w:shd w:val="clear" w:color="auto" w:fill="auto"/>
            <w:hideMark/>
          </w:tcPr>
          <w:p w14:paraId="4783CC69" w14:textId="77777777" w:rsidR="00863377" w:rsidRPr="0060497A" w:rsidRDefault="00863377" w:rsidP="008B3D7D">
            <w:pPr>
              <w:pStyle w:val="TableText"/>
              <w:keepNext/>
              <w:spacing w:before="0" w:after="0"/>
              <w:jc w:val="left"/>
              <w:rPr>
                <w:snapToGrid w:val="0"/>
              </w:rPr>
            </w:pPr>
            <w:r w:rsidRPr="0060497A">
              <w:rPr>
                <w:snapToGrid w:val="0"/>
              </w:rPr>
              <w:t>Ref:</w:t>
            </w:r>
            <w:r w:rsidRPr="0060497A">
              <w:rPr>
                <w:snapToGrid w:val="0"/>
              </w:rPr>
              <w:br/>
              <w:t>Dako 28-8</w:t>
            </w:r>
          </w:p>
          <w:p w14:paraId="59AD4F05" w14:textId="2E9130B7" w:rsidR="00863377" w:rsidRPr="0060497A" w:rsidRDefault="00863377" w:rsidP="008B570F">
            <w:pPr>
              <w:pStyle w:val="TableText"/>
              <w:keepNext/>
              <w:spacing w:before="0"/>
              <w:jc w:val="left"/>
              <w:rPr>
                <w:snapToGrid w:val="0"/>
              </w:rPr>
            </w:pPr>
            <w:r w:rsidRPr="0060497A">
              <w:rPr>
                <w:snapToGrid w:val="0"/>
              </w:rPr>
              <w:t>Dako: 0.79–0.94</w:t>
            </w:r>
          </w:p>
          <w:p w14:paraId="68BD648E" w14:textId="77777777" w:rsidR="00863377" w:rsidRPr="0060497A" w:rsidRDefault="00863377" w:rsidP="008B3D7D">
            <w:pPr>
              <w:pStyle w:val="TableText"/>
              <w:keepNext/>
              <w:spacing w:before="0" w:after="0"/>
              <w:jc w:val="left"/>
              <w:rPr>
                <w:snapToGrid w:val="0"/>
              </w:rPr>
            </w:pPr>
            <w:r w:rsidRPr="0060497A">
              <w:rPr>
                <w:snapToGrid w:val="0"/>
              </w:rPr>
              <w:t>LDT-Ventana: 0.73–0.80</w:t>
            </w:r>
          </w:p>
          <w:p w14:paraId="44C79173" w14:textId="77777777" w:rsidR="00863377" w:rsidRPr="0060497A" w:rsidRDefault="00863377" w:rsidP="008B3D7D">
            <w:pPr>
              <w:pStyle w:val="TableText"/>
              <w:keepNext/>
              <w:spacing w:before="0" w:after="0"/>
              <w:jc w:val="left"/>
              <w:rPr>
                <w:snapToGrid w:val="0"/>
              </w:rPr>
            </w:pPr>
            <w:r w:rsidRPr="0060497A">
              <w:rPr>
                <w:snapToGrid w:val="0"/>
              </w:rPr>
              <w:t>LDT-Leica: 0.58–0.60</w:t>
            </w:r>
          </w:p>
          <w:p w14:paraId="3723B7E7"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0.73</w:t>
            </w:r>
          </w:p>
        </w:tc>
        <w:tc>
          <w:tcPr>
            <w:tcW w:w="833" w:type="pct"/>
            <w:shd w:val="clear" w:color="auto" w:fill="auto"/>
            <w:hideMark/>
          </w:tcPr>
          <w:p w14:paraId="7052EB90" w14:textId="77777777" w:rsidR="00863377" w:rsidRPr="0060497A" w:rsidRDefault="00863377" w:rsidP="008B3D7D">
            <w:pPr>
              <w:pStyle w:val="TableText"/>
              <w:keepNext/>
              <w:spacing w:before="0" w:after="0"/>
              <w:jc w:val="left"/>
              <w:rPr>
                <w:snapToGrid w:val="0"/>
              </w:rPr>
            </w:pPr>
            <w:r w:rsidRPr="0060497A">
              <w:rPr>
                <w:snapToGrid w:val="0"/>
              </w:rPr>
              <w:t>Ref:</w:t>
            </w:r>
            <w:r w:rsidRPr="0060497A">
              <w:rPr>
                <w:snapToGrid w:val="0"/>
              </w:rPr>
              <w:br/>
              <w:t>Ventana SP263</w:t>
            </w:r>
          </w:p>
          <w:p w14:paraId="3823DA91" w14:textId="77777777" w:rsidR="00863377" w:rsidRPr="0060497A" w:rsidRDefault="00863377" w:rsidP="008B3D7D">
            <w:pPr>
              <w:pStyle w:val="TableText"/>
              <w:keepNext/>
              <w:spacing w:before="0" w:after="0"/>
              <w:jc w:val="left"/>
              <w:rPr>
                <w:snapToGrid w:val="0"/>
              </w:rPr>
            </w:pPr>
            <w:r w:rsidRPr="0060497A">
              <w:rPr>
                <w:snapToGrid w:val="0"/>
              </w:rPr>
              <w:t>Ventana: 0.81</w:t>
            </w:r>
          </w:p>
          <w:p w14:paraId="46C135AA" w14:textId="4BCD5620" w:rsidR="00863377" w:rsidRPr="0060497A" w:rsidRDefault="00863377" w:rsidP="008B570F">
            <w:pPr>
              <w:pStyle w:val="TableText"/>
              <w:keepNext/>
              <w:spacing w:before="0"/>
              <w:jc w:val="left"/>
              <w:rPr>
                <w:snapToGrid w:val="0"/>
              </w:rPr>
            </w:pPr>
            <w:r w:rsidRPr="0060497A">
              <w:rPr>
                <w:snapToGrid w:val="0"/>
              </w:rPr>
              <w:t>LDT-Dako: 0.83–0.86</w:t>
            </w:r>
          </w:p>
          <w:p w14:paraId="7D349D6F" w14:textId="77777777" w:rsidR="00863377" w:rsidRPr="0060497A" w:rsidRDefault="00863377" w:rsidP="008B3D7D">
            <w:pPr>
              <w:pStyle w:val="TableText"/>
              <w:keepNext/>
              <w:spacing w:before="0" w:after="0"/>
              <w:jc w:val="left"/>
              <w:rPr>
                <w:snapToGrid w:val="0"/>
              </w:rPr>
            </w:pPr>
            <w:r w:rsidRPr="0060497A">
              <w:rPr>
                <w:snapToGrid w:val="0"/>
              </w:rPr>
              <w:t>LDT-Leica: 0.83–0.86</w:t>
            </w:r>
          </w:p>
          <w:p w14:paraId="6688B3FE"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0.81</w:t>
            </w:r>
          </w:p>
        </w:tc>
        <w:tc>
          <w:tcPr>
            <w:tcW w:w="834" w:type="pct"/>
            <w:shd w:val="clear" w:color="auto" w:fill="auto"/>
            <w:hideMark/>
          </w:tcPr>
          <w:p w14:paraId="0793A285" w14:textId="3F83715B" w:rsidR="00863377" w:rsidRPr="0060497A" w:rsidRDefault="00863377" w:rsidP="008B570F">
            <w:pPr>
              <w:pStyle w:val="TableText"/>
              <w:keepNext/>
              <w:spacing w:before="0"/>
              <w:jc w:val="left"/>
              <w:rPr>
                <w:snapToGrid w:val="0"/>
              </w:rPr>
            </w:pPr>
            <w:r w:rsidRPr="0060497A">
              <w:rPr>
                <w:snapToGrid w:val="0"/>
              </w:rPr>
              <w:t>Ref:</w:t>
            </w:r>
            <w:r w:rsidRPr="0060497A">
              <w:rPr>
                <w:snapToGrid w:val="0"/>
              </w:rPr>
              <w:br/>
              <w:t>Ventana SP263</w:t>
            </w:r>
          </w:p>
          <w:p w14:paraId="45CE7426" w14:textId="77777777" w:rsidR="00863377" w:rsidRPr="0060497A" w:rsidRDefault="00863377" w:rsidP="008B3D7D">
            <w:pPr>
              <w:pStyle w:val="TableText"/>
              <w:keepNext/>
              <w:spacing w:before="0" w:after="0"/>
              <w:jc w:val="left"/>
              <w:rPr>
                <w:snapToGrid w:val="0"/>
              </w:rPr>
            </w:pPr>
            <w:r w:rsidRPr="0060497A">
              <w:rPr>
                <w:snapToGrid w:val="0"/>
              </w:rPr>
              <w:t>LDT-Dako: 0.38–0.68</w:t>
            </w:r>
          </w:p>
          <w:p w14:paraId="1C4AB99D" w14:textId="77777777" w:rsidR="00863377" w:rsidRPr="0060497A" w:rsidRDefault="00863377" w:rsidP="008B3D7D">
            <w:pPr>
              <w:pStyle w:val="TableText"/>
              <w:keepNext/>
              <w:spacing w:before="0" w:after="0"/>
              <w:jc w:val="left"/>
              <w:rPr>
                <w:snapToGrid w:val="0"/>
              </w:rPr>
            </w:pPr>
            <w:r w:rsidRPr="0060497A">
              <w:rPr>
                <w:snapToGrid w:val="0"/>
              </w:rPr>
              <w:t>LDT-Ventana: 0.43–0.45</w:t>
            </w:r>
          </w:p>
          <w:p w14:paraId="79BF6D69" w14:textId="77777777" w:rsidR="00863377" w:rsidRPr="0060497A" w:rsidRDefault="00863377" w:rsidP="008B3D7D">
            <w:pPr>
              <w:pStyle w:val="TableText"/>
              <w:keepNext/>
              <w:spacing w:before="0" w:after="0"/>
              <w:jc w:val="left"/>
              <w:rPr>
                <w:snapToGrid w:val="0"/>
              </w:rPr>
            </w:pPr>
            <w:r w:rsidRPr="0060497A">
              <w:rPr>
                <w:snapToGrid w:val="0"/>
              </w:rPr>
              <w:t>LDT-Leica: 0.78–0.81</w:t>
            </w:r>
          </w:p>
          <w:p w14:paraId="3FD549E2"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0.64</w:t>
            </w:r>
          </w:p>
        </w:tc>
        <w:tc>
          <w:tcPr>
            <w:tcW w:w="832" w:type="pct"/>
            <w:shd w:val="clear" w:color="auto" w:fill="auto"/>
            <w:hideMark/>
          </w:tcPr>
          <w:p w14:paraId="76AEBB38" w14:textId="731E0019" w:rsidR="00863377" w:rsidRPr="0060497A" w:rsidRDefault="00863377" w:rsidP="008B570F">
            <w:pPr>
              <w:pStyle w:val="TableText"/>
              <w:keepNext/>
              <w:spacing w:before="0"/>
              <w:jc w:val="left"/>
              <w:rPr>
                <w:snapToGrid w:val="0"/>
              </w:rPr>
            </w:pPr>
            <w:r w:rsidRPr="0060497A">
              <w:rPr>
                <w:snapToGrid w:val="0"/>
              </w:rPr>
              <w:t>Ref:</w:t>
            </w:r>
            <w:r w:rsidRPr="0060497A">
              <w:rPr>
                <w:snapToGrid w:val="0"/>
              </w:rPr>
              <w:br/>
              <w:t>Ventana SP263</w:t>
            </w:r>
          </w:p>
          <w:p w14:paraId="28515340" w14:textId="77777777" w:rsidR="00863377" w:rsidRPr="0060497A" w:rsidRDefault="00863377" w:rsidP="008B3D7D">
            <w:pPr>
              <w:pStyle w:val="TableText"/>
              <w:keepNext/>
              <w:spacing w:before="0" w:after="0"/>
              <w:jc w:val="left"/>
              <w:rPr>
                <w:snapToGrid w:val="0"/>
              </w:rPr>
            </w:pPr>
            <w:r w:rsidRPr="0060497A">
              <w:rPr>
                <w:snapToGrid w:val="0"/>
              </w:rPr>
              <w:t>LDT-Dako: 0.63–0.77</w:t>
            </w:r>
          </w:p>
          <w:p w14:paraId="52F3741F" w14:textId="77777777" w:rsidR="00863377" w:rsidRPr="0060497A" w:rsidRDefault="00863377" w:rsidP="008B3D7D">
            <w:pPr>
              <w:pStyle w:val="TableText"/>
              <w:keepNext/>
              <w:spacing w:before="0" w:after="0"/>
              <w:jc w:val="left"/>
              <w:rPr>
                <w:snapToGrid w:val="0"/>
              </w:rPr>
            </w:pPr>
            <w:r w:rsidRPr="0060497A">
              <w:rPr>
                <w:snapToGrid w:val="0"/>
              </w:rPr>
              <w:t>LDT-Ventana: 0.60–0.81</w:t>
            </w:r>
          </w:p>
          <w:p w14:paraId="60BABA1A" w14:textId="77777777" w:rsidR="00863377" w:rsidRPr="0060497A" w:rsidRDefault="00863377" w:rsidP="008B3D7D">
            <w:pPr>
              <w:pStyle w:val="TableText"/>
              <w:keepNext/>
              <w:spacing w:before="0" w:after="0"/>
              <w:jc w:val="left"/>
              <w:rPr>
                <w:snapToGrid w:val="0"/>
              </w:rPr>
            </w:pPr>
            <w:r w:rsidRPr="0060497A">
              <w:rPr>
                <w:snapToGrid w:val="0"/>
              </w:rPr>
              <w:t>LDT-Leica: 0.75–0.78</w:t>
            </w:r>
          </w:p>
          <w:p w14:paraId="76826669" w14:textId="77777777" w:rsidR="00863377" w:rsidRPr="0060497A" w:rsidRDefault="00863377" w:rsidP="008B3D7D">
            <w:pPr>
              <w:pStyle w:val="TableText"/>
              <w:keepNext/>
              <w:spacing w:before="0" w:after="0" w:line="256" w:lineRule="auto"/>
              <w:jc w:val="left"/>
              <w:rPr>
                <w:lang w:eastAsia="en-AU"/>
              </w:rPr>
            </w:pPr>
            <w:r w:rsidRPr="0060497A">
              <w:rPr>
                <w:snapToGrid w:val="0"/>
              </w:rPr>
              <w:t>Overall: 0.78</w:t>
            </w:r>
          </w:p>
        </w:tc>
      </w:tr>
      <w:tr w:rsidR="00863377" w:rsidRPr="0060497A" w14:paraId="03753336" w14:textId="77777777" w:rsidTr="00540A74">
        <w:tc>
          <w:tcPr>
            <w:tcW w:w="5000" w:type="pct"/>
            <w:gridSpan w:val="6"/>
            <w:tcBorders>
              <w:top w:val="single" w:sz="4" w:space="0" w:color="000000"/>
              <w:left w:val="single" w:sz="4" w:space="0" w:color="000000"/>
              <w:bottom w:val="single" w:sz="4" w:space="0" w:color="000000"/>
              <w:right w:val="single" w:sz="4" w:space="0" w:color="000000"/>
            </w:tcBorders>
            <w:hideMark/>
          </w:tcPr>
          <w:p w14:paraId="2430E95C" w14:textId="77777777" w:rsidR="00863377" w:rsidRPr="0060497A" w:rsidRDefault="00863377" w:rsidP="008B3D7D">
            <w:pPr>
              <w:pStyle w:val="TableText"/>
              <w:spacing w:before="0" w:after="0" w:line="256" w:lineRule="auto"/>
              <w:jc w:val="left"/>
              <w:rPr>
                <w:b/>
                <w:lang w:eastAsia="en-AU"/>
              </w:rPr>
            </w:pPr>
            <w:r w:rsidRPr="0060497A">
              <w:rPr>
                <w:b/>
                <w:lang w:eastAsia="en-AU"/>
              </w:rPr>
              <w:t>Overall percent agreement for combined, 1% or 50% TPS threshold</w:t>
            </w:r>
          </w:p>
        </w:tc>
      </w:tr>
      <w:tr w:rsidR="00863377" w:rsidRPr="0060497A" w14:paraId="5D27F3CD" w14:textId="77777777" w:rsidTr="00540A74">
        <w:tc>
          <w:tcPr>
            <w:tcW w:w="833" w:type="pct"/>
            <w:tcBorders>
              <w:top w:val="single" w:sz="4" w:space="0" w:color="000000"/>
              <w:left w:val="single" w:sz="4" w:space="0" w:color="000000"/>
              <w:bottom w:val="single" w:sz="4" w:space="0" w:color="000000"/>
              <w:right w:val="single" w:sz="4" w:space="0" w:color="000000"/>
            </w:tcBorders>
            <w:hideMark/>
          </w:tcPr>
          <w:p w14:paraId="423A485A" w14:textId="77777777" w:rsidR="00863377" w:rsidRPr="0060497A" w:rsidRDefault="00863377" w:rsidP="008B3D7D">
            <w:pPr>
              <w:pStyle w:val="TableText"/>
              <w:spacing w:before="0" w:after="0" w:line="256" w:lineRule="auto"/>
              <w:jc w:val="left"/>
              <w:rPr>
                <w:lang w:eastAsia="en-AU"/>
              </w:rPr>
            </w:pPr>
            <w:proofErr w:type="spellStart"/>
            <w:r w:rsidRPr="0060497A">
              <w:rPr>
                <w:snapToGrid w:val="0"/>
              </w:rPr>
              <w:t>Ratcliffe</w:t>
            </w:r>
            <w:proofErr w:type="spellEnd"/>
            <w:r w:rsidRPr="0060497A">
              <w:rPr>
                <w:snapToGrid w:val="0"/>
              </w:rPr>
              <w:t xml:space="preserve"> et al. (2017)</w:t>
            </w:r>
          </w:p>
        </w:tc>
        <w:tc>
          <w:tcPr>
            <w:tcW w:w="834" w:type="pct"/>
            <w:tcBorders>
              <w:top w:val="single" w:sz="4" w:space="0" w:color="000000"/>
              <w:left w:val="single" w:sz="4" w:space="0" w:color="000000"/>
              <w:bottom w:val="single" w:sz="4" w:space="0" w:color="000000"/>
              <w:right w:val="single" w:sz="4" w:space="0" w:color="000000"/>
            </w:tcBorders>
            <w:hideMark/>
          </w:tcPr>
          <w:p w14:paraId="50F68534" w14:textId="77777777" w:rsidR="00863377" w:rsidRPr="0060497A" w:rsidRDefault="00863377" w:rsidP="008B3D7D">
            <w:pPr>
              <w:pStyle w:val="TableText"/>
              <w:spacing w:before="0" w:after="0" w:line="256" w:lineRule="auto"/>
              <w:jc w:val="left"/>
              <w:rPr>
                <w:lang w:eastAsia="en-AU"/>
              </w:rPr>
            </w:pPr>
          </w:p>
        </w:tc>
        <w:tc>
          <w:tcPr>
            <w:tcW w:w="834" w:type="pct"/>
            <w:tcBorders>
              <w:top w:val="single" w:sz="4" w:space="0" w:color="000000"/>
              <w:left w:val="single" w:sz="4" w:space="0" w:color="000000"/>
              <w:bottom w:val="single" w:sz="4" w:space="0" w:color="000000"/>
              <w:right w:val="single" w:sz="4" w:space="0" w:color="000000"/>
            </w:tcBorders>
          </w:tcPr>
          <w:p w14:paraId="1C60F3EF" w14:textId="77777777" w:rsidR="00863377" w:rsidRPr="0060497A" w:rsidRDefault="00863377" w:rsidP="008B3D7D">
            <w:pPr>
              <w:pStyle w:val="TableText"/>
              <w:spacing w:before="0" w:after="0" w:line="256" w:lineRule="auto"/>
              <w:jc w:val="left"/>
              <w:rPr>
                <w:lang w:eastAsia="en-AU"/>
              </w:rPr>
            </w:pPr>
            <w:r w:rsidRPr="0060497A">
              <w:rPr>
                <w:lang w:eastAsia="en-AU"/>
              </w:rPr>
              <w:t>1%: 94% (lower 95%CI 92)</w:t>
            </w:r>
          </w:p>
          <w:p w14:paraId="4E7ADBB5" w14:textId="77777777" w:rsidR="00863377" w:rsidRPr="0060497A" w:rsidRDefault="00863377" w:rsidP="008B3D7D">
            <w:pPr>
              <w:pStyle w:val="TableText"/>
              <w:spacing w:before="0" w:after="0" w:line="256" w:lineRule="auto"/>
              <w:jc w:val="left"/>
              <w:rPr>
                <w:lang w:eastAsia="en-AU"/>
              </w:rPr>
            </w:pPr>
            <w:r w:rsidRPr="0060497A">
              <w:rPr>
                <w:lang w:eastAsia="en-AU"/>
              </w:rPr>
              <w:t>50%: 97% (lower 95%CI 96)</w:t>
            </w:r>
          </w:p>
        </w:tc>
        <w:tc>
          <w:tcPr>
            <w:tcW w:w="833" w:type="pct"/>
            <w:tcBorders>
              <w:top w:val="single" w:sz="4" w:space="0" w:color="000000"/>
              <w:left w:val="single" w:sz="4" w:space="0" w:color="000000"/>
              <w:bottom w:val="single" w:sz="4" w:space="0" w:color="000000"/>
              <w:right w:val="single" w:sz="4" w:space="0" w:color="000000"/>
            </w:tcBorders>
          </w:tcPr>
          <w:p w14:paraId="5A4B9E52" w14:textId="77777777" w:rsidR="00863377" w:rsidRPr="0060497A" w:rsidRDefault="00863377" w:rsidP="008B3D7D">
            <w:pPr>
              <w:pStyle w:val="TableText"/>
              <w:spacing w:before="0" w:after="0" w:line="256" w:lineRule="auto"/>
              <w:jc w:val="left"/>
              <w:rPr>
                <w:lang w:eastAsia="en-AU"/>
              </w:rPr>
            </w:pPr>
            <w:r w:rsidRPr="0060497A">
              <w:rPr>
                <w:lang w:eastAsia="en-AU"/>
              </w:rPr>
              <w:t>1%: 91% (lower 95%CI 89)</w:t>
            </w:r>
          </w:p>
          <w:p w14:paraId="22059B63" w14:textId="77777777" w:rsidR="00863377" w:rsidRPr="0060497A" w:rsidRDefault="00863377" w:rsidP="008B3D7D">
            <w:pPr>
              <w:pStyle w:val="TableText"/>
              <w:spacing w:before="0" w:after="0" w:line="256" w:lineRule="auto"/>
              <w:jc w:val="left"/>
              <w:rPr>
                <w:lang w:eastAsia="en-AU"/>
              </w:rPr>
            </w:pPr>
            <w:r w:rsidRPr="0060497A">
              <w:rPr>
                <w:lang w:eastAsia="en-AU"/>
              </w:rPr>
              <w:t>50%: 94% (lower 95%CI 91)</w:t>
            </w:r>
          </w:p>
        </w:tc>
        <w:tc>
          <w:tcPr>
            <w:tcW w:w="834" w:type="pct"/>
            <w:tcBorders>
              <w:top w:val="single" w:sz="4" w:space="0" w:color="000000"/>
              <w:left w:val="single" w:sz="4" w:space="0" w:color="000000"/>
              <w:bottom w:val="single" w:sz="4" w:space="0" w:color="000000"/>
              <w:right w:val="single" w:sz="4" w:space="0" w:color="000000"/>
            </w:tcBorders>
          </w:tcPr>
          <w:p w14:paraId="4C26F882" w14:textId="77777777" w:rsidR="00863377" w:rsidRPr="0060497A" w:rsidRDefault="00863377" w:rsidP="008B3D7D">
            <w:pPr>
              <w:pStyle w:val="TableText"/>
              <w:spacing w:before="0" w:after="0" w:line="256" w:lineRule="auto"/>
              <w:jc w:val="left"/>
              <w:rPr>
                <w:lang w:eastAsia="en-AU"/>
              </w:rPr>
            </w:pPr>
          </w:p>
        </w:tc>
        <w:tc>
          <w:tcPr>
            <w:tcW w:w="832" w:type="pct"/>
            <w:tcBorders>
              <w:top w:val="single" w:sz="4" w:space="0" w:color="000000"/>
              <w:left w:val="single" w:sz="4" w:space="0" w:color="000000"/>
              <w:bottom w:val="single" w:sz="4" w:space="0" w:color="000000"/>
              <w:right w:val="single" w:sz="4" w:space="0" w:color="000000"/>
            </w:tcBorders>
          </w:tcPr>
          <w:p w14:paraId="0E188160" w14:textId="77777777" w:rsidR="00863377" w:rsidRPr="0060497A" w:rsidRDefault="00863377" w:rsidP="008B3D7D">
            <w:pPr>
              <w:pStyle w:val="TableText"/>
              <w:spacing w:before="0" w:after="0" w:line="256" w:lineRule="auto"/>
              <w:jc w:val="left"/>
              <w:rPr>
                <w:lang w:eastAsia="en-AU"/>
              </w:rPr>
            </w:pPr>
          </w:p>
        </w:tc>
      </w:tr>
      <w:tr w:rsidR="00863377" w:rsidRPr="0060497A" w14:paraId="4D6920EA" w14:textId="77777777" w:rsidTr="00540A74">
        <w:tc>
          <w:tcPr>
            <w:tcW w:w="833" w:type="pct"/>
            <w:tcBorders>
              <w:top w:val="single" w:sz="4" w:space="0" w:color="000000"/>
              <w:left w:val="single" w:sz="4" w:space="0" w:color="000000"/>
              <w:bottom w:val="single" w:sz="4" w:space="0" w:color="000000"/>
              <w:right w:val="single" w:sz="4" w:space="0" w:color="000000"/>
            </w:tcBorders>
          </w:tcPr>
          <w:p w14:paraId="60C0D497" w14:textId="77777777" w:rsidR="00863377" w:rsidRPr="0060497A" w:rsidRDefault="00863377" w:rsidP="008B3D7D">
            <w:pPr>
              <w:pStyle w:val="TableText"/>
              <w:spacing w:before="0" w:after="0" w:line="256" w:lineRule="auto"/>
              <w:jc w:val="left"/>
              <w:rPr>
                <w:lang w:eastAsia="en-AU"/>
              </w:rPr>
            </w:pPr>
            <w:proofErr w:type="spellStart"/>
            <w:r w:rsidRPr="0060497A">
              <w:rPr>
                <w:snapToGrid w:val="0"/>
              </w:rPr>
              <w:t>Scheel</w:t>
            </w:r>
            <w:proofErr w:type="spellEnd"/>
            <w:r w:rsidRPr="0060497A">
              <w:rPr>
                <w:snapToGrid w:val="0"/>
              </w:rPr>
              <w:t xml:space="preserve"> et al. (2016)</w:t>
            </w:r>
          </w:p>
        </w:tc>
        <w:tc>
          <w:tcPr>
            <w:tcW w:w="834" w:type="pct"/>
            <w:tcBorders>
              <w:top w:val="single" w:sz="4" w:space="0" w:color="000000"/>
              <w:left w:val="single" w:sz="4" w:space="0" w:color="000000"/>
              <w:bottom w:val="single" w:sz="4" w:space="0" w:color="000000"/>
              <w:right w:val="single" w:sz="4" w:space="0" w:color="000000"/>
            </w:tcBorders>
          </w:tcPr>
          <w:p w14:paraId="60A88BE1" w14:textId="77777777" w:rsidR="00863377" w:rsidRPr="0060497A" w:rsidRDefault="00863377" w:rsidP="008B3D7D">
            <w:pPr>
              <w:pStyle w:val="TableText"/>
              <w:spacing w:before="0" w:after="0" w:line="256" w:lineRule="auto"/>
              <w:jc w:val="left"/>
              <w:rPr>
                <w:lang w:eastAsia="en-AU"/>
              </w:rPr>
            </w:pPr>
          </w:p>
        </w:tc>
        <w:tc>
          <w:tcPr>
            <w:tcW w:w="834" w:type="pct"/>
            <w:shd w:val="clear" w:color="auto" w:fill="auto"/>
          </w:tcPr>
          <w:p w14:paraId="3D0B2D93" w14:textId="77777777" w:rsidR="00863377" w:rsidRPr="0060497A" w:rsidRDefault="00863377" w:rsidP="008B3D7D">
            <w:pPr>
              <w:pStyle w:val="TableText"/>
              <w:spacing w:before="0" w:after="0"/>
              <w:jc w:val="left"/>
              <w:rPr>
                <w:snapToGrid w:val="0"/>
              </w:rPr>
            </w:pPr>
            <w:r w:rsidRPr="0060497A">
              <w:rPr>
                <w:snapToGrid w:val="0"/>
              </w:rPr>
              <w:t>Combined: 72%</w:t>
            </w:r>
          </w:p>
          <w:p w14:paraId="70E03D63" w14:textId="77777777" w:rsidR="00863377" w:rsidRPr="0060497A" w:rsidRDefault="00863377" w:rsidP="008B3D7D">
            <w:pPr>
              <w:pStyle w:val="TableText"/>
              <w:tabs>
                <w:tab w:val="left" w:pos="432"/>
              </w:tabs>
              <w:spacing w:before="0" w:after="0"/>
              <w:jc w:val="left"/>
              <w:rPr>
                <w:snapToGrid w:val="0"/>
              </w:rPr>
            </w:pPr>
            <w:r w:rsidRPr="0060497A">
              <w:rPr>
                <w:snapToGrid w:val="0"/>
              </w:rPr>
              <w:t>1%: 95%</w:t>
            </w:r>
          </w:p>
          <w:p w14:paraId="659FE8C3" w14:textId="77777777" w:rsidR="00863377" w:rsidRPr="0060497A" w:rsidRDefault="00863377" w:rsidP="008B3D7D">
            <w:pPr>
              <w:pStyle w:val="TableText"/>
              <w:tabs>
                <w:tab w:val="left" w:pos="432"/>
              </w:tabs>
              <w:spacing w:before="0" w:after="0"/>
              <w:jc w:val="left"/>
              <w:rPr>
                <w:snapToGrid w:val="0"/>
              </w:rPr>
            </w:pPr>
            <w:r w:rsidRPr="0060497A">
              <w:rPr>
                <w:snapToGrid w:val="0"/>
              </w:rPr>
              <w:t>50%: 93%</w:t>
            </w:r>
          </w:p>
        </w:tc>
        <w:tc>
          <w:tcPr>
            <w:tcW w:w="833" w:type="pct"/>
            <w:shd w:val="clear" w:color="auto" w:fill="auto"/>
          </w:tcPr>
          <w:p w14:paraId="42B16CF6" w14:textId="77777777" w:rsidR="00863377" w:rsidRPr="0060497A" w:rsidRDefault="00863377" w:rsidP="008B3D7D">
            <w:pPr>
              <w:pStyle w:val="TableText"/>
              <w:tabs>
                <w:tab w:val="left" w:pos="432"/>
              </w:tabs>
              <w:spacing w:before="0" w:after="0"/>
              <w:jc w:val="left"/>
              <w:rPr>
                <w:snapToGrid w:val="0"/>
              </w:rPr>
            </w:pPr>
            <w:r w:rsidRPr="0060497A">
              <w:rPr>
                <w:snapToGrid w:val="0"/>
              </w:rPr>
              <w:t>Combined: 56%</w:t>
            </w:r>
          </w:p>
          <w:p w14:paraId="2BADF754" w14:textId="77777777" w:rsidR="00863377" w:rsidRPr="0060497A" w:rsidRDefault="00863377" w:rsidP="008B3D7D">
            <w:pPr>
              <w:pStyle w:val="TableText"/>
              <w:tabs>
                <w:tab w:val="left" w:pos="432"/>
              </w:tabs>
              <w:spacing w:before="0" w:after="0"/>
              <w:jc w:val="left"/>
              <w:rPr>
                <w:snapToGrid w:val="0"/>
              </w:rPr>
            </w:pPr>
            <w:r w:rsidRPr="0060497A">
              <w:rPr>
                <w:snapToGrid w:val="0"/>
              </w:rPr>
              <w:t>1%: 90%</w:t>
            </w:r>
          </w:p>
          <w:p w14:paraId="4BF622D0" w14:textId="77777777" w:rsidR="00863377" w:rsidRPr="0060497A" w:rsidRDefault="00863377" w:rsidP="008B3D7D">
            <w:pPr>
              <w:pStyle w:val="TableText"/>
              <w:tabs>
                <w:tab w:val="left" w:pos="430"/>
              </w:tabs>
              <w:spacing w:before="0" w:after="0"/>
              <w:jc w:val="left"/>
              <w:rPr>
                <w:snapToGrid w:val="0"/>
              </w:rPr>
            </w:pPr>
            <w:r w:rsidRPr="0060497A">
              <w:rPr>
                <w:snapToGrid w:val="0"/>
              </w:rPr>
              <w:t>50%: 85%</w:t>
            </w:r>
          </w:p>
        </w:tc>
        <w:tc>
          <w:tcPr>
            <w:tcW w:w="834" w:type="pct"/>
            <w:shd w:val="clear" w:color="auto" w:fill="auto"/>
          </w:tcPr>
          <w:p w14:paraId="3CA26279" w14:textId="77777777" w:rsidR="00863377" w:rsidRPr="0060497A" w:rsidRDefault="00863377" w:rsidP="008B3D7D">
            <w:pPr>
              <w:pStyle w:val="TableText"/>
              <w:tabs>
                <w:tab w:val="left" w:pos="423"/>
              </w:tabs>
              <w:spacing w:before="0" w:after="0"/>
              <w:jc w:val="left"/>
              <w:rPr>
                <w:snapToGrid w:val="0"/>
              </w:rPr>
            </w:pPr>
            <w:r w:rsidRPr="0060497A">
              <w:rPr>
                <w:snapToGrid w:val="0"/>
              </w:rPr>
              <w:t>Combined: 56%</w:t>
            </w:r>
          </w:p>
          <w:p w14:paraId="3CA89ECA" w14:textId="77777777" w:rsidR="00863377" w:rsidRPr="0060497A" w:rsidRDefault="00863377" w:rsidP="008B3D7D">
            <w:pPr>
              <w:pStyle w:val="TableText"/>
              <w:tabs>
                <w:tab w:val="left" w:pos="423"/>
              </w:tabs>
              <w:spacing w:before="0" w:after="0"/>
              <w:jc w:val="left"/>
              <w:rPr>
                <w:snapToGrid w:val="0"/>
              </w:rPr>
            </w:pPr>
            <w:r w:rsidRPr="0060497A">
              <w:rPr>
                <w:snapToGrid w:val="0"/>
              </w:rPr>
              <w:t>1%: 83%</w:t>
            </w:r>
          </w:p>
          <w:p w14:paraId="2BE07543" w14:textId="77777777" w:rsidR="00863377" w:rsidRPr="0060497A" w:rsidRDefault="00863377" w:rsidP="008B3D7D">
            <w:pPr>
              <w:pStyle w:val="TableText"/>
              <w:tabs>
                <w:tab w:val="left" w:pos="423"/>
              </w:tabs>
              <w:spacing w:before="0" w:after="0"/>
              <w:jc w:val="left"/>
              <w:rPr>
                <w:snapToGrid w:val="0"/>
              </w:rPr>
            </w:pPr>
            <w:r w:rsidRPr="0060497A">
              <w:rPr>
                <w:snapToGrid w:val="0"/>
              </w:rPr>
              <w:t>50%: 91%</w:t>
            </w:r>
          </w:p>
        </w:tc>
        <w:tc>
          <w:tcPr>
            <w:tcW w:w="832" w:type="pct"/>
            <w:shd w:val="clear" w:color="auto" w:fill="auto"/>
          </w:tcPr>
          <w:p w14:paraId="5CFF68ED" w14:textId="77777777" w:rsidR="00863377" w:rsidRPr="0060497A" w:rsidRDefault="00863377" w:rsidP="008B3D7D">
            <w:pPr>
              <w:pStyle w:val="TableText"/>
              <w:spacing w:before="0" w:after="0" w:line="256" w:lineRule="auto"/>
              <w:jc w:val="left"/>
              <w:rPr>
                <w:lang w:eastAsia="en-AU"/>
              </w:rPr>
            </w:pPr>
          </w:p>
        </w:tc>
      </w:tr>
      <w:tr w:rsidR="00863377" w:rsidRPr="0060497A" w14:paraId="6007CFA3" w14:textId="77777777" w:rsidTr="00540A74">
        <w:tc>
          <w:tcPr>
            <w:tcW w:w="5000" w:type="pct"/>
            <w:gridSpan w:val="6"/>
            <w:tcBorders>
              <w:top w:val="single" w:sz="4" w:space="0" w:color="000000"/>
              <w:left w:val="single" w:sz="4" w:space="0" w:color="000000"/>
              <w:bottom w:val="single" w:sz="4" w:space="0" w:color="000000"/>
              <w:right w:val="single" w:sz="4" w:space="0" w:color="000000"/>
            </w:tcBorders>
            <w:hideMark/>
          </w:tcPr>
          <w:p w14:paraId="5520A286" w14:textId="77777777" w:rsidR="00863377" w:rsidRPr="0060497A" w:rsidRDefault="00863377" w:rsidP="008B3D7D">
            <w:pPr>
              <w:pStyle w:val="TableText"/>
              <w:spacing w:before="0" w:after="0" w:line="256" w:lineRule="auto"/>
              <w:jc w:val="left"/>
              <w:rPr>
                <w:b/>
                <w:lang w:eastAsia="en-AU"/>
              </w:rPr>
            </w:pPr>
            <w:r w:rsidRPr="0060497A">
              <w:rPr>
                <w:b/>
                <w:lang w:eastAsia="en-AU"/>
              </w:rPr>
              <w:t>Positive percent agreement</w:t>
            </w:r>
          </w:p>
        </w:tc>
      </w:tr>
      <w:tr w:rsidR="00863377" w:rsidRPr="008F1A10" w14:paraId="0BC5D704" w14:textId="77777777" w:rsidTr="00540A74">
        <w:tc>
          <w:tcPr>
            <w:tcW w:w="833" w:type="pct"/>
            <w:shd w:val="clear" w:color="auto" w:fill="auto"/>
          </w:tcPr>
          <w:p w14:paraId="26B57BB4" w14:textId="77777777" w:rsidR="00863377" w:rsidRPr="008F1A10" w:rsidRDefault="00863377" w:rsidP="008B3D7D">
            <w:pPr>
              <w:pStyle w:val="TableText"/>
              <w:spacing w:before="0" w:after="0" w:line="256" w:lineRule="auto"/>
              <w:jc w:val="left"/>
              <w:rPr>
                <w:lang w:eastAsia="en-AU"/>
              </w:rPr>
            </w:pPr>
            <w:proofErr w:type="spellStart"/>
            <w:r w:rsidRPr="008F1A10">
              <w:rPr>
                <w:snapToGrid w:val="0"/>
              </w:rPr>
              <w:t>Ratcliffe</w:t>
            </w:r>
            <w:proofErr w:type="spellEnd"/>
            <w:r w:rsidRPr="008F1A10">
              <w:rPr>
                <w:snapToGrid w:val="0"/>
              </w:rPr>
              <w:t xml:space="preserve"> et al. (2016)</w:t>
            </w:r>
          </w:p>
        </w:tc>
        <w:tc>
          <w:tcPr>
            <w:tcW w:w="834" w:type="pct"/>
            <w:shd w:val="clear" w:color="auto" w:fill="auto"/>
          </w:tcPr>
          <w:p w14:paraId="1B5779EA" w14:textId="77777777" w:rsidR="00863377" w:rsidRPr="008F1A10" w:rsidRDefault="00863377" w:rsidP="008B3D7D">
            <w:pPr>
              <w:pStyle w:val="TableText"/>
              <w:spacing w:before="0" w:after="0" w:line="256" w:lineRule="auto"/>
              <w:jc w:val="left"/>
              <w:rPr>
                <w:lang w:eastAsia="en-AU"/>
              </w:rPr>
            </w:pPr>
          </w:p>
        </w:tc>
        <w:tc>
          <w:tcPr>
            <w:tcW w:w="834" w:type="pct"/>
            <w:shd w:val="clear" w:color="auto" w:fill="auto"/>
          </w:tcPr>
          <w:p w14:paraId="05ECD177" w14:textId="77777777" w:rsidR="00863377" w:rsidRPr="008F1A10" w:rsidRDefault="00863377" w:rsidP="008B3D7D">
            <w:pPr>
              <w:pStyle w:val="TableText"/>
              <w:spacing w:before="0" w:after="0"/>
              <w:ind w:right="-57"/>
              <w:jc w:val="left"/>
              <w:rPr>
                <w:snapToGrid w:val="0"/>
              </w:rPr>
            </w:pPr>
          </w:p>
        </w:tc>
        <w:tc>
          <w:tcPr>
            <w:tcW w:w="833" w:type="pct"/>
            <w:shd w:val="clear" w:color="auto" w:fill="auto"/>
          </w:tcPr>
          <w:p w14:paraId="692C7255" w14:textId="77777777" w:rsidR="00863377" w:rsidRPr="008F1A10" w:rsidRDefault="00863377" w:rsidP="008B3D7D">
            <w:pPr>
              <w:pStyle w:val="TableText"/>
              <w:spacing w:before="0" w:after="0" w:line="256" w:lineRule="auto"/>
              <w:jc w:val="left"/>
              <w:rPr>
                <w:lang w:eastAsia="en-AU"/>
              </w:rPr>
            </w:pPr>
            <w:r w:rsidRPr="008F1A10">
              <w:rPr>
                <w:snapToGrid w:val="0"/>
              </w:rPr>
              <w:t>50%: 84% (lower 95%CI 77)</w:t>
            </w:r>
          </w:p>
        </w:tc>
        <w:tc>
          <w:tcPr>
            <w:tcW w:w="834" w:type="pct"/>
            <w:tcBorders>
              <w:top w:val="single" w:sz="4" w:space="0" w:color="000000"/>
              <w:left w:val="single" w:sz="4" w:space="0" w:color="000000"/>
              <w:bottom w:val="single" w:sz="4" w:space="0" w:color="000000"/>
              <w:right w:val="single" w:sz="4" w:space="0" w:color="000000"/>
            </w:tcBorders>
          </w:tcPr>
          <w:p w14:paraId="692B183E" w14:textId="77777777" w:rsidR="00863377" w:rsidRPr="008F1A10" w:rsidRDefault="00863377" w:rsidP="008B3D7D">
            <w:pPr>
              <w:pStyle w:val="TableText"/>
              <w:spacing w:before="0" w:after="0" w:line="256" w:lineRule="auto"/>
              <w:jc w:val="left"/>
              <w:rPr>
                <w:lang w:eastAsia="en-AU"/>
              </w:rPr>
            </w:pPr>
          </w:p>
        </w:tc>
        <w:tc>
          <w:tcPr>
            <w:tcW w:w="832" w:type="pct"/>
            <w:tcBorders>
              <w:top w:val="single" w:sz="4" w:space="0" w:color="000000"/>
              <w:left w:val="single" w:sz="4" w:space="0" w:color="000000"/>
              <w:bottom w:val="single" w:sz="4" w:space="0" w:color="000000"/>
              <w:right w:val="single" w:sz="4" w:space="0" w:color="000000"/>
            </w:tcBorders>
          </w:tcPr>
          <w:p w14:paraId="354DFBE9" w14:textId="77777777" w:rsidR="00863377" w:rsidRPr="008F1A10" w:rsidRDefault="00863377" w:rsidP="008B3D7D">
            <w:pPr>
              <w:pStyle w:val="TableText"/>
              <w:spacing w:before="0" w:after="0" w:line="256" w:lineRule="auto"/>
              <w:jc w:val="left"/>
              <w:rPr>
                <w:lang w:eastAsia="en-AU"/>
              </w:rPr>
            </w:pPr>
          </w:p>
        </w:tc>
      </w:tr>
      <w:tr w:rsidR="00863377" w:rsidRPr="0060497A" w14:paraId="1C5ABE5D" w14:textId="77777777" w:rsidTr="00540A74">
        <w:tc>
          <w:tcPr>
            <w:tcW w:w="833" w:type="pct"/>
            <w:tcBorders>
              <w:top w:val="single" w:sz="4" w:space="0" w:color="000000"/>
              <w:left w:val="single" w:sz="4" w:space="0" w:color="000000"/>
              <w:bottom w:val="single" w:sz="4" w:space="0" w:color="000000"/>
              <w:right w:val="single" w:sz="4" w:space="0" w:color="000000"/>
            </w:tcBorders>
          </w:tcPr>
          <w:p w14:paraId="3FD65EDD" w14:textId="77777777" w:rsidR="00863377" w:rsidRPr="0060497A" w:rsidRDefault="00863377" w:rsidP="008B3D7D">
            <w:pPr>
              <w:pStyle w:val="TableText"/>
              <w:spacing w:before="0" w:after="0" w:line="256" w:lineRule="auto"/>
              <w:jc w:val="left"/>
              <w:rPr>
                <w:lang w:eastAsia="en-AU"/>
              </w:rPr>
            </w:pPr>
            <w:proofErr w:type="spellStart"/>
            <w:r w:rsidRPr="0060497A">
              <w:rPr>
                <w:snapToGrid w:val="0"/>
              </w:rPr>
              <w:t>Scheel</w:t>
            </w:r>
            <w:proofErr w:type="spellEnd"/>
            <w:r w:rsidRPr="0060497A">
              <w:rPr>
                <w:snapToGrid w:val="0"/>
              </w:rPr>
              <w:t xml:space="preserve"> et al. (2016)</w:t>
            </w:r>
          </w:p>
        </w:tc>
        <w:tc>
          <w:tcPr>
            <w:tcW w:w="834" w:type="pct"/>
            <w:tcBorders>
              <w:top w:val="single" w:sz="4" w:space="0" w:color="000000"/>
              <w:left w:val="single" w:sz="4" w:space="0" w:color="000000"/>
              <w:bottom w:val="single" w:sz="4" w:space="0" w:color="000000"/>
              <w:right w:val="single" w:sz="4" w:space="0" w:color="000000"/>
            </w:tcBorders>
          </w:tcPr>
          <w:p w14:paraId="1E0216C9" w14:textId="77777777" w:rsidR="00863377" w:rsidRPr="0060497A" w:rsidRDefault="00863377" w:rsidP="008B3D7D">
            <w:pPr>
              <w:pStyle w:val="TableText"/>
              <w:spacing w:before="0" w:after="0" w:line="256" w:lineRule="auto"/>
              <w:jc w:val="left"/>
              <w:rPr>
                <w:lang w:eastAsia="en-AU"/>
              </w:rPr>
            </w:pPr>
          </w:p>
        </w:tc>
        <w:tc>
          <w:tcPr>
            <w:tcW w:w="834" w:type="pct"/>
            <w:shd w:val="clear" w:color="auto" w:fill="auto"/>
          </w:tcPr>
          <w:p w14:paraId="5130CFF8" w14:textId="77777777" w:rsidR="00863377" w:rsidRPr="0060497A" w:rsidRDefault="00863377" w:rsidP="008B3D7D">
            <w:pPr>
              <w:pStyle w:val="TableText"/>
              <w:tabs>
                <w:tab w:val="left" w:pos="430"/>
              </w:tabs>
              <w:spacing w:before="0" w:after="0"/>
              <w:jc w:val="left"/>
              <w:rPr>
                <w:snapToGrid w:val="0"/>
              </w:rPr>
            </w:pPr>
            <w:r w:rsidRPr="0060497A">
              <w:rPr>
                <w:snapToGrid w:val="0"/>
              </w:rPr>
              <w:t>1%: 93%</w:t>
            </w:r>
          </w:p>
          <w:p w14:paraId="58A74AB6" w14:textId="77777777" w:rsidR="00863377" w:rsidRPr="0060497A" w:rsidRDefault="00863377" w:rsidP="008B3D7D">
            <w:pPr>
              <w:pStyle w:val="TableText"/>
              <w:tabs>
                <w:tab w:val="left" w:pos="430"/>
              </w:tabs>
              <w:spacing w:before="0" w:after="0"/>
              <w:jc w:val="left"/>
              <w:rPr>
                <w:lang w:eastAsia="en-AU"/>
              </w:rPr>
            </w:pPr>
            <w:r w:rsidRPr="0060497A">
              <w:rPr>
                <w:snapToGrid w:val="0"/>
              </w:rPr>
              <w:t xml:space="preserve">50%: 93% </w:t>
            </w:r>
          </w:p>
        </w:tc>
        <w:tc>
          <w:tcPr>
            <w:tcW w:w="833" w:type="pct"/>
            <w:shd w:val="clear" w:color="auto" w:fill="auto"/>
          </w:tcPr>
          <w:p w14:paraId="24EA1E5B" w14:textId="77777777" w:rsidR="00863377" w:rsidRPr="0060497A" w:rsidRDefault="00863377" w:rsidP="008B3D7D">
            <w:pPr>
              <w:pStyle w:val="TableText"/>
              <w:tabs>
                <w:tab w:val="left" w:pos="432"/>
              </w:tabs>
              <w:spacing w:before="0" w:after="0"/>
              <w:jc w:val="left"/>
              <w:rPr>
                <w:snapToGrid w:val="0"/>
              </w:rPr>
            </w:pPr>
            <w:r w:rsidRPr="0060497A">
              <w:rPr>
                <w:snapToGrid w:val="0"/>
              </w:rPr>
              <w:t>1%: 88%</w:t>
            </w:r>
          </w:p>
          <w:p w14:paraId="449B54A9" w14:textId="77777777" w:rsidR="00863377" w:rsidRPr="0060497A" w:rsidRDefault="00863377" w:rsidP="008B3D7D">
            <w:pPr>
              <w:pStyle w:val="TableText"/>
              <w:tabs>
                <w:tab w:val="left" w:pos="432"/>
              </w:tabs>
              <w:spacing w:before="0" w:after="0"/>
              <w:jc w:val="left"/>
              <w:rPr>
                <w:lang w:eastAsia="en-AU"/>
              </w:rPr>
            </w:pPr>
            <w:r w:rsidRPr="0060497A">
              <w:rPr>
                <w:snapToGrid w:val="0"/>
              </w:rPr>
              <w:t>50%: 64%</w:t>
            </w:r>
          </w:p>
        </w:tc>
        <w:tc>
          <w:tcPr>
            <w:tcW w:w="834" w:type="pct"/>
            <w:shd w:val="clear" w:color="auto" w:fill="auto"/>
          </w:tcPr>
          <w:p w14:paraId="160BBBCD" w14:textId="77777777" w:rsidR="00863377" w:rsidRPr="0060497A" w:rsidRDefault="00863377" w:rsidP="008B3D7D">
            <w:pPr>
              <w:pStyle w:val="TableText"/>
              <w:tabs>
                <w:tab w:val="left" w:pos="423"/>
              </w:tabs>
              <w:spacing w:before="0" w:after="0"/>
              <w:jc w:val="left"/>
              <w:rPr>
                <w:snapToGrid w:val="0"/>
              </w:rPr>
            </w:pPr>
            <w:r w:rsidRPr="0060497A">
              <w:rPr>
                <w:snapToGrid w:val="0"/>
              </w:rPr>
              <w:t>1%: 74%</w:t>
            </w:r>
          </w:p>
          <w:p w14:paraId="5B306A3C" w14:textId="77777777" w:rsidR="00863377" w:rsidRPr="0060497A" w:rsidRDefault="00863377" w:rsidP="008B3D7D">
            <w:pPr>
              <w:pStyle w:val="TableText"/>
              <w:tabs>
                <w:tab w:val="left" w:pos="423"/>
              </w:tabs>
              <w:spacing w:before="0" w:after="0"/>
              <w:jc w:val="left"/>
              <w:rPr>
                <w:lang w:eastAsia="en-AU"/>
              </w:rPr>
            </w:pPr>
            <w:r w:rsidRPr="0060497A">
              <w:rPr>
                <w:snapToGrid w:val="0"/>
              </w:rPr>
              <w:t>50%: 69%</w:t>
            </w:r>
          </w:p>
        </w:tc>
        <w:tc>
          <w:tcPr>
            <w:tcW w:w="832" w:type="pct"/>
            <w:tcBorders>
              <w:top w:val="single" w:sz="4" w:space="0" w:color="000000"/>
              <w:left w:val="single" w:sz="4" w:space="0" w:color="000000"/>
              <w:bottom w:val="single" w:sz="4" w:space="0" w:color="000000"/>
              <w:right w:val="single" w:sz="4" w:space="0" w:color="000000"/>
            </w:tcBorders>
          </w:tcPr>
          <w:p w14:paraId="6B685390" w14:textId="77777777" w:rsidR="00863377" w:rsidRPr="0060497A" w:rsidRDefault="00863377" w:rsidP="008B3D7D">
            <w:pPr>
              <w:pStyle w:val="TableText"/>
              <w:spacing w:before="0" w:after="0" w:line="256" w:lineRule="auto"/>
              <w:jc w:val="left"/>
              <w:rPr>
                <w:lang w:eastAsia="en-AU"/>
              </w:rPr>
            </w:pPr>
          </w:p>
        </w:tc>
      </w:tr>
      <w:tr w:rsidR="00863377" w:rsidRPr="0060497A" w14:paraId="6F74D33A" w14:textId="77777777" w:rsidTr="00540A74">
        <w:tc>
          <w:tcPr>
            <w:tcW w:w="5000" w:type="pct"/>
            <w:gridSpan w:val="6"/>
            <w:tcBorders>
              <w:top w:val="single" w:sz="4" w:space="0" w:color="000000"/>
              <w:left w:val="single" w:sz="4" w:space="0" w:color="000000"/>
              <w:bottom w:val="single" w:sz="4" w:space="0" w:color="000000"/>
              <w:right w:val="single" w:sz="4" w:space="0" w:color="000000"/>
            </w:tcBorders>
            <w:hideMark/>
          </w:tcPr>
          <w:p w14:paraId="6045C3C9" w14:textId="77777777" w:rsidR="00863377" w:rsidRPr="0060497A" w:rsidRDefault="00863377" w:rsidP="008B3D7D">
            <w:pPr>
              <w:pStyle w:val="TableText"/>
              <w:spacing w:before="0" w:after="0" w:line="256" w:lineRule="auto"/>
              <w:jc w:val="left"/>
              <w:rPr>
                <w:b/>
                <w:lang w:eastAsia="en-AU"/>
              </w:rPr>
            </w:pPr>
            <w:r w:rsidRPr="0060497A">
              <w:rPr>
                <w:b/>
                <w:lang w:eastAsia="en-AU"/>
              </w:rPr>
              <w:t>Negative percent agreement</w:t>
            </w:r>
          </w:p>
        </w:tc>
      </w:tr>
      <w:tr w:rsidR="00863377" w:rsidRPr="008F1A10" w14:paraId="11FF720D" w14:textId="77777777" w:rsidTr="00540A74">
        <w:tc>
          <w:tcPr>
            <w:tcW w:w="833" w:type="pct"/>
            <w:shd w:val="clear" w:color="auto" w:fill="auto"/>
          </w:tcPr>
          <w:p w14:paraId="6FD856C5" w14:textId="77777777" w:rsidR="00863377" w:rsidRPr="008F1A10" w:rsidRDefault="00863377" w:rsidP="008B3D7D">
            <w:pPr>
              <w:pStyle w:val="TableText"/>
              <w:spacing w:before="0" w:after="0" w:line="256" w:lineRule="auto"/>
              <w:jc w:val="left"/>
              <w:rPr>
                <w:lang w:eastAsia="en-AU"/>
              </w:rPr>
            </w:pPr>
            <w:proofErr w:type="spellStart"/>
            <w:r w:rsidRPr="008F1A10">
              <w:rPr>
                <w:snapToGrid w:val="0"/>
              </w:rPr>
              <w:t>Ratcliffe</w:t>
            </w:r>
            <w:proofErr w:type="spellEnd"/>
            <w:r w:rsidRPr="008F1A10">
              <w:rPr>
                <w:snapToGrid w:val="0"/>
              </w:rPr>
              <w:t xml:space="preserve"> et al. (2016)</w:t>
            </w:r>
          </w:p>
        </w:tc>
        <w:tc>
          <w:tcPr>
            <w:tcW w:w="834" w:type="pct"/>
            <w:shd w:val="clear" w:color="auto" w:fill="auto"/>
          </w:tcPr>
          <w:p w14:paraId="5985C9C3" w14:textId="77777777" w:rsidR="00863377" w:rsidRPr="008F1A10" w:rsidRDefault="00863377" w:rsidP="008B3D7D">
            <w:pPr>
              <w:pStyle w:val="TableText"/>
              <w:spacing w:before="0" w:after="0" w:line="256" w:lineRule="auto"/>
              <w:jc w:val="left"/>
              <w:rPr>
                <w:lang w:eastAsia="en-AU"/>
              </w:rPr>
            </w:pPr>
          </w:p>
        </w:tc>
        <w:tc>
          <w:tcPr>
            <w:tcW w:w="834" w:type="pct"/>
            <w:shd w:val="clear" w:color="auto" w:fill="auto"/>
          </w:tcPr>
          <w:p w14:paraId="7C9A23F7" w14:textId="77777777" w:rsidR="00863377" w:rsidRPr="008F1A10" w:rsidRDefault="00863377" w:rsidP="008B3D7D">
            <w:pPr>
              <w:pStyle w:val="TableText"/>
              <w:spacing w:before="0" w:after="0" w:line="256" w:lineRule="auto"/>
              <w:jc w:val="left"/>
              <w:rPr>
                <w:lang w:eastAsia="en-AU"/>
              </w:rPr>
            </w:pPr>
          </w:p>
        </w:tc>
        <w:tc>
          <w:tcPr>
            <w:tcW w:w="833" w:type="pct"/>
            <w:shd w:val="clear" w:color="auto" w:fill="auto"/>
          </w:tcPr>
          <w:p w14:paraId="4062AAAC" w14:textId="77777777" w:rsidR="00863377" w:rsidRPr="008F1A10" w:rsidRDefault="00863377" w:rsidP="008B3D7D">
            <w:pPr>
              <w:pStyle w:val="TableText"/>
              <w:spacing w:before="0" w:after="0" w:line="256" w:lineRule="auto"/>
              <w:jc w:val="left"/>
              <w:rPr>
                <w:lang w:eastAsia="en-AU"/>
              </w:rPr>
            </w:pPr>
            <w:r w:rsidRPr="008F1A10">
              <w:rPr>
                <w:snapToGrid w:val="0"/>
              </w:rPr>
              <w:t>50%: 97% (lower 95%CI 95)</w:t>
            </w:r>
          </w:p>
        </w:tc>
        <w:tc>
          <w:tcPr>
            <w:tcW w:w="834" w:type="pct"/>
            <w:tcBorders>
              <w:top w:val="single" w:sz="4" w:space="0" w:color="000000"/>
              <w:left w:val="single" w:sz="4" w:space="0" w:color="000000"/>
              <w:bottom w:val="single" w:sz="4" w:space="0" w:color="000000"/>
              <w:right w:val="single" w:sz="4" w:space="0" w:color="000000"/>
            </w:tcBorders>
          </w:tcPr>
          <w:p w14:paraId="243A70B6" w14:textId="77777777" w:rsidR="00863377" w:rsidRPr="008F1A10" w:rsidRDefault="00863377" w:rsidP="008B3D7D">
            <w:pPr>
              <w:pStyle w:val="TableText"/>
              <w:spacing w:before="0" w:after="0" w:line="256" w:lineRule="auto"/>
              <w:jc w:val="left"/>
              <w:rPr>
                <w:lang w:eastAsia="en-AU"/>
              </w:rPr>
            </w:pPr>
          </w:p>
        </w:tc>
        <w:tc>
          <w:tcPr>
            <w:tcW w:w="832" w:type="pct"/>
            <w:tcBorders>
              <w:top w:val="single" w:sz="4" w:space="0" w:color="000000"/>
              <w:left w:val="single" w:sz="4" w:space="0" w:color="000000"/>
              <w:bottom w:val="single" w:sz="4" w:space="0" w:color="000000"/>
              <w:right w:val="single" w:sz="4" w:space="0" w:color="000000"/>
            </w:tcBorders>
          </w:tcPr>
          <w:p w14:paraId="7102C2FE" w14:textId="77777777" w:rsidR="00863377" w:rsidRPr="008F1A10" w:rsidRDefault="00863377" w:rsidP="008B3D7D">
            <w:pPr>
              <w:pStyle w:val="TableText"/>
              <w:spacing w:before="0" w:after="0" w:line="256" w:lineRule="auto"/>
              <w:jc w:val="left"/>
              <w:rPr>
                <w:lang w:eastAsia="en-AU"/>
              </w:rPr>
            </w:pPr>
          </w:p>
        </w:tc>
      </w:tr>
      <w:tr w:rsidR="00863377" w:rsidRPr="0060497A" w14:paraId="75CD5959" w14:textId="77777777" w:rsidTr="00540A74">
        <w:tc>
          <w:tcPr>
            <w:tcW w:w="833" w:type="pct"/>
            <w:tcBorders>
              <w:top w:val="single" w:sz="4" w:space="0" w:color="000000"/>
              <w:left w:val="single" w:sz="4" w:space="0" w:color="000000"/>
              <w:bottom w:val="single" w:sz="4" w:space="0" w:color="000000"/>
              <w:right w:val="single" w:sz="4" w:space="0" w:color="000000"/>
            </w:tcBorders>
          </w:tcPr>
          <w:p w14:paraId="0FC7263B" w14:textId="77777777" w:rsidR="00863377" w:rsidRPr="0060497A" w:rsidRDefault="00863377" w:rsidP="008B3D7D">
            <w:pPr>
              <w:pStyle w:val="TableText"/>
              <w:spacing w:before="0" w:after="0" w:line="256" w:lineRule="auto"/>
              <w:jc w:val="left"/>
              <w:rPr>
                <w:lang w:eastAsia="en-AU"/>
              </w:rPr>
            </w:pPr>
            <w:proofErr w:type="spellStart"/>
            <w:r w:rsidRPr="0060497A">
              <w:rPr>
                <w:snapToGrid w:val="0"/>
              </w:rPr>
              <w:t>Scheel</w:t>
            </w:r>
            <w:proofErr w:type="spellEnd"/>
            <w:r w:rsidRPr="0060497A">
              <w:rPr>
                <w:snapToGrid w:val="0"/>
              </w:rPr>
              <w:t xml:space="preserve"> et al. (2016)</w:t>
            </w:r>
          </w:p>
        </w:tc>
        <w:tc>
          <w:tcPr>
            <w:tcW w:w="834" w:type="pct"/>
            <w:tcBorders>
              <w:top w:val="single" w:sz="4" w:space="0" w:color="000000"/>
              <w:left w:val="single" w:sz="4" w:space="0" w:color="000000"/>
              <w:bottom w:val="single" w:sz="4" w:space="0" w:color="000000"/>
              <w:right w:val="single" w:sz="4" w:space="0" w:color="000000"/>
            </w:tcBorders>
          </w:tcPr>
          <w:p w14:paraId="6612602D" w14:textId="77777777" w:rsidR="00863377" w:rsidRPr="0060497A" w:rsidRDefault="00863377" w:rsidP="008B3D7D">
            <w:pPr>
              <w:pStyle w:val="TableText"/>
              <w:spacing w:before="0" w:after="0" w:line="256" w:lineRule="auto"/>
              <w:jc w:val="left"/>
              <w:rPr>
                <w:lang w:eastAsia="en-AU"/>
              </w:rPr>
            </w:pPr>
          </w:p>
        </w:tc>
        <w:tc>
          <w:tcPr>
            <w:tcW w:w="834" w:type="pct"/>
            <w:shd w:val="clear" w:color="auto" w:fill="auto"/>
          </w:tcPr>
          <w:p w14:paraId="6A0087C5" w14:textId="77777777" w:rsidR="00863377" w:rsidRPr="0060497A" w:rsidRDefault="00863377" w:rsidP="008B3D7D">
            <w:pPr>
              <w:pStyle w:val="TableText"/>
              <w:tabs>
                <w:tab w:val="left" w:pos="430"/>
              </w:tabs>
              <w:spacing w:before="0" w:after="0"/>
              <w:jc w:val="left"/>
              <w:rPr>
                <w:snapToGrid w:val="0"/>
              </w:rPr>
            </w:pPr>
            <w:r w:rsidRPr="0060497A">
              <w:rPr>
                <w:snapToGrid w:val="0"/>
              </w:rPr>
              <w:t>1%: 81%</w:t>
            </w:r>
          </w:p>
          <w:p w14:paraId="31658036" w14:textId="77777777" w:rsidR="00863377" w:rsidRPr="0060497A" w:rsidRDefault="00863377" w:rsidP="008B3D7D">
            <w:pPr>
              <w:pStyle w:val="TableText"/>
              <w:spacing w:before="0" w:after="0" w:line="256" w:lineRule="auto"/>
              <w:jc w:val="left"/>
              <w:rPr>
                <w:lang w:eastAsia="en-AU"/>
              </w:rPr>
            </w:pPr>
            <w:r w:rsidRPr="0060497A">
              <w:rPr>
                <w:snapToGrid w:val="0"/>
              </w:rPr>
              <w:t xml:space="preserve">50%: 91% </w:t>
            </w:r>
          </w:p>
        </w:tc>
        <w:tc>
          <w:tcPr>
            <w:tcW w:w="833" w:type="pct"/>
            <w:shd w:val="clear" w:color="auto" w:fill="auto"/>
          </w:tcPr>
          <w:p w14:paraId="1DF463D2" w14:textId="77777777" w:rsidR="00863377" w:rsidRPr="0060497A" w:rsidRDefault="00863377" w:rsidP="008B3D7D">
            <w:pPr>
              <w:pStyle w:val="TableText"/>
              <w:tabs>
                <w:tab w:val="left" w:pos="432"/>
              </w:tabs>
              <w:spacing w:before="0" w:after="0"/>
              <w:jc w:val="left"/>
              <w:rPr>
                <w:snapToGrid w:val="0"/>
              </w:rPr>
            </w:pPr>
            <w:r w:rsidRPr="0060497A">
              <w:rPr>
                <w:snapToGrid w:val="0"/>
              </w:rPr>
              <w:t xml:space="preserve">1%: 88% </w:t>
            </w:r>
          </w:p>
          <w:p w14:paraId="43A63EB7" w14:textId="77777777" w:rsidR="00863377" w:rsidRPr="0060497A" w:rsidRDefault="00863377" w:rsidP="008B3D7D">
            <w:pPr>
              <w:pStyle w:val="TableText"/>
              <w:tabs>
                <w:tab w:val="left" w:pos="432"/>
              </w:tabs>
              <w:spacing w:before="0" w:after="0"/>
              <w:jc w:val="left"/>
              <w:rPr>
                <w:lang w:eastAsia="en-AU"/>
              </w:rPr>
            </w:pPr>
            <w:r w:rsidRPr="0060497A">
              <w:rPr>
                <w:snapToGrid w:val="0"/>
              </w:rPr>
              <w:t>50%: 64%</w:t>
            </w:r>
          </w:p>
        </w:tc>
        <w:tc>
          <w:tcPr>
            <w:tcW w:w="834" w:type="pct"/>
            <w:shd w:val="clear" w:color="auto" w:fill="auto"/>
          </w:tcPr>
          <w:p w14:paraId="5BC0BAA3" w14:textId="77777777" w:rsidR="00863377" w:rsidRPr="0060497A" w:rsidRDefault="00863377" w:rsidP="008B3D7D">
            <w:pPr>
              <w:pStyle w:val="TableText"/>
              <w:tabs>
                <w:tab w:val="left" w:pos="423"/>
              </w:tabs>
              <w:spacing w:before="0" w:after="0"/>
              <w:jc w:val="left"/>
              <w:rPr>
                <w:snapToGrid w:val="0"/>
              </w:rPr>
            </w:pPr>
            <w:r w:rsidRPr="0060497A">
              <w:rPr>
                <w:snapToGrid w:val="0"/>
              </w:rPr>
              <w:t xml:space="preserve">1%: 74% </w:t>
            </w:r>
          </w:p>
          <w:p w14:paraId="0BC4D5FC" w14:textId="77777777" w:rsidR="00863377" w:rsidRPr="0060497A" w:rsidRDefault="00863377" w:rsidP="008B3D7D">
            <w:pPr>
              <w:pStyle w:val="TableText"/>
              <w:tabs>
                <w:tab w:val="left" w:pos="423"/>
              </w:tabs>
              <w:spacing w:before="0" w:after="0"/>
              <w:jc w:val="left"/>
              <w:rPr>
                <w:lang w:eastAsia="en-AU"/>
              </w:rPr>
            </w:pPr>
            <w:r w:rsidRPr="0060497A">
              <w:rPr>
                <w:snapToGrid w:val="0"/>
              </w:rPr>
              <w:t>50%: 69%</w:t>
            </w:r>
          </w:p>
        </w:tc>
        <w:tc>
          <w:tcPr>
            <w:tcW w:w="832" w:type="pct"/>
            <w:tcBorders>
              <w:top w:val="single" w:sz="4" w:space="0" w:color="000000"/>
              <w:left w:val="single" w:sz="4" w:space="0" w:color="000000"/>
              <w:bottom w:val="single" w:sz="4" w:space="0" w:color="000000"/>
              <w:right w:val="single" w:sz="4" w:space="0" w:color="000000"/>
            </w:tcBorders>
          </w:tcPr>
          <w:p w14:paraId="1951E510" w14:textId="77777777" w:rsidR="00863377" w:rsidRPr="0060497A" w:rsidRDefault="00863377" w:rsidP="008B3D7D">
            <w:pPr>
              <w:pStyle w:val="TableText"/>
              <w:spacing w:before="0" w:after="0" w:line="256" w:lineRule="auto"/>
              <w:jc w:val="left"/>
              <w:rPr>
                <w:lang w:eastAsia="en-AU"/>
              </w:rPr>
            </w:pPr>
          </w:p>
        </w:tc>
      </w:tr>
    </w:tbl>
    <w:p w14:paraId="61E9908F" w14:textId="77777777" w:rsidR="00863377" w:rsidRDefault="00863377" w:rsidP="008B3D7D">
      <w:pPr>
        <w:pStyle w:val="MSACESParagraph"/>
        <w:spacing w:before="240"/>
      </w:pPr>
      <w:r>
        <w:lastRenderedPageBreak/>
        <w:t xml:space="preserve">The concordance between the Dako 22C3, Dako 28-8 and Ventana SP263 at a 50% TPS threshold was high with the overall percent agreement (OPA) being 94–97% for all comparisons in the study by </w:t>
      </w:r>
      <w:proofErr w:type="spellStart"/>
      <w:r>
        <w:t>Ratcliffe</w:t>
      </w:r>
      <w:proofErr w:type="spellEnd"/>
      <w:r>
        <w:t xml:space="preserve"> et al. (2017) and 85–93% in the study by </w:t>
      </w:r>
      <w:proofErr w:type="spellStart"/>
      <w:r>
        <w:t>Scheel</w:t>
      </w:r>
      <w:proofErr w:type="spellEnd"/>
      <w:r>
        <w:t xml:space="preserve"> et al. (2016). The OPA between Ventana SP142 and other three assays was slightly lower and ranged from 81% to 91% in the study by </w:t>
      </w:r>
      <w:proofErr w:type="spellStart"/>
      <w:r>
        <w:t>Scheel</w:t>
      </w:r>
      <w:proofErr w:type="spellEnd"/>
      <w:r>
        <w:t xml:space="preserve"> et al. (2016).</w:t>
      </w:r>
    </w:p>
    <w:p w14:paraId="585BA713" w14:textId="77777777" w:rsidR="00863377" w:rsidRDefault="00863377" w:rsidP="00863377">
      <w:pPr>
        <w:pStyle w:val="MSACESParagraph"/>
      </w:pPr>
      <w:r>
        <w:t xml:space="preserve">In the study by Adam et al. (2017), the concordance between centres using the commercial tests and LDTs using the same antibodies for 22C3, 28-8 and SP263 was good to very good (weighted kappa 0.73–0.81). The overall concordance between the Ventana SP263 assay and LDTs for E1L3N and SP142 antibodies was also good (weighted kappa 0.78 and 0.64, respectively). However, there was greater variability between centres with most results on the Dako and Ventana platforms being less concordant than using the Leica platform, indicating the need for caution if using the </w:t>
      </w:r>
      <w:r w:rsidRPr="00E366F4">
        <w:t xml:space="preserve">E1L3N and SP142 </w:t>
      </w:r>
      <w:r>
        <w:t>antibodies for PD-L1 testing.</w:t>
      </w:r>
    </w:p>
    <w:p w14:paraId="4F2557AC" w14:textId="77777777" w:rsidR="00863377" w:rsidRPr="00BE5F04" w:rsidRDefault="00863377" w:rsidP="00863377">
      <w:pPr>
        <w:pStyle w:val="MSACESParagraph"/>
      </w:pPr>
      <w:r w:rsidRPr="00BE5F04">
        <w:t>Overall, the critique considered that the evidence provided for concordance for PD-L1 testing using both commercial assays and LDTs, especially if using the antibodies 22C3, 28-8 or SP263, together with the use of a QAP provides stronger support for PD-L1 testing results being equivalent between diagnostic laboratories than in the previous submission.</w:t>
      </w:r>
    </w:p>
    <w:p w14:paraId="66A13E2B" w14:textId="77777777" w:rsidR="00F37B9C" w:rsidRDefault="008C0864" w:rsidP="00F715D1">
      <w:pPr>
        <w:tabs>
          <w:tab w:val="left" w:pos="720"/>
          <w:tab w:val="left" w:pos="1140"/>
        </w:tabs>
        <w:spacing w:after="240"/>
        <w:rPr>
          <w:b/>
          <w:szCs w:val="24"/>
        </w:rPr>
      </w:pPr>
      <w:r>
        <w:rPr>
          <w:b/>
          <w:szCs w:val="24"/>
        </w:rPr>
        <w:t>Clinical c</w:t>
      </w:r>
      <w:r w:rsidR="00F37B9C" w:rsidRPr="00F37B9C">
        <w:rPr>
          <w:b/>
          <w:szCs w:val="24"/>
        </w:rPr>
        <w:t>laim</w:t>
      </w:r>
    </w:p>
    <w:p w14:paraId="52DAEBE9" w14:textId="77777777" w:rsidR="008B3D7D" w:rsidRDefault="008B3D7D" w:rsidP="00F715D1">
      <w:pPr>
        <w:tabs>
          <w:tab w:val="left" w:pos="720"/>
          <w:tab w:val="left" w:pos="1140"/>
        </w:tabs>
        <w:spacing w:after="240"/>
        <w:rPr>
          <w:b/>
          <w:szCs w:val="24"/>
        </w:rPr>
      </w:pPr>
      <w:r w:rsidRPr="005F27C3">
        <w:t xml:space="preserve">In Stage IV </w:t>
      </w:r>
      <w:r>
        <w:t>NSCLC</w:t>
      </w:r>
      <w:r w:rsidRPr="005F27C3">
        <w:t xml:space="preserve"> patients whose tumours express PD-L1 (≥50%) and are EGFR wild-type and ALK translocation negative, pembrolizumab is more effective than platinum doublet at improving progression-free survival, overall survival and safety</w:t>
      </w:r>
      <w:r>
        <w:t>.</w:t>
      </w:r>
    </w:p>
    <w:p w14:paraId="33991FE3" w14:textId="77777777" w:rsidR="00BC1364" w:rsidRPr="00F715D1" w:rsidRDefault="00BC1364" w:rsidP="00F715D1">
      <w:pPr>
        <w:pStyle w:val="Heading1"/>
      </w:pPr>
      <w:r w:rsidRPr="00F715D1">
        <w:t>Economic evaluation</w:t>
      </w:r>
    </w:p>
    <w:p w14:paraId="146923EE" w14:textId="77777777" w:rsidR="006B0A12" w:rsidRPr="008F1A10" w:rsidRDefault="006B0A12" w:rsidP="006B0A12">
      <w:r w:rsidRPr="008F1A10">
        <w:t>A modelled economic evaluation, in terms of incremental cost per life year gained and incremental cost per quality-adjusted life year (QALY) gained, was presented based on the claim of superior effectiveness and safety compared to platinum-doublet chemotherapy in treatment-naïve Stage IV NSCLC patients who expressed high levels of PD-L1 (TPS ≥50%).</w:t>
      </w:r>
    </w:p>
    <w:p w14:paraId="20941A7C" w14:textId="759E3D61" w:rsidR="006B0A12" w:rsidRPr="008F1A10" w:rsidRDefault="006B0A12" w:rsidP="006B0A12">
      <w:pPr>
        <w:spacing w:before="240"/>
      </w:pPr>
      <w:r w:rsidRPr="008F1A10">
        <w:t>The resubmission presented an incremental cost-effectiveness ratio of $</w:t>
      </w:r>
      <w:r w:rsidR="00E9018B" w:rsidRPr="00E9018B">
        <w:rPr>
          <w:rFonts w:eastAsia="Calibri"/>
          <w:b/>
          <w:szCs w:val="24"/>
          <w:lang w:eastAsia="en-US"/>
        </w:rPr>
        <w:t>redacted</w:t>
      </w:r>
      <w:r w:rsidR="00E9018B" w:rsidRPr="008F1A10">
        <w:t xml:space="preserve"> </w:t>
      </w:r>
      <w:r w:rsidRPr="008F1A10">
        <w:t>/QALY based on OS and PFS data from the KN-024 trial, extrapolated to 7.5 years duration (from median 19 months in the trial) and utility weights from the KN-024 trial. The base case economic model did not consider cost for re-biopsy or re</w:t>
      </w:r>
      <w:r w:rsidR="007D3872">
        <w:t>-</w:t>
      </w:r>
      <w:r w:rsidRPr="008F1A10">
        <w:t>testing.</w:t>
      </w:r>
    </w:p>
    <w:p w14:paraId="6CC8C349" w14:textId="77777777" w:rsidR="00BC1364" w:rsidRPr="00F715D1" w:rsidRDefault="00BC1364" w:rsidP="00F715D1">
      <w:pPr>
        <w:pStyle w:val="Heading1"/>
      </w:pPr>
      <w:r w:rsidRPr="00F715D1">
        <w:t>Financial/budgetary impacts</w:t>
      </w:r>
    </w:p>
    <w:p w14:paraId="6CF8C938" w14:textId="77777777" w:rsidR="006B0A12" w:rsidRPr="00284234" w:rsidRDefault="006B0A12" w:rsidP="006B0A12">
      <w:pPr>
        <w:pStyle w:val="MSACESParagraph"/>
      </w:pPr>
      <w:r w:rsidRPr="00284234">
        <w:t xml:space="preserve">An epidemiological approach was used to estimate the number of patients eligible for PD-L1 testing and pembrolizumab treatment each year, over a six-year period. The resubmission assumed that the number of patients eligible for testing was based on the number of incident NSCLC cases. In the first year of listing, catch up testing was assumed in prevalent patients with earlier stages of disease in the year prior to listing who subsequently experience disease progression to Stage IV disease. </w:t>
      </w:r>
    </w:p>
    <w:p w14:paraId="1F4C535F" w14:textId="77777777" w:rsidR="006B0A12" w:rsidRPr="00284234" w:rsidRDefault="006B0A12" w:rsidP="006B0A12">
      <w:pPr>
        <w:pStyle w:val="MSACESParagraph"/>
      </w:pPr>
      <w:r w:rsidRPr="00284234">
        <w:t xml:space="preserve">The estimated number of patients eligible for PD-L1 testing is shown in </w:t>
      </w:r>
      <w:r w:rsidR="00CA5D35">
        <w:t>Table 6</w:t>
      </w:r>
      <w:r w:rsidRPr="00284234">
        <w:t>.</w:t>
      </w:r>
    </w:p>
    <w:p w14:paraId="2EAB0108" w14:textId="77777777" w:rsidR="00EB36E8" w:rsidRDefault="00EB36E8">
      <w:pPr>
        <w:rPr>
          <w:rFonts w:ascii="Arial Narrow" w:eastAsiaTheme="minorHAnsi" w:hAnsi="Arial Narrow" w:cstheme="minorBidi"/>
          <w:b/>
          <w:iCs/>
          <w:color w:val="000000" w:themeColor="text1"/>
          <w:sz w:val="20"/>
          <w:szCs w:val="18"/>
          <w:lang w:eastAsia="en-US"/>
        </w:rPr>
      </w:pPr>
      <w:r>
        <w:br w:type="page"/>
      </w:r>
    </w:p>
    <w:p w14:paraId="4E2717E3" w14:textId="166B5510" w:rsidR="006B0A12" w:rsidRPr="00284234" w:rsidRDefault="00CA5D35" w:rsidP="006B0A12">
      <w:pPr>
        <w:pStyle w:val="Caption"/>
      </w:pPr>
      <w:r>
        <w:lastRenderedPageBreak/>
        <w:t xml:space="preserve">Table </w:t>
      </w:r>
      <w:r w:rsidR="006B0A12">
        <w:t>6:</w:t>
      </w:r>
      <w:r w:rsidR="006B0A12" w:rsidRPr="00284234">
        <w:tab/>
        <w:t>Estimated number of patients treated for PD-L1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shows the estimated number patients that would be tested for PD-L1 expression based on the incident and prevalent populations - the majority of this data has been redacted"/>
      </w:tblPr>
      <w:tblGrid>
        <w:gridCol w:w="3369"/>
        <w:gridCol w:w="992"/>
        <w:gridCol w:w="991"/>
        <w:gridCol w:w="993"/>
        <w:gridCol w:w="993"/>
        <w:gridCol w:w="996"/>
        <w:gridCol w:w="908"/>
      </w:tblGrid>
      <w:tr w:rsidR="00E9018B" w:rsidRPr="00284234" w14:paraId="5555771C" w14:textId="77777777" w:rsidTr="00E9018B">
        <w:trPr>
          <w:tblHeader/>
        </w:trPr>
        <w:tc>
          <w:tcPr>
            <w:tcW w:w="1823" w:type="pct"/>
            <w:tcBorders>
              <w:bottom w:val="single" w:sz="4" w:space="0" w:color="auto"/>
            </w:tcBorders>
          </w:tcPr>
          <w:p w14:paraId="4CCC3808" w14:textId="77777777" w:rsidR="006B0A12" w:rsidRPr="00284234" w:rsidRDefault="006B0A12" w:rsidP="00540A74">
            <w:pPr>
              <w:pStyle w:val="TableText"/>
            </w:pPr>
          </w:p>
        </w:tc>
        <w:tc>
          <w:tcPr>
            <w:tcW w:w="537" w:type="pct"/>
            <w:tcBorders>
              <w:bottom w:val="single" w:sz="4" w:space="0" w:color="auto"/>
            </w:tcBorders>
          </w:tcPr>
          <w:p w14:paraId="518E5935" w14:textId="77777777" w:rsidR="006B0A12" w:rsidRPr="00284234" w:rsidRDefault="006B0A12" w:rsidP="00540A74">
            <w:pPr>
              <w:pStyle w:val="TableText"/>
              <w:jc w:val="center"/>
              <w:rPr>
                <w:b/>
              </w:rPr>
            </w:pPr>
            <w:r w:rsidRPr="00284234">
              <w:rPr>
                <w:b/>
              </w:rPr>
              <w:t>Year 1</w:t>
            </w:r>
          </w:p>
        </w:tc>
        <w:tc>
          <w:tcPr>
            <w:tcW w:w="536" w:type="pct"/>
            <w:tcBorders>
              <w:bottom w:val="single" w:sz="4" w:space="0" w:color="auto"/>
            </w:tcBorders>
          </w:tcPr>
          <w:p w14:paraId="5D0118F9" w14:textId="77777777" w:rsidR="006B0A12" w:rsidRPr="00284234" w:rsidRDefault="006B0A12" w:rsidP="00540A74">
            <w:pPr>
              <w:pStyle w:val="TableText"/>
              <w:jc w:val="center"/>
              <w:rPr>
                <w:b/>
              </w:rPr>
            </w:pPr>
            <w:r w:rsidRPr="00284234">
              <w:rPr>
                <w:b/>
              </w:rPr>
              <w:t>Year 2</w:t>
            </w:r>
          </w:p>
        </w:tc>
        <w:tc>
          <w:tcPr>
            <w:tcW w:w="537" w:type="pct"/>
            <w:tcBorders>
              <w:bottom w:val="single" w:sz="4" w:space="0" w:color="auto"/>
            </w:tcBorders>
          </w:tcPr>
          <w:p w14:paraId="0E27F6AE" w14:textId="77777777" w:rsidR="006B0A12" w:rsidRPr="00284234" w:rsidRDefault="006B0A12" w:rsidP="00540A74">
            <w:pPr>
              <w:pStyle w:val="TableText"/>
              <w:jc w:val="center"/>
              <w:rPr>
                <w:b/>
              </w:rPr>
            </w:pPr>
            <w:r w:rsidRPr="00284234">
              <w:rPr>
                <w:b/>
              </w:rPr>
              <w:t>Year 3</w:t>
            </w:r>
          </w:p>
        </w:tc>
        <w:tc>
          <w:tcPr>
            <w:tcW w:w="537" w:type="pct"/>
            <w:tcBorders>
              <w:bottom w:val="single" w:sz="4" w:space="0" w:color="auto"/>
            </w:tcBorders>
          </w:tcPr>
          <w:p w14:paraId="2E2F2C1B" w14:textId="77777777" w:rsidR="006B0A12" w:rsidRPr="00284234" w:rsidRDefault="006B0A12" w:rsidP="00540A74">
            <w:pPr>
              <w:pStyle w:val="TableText"/>
              <w:jc w:val="center"/>
              <w:rPr>
                <w:b/>
              </w:rPr>
            </w:pPr>
            <w:r w:rsidRPr="00284234">
              <w:rPr>
                <w:b/>
              </w:rPr>
              <w:t>Year 4</w:t>
            </w:r>
          </w:p>
        </w:tc>
        <w:tc>
          <w:tcPr>
            <w:tcW w:w="539" w:type="pct"/>
            <w:tcBorders>
              <w:bottom w:val="single" w:sz="4" w:space="0" w:color="auto"/>
            </w:tcBorders>
          </w:tcPr>
          <w:p w14:paraId="62BBD8CE" w14:textId="77777777" w:rsidR="006B0A12" w:rsidRPr="00284234" w:rsidRDefault="006B0A12" w:rsidP="00540A74">
            <w:pPr>
              <w:pStyle w:val="TableText"/>
              <w:jc w:val="center"/>
              <w:rPr>
                <w:b/>
              </w:rPr>
            </w:pPr>
            <w:r w:rsidRPr="00284234">
              <w:rPr>
                <w:b/>
              </w:rPr>
              <w:t>Year 5</w:t>
            </w:r>
          </w:p>
        </w:tc>
        <w:tc>
          <w:tcPr>
            <w:tcW w:w="491" w:type="pct"/>
            <w:tcBorders>
              <w:bottom w:val="single" w:sz="4" w:space="0" w:color="auto"/>
            </w:tcBorders>
          </w:tcPr>
          <w:p w14:paraId="5B793E3C" w14:textId="77777777" w:rsidR="006B0A12" w:rsidRPr="00284234" w:rsidRDefault="006B0A12" w:rsidP="00540A74">
            <w:pPr>
              <w:pStyle w:val="TableText"/>
              <w:jc w:val="center"/>
              <w:rPr>
                <w:b/>
              </w:rPr>
            </w:pPr>
            <w:r w:rsidRPr="00284234">
              <w:rPr>
                <w:b/>
              </w:rPr>
              <w:t>Year 6</w:t>
            </w:r>
          </w:p>
        </w:tc>
      </w:tr>
      <w:tr w:rsidR="00E9018B" w:rsidRPr="00284234" w14:paraId="45C86333" w14:textId="77777777" w:rsidTr="00E9018B">
        <w:tc>
          <w:tcPr>
            <w:tcW w:w="1823" w:type="pct"/>
            <w:tcBorders>
              <w:bottom w:val="nil"/>
            </w:tcBorders>
          </w:tcPr>
          <w:p w14:paraId="4AC75BEA" w14:textId="77777777" w:rsidR="006B0A12" w:rsidRPr="00284234" w:rsidRDefault="006B0A12" w:rsidP="00540A74">
            <w:pPr>
              <w:pStyle w:val="TableText"/>
            </w:pPr>
            <w:r w:rsidRPr="00284234">
              <w:t>Number of incident NSCLC cases (all stages)</w:t>
            </w:r>
          </w:p>
        </w:tc>
        <w:tc>
          <w:tcPr>
            <w:tcW w:w="537" w:type="pct"/>
            <w:tcBorders>
              <w:bottom w:val="nil"/>
            </w:tcBorders>
          </w:tcPr>
          <w:p w14:paraId="5D1E0BAE" w14:textId="30B8AFB6" w:rsidR="006B0A12" w:rsidRPr="00284234" w:rsidRDefault="00E9018B" w:rsidP="00540A74">
            <w:pPr>
              <w:pStyle w:val="TableText"/>
              <w:jc w:val="center"/>
            </w:pPr>
            <w:r w:rsidRPr="00E9018B">
              <w:t>redacted</w:t>
            </w:r>
          </w:p>
        </w:tc>
        <w:tc>
          <w:tcPr>
            <w:tcW w:w="536" w:type="pct"/>
            <w:tcBorders>
              <w:bottom w:val="nil"/>
            </w:tcBorders>
          </w:tcPr>
          <w:p w14:paraId="64B2ECB9" w14:textId="15AD5490" w:rsidR="006B0A12" w:rsidRPr="00284234" w:rsidRDefault="00E9018B" w:rsidP="00540A74">
            <w:pPr>
              <w:pStyle w:val="TableText"/>
              <w:jc w:val="center"/>
            </w:pPr>
            <w:r w:rsidRPr="00E9018B">
              <w:t>redacted</w:t>
            </w:r>
          </w:p>
        </w:tc>
        <w:tc>
          <w:tcPr>
            <w:tcW w:w="537" w:type="pct"/>
            <w:tcBorders>
              <w:bottom w:val="nil"/>
            </w:tcBorders>
          </w:tcPr>
          <w:p w14:paraId="3F305F3B" w14:textId="37717CF7" w:rsidR="006B0A12" w:rsidRPr="00284234" w:rsidRDefault="00E9018B" w:rsidP="00540A74">
            <w:pPr>
              <w:pStyle w:val="TableText"/>
              <w:jc w:val="center"/>
            </w:pPr>
            <w:r w:rsidRPr="00E9018B">
              <w:t>redacted</w:t>
            </w:r>
          </w:p>
        </w:tc>
        <w:tc>
          <w:tcPr>
            <w:tcW w:w="537" w:type="pct"/>
            <w:tcBorders>
              <w:bottom w:val="nil"/>
            </w:tcBorders>
          </w:tcPr>
          <w:p w14:paraId="3DC23519" w14:textId="388ECDE2" w:rsidR="006B0A12" w:rsidRPr="00284234" w:rsidRDefault="00E9018B" w:rsidP="00540A74">
            <w:pPr>
              <w:pStyle w:val="TableText"/>
              <w:jc w:val="center"/>
            </w:pPr>
            <w:r w:rsidRPr="00E9018B">
              <w:t>redacted</w:t>
            </w:r>
          </w:p>
        </w:tc>
        <w:tc>
          <w:tcPr>
            <w:tcW w:w="539" w:type="pct"/>
            <w:tcBorders>
              <w:bottom w:val="nil"/>
            </w:tcBorders>
          </w:tcPr>
          <w:p w14:paraId="5E7BD1AD" w14:textId="31C8AADD" w:rsidR="006B0A12" w:rsidRPr="00284234" w:rsidRDefault="00E9018B" w:rsidP="00540A74">
            <w:pPr>
              <w:pStyle w:val="TableText"/>
              <w:jc w:val="center"/>
            </w:pPr>
            <w:r w:rsidRPr="00E9018B">
              <w:t>redacted</w:t>
            </w:r>
          </w:p>
        </w:tc>
        <w:tc>
          <w:tcPr>
            <w:tcW w:w="491" w:type="pct"/>
            <w:tcBorders>
              <w:bottom w:val="nil"/>
            </w:tcBorders>
          </w:tcPr>
          <w:p w14:paraId="4F27D2A2" w14:textId="5DAA460F" w:rsidR="006B0A12" w:rsidRPr="00284234" w:rsidRDefault="00E9018B" w:rsidP="00540A74">
            <w:pPr>
              <w:pStyle w:val="TableText"/>
              <w:jc w:val="center"/>
            </w:pPr>
            <w:r w:rsidRPr="00E9018B">
              <w:t>redacted</w:t>
            </w:r>
          </w:p>
        </w:tc>
      </w:tr>
      <w:tr w:rsidR="00E9018B" w:rsidRPr="00284234" w14:paraId="49E745BD" w14:textId="77777777" w:rsidTr="00E9018B">
        <w:tc>
          <w:tcPr>
            <w:tcW w:w="1823" w:type="pct"/>
            <w:tcBorders>
              <w:top w:val="nil"/>
              <w:bottom w:val="single" w:sz="4" w:space="0" w:color="auto"/>
            </w:tcBorders>
          </w:tcPr>
          <w:p w14:paraId="339266E8" w14:textId="77777777" w:rsidR="006B0A12" w:rsidRPr="00284234" w:rsidRDefault="006B0A12" w:rsidP="00540A74">
            <w:pPr>
              <w:pStyle w:val="TableText"/>
            </w:pPr>
            <w:r w:rsidRPr="00284234">
              <w:t>Prevalent Stage IIIB/IV patients tested from prior year</w:t>
            </w:r>
          </w:p>
        </w:tc>
        <w:tc>
          <w:tcPr>
            <w:tcW w:w="537" w:type="pct"/>
            <w:tcBorders>
              <w:top w:val="nil"/>
              <w:bottom w:val="single" w:sz="4" w:space="0" w:color="auto"/>
            </w:tcBorders>
          </w:tcPr>
          <w:p w14:paraId="1282A1C9" w14:textId="12236F92" w:rsidR="006B0A12" w:rsidRPr="00284234" w:rsidRDefault="00E9018B" w:rsidP="00540A74">
            <w:pPr>
              <w:pStyle w:val="TableText"/>
              <w:jc w:val="center"/>
            </w:pPr>
            <w:r w:rsidRPr="00E9018B">
              <w:t>redacted</w:t>
            </w:r>
          </w:p>
        </w:tc>
        <w:tc>
          <w:tcPr>
            <w:tcW w:w="536" w:type="pct"/>
            <w:tcBorders>
              <w:top w:val="nil"/>
              <w:bottom w:val="single" w:sz="4" w:space="0" w:color="auto"/>
            </w:tcBorders>
          </w:tcPr>
          <w:p w14:paraId="388544C8" w14:textId="4F8D4EB6" w:rsidR="006B0A12" w:rsidRPr="00284234" w:rsidRDefault="00E9018B" w:rsidP="00540A74">
            <w:pPr>
              <w:pStyle w:val="TableText"/>
              <w:jc w:val="center"/>
              <w:rPr>
                <w:i/>
              </w:rPr>
            </w:pPr>
            <w:r w:rsidRPr="00E9018B">
              <w:t>redacted</w:t>
            </w:r>
          </w:p>
        </w:tc>
        <w:tc>
          <w:tcPr>
            <w:tcW w:w="537" w:type="pct"/>
            <w:tcBorders>
              <w:top w:val="nil"/>
              <w:bottom w:val="single" w:sz="4" w:space="0" w:color="auto"/>
            </w:tcBorders>
          </w:tcPr>
          <w:p w14:paraId="6BAC7F4D" w14:textId="6A03715C" w:rsidR="006B0A12" w:rsidRPr="00284234" w:rsidRDefault="00E9018B" w:rsidP="00540A74">
            <w:pPr>
              <w:pStyle w:val="TableText"/>
              <w:jc w:val="center"/>
              <w:rPr>
                <w:i/>
              </w:rPr>
            </w:pPr>
            <w:r w:rsidRPr="00E9018B">
              <w:t>redacted</w:t>
            </w:r>
          </w:p>
        </w:tc>
        <w:tc>
          <w:tcPr>
            <w:tcW w:w="537" w:type="pct"/>
            <w:tcBorders>
              <w:top w:val="nil"/>
              <w:bottom w:val="single" w:sz="4" w:space="0" w:color="auto"/>
            </w:tcBorders>
          </w:tcPr>
          <w:p w14:paraId="539C9439" w14:textId="2BC5373C" w:rsidR="006B0A12" w:rsidRPr="00284234" w:rsidRDefault="00E9018B" w:rsidP="00540A74">
            <w:pPr>
              <w:pStyle w:val="TableText"/>
              <w:jc w:val="center"/>
              <w:rPr>
                <w:i/>
              </w:rPr>
            </w:pPr>
            <w:r w:rsidRPr="00E9018B">
              <w:t>redacted</w:t>
            </w:r>
          </w:p>
        </w:tc>
        <w:tc>
          <w:tcPr>
            <w:tcW w:w="539" w:type="pct"/>
            <w:tcBorders>
              <w:top w:val="nil"/>
              <w:bottom w:val="single" w:sz="4" w:space="0" w:color="auto"/>
            </w:tcBorders>
          </w:tcPr>
          <w:p w14:paraId="38EF343C" w14:textId="303AEB58" w:rsidR="006B0A12" w:rsidRPr="00284234" w:rsidRDefault="00E9018B" w:rsidP="00540A74">
            <w:pPr>
              <w:pStyle w:val="TableText"/>
              <w:jc w:val="center"/>
              <w:rPr>
                <w:i/>
              </w:rPr>
            </w:pPr>
            <w:r w:rsidRPr="00E9018B">
              <w:t>redacted</w:t>
            </w:r>
          </w:p>
        </w:tc>
        <w:tc>
          <w:tcPr>
            <w:tcW w:w="491" w:type="pct"/>
            <w:tcBorders>
              <w:top w:val="nil"/>
              <w:bottom w:val="single" w:sz="4" w:space="0" w:color="auto"/>
            </w:tcBorders>
          </w:tcPr>
          <w:p w14:paraId="4BB3C05B" w14:textId="03E3BCEF" w:rsidR="006B0A12" w:rsidRPr="00284234" w:rsidRDefault="00E9018B" w:rsidP="00540A74">
            <w:pPr>
              <w:pStyle w:val="TableText"/>
              <w:jc w:val="center"/>
              <w:rPr>
                <w:b/>
                <w:szCs w:val="24"/>
              </w:rPr>
            </w:pPr>
            <w:r w:rsidRPr="00E9018B">
              <w:t>redacted</w:t>
            </w:r>
          </w:p>
        </w:tc>
      </w:tr>
      <w:tr w:rsidR="00E9018B" w:rsidRPr="00284234" w14:paraId="47EE5D7E" w14:textId="77777777" w:rsidTr="00E9018B">
        <w:tc>
          <w:tcPr>
            <w:tcW w:w="1823" w:type="pct"/>
            <w:tcBorders>
              <w:top w:val="single" w:sz="4" w:space="0" w:color="auto"/>
              <w:bottom w:val="single" w:sz="4" w:space="0" w:color="auto"/>
            </w:tcBorders>
          </w:tcPr>
          <w:p w14:paraId="486B45F7" w14:textId="77777777" w:rsidR="006B0A12" w:rsidRPr="00284234" w:rsidRDefault="006B0A12" w:rsidP="00540A74">
            <w:pPr>
              <w:pStyle w:val="TableText"/>
              <w:rPr>
                <w:b/>
              </w:rPr>
            </w:pPr>
            <w:r w:rsidRPr="00284234">
              <w:rPr>
                <w:b/>
              </w:rPr>
              <w:t>Total patients tested</w:t>
            </w:r>
          </w:p>
        </w:tc>
        <w:tc>
          <w:tcPr>
            <w:tcW w:w="537" w:type="pct"/>
            <w:tcBorders>
              <w:top w:val="single" w:sz="4" w:space="0" w:color="auto"/>
              <w:bottom w:val="single" w:sz="4" w:space="0" w:color="auto"/>
            </w:tcBorders>
          </w:tcPr>
          <w:p w14:paraId="5667FA8F" w14:textId="2515B2B0" w:rsidR="006B0A12" w:rsidRPr="00284234" w:rsidRDefault="00E9018B" w:rsidP="00540A74">
            <w:pPr>
              <w:pStyle w:val="TableText"/>
              <w:jc w:val="center"/>
              <w:rPr>
                <w:b/>
              </w:rPr>
            </w:pPr>
            <w:r w:rsidRPr="00E9018B">
              <w:t>redacted</w:t>
            </w:r>
          </w:p>
        </w:tc>
        <w:tc>
          <w:tcPr>
            <w:tcW w:w="536" w:type="pct"/>
            <w:tcBorders>
              <w:top w:val="single" w:sz="4" w:space="0" w:color="auto"/>
              <w:bottom w:val="single" w:sz="4" w:space="0" w:color="auto"/>
            </w:tcBorders>
          </w:tcPr>
          <w:p w14:paraId="6E041404" w14:textId="370BEC3D" w:rsidR="006B0A12" w:rsidRPr="00284234" w:rsidRDefault="00E9018B" w:rsidP="00540A74">
            <w:pPr>
              <w:pStyle w:val="TableText"/>
              <w:jc w:val="center"/>
              <w:rPr>
                <w:b/>
              </w:rPr>
            </w:pPr>
            <w:r w:rsidRPr="00E9018B">
              <w:t>redacted</w:t>
            </w:r>
          </w:p>
        </w:tc>
        <w:tc>
          <w:tcPr>
            <w:tcW w:w="537" w:type="pct"/>
            <w:tcBorders>
              <w:top w:val="single" w:sz="4" w:space="0" w:color="auto"/>
              <w:bottom w:val="single" w:sz="4" w:space="0" w:color="auto"/>
            </w:tcBorders>
          </w:tcPr>
          <w:p w14:paraId="2D80D604" w14:textId="4EDAC93B" w:rsidR="006B0A12" w:rsidRPr="00284234" w:rsidRDefault="00E9018B" w:rsidP="00540A74">
            <w:pPr>
              <w:pStyle w:val="TableText"/>
              <w:jc w:val="center"/>
              <w:rPr>
                <w:b/>
              </w:rPr>
            </w:pPr>
            <w:r w:rsidRPr="00E9018B">
              <w:t>redacted</w:t>
            </w:r>
          </w:p>
        </w:tc>
        <w:tc>
          <w:tcPr>
            <w:tcW w:w="537" w:type="pct"/>
            <w:tcBorders>
              <w:top w:val="single" w:sz="4" w:space="0" w:color="auto"/>
              <w:bottom w:val="single" w:sz="4" w:space="0" w:color="auto"/>
            </w:tcBorders>
          </w:tcPr>
          <w:p w14:paraId="429F14F8" w14:textId="14E964E2" w:rsidR="006B0A12" w:rsidRPr="00284234" w:rsidRDefault="00E9018B" w:rsidP="00540A74">
            <w:pPr>
              <w:pStyle w:val="TableText"/>
              <w:jc w:val="center"/>
              <w:rPr>
                <w:b/>
              </w:rPr>
            </w:pPr>
            <w:r w:rsidRPr="00E9018B">
              <w:t>redacted</w:t>
            </w:r>
          </w:p>
        </w:tc>
        <w:tc>
          <w:tcPr>
            <w:tcW w:w="539" w:type="pct"/>
            <w:tcBorders>
              <w:top w:val="single" w:sz="4" w:space="0" w:color="auto"/>
              <w:bottom w:val="single" w:sz="4" w:space="0" w:color="auto"/>
            </w:tcBorders>
          </w:tcPr>
          <w:p w14:paraId="6BF44CCD" w14:textId="3DFCEA07" w:rsidR="006B0A12" w:rsidRPr="00284234" w:rsidRDefault="00E9018B" w:rsidP="00540A74">
            <w:pPr>
              <w:pStyle w:val="TableText"/>
              <w:jc w:val="center"/>
              <w:rPr>
                <w:b/>
              </w:rPr>
            </w:pPr>
            <w:r w:rsidRPr="00E9018B">
              <w:t>redacted</w:t>
            </w:r>
          </w:p>
        </w:tc>
        <w:tc>
          <w:tcPr>
            <w:tcW w:w="491" w:type="pct"/>
            <w:tcBorders>
              <w:top w:val="single" w:sz="4" w:space="0" w:color="auto"/>
              <w:bottom w:val="single" w:sz="4" w:space="0" w:color="auto"/>
            </w:tcBorders>
          </w:tcPr>
          <w:p w14:paraId="16334518" w14:textId="7A1D63B6" w:rsidR="006B0A12" w:rsidRPr="00284234" w:rsidRDefault="00E9018B" w:rsidP="00540A74">
            <w:pPr>
              <w:pStyle w:val="TableText"/>
              <w:jc w:val="center"/>
              <w:rPr>
                <w:b/>
                <w:szCs w:val="24"/>
              </w:rPr>
            </w:pPr>
            <w:r w:rsidRPr="00E9018B">
              <w:t>redacted</w:t>
            </w:r>
          </w:p>
        </w:tc>
      </w:tr>
    </w:tbl>
    <w:p w14:paraId="1E859852" w14:textId="77777777" w:rsidR="006B0A12" w:rsidRPr="00284234" w:rsidRDefault="006B0A12" w:rsidP="006B0A12">
      <w:pPr>
        <w:pStyle w:val="TableFooter"/>
        <w:rPr>
          <w:noProof/>
        </w:rPr>
      </w:pPr>
      <w:r w:rsidRPr="00284234">
        <w:rPr>
          <w:noProof/>
        </w:rPr>
        <w:t>NSCLC = non-small cell lung cancer</w:t>
      </w:r>
    </w:p>
    <w:p w14:paraId="06314AB3" w14:textId="77777777" w:rsidR="006B0A12" w:rsidRPr="00284234" w:rsidRDefault="006B0A12" w:rsidP="006B0A12">
      <w:pPr>
        <w:pStyle w:val="MSACESParagraph"/>
      </w:pPr>
      <w:r w:rsidRPr="00284234">
        <w:t>The proposed MBS fee for PD-L1 testing is $74.50, based on the fee for an item that uses similar resource requirements (sco</w:t>
      </w:r>
      <w:r>
        <w:t>ring and reporting), MBS 72848.</w:t>
      </w:r>
    </w:p>
    <w:p w14:paraId="2C0B5E64" w14:textId="77777777" w:rsidR="006B0A12" w:rsidRDefault="006B0A12" w:rsidP="006B0A12">
      <w:pPr>
        <w:pStyle w:val="MSACESParagraph"/>
      </w:pPr>
      <w:r w:rsidRPr="00284234">
        <w:t>Costs associated with re-biopsy and treatment of biopsy-related adverse events (AEs) in prevalent patients as well as costs for chemotherapy administration and disease management were also included in esti</w:t>
      </w:r>
      <w:r>
        <w:t>mating the net cost to the MBS.</w:t>
      </w:r>
    </w:p>
    <w:p w14:paraId="4B30DFFE" w14:textId="77777777" w:rsidR="006B0A12" w:rsidRPr="00284234" w:rsidRDefault="006B0A12" w:rsidP="006B0A12">
      <w:pPr>
        <w:pStyle w:val="Caption"/>
        <w:rPr>
          <w:lang w:val="en-GB"/>
        </w:rPr>
      </w:pPr>
      <w:r>
        <w:t>Table</w:t>
      </w:r>
      <w:r w:rsidR="00CA5D35">
        <w:t xml:space="preserve"> </w:t>
      </w:r>
      <w:r>
        <w:t>7:</w:t>
      </w:r>
      <w:r w:rsidRPr="00284234">
        <w:tab/>
        <w:t xml:space="preserve">Estimated </w:t>
      </w:r>
      <w:r w:rsidRPr="00284234">
        <w:rPr>
          <w:lang w:val="en-GB"/>
        </w:rPr>
        <w:t xml:space="preserve">net cost to the MBS and to the </w:t>
      </w:r>
      <w:proofErr w:type="spellStart"/>
      <w:r w:rsidRPr="00284234">
        <w:rPr>
          <w:lang w:val="en-GB"/>
        </w:rPr>
        <w:t>Government</w:t>
      </w:r>
      <w:r w:rsidRPr="00284234">
        <w:rPr>
          <w:vertAlign w:val="superscript"/>
          <w:lang w:val="en-GB"/>
        </w:rPr>
        <w:t>a</w:t>
      </w:r>
      <w:proofErr w:type="spellEnd"/>
      <w:r w:rsidRPr="00284234">
        <w:rPr>
          <w:lang w:val="en-GB"/>
        </w:rPr>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148"/>
        <w:gridCol w:w="1155"/>
        <w:gridCol w:w="1151"/>
        <w:gridCol w:w="1151"/>
        <w:gridCol w:w="1151"/>
        <w:gridCol w:w="1234"/>
      </w:tblGrid>
      <w:tr w:rsidR="006B0A12" w:rsidRPr="00284234" w14:paraId="2421FF5B" w14:textId="77777777" w:rsidTr="00540A74">
        <w:tc>
          <w:tcPr>
            <w:tcW w:w="1187" w:type="pct"/>
          </w:tcPr>
          <w:p w14:paraId="2D0DFFEC" w14:textId="77777777" w:rsidR="006B0A12" w:rsidRPr="00284234" w:rsidRDefault="006B0A12" w:rsidP="00540A74">
            <w:pPr>
              <w:pStyle w:val="TableText"/>
            </w:pPr>
          </w:p>
        </w:tc>
        <w:tc>
          <w:tcPr>
            <w:tcW w:w="626" w:type="pct"/>
          </w:tcPr>
          <w:p w14:paraId="0D1FC2C0" w14:textId="77777777" w:rsidR="006B0A12" w:rsidRPr="00284234" w:rsidRDefault="006B0A12" w:rsidP="00540A74">
            <w:pPr>
              <w:pStyle w:val="TableText"/>
              <w:jc w:val="center"/>
              <w:rPr>
                <w:b/>
              </w:rPr>
            </w:pPr>
            <w:r w:rsidRPr="00284234">
              <w:rPr>
                <w:b/>
              </w:rPr>
              <w:t>Year 1</w:t>
            </w:r>
          </w:p>
        </w:tc>
        <w:tc>
          <w:tcPr>
            <w:tcW w:w="630" w:type="pct"/>
          </w:tcPr>
          <w:p w14:paraId="167EF434" w14:textId="77777777" w:rsidR="006B0A12" w:rsidRPr="00284234" w:rsidRDefault="006B0A12" w:rsidP="00540A74">
            <w:pPr>
              <w:pStyle w:val="TableText"/>
              <w:jc w:val="center"/>
              <w:rPr>
                <w:b/>
              </w:rPr>
            </w:pPr>
            <w:r w:rsidRPr="00284234">
              <w:rPr>
                <w:b/>
              </w:rPr>
              <w:t>Year 2</w:t>
            </w:r>
          </w:p>
        </w:tc>
        <w:tc>
          <w:tcPr>
            <w:tcW w:w="628" w:type="pct"/>
          </w:tcPr>
          <w:p w14:paraId="1F6B2810" w14:textId="77777777" w:rsidR="006B0A12" w:rsidRPr="00284234" w:rsidRDefault="006B0A12" w:rsidP="00540A74">
            <w:pPr>
              <w:pStyle w:val="TableText"/>
              <w:jc w:val="center"/>
              <w:rPr>
                <w:b/>
              </w:rPr>
            </w:pPr>
            <w:r w:rsidRPr="00284234">
              <w:rPr>
                <w:b/>
              </w:rPr>
              <w:t>Year 3</w:t>
            </w:r>
          </w:p>
        </w:tc>
        <w:tc>
          <w:tcPr>
            <w:tcW w:w="628" w:type="pct"/>
          </w:tcPr>
          <w:p w14:paraId="6CECB7FD" w14:textId="77777777" w:rsidR="006B0A12" w:rsidRPr="00284234" w:rsidRDefault="006B0A12" w:rsidP="00540A74">
            <w:pPr>
              <w:pStyle w:val="TableText"/>
              <w:jc w:val="center"/>
              <w:rPr>
                <w:b/>
              </w:rPr>
            </w:pPr>
            <w:r w:rsidRPr="00284234">
              <w:rPr>
                <w:b/>
              </w:rPr>
              <w:t>Year 4</w:t>
            </w:r>
          </w:p>
        </w:tc>
        <w:tc>
          <w:tcPr>
            <w:tcW w:w="628" w:type="pct"/>
          </w:tcPr>
          <w:p w14:paraId="505B5E5E" w14:textId="77777777" w:rsidR="006B0A12" w:rsidRPr="00284234" w:rsidRDefault="006B0A12" w:rsidP="00540A74">
            <w:pPr>
              <w:pStyle w:val="TableText"/>
              <w:jc w:val="center"/>
              <w:rPr>
                <w:b/>
              </w:rPr>
            </w:pPr>
            <w:r w:rsidRPr="00284234">
              <w:rPr>
                <w:b/>
              </w:rPr>
              <w:t>Year 5</w:t>
            </w:r>
          </w:p>
        </w:tc>
        <w:tc>
          <w:tcPr>
            <w:tcW w:w="674" w:type="pct"/>
          </w:tcPr>
          <w:p w14:paraId="5C4026EB" w14:textId="77777777" w:rsidR="006B0A12" w:rsidRPr="00284234" w:rsidRDefault="006B0A12" w:rsidP="00540A74">
            <w:pPr>
              <w:pStyle w:val="TableText"/>
              <w:jc w:val="center"/>
              <w:rPr>
                <w:b/>
              </w:rPr>
            </w:pPr>
            <w:r w:rsidRPr="00284234">
              <w:rPr>
                <w:b/>
              </w:rPr>
              <w:t>Year 6</w:t>
            </w:r>
          </w:p>
        </w:tc>
      </w:tr>
      <w:tr w:rsidR="006B0A12" w:rsidRPr="00284234" w14:paraId="216A167E" w14:textId="77777777" w:rsidTr="00540A74">
        <w:tc>
          <w:tcPr>
            <w:tcW w:w="1187" w:type="pct"/>
          </w:tcPr>
          <w:p w14:paraId="474E14CF" w14:textId="77777777" w:rsidR="006B0A12" w:rsidRPr="00284234" w:rsidRDefault="006B0A12" w:rsidP="00540A74">
            <w:pPr>
              <w:pStyle w:val="TableText"/>
            </w:pPr>
            <w:r w:rsidRPr="00284234">
              <w:t>Cost of PD-L1 testing</w:t>
            </w:r>
          </w:p>
        </w:tc>
        <w:tc>
          <w:tcPr>
            <w:tcW w:w="626" w:type="pct"/>
            <w:vAlign w:val="center"/>
          </w:tcPr>
          <w:p w14:paraId="19811F5F" w14:textId="5E064CB5" w:rsidR="006B0A12" w:rsidRPr="00284234" w:rsidRDefault="006B0A12" w:rsidP="00540A74">
            <w:pPr>
              <w:pStyle w:val="TableText"/>
              <w:ind w:left="-57"/>
              <w:jc w:val="right"/>
            </w:pPr>
            <w:r w:rsidRPr="00284234">
              <w:t>$</w:t>
            </w:r>
            <w:r w:rsidR="00E9018B" w:rsidRPr="00E9018B">
              <w:t>redacted</w:t>
            </w:r>
          </w:p>
        </w:tc>
        <w:tc>
          <w:tcPr>
            <w:tcW w:w="630" w:type="pct"/>
            <w:vAlign w:val="center"/>
          </w:tcPr>
          <w:p w14:paraId="099D2EA5" w14:textId="1B2D54F9" w:rsidR="006B0A12" w:rsidRPr="00284234" w:rsidRDefault="006B0A12" w:rsidP="00540A74">
            <w:pPr>
              <w:pStyle w:val="TableText"/>
              <w:ind w:left="-57"/>
              <w:jc w:val="right"/>
            </w:pPr>
            <w:r w:rsidRPr="00284234">
              <w:t>$</w:t>
            </w:r>
            <w:r w:rsidR="00E9018B" w:rsidRPr="00E9018B">
              <w:t>redacted</w:t>
            </w:r>
          </w:p>
        </w:tc>
        <w:tc>
          <w:tcPr>
            <w:tcW w:w="628" w:type="pct"/>
            <w:vAlign w:val="center"/>
          </w:tcPr>
          <w:p w14:paraId="6E132D15" w14:textId="70344CB9" w:rsidR="006B0A12" w:rsidRPr="00284234" w:rsidRDefault="006B0A12" w:rsidP="00E9018B">
            <w:pPr>
              <w:pStyle w:val="TableText"/>
              <w:ind w:left="-57"/>
              <w:jc w:val="right"/>
            </w:pPr>
            <w:r w:rsidRPr="00284234">
              <w:t>$</w:t>
            </w:r>
            <w:r w:rsidR="00E9018B" w:rsidRPr="00E9018B">
              <w:t>redacted</w:t>
            </w:r>
          </w:p>
        </w:tc>
        <w:tc>
          <w:tcPr>
            <w:tcW w:w="628" w:type="pct"/>
            <w:vAlign w:val="center"/>
          </w:tcPr>
          <w:p w14:paraId="70B560DB" w14:textId="1FD0436B" w:rsidR="006B0A12" w:rsidRPr="00284234" w:rsidRDefault="006B0A12" w:rsidP="00540A74">
            <w:pPr>
              <w:pStyle w:val="TableText"/>
              <w:ind w:left="-57"/>
              <w:jc w:val="right"/>
            </w:pPr>
            <w:r w:rsidRPr="00284234">
              <w:t>$</w:t>
            </w:r>
            <w:r w:rsidR="00E9018B" w:rsidRPr="00E9018B">
              <w:t>redacted</w:t>
            </w:r>
          </w:p>
        </w:tc>
        <w:tc>
          <w:tcPr>
            <w:tcW w:w="628" w:type="pct"/>
            <w:vAlign w:val="center"/>
          </w:tcPr>
          <w:p w14:paraId="7951B6DA" w14:textId="7458AC98" w:rsidR="006B0A12" w:rsidRPr="00284234" w:rsidRDefault="006B0A12" w:rsidP="00540A74">
            <w:pPr>
              <w:pStyle w:val="TableText"/>
              <w:ind w:left="-57"/>
              <w:jc w:val="right"/>
            </w:pPr>
            <w:r w:rsidRPr="00284234">
              <w:t>$</w:t>
            </w:r>
            <w:r w:rsidR="00E9018B" w:rsidRPr="00E9018B">
              <w:t>redacted</w:t>
            </w:r>
          </w:p>
        </w:tc>
        <w:tc>
          <w:tcPr>
            <w:tcW w:w="674" w:type="pct"/>
            <w:vAlign w:val="center"/>
          </w:tcPr>
          <w:p w14:paraId="4EE0CECB" w14:textId="01A9F5B6" w:rsidR="006B0A12" w:rsidRPr="00284234" w:rsidRDefault="006B0A12" w:rsidP="00E9018B">
            <w:pPr>
              <w:pStyle w:val="TableText"/>
              <w:ind w:left="-57"/>
              <w:jc w:val="right"/>
            </w:pPr>
            <w:r w:rsidRPr="00284234">
              <w:t>$</w:t>
            </w:r>
            <w:r w:rsidR="00E9018B" w:rsidRPr="00E9018B">
              <w:t>redacted</w:t>
            </w:r>
          </w:p>
        </w:tc>
      </w:tr>
      <w:tr w:rsidR="006B0A12" w:rsidRPr="00284234" w14:paraId="09EBE66B" w14:textId="77777777" w:rsidTr="00540A74">
        <w:tc>
          <w:tcPr>
            <w:tcW w:w="1187" w:type="pct"/>
            <w:tcBorders>
              <w:bottom w:val="single" w:sz="4" w:space="0" w:color="auto"/>
            </w:tcBorders>
          </w:tcPr>
          <w:p w14:paraId="7DEDA3F4" w14:textId="77777777" w:rsidR="006B0A12" w:rsidRPr="00284234" w:rsidRDefault="006B0A12" w:rsidP="00540A74">
            <w:pPr>
              <w:pStyle w:val="TableText"/>
              <w:rPr>
                <w:vertAlign w:val="superscript"/>
              </w:rPr>
            </w:pPr>
            <w:r w:rsidRPr="00284234">
              <w:t xml:space="preserve">Cost of </w:t>
            </w:r>
            <w:r>
              <w:t>re-</w:t>
            </w:r>
            <w:r w:rsidRPr="00284234">
              <w:t>biopsy and management of biopsy-associated AE</w:t>
            </w:r>
          </w:p>
        </w:tc>
        <w:tc>
          <w:tcPr>
            <w:tcW w:w="626" w:type="pct"/>
            <w:tcBorders>
              <w:bottom w:val="single" w:sz="4" w:space="0" w:color="auto"/>
            </w:tcBorders>
            <w:vAlign w:val="center"/>
          </w:tcPr>
          <w:p w14:paraId="20B7D316" w14:textId="01C4C26D" w:rsidR="006B0A12" w:rsidRPr="00284234" w:rsidRDefault="00E9018B" w:rsidP="00540A74">
            <w:pPr>
              <w:pStyle w:val="TableText"/>
              <w:ind w:left="-57"/>
              <w:jc w:val="right"/>
            </w:pPr>
            <w:r>
              <w:t>$</w:t>
            </w:r>
            <w:r w:rsidRPr="00E9018B">
              <w:t>redacted</w:t>
            </w:r>
          </w:p>
        </w:tc>
        <w:tc>
          <w:tcPr>
            <w:tcW w:w="630" w:type="pct"/>
            <w:tcBorders>
              <w:bottom w:val="single" w:sz="4" w:space="0" w:color="auto"/>
            </w:tcBorders>
            <w:vAlign w:val="center"/>
          </w:tcPr>
          <w:p w14:paraId="4729A7D1" w14:textId="2BDD124B" w:rsidR="006B0A12" w:rsidRPr="00284234" w:rsidRDefault="006B0A12" w:rsidP="00540A74">
            <w:pPr>
              <w:pStyle w:val="TableText"/>
              <w:ind w:left="-57"/>
              <w:jc w:val="right"/>
            </w:pPr>
            <w:r w:rsidRPr="00284234">
              <w:t>$</w:t>
            </w:r>
            <w:r w:rsidR="00E9018B" w:rsidRPr="00E9018B">
              <w:t>redacted</w:t>
            </w:r>
          </w:p>
        </w:tc>
        <w:tc>
          <w:tcPr>
            <w:tcW w:w="628" w:type="pct"/>
            <w:tcBorders>
              <w:bottom w:val="single" w:sz="4" w:space="0" w:color="auto"/>
            </w:tcBorders>
            <w:vAlign w:val="center"/>
          </w:tcPr>
          <w:p w14:paraId="2417D8F1" w14:textId="1E7A37DA" w:rsidR="006B0A12" w:rsidRPr="00284234" w:rsidRDefault="006B0A12" w:rsidP="00540A74">
            <w:pPr>
              <w:pStyle w:val="TableText"/>
              <w:ind w:left="-57"/>
              <w:jc w:val="right"/>
            </w:pPr>
            <w:r w:rsidRPr="00284234">
              <w:t>$</w:t>
            </w:r>
            <w:r w:rsidR="00E9018B" w:rsidRPr="00E9018B">
              <w:t>redacted</w:t>
            </w:r>
          </w:p>
        </w:tc>
        <w:tc>
          <w:tcPr>
            <w:tcW w:w="628" w:type="pct"/>
            <w:tcBorders>
              <w:bottom w:val="single" w:sz="4" w:space="0" w:color="auto"/>
            </w:tcBorders>
            <w:vAlign w:val="center"/>
          </w:tcPr>
          <w:p w14:paraId="41EA4B20" w14:textId="42FDB1F8" w:rsidR="006B0A12" w:rsidRPr="00284234" w:rsidRDefault="006B0A12" w:rsidP="00540A74">
            <w:pPr>
              <w:pStyle w:val="TableText"/>
              <w:ind w:left="-57"/>
              <w:jc w:val="right"/>
            </w:pPr>
            <w:r w:rsidRPr="00284234">
              <w:t>$</w:t>
            </w:r>
            <w:r w:rsidR="00E9018B" w:rsidRPr="00E9018B">
              <w:t>redacted</w:t>
            </w:r>
          </w:p>
        </w:tc>
        <w:tc>
          <w:tcPr>
            <w:tcW w:w="628" w:type="pct"/>
            <w:tcBorders>
              <w:bottom w:val="single" w:sz="4" w:space="0" w:color="auto"/>
            </w:tcBorders>
            <w:vAlign w:val="center"/>
          </w:tcPr>
          <w:p w14:paraId="5450DF98" w14:textId="640F216E" w:rsidR="006B0A12" w:rsidRPr="00284234" w:rsidRDefault="006B0A12" w:rsidP="00540A74">
            <w:pPr>
              <w:pStyle w:val="TableText"/>
              <w:ind w:left="-57"/>
              <w:jc w:val="right"/>
            </w:pPr>
            <w:r w:rsidRPr="00284234">
              <w:t>$</w:t>
            </w:r>
            <w:r w:rsidR="00E9018B" w:rsidRPr="00E9018B">
              <w:t>redacted</w:t>
            </w:r>
          </w:p>
        </w:tc>
        <w:tc>
          <w:tcPr>
            <w:tcW w:w="674" w:type="pct"/>
            <w:tcBorders>
              <w:bottom w:val="single" w:sz="4" w:space="0" w:color="auto"/>
            </w:tcBorders>
            <w:vAlign w:val="center"/>
          </w:tcPr>
          <w:p w14:paraId="3D9EA34F" w14:textId="0013B168" w:rsidR="006B0A12" w:rsidRPr="00284234" w:rsidRDefault="006B0A12" w:rsidP="00540A74">
            <w:pPr>
              <w:pStyle w:val="TableText"/>
              <w:ind w:left="-57"/>
              <w:jc w:val="right"/>
            </w:pPr>
            <w:r w:rsidRPr="00284234">
              <w:t>$</w:t>
            </w:r>
            <w:r w:rsidR="00E9018B" w:rsidRPr="00E9018B">
              <w:t>redacted</w:t>
            </w:r>
          </w:p>
        </w:tc>
      </w:tr>
      <w:tr w:rsidR="006B0A12" w:rsidRPr="00284234" w14:paraId="7E521AFC" w14:textId="77777777" w:rsidTr="00540A74">
        <w:tc>
          <w:tcPr>
            <w:tcW w:w="1187" w:type="pct"/>
            <w:tcBorders>
              <w:bottom w:val="nil"/>
            </w:tcBorders>
          </w:tcPr>
          <w:p w14:paraId="39F34CBF" w14:textId="77777777" w:rsidR="006B0A12" w:rsidRPr="00284234" w:rsidRDefault="006B0A12" w:rsidP="00540A74">
            <w:pPr>
              <w:pStyle w:val="TableText"/>
              <w:rPr>
                <w:b/>
              </w:rPr>
            </w:pPr>
            <w:r w:rsidRPr="00284234">
              <w:rPr>
                <w:b/>
              </w:rPr>
              <w:t>Net cost to the MBS</w:t>
            </w:r>
          </w:p>
        </w:tc>
        <w:tc>
          <w:tcPr>
            <w:tcW w:w="626" w:type="pct"/>
            <w:tcBorders>
              <w:bottom w:val="nil"/>
            </w:tcBorders>
            <w:vAlign w:val="center"/>
          </w:tcPr>
          <w:p w14:paraId="45D405DE" w14:textId="3D202CC8" w:rsidR="006B0A12" w:rsidRPr="00284234" w:rsidRDefault="00E9018B" w:rsidP="00E9018B">
            <w:pPr>
              <w:pStyle w:val="TableText"/>
              <w:ind w:left="-57"/>
              <w:jc w:val="right"/>
              <w:rPr>
                <w:b/>
                <w:i/>
              </w:rPr>
            </w:pPr>
            <w:r>
              <w:t>$</w:t>
            </w:r>
            <w:r w:rsidRPr="00E9018B">
              <w:t>redacted</w:t>
            </w:r>
          </w:p>
        </w:tc>
        <w:tc>
          <w:tcPr>
            <w:tcW w:w="630" w:type="pct"/>
            <w:tcBorders>
              <w:bottom w:val="nil"/>
            </w:tcBorders>
            <w:vAlign w:val="center"/>
          </w:tcPr>
          <w:p w14:paraId="71F1DE40" w14:textId="41EDEF11" w:rsidR="006B0A12" w:rsidRPr="00284234" w:rsidRDefault="006B0A12" w:rsidP="00E9018B">
            <w:pPr>
              <w:pStyle w:val="TableText"/>
              <w:ind w:left="-57"/>
              <w:jc w:val="right"/>
              <w:rPr>
                <w:b/>
                <w:i/>
              </w:rPr>
            </w:pPr>
            <w:r w:rsidRPr="00284234">
              <w:t>$</w:t>
            </w:r>
            <w:r w:rsidR="00E9018B" w:rsidRPr="00E9018B">
              <w:t>redacted</w:t>
            </w:r>
          </w:p>
        </w:tc>
        <w:tc>
          <w:tcPr>
            <w:tcW w:w="628" w:type="pct"/>
            <w:tcBorders>
              <w:bottom w:val="nil"/>
            </w:tcBorders>
            <w:vAlign w:val="center"/>
          </w:tcPr>
          <w:p w14:paraId="66E83DD3" w14:textId="2CAC59F9" w:rsidR="006B0A12" w:rsidRPr="00284234" w:rsidRDefault="006B0A12" w:rsidP="00540A74">
            <w:pPr>
              <w:pStyle w:val="TableText"/>
              <w:ind w:left="-57"/>
              <w:jc w:val="right"/>
              <w:rPr>
                <w:b/>
                <w:i/>
              </w:rPr>
            </w:pPr>
            <w:r w:rsidRPr="00284234">
              <w:t>$</w:t>
            </w:r>
            <w:r w:rsidR="00E9018B" w:rsidRPr="00E9018B">
              <w:t>redacted</w:t>
            </w:r>
          </w:p>
        </w:tc>
        <w:tc>
          <w:tcPr>
            <w:tcW w:w="628" w:type="pct"/>
            <w:tcBorders>
              <w:bottom w:val="nil"/>
            </w:tcBorders>
            <w:vAlign w:val="center"/>
          </w:tcPr>
          <w:p w14:paraId="7698BC2A" w14:textId="14E7AD9D" w:rsidR="006B0A12" w:rsidRPr="00284234" w:rsidRDefault="006B0A12" w:rsidP="00E9018B">
            <w:pPr>
              <w:pStyle w:val="TableText"/>
              <w:ind w:left="-57"/>
              <w:jc w:val="right"/>
              <w:rPr>
                <w:b/>
                <w:i/>
              </w:rPr>
            </w:pPr>
            <w:r w:rsidRPr="00284234">
              <w:t>$</w:t>
            </w:r>
            <w:r w:rsidR="00E9018B" w:rsidRPr="00E9018B">
              <w:t>redacted</w:t>
            </w:r>
          </w:p>
        </w:tc>
        <w:tc>
          <w:tcPr>
            <w:tcW w:w="628" w:type="pct"/>
            <w:tcBorders>
              <w:bottom w:val="nil"/>
            </w:tcBorders>
            <w:vAlign w:val="center"/>
          </w:tcPr>
          <w:p w14:paraId="5C778267" w14:textId="37A8C092" w:rsidR="006B0A12" w:rsidRPr="00284234" w:rsidRDefault="006B0A12" w:rsidP="00540A74">
            <w:pPr>
              <w:pStyle w:val="TableText"/>
              <w:ind w:left="-57"/>
              <w:jc w:val="right"/>
              <w:rPr>
                <w:b/>
                <w:i/>
              </w:rPr>
            </w:pPr>
            <w:r w:rsidRPr="00284234">
              <w:t>$</w:t>
            </w:r>
            <w:r w:rsidR="00E9018B" w:rsidRPr="00E9018B">
              <w:t>redacted</w:t>
            </w:r>
          </w:p>
        </w:tc>
        <w:tc>
          <w:tcPr>
            <w:tcW w:w="674" w:type="pct"/>
            <w:tcBorders>
              <w:bottom w:val="nil"/>
            </w:tcBorders>
            <w:vAlign w:val="center"/>
          </w:tcPr>
          <w:p w14:paraId="6FD2A007" w14:textId="7002185B" w:rsidR="006B0A12" w:rsidRPr="00284234" w:rsidRDefault="006B0A12" w:rsidP="00540A74">
            <w:pPr>
              <w:pStyle w:val="TableText"/>
              <w:ind w:left="-57"/>
              <w:jc w:val="right"/>
              <w:rPr>
                <w:b/>
                <w:i/>
              </w:rPr>
            </w:pPr>
            <w:r w:rsidRPr="00284234">
              <w:t>$</w:t>
            </w:r>
            <w:r w:rsidR="00E9018B" w:rsidRPr="00E9018B">
              <w:t>redacted</w:t>
            </w:r>
          </w:p>
        </w:tc>
      </w:tr>
      <w:tr w:rsidR="006B0A12" w:rsidRPr="00E9018B" w14:paraId="6B86E4C1" w14:textId="77777777" w:rsidTr="00540A74">
        <w:tc>
          <w:tcPr>
            <w:tcW w:w="1187" w:type="pct"/>
            <w:tcBorders>
              <w:top w:val="nil"/>
              <w:bottom w:val="single" w:sz="4" w:space="0" w:color="auto"/>
            </w:tcBorders>
          </w:tcPr>
          <w:p w14:paraId="2EE22BDC" w14:textId="77777777" w:rsidR="006B0A12" w:rsidRPr="00E9018B" w:rsidRDefault="006B0A12" w:rsidP="00CA5D35">
            <w:pPr>
              <w:pStyle w:val="TableText"/>
              <w:rPr>
                <w:b/>
              </w:rPr>
            </w:pPr>
            <w:proofErr w:type="spellStart"/>
            <w:r w:rsidRPr="00E9018B">
              <w:rPr>
                <w:b/>
              </w:rPr>
              <w:t>Revised</w:t>
            </w:r>
            <w:r w:rsidRPr="00E9018B">
              <w:rPr>
                <w:b/>
                <w:vertAlign w:val="superscript"/>
              </w:rPr>
              <w:t>b</w:t>
            </w:r>
            <w:proofErr w:type="spellEnd"/>
          </w:p>
        </w:tc>
        <w:tc>
          <w:tcPr>
            <w:tcW w:w="626" w:type="pct"/>
            <w:tcBorders>
              <w:top w:val="nil"/>
              <w:bottom w:val="single" w:sz="4" w:space="0" w:color="auto"/>
            </w:tcBorders>
            <w:vAlign w:val="center"/>
          </w:tcPr>
          <w:p w14:paraId="35B96992" w14:textId="781C390C" w:rsidR="006B0A12" w:rsidRPr="00E9018B" w:rsidRDefault="006B0A12" w:rsidP="00E9018B">
            <w:pPr>
              <w:pStyle w:val="TableText"/>
              <w:ind w:left="-57"/>
              <w:jc w:val="right"/>
              <w:rPr>
                <w:b/>
              </w:rPr>
            </w:pPr>
            <w:r w:rsidRPr="00E9018B">
              <w:rPr>
                <w:b/>
              </w:rPr>
              <w:t>$</w:t>
            </w:r>
            <w:r w:rsidR="00E9018B" w:rsidRPr="00E9018B">
              <w:rPr>
                <w:b/>
              </w:rPr>
              <w:t>redacted</w:t>
            </w:r>
          </w:p>
        </w:tc>
        <w:tc>
          <w:tcPr>
            <w:tcW w:w="630" w:type="pct"/>
            <w:tcBorders>
              <w:top w:val="nil"/>
              <w:bottom w:val="single" w:sz="4" w:space="0" w:color="auto"/>
            </w:tcBorders>
            <w:vAlign w:val="center"/>
          </w:tcPr>
          <w:p w14:paraId="2513C6EE" w14:textId="62761F04" w:rsidR="006B0A12" w:rsidRPr="00E9018B" w:rsidRDefault="006B0A12" w:rsidP="00E9018B">
            <w:pPr>
              <w:pStyle w:val="TableText"/>
              <w:ind w:left="-57"/>
              <w:jc w:val="right"/>
              <w:rPr>
                <w:b/>
              </w:rPr>
            </w:pPr>
            <w:r w:rsidRPr="00E9018B">
              <w:rPr>
                <w:b/>
              </w:rPr>
              <w:t>$</w:t>
            </w:r>
            <w:r w:rsidR="00E9018B" w:rsidRPr="00E9018B">
              <w:rPr>
                <w:b/>
              </w:rPr>
              <w:t>redacted</w:t>
            </w:r>
          </w:p>
        </w:tc>
        <w:tc>
          <w:tcPr>
            <w:tcW w:w="628" w:type="pct"/>
            <w:tcBorders>
              <w:top w:val="nil"/>
              <w:bottom w:val="single" w:sz="4" w:space="0" w:color="auto"/>
            </w:tcBorders>
            <w:vAlign w:val="center"/>
          </w:tcPr>
          <w:p w14:paraId="02C3577B" w14:textId="36FDB283" w:rsidR="006B0A12" w:rsidRPr="00E9018B" w:rsidRDefault="00E9018B" w:rsidP="00540A74">
            <w:pPr>
              <w:pStyle w:val="TableText"/>
              <w:ind w:left="-57"/>
              <w:jc w:val="right"/>
              <w:rPr>
                <w:b/>
              </w:rPr>
            </w:pPr>
            <w:r w:rsidRPr="00E9018B">
              <w:rPr>
                <w:b/>
              </w:rPr>
              <w:t>$redacted</w:t>
            </w:r>
          </w:p>
        </w:tc>
        <w:tc>
          <w:tcPr>
            <w:tcW w:w="628" w:type="pct"/>
            <w:tcBorders>
              <w:top w:val="nil"/>
              <w:bottom w:val="single" w:sz="4" w:space="0" w:color="auto"/>
            </w:tcBorders>
            <w:vAlign w:val="center"/>
          </w:tcPr>
          <w:p w14:paraId="1AFFB3F2" w14:textId="10A6F48C" w:rsidR="006B0A12" w:rsidRPr="00E9018B" w:rsidRDefault="00E9018B" w:rsidP="00540A74">
            <w:pPr>
              <w:pStyle w:val="TableText"/>
              <w:ind w:left="-57"/>
              <w:jc w:val="right"/>
              <w:rPr>
                <w:b/>
              </w:rPr>
            </w:pPr>
            <w:r w:rsidRPr="00E9018B">
              <w:rPr>
                <w:b/>
              </w:rPr>
              <w:t>$redacted</w:t>
            </w:r>
          </w:p>
        </w:tc>
        <w:tc>
          <w:tcPr>
            <w:tcW w:w="628" w:type="pct"/>
            <w:tcBorders>
              <w:top w:val="nil"/>
              <w:bottom w:val="single" w:sz="4" w:space="0" w:color="auto"/>
            </w:tcBorders>
            <w:vAlign w:val="center"/>
          </w:tcPr>
          <w:p w14:paraId="5EA70F79" w14:textId="5AE45690" w:rsidR="006B0A12" w:rsidRPr="00E9018B" w:rsidRDefault="00E9018B" w:rsidP="00540A74">
            <w:pPr>
              <w:pStyle w:val="TableText"/>
              <w:ind w:left="-57"/>
              <w:jc w:val="right"/>
              <w:rPr>
                <w:b/>
              </w:rPr>
            </w:pPr>
            <w:r w:rsidRPr="00E9018B">
              <w:rPr>
                <w:b/>
              </w:rPr>
              <w:t>$redacted</w:t>
            </w:r>
          </w:p>
        </w:tc>
        <w:tc>
          <w:tcPr>
            <w:tcW w:w="674" w:type="pct"/>
            <w:tcBorders>
              <w:top w:val="nil"/>
              <w:bottom w:val="single" w:sz="4" w:space="0" w:color="auto"/>
            </w:tcBorders>
            <w:vAlign w:val="center"/>
          </w:tcPr>
          <w:p w14:paraId="4A098D84" w14:textId="3065C68B" w:rsidR="006B0A12" w:rsidRPr="00E9018B" w:rsidRDefault="00E9018B" w:rsidP="00540A74">
            <w:pPr>
              <w:pStyle w:val="TableText"/>
              <w:ind w:left="-57"/>
              <w:jc w:val="right"/>
              <w:rPr>
                <w:b/>
              </w:rPr>
            </w:pPr>
            <w:r w:rsidRPr="00E9018B">
              <w:rPr>
                <w:b/>
              </w:rPr>
              <w:t>$redacted</w:t>
            </w:r>
          </w:p>
        </w:tc>
      </w:tr>
      <w:tr w:rsidR="006B0A12" w:rsidRPr="00BD2F5B" w14:paraId="1F60C95C" w14:textId="77777777" w:rsidTr="00540A74">
        <w:tc>
          <w:tcPr>
            <w:tcW w:w="1187" w:type="pct"/>
            <w:tcBorders>
              <w:top w:val="single" w:sz="4" w:space="0" w:color="auto"/>
              <w:bottom w:val="nil"/>
            </w:tcBorders>
          </w:tcPr>
          <w:p w14:paraId="3102BE38" w14:textId="77777777" w:rsidR="006B0A12" w:rsidRPr="00BD2F5B" w:rsidRDefault="006B0A12" w:rsidP="00540A74">
            <w:pPr>
              <w:pStyle w:val="TableText"/>
            </w:pPr>
            <w:r w:rsidRPr="00BD2F5B">
              <w:t>Net cost to the PBS/RPBS</w:t>
            </w:r>
          </w:p>
        </w:tc>
        <w:tc>
          <w:tcPr>
            <w:tcW w:w="626" w:type="pct"/>
            <w:tcBorders>
              <w:top w:val="single" w:sz="4" w:space="0" w:color="auto"/>
              <w:bottom w:val="nil"/>
            </w:tcBorders>
          </w:tcPr>
          <w:p w14:paraId="514838CB" w14:textId="0F7A3879" w:rsidR="006B0A12" w:rsidRPr="00BD2F5B" w:rsidRDefault="00E9018B" w:rsidP="00540A74">
            <w:pPr>
              <w:pStyle w:val="TableText"/>
              <w:ind w:left="-57"/>
              <w:jc w:val="right"/>
            </w:pPr>
            <w:r>
              <w:t>$</w:t>
            </w:r>
            <w:r w:rsidRPr="00E9018B">
              <w:t>redacted</w:t>
            </w:r>
          </w:p>
        </w:tc>
        <w:tc>
          <w:tcPr>
            <w:tcW w:w="630" w:type="pct"/>
            <w:tcBorders>
              <w:top w:val="single" w:sz="4" w:space="0" w:color="auto"/>
              <w:bottom w:val="nil"/>
            </w:tcBorders>
          </w:tcPr>
          <w:p w14:paraId="5AB7A467" w14:textId="333CCCFF" w:rsidR="006B0A12" w:rsidRPr="00BD2F5B" w:rsidRDefault="00E9018B" w:rsidP="00540A74">
            <w:pPr>
              <w:pStyle w:val="TableText"/>
              <w:ind w:left="-57"/>
              <w:jc w:val="right"/>
            </w:pPr>
            <w:r>
              <w:t>$</w:t>
            </w:r>
            <w:r w:rsidRPr="00E9018B">
              <w:t>redacted</w:t>
            </w:r>
          </w:p>
        </w:tc>
        <w:tc>
          <w:tcPr>
            <w:tcW w:w="628" w:type="pct"/>
            <w:tcBorders>
              <w:top w:val="single" w:sz="4" w:space="0" w:color="auto"/>
              <w:bottom w:val="nil"/>
            </w:tcBorders>
          </w:tcPr>
          <w:p w14:paraId="522AE965" w14:textId="6252D6C4" w:rsidR="006B0A12" w:rsidRPr="00BD2F5B" w:rsidRDefault="00E9018B" w:rsidP="00540A74">
            <w:pPr>
              <w:pStyle w:val="TableText"/>
              <w:ind w:left="-57"/>
              <w:jc w:val="right"/>
            </w:pPr>
            <w:r>
              <w:t>$</w:t>
            </w:r>
            <w:r w:rsidRPr="00E9018B">
              <w:t>redacted</w:t>
            </w:r>
          </w:p>
        </w:tc>
        <w:tc>
          <w:tcPr>
            <w:tcW w:w="628" w:type="pct"/>
            <w:tcBorders>
              <w:top w:val="single" w:sz="4" w:space="0" w:color="auto"/>
              <w:bottom w:val="nil"/>
            </w:tcBorders>
          </w:tcPr>
          <w:p w14:paraId="5348A9B2" w14:textId="468688C4" w:rsidR="006B0A12" w:rsidRPr="00BD2F5B" w:rsidRDefault="00E9018B" w:rsidP="00540A74">
            <w:pPr>
              <w:pStyle w:val="TableText"/>
              <w:ind w:left="-57"/>
              <w:jc w:val="right"/>
            </w:pPr>
            <w:r>
              <w:t>$</w:t>
            </w:r>
            <w:r w:rsidRPr="00E9018B">
              <w:t>redacted</w:t>
            </w:r>
          </w:p>
        </w:tc>
        <w:tc>
          <w:tcPr>
            <w:tcW w:w="628" w:type="pct"/>
            <w:tcBorders>
              <w:top w:val="single" w:sz="4" w:space="0" w:color="auto"/>
              <w:bottom w:val="nil"/>
            </w:tcBorders>
          </w:tcPr>
          <w:p w14:paraId="25A301FC" w14:textId="68F22882" w:rsidR="006B0A12" w:rsidRPr="00BD2F5B" w:rsidRDefault="00E9018B" w:rsidP="00540A74">
            <w:pPr>
              <w:pStyle w:val="TableText"/>
              <w:ind w:left="-57"/>
              <w:jc w:val="right"/>
            </w:pPr>
            <w:r>
              <w:t>$</w:t>
            </w:r>
            <w:r w:rsidRPr="00E9018B">
              <w:t>redacted</w:t>
            </w:r>
          </w:p>
        </w:tc>
        <w:tc>
          <w:tcPr>
            <w:tcW w:w="674" w:type="pct"/>
            <w:tcBorders>
              <w:top w:val="single" w:sz="4" w:space="0" w:color="auto"/>
              <w:bottom w:val="nil"/>
            </w:tcBorders>
          </w:tcPr>
          <w:p w14:paraId="798FDEBC" w14:textId="4D346BE0" w:rsidR="006B0A12" w:rsidRPr="00BD2F5B" w:rsidRDefault="00E9018B" w:rsidP="00540A74">
            <w:pPr>
              <w:pStyle w:val="TableText"/>
              <w:ind w:left="-57"/>
              <w:jc w:val="right"/>
            </w:pPr>
            <w:r>
              <w:t>$</w:t>
            </w:r>
            <w:r w:rsidRPr="00E9018B">
              <w:t>redacted</w:t>
            </w:r>
          </w:p>
        </w:tc>
      </w:tr>
      <w:tr w:rsidR="006B0A12" w:rsidRPr="00BD2F5B" w14:paraId="42C27816" w14:textId="77777777" w:rsidTr="00540A74">
        <w:tc>
          <w:tcPr>
            <w:tcW w:w="1187" w:type="pct"/>
            <w:tcBorders>
              <w:top w:val="nil"/>
              <w:bottom w:val="single" w:sz="4" w:space="0" w:color="auto"/>
            </w:tcBorders>
          </w:tcPr>
          <w:p w14:paraId="5F199A06" w14:textId="77777777" w:rsidR="006B0A12" w:rsidRPr="00BD2F5B" w:rsidRDefault="006B0A12" w:rsidP="00CA5D35">
            <w:pPr>
              <w:pStyle w:val="TableText"/>
            </w:pPr>
            <w:proofErr w:type="spellStart"/>
            <w:r w:rsidRPr="00BD2F5B">
              <w:t>Revised</w:t>
            </w:r>
            <w:r w:rsidRPr="00BD2F5B">
              <w:rPr>
                <w:vertAlign w:val="superscript"/>
              </w:rPr>
              <w:t>c</w:t>
            </w:r>
            <w:proofErr w:type="spellEnd"/>
            <w:r w:rsidRPr="00BD2F5B">
              <w:t xml:space="preserve"> </w:t>
            </w:r>
          </w:p>
        </w:tc>
        <w:tc>
          <w:tcPr>
            <w:tcW w:w="626" w:type="pct"/>
            <w:tcBorders>
              <w:top w:val="nil"/>
              <w:bottom w:val="single" w:sz="4" w:space="0" w:color="auto"/>
            </w:tcBorders>
          </w:tcPr>
          <w:p w14:paraId="7436BC95" w14:textId="1E4454F0" w:rsidR="006B0A12" w:rsidRPr="00BD2F5B" w:rsidRDefault="00E9018B" w:rsidP="00540A74">
            <w:pPr>
              <w:pStyle w:val="TableText"/>
              <w:ind w:left="-57"/>
              <w:jc w:val="right"/>
            </w:pPr>
            <w:r>
              <w:t>$</w:t>
            </w:r>
            <w:r w:rsidRPr="00E9018B">
              <w:t>redacted</w:t>
            </w:r>
          </w:p>
        </w:tc>
        <w:tc>
          <w:tcPr>
            <w:tcW w:w="630" w:type="pct"/>
            <w:tcBorders>
              <w:top w:val="nil"/>
              <w:bottom w:val="single" w:sz="4" w:space="0" w:color="auto"/>
            </w:tcBorders>
          </w:tcPr>
          <w:p w14:paraId="72ED8940" w14:textId="02D6D27C" w:rsidR="006B0A12" w:rsidRPr="00BD2F5B" w:rsidRDefault="00E9018B" w:rsidP="00540A74">
            <w:pPr>
              <w:pStyle w:val="TableText"/>
              <w:ind w:left="-57"/>
              <w:jc w:val="right"/>
            </w:pPr>
            <w:r>
              <w:t>$</w:t>
            </w:r>
            <w:r w:rsidRPr="00E9018B">
              <w:t>redacted</w:t>
            </w:r>
          </w:p>
        </w:tc>
        <w:tc>
          <w:tcPr>
            <w:tcW w:w="628" w:type="pct"/>
            <w:tcBorders>
              <w:top w:val="nil"/>
              <w:bottom w:val="single" w:sz="4" w:space="0" w:color="auto"/>
            </w:tcBorders>
          </w:tcPr>
          <w:p w14:paraId="1DB75676" w14:textId="63B396C3" w:rsidR="006B0A12" w:rsidRPr="00BD2F5B" w:rsidRDefault="00E9018B" w:rsidP="00540A74">
            <w:pPr>
              <w:pStyle w:val="TableText"/>
              <w:ind w:left="-57"/>
              <w:jc w:val="right"/>
            </w:pPr>
            <w:r>
              <w:t>$</w:t>
            </w:r>
            <w:r w:rsidRPr="00E9018B">
              <w:t>redacted</w:t>
            </w:r>
          </w:p>
        </w:tc>
        <w:tc>
          <w:tcPr>
            <w:tcW w:w="628" w:type="pct"/>
            <w:tcBorders>
              <w:top w:val="nil"/>
              <w:bottom w:val="single" w:sz="4" w:space="0" w:color="auto"/>
            </w:tcBorders>
          </w:tcPr>
          <w:p w14:paraId="1D7CAA3C" w14:textId="3D4E93BC" w:rsidR="006B0A12" w:rsidRPr="00BD2F5B" w:rsidRDefault="00E9018B" w:rsidP="00540A74">
            <w:pPr>
              <w:pStyle w:val="TableText"/>
              <w:ind w:left="-57"/>
              <w:jc w:val="right"/>
            </w:pPr>
            <w:r>
              <w:t>$</w:t>
            </w:r>
            <w:r w:rsidRPr="00E9018B">
              <w:t>redacted</w:t>
            </w:r>
          </w:p>
        </w:tc>
        <w:tc>
          <w:tcPr>
            <w:tcW w:w="628" w:type="pct"/>
            <w:tcBorders>
              <w:top w:val="nil"/>
              <w:bottom w:val="single" w:sz="4" w:space="0" w:color="auto"/>
            </w:tcBorders>
          </w:tcPr>
          <w:p w14:paraId="529B9092" w14:textId="199E4715" w:rsidR="006B0A12" w:rsidRPr="00BD2F5B" w:rsidRDefault="00E9018B" w:rsidP="00540A74">
            <w:pPr>
              <w:pStyle w:val="TableText"/>
              <w:ind w:left="-57"/>
              <w:jc w:val="right"/>
            </w:pPr>
            <w:r>
              <w:t>$</w:t>
            </w:r>
            <w:r w:rsidRPr="00E9018B">
              <w:t>redacted</w:t>
            </w:r>
          </w:p>
        </w:tc>
        <w:tc>
          <w:tcPr>
            <w:tcW w:w="674" w:type="pct"/>
            <w:tcBorders>
              <w:top w:val="nil"/>
              <w:bottom w:val="single" w:sz="4" w:space="0" w:color="auto"/>
            </w:tcBorders>
          </w:tcPr>
          <w:p w14:paraId="35060389" w14:textId="0500B166" w:rsidR="006B0A12" w:rsidRPr="00BD2F5B" w:rsidRDefault="00E9018B" w:rsidP="00540A74">
            <w:pPr>
              <w:pStyle w:val="TableText"/>
              <w:ind w:left="-57"/>
              <w:jc w:val="right"/>
            </w:pPr>
            <w:r>
              <w:t>$</w:t>
            </w:r>
            <w:r w:rsidRPr="00E9018B">
              <w:t>redacted</w:t>
            </w:r>
          </w:p>
        </w:tc>
      </w:tr>
      <w:tr w:rsidR="006B0A12" w:rsidRPr="00BD2F5B" w14:paraId="27CDF5F3" w14:textId="77777777" w:rsidTr="00540A74">
        <w:tc>
          <w:tcPr>
            <w:tcW w:w="1187" w:type="pct"/>
            <w:tcBorders>
              <w:top w:val="single" w:sz="4" w:space="0" w:color="auto"/>
              <w:bottom w:val="nil"/>
            </w:tcBorders>
          </w:tcPr>
          <w:p w14:paraId="3985AB40" w14:textId="77777777" w:rsidR="006B0A12" w:rsidRPr="00BD2F5B" w:rsidRDefault="006B0A12" w:rsidP="00540A74">
            <w:pPr>
              <w:pStyle w:val="TableText"/>
              <w:jc w:val="left"/>
              <w:rPr>
                <w:b/>
              </w:rPr>
            </w:pPr>
            <w:r w:rsidRPr="00BD2F5B">
              <w:rPr>
                <w:b/>
              </w:rPr>
              <w:t>Net cost to the Government</w:t>
            </w:r>
          </w:p>
        </w:tc>
        <w:tc>
          <w:tcPr>
            <w:tcW w:w="626" w:type="pct"/>
            <w:tcBorders>
              <w:top w:val="single" w:sz="4" w:space="0" w:color="auto"/>
              <w:bottom w:val="nil"/>
            </w:tcBorders>
          </w:tcPr>
          <w:p w14:paraId="5807861F" w14:textId="1B94A09C" w:rsidR="006B0A12" w:rsidRPr="00BD2F5B" w:rsidRDefault="00E9018B" w:rsidP="00540A74">
            <w:pPr>
              <w:pStyle w:val="TableText"/>
              <w:ind w:left="-57"/>
              <w:jc w:val="right"/>
              <w:rPr>
                <w:b/>
              </w:rPr>
            </w:pPr>
            <w:r w:rsidRPr="00E9018B">
              <w:rPr>
                <w:b/>
              </w:rPr>
              <w:t>$redacted</w:t>
            </w:r>
          </w:p>
        </w:tc>
        <w:tc>
          <w:tcPr>
            <w:tcW w:w="630" w:type="pct"/>
            <w:tcBorders>
              <w:top w:val="single" w:sz="4" w:space="0" w:color="auto"/>
              <w:bottom w:val="nil"/>
            </w:tcBorders>
          </w:tcPr>
          <w:p w14:paraId="33B1453B" w14:textId="1D354573" w:rsidR="006B0A12" w:rsidRPr="00BD2F5B" w:rsidRDefault="00E9018B" w:rsidP="00540A74">
            <w:pPr>
              <w:pStyle w:val="TableText"/>
              <w:ind w:left="-57"/>
              <w:jc w:val="right"/>
              <w:rPr>
                <w:b/>
              </w:rPr>
            </w:pPr>
            <w:r w:rsidRPr="00E9018B">
              <w:rPr>
                <w:b/>
              </w:rPr>
              <w:t>$redacted</w:t>
            </w:r>
          </w:p>
        </w:tc>
        <w:tc>
          <w:tcPr>
            <w:tcW w:w="628" w:type="pct"/>
            <w:tcBorders>
              <w:top w:val="single" w:sz="4" w:space="0" w:color="auto"/>
              <w:bottom w:val="nil"/>
            </w:tcBorders>
          </w:tcPr>
          <w:p w14:paraId="32B9A67A" w14:textId="66CACB73" w:rsidR="006B0A12" w:rsidRPr="00BD2F5B" w:rsidRDefault="00E9018B" w:rsidP="00540A74">
            <w:pPr>
              <w:pStyle w:val="TableText"/>
              <w:ind w:left="-57"/>
              <w:jc w:val="right"/>
              <w:rPr>
                <w:b/>
              </w:rPr>
            </w:pPr>
            <w:r w:rsidRPr="00E9018B">
              <w:rPr>
                <w:b/>
              </w:rPr>
              <w:t>$redacted</w:t>
            </w:r>
          </w:p>
        </w:tc>
        <w:tc>
          <w:tcPr>
            <w:tcW w:w="628" w:type="pct"/>
            <w:tcBorders>
              <w:top w:val="single" w:sz="4" w:space="0" w:color="auto"/>
              <w:bottom w:val="nil"/>
            </w:tcBorders>
          </w:tcPr>
          <w:p w14:paraId="17345916" w14:textId="5DE4001B" w:rsidR="006B0A12" w:rsidRPr="00BD2F5B" w:rsidRDefault="00E9018B" w:rsidP="00540A74">
            <w:pPr>
              <w:pStyle w:val="TableText"/>
              <w:ind w:left="-57"/>
              <w:jc w:val="right"/>
              <w:rPr>
                <w:b/>
              </w:rPr>
            </w:pPr>
            <w:r w:rsidRPr="00E9018B">
              <w:rPr>
                <w:b/>
              </w:rPr>
              <w:t>$redacted</w:t>
            </w:r>
          </w:p>
        </w:tc>
        <w:tc>
          <w:tcPr>
            <w:tcW w:w="628" w:type="pct"/>
            <w:tcBorders>
              <w:top w:val="single" w:sz="4" w:space="0" w:color="auto"/>
              <w:bottom w:val="nil"/>
            </w:tcBorders>
          </w:tcPr>
          <w:p w14:paraId="4E4A4E66" w14:textId="7A9CAF37" w:rsidR="006B0A12" w:rsidRPr="00BD2F5B" w:rsidRDefault="00E9018B" w:rsidP="00540A74">
            <w:pPr>
              <w:pStyle w:val="TableText"/>
              <w:ind w:left="-57"/>
              <w:jc w:val="right"/>
              <w:rPr>
                <w:b/>
              </w:rPr>
            </w:pPr>
            <w:r w:rsidRPr="00E9018B">
              <w:rPr>
                <w:b/>
              </w:rPr>
              <w:t>$redacted</w:t>
            </w:r>
          </w:p>
        </w:tc>
        <w:tc>
          <w:tcPr>
            <w:tcW w:w="674" w:type="pct"/>
            <w:tcBorders>
              <w:top w:val="single" w:sz="4" w:space="0" w:color="auto"/>
              <w:bottom w:val="nil"/>
            </w:tcBorders>
          </w:tcPr>
          <w:p w14:paraId="13AE7BBE" w14:textId="336A66A0" w:rsidR="006B0A12" w:rsidRPr="00BD2F5B" w:rsidRDefault="00E9018B" w:rsidP="00540A74">
            <w:pPr>
              <w:pStyle w:val="TableText"/>
              <w:ind w:left="-57"/>
              <w:jc w:val="right"/>
              <w:rPr>
                <w:b/>
              </w:rPr>
            </w:pPr>
            <w:r w:rsidRPr="00E9018B">
              <w:rPr>
                <w:b/>
              </w:rPr>
              <w:t>$redacted</w:t>
            </w:r>
          </w:p>
        </w:tc>
      </w:tr>
      <w:tr w:rsidR="006B0A12" w:rsidRPr="00BD2F5B" w14:paraId="0F4EAE90" w14:textId="77777777" w:rsidTr="00540A74">
        <w:tc>
          <w:tcPr>
            <w:tcW w:w="1187" w:type="pct"/>
            <w:tcBorders>
              <w:top w:val="nil"/>
            </w:tcBorders>
          </w:tcPr>
          <w:p w14:paraId="23614186" w14:textId="77777777" w:rsidR="006B0A12" w:rsidRPr="00BD2F5B" w:rsidRDefault="006B0A12" w:rsidP="00CA5D35">
            <w:pPr>
              <w:pStyle w:val="TableText"/>
              <w:rPr>
                <w:b/>
              </w:rPr>
            </w:pPr>
            <w:proofErr w:type="spellStart"/>
            <w:r w:rsidRPr="00BD2F5B">
              <w:rPr>
                <w:b/>
              </w:rPr>
              <w:t>Revised</w:t>
            </w:r>
            <w:r w:rsidRPr="00BD2F5B">
              <w:rPr>
                <w:b/>
                <w:vertAlign w:val="superscript"/>
              </w:rPr>
              <w:t>b,c</w:t>
            </w:r>
            <w:proofErr w:type="spellEnd"/>
            <w:r w:rsidRPr="00BD2F5B">
              <w:rPr>
                <w:b/>
                <w:vertAlign w:val="superscript"/>
              </w:rPr>
              <w:t xml:space="preserve"> </w:t>
            </w:r>
          </w:p>
        </w:tc>
        <w:tc>
          <w:tcPr>
            <w:tcW w:w="626" w:type="pct"/>
            <w:tcBorders>
              <w:top w:val="nil"/>
            </w:tcBorders>
          </w:tcPr>
          <w:p w14:paraId="651B67C7" w14:textId="16056FD0" w:rsidR="006B0A12" w:rsidRPr="00BD2F5B" w:rsidRDefault="00E9018B" w:rsidP="00540A74">
            <w:pPr>
              <w:pStyle w:val="TableText"/>
              <w:ind w:left="-57"/>
              <w:jc w:val="right"/>
              <w:rPr>
                <w:b/>
              </w:rPr>
            </w:pPr>
            <w:r w:rsidRPr="00E9018B">
              <w:rPr>
                <w:b/>
              </w:rPr>
              <w:t>$redacted</w:t>
            </w:r>
          </w:p>
        </w:tc>
        <w:tc>
          <w:tcPr>
            <w:tcW w:w="630" w:type="pct"/>
            <w:tcBorders>
              <w:top w:val="nil"/>
            </w:tcBorders>
          </w:tcPr>
          <w:p w14:paraId="67691CAD" w14:textId="28FFF811" w:rsidR="006B0A12" w:rsidRPr="00BD2F5B" w:rsidRDefault="00E9018B" w:rsidP="00540A74">
            <w:pPr>
              <w:pStyle w:val="TableText"/>
              <w:ind w:left="-57"/>
              <w:jc w:val="right"/>
              <w:rPr>
                <w:b/>
              </w:rPr>
            </w:pPr>
            <w:r w:rsidRPr="00E9018B">
              <w:rPr>
                <w:b/>
              </w:rPr>
              <w:t>$redacted</w:t>
            </w:r>
          </w:p>
        </w:tc>
        <w:tc>
          <w:tcPr>
            <w:tcW w:w="628" w:type="pct"/>
            <w:tcBorders>
              <w:top w:val="nil"/>
            </w:tcBorders>
          </w:tcPr>
          <w:p w14:paraId="467DFB74" w14:textId="50CC661A" w:rsidR="006B0A12" w:rsidRPr="00BD2F5B" w:rsidRDefault="00E9018B" w:rsidP="00540A74">
            <w:pPr>
              <w:pStyle w:val="TableText"/>
              <w:ind w:left="-57"/>
              <w:jc w:val="right"/>
              <w:rPr>
                <w:b/>
              </w:rPr>
            </w:pPr>
            <w:r w:rsidRPr="00E9018B">
              <w:rPr>
                <w:b/>
              </w:rPr>
              <w:t>$redacted</w:t>
            </w:r>
          </w:p>
        </w:tc>
        <w:tc>
          <w:tcPr>
            <w:tcW w:w="628" w:type="pct"/>
            <w:tcBorders>
              <w:top w:val="nil"/>
            </w:tcBorders>
          </w:tcPr>
          <w:p w14:paraId="6A246C7A" w14:textId="7EB25E51" w:rsidR="006B0A12" w:rsidRPr="00BD2F5B" w:rsidRDefault="00E9018B" w:rsidP="00540A74">
            <w:pPr>
              <w:pStyle w:val="TableText"/>
              <w:ind w:left="-57"/>
              <w:jc w:val="right"/>
              <w:rPr>
                <w:b/>
              </w:rPr>
            </w:pPr>
            <w:r w:rsidRPr="00E9018B">
              <w:rPr>
                <w:b/>
              </w:rPr>
              <w:t>$redacted</w:t>
            </w:r>
          </w:p>
        </w:tc>
        <w:tc>
          <w:tcPr>
            <w:tcW w:w="628" w:type="pct"/>
            <w:tcBorders>
              <w:top w:val="nil"/>
            </w:tcBorders>
          </w:tcPr>
          <w:p w14:paraId="12626E46" w14:textId="19664A36" w:rsidR="006B0A12" w:rsidRPr="00BD2F5B" w:rsidRDefault="00E9018B" w:rsidP="00540A74">
            <w:pPr>
              <w:pStyle w:val="TableText"/>
              <w:ind w:left="-57"/>
              <w:jc w:val="right"/>
              <w:rPr>
                <w:b/>
              </w:rPr>
            </w:pPr>
            <w:r w:rsidRPr="00E9018B">
              <w:rPr>
                <w:b/>
              </w:rPr>
              <w:t>$redacted</w:t>
            </w:r>
          </w:p>
        </w:tc>
        <w:tc>
          <w:tcPr>
            <w:tcW w:w="674" w:type="pct"/>
            <w:tcBorders>
              <w:top w:val="nil"/>
            </w:tcBorders>
          </w:tcPr>
          <w:p w14:paraId="652D20C2" w14:textId="72DC87FF" w:rsidR="006B0A12" w:rsidRPr="00BD2F5B" w:rsidRDefault="00E9018B" w:rsidP="00540A74">
            <w:pPr>
              <w:pStyle w:val="TableText"/>
              <w:ind w:left="-57"/>
              <w:jc w:val="right"/>
              <w:rPr>
                <w:b/>
              </w:rPr>
            </w:pPr>
            <w:r w:rsidRPr="00E9018B">
              <w:rPr>
                <w:b/>
              </w:rPr>
              <w:t>$redacted</w:t>
            </w:r>
          </w:p>
        </w:tc>
      </w:tr>
    </w:tbl>
    <w:p w14:paraId="588B75FF" w14:textId="77777777" w:rsidR="006B0A12" w:rsidRPr="00284234" w:rsidRDefault="006B0A12" w:rsidP="006B0A12">
      <w:pPr>
        <w:widowControl w:val="0"/>
        <w:rPr>
          <w:rFonts w:ascii="Arial Narrow" w:eastAsia="TimesNewRoman" w:hAnsi="Arial Narrow" w:cs="Arial"/>
          <w:snapToGrid w:val="0"/>
          <w:sz w:val="18"/>
          <w:szCs w:val="18"/>
          <w:lang w:eastAsia="en-GB"/>
        </w:rPr>
      </w:pPr>
      <w:r w:rsidRPr="00284234">
        <w:rPr>
          <w:rFonts w:ascii="Arial Narrow" w:eastAsia="TimesNewRoman" w:hAnsi="Arial Narrow" w:cs="Arial"/>
          <w:snapToGrid w:val="0"/>
          <w:sz w:val="18"/>
          <w:szCs w:val="18"/>
          <w:lang w:eastAsia="en-GB"/>
        </w:rPr>
        <w:t>AE = adverse event</w:t>
      </w:r>
    </w:p>
    <w:p w14:paraId="793A8D80" w14:textId="77777777" w:rsidR="006B0A12" w:rsidRPr="00284234" w:rsidRDefault="006B0A12" w:rsidP="006B0A12">
      <w:pPr>
        <w:widowControl w:val="0"/>
        <w:rPr>
          <w:rFonts w:ascii="Arial Narrow" w:eastAsia="TimesNewRoman" w:hAnsi="Arial Narrow" w:cs="Arial"/>
          <w:snapToGrid w:val="0"/>
          <w:sz w:val="18"/>
          <w:szCs w:val="18"/>
          <w:lang w:eastAsia="en-GB"/>
        </w:rPr>
      </w:pPr>
      <w:proofErr w:type="spellStart"/>
      <w:proofErr w:type="gramStart"/>
      <w:r w:rsidRPr="00284234">
        <w:rPr>
          <w:rFonts w:ascii="Arial Narrow" w:eastAsia="TimesNewRoman" w:hAnsi="Arial Narrow" w:cs="Arial"/>
          <w:snapToGrid w:val="0"/>
          <w:sz w:val="18"/>
          <w:szCs w:val="18"/>
          <w:vertAlign w:val="superscript"/>
          <w:lang w:eastAsia="en-GB"/>
        </w:rPr>
        <w:t>a</w:t>
      </w:r>
      <w:proofErr w:type="spellEnd"/>
      <w:proofErr w:type="gramEnd"/>
      <w:r>
        <w:rPr>
          <w:rFonts w:ascii="Arial Narrow" w:eastAsia="TimesNewRoman" w:hAnsi="Arial Narrow" w:cs="Arial"/>
          <w:snapToGrid w:val="0"/>
          <w:sz w:val="18"/>
          <w:szCs w:val="18"/>
          <w:lang w:eastAsia="en-GB"/>
        </w:rPr>
        <w:t xml:space="preserve"> Including patients co-payments</w:t>
      </w:r>
    </w:p>
    <w:p w14:paraId="56536DD8" w14:textId="77777777" w:rsidR="006B0A12" w:rsidRPr="00BD2F5B" w:rsidRDefault="006B0A12" w:rsidP="006B0A12">
      <w:pPr>
        <w:widowControl w:val="0"/>
        <w:rPr>
          <w:rFonts w:ascii="Arial Narrow" w:eastAsia="TimesNewRoman" w:hAnsi="Arial Narrow" w:cs="Arial"/>
          <w:snapToGrid w:val="0"/>
          <w:sz w:val="18"/>
          <w:szCs w:val="18"/>
          <w:lang w:eastAsia="en-GB"/>
        </w:rPr>
      </w:pPr>
      <w:proofErr w:type="gramStart"/>
      <w:r w:rsidRPr="00284234">
        <w:rPr>
          <w:rFonts w:ascii="Arial Narrow" w:eastAsia="TimesNewRoman" w:hAnsi="Arial Narrow" w:cs="Arial"/>
          <w:snapToGrid w:val="0"/>
          <w:sz w:val="18"/>
          <w:szCs w:val="18"/>
          <w:vertAlign w:val="superscript"/>
          <w:lang w:eastAsia="en-GB"/>
        </w:rPr>
        <w:t>b</w:t>
      </w:r>
      <w:proofErr w:type="gramEnd"/>
      <w:r w:rsidRPr="00284234">
        <w:rPr>
          <w:rFonts w:ascii="Arial Narrow" w:eastAsia="TimesNewRoman" w:hAnsi="Arial Narrow" w:cs="Arial"/>
          <w:snapToGrid w:val="0"/>
          <w:sz w:val="18"/>
          <w:szCs w:val="18"/>
          <w:lang w:eastAsia="en-GB"/>
        </w:rPr>
        <w:t xml:space="preserve"> </w:t>
      </w:r>
      <w:r w:rsidRPr="00BD2F5B">
        <w:rPr>
          <w:rFonts w:ascii="Arial Narrow" w:eastAsia="TimesNewRoman" w:hAnsi="Arial Narrow" w:cs="Arial"/>
          <w:snapToGrid w:val="0"/>
          <w:sz w:val="18"/>
          <w:szCs w:val="18"/>
          <w:lang w:eastAsia="en-GB"/>
        </w:rPr>
        <w:t>Estimates were revised during the evaluation by including costs for disease management and drug administration</w:t>
      </w:r>
    </w:p>
    <w:p w14:paraId="59A9EB88" w14:textId="77777777" w:rsidR="006B0A12" w:rsidRPr="00BD2F5B" w:rsidRDefault="006B0A12" w:rsidP="006B0A12">
      <w:pPr>
        <w:pStyle w:val="TableFooter"/>
        <w:spacing w:before="0" w:after="0"/>
        <w:rPr>
          <w:rFonts w:eastAsia="TimesNewRoman"/>
          <w:szCs w:val="18"/>
          <w:lang w:eastAsia="en-GB"/>
        </w:rPr>
      </w:pPr>
      <w:proofErr w:type="gramStart"/>
      <w:r w:rsidRPr="00BD2F5B">
        <w:rPr>
          <w:vertAlign w:val="superscript"/>
        </w:rPr>
        <w:t>c</w:t>
      </w:r>
      <w:proofErr w:type="gramEnd"/>
      <w:r w:rsidRPr="00BD2F5B">
        <w:t xml:space="preserve"> Estimates were revised during the evaluation by amending the number of patients who would switch from first-line doublet chemotherapy to second-line nivolumab</w:t>
      </w:r>
    </w:p>
    <w:p w14:paraId="66BDA81B" w14:textId="2E2F7F63" w:rsidR="006B0A12" w:rsidRPr="00BD2F5B" w:rsidRDefault="006B0A12" w:rsidP="00CA5D35">
      <w:pPr>
        <w:spacing w:before="240" w:after="240"/>
        <w:rPr>
          <w:rFonts w:eastAsia="Calibri"/>
        </w:rPr>
      </w:pPr>
      <w:r w:rsidRPr="00BD2F5B">
        <w:rPr>
          <w:rFonts w:eastAsia="Calibri"/>
        </w:rPr>
        <w:t>It was estimated that, if PD-L1 testing and pembrolizumab were both listed; the net cost to the MBS would be approximately $</w:t>
      </w:r>
      <w:r w:rsidR="00880E8D" w:rsidRPr="00880E8D">
        <w:rPr>
          <w:rFonts w:eastAsia="Calibri"/>
          <w:b/>
        </w:rPr>
        <w:t>redacted</w:t>
      </w:r>
      <w:r w:rsidRPr="00BD2F5B">
        <w:rPr>
          <w:rFonts w:eastAsia="Calibri"/>
        </w:rPr>
        <w:t xml:space="preserve"> in the first year of listing, decreasing to $</w:t>
      </w:r>
      <w:r w:rsidR="00880E8D" w:rsidRPr="00880E8D">
        <w:rPr>
          <w:rFonts w:eastAsia="Calibri"/>
          <w:b/>
        </w:rPr>
        <w:t>redacted</w:t>
      </w:r>
      <w:r>
        <w:rPr>
          <w:rFonts w:eastAsia="Calibri"/>
        </w:rPr>
        <w:t xml:space="preserve"> in Years 2-6.</w:t>
      </w:r>
    </w:p>
    <w:p w14:paraId="14E6FCA3" w14:textId="77777777" w:rsidR="006B0A12" w:rsidRPr="00BD2F5B" w:rsidRDefault="006B0A12" w:rsidP="006B0A12">
      <w:pPr>
        <w:spacing w:after="240"/>
        <w:rPr>
          <w:rFonts w:eastAsia="Calibri"/>
          <w:i/>
        </w:rPr>
      </w:pPr>
      <w:r w:rsidRPr="00BD2F5B">
        <w:rPr>
          <w:rFonts w:eastAsia="Calibri"/>
        </w:rPr>
        <w:t>From Year 2 to Year 6, it was estimated that nil prevalent patients from the prior year who progress to Stage IV NSCLC in the subsequent year would require re-biopsy and/or PD-L1 testing, as the resubmission assumed that all the prevalent patients would have had their PD-L1 status determined at initial diagnosis, using tissue from the diagnostic biopsy.</w:t>
      </w:r>
    </w:p>
    <w:p w14:paraId="7C76B11C" w14:textId="77777777" w:rsidR="006B0A12" w:rsidRPr="00BD2F5B" w:rsidRDefault="006B0A12" w:rsidP="006B0A12">
      <w:pPr>
        <w:spacing w:after="240"/>
        <w:rPr>
          <w:rFonts w:eastAsia="Calibri"/>
        </w:rPr>
      </w:pPr>
      <w:r w:rsidRPr="00BD2F5B">
        <w:rPr>
          <w:rFonts w:eastAsia="Calibri"/>
        </w:rPr>
        <w:t>The critique considered that this may result in an underestimate of the net cost to the MBS in Years 2-6 of listing. The resubmission’s approach did not capture testing of patients diagnosed with an earlier stage of NSCLC prior to Year 1 of listing who subsequently progress to Stage IV disease in Year 2 to Year 6.</w:t>
      </w:r>
    </w:p>
    <w:p w14:paraId="70756C57" w14:textId="77777777" w:rsidR="006A0D97" w:rsidRPr="00F715D1" w:rsidRDefault="006A0D97" w:rsidP="00F715D1">
      <w:pPr>
        <w:pStyle w:val="Heading1"/>
      </w:pPr>
      <w:r w:rsidRPr="00F715D1">
        <w:t>Key issues from ESC for MSAC</w:t>
      </w:r>
    </w:p>
    <w:p w14:paraId="63CA3878" w14:textId="77777777" w:rsidR="007853E4" w:rsidRPr="008C0864" w:rsidRDefault="007853E4" w:rsidP="007853E4">
      <w:pPr>
        <w:spacing w:after="180"/>
        <w:rPr>
          <w:szCs w:val="24"/>
        </w:rPr>
      </w:pPr>
      <w:r>
        <w:rPr>
          <w:szCs w:val="24"/>
        </w:rPr>
        <w:t xml:space="preserve">The </w:t>
      </w:r>
      <w:r w:rsidRPr="003F4046">
        <w:rPr>
          <w:szCs w:val="24"/>
        </w:rPr>
        <w:t>ESC</w:t>
      </w:r>
      <w:r>
        <w:rPr>
          <w:szCs w:val="24"/>
        </w:rPr>
        <w:t>s</w:t>
      </w:r>
      <w:r w:rsidRPr="003F4046">
        <w:rPr>
          <w:szCs w:val="24"/>
        </w:rPr>
        <w:t xml:space="preserve"> noted that this was a resubmission for an application that MSAC did not support in April 2017 due to insufficient evidence of analytical and clinical </w:t>
      </w:r>
      <w:r w:rsidR="008C0864">
        <w:rPr>
          <w:szCs w:val="24"/>
        </w:rPr>
        <w:t>validity, and clinical utility.</w:t>
      </w:r>
    </w:p>
    <w:p w14:paraId="5FE53EF7" w14:textId="77777777" w:rsidR="007853E4" w:rsidRPr="008C0864" w:rsidRDefault="007853E4" w:rsidP="007853E4">
      <w:pPr>
        <w:spacing w:after="180"/>
        <w:rPr>
          <w:szCs w:val="24"/>
        </w:rPr>
      </w:pPr>
      <w:r>
        <w:rPr>
          <w:szCs w:val="24"/>
        </w:rPr>
        <w:lastRenderedPageBreak/>
        <w:t xml:space="preserve">The </w:t>
      </w:r>
      <w:r w:rsidRPr="003F4046">
        <w:rPr>
          <w:szCs w:val="24"/>
        </w:rPr>
        <w:t>ESC</w:t>
      </w:r>
      <w:r>
        <w:rPr>
          <w:szCs w:val="24"/>
        </w:rPr>
        <w:t>s</w:t>
      </w:r>
      <w:r w:rsidRPr="003F4046">
        <w:rPr>
          <w:szCs w:val="24"/>
        </w:rPr>
        <w:t xml:space="preserve"> noted that the MBS item descriptor should limit the use of PD-L1 testing to patients with negative </w:t>
      </w:r>
      <w:r w:rsidRPr="003F4046">
        <w:rPr>
          <w:i/>
          <w:szCs w:val="24"/>
        </w:rPr>
        <w:t>EGFR</w:t>
      </w:r>
      <w:r w:rsidRPr="003F4046">
        <w:rPr>
          <w:szCs w:val="24"/>
        </w:rPr>
        <w:t xml:space="preserve"> and </w:t>
      </w:r>
      <w:r w:rsidRPr="003F4046">
        <w:rPr>
          <w:i/>
          <w:szCs w:val="24"/>
        </w:rPr>
        <w:t>ALK</w:t>
      </w:r>
      <w:r w:rsidRPr="003F4046">
        <w:rPr>
          <w:szCs w:val="24"/>
        </w:rPr>
        <w:t xml:space="preserve"> results.</w:t>
      </w:r>
    </w:p>
    <w:p w14:paraId="78AD6EBB" w14:textId="77777777" w:rsidR="007853E4" w:rsidRPr="008C0864" w:rsidRDefault="007853E4" w:rsidP="007853E4">
      <w:pPr>
        <w:spacing w:after="180"/>
        <w:rPr>
          <w:szCs w:val="24"/>
        </w:rPr>
      </w:pPr>
      <w:r>
        <w:rPr>
          <w:szCs w:val="24"/>
        </w:rPr>
        <w:t xml:space="preserve">The </w:t>
      </w:r>
      <w:r w:rsidRPr="003F4046">
        <w:rPr>
          <w:szCs w:val="24"/>
        </w:rPr>
        <w:t>ESC</w:t>
      </w:r>
      <w:r>
        <w:rPr>
          <w:szCs w:val="24"/>
        </w:rPr>
        <w:t>s</w:t>
      </w:r>
      <w:r w:rsidRPr="003F4046">
        <w:rPr>
          <w:szCs w:val="24"/>
        </w:rPr>
        <w:t xml:space="preserve"> noted that many of the issues identified in the previous</w:t>
      </w:r>
      <w:r>
        <w:rPr>
          <w:szCs w:val="24"/>
        </w:rPr>
        <w:t xml:space="preserve"> submission</w:t>
      </w:r>
      <w:r w:rsidRPr="003F4046">
        <w:rPr>
          <w:szCs w:val="24"/>
        </w:rPr>
        <w:t xml:space="preserve"> had been addressed</w:t>
      </w:r>
      <w:r>
        <w:rPr>
          <w:szCs w:val="24"/>
        </w:rPr>
        <w:t>,</w:t>
      </w:r>
      <w:r w:rsidRPr="003F4046">
        <w:rPr>
          <w:szCs w:val="24"/>
        </w:rPr>
        <w:t xml:space="preserve"> but that some concerns remained.</w:t>
      </w:r>
    </w:p>
    <w:p w14:paraId="307DF671" w14:textId="77777777" w:rsidR="007853E4" w:rsidRPr="008C0864" w:rsidRDefault="007853E4" w:rsidP="007853E4">
      <w:pPr>
        <w:spacing w:after="180"/>
        <w:rPr>
          <w:szCs w:val="24"/>
        </w:rPr>
      </w:pPr>
      <w:r w:rsidRPr="008C0864">
        <w:rPr>
          <w:szCs w:val="24"/>
        </w:rPr>
        <w:t xml:space="preserve">The ESCs noted that the lack of a reference standard for PD-L1 testing had not been addressed further in the resubmission. Due to the lack of a reference standard, the evidentiary standard used in the resubmission is the same as used previously, i.e. the Dako PD-L1 IHC 22C3 </w:t>
      </w:r>
      <w:proofErr w:type="spellStart"/>
      <w:r w:rsidRPr="008C0864">
        <w:rPr>
          <w:szCs w:val="24"/>
        </w:rPr>
        <w:t>pharmDx</w:t>
      </w:r>
      <w:proofErr w:type="spellEnd"/>
      <w:r w:rsidRPr="008C0864">
        <w:rPr>
          <w:szCs w:val="24"/>
        </w:rPr>
        <w:t xml:space="preserve"> assay (Dako 22C3). The ESCs noted that there are currently no other biomarker tests that can be used to predict response to pembrolizumab in NSCLC.</w:t>
      </w:r>
    </w:p>
    <w:p w14:paraId="6B64264A" w14:textId="77777777" w:rsidR="007853E4" w:rsidRPr="008C0864" w:rsidRDefault="007853E4" w:rsidP="007853E4">
      <w:pPr>
        <w:spacing w:after="180"/>
        <w:rPr>
          <w:szCs w:val="24"/>
        </w:rPr>
      </w:pPr>
      <w:r w:rsidRPr="008C0864">
        <w:rPr>
          <w:szCs w:val="24"/>
        </w:rPr>
        <w:t>The ESCs noted that it was still unclear whether there was any prognostic effect associated with PD-L1 status. The critique had undertaken a meta-analysis of seven studies carried out in Caucasian populations which used a variety of TPS thresholds, and the ESCs noted that while there was a trend towards increased survival among patients with tumours expressing PD-L1, this failed to reach statistical significance.</w:t>
      </w:r>
    </w:p>
    <w:p w14:paraId="7C1DCB88" w14:textId="77777777" w:rsidR="007853E4" w:rsidRPr="008C0864" w:rsidRDefault="007853E4" w:rsidP="007853E4">
      <w:pPr>
        <w:spacing w:after="180"/>
        <w:rPr>
          <w:szCs w:val="24"/>
        </w:rPr>
      </w:pPr>
      <w:r w:rsidRPr="008C0864">
        <w:rPr>
          <w:szCs w:val="24"/>
        </w:rPr>
        <w:t>The ESCs noted that, because no PD-L1 negative (defined as TPS &lt;50%) patients were enrolled into the Keynote-024 (KN-024) study comparing pembrolizumab with chemotherapy among patients with previously untreated stage IV NSCLC, information about patients who were falsely classified as TPS &lt;50% (false negatives) was lacking.</w:t>
      </w:r>
    </w:p>
    <w:p w14:paraId="1E161AEB" w14:textId="77777777" w:rsidR="007853E4" w:rsidRPr="008C0864" w:rsidRDefault="007853E4" w:rsidP="007853E4">
      <w:pPr>
        <w:spacing w:after="180"/>
        <w:rPr>
          <w:szCs w:val="24"/>
        </w:rPr>
      </w:pPr>
      <w:r w:rsidRPr="008C0864">
        <w:rPr>
          <w:szCs w:val="24"/>
        </w:rPr>
        <w:t>The ESCs noted that the choice of the 50% TPS threshold remained insufficiently justified and that it was still not possible to establish whether people with a TPS &lt;50% may benefit from pembrolizumab treatment. The applicant presented indirect naïve comparisons of treatment response and survival among PD-L1 unselected patients undergoing chemotherapy, patients with TPS &lt;50% treated with pembrolizumab from the Keynote-001 (KN-001) study and patients with TPS ≥50% treated with pembrolizumab from the KN-024 study. The ESCs noted that baseline characteristics of patients included in each group differed markedly across the studies and these had not been adjusted for in the analyses. The ESCs noted that this lack of clear evidence around benefit in people with TPS &lt;50% means there could be leakage if people with a TPS &lt;50% are treated with pembrolizumab.</w:t>
      </w:r>
    </w:p>
    <w:p w14:paraId="51135C3F" w14:textId="77777777" w:rsidR="007853E4" w:rsidRPr="008C0864" w:rsidRDefault="007853E4" w:rsidP="007853E4">
      <w:pPr>
        <w:spacing w:after="180"/>
        <w:rPr>
          <w:szCs w:val="24"/>
        </w:rPr>
      </w:pPr>
      <w:r w:rsidRPr="008C0864">
        <w:rPr>
          <w:szCs w:val="24"/>
        </w:rPr>
        <w:t>The ESCs noted that there was clinician support for the 50% TPS threshold, and that a revised statement from the Royal College of Pathologists (RCPA) had indicated that, while the RCPA remained concerned that patients with NSCLC who may benefit from treatment could be excluded from treatment on the basis of an imperfect biomarker, it accepted that PD-L1 is the best biomarker currently available.</w:t>
      </w:r>
    </w:p>
    <w:p w14:paraId="6EC6C389" w14:textId="77777777" w:rsidR="007853E4" w:rsidRPr="008C0864" w:rsidRDefault="007853E4" w:rsidP="007853E4">
      <w:pPr>
        <w:spacing w:after="180"/>
        <w:rPr>
          <w:szCs w:val="24"/>
        </w:rPr>
      </w:pPr>
      <w:r w:rsidRPr="008C0864">
        <w:rPr>
          <w:szCs w:val="24"/>
        </w:rPr>
        <w:t xml:space="preserve">The ESCs noted that MSAC had been concerned that there was insufficient evidence to establish concordance between the different antibodies and assays/platforms in the previous submission. The ESCs noted that the resubmission provided information on observer overall percent agreement (OPA) at a TPS threshold of 50% in two studies comparing the different commercially available assays (Dako 22C3, Dako 28-8 and Ventana SP263). Concordance was high with OPAs of 94–97% reported in </w:t>
      </w:r>
      <w:proofErr w:type="spellStart"/>
      <w:r w:rsidRPr="008C0864">
        <w:rPr>
          <w:szCs w:val="24"/>
        </w:rPr>
        <w:t>Ratcliffe</w:t>
      </w:r>
      <w:proofErr w:type="spellEnd"/>
      <w:r w:rsidRPr="008C0864">
        <w:rPr>
          <w:szCs w:val="24"/>
        </w:rPr>
        <w:t xml:space="preserve"> MJ et al 2017 and 85–93% reported in </w:t>
      </w:r>
      <w:proofErr w:type="spellStart"/>
      <w:r w:rsidRPr="008C0864">
        <w:rPr>
          <w:szCs w:val="24"/>
        </w:rPr>
        <w:t>Scheel</w:t>
      </w:r>
      <w:proofErr w:type="spellEnd"/>
      <w:r w:rsidRPr="008C0864">
        <w:rPr>
          <w:szCs w:val="24"/>
        </w:rPr>
        <w:t xml:space="preserve"> AH et al 2016. The ESCs noted that concordance between the commercial assays and laboratory developed tests (LDTs) for the 22C3, 28-8 and SP263 antibodies was good with weighted </w:t>
      </w:r>
      <w:proofErr w:type="spellStart"/>
      <w:r w:rsidRPr="008C0864">
        <w:rPr>
          <w:szCs w:val="24"/>
        </w:rPr>
        <w:t>kappas</w:t>
      </w:r>
      <w:proofErr w:type="spellEnd"/>
      <w:r w:rsidRPr="008C0864">
        <w:rPr>
          <w:szCs w:val="24"/>
        </w:rPr>
        <w:t xml:space="preserve"> of 0.73–0.81 reported (Adams J et al 2016). However, that there was greater variability with the SP142 and E1L3N antibodies with weight </w:t>
      </w:r>
      <w:proofErr w:type="spellStart"/>
      <w:r w:rsidRPr="008C0864">
        <w:rPr>
          <w:szCs w:val="24"/>
        </w:rPr>
        <w:t>kappas</w:t>
      </w:r>
      <w:proofErr w:type="spellEnd"/>
      <w:r w:rsidRPr="008C0864">
        <w:rPr>
          <w:szCs w:val="24"/>
        </w:rPr>
        <w:t xml:space="preserve"> ranging from 0.38–0.81 reported on Dako, Ventana and Leica platforms (Adams J et al 2016).</w:t>
      </w:r>
    </w:p>
    <w:p w14:paraId="5A485920" w14:textId="77777777" w:rsidR="007853E4" w:rsidRPr="008C0864" w:rsidRDefault="007853E4" w:rsidP="007853E4">
      <w:pPr>
        <w:spacing w:after="180"/>
        <w:rPr>
          <w:szCs w:val="24"/>
        </w:rPr>
      </w:pPr>
      <w:r w:rsidRPr="008C0864">
        <w:rPr>
          <w:szCs w:val="24"/>
        </w:rPr>
        <w:t xml:space="preserve">The ESCs noted that MSAC had raised concerns about reproducibility of test results between different laboratories and pathologists. The ESCs noted that the resubmission clarified that using the 50% TPS threshold, the two Dako reproducibility studies and the DREAM study </w:t>
      </w:r>
      <w:r w:rsidRPr="008C0864">
        <w:rPr>
          <w:szCs w:val="24"/>
        </w:rPr>
        <w:lastRenderedPageBreak/>
        <w:t xml:space="preserve">(Cooper WA et al 2017) all achieved overall inter-observer agreement levels of 80% or more while three studies reported good inter-observer kappa values of 0.6–0.8 (Cooper WA at al 2017; </w:t>
      </w:r>
      <w:proofErr w:type="spellStart"/>
      <w:r w:rsidRPr="008C0864">
        <w:rPr>
          <w:szCs w:val="24"/>
        </w:rPr>
        <w:t>Scheel</w:t>
      </w:r>
      <w:proofErr w:type="spellEnd"/>
      <w:r w:rsidRPr="008C0864">
        <w:rPr>
          <w:szCs w:val="24"/>
        </w:rPr>
        <w:t xml:space="preserve"> AH et al 2016; Cooper WA et al 2015).</w:t>
      </w:r>
    </w:p>
    <w:p w14:paraId="2490124B" w14:textId="77777777" w:rsidR="007853E4" w:rsidRPr="008C0864" w:rsidRDefault="007853E4" w:rsidP="007853E4">
      <w:pPr>
        <w:spacing w:after="180"/>
        <w:rPr>
          <w:szCs w:val="24"/>
        </w:rPr>
      </w:pPr>
      <w:r w:rsidRPr="008C0864">
        <w:rPr>
          <w:szCs w:val="24"/>
        </w:rPr>
        <w:t xml:space="preserve">The ESCs noted that studies investigating the heterogeneity of PD-L1 expression within a specimen block indicated concordance for PD-L1 expression varied from moderate to high (Dako Appendix 29 study; </w:t>
      </w:r>
      <w:proofErr w:type="spellStart"/>
      <w:r w:rsidRPr="008C0864">
        <w:rPr>
          <w:szCs w:val="24"/>
        </w:rPr>
        <w:t>Rehman</w:t>
      </w:r>
      <w:proofErr w:type="spellEnd"/>
      <w:r w:rsidRPr="008C0864">
        <w:rPr>
          <w:szCs w:val="24"/>
        </w:rPr>
        <w:t xml:space="preserve"> JA et al 2017; </w:t>
      </w:r>
      <w:proofErr w:type="spellStart"/>
      <w:r w:rsidRPr="008C0864">
        <w:rPr>
          <w:szCs w:val="24"/>
        </w:rPr>
        <w:t>Casadevall</w:t>
      </w:r>
      <w:proofErr w:type="spellEnd"/>
      <w:r w:rsidRPr="008C0864">
        <w:rPr>
          <w:szCs w:val="24"/>
        </w:rPr>
        <w:t xml:space="preserve"> D et al 2017).</w:t>
      </w:r>
    </w:p>
    <w:p w14:paraId="461A8FC7" w14:textId="77777777" w:rsidR="007853E4" w:rsidRPr="008C0864" w:rsidRDefault="007853E4" w:rsidP="007853E4">
      <w:pPr>
        <w:spacing w:after="180"/>
        <w:rPr>
          <w:szCs w:val="24"/>
        </w:rPr>
      </w:pPr>
      <w:r w:rsidRPr="008C0864">
        <w:rPr>
          <w:szCs w:val="24"/>
        </w:rPr>
        <w:t>The ESCs noted that concerns surrounding the reproducibility of PD-L1 testing between fresh and archival tissue PD-L1 testing had been reasonably addressed. One study reported no difference in overall survival among patients enrolled in the Keynote-010 (KN-010) study on the basis of fresh or archival tissue (</w:t>
      </w:r>
      <w:proofErr w:type="spellStart"/>
      <w:r w:rsidRPr="008C0864">
        <w:rPr>
          <w:szCs w:val="24"/>
        </w:rPr>
        <w:t>Herbst</w:t>
      </w:r>
      <w:proofErr w:type="spellEnd"/>
      <w:r w:rsidRPr="008C0864">
        <w:rPr>
          <w:szCs w:val="24"/>
        </w:rPr>
        <w:t xml:space="preserve"> RS et al 2016), while another study found similar levels of PD-L1 expression between fresh and archival samples up to three years old (</w:t>
      </w:r>
      <w:proofErr w:type="spellStart"/>
      <w:r w:rsidRPr="008C0864">
        <w:rPr>
          <w:szCs w:val="24"/>
        </w:rPr>
        <w:t>Midha</w:t>
      </w:r>
      <w:proofErr w:type="spellEnd"/>
      <w:r w:rsidRPr="008C0864">
        <w:rPr>
          <w:szCs w:val="24"/>
        </w:rPr>
        <w:t xml:space="preserve"> A et al 2016).</w:t>
      </w:r>
    </w:p>
    <w:p w14:paraId="040A988B" w14:textId="77777777" w:rsidR="007853E4" w:rsidRPr="008C0864" w:rsidRDefault="007853E4" w:rsidP="007853E4">
      <w:pPr>
        <w:spacing w:after="180"/>
        <w:rPr>
          <w:szCs w:val="24"/>
        </w:rPr>
      </w:pPr>
      <w:r w:rsidRPr="008C0864">
        <w:rPr>
          <w:szCs w:val="24"/>
        </w:rPr>
        <w:t>The ESCs noted that emerging evidence suggested that cytology samples may be suitable for PD-L1 testing. In three studies in which cytology samples were compared with biopsy or surgical resection samples from the same lesion, concordance at the 1% or 50% TPS thresholds was 85% or higher (</w:t>
      </w:r>
      <w:proofErr w:type="spellStart"/>
      <w:r w:rsidRPr="008C0864">
        <w:rPr>
          <w:szCs w:val="24"/>
        </w:rPr>
        <w:t>Skov</w:t>
      </w:r>
      <w:proofErr w:type="spellEnd"/>
      <w:r w:rsidRPr="008C0864">
        <w:rPr>
          <w:szCs w:val="24"/>
        </w:rPr>
        <w:t xml:space="preserve"> BG &amp; </w:t>
      </w:r>
      <w:proofErr w:type="spellStart"/>
      <w:r w:rsidRPr="008C0864">
        <w:rPr>
          <w:szCs w:val="24"/>
        </w:rPr>
        <w:t>Skov</w:t>
      </w:r>
      <w:proofErr w:type="spellEnd"/>
      <w:r w:rsidRPr="008C0864">
        <w:rPr>
          <w:szCs w:val="24"/>
        </w:rPr>
        <w:t xml:space="preserve"> T 2017; </w:t>
      </w:r>
      <w:proofErr w:type="spellStart"/>
      <w:r w:rsidRPr="008C0864">
        <w:rPr>
          <w:szCs w:val="24"/>
        </w:rPr>
        <w:t>Heymann</w:t>
      </w:r>
      <w:proofErr w:type="spellEnd"/>
      <w:r w:rsidRPr="008C0864">
        <w:rPr>
          <w:szCs w:val="24"/>
        </w:rPr>
        <w:t xml:space="preserve"> JJ et al 2017; Ile M et al 2017). The ESCs noted that use of cytology for testing may reduce adverse events and costs. The ESCs noted that this would be the first time that cytology testing for access to a PBS medicine would be funded in the MBS should MSAC support this use.</w:t>
      </w:r>
    </w:p>
    <w:p w14:paraId="258AB868" w14:textId="77777777" w:rsidR="007853E4" w:rsidRPr="008C0864" w:rsidRDefault="007853E4" w:rsidP="007853E4">
      <w:pPr>
        <w:spacing w:after="180"/>
        <w:rPr>
          <w:szCs w:val="24"/>
        </w:rPr>
      </w:pPr>
      <w:r w:rsidRPr="008C0864">
        <w:rPr>
          <w:szCs w:val="24"/>
        </w:rPr>
        <w:t>The ESCs noted that, in seven studies which looked at heterogeneity between paired primary tumour and metastatic samples, the OPA concordance rates ranged from 63% to 100% and that this level of heterogeneity was similar to that seen for other biomarkers (</w:t>
      </w:r>
      <w:r w:rsidRPr="008C0864">
        <w:rPr>
          <w:i/>
          <w:szCs w:val="24"/>
        </w:rPr>
        <w:t>EGFR</w:t>
      </w:r>
      <w:r w:rsidRPr="008C0864">
        <w:rPr>
          <w:szCs w:val="24"/>
        </w:rPr>
        <w:t xml:space="preserve"> and </w:t>
      </w:r>
      <w:r w:rsidRPr="008C0864">
        <w:rPr>
          <w:i/>
          <w:szCs w:val="24"/>
        </w:rPr>
        <w:t>KRAS</w:t>
      </w:r>
      <w:r w:rsidRPr="008C0864">
        <w:rPr>
          <w:szCs w:val="24"/>
        </w:rPr>
        <w:t xml:space="preserve"> mutations) that are currently MBS subsidised.</w:t>
      </w:r>
    </w:p>
    <w:p w14:paraId="55D13231" w14:textId="77777777" w:rsidR="007853E4" w:rsidRPr="008C0864" w:rsidRDefault="007853E4" w:rsidP="007853E4">
      <w:pPr>
        <w:spacing w:after="180"/>
        <w:rPr>
          <w:szCs w:val="24"/>
        </w:rPr>
      </w:pPr>
      <w:r w:rsidRPr="008C0864">
        <w:rPr>
          <w:szCs w:val="24"/>
        </w:rPr>
        <w:t>The ESCs noted that there was evidence that PD-L1 status can vary with disease progression and after treatment with radiotherapy, chemotherapy and treatment with tyrosine kinase inhibitors (TKIs). The ESCs considered that this has implications for decisions as to when to investigate PD-L1 status — i.e. whether testing should be delayed until patients have progressed to stage IV disease or whether patients should be re-biopsied once they progress to stage IV disease.</w:t>
      </w:r>
    </w:p>
    <w:p w14:paraId="557F556B" w14:textId="77777777" w:rsidR="007853E4" w:rsidRPr="008C0864" w:rsidRDefault="007853E4" w:rsidP="007853E4">
      <w:pPr>
        <w:spacing w:after="180"/>
        <w:rPr>
          <w:szCs w:val="24"/>
        </w:rPr>
      </w:pPr>
      <w:r w:rsidRPr="008C0864">
        <w:rPr>
          <w:szCs w:val="24"/>
        </w:rPr>
        <w:t xml:space="preserve">The ESCs noted that the RCPA is in the process of setting up a Quality Assurance Program (QAP) for PD-L1 testing, and that a ‘pre-pilot’ </w:t>
      </w:r>
      <w:proofErr w:type="gramStart"/>
      <w:r w:rsidRPr="008C0864">
        <w:rPr>
          <w:szCs w:val="24"/>
        </w:rPr>
        <w:t>study</w:t>
      </w:r>
      <w:proofErr w:type="gramEnd"/>
      <w:r w:rsidRPr="008C0864">
        <w:rPr>
          <w:szCs w:val="24"/>
        </w:rPr>
        <w:t xml:space="preserve"> involving 14 participants had been completed but the results had not been released. The ESCs considered that the release of these results would assist in determining the quality and reproducibility of PD-L1 testing currently available in Australia.</w:t>
      </w:r>
    </w:p>
    <w:p w14:paraId="10FCDEFD" w14:textId="77777777" w:rsidR="007853E4" w:rsidRPr="008C0864" w:rsidRDefault="007853E4" w:rsidP="007853E4">
      <w:pPr>
        <w:spacing w:after="180"/>
        <w:rPr>
          <w:szCs w:val="24"/>
        </w:rPr>
      </w:pPr>
      <w:r w:rsidRPr="008C0864">
        <w:rPr>
          <w:szCs w:val="24"/>
        </w:rPr>
        <w:t>The ESCs noted that MSAC had been concerned that variation between laboratories may lead to repeat testing of samples in different laboratories in order to gain access to pembrolizumab. The ESCs noted that the applicant had obtained advice from pathologists that this does not happen with current biomarker tests and would be unlikely to occur for PD-L1 testing. The ESCs considered that, once testing was standardised under a QAP, this issue would be minor.</w:t>
      </w:r>
    </w:p>
    <w:p w14:paraId="50033FB7" w14:textId="77777777" w:rsidR="007853E4" w:rsidRPr="008C0864" w:rsidRDefault="007853E4" w:rsidP="007853E4">
      <w:pPr>
        <w:spacing w:after="180"/>
        <w:rPr>
          <w:szCs w:val="24"/>
        </w:rPr>
      </w:pPr>
      <w:r w:rsidRPr="008C0864">
        <w:rPr>
          <w:szCs w:val="24"/>
        </w:rPr>
        <w:t xml:space="preserve">The ESCs noted that pembrolizumab is used to treat other cancers without reference to PD-L1 status, including melanoma, Hodgkin’s lymphoma and urothelial carcinoma. The ESCs accepted the applicant’s argument that PD-L1 is over-expressed in more than 87% of patients with Hodgkin’s lymphoma. As such, the ESCs considered that treating these patients without testing PD-L1 levels would be reasonable. However, the ESCs noted that, when a 5% TPS threshold was used as the cut-point, 62% of chronic sun-damaged melanoma patients, 33% of invasive primary urothelial carcinoma patients and 49–60% of NSCLC patients were </w:t>
      </w:r>
      <w:r w:rsidRPr="008C0864">
        <w:rPr>
          <w:szCs w:val="24"/>
        </w:rPr>
        <w:lastRenderedPageBreak/>
        <w:t>classified PD-L1 positive. Despite this, testing of PD-L1 status is required in NSCLC patients, but not in melanoma and urothelial carcinoma patients prior to treatment with pembrolizumab.</w:t>
      </w:r>
    </w:p>
    <w:p w14:paraId="27B024FA" w14:textId="77777777" w:rsidR="007853E4" w:rsidRPr="008C0864" w:rsidRDefault="007853E4" w:rsidP="007853E4">
      <w:pPr>
        <w:spacing w:after="180"/>
        <w:rPr>
          <w:szCs w:val="24"/>
        </w:rPr>
      </w:pPr>
      <w:r w:rsidRPr="008C0864">
        <w:rPr>
          <w:szCs w:val="24"/>
        </w:rPr>
        <w:t xml:space="preserve">The ESCs noted that information on the significance of different </w:t>
      </w:r>
      <w:proofErr w:type="spellStart"/>
      <w:r w:rsidRPr="008C0864">
        <w:rPr>
          <w:szCs w:val="24"/>
        </w:rPr>
        <w:t>histotypes</w:t>
      </w:r>
      <w:proofErr w:type="spellEnd"/>
      <w:r w:rsidRPr="008C0864">
        <w:rPr>
          <w:szCs w:val="24"/>
        </w:rPr>
        <w:t>, particularly squamous histology, had not been addressed.</w:t>
      </w:r>
    </w:p>
    <w:p w14:paraId="2B8747F7" w14:textId="77777777" w:rsidR="007853E4" w:rsidRPr="008C0864" w:rsidRDefault="007853E4" w:rsidP="007853E4">
      <w:pPr>
        <w:spacing w:after="180"/>
        <w:rPr>
          <w:szCs w:val="24"/>
        </w:rPr>
      </w:pPr>
      <w:r w:rsidRPr="008C0864">
        <w:rPr>
          <w:szCs w:val="24"/>
        </w:rPr>
        <w:t>The ESCs queried whether the MBS fee for PD-L1 testing should be lower than the $74.50 proposed. The applicant argued that this fee is consistent with MBS item 72848 which is for IHC examination of biopsy material for one, two or three of the oestrogen, progesterone and HER2 antibodies. The ESCs noted that the MBS fee for item 72846 which covers IHC examination of biopsy material for one, two or three of any of the other antibodies is $59.60. The ESCs noted that as PD-L1 testing only involves IHC examination of one antibody, the lower fee may be more appropriate.</w:t>
      </w:r>
    </w:p>
    <w:p w14:paraId="7FE08A98" w14:textId="77777777" w:rsidR="007853E4" w:rsidRPr="008C0864" w:rsidRDefault="007853E4" w:rsidP="007853E4">
      <w:pPr>
        <w:spacing w:after="180"/>
        <w:rPr>
          <w:szCs w:val="24"/>
        </w:rPr>
      </w:pPr>
      <w:r w:rsidRPr="008C0864">
        <w:rPr>
          <w:szCs w:val="24"/>
        </w:rPr>
        <w:t xml:space="preserve">The ESCs noted that two testing scenarios were modelled. In the first, testing occurred at diagnosis of NSCLC. In the second, 30% of patients were re-biopsied and re-tested once they progressed to stage IV disease (using 1 year mortality rates). The ESCs considered that, while </w:t>
      </w:r>
      <w:proofErr w:type="gramStart"/>
      <w:r w:rsidRPr="008C0864">
        <w:rPr>
          <w:szCs w:val="24"/>
        </w:rPr>
        <w:t>decisions on when to test impacted upon the economic estimates, the impact of adding in costs for re-biopsy was</w:t>
      </w:r>
      <w:proofErr w:type="gramEnd"/>
      <w:r w:rsidRPr="008C0864">
        <w:rPr>
          <w:szCs w:val="24"/>
        </w:rPr>
        <w:t xml:space="preserve"> small.</w:t>
      </w:r>
    </w:p>
    <w:p w14:paraId="6431EE70" w14:textId="77777777" w:rsidR="006A0D97" w:rsidRPr="005A4362" w:rsidRDefault="007853E4" w:rsidP="007853E4">
      <w:pPr>
        <w:spacing w:after="240"/>
        <w:rPr>
          <w:i/>
        </w:rPr>
      </w:pPr>
      <w:r>
        <w:rPr>
          <w:szCs w:val="24"/>
        </w:rPr>
        <w:t xml:space="preserve">The </w:t>
      </w:r>
      <w:r w:rsidRPr="003F4046">
        <w:rPr>
          <w:szCs w:val="24"/>
        </w:rPr>
        <w:t>ESC</w:t>
      </w:r>
      <w:r>
        <w:rPr>
          <w:szCs w:val="24"/>
        </w:rPr>
        <w:t>s</w:t>
      </w:r>
      <w:r w:rsidRPr="003F4046">
        <w:rPr>
          <w:szCs w:val="24"/>
        </w:rPr>
        <w:t xml:space="preserve"> noted that the rate of biopsy-related adverse events had been reduced from 22% to the 14% figure previously recommended by MSAC when calculating MBS costs</w:t>
      </w:r>
      <w:r w:rsidRPr="007177E8">
        <w:t xml:space="preserve"> (</w:t>
      </w:r>
      <w:hyperlink r:id="rId13" w:history="1">
        <w:r w:rsidRPr="00F5027D">
          <w:rPr>
            <w:rStyle w:val="Hyperlink"/>
            <w:rFonts w:eastAsiaTheme="majorEastAsia"/>
          </w:rPr>
          <w:t>MSAC Public Summary Document Application 1161, November 2012</w:t>
        </w:r>
      </w:hyperlink>
      <w:r w:rsidRPr="007177E8">
        <w:t>)</w:t>
      </w:r>
      <w:r w:rsidRPr="003F4046">
        <w:rPr>
          <w:szCs w:val="24"/>
        </w:rPr>
        <w:t xml:space="preserve">. </w:t>
      </w:r>
      <w:r>
        <w:rPr>
          <w:szCs w:val="24"/>
        </w:rPr>
        <w:t xml:space="preserve">The </w:t>
      </w:r>
      <w:r w:rsidRPr="003F4046">
        <w:rPr>
          <w:szCs w:val="24"/>
        </w:rPr>
        <w:t>ESC</w:t>
      </w:r>
      <w:r>
        <w:rPr>
          <w:szCs w:val="24"/>
        </w:rPr>
        <w:t>s</w:t>
      </w:r>
      <w:r w:rsidRPr="003F4046">
        <w:rPr>
          <w:szCs w:val="24"/>
        </w:rPr>
        <w:t xml:space="preserve"> noted that MBS costs of disease management and drug administration, and re-biopsy in patients who progress to stage IV disease in the prevalent population, had not been included in the financial estimates, beyond Year 1</w:t>
      </w:r>
      <w:r>
        <w:rPr>
          <w:szCs w:val="24"/>
        </w:rPr>
        <w:t>.</w:t>
      </w:r>
      <w:r w:rsidRPr="003F4046">
        <w:rPr>
          <w:szCs w:val="24"/>
        </w:rPr>
        <w:t xml:space="preserve"> </w:t>
      </w:r>
      <w:r>
        <w:rPr>
          <w:szCs w:val="24"/>
        </w:rPr>
        <w:t>A</w:t>
      </w:r>
      <w:r w:rsidRPr="003F4046">
        <w:rPr>
          <w:szCs w:val="24"/>
        </w:rPr>
        <w:t>s such</w:t>
      </w:r>
      <w:r>
        <w:rPr>
          <w:szCs w:val="24"/>
        </w:rPr>
        <w:t>, the ESCs considered that</w:t>
      </w:r>
      <w:r w:rsidRPr="003F4046">
        <w:rPr>
          <w:szCs w:val="24"/>
        </w:rPr>
        <w:t xml:space="preserve"> the MBS costs could be higher than estimated.</w:t>
      </w:r>
    </w:p>
    <w:p w14:paraId="6A953D64" w14:textId="77777777" w:rsidR="00D90A38" w:rsidRPr="00F715D1" w:rsidRDefault="00BC1364" w:rsidP="00F715D1">
      <w:pPr>
        <w:pStyle w:val="Heading1"/>
      </w:pPr>
      <w:r w:rsidRPr="00F715D1">
        <w:t>Other significant factors</w:t>
      </w:r>
    </w:p>
    <w:p w14:paraId="7A610515" w14:textId="77777777" w:rsidR="00BC1364" w:rsidRPr="00F5027D" w:rsidRDefault="00BC1364" w:rsidP="00F715D1">
      <w:pPr>
        <w:spacing w:after="240"/>
        <w:rPr>
          <w:szCs w:val="24"/>
        </w:rPr>
      </w:pPr>
      <w:r w:rsidRPr="00F5027D">
        <w:rPr>
          <w:szCs w:val="24"/>
        </w:rPr>
        <w:t>Nil</w:t>
      </w:r>
    </w:p>
    <w:p w14:paraId="770CFC13" w14:textId="77777777" w:rsidR="00BC1364" w:rsidRPr="00F715D1" w:rsidRDefault="00BC1364" w:rsidP="00F715D1">
      <w:pPr>
        <w:pStyle w:val="Heading1"/>
      </w:pPr>
      <w:r w:rsidRPr="00F715D1">
        <w:t xml:space="preserve">Applicant’s comments on MSAC’s </w:t>
      </w:r>
      <w:r w:rsidR="00DA56AA" w:rsidRPr="00F715D1">
        <w:t>Public Summary Document</w:t>
      </w:r>
    </w:p>
    <w:p w14:paraId="34B00F6B" w14:textId="614C4CCB" w:rsidR="00880E8D" w:rsidRPr="005938FD" w:rsidRDefault="00880E8D" w:rsidP="005938FD">
      <w:r w:rsidRPr="005938FD">
        <w:t xml:space="preserve">MSD is pleased that MSAC have foreshadowed their support for PD-L1 testing as this is a critical step to enable appropriate 1L NSCLC </w:t>
      </w:r>
      <w:proofErr w:type="gramStart"/>
      <w:r w:rsidRPr="005938FD">
        <w:t>patients</w:t>
      </w:r>
      <w:proofErr w:type="gramEnd"/>
      <w:r w:rsidRPr="005938FD">
        <w:t xml:space="preserve"> access to pembrolizumab.</w:t>
      </w:r>
    </w:p>
    <w:p w14:paraId="5A6C6F67" w14:textId="77777777" w:rsidR="00BC1364" w:rsidRPr="00F715D1" w:rsidRDefault="00271F18" w:rsidP="00F715D1">
      <w:pPr>
        <w:pStyle w:val="Heading1"/>
      </w:pPr>
      <w:r w:rsidRPr="00F715D1">
        <w:t>Further information on MSAC</w:t>
      </w:r>
    </w:p>
    <w:p w14:paraId="0CFAADB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4F1710" w15:done="0"/>
  <w15:commentEx w15:paraId="2B34993B" w15:paraIdParent="2E4F1710" w15:done="0"/>
  <w15:commentEx w15:paraId="1BE72CCD" w15:done="0"/>
  <w15:commentEx w15:paraId="0EAE6913" w15:paraIdParent="1BE72CCD" w15:done="0"/>
  <w15:commentEx w15:paraId="5401C502" w15:done="0"/>
  <w15:commentEx w15:paraId="62EFC606" w15:paraIdParent="5401C5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21664" w14:textId="77777777" w:rsidR="009B66CC" w:rsidRDefault="009B66CC" w:rsidP="00065623">
      <w:r>
        <w:separator/>
      </w:r>
    </w:p>
  </w:endnote>
  <w:endnote w:type="continuationSeparator" w:id="0">
    <w:p w14:paraId="44C7E8EF" w14:textId="77777777" w:rsidR="009B66CC" w:rsidRDefault="009B66C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A1712A7" w14:textId="724926F3" w:rsidR="00363DC9" w:rsidRDefault="00363DC9">
        <w:pPr>
          <w:pStyle w:val="Footer"/>
          <w:jc w:val="right"/>
        </w:pPr>
        <w:r>
          <w:fldChar w:fldCharType="begin"/>
        </w:r>
        <w:r>
          <w:instrText xml:space="preserve"> PAGE   \* MERGEFORMAT </w:instrText>
        </w:r>
        <w:r>
          <w:fldChar w:fldCharType="separate"/>
        </w:r>
        <w:r w:rsidR="00AF12FF">
          <w:rPr>
            <w:noProof/>
          </w:rPr>
          <w:t>1</w:t>
        </w:r>
        <w:r>
          <w:rPr>
            <w:noProof/>
          </w:rPr>
          <w:fldChar w:fldCharType="end"/>
        </w:r>
      </w:p>
    </w:sdtContent>
  </w:sdt>
  <w:p w14:paraId="5233498A" w14:textId="77777777" w:rsidR="00363DC9" w:rsidRDefault="00363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6CA24" w14:textId="77777777" w:rsidR="009B66CC" w:rsidRDefault="009B66CC" w:rsidP="00065623">
      <w:r>
        <w:separator/>
      </w:r>
    </w:p>
  </w:footnote>
  <w:footnote w:type="continuationSeparator" w:id="0">
    <w:p w14:paraId="454B9932" w14:textId="77777777" w:rsidR="009B66CC" w:rsidRDefault="009B66CC"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505DF2"/>
    <w:multiLevelType w:val="hybridMultilevel"/>
    <w:tmpl w:val="A0346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70365C"/>
    <w:multiLevelType w:val="hybridMultilevel"/>
    <w:tmpl w:val="8E52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84D033C"/>
    <w:multiLevelType w:val="multilevel"/>
    <w:tmpl w:val="9BB84B7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77" w:hanging="1077"/>
      </w:pPr>
      <w:rPr>
        <w:rFonts w:hint="default"/>
        <w:i w:val="0"/>
        <w:color w:val="auto"/>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57" w:hanging="57"/>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5303BF"/>
    <w:multiLevelType w:val="hybridMultilevel"/>
    <w:tmpl w:val="E8E8A9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7E166EFE"/>
    <w:multiLevelType w:val="hybridMultilevel"/>
    <w:tmpl w:val="A892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8"/>
  </w:num>
  <w:num w:numId="5">
    <w:abstractNumId w:val="11"/>
  </w:num>
  <w:num w:numId="6">
    <w:abstractNumId w:val="17"/>
  </w:num>
  <w:num w:numId="7">
    <w:abstractNumId w:val="21"/>
  </w:num>
  <w:num w:numId="8">
    <w:abstractNumId w:val="13"/>
  </w:num>
  <w:num w:numId="9">
    <w:abstractNumId w:val="30"/>
  </w:num>
  <w:num w:numId="10">
    <w:abstractNumId w:val="0"/>
  </w:num>
  <w:num w:numId="11">
    <w:abstractNumId w:val="20"/>
  </w:num>
  <w:num w:numId="12">
    <w:abstractNumId w:val="22"/>
  </w:num>
  <w:num w:numId="13">
    <w:abstractNumId w:val="4"/>
  </w:num>
  <w:num w:numId="14">
    <w:abstractNumId w:val="26"/>
  </w:num>
  <w:num w:numId="15">
    <w:abstractNumId w:val="19"/>
  </w:num>
  <w:num w:numId="16">
    <w:abstractNumId w:val="23"/>
  </w:num>
  <w:num w:numId="17">
    <w:abstractNumId w:val="14"/>
  </w:num>
  <w:num w:numId="18">
    <w:abstractNumId w:val="15"/>
  </w:num>
  <w:num w:numId="19">
    <w:abstractNumId w:val="25"/>
  </w:num>
  <w:num w:numId="20">
    <w:abstractNumId w:val="24"/>
  </w:num>
  <w:num w:numId="21">
    <w:abstractNumId w:val="3"/>
  </w:num>
  <w:num w:numId="22">
    <w:abstractNumId w:val="10"/>
  </w:num>
  <w:num w:numId="23">
    <w:abstractNumId w:val="2"/>
  </w:num>
  <w:num w:numId="24">
    <w:abstractNumId w:val="9"/>
  </w:num>
  <w:num w:numId="25">
    <w:abstractNumId w:val="5"/>
  </w:num>
  <w:num w:numId="26">
    <w:abstractNumId w:val="8"/>
  </w:num>
  <w:num w:numId="27">
    <w:abstractNumId w:val="29"/>
  </w:num>
  <w:num w:numId="28">
    <w:abstractNumId w:val="27"/>
  </w:num>
  <w:num w:numId="29">
    <w:abstractNumId w:val="7"/>
  </w:num>
  <w:num w:numId="30">
    <w:abstractNumId w:val="12"/>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63A4"/>
    <w:rsid w:val="00047606"/>
    <w:rsid w:val="00065623"/>
    <w:rsid w:val="000756B9"/>
    <w:rsid w:val="00095414"/>
    <w:rsid w:val="00096B67"/>
    <w:rsid w:val="00096DAF"/>
    <w:rsid w:val="000C2F47"/>
    <w:rsid w:val="000C4EF6"/>
    <w:rsid w:val="000D2B9A"/>
    <w:rsid w:val="000D6C00"/>
    <w:rsid w:val="000E4E04"/>
    <w:rsid w:val="000F14B4"/>
    <w:rsid w:val="000F75DF"/>
    <w:rsid w:val="001023DC"/>
    <w:rsid w:val="001328FA"/>
    <w:rsid w:val="00144165"/>
    <w:rsid w:val="00147AAF"/>
    <w:rsid w:val="001552C0"/>
    <w:rsid w:val="001640B1"/>
    <w:rsid w:val="0018435E"/>
    <w:rsid w:val="002041A1"/>
    <w:rsid w:val="002054F0"/>
    <w:rsid w:val="00230AD3"/>
    <w:rsid w:val="00230D6B"/>
    <w:rsid w:val="00232068"/>
    <w:rsid w:val="002330F2"/>
    <w:rsid w:val="00240BC0"/>
    <w:rsid w:val="00243D9E"/>
    <w:rsid w:val="00253B66"/>
    <w:rsid w:val="00261DF1"/>
    <w:rsid w:val="00263D5A"/>
    <w:rsid w:val="00271F18"/>
    <w:rsid w:val="00275369"/>
    <w:rsid w:val="00282779"/>
    <w:rsid w:val="0028334D"/>
    <w:rsid w:val="002B7FFA"/>
    <w:rsid w:val="002C2BCF"/>
    <w:rsid w:val="002E2605"/>
    <w:rsid w:val="002F279D"/>
    <w:rsid w:val="002F43B8"/>
    <w:rsid w:val="00305145"/>
    <w:rsid w:val="00336856"/>
    <w:rsid w:val="0034554D"/>
    <w:rsid w:val="00352224"/>
    <w:rsid w:val="00357C7E"/>
    <w:rsid w:val="00363DC9"/>
    <w:rsid w:val="003671E6"/>
    <w:rsid w:val="00384272"/>
    <w:rsid w:val="00386D67"/>
    <w:rsid w:val="0039165E"/>
    <w:rsid w:val="003945B8"/>
    <w:rsid w:val="003C04F4"/>
    <w:rsid w:val="003D7F29"/>
    <w:rsid w:val="003E4D70"/>
    <w:rsid w:val="00405A6B"/>
    <w:rsid w:val="00407B1F"/>
    <w:rsid w:val="0041184F"/>
    <w:rsid w:val="00414C57"/>
    <w:rsid w:val="0041758C"/>
    <w:rsid w:val="004539DE"/>
    <w:rsid w:val="004A2CF1"/>
    <w:rsid w:val="004B6924"/>
    <w:rsid w:val="004C3035"/>
    <w:rsid w:val="004C307F"/>
    <w:rsid w:val="004E4BA8"/>
    <w:rsid w:val="004F340F"/>
    <w:rsid w:val="004F7B7C"/>
    <w:rsid w:val="00503130"/>
    <w:rsid w:val="005102D1"/>
    <w:rsid w:val="005149DA"/>
    <w:rsid w:val="0052243D"/>
    <w:rsid w:val="005246CA"/>
    <w:rsid w:val="00532435"/>
    <w:rsid w:val="00540A74"/>
    <w:rsid w:val="00550354"/>
    <w:rsid w:val="00571236"/>
    <w:rsid w:val="005766DD"/>
    <w:rsid w:val="005938FD"/>
    <w:rsid w:val="005953A1"/>
    <w:rsid w:val="005A4362"/>
    <w:rsid w:val="005B4B59"/>
    <w:rsid w:val="005B5434"/>
    <w:rsid w:val="005D0332"/>
    <w:rsid w:val="005D0D8C"/>
    <w:rsid w:val="005E2774"/>
    <w:rsid w:val="005F7A45"/>
    <w:rsid w:val="00626F41"/>
    <w:rsid w:val="00643557"/>
    <w:rsid w:val="006662D8"/>
    <w:rsid w:val="006776AE"/>
    <w:rsid w:val="006A0D97"/>
    <w:rsid w:val="006B0A12"/>
    <w:rsid w:val="006B1F86"/>
    <w:rsid w:val="006B67E0"/>
    <w:rsid w:val="006C0A91"/>
    <w:rsid w:val="007054BB"/>
    <w:rsid w:val="00707064"/>
    <w:rsid w:val="00730683"/>
    <w:rsid w:val="0075261F"/>
    <w:rsid w:val="0075468E"/>
    <w:rsid w:val="00755B98"/>
    <w:rsid w:val="007562CB"/>
    <w:rsid w:val="007665D8"/>
    <w:rsid w:val="00766E36"/>
    <w:rsid w:val="007765F4"/>
    <w:rsid w:val="00776633"/>
    <w:rsid w:val="00784D53"/>
    <w:rsid w:val="007853E4"/>
    <w:rsid w:val="00791A4B"/>
    <w:rsid w:val="00795570"/>
    <w:rsid w:val="00797797"/>
    <w:rsid w:val="007A63C9"/>
    <w:rsid w:val="007B32D1"/>
    <w:rsid w:val="007B7095"/>
    <w:rsid w:val="007D24E1"/>
    <w:rsid w:val="007D3872"/>
    <w:rsid w:val="007D6288"/>
    <w:rsid w:val="007E6838"/>
    <w:rsid w:val="007F4CE9"/>
    <w:rsid w:val="007F4E20"/>
    <w:rsid w:val="00806316"/>
    <w:rsid w:val="00822C7E"/>
    <w:rsid w:val="00827588"/>
    <w:rsid w:val="00840597"/>
    <w:rsid w:val="00847060"/>
    <w:rsid w:val="00847A36"/>
    <w:rsid w:val="00856A33"/>
    <w:rsid w:val="00863377"/>
    <w:rsid w:val="00880E8D"/>
    <w:rsid w:val="00892620"/>
    <w:rsid w:val="008B100F"/>
    <w:rsid w:val="008B3D7D"/>
    <w:rsid w:val="008B570F"/>
    <w:rsid w:val="008C0864"/>
    <w:rsid w:val="008C7D37"/>
    <w:rsid w:val="008D5885"/>
    <w:rsid w:val="00923FA2"/>
    <w:rsid w:val="0096060D"/>
    <w:rsid w:val="00974A50"/>
    <w:rsid w:val="0097585A"/>
    <w:rsid w:val="009924B0"/>
    <w:rsid w:val="009942C9"/>
    <w:rsid w:val="009B35C4"/>
    <w:rsid w:val="009B66CC"/>
    <w:rsid w:val="009C630A"/>
    <w:rsid w:val="009E0D98"/>
    <w:rsid w:val="00A068A1"/>
    <w:rsid w:val="00A1207D"/>
    <w:rsid w:val="00A12FD8"/>
    <w:rsid w:val="00A346FC"/>
    <w:rsid w:val="00A82AC0"/>
    <w:rsid w:val="00A846F2"/>
    <w:rsid w:val="00A84F93"/>
    <w:rsid w:val="00AA358F"/>
    <w:rsid w:val="00AB1AC5"/>
    <w:rsid w:val="00AB3BFC"/>
    <w:rsid w:val="00AC4F2E"/>
    <w:rsid w:val="00AD0C37"/>
    <w:rsid w:val="00AD385F"/>
    <w:rsid w:val="00AE6E2A"/>
    <w:rsid w:val="00AF12FF"/>
    <w:rsid w:val="00B03EAB"/>
    <w:rsid w:val="00B305BA"/>
    <w:rsid w:val="00B31E9C"/>
    <w:rsid w:val="00B35595"/>
    <w:rsid w:val="00B51C6D"/>
    <w:rsid w:val="00B83DD2"/>
    <w:rsid w:val="00B86D64"/>
    <w:rsid w:val="00BA4AC5"/>
    <w:rsid w:val="00BC1364"/>
    <w:rsid w:val="00BC2667"/>
    <w:rsid w:val="00BC7DE9"/>
    <w:rsid w:val="00BE49BA"/>
    <w:rsid w:val="00BF479B"/>
    <w:rsid w:val="00C0051D"/>
    <w:rsid w:val="00C02577"/>
    <w:rsid w:val="00C204FB"/>
    <w:rsid w:val="00C20BEE"/>
    <w:rsid w:val="00C2158D"/>
    <w:rsid w:val="00C67DD2"/>
    <w:rsid w:val="00C725CB"/>
    <w:rsid w:val="00C76F5C"/>
    <w:rsid w:val="00C77DBE"/>
    <w:rsid w:val="00C96BAD"/>
    <w:rsid w:val="00CA5D35"/>
    <w:rsid w:val="00CA6944"/>
    <w:rsid w:val="00CB0F8E"/>
    <w:rsid w:val="00CB7E40"/>
    <w:rsid w:val="00CB7E7D"/>
    <w:rsid w:val="00CC20AE"/>
    <w:rsid w:val="00CC2911"/>
    <w:rsid w:val="00CC3F92"/>
    <w:rsid w:val="00CD3A78"/>
    <w:rsid w:val="00CF0C6D"/>
    <w:rsid w:val="00CF7307"/>
    <w:rsid w:val="00CF7C68"/>
    <w:rsid w:val="00D124FA"/>
    <w:rsid w:val="00D32819"/>
    <w:rsid w:val="00D340DE"/>
    <w:rsid w:val="00D37B14"/>
    <w:rsid w:val="00D55723"/>
    <w:rsid w:val="00D61E72"/>
    <w:rsid w:val="00D62FAD"/>
    <w:rsid w:val="00D64355"/>
    <w:rsid w:val="00D70450"/>
    <w:rsid w:val="00D83BFD"/>
    <w:rsid w:val="00D90A38"/>
    <w:rsid w:val="00DA0515"/>
    <w:rsid w:val="00DA171E"/>
    <w:rsid w:val="00DA56AA"/>
    <w:rsid w:val="00DA6102"/>
    <w:rsid w:val="00DB5833"/>
    <w:rsid w:val="00DC44DA"/>
    <w:rsid w:val="00DD2858"/>
    <w:rsid w:val="00DE2B76"/>
    <w:rsid w:val="00E03E33"/>
    <w:rsid w:val="00E059E0"/>
    <w:rsid w:val="00E3642A"/>
    <w:rsid w:val="00E415C4"/>
    <w:rsid w:val="00E50016"/>
    <w:rsid w:val="00E50EAA"/>
    <w:rsid w:val="00E656D6"/>
    <w:rsid w:val="00E9018B"/>
    <w:rsid w:val="00E91F70"/>
    <w:rsid w:val="00E977EE"/>
    <w:rsid w:val="00EA2F24"/>
    <w:rsid w:val="00EA35B0"/>
    <w:rsid w:val="00EA67A2"/>
    <w:rsid w:val="00EB36E8"/>
    <w:rsid w:val="00EB630F"/>
    <w:rsid w:val="00EB6B6F"/>
    <w:rsid w:val="00EC4F98"/>
    <w:rsid w:val="00ED1507"/>
    <w:rsid w:val="00ED69DB"/>
    <w:rsid w:val="00F12F02"/>
    <w:rsid w:val="00F32E0D"/>
    <w:rsid w:val="00F35134"/>
    <w:rsid w:val="00F37B9C"/>
    <w:rsid w:val="00F41812"/>
    <w:rsid w:val="00F5027D"/>
    <w:rsid w:val="00F715D1"/>
    <w:rsid w:val="00F72715"/>
    <w:rsid w:val="00F73333"/>
    <w:rsid w:val="00F9177A"/>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C5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ES Paragraph,BulletPoints,PBAC ES Paragraph,List Paragraph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ES Paragraph Char,BulletPoints Char,PBAC ES Paragraph Char,List Paragraph1 Char"/>
    <w:basedOn w:val="DefaultParagraphFont"/>
    <w:link w:val="ListParagraph"/>
    <w:uiPriority w:val="34"/>
    <w:locked/>
    <w:rsid w:val="00DC44DA"/>
    <w:rPr>
      <w:rFonts w:eastAsia="Times New Roman"/>
      <w:sz w:val="24"/>
      <w:szCs w:val="20"/>
    </w:rPr>
  </w:style>
  <w:style w:type="table" w:customStyle="1" w:styleId="TableGrid1">
    <w:name w:val="Table Grid1"/>
    <w:basedOn w:val="TableNormal"/>
    <w:next w:val="TableGrid"/>
    <w:uiPriority w:val="59"/>
    <w:rsid w:val="00E91F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E9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102D1"/>
    <w:pPr>
      <w:spacing w:before="100" w:after="100"/>
      <w:jc w:val="both"/>
    </w:pPr>
    <w:rPr>
      <w:lang w:val="en-GB" w:eastAsia="en-US"/>
    </w:r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locked/>
    <w:rsid w:val="00863377"/>
    <w:pPr>
      <w:keepNext/>
      <w:spacing w:before="120"/>
      <w:contextualSpacing/>
      <w:jc w:val="both"/>
    </w:pPr>
    <w:rPr>
      <w:rFonts w:ascii="Arial Narrow" w:eastAsiaTheme="minorHAnsi" w:hAnsi="Arial Narrow" w:cstheme="minorBidi"/>
      <w:b/>
      <w:iCs/>
      <w:color w:val="000000" w:themeColor="text1"/>
      <w:sz w:val="20"/>
      <w:szCs w:val="18"/>
      <w:lang w:eastAsia="en-US"/>
    </w:rPr>
  </w:style>
  <w:style w:type="paragraph" w:customStyle="1" w:styleId="TableText">
    <w:name w:val="Table Text"/>
    <w:basedOn w:val="Normal"/>
    <w:link w:val="TableTextChar"/>
    <w:qFormat/>
    <w:rsid w:val="00863377"/>
    <w:pPr>
      <w:widowControl w:val="0"/>
      <w:spacing w:before="40" w:after="40"/>
      <w:jc w:val="both"/>
    </w:pPr>
    <w:rPr>
      <w:rFonts w:ascii="Arial Narrow" w:eastAsiaTheme="minorHAnsi" w:hAnsi="Arial Narrow" w:cstheme="minorBidi"/>
      <w:sz w:val="20"/>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63377"/>
    <w:rPr>
      <w:rFonts w:ascii="Arial Narrow" w:eastAsiaTheme="minorHAnsi" w:hAnsi="Arial Narrow" w:cstheme="minorBidi"/>
      <w:b/>
      <w:iCs/>
      <w:color w:val="000000" w:themeColor="text1"/>
      <w:sz w:val="20"/>
      <w:szCs w:val="18"/>
      <w:lang w:eastAsia="en-US"/>
    </w:rPr>
  </w:style>
  <w:style w:type="paragraph" w:customStyle="1" w:styleId="TableFooter">
    <w:name w:val="Table Footer"/>
    <w:basedOn w:val="Normal"/>
    <w:link w:val="TableFooterChar"/>
    <w:uiPriority w:val="4"/>
    <w:qFormat/>
    <w:rsid w:val="00863377"/>
    <w:pPr>
      <w:widowControl w:val="0"/>
      <w:spacing w:before="40"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4"/>
    <w:rsid w:val="00863377"/>
    <w:rPr>
      <w:rFonts w:ascii="Arial Narrow" w:eastAsia="Times New Roman" w:hAnsi="Arial Narrow" w:cs="Arial"/>
      <w:snapToGrid w:val="0"/>
      <w:sz w:val="18"/>
      <w:szCs w:val="20"/>
      <w:lang w:eastAsia="en-US"/>
    </w:rPr>
  </w:style>
  <w:style w:type="character" w:customStyle="1" w:styleId="TableTextChar">
    <w:name w:val="Table Text Char"/>
    <w:link w:val="TableText"/>
    <w:rsid w:val="00863377"/>
    <w:rPr>
      <w:rFonts w:ascii="Arial Narrow" w:eastAsiaTheme="minorHAnsi" w:hAnsi="Arial Narrow" w:cstheme="minorBidi"/>
      <w:sz w:val="20"/>
      <w:lang w:eastAsia="en-US"/>
    </w:rPr>
  </w:style>
  <w:style w:type="paragraph" w:customStyle="1" w:styleId="MSACESParagraph">
    <w:name w:val="MSAC ES Paragraph"/>
    <w:link w:val="MSACESParagraphChar"/>
    <w:qFormat/>
    <w:rsid w:val="00863377"/>
    <w:pPr>
      <w:spacing w:after="240"/>
    </w:pPr>
    <w:rPr>
      <w:rFonts w:eastAsiaTheme="minorHAnsi" w:cstheme="minorBidi"/>
      <w:sz w:val="24"/>
      <w:lang w:eastAsia="en-US"/>
    </w:rPr>
  </w:style>
  <w:style w:type="paragraph" w:customStyle="1" w:styleId="MSACESHeading2">
    <w:name w:val="MSAC ES Heading 2"/>
    <w:basedOn w:val="Heading2"/>
    <w:next w:val="MSACESParagraph"/>
    <w:link w:val="MSACESHeading2Char"/>
    <w:qFormat/>
    <w:rsid w:val="00863377"/>
    <w:pPr>
      <w:spacing w:before="360" w:after="120"/>
      <w:ind w:left="57" w:hanging="57"/>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863377"/>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863377"/>
    <w:rPr>
      <w:rFonts w:eastAsiaTheme="minorHAnsi" w:cstheme="minorBidi"/>
      <w:sz w:val="24"/>
      <w:lang w:eastAsia="en-US"/>
    </w:rPr>
  </w:style>
  <w:style w:type="table" w:customStyle="1" w:styleId="TableGrid2">
    <w:name w:val="Table Grid2"/>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ES Paragraph,BulletPoints,PBAC ES Paragraph,List Paragraph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aliases w:val="ES Paragraph Char,BulletPoints Char,PBAC ES Paragraph Char,List Paragraph1 Char"/>
    <w:basedOn w:val="DefaultParagraphFont"/>
    <w:link w:val="ListParagraph"/>
    <w:uiPriority w:val="34"/>
    <w:locked/>
    <w:rsid w:val="00DC44DA"/>
    <w:rPr>
      <w:rFonts w:eastAsia="Times New Roman"/>
      <w:sz w:val="24"/>
      <w:szCs w:val="20"/>
    </w:rPr>
  </w:style>
  <w:style w:type="table" w:customStyle="1" w:styleId="TableGrid1">
    <w:name w:val="Table Grid1"/>
    <w:basedOn w:val="TableNormal"/>
    <w:next w:val="TableGrid"/>
    <w:uiPriority w:val="59"/>
    <w:rsid w:val="00E91F7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E9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102D1"/>
    <w:pPr>
      <w:spacing w:before="100" w:after="100"/>
      <w:jc w:val="both"/>
    </w:pPr>
    <w:rPr>
      <w:lang w:val="en-GB" w:eastAsia="en-US"/>
    </w:r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nhideWhenUsed/>
    <w:qFormat/>
    <w:locked/>
    <w:rsid w:val="00863377"/>
    <w:pPr>
      <w:keepNext/>
      <w:spacing w:before="120"/>
      <w:contextualSpacing/>
      <w:jc w:val="both"/>
    </w:pPr>
    <w:rPr>
      <w:rFonts w:ascii="Arial Narrow" w:eastAsiaTheme="minorHAnsi" w:hAnsi="Arial Narrow" w:cstheme="minorBidi"/>
      <w:b/>
      <w:iCs/>
      <w:color w:val="000000" w:themeColor="text1"/>
      <w:sz w:val="20"/>
      <w:szCs w:val="18"/>
      <w:lang w:eastAsia="en-US"/>
    </w:rPr>
  </w:style>
  <w:style w:type="paragraph" w:customStyle="1" w:styleId="TableText">
    <w:name w:val="Table Text"/>
    <w:basedOn w:val="Normal"/>
    <w:link w:val="TableTextChar"/>
    <w:qFormat/>
    <w:rsid w:val="00863377"/>
    <w:pPr>
      <w:widowControl w:val="0"/>
      <w:spacing w:before="40" w:after="40"/>
      <w:jc w:val="both"/>
    </w:pPr>
    <w:rPr>
      <w:rFonts w:ascii="Arial Narrow" w:eastAsiaTheme="minorHAnsi" w:hAnsi="Arial Narrow" w:cstheme="minorBidi"/>
      <w:sz w:val="20"/>
      <w:szCs w:val="22"/>
      <w:lang w:eastAsia="en-US"/>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863377"/>
    <w:rPr>
      <w:rFonts w:ascii="Arial Narrow" w:eastAsiaTheme="minorHAnsi" w:hAnsi="Arial Narrow" w:cstheme="minorBidi"/>
      <w:b/>
      <w:iCs/>
      <w:color w:val="000000" w:themeColor="text1"/>
      <w:sz w:val="20"/>
      <w:szCs w:val="18"/>
      <w:lang w:eastAsia="en-US"/>
    </w:rPr>
  </w:style>
  <w:style w:type="paragraph" w:customStyle="1" w:styleId="TableFooter">
    <w:name w:val="Table Footer"/>
    <w:basedOn w:val="Normal"/>
    <w:link w:val="TableFooterChar"/>
    <w:uiPriority w:val="4"/>
    <w:qFormat/>
    <w:rsid w:val="00863377"/>
    <w:pPr>
      <w:widowControl w:val="0"/>
      <w:spacing w:before="40" w:after="240"/>
      <w:contextualSpacing/>
      <w:jc w:val="both"/>
    </w:pPr>
    <w:rPr>
      <w:rFonts w:ascii="Arial Narrow" w:hAnsi="Arial Narrow" w:cs="Arial"/>
      <w:snapToGrid w:val="0"/>
      <w:sz w:val="18"/>
      <w:lang w:eastAsia="en-US"/>
    </w:rPr>
  </w:style>
  <w:style w:type="character" w:customStyle="1" w:styleId="TableFooterChar">
    <w:name w:val="Table Footer Char"/>
    <w:link w:val="TableFooter"/>
    <w:uiPriority w:val="4"/>
    <w:rsid w:val="00863377"/>
    <w:rPr>
      <w:rFonts w:ascii="Arial Narrow" w:eastAsia="Times New Roman" w:hAnsi="Arial Narrow" w:cs="Arial"/>
      <w:snapToGrid w:val="0"/>
      <w:sz w:val="18"/>
      <w:szCs w:val="20"/>
      <w:lang w:eastAsia="en-US"/>
    </w:rPr>
  </w:style>
  <w:style w:type="character" w:customStyle="1" w:styleId="TableTextChar">
    <w:name w:val="Table Text Char"/>
    <w:link w:val="TableText"/>
    <w:rsid w:val="00863377"/>
    <w:rPr>
      <w:rFonts w:ascii="Arial Narrow" w:eastAsiaTheme="minorHAnsi" w:hAnsi="Arial Narrow" w:cstheme="minorBidi"/>
      <w:sz w:val="20"/>
      <w:lang w:eastAsia="en-US"/>
    </w:rPr>
  </w:style>
  <w:style w:type="paragraph" w:customStyle="1" w:styleId="MSACESParagraph">
    <w:name w:val="MSAC ES Paragraph"/>
    <w:link w:val="MSACESParagraphChar"/>
    <w:qFormat/>
    <w:rsid w:val="00863377"/>
    <w:pPr>
      <w:spacing w:after="240"/>
    </w:pPr>
    <w:rPr>
      <w:rFonts w:eastAsiaTheme="minorHAnsi" w:cstheme="minorBidi"/>
      <w:sz w:val="24"/>
      <w:lang w:eastAsia="en-US"/>
    </w:rPr>
  </w:style>
  <w:style w:type="paragraph" w:customStyle="1" w:styleId="MSACESHeading2">
    <w:name w:val="MSAC ES Heading 2"/>
    <w:basedOn w:val="Heading2"/>
    <w:next w:val="MSACESParagraph"/>
    <w:link w:val="MSACESHeading2Char"/>
    <w:qFormat/>
    <w:rsid w:val="00863377"/>
    <w:pPr>
      <w:spacing w:before="360" w:after="120"/>
      <w:ind w:left="57" w:hanging="57"/>
    </w:pPr>
    <w:rPr>
      <w:rFonts w:ascii="Cambria" w:hAnsi="Cambria"/>
      <w:bCs w:val="0"/>
      <w:snapToGrid w:val="0"/>
      <w:color w:val="auto"/>
      <w:sz w:val="24"/>
      <w:szCs w:val="28"/>
      <w:lang w:eastAsia="en-US"/>
    </w:rPr>
  </w:style>
  <w:style w:type="character" w:customStyle="1" w:styleId="MSACESHeading2Char">
    <w:name w:val="MSAC ES Heading 2 Char"/>
    <w:basedOn w:val="DefaultParagraphFont"/>
    <w:link w:val="MSACESHeading2"/>
    <w:rsid w:val="00863377"/>
    <w:rPr>
      <w:rFonts w:ascii="Cambria" w:eastAsiaTheme="majorEastAsia" w:hAnsi="Cambria" w:cstheme="majorBidi"/>
      <w:b/>
      <w:snapToGrid w:val="0"/>
      <w:sz w:val="24"/>
      <w:szCs w:val="28"/>
      <w:lang w:eastAsia="en-US"/>
    </w:rPr>
  </w:style>
  <w:style w:type="character" w:customStyle="1" w:styleId="MSACESParagraphChar">
    <w:name w:val="MSAC ES Paragraph Char"/>
    <w:basedOn w:val="DefaultParagraphFont"/>
    <w:link w:val="MSACESParagraph"/>
    <w:rsid w:val="00863377"/>
    <w:rPr>
      <w:rFonts w:eastAsiaTheme="minorHAnsi" w:cstheme="minorBidi"/>
      <w:sz w:val="24"/>
      <w:lang w:eastAsia="en-US"/>
    </w:rPr>
  </w:style>
  <w:style w:type="table" w:customStyle="1" w:styleId="TableGrid2">
    <w:name w:val="Table Grid2"/>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37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psmedicinewise.sharepoint.com/ws/t/FormativeResearch/Docs/Forms/AllItems.aspx?RootFolder=%2Fws%2Ft%2FFormativeResearch%2FDocs%2FESC%20October%202017%20Meeting%20Contract%20%2D%20restricted%2F1440%2E1%20PD%2DL1&amp;FolderCTID=0x012000CE67F71DB95A524696A4EDCB5C2F5347&amp;View=%7B11CAE85A%2DF13C%2D4A51%2D9EF6%2DF045CD313500%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internet/msac/publishing.nsf/Content/1440-public"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5857</Words>
  <Characters>32777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1440.1-Final-PSD</dc:title>
  <dc:creator/>
  <cp:lastModifiedBy/>
  <cp:revision>1</cp:revision>
  <dcterms:created xsi:type="dcterms:W3CDTF">2018-02-15T03:12:00Z</dcterms:created>
  <dcterms:modified xsi:type="dcterms:W3CDTF">2018-02-15T03:13:00Z</dcterms:modified>
</cp:coreProperties>
</file>