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8E48" w14:textId="612EC069" w:rsidR="00EA0AA0" w:rsidRPr="00EA0AA0" w:rsidRDefault="00EA0AA0" w:rsidP="00FF1ECB">
      <w:pPr>
        <w:spacing w:before="2080" w:after="0"/>
        <w:jc w:val="center"/>
        <w:rPr>
          <w:rFonts w:ascii="Arial" w:hAnsi="Arial" w:cs="Arial"/>
          <w:b/>
          <w:bCs/>
          <w:sz w:val="52"/>
          <w:szCs w:val="52"/>
        </w:rPr>
      </w:pPr>
      <w:r w:rsidRPr="00EA0AA0">
        <w:rPr>
          <w:rFonts w:ascii="Arial" w:hAnsi="Arial" w:cs="Arial"/>
          <w:b/>
          <w:bCs/>
          <w:sz w:val="52"/>
          <w:szCs w:val="52"/>
        </w:rPr>
        <w:t>MSAC Application</w:t>
      </w:r>
      <w:r w:rsidR="004129E4">
        <w:rPr>
          <w:rFonts w:ascii="Arial" w:hAnsi="Arial" w:cs="Arial"/>
          <w:b/>
          <w:bCs/>
          <w:sz w:val="52"/>
          <w:szCs w:val="52"/>
        </w:rPr>
        <w:t xml:space="preserve"> 1787</w:t>
      </w:r>
    </w:p>
    <w:p w14:paraId="2CED87DE" w14:textId="6041BA71" w:rsidR="00EA0AA0" w:rsidRPr="009139B7" w:rsidRDefault="00E00B1A" w:rsidP="009139B7">
      <w:pPr>
        <w:spacing w:before="840"/>
        <w:jc w:val="center"/>
        <w:rPr>
          <w:rFonts w:eastAsia="Segoe UI"/>
          <w:bCs/>
          <w:i/>
          <w:iCs/>
          <w:color w:val="538135" w:themeColor="accent6" w:themeShade="BF"/>
        </w:rPr>
      </w:pPr>
      <w:r>
        <w:rPr>
          <w:rFonts w:ascii="Arial" w:hAnsi="Arial" w:cs="Arial"/>
          <w:b/>
          <w:bCs/>
          <w:color w:val="0070C0"/>
          <w:sz w:val="52"/>
          <w:szCs w:val="52"/>
        </w:rPr>
        <w:t xml:space="preserve">Immunohistochemistry testing </w:t>
      </w:r>
      <w:r w:rsidR="00C279A5">
        <w:rPr>
          <w:rFonts w:ascii="Arial" w:hAnsi="Arial" w:cs="Arial"/>
          <w:b/>
          <w:bCs/>
          <w:color w:val="0070C0"/>
          <w:sz w:val="52"/>
          <w:szCs w:val="52"/>
        </w:rPr>
        <w:t xml:space="preserve">of </w:t>
      </w:r>
      <w:r w:rsidR="00332904">
        <w:rPr>
          <w:rFonts w:ascii="Arial" w:hAnsi="Arial" w:cs="Arial"/>
          <w:b/>
          <w:bCs/>
          <w:color w:val="0070C0"/>
          <w:sz w:val="52"/>
          <w:szCs w:val="52"/>
        </w:rPr>
        <w:t xml:space="preserve">solid </w:t>
      </w:r>
      <w:r w:rsidR="00C279A5">
        <w:rPr>
          <w:rFonts w:ascii="Arial" w:hAnsi="Arial" w:cs="Arial"/>
          <w:b/>
          <w:bCs/>
          <w:color w:val="0070C0"/>
          <w:sz w:val="52"/>
          <w:szCs w:val="52"/>
        </w:rPr>
        <w:t>tumour</w:t>
      </w:r>
      <w:r w:rsidR="00DB4C2E">
        <w:rPr>
          <w:rFonts w:ascii="Arial" w:hAnsi="Arial" w:cs="Arial"/>
          <w:b/>
          <w:bCs/>
          <w:color w:val="0070C0"/>
          <w:sz w:val="52"/>
          <w:szCs w:val="52"/>
        </w:rPr>
        <w:t xml:space="preserve"> tissue to determine </w:t>
      </w:r>
      <w:r w:rsidR="003476F4">
        <w:rPr>
          <w:rFonts w:ascii="Arial" w:hAnsi="Arial" w:cs="Arial"/>
          <w:b/>
          <w:bCs/>
          <w:color w:val="0070C0"/>
          <w:sz w:val="52"/>
          <w:szCs w:val="52"/>
        </w:rPr>
        <w:t>folate receptor alpha (</w:t>
      </w:r>
      <w:r w:rsidR="001818BE">
        <w:rPr>
          <w:rFonts w:ascii="Arial" w:hAnsi="Arial" w:cs="Arial"/>
          <w:b/>
          <w:bCs/>
          <w:color w:val="0070C0"/>
          <w:sz w:val="52"/>
          <w:szCs w:val="52"/>
        </w:rPr>
        <w:t>F</w:t>
      </w:r>
      <w:r w:rsidR="00C90E6F">
        <w:rPr>
          <w:rFonts w:ascii="Arial" w:hAnsi="Arial" w:cs="Arial"/>
          <w:b/>
          <w:bCs/>
          <w:color w:val="0070C0"/>
          <w:sz w:val="52"/>
          <w:szCs w:val="52"/>
        </w:rPr>
        <w:t>Rα</w:t>
      </w:r>
      <w:r w:rsidR="001818BE">
        <w:rPr>
          <w:rFonts w:ascii="Arial" w:hAnsi="Arial" w:cs="Arial"/>
          <w:b/>
          <w:bCs/>
          <w:color w:val="0070C0"/>
          <w:sz w:val="52"/>
          <w:szCs w:val="52"/>
        </w:rPr>
        <w:t>)</w:t>
      </w:r>
      <w:r w:rsidR="0093305E">
        <w:rPr>
          <w:rFonts w:ascii="Arial" w:hAnsi="Arial" w:cs="Arial"/>
          <w:b/>
          <w:bCs/>
          <w:color w:val="0070C0"/>
          <w:sz w:val="52"/>
          <w:szCs w:val="52"/>
        </w:rPr>
        <w:t xml:space="preserve"> </w:t>
      </w:r>
      <w:r w:rsidR="003476F4">
        <w:rPr>
          <w:rFonts w:ascii="Arial" w:hAnsi="Arial" w:cs="Arial"/>
          <w:b/>
          <w:bCs/>
          <w:color w:val="0070C0"/>
          <w:sz w:val="52"/>
          <w:szCs w:val="52"/>
        </w:rPr>
        <w:t>expression</w:t>
      </w:r>
      <w:r w:rsidR="0093305E">
        <w:rPr>
          <w:rFonts w:ascii="Arial" w:hAnsi="Arial" w:cs="Arial"/>
          <w:b/>
          <w:bCs/>
          <w:color w:val="0070C0"/>
          <w:sz w:val="52"/>
          <w:szCs w:val="52"/>
        </w:rPr>
        <w:t xml:space="preserve"> </w:t>
      </w:r>
      <w:r w:rsidR="00DB4C2E">
        <w:rPr>
          <w:rFonts w:ascii="Arial" w:hAnsi="Arial" w:cs="Arial"/>
          <w:b/>
          <w:bCs/>
          <w:color w:val="0070C0"/>
          <w:sz w:val="52"/>
          <w:szCs w:val="52"/>
        </w:rPr>
        <w:t xml:space="preserve">status </w:t>
      </w:r>
      <w:r w:rsidR="0093305E">
        <w:rPr>
          <w:rFonts w:ascii="Arial" w:hAnsi="Arial" w:cs="Arial"/>
          <w:b/>
          <w:bCs/>
          <w:color w:val="0070C0"/>
          <w:sz w:val="52"/>
          <w:szCs w:val="52"/>
        </w:rPr>
        <w:t xml:space="preserve">in </w:t>
      </w:r>
      <w:r w:rsidR="00B262B6">
        <w:rPr>
          <w:rFonts w:ascii="Arial" w:hAnsi="Arial" w:cs="Arial"/>
          <w:b/>
          <w:bCs/>
          <w:color w:val="0070C0"/>
          <w:sz w:val="52"/>
          <w:szCs w:val="52"/>
        </w:rPr>
        <w:t xml:space="preserve">adults with </w:t>
      </w:r>
      <w:r w:rsidR="00644881">
        <w:rPr>
          <w:rFonts w:ascii="Arial" w:hAnsi="Arial" w:cs="Arial"/>
          <w:b/>
          <w:bCs/>
          <w:color w:val="0070C0"/>
          <w:sz w:val="52"/>
          <w:szCs w:val="52"/>
        </w:rPr>
        <w:t>platinum-resistant ovarian cancer</w:t>
      </w:r>
      <w:r w:rsidR="00C90E6F">
        <w:rPr>
          <w:rFonts w:ascii="Arial" w:hAnsi="Arial" w:cs="Arial"/>
          <w:b/>
          <w:bCs/>
          <w:color w:val="0070C0"/>
          <w:sz w:val="52"/>
          <w:szCs w:val="52"/>
        </w:rPr>
        <w:t xml:space="preserve">, for access to PBS </w:t>
      </w:r>
      <w:r w:rsidR="003C1E1D">
        <w:rPr>
          <w:rFonts w:ascii="Arial" w:hAnsi="Arial" w:cs="Arial"/>
          <w:b/>
          <w:bCs/>
          <w:color w:val="0070C0"/>
          <w:sz w:val="52"/>
          <w:szCs w:val="52"/>
        </w:rPr>
        <w:t>El</w:t>
      </w:r>
      <w:r w:rsidR="005828C4">
        <w:rPr>
          <w:rFonts w:ascii="Arial" w:hAnsi="Arial" w:cs="Arial"/>
          <w:b/>
          <w:bCs/>
          <w:color w:val="0070C0"/>
          <w:sz w:val="52"/>
          <w:szCs w:val="52"/>
        </w:rPr>
        <w:t>ahere™</w:t>
      </w:r>
      <w:r w:rsidR="00DA4BB4">
        <w:rPr>
          <w:rFonts w:ascii="Arial" w:hAnsi="Arial" w:cs="Arial"/>
          <w:b/>
          <w:bCs/>
          <w:color w:val="0070C0"/>
          <w:sz w:val="52"/>
          <w:szCs w:val="52"/>
        </w:rPr>
        <w:t xml:space="preserve"> (</w:t>
      </w:r>
      <w:r w:rsidR="00DA4BB4" w:rsidRPr="00DA4BB4">
        <w:rPr>
          <w:rFonts w:ascii="Arial" w:hAnsi="Arial" w:cs="Arial"/>
          <w:b/>
          <w:bCs/>
          <w:color w:val="0070C0"/>
          <w:sz w:val="52"/>
          <w:szCs w:val="52"/>
        </w:rPr>
        <w:t>mirvetuximab soravtansine</w:t>
      </w:r>
      <w:r w:rsidR="00DA4BB4">
        <w:rPr>
          <w:rFonts w:ascii="Arial" w:hAnsi="Arial" w:cs="Arial"/>
          <w:b/>
          <w:bCs/>
          <w:color w:val="0070C0"/>
          <w:sz w:val="52"/>
          <w:szCs w:val="52"/>
        </w:rPr>
        <w:t>)</w:t>
      </w:r>
      <w:r w:rsidR="003476F4">
        <w:rPr>
          <w:rFonts w:ascii="Arial" w:hAnsi="Arial" w:cs="Arial"/>
          <w:b/>
          <w:bCs/>
          <w:color w:val="0070C0"/>
          <w:sz w:val="52"/>
          <w:szCs w:val="52"/>
        </w:rPr>
        <w:t xml:space="preserve"> </w:t>
      </w:r>
    </w:p>
    <w:p w14:paraId="41F4C9E1" w14:textId="34857FC6" w:rsidR="00EA0AA0" w:rsidRDefault="00EA0AA0" w:rsidP="009139B7">
      <w:pPr>
        <w:spacing w:before="840" w:line="259" w:lineRule="auto"/>
        <w:jc w:val="center"/>
        <w:rPr>
          <w:b/>
          <w:bCs/>
          <w:color w:val="0070C0"/>
          <w:sz w:val="32"/>
          <w:szCs w:val="32"/>
        </w:rPr>
      </w:pPr>
      <w:r w:rsidRPr="00EA0AA0">
        <w:rPr>
          <w:rFonts w:ascii="Arial" w:hAnsi="Arial" w:cs="Arial"/>
          <w:b/>
          <w:bCs/>
          <w:sz w:val="52"/>
          <w:szCs w:val="52"/>
        </w:rPr>
        <w:t>PICO Set</w:t>
      </w:r>
      <w:r w:rsidR="00FF1ECB">
        <w:rPr>
          <w:rFonts w:ascii="Arial" w:hAnsi="Arial" w:cs="Arial"/>
          <w:b/>
          <w:bCs/>
          <w:sz w:val="52"/>
          <w:szCs w:val="52"/>
        </w:rPr>
        <w:t xml:space="preserve"> </w:t>
      </w:r>
      <w:r w:rsidR="00970CD8">
        <w:rPr>
          <w:rFonts w:ascii="Arial" w:hAnsi="Arial" w:cs="Arial"/>
          <w:b/>
          <w:bCs/>
          <w:sz w:val="52"/>
          <w:szCs w:val="52"/>
        </w:rPr>
        <w:t>Document</w:t>
      </w:r>
    </w:p>
    <w:p w14:paraId="71FB4A17" w14:textId="77777777" w:rsidR="00FF1ECB" w:rsidRDefault="00FF1ECB" w:rsidP="00FF1ECB"/>
    <w:p w14:paraId="193657E0" w14:textId="77777777" w:rsidR="00FF1ECB" w:rsidRPr="00582377" w:rsidRDefault="00FF1ECB" w:rsidP="00FF1ECB">
      <w:pPr>
        <w:rPr>
          <w:rFonts w:eastAsia="Segoe UI"/>
          <w:bCs/>
          <w:i/>
          <w:iCs/>
          <w:color w:val="538135" w:themeColor="accent6" w:themeShade="BF"/>
        </w:rPr>
      </w:pPr>
    </w:p>
    <w:p w14:paraId="5BE7D23F" w14:textId="5A6B10B3" w:rsidR="008A7A5A" w:rsidRPr="00D77020" w:rsidRDefault="00A25D7E" w:rsidP="00D77020">
      <w:pPr>
        <w:spacing w:after="160" w:line="259" w:lineRule="auto"/>
        <w:jc w:val="center"/>
        <w:rPr>
          <w:rFonts w:ascii="Arial" w:hAnsi="Arial" w:cs="Arial"/>
          <w:b/>
          <w:bCs/>
          <w:color w:val="0070C0"/>
          <w:sz w:val="32"/>
          <w:szCs w:val="32"/>
        </w:rPr>
      </w:pPr>
      <w:r>
        <w:rPr>
          <w:rFonts w:ascii="Arial" w:hAnsi="Arial" w:cs="Arial"/>
          <w:b/>
          <w:bCs/>
          <w:color w:val="0070C0"/>
          <w:sz w:val="32"/>
          <w:szCs w:val="32"/>
        </w:rPr>
        <w:t>July 2024</w:t>
      </w:r>
    </w:p>
    <w:p w14:paraId="5E0B4851" w14:textId="39B685D4" w:rsidR="00EA152F" w:rsidRPr="00D77020" w:rsidRDefault="00EA152F" w:rsidP="00D77020">
      <w:pPr>
        <w:jc w:val="center"/>
        <w:rPr>
          <w:rFonts w:ascii="Arial" w:hAnsi="Arial" w:cs="Arial"/>
          <w:i/>
          <w:iCs/>
        </w:rPr>
      </w:pPr>
      <w:r w:rsidRPr="00D77020">
        <w:rPr>
          <w:rFonts w:ascii="Arial" w:hAnsi="Arial" w:cs="Arial"/>
          <w:i/>
          <w:iCs/>
        </w:rPr>
        <w:t>The following document and proposal may evolve based on clinical consultation over time. AbbVie is not responsible for the manufacture or supply of the companion diagnostic and may be subject to further input from Roche Diagnostics.</w:t>
      </w:r>
    </w:p>
    <w:p w14:paraId="36D3A1E8" w14:textId="77777777" w:rsidR="009139B7" w:rsidRPr="00D77020" w:rsidRDefault="009139B7" w:rsidP="00D77020">
      <w:pPr>
        <w:spacing w:after="160" w:line="259" w:lineRule="auto"/>
        <w:jc w:val="center"/>
        <w:rPr>
          <w:rFonts w:ascii="Arial" w:hAnsi="Arial" w:cs="Arial"/>
          <w:b/>
          <w:bCs/>
          <w:color w:val="0070C0"/>
          <w:sz w:val="32"/>
          <w:szCs w:val="32"/>
        </w:rPr>
      </w:pPr>
      <w:r w:rsidRPr="00D77020">
        <w:rPr>
          <w:rFonts w:ascii="Arial" w:hAnsi="Arial" w:cs="Arial"/>
        </w:rPr>
        <w:br w:type="page"/>
      </w:r>
    </w:p>
    <w:p w14:paraId="5BEAFFDE" w14:textId="4C2848C0" w:rsidR="00051843" w:rsidRPr="00D77020" w:rsidRDefault="00051843" w:rsidP="00EA0AA0">
      <w:pPr>
        <w:pStyle w:val="Heading1"/>
        <w:rPr>
          <w:rFonts w:ascii="Arial" w:hAnsi="Arial" w:cs="Arial"/>
        </w:rPr>
      </w:pPr>
      <w:r w:rsidRPr="00D77020">
        <w:rPr>
          <w:rFonts w:ascii="Arial" w:hAnsi="Arial" w:cs="Arial"/>
        </w:rPr>
        <w:lastRenderedPageBreak/>
        <w:t>Population</w:t>
      </w:r>
    </w:p>
    <w:p w14:paraId="403BD183" w14:textId="738A72BE" w:rsidR="00051843" w:rsidRPr="00D77020" w:rsidRDefault="00051843" w:rsidP="00646A98">
      <w:pPr>
        <w:pStyle w:val="Heading2"/>
        <w:spacing w:before="120"/>
        <w:rPr>
          <w:rFonts w:ascii="Arial" w:hAnsi="Arial" w:cs="Arial"/>
        </w:rPr>
      </w:pPr>
      <w:r w:rsidRPr="00D77020">
        <w:rPr>
          <w:rFonts w:ascii="Arial" w:hAnsi="Arial" w:cs="Arial"/>
        </w:rPr>
        <w:t>Describe the population in which the proposed health technology is intended to be used:</w:t>
      </w:r>
    </w:p>
    <w:p w14:paraId="3B0F4C5A" w14:textId="7B320E6D" w:rsidR="00141BAC" w:rsidRPr="00D77020" w:rsidRDefault="00D03ECC" w:rsidP="00F96D6B">
      <w:pPr>
        <w:spacing w:before="120" w:line="276" w:lineRule="auto"/>
        <w:jc w:val="both"/>
        <w:rPr>
          <w:rFonts w:ascii="Arial" w:hAnsi="Arial" w:cs="Arial"/>
          <w:lang w:val="en-US"/>
        </w:rPr>
      </w:pPr>
      <w:r w:rsidRPr="00D77020">
        <w:rPr>
          <w:rFonts w:ascii="Arial" w:hAnsi="Arial" w:cs="Arial"/>
          <w:lang w:val="en-US"/>
        </w:rPr>
        <w:t>Ovarian cancer is the leading cause of death from gynecological cancers globally</w:t>
      </w:r>
      <w:r w:rsidR="004C658A" w:rsidRPr="00D77020">
        <w:rPr>
          <w:rFonts w:ascii="Arial" w:hAnsi="Arial" w:cs="Arial"/>
          <w:lang w:val="en-US"/>
        </w:rPr>
        <w:t>, and in Australia</w:t>
      </w:r>
      <w:r w:rsidR="0074758C" w:rsidRPr="00D77020">
        <w:rPr>
          <w:rFonts w:ascii="Arial" w:hAnsi="Arial" w:cs="Arial"/>
          <w:lang w:val="en-US"/>
        </w:rPr>
        <w:t xml:space="preserve"> </w:t>
      </w:r>
      <w:r w:rsidR="00122E42" w:rsidRPr="00D77020">
        <w:rPr>
          <w:rFonts w:ascii="Arial" w:hAnsi="Arial" w:cs="Arial"/>
          <w:lang w:val="en-US"/>
        </w:rPr>
        <w:t xml:space="preserve">has the highest </w:t>
      </w:r>
      <w:r w:rsidR="0097564B" w:rsidRPr="00D77020">
        <w:rPr>
          <w:rFonts w:ascii="Arial" w:hAnsi="Arial" w:cs="Arial"/>
          <w:lang w:val="en-US"/>
        </w:rPr>
        <w:t xml:space="preserve">death rate at 4.8% of all female cancers per year. </w:t>
      </w:r>
      <w:r w:rsidR="000B1342" w:rsidRPr="00D77020">
        <w:rPr>
          <w:rFonts w:ascii="Arial" w:hAnsi="Arial" w:cs="Arial"/>
          <w:lang w:val="en-US"/>
        </w:rPr>
        <w:t xml:space="preserve">There are currently no recommended screening tests for ovarian cancer and </w:t>
      </w:r>
      <w:r w:rsidR="0009639F" w:rsidRPr="00D77020">
        <w:rPr>
          <w:rFonts w:ascii="Arial" w:hAnsi="Arial" w:cs="Arial"/>
          <w:lang w:val="en-US"/>
        </w:rPr>
        <w:t xml:space="preserve">the absence of definitive symptoms makes it difficult </w:t>
      </w:r>
      <w:r w:rsidR="00A95DA4" w:rsidRPr="00D77020">
        <w:rPr>
          <w:rFonts w:ascii="Arial" w:hAnsi="Arial" w:cs="Arial"/>
          <w:lang w:val="en-US"/>
        </w:rPr>
        <w:t>to diagnose in the early stages</w:t>
      </w:r>
      <w:r w:rsidR="00D73673" w:rsidRPr="00D77020">
        <w:rPr>
          <w:rFonts w:ascii="Arial" w:hAnsi="Arial" w:cs="Arial"/>
          <w:lang w:val="en-US"/>
        </w:rPr>
        <w:t xml:space="preserve">; </w:t>
      </w:r>
      <w:r w:rsidR="00A67593" w:rsidRPr="00D77020">
        <w:rPr>
          <w:rFonts w:ascii="Arial" w:hAnsi="Arial" w:cs="Arial"/>
          <w:lang w:val="en-US"/>
        </w:rPr>
        <w:t xml:space="preserve">at </w:t>
      </w:r>
      <w:r w:rsidR="00D73673" w:rsidRPr="00D77020">
        <w:rPr>
          <w:rFonts w:ascii="Arial" w:hAnsi="Arial" w:cs="Arial"/>
          <w:lang w:val="en-US"/>
        </w:rPr>
        <w:t xml:space="preserve">the </w:t>
      </w:r>
      <w:r w:rsidR="00A67593" w:rsidRPr="00D77020">
        <w:rPr>
          <w:rFonts w:ascii="Arial" w:hAnsi="Arial" w:cs="Arial"/>
          <w:lang w:val="en-US"/>
        </w:rPr>
        <w:t xml:space="preserve">time of diagnosis women are typically in </w:t>
      </w:r>
      <w:r w:rsidR="003240AB" w:rsidRPr="00D77020">
        <w:rPr>
          <w:rFonts w:ascii="Arial" w:hAnsi="Arial" w:cs="Arial"/>
          <w:lang w:val="en-US"/>
        </w:rPr>
        <w:t>advanced</w:t>
      </w:r>
      <w:r w:rsidR="00613978" w:rsidRPr="00D77020">
        <w:rPr>
          <w:rFonts w:ascii="Arial" w:hAnsi="Arial" w:cs="Arial"/>
          <w:lang w:val="en-US"/>
        </w:rPr>
        <w:t xml:space="preserve"> </w:t>
      </w:r>
      <w:r w:rsidR="00A67593" w:rsidRPr="00D77020">
        <w:rPr>
          <w:rFonts w:ascii="Arial" w:hAnsi="Arial" w:cs="Arial"/>
          <w:lang w:val="en-US"/>
        </w:rPr>
        <w:t>stage disease</w:t>
      </w:r>
      <w:r w:rsidR="00A3555A" w:rsidRPr="00D77020">
        <w:rPr>
          <w:rFonts w:ascii="Arial" w:hAnsi="Arial" w:cs="Arial"/>
          <w:lang w:val="en-US"/>
        </w:rPr>
        <w:t xml:space="preserve"> leading to the </w:t>
      </w:r>
      <w:r w:rsidR="00AC17B3" w:rsidRPr="00D77020">
        <w:rPr>
          <w:rFonts w:ascii="Arial" w:hAnsi="Arial" w:cs="Arial"/>
          <w:lang w:val="en-US"/>
        </w:rPr>
        <w:t xml:space="preserve">poor </w:t>
      </w:r>
      <w:r w:rsidR="00C648C6" w:rsidRPr="00D77020">
        <w:rPr>
          <w:rFonts w:ascii="Arial" w:hAnsi="Arial" w:cs="Arial"/>
          <w:lang w:val="en-US"/>
        </w:rPr>
        <w:t>five-year survival rate</w:t>
      </w:r>
      <w:r w:rsidR="00813BC9" w:rsidRPr="00D77020">
        <w:rPr>
          <w:rFonts w:ascii="Arial" w:hAnsi="Arial" w:cs="Arial"/>
          <w:lang w:val="en-US"/>
        </w:rPr>
        <w:t xml:space="preserve"> </w:t>
      </w:r>
      <w:r w:rsidR="00A07C5D" w:rsidRPr="00D77020">
        <w:rPr>
          <w:rFonts w:ascii="Arial" w:hAnsi="Arial" w:cs="Arial"/>
          <w:lang w:val="en-US"/>
        </w:rPr>
        <w:t>of just 4</w:t>
      </w:r>
      <w:r w:rsidR="003208D1" w:rsidRPr="00D77020">
        <w:rPr>
          <w:rFonts w:ascii="Arial" w:hAnsi="Arial" w:cs="Arial"/>
          <w:lang w:val="en-US"/>
        </w:rPr>
        <w:t>8</w:t>
      </w:r>
      <w:r w:rsidR="001D172E">
        <w:rPr>
          <w:rFonts w:ascii="Arial" w:hAnsi="Arial" w:cs="Arial"/>
          <w:lang w:val="en-US"/>
        </w:rPr>
        <w:t xml:space="preserve">% (ACRF 2024). </w:t>
      </w:r>
    </w:p>
    <w:p w14:paraId="3D2BBF7B" w14:textId="1ACB7E11" w:rsidR="00141BAC" w:rsidRPr="00D77020" w:rsidRDefault="00141BAC" w:rsidP="00F96D6B">
      <w:pPr>
        <w:spacing w:before="120" w:line="276" w:lineRule="auto"/>
        <w:jc w:val="both"/>
        <w:rPr>
          <w:rFonts w:ascii="Arial" w:hAnsi="Arial" w:cs="Arial"/>
          <w:lang w:val="en-US"/>
        </w:rPr>
      </w:pPr>
      <w:r w:rsidRPr="00D77020">
        <w:rPr>
          <w:rFonts w:ascii="Arial" w:hAnsi="Arial" w:cs="Arial"/>
          <w:lang w:val="en-US"/>
        </w:rPr>
        <w:t>Ovarian cancer can be classified in two histological subtypes, epithelial and non-epithelial, with 90% of all ovarian cancer epithelial in origin</w:t>
      </w:r>
      <w:r w:rsidR="00F93A6A">
        <w:rPr>
          <w:rFonts w:ascii="Arial" w:hAnsi="Arial" w:cs="Arial"/>
          <w:lang w:val="en-US"/>
        </w:rPr>
        <w:t xml:space="preserve"> (Reid et al 2017)</w:t>
      </w:r>
      <w:r w:rsidR="00304CE9">
        <w:rPr>
          <w:rFonts w:ascii="Arial" w:hAnsi="Arial" w:cs="Arial"/>
          <w:lang w:val="en-US"/>
        </w:rPr>
        <w:t>.</w:t>
      </w:r>
      <w:r w:rsidRPr="00D77020">
        <w:rPr>
          <w:rFonts w:ascii="Arial" w:hAnsi="Arial" w:cs="Arial"/>
          <w:lang w:val="en-US"/>
        </w:rPr>
        <w:t xml:space="preserve"> For patients diagnosed with advanced epithelial ovarian cancer, treatment goals are to maximize or maintain health-related quality of life, while attempting to control disease or minimize further progression. There is no cure for these patients and the standard of care for newly diagnosed women with advanced stage epithelial ovarian cancer is cytoreductive surgery and platinum-based chemotherapy, followed by Poly-ADP ribose polymerase inhibitors (PARPis), such as olaparib, which have been incorporated as recommended maintenance therapy options after first-line (1L) chemotherapy in a subset of patients with pathogenic BRCA gene 1 and 2 mutations.</w:t>
      </w:r>
      <w:r w:rsidRPr="00D77020">
        <w:rPr>
          <w:rFonts w:ascii="Arial" w:hAnsi="Arial" w:cs="Arial"/>
        </w:rPr>
        <w:t xml:space="preserve"> </w:t>
      </w:r>
      <w:r w:rsidRPr="00D77020">
        <w:rPr>
          <w:rFonts w:ascii="Arial" w:hAnsi="Arial" w:cs="Arial"/>
          <w:lang w:val="en-US"/>
        </w:rPr>
        <w:t>Although most patients initially respond to platinum-based treatment, up to 80% of patients experience disease recurrence, and nearly all patients with recurrent disease will eventually develop platinum resistance for which the prognosis is poor</w:t>
      </w:r>
      <w:r w:rsidR="00A4457A">
        <w:rPr>
          <w:rFonts w:ascii="Arial" w:hAnsi="Arial" w:cs="Arial"/>
          <w:lang w:val="en-US"/>
        </w:rPr>
        <w:t xml:space="preserve"> (Lokadasan et al 2016; Davis et al 2014). </w:t>
      </w:r>
      <w:r w:rsidRPr="00D77020">
        <w:rPr>
          <w:rFonts w:ascii="Arial" w:hAnsi="Arial" w:cs="Arial"/>
          <w:lang w:val="en-US"/>
        </w:rPr>
        <w:t xml:space="preserve">There remains an urgent need to address the significant unmet need for these patients. </w:t>
      </w:r>
    </w:p>
    <w:p w14:paraId="10659FC4" w14:textId="22947D66" w:rsidR="00141BAC" w:rsidRPr="00D77020" w:rsidRDefault="00141BAC" w:rsidP="00F96D6B">
      <w:pPr>
        <w:spacing w:line="276" w:lineRule="auto"/>
        <w:jc w:val="both"/>
        <w:rPr>
          <w:rFonts w:ascii="Arial" w:hAnsi="Arial" w:cs="Arial"/>
        </w:rPr>
      </w:pPr>
      <w:r w:rsidRPr="00D77020">
        <w:rPr>
          <w:rFonts w:ascii="Arial" w:hAnsi="Arial" w:cs="Arial"/>
          <w:lang w:val="en-US"/>
        </w:rPr>
        <w:t>Folate receptor alpha (FRɑ) is a protein that is expressed in nearly all ovarian cancers and is both a predictive biomarker and a novel therapeutic targe</w:t>
      </w:r>
      <w:r w:rsidR="007215BD">
        <w:rPr>
          <w:rFonts w:ascii="Arial" w:hAnsi="Arial" w:cs="Arial"/>
          <w:lang w:val="en-US"/>
        </w:rPr>
        <w:t xml:space="preserve">t (Scaranti et al 2020). </w:t>
      </w:r>
      <w:r w:rsidRPr="00D77020">
        <w:rPr>
          <w:rFonts w:ascii="Arial" w:hAnsi="Arial" w:cs="Arial"/>
          <w:lang w:val="en-US"/>
        </w:rPr>
        <w:t>Mirvetuximab soravtansine is a FRα-directed antibody and microtubule inhibitor conjugate with a unique</w:t>
      </w:r>
      <w:r w:rsidRPr="00D77020">
        <w:rPr>
          <w:rFonts w:ascii="Arial" w:hAnsi="Arial" w:cs="Arial"/>
        </w:rPr>
        <w:t xml:space="preserve"> ability to specifically target FRα, which is overexpressed in ovarian cancer solid tumours and minimally expressed by healthy tissue. </w:t>
      </w:r>
      <w:r w:rsidRPr="00D77020">
        <w:rPr>
          <w:rFonts w:ascii="Arial" w:hAnsi="Arial" w:cs="Arial"/>
          <w:lang w:val="en-US"/>
        </w:rPr>
        <w:t xml:space="preserve">Mirvetuximab soravtansine is proposed to be funded for adult patients with platinum-resistant epithelial ovarian, fallopian tube, or primary peritoneal cancer (PROC) whose tumours </w:t>
      </w:r>
      <w:r>
        <w:rPr>
          <w:rFonts w:ascii="Arial" w:hAnsi="Arial" w:cs="Arial"/>
          <w:lang w:val="en-US"/>
        </w:rPr>
        <w:t>have a high level of FR</w:t>
      </w:r>
      <w:r w:rsidR="007A77D9" w:rsidRPr="00D77020">
        <w:rPr>
          <w:rFonts w:ascii="Arial" w:hAnsi="Arial" w:cs="Arial"/>
          <w:lang w:val="en-US"/>
        </w:rPr>
        <w:t>α</w:t>
      </w:r>
      <w:r>
        <w:rPr>
          <w:rFonts w:ascii="Arial" w:hAnsi="Arial" w:cs="Arial"/>
          <w:lang w:val="en-US"/>
        </w:rPr>
        <w:t xml:space="preserve"> expression, also referred to as</w:t>
      </w:r>
      <w:r w:rsidRPr="00D77020">
        <w:rPr>
          <w:rFonts w:ascii="Arial" w:hAnsi="Arial" w:cs="Arial"/>
          <w:lang w:val="en-US"/>
        </w:rPr>
        <w:t xml:space="preserve"> </w:t>
      </w:r>
      <w:r>
        <w:rPr>
          <w:rFonts w:ascii="Arial" w:hAnsi="Arial" w:cs="Arial"/>
          <w:lang w:val="en-US"/>
        </w:rPr>
        <w:t>“</w:t>
      </w:r>
      <w:r w:rsidRPr="00D77020">
        <w:rPr>
          <w:rFonts w:ascii="Arial" w:hAnsi="Arial" w:cs="Arial"/>
          <w:lang w:val="en-US"/>
        </w:rPr>
        <w:t>FRα-positive</w:t>
      </w:r>
      <w:proofErr w:type="gramStart"/>
      <w:r>
        <w:rPr>
          <w:rFonts w:ascii="Arial" w:hAnsi="Arial" w:cs="Arial"/>
          <w:lang w:val="en-US"/>
        </w:rPr>
        <w:t>”.</w:t>
      </w:r>
      <w:proofErr w:type="gramEnd"/>
      <w:r>
        <w:rPr>
          <w:rFonts w:ascii="Arial" w:hAnsi="Arial" w:cs="Arial"/>
          <w:lang w:val="en-US"/>
        </w:rPr>
        <w:t xml:space="preserve"> </w:t>
      </w:r>
      <w:r w:rsidRPr="00D77020">
        <w:rPr>
          <w:rFonts w:ascii="Arial" w:hAnsi="Arial" w:cs="Arial"/>
          <w:lang w:val="en-US"/>
        </w:rPr>
        <w:t>The FRα</w:t>
      </w:r>
      <w:r w:rsidRPr="00D77020">
        <w:rPr>
          <w:rFonts w:ascii="Arial" w:hAnsi="Arial" w:cs="Arial"/>
        </w:rPr>
        <w:t>-positive expression status may be determined using a validated immunohistochemistry (IHC) assay to detect the percentage of viable tumour cells from with membrane staining for F</w:t>
      </w:r>
      <w:r w:rsidRPr="00D77020">
        <w:rPr>
          <w:rFonts w:ascii="Arial" w:hAnsi="Arial" w:cs="Arial"/>
          <w:lang w:val="en-US"/>
        </w:rPr>
        <w:t>Rα</w:t>
      </w:r>
      <w:r w:rsidRPr="00D77020">
        <w:rPr>
          <w:rFonts w:ascii="Arial" w:hAnsi="Arial" w:cs="Arial"/>
        </w:rPr>
        <w:t xml:space="preserve">, </w:t>
      </w:r>
      <w:r>
        <w:rPr>
          <w:rFonts w:ascii="Arial" w:hAnsi="Arial" w:cs="Arial"/>
        </w:rPr>
        <w:t xml:space="preserve">with </w:t>
      </w:r>
      <w:r w:rsidRPr="00D77020">
        <w:rPr>
          <w:rFonts w:ascii="Arial" w:hAnsi="Arial" w:cs="Arial"/>
        </w:rPr>
        <w:t xml:space="preserve">the clinical cut-off </w:t>
      </w:r>
      <w:r>
        <w:rPr>
          <w:rFonts w:ascii="Arial" w:hAnsi="Arial" w:cs="Arial"/>
        </w:rPr>
        <w:t>being</w:t>
      </w:r>
      <w:r w:rsidRPr="00D77020">
        <w:rPr>
          <w:rFonts w:ascii="Arial" w:hAnsi="Arial" w:cs="Arial"/>
        </w:rPr>
        <w:t xml:space="preserve"> ≥ 75% tumour cells on a validated IHC test.</w:t>
      </w:r>
    </w:p>
    <w:p w14:paraId="4FA5840B" w14:textId="6328F581" w:rsidR="00141BAC" w:rsidRPr="00D77020" w:rsidRDefault="00141BAC" w:rsidP="00233DDD">
      <w:pPr>
        <w:spacing w:line="276" w:lineRule="auto"/>
        <w:jc w:val="both"/>
        <w:rPr>
          <w:rFonts w:ascii="Arial" w:hAnsi="Arial" w:cs="Arial"/>
          <w:lang w:val="en-US"/>
        </w:rPr>
      </w:pPr>
      <w:r w:rsidRPr="00D77020">
        <w:rPr>
          <w:rFonts w:ascii="Arial" w:hAnsi="Arial" w:cs="Arial"/>
          <w:lang w:val="en-US"/>
        </w:rPr>
        <w:t xml:space="preserve">This application proposes IHC testing for FRα expression status to determine PBS eligibility for mirvetuximab soravtansine in adult patients with platinum-resistant epithelial ovarian, fallopian tube, or primary peritoneal cancer whose tumours are FRα-positive. </w:t>
      </w:r>
    </w:p>
    <w:p w14:paraId="7B7089F3" w14:textId="5C993C84" w:rsidR="00141BAC" w:rsidRPr="00D77020" w:rsidRDefault="00141BAC" w:rsidP="00454896">
      <w:pPr>
        <w:pStyle w:val="Heading2"/>
        <w:keepNext/>
        <w:keepLines/>
        <w:rPr>
          <w:rFonts w:ascii="Arial" w:hAnsi="Arial" w:cs="Arial"/>
        </w:rPr>
      </w:pPr>
      <w:r w:rsidRPr="00D77020">
        <w:rPr>
          <w:rFonts w:ascii="Arial" w:hAnsi="Arial" w:cs="Arial"/>
        </w:rPr>
        <w:t>Specify any characteristics of patients with, or suspected of having,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0C9A0E45" w14:textId="0684B787" w:rsidR="00141BAC" w:rsidRPr="00DF0E9F" w:rsidRDefault="00141BAC" w:rsidP="00332427">
      <w:pPr>
        <w:spacing w:before="120" w:line="276" w:lineRule="auto"/>
        <w:jc w:val="both"/>
        <w:rPr>
          <w:rFonts w:ascii="Arial" w:hAnsi="Arial" w:cs="Arial"/>
        </w:rPr>
      </w:pPr>
      <w:r w:rsidRPr="00DF0E9F">
        <w:rPr>
          <w:rFonts w:ascii="Arial" w:hAnsi="Arial" w:cs="Arial"/>
        </w:rPr>
        <w:t>Most women with ovarian cancer experience at least one symptom in the year prior to their diagnosis. Symptoms of ovarian cancer are often vague, generalised and non-gynaecological.</w:t>
      </w:r>
    </w:p>
    <w:p w14:paraId="0B7DA958" w14:textId="13B47285" w:rsidR="00141BAC" w:rsidRPr="00D77020" w:rsidRDefault="00141BAC" w:rsidP="00332427">
      <w:pPr>
        <w:keepNext/>
        <w:keepLines/>
        <w:spacing w:before="120" w:line="276" w:lineRule="auto"/>
        <w:jc w:val="both"/>
        <w:rPr>
          <w:rFonts w:ascii="Arial" w:hAnsi="Arial" w:cs="Arial"/>
          <w:b/>
          <w:bCs/>
          <w:u w:val="single"/>
        </w:rPr>
      </w:pPr>
      <w:r w:rsidRPr="00D77020">
        <w:rPr>
          <w:rFonts w:ascii="Arial" w:hAnsi="Arial" w:cs="Arial"/>
          <w:b/>
          <w:bCs/>
          <w:u w:val="single"/>
        </w:rPr>
        <w:t>Investigative tests to confirm diagnosis – workup:</w:t>
      </w:r>
    </w:p>
    <w:p w14:paraId="6ED63A48" w14:textId="77777777" w:rsidR="00141BAC" w:rsidRPr="00D77020" w:rsidRDefault="00141BAC" w:rsidP="00332427">
      <w:pPr>
        <w:keepNext/>
        <w:keepLines/>
        <w:spacing w:before="120" w:line="276" w:lineRule="auto"/>
        <w:jc w:val="both"/>
        <w:rPr>
          <w:rFonts w:ascii="Arial" w:hAnsi="Arial" w:cs="Arial"/>
        </w:rPr>
      </w:pPr>
      <w:r w:rsidRPr="00D77020">
        <w:rPr>
          <w:rFonts w:ascii="Arial" w:hAnsi="Arial" w:cs="Arial"/>
        </w:rPr>
        <w:t>Several tests may be performed to investigate the symptoms of ovarian cancer and confirm diagnosis.  Commonly performed tests include:</w:t>
      </w:r>
    </w:p>
    <w:p w14:paraId="2B86C788" w14:textId="77777777" w:rsidR="00141BAC" w:rsidRPr="00D77020" w:rsidRDefault="00141BAC" w:rsidP="00332427">
      <w:pPr>
        <w:pStyle w:val="ListParagraph"/>
        <w:numPr>
          <w:ilvl w:val="0"/>
          <w:numId w:val="4"/>
        </w:numPr>
        <w:spacing w:after="0" w:line="276" w:lineRule="auto"/>
        <w:contextualSpacing w:val="0"/>
        <w:jc w:val="both"/>
        <w:rPr>
          <w:rFonts w:ascii="Arial" w:hAnsi="Arial" w:cs="Arial"/>
        </w:rPr>
      </w:pPr>
      <w:r w:rsidRPr="00D77020">
        <w:rPr>
          <w:rFonts w:ascii="Arial" w:hAnsi="Arial" w:cs="Arial"/>
        </w:rPr>
        <w:t>physical examination of the abdomen and pelvis, including rectal examination. </w:t>
      </w:r>
    </w:p>
    <w:p w14:paraId="6CA16B1E" w14:textId="77777777" w:rsidR="00141BAC" w:rsidRPr="00D77020" w:rsidRDefault="00141BAC" w:rsidP="00332427">
      <w:pPr>
        <w:pStyle w:val="ListParagraph"/>
        <w:numPr>
          <w:ilvl w:val="0"/>
          <w:numId w:val="4"/>
        </w:numPr>
        <w:spacing w:after="0" w:line="276" w:lineRule="auto"/>
        <w:contextualSpacing w:val="0"/>
        <w:jc w:val="both"/>
        <w:rPr>
          <w:rFonts w:ascii="Arial" w:hAnsi="Arial" w:cs="Arial"/>
        </w:rPr>
      </w:pPr>
      <w:r w:rsidRPr="00D77020">
        <w:rPr>
          <w:rFonts w:ascii="Arial" w:hAnsi="Arial" w:cs="Arial"/>
        </w:rPr>
        <w:t>imaging of the pelvis and abdomen using transvaginal ultrasound, abdominal ultrasound, computed tomography (CT) scans, magnetic resonance imaging (MRI) scans or positron emission tomography (PET) scans</w:t>
      </w:r>
    </w:p>
    <w:p w14:paraId="07975F61" w14:textId="77777777" w:rsidR="00141BAC" w:rsidRPr="00D77020" w:rsidRDefault="00141BAC" w:rsidP="00332427">
      <w:pPr>
        <w:pStyle w:val="ListParagraph"/>
        <w:numPr>
          <w:ilvl w:val="0"/>
          <w:numId w:val="4"/>
        </w:numPr>
        <w:spacing w:after="0" w:line="276" w:lineRule="auto"/>
        <w:contextualSpacing w:val="0"/>
        <w:jc w:val="both"/>
        <w:rPr>
          <w:rFonts w:ascii="Arial" w:hAnsi="Arial" w:cs="Arial"/>
        </w:rPr>
      </w:pPr>
      <w:r w:rsidRPr="00D77020">
        <w:rPr>
          <w:rFonts w:ascii="Arial" w:hAnsi="Arial" w:cs="Arial"/>
        </w:rPr>
        <w:lastRenderedPageBreak/>
        <w:t>chest X-rays</w:t>
      </w:r>
    </w:p>
    <w:p w14:paraId="5532BAEB" w14:textId="77777777" w:rsidR="00141BAC" w:rsidRPr="00D77020" w:rsidRDefault="00141BAC" w:rsidP="00332427">
      <w:pPr>
        <w:pStyle w:val="ListParagraph"/>
        <w:numPr>
          <w:ilvl w:val="0"/>
          <w:numId w:val="4"/>
        </w:numPr>
        <w:spacing w:after="0" w:line="276" w:lineRule="auto"/>
        <w:contextualSpacing w:val="0"/>
        <w:jc w:val="both"/>
        <w:rPr>
          <w:rFonts w:ascii="Arial" w:hAnsi="Arial" w:cs="Arial"/>
        </w:rPr>
      </w:pPr>
      <w:r w:rsidRPr="00D77020">
        <w:rPr>
          <w:rFonts w:ascii="Arial" w:hAnsi="Arial" w:cs="Arial"/>
        </w:rPr>
        <w:t>blood tests to check for tumour markers such as CA125, and to measure complete blood count and levels of chemicals in the blood</w:t>
      </w:r>
    </w:p>
    <w:p w14:paraId="1639A96F" w14:textId="77777777" w:rsidR="00141BAC" w:rsidRPr="00D77020" w:rsidRDefault="00141BAC" w:rsidP="00332427">
      <w:pPr>
        <w:pStyle w:val="ListParagraph"/>
        <w:numPr>
          <w:ilvl w:val="0"/>
          <w:numId w:val="4"/>
        </w:numPr>
        <w:spacing w:after="0" w:line="276" w:lineRule="auto"/>
        <w:contextualSpacing w:val="0"/>
        <w:jc w:val="both"/>
        <w:rPr>
          <w:rFonts w:ascii="Arial" w:hAnsi="Arial" w:cs="Arial"/>
        </w:rPr>
      </w:pPr>
      <w:r w:rsidRPr="00D77020">
        <w:rPr>
          <w:rFonts w:ascii="Arial" w:hAnsi="Arial" w:cs="Arial"/>
        </w:rPr>
        <w:t>use of scopes to see inside the gastrointestinal tract</w:t>
      </w:r>
    </w:p>
    <w:p w14:paraId="3D25B58E" w14:textId="77777777" w:rsidR="00141BAC" w:rsidRPr="00D77020" w:rsidRDefault="00141BAC" w:rsidP="00332427">
      <w:pPr>
        <w:pStyle w:val="ListParagraph"/>
        <w:numPr>
          <w:ilvl w:val="0"/>
          <w:numId w:val="4"/>
        </w:numPr>
        <w:spacing w:after="0" w:line="276" w:lineRule="auto"/>
        <w:contextualSpacing w:val="0"/>
        <w:jc w:val="both"/>
        <w:rPr>
          <w:rFonts w:ascii="Arial" w:hAnsi="Arial" w:cs="Arial"/>
        </w:rPr>
      </w:pPr>
      <w:r w:rsidRPr="00D77020">
        <w:rPr>
          <w:rFonts w:ascii="Arial" w:hAnsi="Arial" w:cs="Arial"/>
        </w:rPr>
        <w:t>biopsy – where a small sample of tissue is removed to be examined under a microscope. This is usually done as part of the initial surgery, because the only way to confirm a diagnosis of ovarian cancer is through an operation. The surgeon will also take samples of any fluid in the abdomen</w:t>
      </w:r>
    </w:p>
    <w:p w14:paraId="6AB2E532" w14:textId="77777777" w:rsidR="00141BAC" w:rsidRPr="00D77020" w:rsidRDefault="00141BAC" w:rsidP="00332427">
      <w:pPr>
        <w:spacing w:before="120"/>
        <w:rPr>
          <w:rFonts w:ascii="Arial" w:hAnsi="Arial" w:cs="Arial"/>
          <w:b/>
          <w:bCs/>
          <w:u w:val="single"/>
        </w:rPr>
      </w:pPr>
      <w:r w:rsidRPr="00D77020">
        <w:rPr>
          <w:rFonts w:ascii="Arial" w:hAnsi="Arial" w:cs="Arial"/>
          <w:b/>
          <w:bCs/>
          <w:u w:val="single"/>
        </w:rPr>
        <w:t>Clinical Staging of Ovarian cancer:</w:t>
      </w:r>
    </w:p>
    <w:p w14:paraId="6C0F9C7B" w14:textId="77777777" w:rsidR="00141BAC" w:rsidRPr="00D77020" w:rsidRDefault="00141BAC" w:rsidP="00D70463">
      <w:pPr>
        <w:pStyle w:val="ListParagraph"/>
        <w:numPr>
          <w:ilvl w:val="0"/>
          <w:numId w:val="5"/>
        </w:numPr>
        <w:spacing w:line="276" w:lineRule="auto"/>
        <w:jc w:val="both"/>
        <w:rPr>
          <w:rFonts w:ascii="Arial" w:hAnsi="Arial" w:cs="Arial"/>
        </w:rPr>
      </w:pPr>
      <w:r w:rsidRPr="00D77020">
        <w:rPr>
          <w:rFonts w:ascii="Arial" w:hAnsi="Arial" w:cs="Arial"/>
        </w:rPr>
        <w:t>Stage I: the cancer is in 1 or both ovaries and has not spread to other organs or tissues.</w:t>
      </w:r>
    </w:p>
    <w:p w14:paraId="2DF31B69" w14:textId="77777777" w:rsidR="00141BAC" w:rsidRPr="00D77020" w:rsidRDefault="00141BAC" w:rsidP="00D70463">
      <w:pPr>
        <w:pStyle w:val="ListParagraph"/>
        <w:numPr>
          <w:ilvl w:val="0"/>
          <w:numId w:val="5"/>
        </w:numPr>
        <w:spacing w:line="276" w:lineRule="auto"/>
        <w:jc w:val="both"/>
        <w:rPr>
          <w:rFonts w:ascii="Arial" w:hAnsi="Arial" w:cs="Arial"/>
        </w:rPr>
      </w:pPr>
      <w:r w:rsidRPr="00D77020">
        <w:rPr>
          <w:rFonts w:ascii="Arial" w:hAnsi="Arial" w:cs="Arial"/>
        </w:rPr>
        <w:t>Stage II: the cancer is in 1 or both ovaries and has spread to other organs in the pelvis, such as the uterus, fallopian tubes, bladder or colon.</w:t>
      </w:r>
    </w:p>
    <w:p w14:paraId="626F6761" w14:textId="77777777" w:rsidR="00141BAC" w:rsidRPr="00D77020" w:rsidRDefault="00141BAC" w:rsidP="00D70463">
      <w:pPr>
        <w:pStyle w:val="ListParagraph"/>
        <w:numPr>
          <w:ilvl w:val="0"/>
          <w:numId w:val="5"/>
        </w:numPr>
        <w:spacing w:line="276" w:lineRule="auto"/>
        <w:jc w:val="both"/>
        <w:rPr>
          <w:rFonts w:ascii="Arial" w:hAnsi="Arial" w:cs="Arial"/>
        </w:rPr>
      </w:pPr>
      <w:r w:rsidRPr="00D77020">
        <w:rPr>
          <w:rFonts w:ascii="Arial" w:hAnsi="Arial" w:cs="Arial"/>
        </w:rPr>
        <w:t>Stage III: the cancer is in 1 or both ovaries and has spread outside the pelvis to other parts of the abdomen or nearby lymph nodes.</w:t>
      </w:r>
    </w:p>
    <w:p w14:paraId="66DDE514" w14:textId="77777777" w:rsidR="00141BAC" w:rsidRPr="00D77020" w:rsidRDefault="00141BAC" w:rsidP="00D70463">
      <w:pPr>
        <w:pStyle w:val="ListParagraph"/>
        <w:numPr>
          <w:ilvl w:val="0"/>
          <w:numId w:val="5"/>
        </w:numPr>
        <w:spacing w:line="276" w:lineRule="auto"/>
        <w:jc w:val="both"/>
        <w:rPr>
          <w:rFonts w:ascii="Arial" w:hAnsi="Arial" w:cs="Arial"/>
        </w:rPr>
      </w:pPr>
      <w:r w:rsidRPr="00D77020">
        <w:rPr>
          <w:rFonts w:ascii="Arial" w:hAnsi="Arial" w:cs="Arial"/>
        </w:rPr>
        <w:t>Stage IV: the cancer has spread to other parts of the body beyond the pelvis and abdomen, such as the lungs or liver.</w:t>
      </w:r>
    </w:p>
    <w:p w14:paraId="61877DBE" w14:textId="77777777" w:rsidR="00141BAC" w:rsidRPr="00D77020" w:rsidRDefault="00141BAC" w:rsidP="009B4C47">
      <w:pPr>
        <w:rPr>
          <w:rFonts w:ascii="Arial" w:hAnsi="Arial" w:cs="Arial"/>
          <w:b/>
          <w:bCs/>
          <w:u w:val="single"/>
        </w:rPr>
      </w:pPr>
      <w:r w:rsidRPr="00D77020">
        <w:rPr>
          <w:rFonts w:ascii="Arial" w:hAnsi="Arial" w:cs="Arial"/>
          <w:b/>
          <w:bCs/>
          <w:u w:val="single"/>
        </w:rPr>
        <w:t xml:space="preserve">Genetic Testing: </w:t>
      </w:r>
    </w:p>
    <w:p w14:paraId="25EFDF9B" w14:textId="38C6540D" w:rsidR="00141BAC" w:rsidRPr="00D77020" w:rsidRDefault="00141BAC" w:rsidP="00A43D22">
      <w:pPr>
        <w:spacing w:after="0" w:line="276" w:lineRule="auto"/>
        <w:jc w:val="both"/>
        <w:rPr>
          <w:rFonts w:ascii="Arial" w:hAnsi="Arial" w:cs="Arial"/>
        </w:rPr>
      </w:pPr>
      <w:r w:rsidRPr="00D77020">
        <w:rPr>
          <w:rFonts w:ascii="Arial" w:hAnsi="Arial" w:cs="Arial"/>
        </w:rPr>
        <w:t xml:space="preserve">The </w:t>
      </w:r>
      <w:r w:rsidR="00935BBA">
        <w:rPr>
          <w:rFonts w:ascii="Arial" w:hAnsi="Arial" w:cs="Arial"/>
        </w:rPr>
        <w:t>eviQ</w:t>
      </w:r>
      <w:r w:rsidRPr="00D77020">
        <w:rPr>
          <w:rFonts w:ascii="Arial" w:hAnsi="Arial" w:cs="Arial"/>
        </w:rPr>
        <w:t xml:space="preserve"> guidelines</w:t>
      </w:r>
      <w:r w:rsidR="0060659D">
        <w:rPr>
          <w:rFonts w:ascii="Arial" w:hAnsi="Arial" w:cs="Arial"/>
        </w:rPr>
        <w:t xml:space="preserve"> (2023</w:t>
      </w:r>
      <w:r w:rsidR="00935BBA">
        <w:rPr>
          <w:rFonts w:ascii="Arial" w:hAnsi="Arial" w:cs="Arial"/>
        </w:rPr>
        <w:t>a</w:t>
      </w:r>
      <w:r w:rsidR="0060659D">
        <w:rPr>
          <w:rFonts w:ascii="Arial" w:hAnsi="Arial" w:cs="Arial"/>
        </w:rPr>
        <w:t xml:space="preserve">) </w:t>
      </w:r>
      <w:r w:rsidRPr="00D77020">
        <w:rPr>
          <w:rFonts w:ascii="Arial" w:hAnsi="Arial" w:cs="Arial"/>
        </w:rPr>
        <w:t>recommends that a woman with invasive epithelial ovarian cancer should consider genetic testing for a heritable pathogenic BRCA1 or BRCA2 gene variants in the following situations:</w:t>
      </w:r>
    </w:p>
    <w:p w14:paraId="7E620144" w14:textId="17CFA28D" w:rsidR="00141BAC" w:rsidRPr="00D77020" w:rsidRDefault="00141BAC" w:rsidP="009B4C7D">
      <w:pPr>
        <w:pStyle w:val="ListParagraph"/>
        <w:numPr>
          <w:ilvl w:val="0"/>
          <w:numId w:val="6"/>
        </w:numPr>
        <w:spacing w:line="276" w:lineRule="auto"/>
        <w:jc w:val="both"/>
        <w:rPr>
          <w:rFonts w:ascii="Arial" w:hAnsi="Arial" w:cs="Arial"/>
        </w:rPr>
      </w:pPr>
      <w:r w:rsidRPr="00D77020">
        <w:rPr>
          <w:rFonts w:ascii="Arial" w:hAnsi="Arial" w:cs="Arial"/>
        </w:rPr>
        <w:t>individuals with a combined BRCA1 and BRCA2 pathogenic variant probability of ≥10% using the Manchester score (a validated pathogenic variant prediction tool).</w:t>
      </w:r>
    </w:p>
    <w:p w14:paraId="10D7843E" w14:textId="584A4686" w:rsidR="00141BAC" w:rsidRPr="00D77020" w:rsidRDefault="00141BAC" w:rsidP="009B4C7D">
      <w:pPr>
        <w:pStyle w:val="ListParagraph"/>
        <w:numPr>
          <w:ilvl w:val="0"/>
          <w:numId w:val="6"/>
        </w:numPr>
        <w:spacing w:line="276" w:lineRule="auto"/>
        <w:jc w:val="both"/>
        <w:rPr>
          <w:rFonts w:ascii="Arial" w:hAnsi="Arial" w:cs="Arial"/>
        </w:rPr>
      </w:pPr>
      <w:r w:rsidRPr="00D77020">
        <w:rPr>
          <w:rFonts w:ascii="Arial" w:hAnsi="Arial" w:cs="Arial"/>
        </w:rPr>
        <w:t>individuals with a combined BRCA1, BRCA2 and PALB2 pathogenic variant probability of ≥10% using CanRisk (a validated pathogenic variant prediction tool). This may include unaffected individuals and obligate carriers with ≥10% pathogenic variant probability as well as individuals from a population where a common founder pathogenic variant exists.</w:t>
      </w:r>
    </w:p>
    <w:p w14:paraId="36F8FFC9" w14:textId="3CBD5CBA" w:rsidR="00141BAC" w:rsidRPr="00D77020" w:rsidRDefault="00141BAC" w:rsidP="009B4C7D">
      <w:pPr>
        <w:pStyle w:val="ListParagraph"/>
        <w:numPr>
          <w:ilvl w:val="0"/>
          <w:numId w:val="6"/>
        </w:numPr>
        <w:spacing w:line="276" w:lineRule="auto"/>
        <w:jc w:val="both"/>
        <w:rPr>
          <w:rFonts w:ascii="Arial" w:hAnsi="Arial" w:cs="Arial"/>
        </w:rPr>
      </w:pPr>
      <w:r w:rsidRPr="00D77020">
        <w:rPr>
          <w:rFonts w:ascii="Arial" w:hAnsi="Arial" w:cs="Arial"/>
        </w:rPr>
        <w:t>individuals with high grade ovarian cancer diagnosed at any age.</w:t>
      </w:r>
    </w:p>
    <w:p w14:paraId="7E7CA1ED" w14:textId="4BC9919A" w:rsidR="00141BAC" w:rsidRPr="00D77020" w:rsidRDefault="00141BAC" w:rsidP="009B4C7D">
      <w:pPr>
        <w:pStyle w:val="ListParagraph"/>
        <w:numPr>
          <w:ilvl w:val="0"/>
          <w:numId w:val="6"/>
        </w:numPr>
        <w:spacing w:line="276" w:lineRule="auto"/>
        <w:jc w:val="both"/>
        <w:rPr>
          <w:rFonts w:ascii="Arial" w:hAnsi="Arial" w:cs="Arial"/>
        </w:rPr>
      </w:pPr>
      <w:r w:rsidRPr="00D77020">
        <w:rPr>
          <w:rFonts w:ascii="Arial" w:hAnsi="Arial" w:cs="Arial"/>
        </w:rPr>
        <w:t>individual with advanced (FIGO III-IV), high-grade serous or high-grade epithelial ovarian, fallopian tube or primary peritoneal cancer to determine eligibility relating to BRCA status for access to certain PBS therapies.</w:t>
      </w:r>
    </w:p>
    <w:p w14:paraId="0A36000E" w14:textId="5F8C3131" w:rsidR="00141BAC" w:rsidRPr="00D77020" w:rsidRDefault="00141BAC" w:rsidP="009830D4">
      <w:pPr>
        <w:spacing w:line="276" w:lineRule="auto"/>
        <w:jc w:val="both"/>
        <w:rPr>
          <w:rFonts w:ascii="Arial" w:hAnsi="Arial" w:cs="Arial"/>
        </w:rPr>
      </w:pPr>
      <w:r w:rsidRPr="00D77020">
        <w:rPr>
          <w:rFonts w:ascii="Arial" w:hAnsi="Arial" w:cs="Arial"/>
        </w:rPr>
        <w:t>A medical oncologist or gynaecological oncologist would request or refer a patient on for BRCA testing.  Tumour tissue specimens for the majority of target patient population will be available for testing following primary tumour debulking surgery or may be obtained as formalin-fixed paraffin-embedded (FFPE) blocks, which were archived following primary tumour debulking surgery. Retrieval and review of one or more archived FFPE block are forwarded on to the specialist molecular diagnostic laboratories who are able to analyse the tissue.</w:t>
      </w:r>
    </w:p>
    <w:p w14:paraId="0EB432EF" w14:textId="293EF59B" w:rsidR="00141BAC" w:rsidRPr="00D77020" w:rsidRDefault="00141BAC" w:rsidP="009B4C47">
      <w:pPr>
        <w:pStyle w:val="Heading2"/>
        <w:keepNext/>
        <w:spacing w:before="120"/>
        <w:rPr>
          <w:rFonts w:ascii="Arial" w:hAnsi="Arial" w:cs="Arial"/>
        </w:rPr>
      </w:pPr>
      <w:r w:rsidRPr="00D77020">
        <w:rPr>
          <w:rFonts w:ascii="Arial" w:hAnsi="Arial" w:cs="Arial"/>
        </w:rPr>
        <w:t>Provide a rationale for the specifics of the eligible population:</w:t>
      </w:r>
    </w:p>
    <w:p w14:paraId="2D383EE4" w14:textId="0135F0CA" w:rsidR="00141BAC" w:rsidRPr="00E20746" w:rsidRDefault="00141BAC" w:rsidP="00E20746">
      <w:pPr>
        <w:spacing w:before="120" w:line="276" w:lineRule="auto"/>
        <w:jc w:val="both"/>
        <w:rPr>
          <w:rFonts w:ascii="Arial" w:hAnsi="Arial" w:cs="Arial"/>
          <w:b/>
          <w:bCs/>
        </w:rPr>
      </w:pPr>
      <w:r w:rsidRPr="00E20746">
        <w:rPr>
          <w:rFonts w:ascii="Arial" w:hAnsi="Arial" w:cs="Arial"/>
        </w:rPr>
        <w:t>Initial chemotherapy treatment for ovarian cancer typically yields high response</w:t>
      </w:r>
      <w:r>
        <w:rPr>
          <w:rFonts w:ascii="Arial" w:hAnsi="Arial" w:cs="Arial"/>
        </w:rPr>
        <w:t xml:space="preserve"> rates</w:t>
      </w:r>
      <w:r w:rsidRPr="00E20746">
        <w:rPr>
          <w:rFonts w:ascii="Arial" w:hAnsi="Arial" w:cs="Arial"/>
        </w:rPr>
        <w:t>; however, most tumours subsequently relapse and eventually become resistant to platinum-based regimens. Current therapies in platinum-resistant ovarian cancer consist primarily of nonplatinum chemotherapy.  Patients with platinum-resistant ovarian cancer receiving nonplatinum chemotherapy alone have had poor responses</w:t>
      </w:r>
      <w:r w:rsidR="000E7BCE">
        <w:rPr>
          <w:rFonts w:ascii="Arial" w:hAnsi="Arial" w:cs="Arial"/>
        </w:rPr>
        <w:t xml:space="preserve">, </w:t>
      </w:r>
      <w:r w:rsidRPr="00E20746">
        <w:rPr>
          <w:rFonts w:ascii="Arial" w:hAnsi="Arial" w:cs="Arial"/>
        </w:rPr>
        <w:t>with an objective response ranging from 4 to 13%</w:t>
      </w:r>
      <w:r w:rsidR="006D33DC">
        <w:rPr>
          <w:rFonts w:ascii="Arial" w:hAnsi="Arial" w:cs="Arial"/>
        </w:rPr>
        <w:t xml:space="preserve"> (</w:t>
      </w:r>
      <w:r w:rsidR="00E5197B">
        <w:rPr>
          <w:rFonts w:ascii="Arial" w:hAnsi="Arial" w:cs="Arial"/>
        </w:rPr>
        <w:t>Moore et al 2023</w:t>
      </w:r>
      <w:r w:rsidR="0048614B">
        <w:rPr>
          <w:rFonts w:ascii="Arial" w:hAnsi="Arial" w:cs="Arial"/>
        </w:rPr>
        <w:t>)</w:t>
      </w:r>
      <w:r w:rsidRPr="00E20746">
        <w:rPr>
          <w:rFonts w:ascii="Arial" w:hAnsi="Arial" w:cs="Arial"/>
        </w:rPr>
        <w:t xml:space="preserve"> Additional challenges in the treatment of platinum-resistant ovarian cancer include the lack of meaningful, predictive biomarkers, as well as chemotherapy-associated hematologic and gastrointestinal toxic effects and cumulative neuropathy, which can impede the continuation of treatment. Thus, platinum-resistant ovarian cancer has a poor prognosis with few effective therapeutic options, none of which have shown a substantial overall survival benefit.</w:t>
      </w:r>
    </w:p>
    <w:p w14:paraId="409AB389" w14:textId="6004A4EF" w:rsidR="00141BAC" w:rsidRPr="00D77020" w:rsidRDefault="00141BAC" w:rsidP="009B4C47">
      <w:pPr>
        <w:pStyle w:val="Heading2"/>
        <w:spacing w:before="120" w:line="276" w:lineRule="auto"/>
        <w:jc w:val="both"/>
        <w:rPr>
          <w:rFonts w:ascii="Arial" w:hAnsi="Arial" w:cs="Arial"/>
        </w:rPr>
      </w:pPr>
      <w:r w:rsidRPr="00D77020">
        <w:rPr>
          <w:rFonts w:ascii="Arial" w:hAnsi="Arial" w:cs="Arial"/>
        </w:rPr>
        <w:lastRenderedPageBreak/>
        <w:t xml:space="preserve">Are there any prerequisite tests? </w:t>
      </w:r>
    </w:p>
    <w:p w14:paraId="64EC5580" w14:textId="3DD6687C" w:rsidR="00141BAC" w:rsidRPr="00D77020" w:rsidRDefault="00141BAC" w:rsidP="00591751">
      <w:pPr>
        <w:spacing w:before="120" w:line="276" w:lineRule="auto"/>
        <w:jc w:val="both"/>
        <w:rPr>
          <w:rFonts w:ascii="Arial" w:hAnsi="Arial" w:cs="Arial"/>
        </w:rPr>
      </w:pPr>
      <w:r w:rsidRPr="00D77020">
        <w:rPr>
          <w:rFonts w:ascii="Arial" w:hAnsi="Arial" w:cs="Arial"/>
        </w:rPr>
        <w:t>Yes</w:t>
      </w:r>
    </w:p>
    <w:p w14:paraId="5998FE51" w14:textId="7B048AA9" w:rsidR="00141BAC" w:rsidRPr="00D77020" w:rsidRDefault="00141BAC" w:rsidP="00D32EB9">
      <w:pPr>
        <w:pStyle w:val="Heading2"/>
        <w:spacing w:before="120" w:line="276" w:lineRule="auto"/>
        <w:jc w:val="both"/>
        <w:rPr>
          <w:rFonts w:ascii="Arial" w:hAnsi="Arial" w:cs="Arial"/>
        </w:rPr>
      </w:pPr>
      <w:r w:rsidRPr="00D77020">
        <w:rPr>
          <w:rFonts w:ascii="Arial" w:hAnsi="Arial" w:cs="Arial"/>
        </w:rPr>
        <w:t>Are the prerequisite tests MBS funded?</w:t>
      </w:r>
    </w:p>
    <w:p w14:paraId="068A5E23" w14:textId="1C7A912A" w:rsidR="00141BAC" w:rsidRPr="00A707CE" w:rsidRDefault="00141BAC" w:rsidP="00C76B82">
      <w:pPr>
        <w:spacing w:before="120" w:line="276" w:lineRule="auto"/>
        <w:jc w:val="both"/>
        <w:rPr>
          <w:rFonts w:ascii="Arial" w:hAnsi="Arial" w:cs="Arial"/>
        </w:rPr>
      </w:pPr>
      <w:r w:rsidRPr="00A707CE">
        <w:rPr>
          <w:rFonts w:ascii="Arial" w:hAnsi="Arial" w:cs="Arial"/>
        </w:rPr>
        <w:t xml:space="preserve">Yes. BRCA testing currently funded under the MBS are listed in </w:t>
      </w:r>
      <w:r w:rsidRPr="00E07BA0">
        <w:rPr>
          <w:rFonts w:ascii="Arial" w:hAnsi="Arial" w:cs="Arial"/>
        </w:rPr>
        <w:fldChar w:fldCharType="begin"/>
      </w:r>
      <w:r w:rsidRPr="00E07BA0">
        <w:rPr>
          <w:rFonts w:ascii="Arial" w:hAnsi="Arial" w:cs="Arial"/>
        </w:rPr>
        <w:instrText xml:space="preserve"> REF _Ref171071056 \h  \* MERGEFORMAT </w:instrText>
      </w:r>
      <w:r w:rsidRPr="00E07BA0">
        <w:rPr>
          <w:rFonts w:ascii="Arial" w:hAnsi="Arial" w:cs="Arial"/>
        </w:rPr>
      </w:r>
      <w:r w:rsidRPr="00E07BA0">
        <w:rPr>
          <w:rFonts w:ascii="Arial" w:hAnsi="Arial" w:cs="Arial"/>
        </w:rPr>
        <w:fldChar w:fldCharType="separate"/>
      </w:r>
      <w:r w:rsidRPr="00E07BA0">
        <w:rPr>
          <w:rFonts w:ascii="Arial" w:hAnsi="Arial" w:cs="Arial"/>
          <w:b/>
          <w:bCs/>
        </w:rPr>
        <w:t xml:space="preserve">Table </w:t>
      </w:r>
      <w:r w:rsidRPr="00E07BA0">
        <w:rPr>
          <w:rFonts w:ascii="Arial" w:hAnsi="Arial" w:cs="Arial"/>
          <w:b/>
          <w:bCs/>
          <w:noProof/>
        </w:rPr>
        <w:t>1</w:t>
      </w:r>
      <w:r w:rsidRPr="00E07BA0">
        <w:rPr>
          <w:rFonts w:ascii="Arial" w:hAnsi="Arial" w:cs="Arial"/>
        </w:rPr>
        <w:fldChar w:fldCharType="end"/>
      </w:r>
      <w:r w:rsidRPr="00A707CE">
        <w:rPr>
          <w:rFonts w:ascii="Arial" w:hAnsi="Arial" w:cs="Arial"/>
        </w:rPr>
        <w:t xml:space="preserve"> below.</w:t>
      </w:r>
      <w:bookmarkStart w:id="0" w:name="_Ref55115325"/>
    </w:p>
    <w:p w14:paraId="64781A4A" w14:textId="39A55229" w:rsidR="00141BAC" w:rsidRPr="00F63DF4" w:rsidRDefault="00141BAC" w:rsidP="00D126FB">
      <w:pPr>
        <w:pStyle w:val="Caption"/>
        <w:spacing w:before="120" w:after="120"/>
        <w:rPr>
          <w:rFonts w:ascii="Arial" w:hAnsi="Arial" w:cs="Arial"/>
          <w:b/>
          <w:bCs/>
          <w:i w:val="0"/>
          <w:iCs w:val="0"/>
          <w:color w:val="auto"/>
          <w:sz w:val="20"/>
          <w:szCs w:val="20"/>
        </w:rPr>
      </w:pPr>
      <w:bookmarkStart w:id="1" w:name="_Ref171071056"/>
      <w:r w:rsidRPr="00F63DF4">
        <w:rPr>
          <w:rFonts w:ascii="Arial" w:hAnsi="Arial" w:cs="Arial"/>
          <w:b/>
          <w:bCs/>
          <w:i w:val="0"/>
          <w:iCs w:val="0"/>
          <w:color w:val="auto"/>
          <w:sz w:val="20"/>
          <w:szCs w:val="20"/>
        </w:rPr>
        <w:t xml:space="preserve">Table </w:t>
      </w:r>
      <w:r w:rsidRPr="00F63DF4">
        <w:rPr>
          <w:rFonts w:ascii="Arial" w:hAnsi="Arial" w:cs="Arial"/>
          <w:b/>
          <w:bCs/>
          <w:i w:val="0"/>
          <w:iCs w:val="0"/>
          <w:color w:val="auto"/>
          <w:sz w:val="20"/>
          <w:szCs w:val="20"/>
        </w:rPr>
        <w:fldChar w:fldCharType="begin"/>
      </w:r>
      <w:r w:rsidRPr="00F63DF4">
        <w:rPr>
          <w:rFonts w:ascii="Arial" w:hAnsi="Arial" w:cs="Arial"/>
          <w:b/>
          <w:bCs/>
          <w:i w:val="0"/>
          <w:iCs w:val="0"/>
          <w:color w:val="auto"/>
          <w:sz w:val="20"/>
          <w:szCs w:val="20"/>
        </w:rPr>
        <w:instrText xml:space="preserve"> SEQ Table \* ARABIC </w:instrText>
      </w:r>
      <w:r w:rsidRPr="00F63DF4">
        <w:rPr>
          <w:rFonts w:ascii="Arial" w:hAnsi="Arial" w:cs="Arial"/>
          <w:b/>
          <w:bCs/>
          <w:i w:val="0"/>
          <w:iCs w:val="0"/>
          <w:color w:val="auto"/>
          <w:sz w:val="20"/>
          <w:szCs w:val="20"/>
        </w:rPr>
        <w:fldChar w:fldCharType="separate"/>
      </w:r>
      <w:r w:rsidRPr="00F63DF4">
        <w:rPr>
          <w:rFonts w:ascii="Arial" w:hAnsi="Arial" w:cs="Arial"/>
          <w:b/>
          <w:bCs/>
          <w:i w:val="0"/>
          <w:iCs w:val="0"/>
          <w:noProof/>
          <w:color w:val="auto"/>
          <w:sz w:val="20"/>
          <w:szCs w:val="20"/>
        </w:rPr>
        <w:t>1</w:t>
      </w:r>
      <w:r w:rsidRPr="00F63DF4">
        <w:rPr>
          <w:rFonts w:ascii="Arial" w:hAnsi="Arial" w:cs="Arial"/>
          <w:b/>
          <w:bCs/>
          <w:i w:val="0"/>
          <w:iCs w:val="0"/>
          <w:color w:val="auto"/>
          <w:sz w:val="20"/>
          <w:szCs w:val="20"/>
        </w:rPr>
        <w:fldChar w:fldCharType="end"/>
      </w:r>
      <w:bookmarkEnd w:id="1"/>
      <w:r w:rsidRPr="00F63DF4">
        <w:rPr>
          <w:rFonts w:ascii="Arial" w:hAnsi="Arial" w:cs="Arial"/>
          <w:b/>
          <w:bCs/>
          <w:i w:val="0"/>
          <w:iCs w:val="0"/>
          <w:color w:val="auto"/>
          <w:sz w:val="20"/>
          <w:szCs w:val="20"/>
        </w:rPr>
        <w:tab/>
        <w:t>MBS items for testing BRCA mutations for ovarian cancer patients currently on MBS</w:t>
      </w:r>
      <w:bookmarkEnd w:id="0"/>
    </w:p>
    <w:tbl>
      <w:tblPr>
        <w:tblStyle w:val="TableGrid1"/>
        <w:tblW w:w="9445" w:type="dxa"/>
        <w:tblInd w:w="0" w:type="dxa"/>
        <w:tblLayout w:type="fixed"/>
        <w:tblLook w:val="04A0" w:firstRow="1" w:lastRow="0" w:firstColumn="1" w:lastColumn="0" w:noHBand="0" w:noVBand="1"/>
      </w:tblPr>
      <w:tblGrid>
        <w:gridCol w:w="1255"/>
        <w:gridCol w:w="8190"/>
      </w:tblGrid>
      <w:tr w:rsidR="00141BAC" w:rsidRPr="006E2BF8" w14:paraId="2634B743" w14:textId="77777777" w:rsidTr="00AE5DA8">
        <w:trPr>
          <w:cantSplit/>
          <w:tblHeader/>
        </w:trPr>
        <w:tc>
          <w:tcPr>
            <w:tcW w:w="1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956AE3" w14:textId="77777777" w:rsidR="00141BAC" w:rsidRPr="006E2BF8" w:rsidRDefault="00141BAC" w:rsidP="00A35092">
            <w:pPr>
              <w:spacing w:after="0"/>
              <w:rPr>
                <w:rFonts w:ascii="Arial" w:hAnsi="Arial" w:cs="Arial"/>
                <w:b/>
                <w:bCs/>
              </w:rPr>
            </w:pPr>
            <w:r w:rsidRPr="006E2BF8">
              <w:rPr>
                <w:rFonts w:ascii="Arial" w:hAnsi="Arial" w:cs="Arial"/>
                <w:b/>
                <w:bCs/>
              </w:rPr>
              <w:t xml:space="preserve">MBS Item </w:t>
            </w:r>
          </w:p>
        </w:tc>
        <w:tc>
          <w:tcPr>
            <w:tcW w:w="8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3276C8" w14:textId="77777777" w:rsidR="00141BAC" w:rsidRPr="006E2BF8" w:rsidRDefault="00141BAC" w:rsidP="00A35092">
            <w:pPr>
              <w:spacing w:after="0"/>
              <w:rPr>
                <w:rFonts w:ascii="Arial" w:hAnsi="Arial" w:cs="Arial"/>
                <w:b/>
                <w:bCs/>
              </w:rPr>
            </w:pPr>
            <w:r w:rsidRPr="006E2BF8">
              <w:rPr>
                <w:rFonts w:ascii="Arial" w:hAnsi="Arial" w:cs="Arial"/>
                <w:b/>
                <w:bCs/>
              </w:rPr>
              <w:t xml:space="preserve">Description </w:t>
            </w:r>
          </w:p>
        </w:tc>
      </w:tr>
      <w:tr w:rsidR="00141BAC" w:rsidRPr="006E2BF8" w14:paraId="7777A851" w14:textId="77777777" w:rsidTr="00AE5DA8">
        <w:tc>
          <w:tcPr>
            <w:tcW w:w="1255" w:type="dxa"/>
            <w:tcBorders>
              <w:top w:val="single" w:sz="4" w:space="0" w:color="auto"/>
              <w:left w:val="single" w:sz="4" w:space="0" w:color="auto"/>
              <w:bottom w:val="single" w:sz="4" w:space="0" w:color="auto"/>
              <w:right w:val="single" w:sz="4" w:space="0" w:color="auto"/>
            </w:tcBorders>
            <w:hideMark/>
          </w:tcPr>
          <w:p w14:paraId="4F6753B7" w14:textId="77777777" w:rsidR="00141BAC" w:rsidRPr="006E2BF8" w:rsidRDefault="00141BAC" w:rsidP="00CD25E0">
            <w:pPr>
              <w:spacing w:after="0"/>
              <w:rPr>
                <w:rFonts w:ascii="Arial" w:hAnsi="Arial" w:cs="Arial"/>
              </w:rPr>
            </w:pPr>
            <w:r w:rsidRPr="006E2BF8">
              <w:rPr>
                <w:rFonts w:ascii="Arial" w:hAnsi="Arial" w:cs="Arial"/>
              </w:rPr>
              <w:t>73295</w:t>
            </w:r>
          </w:p>
        </w:tc>
        <w:tc>
          <w:tcPr>
            <w:tcW w:w="8190" w:type="dxa"/>
            <w:tcBorders>
              <w:top w:val="single" w:sz="4" w:space="0" w:color="auto"/>
              <w:left w:val="single" w:sz="4" w:space="0" w:color="auto"/>
              <w:bottom w:val="single" w:sz="4" w:space="0" w:color="auto"/>
              <w:right w:val="single" w:sz="4" w:space="0" w:color="auto"/>
            </w:tcBorders>
            <w:hideMark/>
          </w:tcPr>
          <w:p w14:paraId="007FF4B9" w14:textId="22FADCC4" w:rsidR="00141BAC" w:rsidRPr="006E2BF8" w:rsidRDefault="00141BAC" w:rsidP="00CD25E0">
            <w:pPr>
              <w:spacing w:after="0"/>
              <w:rPr>
                <w:rFonts w:ascii="Arial" w:hAnsi="Arial" w:cs="Arial"/>
              </w:rPr>
            </w:pPr>
            <w:r w:rsidRPr="006E2BF8">
              <w:rPr>
                <w:rFonts w:ascii="Arial" w:hAnsi="Arial" w:cs="Arial"/>
              </w:rPr>
              <w:t>Detection of germline BRCA1 or BRCA2 pathogenic or likely pathogenic gene variants, in a patient with advanced (FIGO III-IV) high-grade serous or high-grade epithelial ovarian, fallopian tube or primary peritoneal cancer for whom testing of tumour tissue is not feasible, requested by a specialist or consultant physician, to determine eligibility for olaparib under the PBS. Maximum one test per lifetime.</w:t>
            </w:r>
          </w:p>
        </w:tc>
      </w:tr>
      <w:tr w:rsidR="00141BAC" w:rsidRPr="006E2BF8" w14:paraId="0DE8CCCE" w14:textId="77777777" w:rsidTr="00AE5DA8">
        <w:tc>
          <w:tcPr>
            <w:tcW w:w="1255" w:type="dxa"/>
            <w:tcBorders>
              <w:top w:val="single" w:sz="4" w:space="0" w:color="auto"/>
              <w:left w:val="single" w:sz="4" w:space="0" w:color="auto"/>
              <w:bottom w:val="single" w:sz="4" w:space="0" w:color="auto"/>
              <w:right w:val="single" w:sz="4" w:space="0" w:color="auto"/>
            </w:tcBorders>
            <w:hideMark/>
          </w:tcPr>
          <w:p w14:paraId="44811E37" w14:textId="77777777" w:rsidR="00141BAC" w:rsidRPr="006E2BF8" w:rsidRDefault="00141BAC" w:rsidP="00CD25E0">
            <w:pPr>
              <w:spacing w:after="0"/>
              <w:rPr>
                <w:rFonts w:ascii="Arial" w:hAnsi="Arial" w:cs="Arial"/>
              </w:rPr>
            </w:pPr>
            <w:r w:rsidRPr="006E2BF8">
              <w:rPr>
                <w:rFonts w:ascii="Arial" w:hAnsi="Arial" w:cs="Arial"/>
              </w:rPr>
              <w:t>73296</w:t>
            </w:r>
          </w:p>
        </w:tc>
        <w:tc>
          <w:tcPr>
            <w:tcW w:w="8190" w:type="dxa"/>
            <w:tcBorders>
              <w:top w:val="single" w:sz="4" w:space="0" w:color="auto"/>
              <w:left w:val="single" w:sz="4" w:space="0" w:color="auto"/>
              <w:bottom w:val="single" w:sz="4" w:space="0" w:color="auto"/>
              <w:right w:val="single" w:sz="4" w:space="0" w:color="auto"/>
            </w:tcBorders>
            <w:hideMark/>
          </w:tcPr>
          <w:p w14:paraId="28710850" w14:textId="77777777" w:rsidR="00141BAC" w:rsidRPr="006E2BF8" w:rsidRDefault="00141BAC" w:rsidP="00CD25E0">
            <w:pPr>
              <w:spacing w:after="0"/>
              <w:rPr>
                <w:rFonts w:ascii="Arial" w:hAnsi="Arial" w:cs="Arial"/>
              </w:rPr>
            </w:pPr>
            <w:r w:rsidRPr="006E2BF8">
              <w:rPr>
                <w:rFonts w:ascii="Arial" w:hAnsi="Arial" w:cs="Arial"/>
              </w:rPr>
              <w:t>Characterisation of germline gene mutations, requested by a specialist or consultant physician, including copy number variation in BRCA1 and BRCA2 genes and one or more of the following genes STK11, PTEN, CDH1, PALB2, or TP53 in a patient with breast or ovarian cancer for whom clinical and family history criteria, as assessed by the specialist or consultant physician who requests the service using a quantitative algorithm, place the patient at &gt;10% risk of having a pathogenic mutation identified in one or more of the genes specified above.</w:t>
            </w:r>
          </w:p>
        </w:tc>
      </w:tr>
      <w:tr w:rsidR="00141BAC" w:rsidRPr="006E2BF8" w14:paraId="76AE68D3" w14:textId="77777777" w:rsidTr="00AE5DA8">
        <w:trPr>
          <w:trHeight w:val="797"/>
        </w:trPr>
        <w:tc>
          <w:tcPr>
            <w:tcW w:w="1255" w:type="dxa"/>
            <w:tcBorders>
              <w:top w:val="single" w:sz="4" w:space="0" w:color="auto"/>
              <w:left w:val="single" w:sz="4" w:space="0" w:color="auto"/>
              <w:bottom w:val="single" w:sz="4" w:space="0" w:color="auto"/>
              <w:right w:val="single" w:sz="4" w:space="0" w:color="auto"/>
            </w:tcBorders>
            <w:hideMark/>
          </w:tcPr>
          <w:p w14:paraId="3705BF52" w14:textId="77777777" w:rsidR="00141BAC" w:rsidRPr="006E2BF8" w:rsidRDefault="00141BAC" w:rsidP="00CD25E0">
            <w:pPr>
              <w:spacing w:after="0"/>
              <w:rPr>
                <w:rFonts w:ascii="Arial" w:hAnsi="Arial" w:cs="Arial"/>
              </w:rPr>
            </w:pPr>
            <w:r w:rsidRPr="006E2BF8">
              <w:rPr>
                <w:rFonts w:ascii="Arial" w:hAnsi="Arial" w:cs="Arial"/>
              </w:rPr>
              <w:t>73297</w:t>
            </w:r>
          </w:p>
        </w:tc>
        <w:tc>
          <w:tcPr>
            <w:tcW w:w="8190" w:type="dxa"/>
            <w:tcBorders>
              <w:top w:val="single" w:sz="4" w:space="0" w:color="auto"/>
              <w:left w:val="single" w:sz="4" w:space="0" w:color="auto"/>
              <w:bottom w:val="single" w:sz="4" w:space="0" w:color="auto"/>
              <w:right w:val="single" w:sz="4" w:space="0" w:color="auto"/>
            </w:tcBorders>
            <w:hideMark/>
          </w:tcPr>
          <w:p w14:paraId="72898760" w14:textId="77777777" w:rsidR="00141BAC" w:rsidRPr="006E2BF8" w:rsidRDefault="00141BAC" w:rsidP="00CD25E0">
            <w:pPr>
              <w:spacing w:after="0"/>
              <w:rPr>
                <w:rFonts w:ascii="Arial" w:hAnsi="Arial" w:cs="Arial"/>
              </w:rPr>
            </w:pPr>
            <w:r w:rsidRPr="006E2BF8">
              <w:rPr>
                <w:rFonts w:ascii="Arial" w:hAnsi="Arial" w:cs="Arial"/>
              </w:rPr>
              <w:t xml:space="preserve">Characterisation of germline gene mutations, requested by a specialist or consultant physician, including copy number variation in </w:t>
            </w:r>
            <w:r w:rsidRPr="006E2BF8">
              <w:rPr>
                <w:rFonts w:ascii="Arial" w:hAnsi="Arial" w:cs="Arial"/>
                <w:i/>
              </w:rPr>
              <w:t>BRCA1</w:t>
            </w:r>
            <w:r w:rsidRPr="006E2BF8">
              <w:rPr>
                <w:rFonts w:ascii="Arial" w:hAnsi="Arial" w:cs="Arial"/>
              </w:rPr>
              <w:t xml:space="preserve"> and </w:t>
            </w:r>
            <w:r w:rsidRPr="006E2BF8">
              <w:rPr>
                <w:rFonts w:ascii="Arial" w:hAnsi="Arial" w:cs="Arial"/>
                <w:i/>
              </w:rPr>
              <w:t>BRCA2</w:t>
            </w:r>
            <w:r w:rsidRPr="006E2BF8">
              <w:rPr>
                <w:rFonts w:ascii="Arial" w:hAnsi="Arial" w:cs="Arial"/>
              </w:rPr>
              <w:t xml:space="preserve"> genes and one or more of the following genes </w:t>
            </w:r>
            <w:r w:rsidRPr="006E2BF8">
              <w:rPr>
                <w:rFonts w:ascii="Arial" w:hAnsi="Arial" w:cs="Arial"/>
                <w:i/>
              </w:rPr>
              <w:t>STK11, PTEN, CDH1, PALB2</w:t>
            </w:r>
            <w:r w:rsidRPr="006E2BF8">
              <w:rPr>
                <w:rFonts w:ascii="Arial" w:hAnsi="Arial" w:cs="Arial"/>
              </w:rPr>
              <w:t xml:space="preserve">, or </w:t>
            </w:r>
            <w:r w:rsidRPr="006E2BF8">
              <w:rPr>
                <w:rFonts w:ascii="Arial" w:hAnsi="Arial" w:cs="Arial"/>
                <w:i/>
              </w:rPr>
              <w:t>TP53</w:t>
            </w:r>
            <w:r w:rsidRPr="006E2BF8">
              <w:rPr>
                <w:rFonts w:ascii="Arial" w:hAnsi="Arial" w:cs="Arial"/>
              </w:rPr>
              <w:t xml:space="preserve"> in a patient who is a biological relative of a patient who has had a pathogenic mutation identified in one or more of the genes specified above, and has not previously received a service under item 73296.</w:t>
            </w:r>
          </w:p>
        </w:tc>
      </w:tr>
      <w:tr w:rsidR="00141BAC" w:rsidRPr="006E2BF8" w14:paraId="0C88D8CC" w14:textId="77777777" w:rsidTr="00AE5DA8">
        <w:tc>
          <w:tcPr>
            <w:tcW w:w="1255" w:type="dxa"/>
            <w:tcBorders>
              <w:top w:val="single" w:sz="4" w:space="0" w:color="auto"/>
              <w:left w:val="single" w:sz="4" w:space="0" w:color="auto"/>
              <w:bottom w:val="single" w:sz="4" w:space="0" w:color="auto"/>
              <w:right w:val="single" w:sz="4" w:space="0" w:color="auto"/>
            </w:tcBorders>
            <w:hideMark/>
          </w:tcPr>
          <w:p w14:paraId="1BF8711F" w14:textId="77777777" w:rsidR="00141BAC" w:rsidRPr="006E2BF8" w:rsidRDefault="00141BAC" w:rsidP="00CD25E0">
            <w:pPr>
              <w:spacing w:after="0"/>
              <w:rPr>
                <w:rFonts w:ascii="Arial" w:hAnsi="Arial" w:cs="Arial"/>
              </w:rPr>
            </w:pPr>
            <w:r w:rsidRPr="006E2BF8">
              <w:rPr>
                <w:rFonts w:ascii="Arial" w:hAnsi="Arial" w:cs="Arial"/>
              </w:rPr>
              <w:t>73301</w:t>
            </w:r>
          </w:p>
        </w:tc>
        <w:tc>
          <w:tcPr>
            <w:tcW w:w="8190" w:type="dxa"/>
            <w:tcBorders>
              <w:top w:val="single" w:sz="4" w:space="0" w:color="auto"/>
              <w:left w:val="single" w:sz="4" w:space="0" w:color="auto"/>
              <w:bottom w:val="single" w:sz="4" w:space="0" w:color="auto"/>
              <w:right w:val="single" w:sz="4" w:space="0" w:color="auto"/>
            </w:tcBorders>
            <w:hideMark/>
          </w:tcPr>
          <w:p w14:paraId="25187F84" w14:textId="61727584" w:rsidR="00141BAC" w:rsidRPr="006E2BF8" w:rsidRDefault="00141BAC" w:rsidP="00CD25E0">
            <w:pPr>
              <w:spacing w:after="0"/>
              <w:rPr>
                <w:rFonts w:ascii="Arial" w:hAnsi="Arial" w:cs="Arial"/>
              </w:rPr>
            </w:pPr>
            <w:r w:rsidRPr="006E2BF8">
              <w:rPr>
                <w:rFonts w:ascii="Arial" w:hAnsi="Arial" w:cs="Arial"/>
              </w:rPr>
              <w:t xml:space="preserve">A test of tumour tissue from a patient with advanced (FIGO III-IV), high-grade serous or high-grade epithelial ovarian, fallopian tube or primary peritoneal cancer, requested by a specialist or consultant physician, to determine eligibility relating to BRCA status for access to olaparib under the PBS. </w:t>
            </w:r>
          </w:p>
          <w:p w14:paraId="37E0A8D8" w14:textId="77777777" w:rsidR="00141BAC" w:rsidRPr="006E2BF8" w:rsidRDefault="00141BAC" w:rsidP="00CD25E0">
            <w:pPr>
              <w:spacing w:after="0"/>
              <w:rPr>
                <w:rFonts w:ascii="Arial" w:hAnsi="Arial" w:cs="Arial"/>
              </w:rPr>
            </w:pPr>
            <w:r w:rsidRPr="006E2BF8">
              <w:rPr>
                <w:rFonts w:ascii="Arial" w:hAnsi="Arial" w:cs="Arial"/>
              </w:rPr>
              <w:t>Applicable once per primary tumour diagnosis</w:t>
            </w:r>
          </w:p>
        </w:tc>
      </w:tr>
      <w:tr w:rsidR="00141BAC" w:rsidRPr="006E2BF8" w14:paraId="244E699A" w14:textId="77777777" w:rsidTr="00AE5DA8">
        <w:tc>
          <w:tcPr>
            <w:tcW w:w="1255" w:type="dxa"/>
            <w:tcBorders>
              <w:top w:val="single" w:sz="4" w:space="0" w:color="auto"/>
              <w:left w:val="single" w:sz="4" w:space="0" w:color="auto"/>
              <w:bottom w:val="single" w:sz="4" w:space="0" w:color="auto"/>
              <w:right w:val="single" w:sz="4" w:space="0" w:color="auto"/>
            </w:tcBorders>
            <w:hideMark/>
          </w:tcPr>
          <w:p w14:paraId="78F1BCFC" w14:textId="77777777" w:rsidR="00141BAC" w:rsidRPr="006E2BF8" w:rsidRDefault="00141BAC" w:rsidP="00CD25E0">
            <w:pPr>
              <w:spacing w:after="0"/>
              <w:rPr>
                <w:rFonts w:ascii="Arial" w:hAnsi="Arial" w:cs="Arial"/>
              </w:rPr>
            </w:pPr>
            <w:r w:rsidRPr="006E2BF8">
              <w:rPr>
                <w:rFonts w:ascii="Arial" w:hAnsi="Arial" w:cs="Arial"/>
              </w:rPr>
              <w:t>73302</w:t>
            </w:r>
          </w:p>
        </w:tc>
        <w:tc>
          <w:tcPr>
            <w:tcW w:w="8190" w:type="dxa"/>
            <w:tcBorders>
              <w:top w:val="single" w:sz="4" w:space="0" w:color="auto"/>
              <w:left w:val="single" w:sz="4" w:space="0" w:color="auto"/>
              <w:bottom w:val="single" w:sz="4" w:space="0" w:color="auto"/>
              <w:right w:val="single" w:sz="4" w:space="0" w:color="auto"/>
            </w:tcBorders>
            <w:hideMark/>
          </w:tcPr>
          <w:p w14:paraId="6CEBF632" w14:textId="77777777" w:rsidR="00141BAC" w:rsidRPr="006E2BF8" w:rsidRDefault="00141BAC" w:rsidP="00CD25E0">
            <w:pPr>
              <w:spacing w:after="0"/>
              <w:rPr>
                <w:rFonts w:ascii="Arial" w:hAnsi="Arial" w:cs="Arial"/>
              </w:rPr>
            </w:pPr>
            <w:r w:rsidRPr="006E2BF8">
              <w:rPr>
                <w:rFonts w:ascii="Arial" w:hAnsi="Arial" w:cs="Arial"/>
              </w:rPr>
              <w:t>Characterisation of germline gene variants including copy number variants, in BRCA1 or BRCA2 genes, in a patient who has had a pathogenic or likely pathogenic variant identified in either gene by tumour testing and who has not previously received a service to which items 73295, 73296 or 73297 applies, requested by a specialist or consultant physician.</w:t>
            </w:r>
          </w:p>
          <w:p w14:paraId="3350D6AC" w14:textId="77777777" w:rsidR="00141BAC" w:rsidRPr="006E2BF8" w:rsidRDefault="00141BAC" w:rsidP="00CD25E0">
            <w:pPr>
              <w:spacing w:after="0"/>
              <w:rPr>
                <w:rFonts w:ascii="Arial" w:hAnsi="Arial" w:cs="Arial"/>
              </w:rPr>
            </w:pPr>
            <w:r w:rsidRPr="006E2BF8">
              <w:rPr>
                <w:rFonts w:ascii="Arial" w:hAnsi="Arial" w:cs="Arial"/>
              </w:rPr>
              <w:t>Applicable once per primary tumour diagnosis</w:t>
            </w:r>
          </w:p>
        </w:tc>
      </w:tr>
    </w:tbl>
    <w:p w14:paraId="22875351" w14:textId="77777777" w:rsidR="00141BAC" w:rsidRPr="00F63DF4" w:rsidRDefault="00141BAC" w:rsidP="00323E03">
      <w:pPr>
        <w:spacing w:after="0"/>
        <w:jc w:val="both"/>
        <w:rPr>
          <w:rFonts w:ascii="Arial" w:eastAsia="Calibri" w:hAnsi="Arial" w:cs="Arial"/>
          <w:sz w:val="16"/>
          <w:szCs w:val="16"/>
        </w:rPr>
      </w:pPr>
      <w:r w:rsidRPr="00F63DF4">
        <w:rPr>
          <w:rFonts w:ascii="Arial" w:eastAsia="Calibri" w:hAnsi="Arial" w:cs="Arial"/>
          <w:sz w:val="16"/>
          <w:szCs w:val="16"/>
        </w:rPr>
        <w:t>Source: MBS Online http://www9.health.gov.au/mbs/search. MBS = Medicare Benefits Schedule</w:t>
      </w:r>
    </w:p>
    <w:p w14:paraId="03DF0BC9" w14:textId="37852E16" w:rsidR="00141BAC" w:rsidRPr="00F63DF4" w:rsidRDefault="00141BAC" w:rsidP="00323E03">
      <w:pPr>
        <w:spacing w:after="0"/>
        <w:jc w:val="both"/>
        <w:rPr>
          <w:rFonts w:ascii="Arial" w:eastAsia="Calibri" w:hAnsi="Arial" w:cs="Arial"/>
          <w:sz w:val="16"/>
          <w:szCs w:val="16"/>
        </w:rPr>
      </w:pPr>
      <w:r w:rsidRPr="00F63DF4">
        <w:rPr>
          <w:rFonts w:ascii="Arial" w:eastAsia="Calibri" w:hAnsi="Arial" w:cs="Arial"/>
          <w:sz w:val="16"/>
          <w:szCs w:val="16"/>
        </w:rPr>
        <w:t>Abbreviations: BRCA, breast cancer gene; FIGO, Federation Internationale de Gynecologie et d'Obstetrique; PBS, Pharmaceutical Benefits Scheme;  MBS, Medicare Benefits Scheme; PTEN, Phosphatase and tensin homolog gene; PALB2, Partner and Localizer of BRCA2; STK11, serine-threonine kinase 11; CDH1, Cadherin-1; TP53, transformation-related protein 53.</w:t>
      </w:r>
    </w:p>
    <w:p w14:paraId="0A585F0C" w14:textId="1FA42264" w:rsidR="00141BAC" w:rsidRPr="00D77020" w:rsidRDefault="00141BAC" w:rsidP="003E6117">
      <w:pPr>
        <w:pStyle w:val="Heading2"/>
        <w:spacing w:before="120" w:after="120" w:line="276" w:lineRule="auto"/>
        <w:jc w:val="both"/>
        <w:rPr>
          <w:rFonts w:ascii="Arial" w:hAnsi="Arial" w:cs="Arial"/>
        </w:rPr>
      </w:pPr>
      <w:r w:rsidRPr="00D77020">
        <w:rPr>
          <w:rFonts w:ascii="Arial" w:hAnsi="Arial" w:cs="Arial"/>
        </w:rPr>
        <w:t>Provide details to fund the prerequisite tests:</w:t>
      </w:r>
    </w:p>
    <w:p w14:paraId="58FB847B" w14:textId="420DB180" w:rsidR="00141BAC" w:rsidRPr="00D77020" w:rsidRDefault="00141BAC" w:rsidP="003E6117">
      <w:pPr>
        <w:spacing w:before="120" w:line="276" w:lineRule="auto"/>
        <w:jc w:val="both"/>
        <w:rPr>
          <w:rFonts w:ascii="Arial" w:eastAsia="Segoe UI" w:hAnsi="Arial" w:cs="Arial"/>
          <w:color w:val="000000"/>
        </w:rPr>
      </w:pPr>
      <w:r>
        <w:rPr>
          <w:rFonts w:ascii="Arial" w:hAnsi="Arial" w:cs="Arial"/>
        </w:rPr>
        <w:t xml:space="preserve">Available on the MBS. </w:t>
      </w:r>
    </w:p>
    <w:p w14:paraId="730114B1" w14:textId="6E88C41E" w:rsidR="00141BAC" w:rsidRPr="00D77020" w:rsidRDefault="00141BAC" w:rsidP="00EA0AA0">
      <w:pPr>
        <w:pStyle w:val="Heading1"/>
        <w:rPr>
          <w:rFonts w:ascii="Arial" w:hAnsi="Arial" w:cs="Arial"/>
        </w:rPr>
      </w:pPr>
      <w:r w:rsidRPr="00D77020">
        <w:rPr>
          <w:rFonts w:ascii="Arial" w:hAnsi="Arial" w:cs="Arial"/>
        </w:rPr>
        <w:t>Intervention</w:t>
      </w:r>
    </w:p>
    <w:p w14:paraId="4EE4D8C5" w14:textId="72F78505" w:rsidR="00141BAC" w:rsidRPr="00D77020" w:rsidRDefault="00141BAC" w:rsidP="000F4A33">
      <w:pPr>
        <w:pStyle w:val="Heading2"/>
        <w:spacing w:before="120" w:after="120" w:line="276" w:lineRule="auto"/>
        <w:jc w:val="both"/>
        <w:rPr>
          <w:rFonts w:ascii="Arial" w:hAnsi="Arial" w:cs="Arial"/>
        </w:rPr>
      </w:pPr>
      <w:r w:rsidRPr="00D77020">
        <w:rPr>
          <w:rFonts w:ascii="Arial" w:hAnsi="Arial" w:cs="Arial"/>
        </w:rPr>
        <w:t>Name of the proposed health technology:</w:t>
      </w:r>
    </w:p>
    <w:p w14:paraId="2F199F63" w14:textId="7F861F56" w:rsidR="00141BAC" w:rsidRDefault="00141BAC" w:rsidP="000F4A33">
      <w:pPr>
        <w:spacing w:before="120" w:line="276" w:lineRule="auto"/>
        <w:jc w:val="both"/>
        <w:rPr>
          <w:rFonts w:ascii="Arial" w:hAnsi="Arial" w:cs="Arial"/>
        </w:rPr>
      </w:pPr>
      <w:r w:rsidRPr="00D77020">
        <w:rPr>
          <w:rFonts w:ascii="Arial" w:hAnsi="Arial" w:cs="Arial"/>
        </w:rPr>
        <w:t>Test: Ventana FOLR1 (FOLR1-2.1) RxDx Assay</w:t>
      </w:r>
      <w:r>
        <w:rPr>
          <w:rFonts w:ascii="Arial" w:hAnsi="Arial" w:cs="Arial"/>
        </w:rPr>
        <w:t>.</w:t>
      </w:r>
    </w:p>
    <w:p w14:paraId="661E51AD" w14:textId="576D2026" w:rsidR="00141BAC" w:rsidRPr="000F4A33" w:rsidRDefault="00141BAC" w:rsidP="000F4A33">
      <w:pPr>
        <w:spacing w:before="120" w:line="276" w:lineRule="auto"/>
        <w:jc w:val="both"/>
        <w:rPr>
          <w:rFonts w:ascii="Arial" w:hAnsi="Arial" w:cs="Arial"/>
        </w:rPr>
      </w:pPr>
      <w:r w:rsidRPr="00D77020">
        <w:rPr>
          <w:rFonts w:ascii="Arial" w:hAnsi="Arial" w:cs="Arial"/>
        </w:rPr>
        <w:t>Treatment:</w:t>
      </w:r>
      <w:r w:rsidRPr="00D77020">
        <w:rPr>
          <w:rFonts w:ascii="Arial" w:hAnsi="Arial" w:cs="Arial"/>
          <w:lang w:val="en-US"/>
        </w:rPr>
        <w:t xml:space="preserve"> Elahere™ (mirvetuximab soravtansine)</w:t>
      </w:r>
      <w:r>
        <w:rPr>
          <w:rFonts w:ascii="Arial" w:hAnsi="Arial" w:cs="Arial"/>
          <w:lang w:val="en-US"/>
        </w:rPr>
        <w:t>.</w:t>
      </w:r>
    </w:p>
    <w:p w14:paraId="61D4A875" w14:textId="334BDEA3" w:rsidR="00141BAC" w:rsidRPr="00D77020" w:rsidRDefault="00141BAC" w:rsidP="008909B4">
      <w:pPr>
        <w:pStyle w:val="Heading2"/>
        <w:spacing w:before="120" w:after="120" w:line="276" w:lineRule="auto"/>
        <w:jc w:val="both"/>
        <w:rPr>
          <w:rFonts w:ascii="Arial" w:hAnsi="Arial" w:cs="Arial"/>
        </w:rPr>
      </w:pPr>
      <w:r w:rsidRPr="00D77020">
        <w:rPr>
          <w:rFonts w:ascii="Arial" w:hAnsi="Arial" w:cs="Arial"/>
        </w:rPr>
        <w:t>Describe the key components and clinical steps involved in delivering the proposed health technology:</w:t>
      </w:r>
    </w:p>
    <w:p w14:paraId="2212413A" w14:textId="7EFA8EC6" w:rsidR="00141BAC" w:rsidRPr="00D77020" w:rsidRDefault="00141BAC" w:rsidP="00D261D3">
      <w:pPr>
        <w:spacing w:before="120" w:line="276" w:lineRule="auto"/>
        <w:jc w:val="both"/>
        <w:rPr>
          <w:rFonts w:ascii="Arial" w:hAnsi="Arial" w:cs="Arial"/>
        </w:rPr>
      </w:pPr>
      <w:r w:rsidRPr="00D77020">
        <w:rPr>
          <w:rFonts w:ascii="Arial" w:hAnsi="Arial" w:cs="Arial"/>
        </w:rPr>
        <w:t xml:space="preserve">This application proposes that the FRα status of patients with platinum-resistant epithelial ovarian cancer be used to determine eligibility for PBS supply of </w:t>
      </w:r>
      <w:r w:rsidRPr="00D77020">
        <w:rPr>
          <w:rFonts w:ascii="Arial" w:hAnsi="Arial" w:cs="Arial"/>
          <w:lang w:val="en-US"/>
        </w:rPr>
        <w:t xml:space="preserve">mirvetuximab soravtansine, a targeted </w:t>
      </w:r>
      <w:r w:rsidRPr="00D77020">
        <w:rPr>
          <w:rFonts w:ascii="Arial" w:hAnsi="Arial" w:cs="Arial"/>
          <w:lang w:val="en-US"/>
        </w:rPr>
        <w:lastRenderedPageBreak/>
        <w:t>antibody-drug conjugate therapy</w:t>
      </w:r>
      <w:r w:rsidRPr="00D77020">
        <w:rPr>
          <w:rFonts w:ascii="Arial" w:hAnsi="Arial" w:cs="Arial"/>
        </w:rPr>
        <w:t xml:space="preserve">. The Ventana FOLR1 (FOLR1-2.1) RxDx Assay, henceforth referred to as ‘Ventana FOLR1’ is a Roche Diagnostics product with current FDA approval as a companion diagnostic for </w:t>
      </w:r>
      <w:r w:rsidRPr="00D77020">
        <w:rPr>
          <w:rFonts w:ascii="Arial" w:hAnsi="Arial" w:cs="Arial"/>
          <w:lang w:val="en-US"/>
        </w:rPr>
        <w:t xml:space="preserve">mirvetuximab </w:t>
      </w:r>
      <w:r w:rsidR="00903014" w:rsidRPr="00D77020">
        <w:rPr>
          <w:rFonts w:ascii="Arial" w:hAnsi="Arial" w:cs="Arial"/>
          <w:lang w:val="en-US"/>
        </w:rPr>
        <w:t>soravtansine</w:t>
      </w:r>
      <w:r w:rsidR="00903014" w:rsidRPr="00D77020">
        <w:rPr>
          <w:rFonts w:ascii="Arial" w:hAnsi="Arial" w:cs="Arial"/>
        </w:rPr>
        <w:t xml:space="preserve"> and</w:t>
      </w:r>
      <w:r w:rsidRPr="00D77020">
        <w:rPr>
          <w:rFonts w:ascii="Arial" w:hAnsi="Arial" w:cs="Arial"/>
        </w:rPr>
        <w:t xml:space="preserve"> is the only currently validated diagnostic assay for FRα status at the time of this application.</w:t>
      </w:r>
      <w:r w:rsidRPr="00D77020">
        <w:rPr>
          <w:rFonts w:ascii="Arial" w:hAnsi="Arial" w:cs="Arial"/>
          <w:color w:val="FF0000"/>
        </w:rPr>
        <w:t xml:space="preserve"> </w:t>
      </w:r>
      <w:r w:rsidRPr="00D77020">
        <w:rPr>
          <w:rFonts w:ascii="Arial" w:hAnsi="Arial" w:cs="Arial"/>
        </w:rPr>
        <w:t xml:space="preserve">AbbVie is not the Sponsor of Ventana FOLR1 and therefore not responsible for regulatory approval, manufacture, or supply. </w:t>
      </w:r>
    </w:p>
    <w:p w14:paraId="0CE4AF83" w14:textId="085F40E9" w:rsidR="00141BAC" w:rsidRPr="00D77020" w:rsidRDefault="00141BAC" w:rsidP="00D261D3">
      <w:pPr>
        <w:spacing w:before="120" w:line="276" w:lineRule="auto"/>
        <w:jc w:val="both"/>
        <w:rPr>
          <w:rFonts w:ascii="Arial" w:hAnsi="Arial" w:cs="Arial"/>
        </w:rPr>
      </w:pPr>
      <w:r w:rsidRPr="00D77020">
        <w:rPr>
          <w:rFonts w:ascii="Arial" w:hAnsi="Arial" w:cs="Arial"/>
        </w:rPr>
        <w:t xml:space="preserve">The assessment of FRα status in patients involves taking a biopsy of the tumour and performing an immunohistochemistry (IHC) assay (i.e. Ventana FOLR1) to detect the percentage of tumour cells expressing FRα, with the clinical cut-off ≥ 75% viable tumour cells with membrane staining at moderate and/or strong intensity levels. The testing would be done by a pathologist alongside other immunohistochemical tests which are done routinely. It is proposed that test results of the Ventana FOLR1 should be interpreted by a qualified pathologist in conjunction with histological examination, relevant clinical information, and proper controls. </w:t>
      </w:r>
    </w:p>
    <w:p w14:paraId="496F861E" w14:textId="6A84304D" w:rsidR="00141BAC" w:rsidRPr="00D77020" w:rsidRDefault="00141BAC" w:rsidP="00BC0C43">
      <w:pPr>
        <w:pStyle w:val="Heading2"/>
        <w:rPr>
          <w:rFonts w:ascii="Arial" w:hAnsi="Arial" w:cs="Arial"/>
        </w:rPr>
      </w:pPr>
      <w:r w:rsidRPr="00D77020">
        <w:rPr>
          <w:rStyle w:val="Heading2Char"/>
          <w:rFonts w:ascii="Arial" w:hAnsi="Arial" w:cs="Arial"/>
          <w:b/>
        </w:rPr>
        <w:t>Identify how</w:t>
      </w:r>
      <w:r w:rsidRPr="00D77020">
        <w:rPr>
          <w:rStyle w:val="Heading2Char"/>
          <w:rFonts w:ascii="Arial" w:hAnsi="Arial" w:cs="Arial"/>
          <w:b/>
          <w:bCs/>
        </w:rPr>
        <w:t xml:space="preserve"> the proposed technology achieves the intended patient outcomes</w:t>
      </w:r>
      <w:r w:rsidRPr="00D77020">
        <w:rPr>
          <w:rFonts w:ascii="Arial" w:hAnsi="Arial" w:cs="Arial"/>
        </w:rPr>
        <w:t>:</w:t>
      </w:r>
    </w:p>
    <w:p w14:paraId="7672C99A" w14:textId="67A2615B" w:rsidR="00141BAC" w:rsidRPr="00D77020" w:rsidRDefault="00141BAC" w:rsidP="005B20A7">
      <w:pPr>
        <w:spacing w:before="120" w:line="276" w:lineRule="auto"/>
        <w:jc w:val="both"/>
        <w:rPr>
          <w:rFonts w:ascii="Arial" w:hAnsi="Arial" w:cs="Arial"/>
        </w:rPr>
      </w:pPr>
      <w:r w:rsidRPr="00D77020">
        <w:rPr>
          <w:rFonts w:ascii="Arial" w:hAnsi="Arial" w:cs="Arial"/>
        </w:rPr>
        <w:t>Folate receptor alpha (FRα) is commonly expressed in ovarian cancers, and minimally expressed in healthy tissue, making it a useful biomarker and obvious therapeutic target. In SORAYA, the phase II trial of mirvetuximab soravtansine, 36% of patients with PROC with evaluable tissue samples were FRα-positive</w:t>
      </w:r>
      <w:r w:rsidR="00C81472">
        <w:rPr>
          <w:rFonts w:ascii="Arial" w:hAnsi="Arial" w:cs="Arial"/>
        </w:rPr>
        <w:t xml:space="preserve"> (Matulonis et al 2023)</w:t>
      </w:r>
      <w:r w:rsidR="00D20B73">
        <w:rPr>
          <w:rFonts w:ascii="Arial" w:hAnsi="Arial" w:cs="Arial"/>
        </w:rPr>
        <w:t>.</w:t>
      </w:r>
      <w:r w:rsidRPr="00D77020">
        <w:rPr>
          <w:rFonts w:ascii="Arial" w:hAnsi="Arial" w:cs="Arial"/>
        </w:rPr>
        <w:t xml:space="preserve"> </w:t>
      </w:r>
    </w:p>
    <w:p w14:paraId="0F49D33F" w14:textId="07ECE362" w:rsidR="00141BAC" w:rsidRPr="00D77020" w:rsidRDefault="00141BAC" w:rsidP="005B20A7">
      <w:pPr>
        <w:spacing w:before="120" w:line="276" w:lineRule="auto"/>
        <w:jc w:val="both"/>
        <w:rPr>
          <w:rFonts w:ascii="Arial" w:hAnsi="Arial" w:cs="Arial"/>
        </w:rPr>
      </w:pPr>
      <w:r w:rsidRPr="00D77020">
        <w:rPr>
          <w:rFonts w:ascii="Arial" w:hAnsi="Arial" w:cs="Arial"/>
        </w:rPr>
        <w:t>The Ventana FOLR1 assay is a qualitative immunohistochemical assay using mouse monoclonal anti-FOLR1, clone FOLR1-2.1, intended for use in the assessment of folate receptor alpha (FOLR1) protein in formalin-fixed, paraffin-embedded epithelial ovarian, fallopian tube or primary peritoneal cancer tissue specimens by light microscopy. This assay is for use with OptiView DAB IHC Detection Kit for staining on a BenchMark ULTRA instrument</w:t>
      </w:r>
      <w:r w:rsidR="009C2243">
        <w:rPr>
          <w:rFonts w:ascii="Arial" w:hAnsi="Arial" w:cs="Arial"/>
        </w:rPr>
        <w:t xml:space="preserve"> (FDA 2022). </w:t>
      </w:r>
      <w:r>
        <w:rPr>
          <w:rFonts w:ascii="Arial" w:hAnsi="Arial" w:cs="Arial"/>
        </w:rPr>
        <w:t xml:space="preserve">The assay has FDA approval </w:t>
      </w:r>
      <w:r w:rsidRPr="00D77020">
        <w:rPr>
          <w:rFonts w:ascii="Arial" w:hAnsi="Arial" w:cs="Arial"/>
        </w:rPr>
        <w:t>as a companion diagnostic for the FRα targeted therapy mirvetuximab soravtansine.</w:t>
      </w:r>
    </w:p>
    <w:p w14:paraId="0F9D3230" w14:textId="4E02B21F" w:rsidR="00141BAC" w:rsidRPr="00D77020" w:rsidRDefault="00141BAC" w:rsidP="007C59EB">
      <w:pPr>
        <w:pStyle w:val="Heading2"/>
        <w:spacing w:before="120" w:after="120" w:line="276" w:lineRule="auto"/>
        <w:rPr>
          <w:rFonts w:ascii="Arial" w:hAnsi="Arial" w:cs="Arial"/>
        </w:rPr>
      </w:pPr>
      <w:r w:rsidRPr="00D77020">
        <w:rPr>
          <w:rFonts w:ascii="Arial" w:hAnsi="Arial" w:cs="Arial"/>
        </w:rPr>
        <w:t xml:space="preserve">Does the proposed health technology include a registered trademark component with characteristics that distinguishes it from other similar health components? </w:t>
      </w:r>
    </w:p>
    <w:p w14:paraId="4E4BE902" w14:textId="77777777" w:rsidR="00141BAC" w:rsidRPr="00D77020" w:rsidRDefault="00141BAC" w:rsidP="007C59EB">
      <w:pPr>
        <w:spacing w:before="120" w:line="276" w:lineRule="auto"/>
        <w:rPr>
          <w:rFonts w:ascii="Arial" w:hAnsi="Arial" w:cs="Arial"/>
        </w:rPr>
      </w:pPr>
      <w:r w:rsidRPr="00D77020">
        <w:rPr>
          <w:rFonts w:ascii="Arial" w:hAnsi="Arial" w:cs="Arial"/>
        </w:rPr>
        <w:t xml:space="preserve">Yes. </w:t>
      </w:r>
    </w:p>
    <w:p w14:paraId="6FE677F6" w14:textId="53A28694" w:rsidR="00141BAC" w:rsidRPr="00D77020" w:rsidRDefault="00141BAC" w:rsidP="009F6129">
      <w:pPr>
        <w:pStyle w:val="Heading2"/>
        <w:spacing w:before="0" w:after="120" w:line="276" w:lineRule="auto"/>
        <w:jc w:val="both"/>
        <w:rPr>
          <w:rFonts w:ascii="Arial" w:hAnsi="Arial" w:cs="Arial"/>
        </w:rPr>
      </w:pPr>
      <w:r w:rsidRPr="00D77020">
        <w:rPr>
          <w:rFonts w:ascii="Arial" w:hAnsi="Arial" w:cs="Arial"/>
        </w:rPr>
        <w:t>Explain whether it is essential to have this trademark component or whether there would be other components that would be suitable:</w:t>
      </w:r>
    </w:p>
    <w:p w14:paraId="79FD824C" w14:textId="69301421" w:rsidR="00141BAC" w:rsidRPr="00D77020" w:rsidRDefault="00141BAC" w:rsidP="009F6129">
      <w:pPr>
        <w:spacing w:line="276" w:lineRule="auto"/>
        <w:jc w:val="both"/>
        <w:rPr>
          <w:rFonts w:ascii="Arial" w:hAnsi="Arial" w:cs="Arial"/>
        </w:rPr>
      </w:pPr>
      <w:r w:rsidRPr="00D77020">
        <w:rPr>
          <w:rFonts w:ascii="Arial" w:hAnsi="Arial" w:cs="Arial"/>
        </w:rPr>
        <w:t>At the time of this submission, the Ventana FOLR1 (FOLR1-2.1) RxDx Assay is expected to be the only FRα assay in Australia.</w:t>
      </w:r>
    </w:p>
    <w:p w14:paraId="46AD8179" w14:textId="07B7F795" w:rsidR="00141BAC" w:rsidRPr="00D77020" w:rsidRDefault="00141BAC" w:rsidP="007E1D10">
      <w:pPr>
        <w:pStyle w:val="Heading2"/>
        <w:spacing w:before="120" w:after="120" w:line="276" w:lineRule="auto"/>
        <w:jc w:val="both"/>
        <w:rPr>
          <w:rFonts w:ascii="Arial" w:hAnsi="Arial" w:cs="Arial"/>
        </w:rPr>
      </w:pPr>
      <w:r w:rsidRPr="00D77020">
        <w:rPr>
          <w:rFonts w:ascii="Arial" w:hAnsi="Arial" w:cs="Arial"/>
        </w:rPr>
        <w:t xml:space="preserve">Are there any proposed limitations on the provision of the proposed health technology delivered to the patient (For example: accessibility, dosage, quantity, duration or frequency): </w:t>
      </w:r>
    </w:p>
    <w:p w14:paraId="669B5F75" w14:textId="38C1D378" w:rsidR="00141BAC" w:rsidRPr="00D77020" w:rsidRDefault="00141BAC" w:rsidP="007E1D10">
      <w:pPr>
        <w:spacing w:before="120" w:line="276" w:lineRule="auto"/>
        <w:jc w:val="both"/>
        <w:rPr>
          <w:rFonts w:ascii="Arial" w:hAnsi="Arial" w:cs="Arial"/>
        </w:rPr>
      </w:pPr>
      <w:r w:rsidRPr="00D77020">
        <w:rPr>
          <w:rFonts w:ascii="Arial" w:hAnsi="Arial" w:cs="Arial"/>
        </w:rPr>
        <w:t>No</w:t>
      </w:r>
    </w:p>
    <w:p w14:paraId="2B4C9DF6" w14:textId="77777777" w:rsidR="00141BAC" w:rsidRPr="00D77020" w:rsidRDefault="00141BAC" w:rsidP="007E1D10">
      <w:pPr>
        <w:pStyle w:val="Heading2"/>
        <w:spacing w:before="120" w:after="120" w:line="276" w:lineRule="auto"/>
        <w:jc w:val="both"/>
        <w:rPr>
          <w:rFonts w:ascii="Arial" w:hAnsi="Arial" w:cs="Arial"/>
        </w:rPr>
      </w:pPr>
      <w:r w:rsidRPr="00D77020">
        <w:rPr>
          <w:rFonts w:ascii="Arial" w:hAnsi="Arial" w:cs="Arial"/>
        </w:rPr>
        <w:t>Provide details and explain:</w:t>
      </w:r>
    </w:p>
    <w:p w14:paraId="322E7C38" w14:textId="3B5E4A13" w:rsidR="00141BAC" w:rsidRPr="00D77020" w:rsidRDefault="00141BAC" w:rsidP="007E1D10">
      <w:pPr>
        <w:pStyle w:val="Heading2"/>
        <w:spacing w:before="120" w:after="120" w:line="276" w:lineRule="auto"/>
        <w:jc w:val="both"/>
        <w:rPr>
          <w:rFonts w:ascii="Arial" w:hAnsi="Arial" w:cs="Arial"/>
          <w:b w:val="0"/>
          <w:bCs w:val="0"/>
        </w:rPr>
      </w:pPr>
      <w:r w:rsidRPr="00D77020">
        <w:rPr>
          <w:rFonts w:ascii="Arial" w:hAnsi="Arial" w:cs="Arial"/>
          <w:b w:val="0"/>
          <w:bCs w:val="0"/>
        </w:rPr>
        <w:t xml:space="preserve">IHC testing is a well-established technique in all major pathology labs. </w:t>
      </w:r>
    </w:p>
    <w:p w14:paraId="2F90F356" w14:textId="06B6E9A8" w:rsidR="00141BAC" w:rsidRPr="00D77020" w:rsidRDefault="00141BAC" w:rsidP="001C53DF">
      <w:pPr>
        <w:pStyle w:val="Heading2"/>
        <w:spacing w:before="120" w:after="120" w:line="276" w:lineRule="auto"/>
        <w:jc w:val="both"/>
        <w:rPr>
          <w:rFonts w:ascii="Arial" w:hAnsi="Arial" w:cs="Arial"/>
        </w:rPr>
      </w:pPr>
      <w:r w:rsidRPr="00D77020">
        <w:rPr>
          <w:rFonts w:ascii="Arial" w:hAnsi="Arial" w:cs="Arial"/>
        </w:rPr>
        <w:t>If applicable, advise which health professionals will be needed to provide the proposed health technology:</w:t>
      </w:r>
    </w:p>
    <w:p w14:paraId="00DE4B98" w14:textId="022A1000" w:rsidR="00141BAC" w:rsidRPr="00D77020" w:rsidRDefault="00141BAC" w:rsidP="001C53DF">
      <w:pPr>
        <w:spacing w:before="120" w:line="276" w:lineRule="auto"/>
        <w:jc w:val="both"/>
        <w:rPr>
          <w:rFonts w:ascii="Arial" w:hAnsi="Arial" w:cs="Arial"/>
        </w:rPr>
      </w:pPr>
      <w:r w:rsidRPr="00D77020">
        <w:rPr>
          <w:rFonts w:ascii="Arial" w:hAnsi="Arial" w:cs="Arial"/>
        </w:rPr>
        <w:t xml:space="preserve">The application recommends that ordering FRα testing be restricted to gynaecologists and oncologists once a diagnosis of platinum-resistant ovarian cancer (PROC) has been established. </w:t>
      </w:r>
    </w:p>
    <w:p w14:paraId="6B06C635" w14:textId="719C64FB" w:rsidR="00141BAC" w:rsidRPr="00D77020" w:rsidRDefault="00141BAC" w:rsidP="001C53DF">
      <w:pPr>
        <w:spacing w:before="120" w:line="276" w:lineRule="auto"/>
        <w:jc w:val="both"/>
        <w:rPr>
          <w:rFonts w:ascii="Arial" w:hAnsi="Arial" w:cs="Arial"/>
        </w:rPr>
      </w:pPr>
      <w:r w:rsidRPr="00D77020">
        <w:rPr>
          <w:rFonts w:ascii="Arial" w:hAnsi="Arial" w:cs="Arial"/>
        </w:rPr>
        <w:t>A certified pathologist would be responsible for conducting the testing and reporting of results. It is proposed that FRα testing be eligible to be carried out in any pathology laboratory holding the appropriate accreditation to claim pathology services through the MBS.</w:t>
      </w:r>
    </w:p>
    <w:p w14:paraId="7DEEBDBC" w14:textId="57634DEA" w:rsidR="00141BAC" w:rsidRPr="00D77020" w:rsidRDefault="00141BAC" w:rsidP="001C53DF">
      <w:pPr>
        <w:spacing w:before="120" w:line="276" w:lineRule="auto"/>
        <w:jc w:val="both"/>
        <w:rPr>
          <w:rFonts w:ascii="Arial" w:hAnsi="Arial" w:cs="Arial"/>
        </w:rPr>
      </w:pPr>
      <w:r w:rsidRPr="00D77020">
        <w:rPr>
          <w:rFonts w:ascii="Arial" w:hAnsi="Arial" w:cs="Arial"/>
        </w:rPr>
        <w:lastRenderedPageBreak/>
        <w:t>Delivery of the FRα test results would be provided by a pathologist with knowledge and expertise in testing for gastric cancer and immunohistochemistry testing.  IHC testing is a well-established technique in all major pathology laboratories. Laboratories already have the platform infrastructure. The FRα antibody and reagents to perform FRα IHC testing are the only additional resource required.</w:t>
      </w:r>
    </w:p>
    <w:p w14:paraId="6BC4ECCB" w14:textId="4AF1E2FC" w:rsidR="00141BAC" w:rsidRPr="00D77020" w:rsidRDefault="00141BAC" w:rsidP="001C53DF">
      <w:pPr>
        <w:spacing w:before="120" w:line="276" w:lineRule="auto"/>
        <w:jc w:val="both"/>
        <w:rPr>
          <w:rFonts w:ascii="Arial" w:eastAsia="Segoe UI" w:hAnsi="Arial" w:cs="Arial"/>
          <w:color w:val="000000"/>
        </w:rPr>
      </w:pPr>
      <w:r w:rsidRPr="00D77020">
        <w:rPr>
          <w:rFonts w:ascii="Arial" w:hAnsi="Arial" w:cs="Arial"/>
        </w:rPr>
        <w:t>As a consequence, billing of the intervention would be done by the pathologist.</w:t>
      </w:r>
    </w:p>
    <w:p w14:paraId="46150CA8" w14:textId="2602760A" w:rsidR="00141BAC" w:rsidRPr="00D77020" w:rsidRDefault="00141BAC" w:rsidP="00392121">
      <w:pPr>
        <w:pStyle w:val="Heading2"/>
        <w:spacing w:before="120" w:after="120" w:line="276" w:lineRule="auto"/>
        <w:jc w:val="both"/>
        <w:rPr>
          <w:rFonts w:ascii="Arial" w:hAnsi="Arial" w:cs="Arial"/>
        </w:rPr>
      </w:pPr>
      <w:r w:rsidRPr="00D77020">
        <w:rPr>
          <w:rFonts w:ascii="Arial" w:hAnsi="Arial" w:cs="Arial"/>
        </w:rPr>
        <w:t>If applicable, advise whether delivery of the proposed health technology can be delegated to another health professional:</w:t>
      </w:r>
    </w:p>
    <w:p w14:paraId="6D230079" w14:textId="01DACB6C" w:rsidR="00141BAC" w:rsidRPr="00D77020" w:rsidRDefault="00141BAC" w:rsidP="00392121">
      <w:pPr>
        <w:spacing w:before="120" w:line="276" w:lineRule="auto"/>
        <w:jc w:val="both"/>
        <w:rPr>
          <w:rFonts w:ascii="Arial" w:hAnsi="Arial" w:cs="Arial"/>
          <w:b/>
          <w:bCs/>
        </w:rPr>
      </w:pPr>
      <w:r w:rsidRPr="00D77020">
        <w:rPr>
          <w:rFonts w:ascii="Arial" w:hAnsi="Arial" w:cs="Arial"/>
        </w:rPr>
        <w:t>It is not anticipated that any other professional, other than a certified pathologist would be able to conduct IHC testing for FRα expression.</w:t>
      </w:r>
    </w:p>
    <w:p w14:paraId="414D5196" w14:textId="6C17EE6F" w:rsidR="00141BAC" w:rsidRPr="00D77020" w:rsidRDefault="00141BAC" w:rsidP="00392121">
      <w:pPr>
        <w:pStyle w:val="Heading2"/>
        <w:spacing w:before="120" w:after="120" w:line="276" w:lineRule="auto"/>
        <w:jc w:val="both"/>
        <w:rPr>
          <w:rFonts w:ascii="Arial" w:hAnsi="Arial" w:cs="Arial"/>
        </w:rPr>
      </w:pPr>
      <w:r w:rsidRPr="00D77020">
        <w:rPr>
          <w:rFonts w:ascii="Arial" w:hAnsi="Arial" w:cs="Arial"/>
        </w:rPr>
        <w:t>If applicable, advise if there are any limitations on which health professionals might provide a referral for the proposed health technology:</w:t>
      </w:r>
    </w:p>
    <w:p w14:paraId="108A6E23" w14:textId="6254FF3B" w:rsidR="00141BAC" w:rsidRPr="00D77020" w:rsidRDefault="00141BAC" w:rsidP="00392121">
      <w:pPr>
        <w:spacing w:before="120" w:line="276" w:lineRule="auto"/>
        <w:jc w:val="both"/>
        <w:rPr>
          <w:rFonts w:ascii="Arial" w:hAnsi="Arial" w:cs="Arial"/>
          <w:b/>
          <w:bCs/>
        </w:rPr>
      </w:pPr>
      <w:r w:rsidRPr="00D77020">
        <w:rPr>
          <w:rFonts w:ascii="Arial" w:hAnsi="Arial" w:cs="Arial"/>
        </w:rPr>
        <w:t xml:space="preserve">It might be considered that testing be restricted to a specialist or consultant physician once a diagnosis of ovarian cancer has been established. </w:t>
      </w:r>
    </w:p>
    <w:p w14:paraId="30AC00A8" w14:textId="48CD8C41" w:rsidR="00141BAC" w:rsidRPr="00D77020" w:rsidRDefault="00141BAC" w:rsidP="00392121">
      <w:pPr>
        <w:pStyle w:val="Heading2"/>
        <w:spacing w:before="120" w:after="120" w:line="276" w:lineRule="auto"/>
        <w:jc w:val="both"/>
        <w:rPr>
          <w:rFonts w:ascii="Arial" w:hAnsi="Arial" w:cs="Arial"/>
        </w:rPr>
      </w:pPr>
      <w:r w:rsidRPr="00D77020">
        <w:rPr>
          <w:rFonts w:ascii="Arial" w:hAnsi="Arial" w:cs="Arial"/>
        </w:rPr>
        <w:t xml:space="preserve">Is there specific training or qualifications required to provide or deliver the proposed service, and/or any accreditation requirements to support delivery of the health technology? </w:t>
      </w:r>
    </w:p>
    <w:p w14:paraId="4E1F9F81" w14:textId="104706E7" w:rsidR="00141BAC" w:rsidRPr="00D77020" w:rsidRDefault="00141BAC" w:rsidP="00392121">
      <w:pPr>
        <w:spacing w:before="120" w:line="276" w:lineRule="auto"/>
        <w:jc w:val="both"/>
        <w:rPr>
          <w:rFonts w:ascii="Arial" w:hAnsi="Arial" w:cs="Arial"/>
        </w:rPr>
      </w:pPr>
      <w:r w:rsidRPr="00D77020">
        <w:rPr>
          <w:rFonts w:ascii="Arial" w:hAnsi="Arial" w:cs="Arial"/>
        </w:rPr>
        <w:t>Yes</w:t>
      </w:r>
    </w:p>
    <w:p w14:paraId="0E842550" w14:textId="4EA98943" w:rsidR="00141BAC" w:rsidRPr="00D77020" w:rsidRDefault="00141BAC" w:rsidP="00392121">
      <w:pPr>
        <w:pStyle w:val="Heading2"/>
        <w:spacing w:before="120" w:after="120" w:line="276" w:lineRule="auto"/>
        <w:jc w:val="both"/>
        <w:rPr>
          <w:rFonts w:ascii="Arial" w:hAnsi="Arial" w:cs="Arial"/>
        </w:rPr>
      </w:pPr>
      <w:r w:rsidRPr="00D77020">
        <w:rPr>
          <w:rFonts w:ascii="Arial" w:hAnsi="Arial" w:cs="Arial"/>
        </w:rPr>
        <w:t>Provide details and explain:</w:t>
      </w:r>
    </w:p>
    <w:p w14:paraId="69640DF6" w14:textId="2C6621B6" w:rsidR="00141BAC" w:rsidRPr="00D77020" w:rsidRDefault="00141BAC" w:rsidP="0056242F">
      <w:pPr>
        <w:spacing w:before="120" w:line="276" w:lineRule="auto"/>
        <w:jc w:val="both"/>
        <w:rPr>
          <w:rFonts w:ascii="Arial" w:hAnsi="Arial" w:cs="Arial"/>
          <w:b/>
          <w:bCs/>
        </w:rPr>
      </w:pPr>
      <w:r w:rsidRPr="00D77020">
        <w:rPr>
          <w:rFonts w:ascii="Arial" w:hAnsi="Arial" w:cs="Arial"/>
        </w:rPr>
        <w:t>A certified pathologist would be responsible for conducting the test and reporting the results. Consistent with introduction of diagnostic tests associated with access to other targeted therapies, pathologist training and quality assurance programs would be developed with respect to delivery of diagnostic tests for access to PBS treatment.</w:t>
      </w:r>
    </w:p>
    <w:p w14:paraId="54E88C9C" w14:textId="7A59FDA1" w:rsidR="00141BAC" w:rsidRPr="00D77020" w:rsidRDefault="00141BAC" w:rsidP="006A4A35">
      <w:pPr>
        <w:pStyle w:val="Heading2"/>
        <w:spacing w:before="120"/>
        <w:rPr>
          <w:rStyle w:val="InstructionsChar"/>
          <w:rFonts w:ascii="Arial" w:hAnsi="Arial" w:cs="Arial"/>
        </w:rPr>
      </w:pPr>
      <w:r w:rsidRPr="00D77020">
        <w:rPr>
          <w:rFonts w:ascii="Arial" w:hAnsi="Arial" w:cs="Arial"/>
        </w:rPr>
        <w:t xml:space="preserve">Indicate the proposed setting(s) in which the proposed health technology will be delivered: </w:t>
      </w:r>
    </w:p>
    <w:p w14:paraId="1B1750AB" w14:textId="77777777" w:rsidR="000503CF" w:rsidRDefault="000503CF" w:rsidP="006A4A35">
      <w:pPr>
        <w:pStyle w:val="Tickboxes"/>
        <w:spacing w:line="276" w:lineRule="auto"/>
        <w:rPr>
          <w:rFonts w:ascii="Arial" w:hAnsi="Arial" w:cs="Arial"/>
          <w:b/>
          <w:bCs w:val="0"/>
          <w:u w:val="single"/>
        </w:rPr>
      </w:pPr>
    </w:p>
    <w:p w14:paraId="6C4BF8E1" w14:textId="60EA6451" w:rsidR="00141BAC" w:rsidRPr="00D77020" w:rsidRDefault="00141BAC" w:rsidP="006A4A35">
      <w:pPr>
        <w:pStyle w:val="Tickboxes"/>
        <w:spacing w:line="276" w:lineRule="auto"/>
        <w:rPr>
          <w:rFonts w:ascii="Arial" w:hAnsi="Arial" w:cs="Arial"/>
          <w:b/>
          <w:u w:val="single"/>
        </w:rPr>
      </w:pPr>
      <w:r w:rsidRPr="00D77020">
        <w:rPr>
          <w:rFonts w:ascii="Arial" w:hAnsi="Arial" w:cs="Arial"/>
          <w:b/>
          <w:bCs w:val="0"/>
          <w:u w:val="single"/>
        </w:rPr>
        <w:t>X</w:t>
      </w:r>
      <w:r w:rsidRPr="00D77020">
        <w:rPr>
          <w:rFonts w:ascii="Arial" w:hAnsi="Arial" w:cs="Arial"/>
          <w:b/>
          <w:u w:val="single"/>
        </w:rPr>
        <w:t xml:space="preserve"> Consulting rooms </w:t>
      </w:r>
    </w:p>
    <w:p w14:paraId="27A91C50" w14:textId="3B10848A" w:rsidR="00141BAC" w:rsidRPr="00D77020" w:rsidRDefault="00141BAC" w:rsidP="006A4A35">
      <w:pPr>
        <w:pStyle w:val="Tickboxes"/>
        <w:spacing w:line="276" w:lineRule="auto"/>
        <w:rPr>
          <w:rFonts w:ascii="Arial" w:hAnsi="Arial" w:cs="Arial"/>
          <w:b/>
          <w:u w:val="single"/>
        </w:rPr>
      </w:pPr>
      <w:r w:rsidRPr="00D77020">
        <w:rPr>
          <w:rFonts w:ascii="Arial" w:hAnsi="Arial" w:cs="Arial"/>
          <w:b/>
          <w:bCs w:val="0"/>
          <w:u w:val="single"/>
        </w:rPr>
        <w:t>X</w:t>
      </w:r>
      <w:r w:rsidRPr="00D77020">
        <w:rPr>
          <w:rFonts w:ascii="Arial" w:hAnsi="Arial" w:cs="Arial"/>
          <w:b/>
          <w:u w:val="single"/>
        </w:rPr>
        <w:t xml:space="preserve"> Day surgery centre</w:t>
      </w:r>
    </w:p>
    <w:p w14:paraId="1DAFF305" w14:textId="40C84702" w:rsidR="00141BAC" w:rsidRPr="00D77020" w:rsidRDefault="00141BAC" w:rsidP="006A4A35">
      <w:pPr>
        <w:pStyle w:val="Tickboxes"/>
        <w:spacing w:line="276" w:lineRule="auto"/>
        <w:rPr>
          <w:rFonts w:ascii="Arial" w:hAnsi="Arial" w:cs="Arial"/>
        </w:rPr>
      </w:pPr>
      <w:r w:rsidRPr="00D77020">
        <w:rPr>
          <w:rFonts w:ascii="Arial" w:hAnsi="Arial" w:cs="Arial"/>
        </w:rPr>
        <w:fldChar w:fldCharType="begin">
          <w:ffData>
            <w:name w:val="Check1"/>
            <w:enabled/>
            <w:calcOnExit w:val="0"/>
            <w:checkBox>
              <w:sizeAuto/>
              <w:default w:val="0"/>
            </w:checkBox>
          </w:ffData>
        </w:fldChar>
      </w:r>
      <w:r w:rsidRPr="00D77020">
        <w:rPr>
          <w:rFonts w:ascii="Arial" w:hAnsi="Arial" w:cs="Arial"/>
        </w:rPr>
        <w:instrText xml:space="preserve"> FORMCHECKBOX </w:instrText>
      </w:r>
      <w:r w:rsidR="009D2CE0">
        <w:rPr>
          <w:rFonts w:ascii="Arial" w:hAnsi="Arial" w:cs="Arial"/>
        </w:rPr>
      </w:r>
      <w:r w:rsidR="009D2CE0">
        <w:rPr>
          <w:rFonts w:ascii="Arial" w:hAnsi="Arial" w:cs="Arial"/>
        </w:rPr>
        <w:fldChar w:fldCharType="separate"/>
      </w:r>
      <w:r w:rsidRPr="00D77020">
        <w:rPr>
          <w:rFonts w:ascii="Arial" w:hAnsi="Arial" w:cs="Arial"/>
        </w:rPr>
        <w:fldChar w:fldCharType="end"/>
      </w:r>
      <w:r w:rsidRPr="00D77020">
        <w:rPr>
          <w:rFonts w:ascii="Arial" w:hAnsi="Arial" w:cs="Arial"/>
        </w:rPr>
        <w:t xml:space="preserve"> Emergency Department </w:t>
      </w:r>
    </w:p>
    <w:p w14:paraId="020AC503" w14:textId="5C662B9C" w:rsidR="00141BAC" w:rsidRPr="00D77020" w:rsidRDefault="00141BAC" w:rsidP="006A4A35">
      <w:pPr>
        <w:pStyle w:val="Tickboxes"/>
        <w:spacing w:line="276" w:lineRule="auto"/>
        <w:rPr>
          <w:rFonts w:ascii="Arial" w:hAnsi="Arial" w:cs="Arial"/>
        </w:rPr>
      </w:pPr>
      <w:r w:rsidRPr="00D77020">
        <w:rPr>
          <w:rFonts w:ascii="Arial" w:hAnsi="Arial" w:cs="Arial"/>
        </w:rPr>
        <w:fldChar w:fldCharType="begin">
          <w:ffData>
            <w:name w:val="Check2"/>
            <w:enabled/>
            <w:calcOnExit w:val="0"/>
            <w:checkBox>
              <w:sizeAuto/>
              <w:default w:val="0"/>
            </w:checkBox>
          </w:ffData>
        </w:fldChar>
      </w:r>
      <w:r w:rsidRPr="00D77020">
        <w:rPr>
          <w:rFonts w:ascii="Arial" w:hAnsi="Arial" w:cs="Arial"/>
        </w:rPr>
        <w:instrText xml:space="preserve"> FORMCHECKBOX </w:instrText>
      </w:r>
      <w:r w:rsidR="009D2CE0">
        <w:rPr>
          <w:rFonts w:ascii="Arial" w:hAnsi="Arial" w:cs="Arial"/>
        </w:rPr>
      </w:r>
      <w:r w:rsidR="009D2CE0">
        <w:rPr>
          <w:rFonts w:ascii="Arial" w:hAnsi="Arial" w:cs="Arial"/>
        </w:rPr>
        <w:fldChar w:fldCharType="separate"/>
      </w:r>
      <w:r w:rsidRPr="00D77020">
        <w:rPr>
          <w:rFonts w:ascii="Arial" w:hAnsi="Arial" w:cs="Arial"/>
        </w:rPr>
        <w:fldChar w:fldCharType="end"/>
      </w:r>
      <w:r w:rsidRPr="00D77020">
        <w:rPr>
          <w:rFonts w:ascii="Arial" w:hAnsi="Arial" w:cs="Arial"/>
        </w:rPr>
        <w:t xml:space="preserve"> Inpatient private hospital</w:t>
      </w:r>
    </w:p>
    <w:p w14:paraId="6E8C6D7D" w14:textId="0255442B" w:rsidR="00141BAC" w:rsidRPr="00D77020" w:rsidRDefault="00141BAC" w:rsidP="006A4A35">
      <w:pPr>
        <w:pStyle w:val="Tickboxes"/>
        <w:spacing w:line="276" w:lineRule="auto"/>
        <w:rPr>
          <w:rFonts w:ascii="Arial" w:hAnsi="Arial" w:cs="Arial"/>
        </w:rPr>
      </w:pPr>
      <w:r w:rsidRPr="00D77020">
        <w:rPr>
          <w:rFonts w:ascii="Arial" w:hAnsi="Arial" w:cs="Arial"/>
        </w:rPr>
        <w:fldChar w:fldCharType="begin">
          <w:ffData>
            <w:name w:val="Check1"/>
            <w:enabled/>
            <w:calcOnExit w:val="0"/>
            <w:checkBox>
              <w:sizeAuto/>
              <w:default w:val="0"/>
            </w:checkBox>
          </w:ffData>
        </w:fldChar>
      </w:r>
      <w:r w:rsidRPr="00D77020">
        <w:rPr>
          <w:rFonts w:ascii="Arial" w:hAnsi="Arial" w:cs="Arial"/>
        </w:rPr>
        <w:instrText xml:space="preserve"> FORMCHECKBOX </w:instrText>
      </w:r>
      <w:r w:rsidR="009D2CE0">
        <w:rPr>
          <w:rFonts w:ascii="Arial" w:hAnsi="Arial" w:cs="Arial"/>
        </w:rPr>
      </w:r>
      <w:r w:rsidR="009D2CE0">
        <w:rPr>
          <w:rFonts w:ascii="Arial" w:hAnsi="Arial" w:cs="Arial"/>
        </w:rPr>
        <w:fldChar w:fldCharType="separate"/>
      </w:r>
      <w:r w:rsidRPr="00D77020">
        <w:rPr>
          <w:rFonts w:ascii="Arial" w:hAnsi="Arial" w:cs="Arial"/>
        </w:rPr>
        <w:fldChar w:fldCharType="end"/>
      </w:r>
      <w:r w:rsidRPr="00D77020">
        <w:rPr>
          <w:rFonts w:ascii="Arial" w:hAnsi="Arial" w:cs="Arial"/>
        </w:rPr>
        <w:t xml:space="preserve"> Inpatient public hospital</w:t>
      </w:r>
    </w:p>
    <w:p w14:paraId="1C5133DF" w14:textId="7C6E814B" w:rsidR="00141BAC" w:rsidRPr="00D77020" w:rsidRDefault="00141BAC" w:rsidP="006A4A35">
      <w:pPr>
        <w:pStyle w:val="Tickboxes"/>
        <w:spacing w:line="276" w:lineRule="auto"/>
        <w:rPr>
          <w:rFonts w:ascii="Arial" w:hAnsi="Arial" w:cs="Arial"/>
          <w:b/>
          <w:u w:val="single"/>
        </w:rPr>
      </w:pPr>
      <w:r w:rsidRPr="00D77020">
        <w:rPr>
          <w:rFonts w:ascii="Arial" w:hAnsi="Arial" w:cs="Arial"/>
          <w:b/>
          <w:bCs w:val="0"/>
          <w:u w:val="single"/>
        </w:rPr>
        <w:t>X</w:t>
      </w:r>
      <w:r w:rsidRPr="00D77020">
        <w:rPr>
          <w:rFonts w:ascii="Arial" w:hAnsi="Arial" w:cs="Arial"/>
          <w:b/>
          <w:u w:val="single"/>
        </w:rPr>
        <w:t xml:space="preserve"> Laboratory</w:t>
      </w:r>
    </w:p>
    <w:p w14:paraId="723FB55F" w14:textId="0F9F061F" w:rsidR="00141BAC" w:rsidRPr="00D77020" w:rsidRDefault="00141BAC" w:rsidP="006A4A35">
      <w:pPr>
        <w:pStyle w:val="Tickboxes"/>
        <w:spacing w:line="276" w:lineRule="auto"/>
        <w:rPr>
          <w:rFonts w:ascii="Arial" w:hAnsi="Arial" w:cs="Arial"/>
          <w:b/>
          <w:u w:val="single"/>
        </w:rPr>
      </w:pPr>
      <w:r w:rsidRPr="00D77020">
        <w:rPr>
          <w:rFonts w:ascii="Arial" w:hAnsi="Arial" w:cs="Arial"/>
          <w:b/>
          <w:bCs w:val="0"/>
          <w:u w:val="single"/>
        </w:rPr>
        <w:t>X</w:t>
      </w:r>
      <w:r w:rsidRPr="00D77020">
        <w:rPr>
          <w:rFonts w:ascii="Arial" w:hAnsi="Arial" w:cs="Arial"/>
          <w:b/>
          <w:u w:val="single"/>
        </w:rPr>
        <w:t xml:space="preserve"> Outpatient clinic </w:t>
      </w:r>
    </w:p>
    <w:p w14:paraId="111DE2AB" w14:textId="35A5324A" w:rsidR="00141BAC" w:rsidRPr="00D77020" w:rsidRDefault="00141BAC" w:rsidP="006A4A35">
      <w:pPr>
        <w:pStyle w:val="Tickboxes"/>
        <w:spacing w:line="276" w:lineRule="auto"/>
        <w:rPr>
          <w:rFonts w:ascii="Arial" w:hAnsi="Arial" w:cs="Arial"/>
        </w:rPr>
      </w:pPr>
      <w:r w:rsidRPr="00D77020">
        <w:rPr>
          <w:rFonts w:ascii="Arial" w:hAnsi="Arial" w:cs="Arial"/>
        </w:rPr>
        <w:fldChar w:fldCharType="begin">
          <w:ffData>
            <w:name w:val="Check2"/>
            <w:enabled/>
            <w:calcOnExit w:val="0"/>
            <w:checkBox>
              <w:sizeAuto/>
              <w:default w:val="0"/>
            </w:checkBox>
          </w:ffData>
        </w:fldChar>
      </w:r>
      <w:r w:rsidRPr="00D77020">
        <w:rPr>
          <w:rFonts w:ascii="Arial" w:hAnsi="Arial" w:cs="Arial"/>
        </w:rPr>
        <w:instrText xml:space="preserve"> FORMCHECKBOX </w:instrText>
      </w:r>
      <w:r w:rsidR="009D2CE0">
        <w:rPr>
          <w:rFonts w:ascii="Arial" w:hAnsi="Arial" w:cs="Arial"/>
        </w:rPr>
      </w:r>
      <w:r w:rsidR="009D2CE0">
        <w:rPr>
          <w:rFonts w:ascii="Arial" w:hAnsi="Arial" w:cs="Arial"/>
        </w:rPr>
        <w:fldChar w:fldCharType="separate"/>
      </w:r>
      <w:r w:rsidRPr="00D77020">
        <w:rPr>
          <w:rFonts w:ascii="Arial" w:hAnsi="Arial" w:cs="Arial"/>
        </w:rPr>
        <w:fldChar w:fldCharType="end"/>
      </w:r>
      <w:r w:rsidRPr="00D77020">
        <w:rPr>
          <w:rFonts w:ascii="Arial" w:hAnsi="Arial" w:cs="Arial"/>
        </w:rPr>
        <w:t xml:space="preserve"> Patient’s home</w:t>
      </w:r>
    </w:p>
    <w:p w14:paraId="428D75FD" w14:textId="3E4C76FA" w:rsidR="00141BAC" w:rsidRPr="00D77020" w:rsidRDefault="00141BAC" w:rsidP="006A4A35">
      <w:pPr>
        <w:pStyle w:val="Tickboxes"/>
        <w:spacing w:line="276" w:lineRule="auto"/>
        <w:rPr>
          <w:rFonts w:ascii="Arial" w:hAnsi="Arial" w:cs="Arial"/>
        </w:rPr>
      </w:pPr>
      <w:r w:rsidRPr="00D77020">
        <w:rPr>
          <w:rFonts w:ascii="Arial" w:hAnsi="Arial" w:cs="Arial"/>
        </w:rPr>
        <w:fldChar w:fldCharType="begin">
          <w:ffData>
            <w:name w:val="Check1"/>
            <w:enabled/>
            <w:calcOnExit w:val="0"/>
            <w:checkBox>
              <w:sizeAuto/>
              <w:default w:val="0"/>
            </w:checkBox>
          </w:ffData>
        </w:fldChar>
      </w:r>
      <w:r w:rsidRPr="00D77020">
        <w:rPr>
          <w:rFonts w:ascii="Arial" w:hAnsi="Arial" w:cs="Arial"/>
        </w:rPr>
        <w:instrText xml:space="preserve"> FORMCHECKBOX </w:instrText>
      </w:r>
      <w:r w:rsidR="009D2CE0">
        <w:rPr>
          <w:rFonts w:ascii="Arial" w:hAnsi="Arial" w:cs="Arial"/>
        </w:rPr>
      </w:r>
      <w:r w:rsidR="009D2CE0">
        <w:rPr>
          <w:rFonts w:ascii="Arial" w:hAnsi="Arial" w:cs="Arial"/>
        </w:rPr>
        <w:fldChar w:fldCharType="separate"/>
      </w:r>
      <w:r w:rsidRPr="00D77020">
        <w:rPr>
          <w:rFonts w:ascii="Arial" w:hAnsi="Arial" w:cs="Arial"/>
        </w:rPr>
        <w:fldChar w:fldCharType="end"/>
      </w:r>
      <w:r w:rsidRPr="00D77020">
        <w:rPr>
          <w:rFonts w:ascii="Arial" w:hAnsi="Arial" w:cs="Arial"/>
        </w:rPr>
        <w:t xml:space="preserve"> Point of care testing </w:t>
      </w:r>
    </w:p>
    <w:p w14:paraId="47F449C5" w14:textId="7A9B3B9E" w:rsidR="00141BAC" w:rsidRPr="00D77020" w:rsidRDefault="00141BAC" w:rsidP="006A4A35">
      <w:pPr>
        <w:pStyle w:val="Tickboxes"/>
        <w:spacing w:line="276" w:lineRule="auto"/>
        <w:rPr>
          <w:rFonts w:ascii="Arial" w:hAnsi="Arial" w:cs="Arial"/>
        </w:rPr>
      </w:pPr>
      <w:r w:rsidRPr="00D77020">
        <w:rPr>
          <w:rFonts w:ascii="Arial" w:hAnsi="Arial" w:cs="Arial"/>
        </w:rPr>
        <w:fldChar w:fldCharType="begin">
          <w:ffData>
            <w:name w:val="Check2"/>
            <w:enabled/>
            <w:calcOnExit w:val="0"/>
            <w:checkBox>
              <w:sizeAuto/>
              <w:default w:val="0"/>
            </w:checkBox>
          </w:ffData>
        </w:fldChar>
      </w:r>
      <w:r w:rsidRPr="00D77020">
        <w:rPr>
          <w:rFonts w:ascii="Arial" w:hAnsi="Arial" w:cs="Arial"/>
        </w:rPr>
        <w:instrText xml:space="preserve"> FORMCHECKBOX </w:instrText>
      </w:r>
      <w:r w:rsidR="009D2CE0">
        <w:rPr>
          <w:rFonts w:ascii="Arial" w:hAnsi="Arial" w:cs="Arial"/>
        </w:rPr>
      </w:r>
      <w:r w:rsidR="009D2CE0">
        <w:rPr>
          <w:rFonts w:ascii="Arial" w:hAnsi="Arial" w:cs="Arial"/>
        </w:rPr>
        <w:fldChar w:fldCharType="separate"/>
      </w:r>
      <w:r w:rsidRPr="00D77020">
        <w:rPr>
          <w:rFonts w:ascii="Arial" w:hAnsi="Arial" w:cs="Arial"/>
        </w:rPr>
        <w:fldChar w:fldCharType="end"/>
      </w:r>
      <w:r w:rsidRPr="00D77020">
        <w:rPr>
          <w:rFonts w:ascii="Arial" w:hAnsi="Arial" w:cs="Arial"/>
        </w:rPr>
        <w:t xml:space="preserve"> Residential aged care facility</w:t>
      </w:r>
    </w:p>
    <w:p w14:paraId="594B3A20" w14:textId="2E5732C5" w:rsidR="00141BAC" w:rsidRPr="00D77020" w:rsidRDefault="00141BAC" w:rsidP="006A4A35">
      <w:pPr>
        <w:pStyle w:val="Tickboxes"/>
        <w:spacing w:line="276" w:lineRule="auto"/>
        <w:rPr>
          <w:rFonts w:ascii="Arial" w:hAnsi="Arial" w:cs="Arial"/>
        </w:rPr>
      </w:pPr>
      <w:r w:rsidRPr="00D77020">
        <w:rPr>
          <w:rFonts w:ascii="Arial" w:hAnsi="Arial" w:cs="Arial"/>
        </w:rPr>
        <w:fldChar w:fldCharType="begin">
          <w:ffData>
            <w:name w:val="Check1"/>
            <w:enabled/>
            <w:calcOnExit w:val="0"/>
            <w:checkBox>
              <w:sizeAuto/>
              <w:default w:val="0"/>
            </w:checkBox>
          </w:ffData>
        </w:fldChar>
      </w:r>
      <w:r w:rsidRPr="00D77020">
        <w:rPr>
          <w:rFonts w:ascii="Arial" w:hAnsi="Arial" w:cs="Arial"/>
        </w:rPr>
        <w:instrText xml:space="preserve"> FORMCHECKBOX </w:instrText>
      </w:r>
      <w:r w:rsidR="009D2CE0">
        <w:rPr>
          <w:rFonts w:ascii="Arial" w:hAnsi="Arial" w:cs="Arial"/>
        </w:rPr>
      </w:r>
      <w:r w:rsidR="009D2CE0">
        <w:rPr>
          <w:rFonts w:ascii="Arial" w:hAnsi="Arial" w:cs="Arial"/>
        </w:rPr>
        <w:fldChar w:fldCharType="separate"/>
      </w:r>
      <w:r w:rsidRPr="00D77020">
        <w:rPr>
          <w:rFonts w:ascii="Arial" w:hAnsi="Arial" w:cs="Arial"/>
        </w:rPr>
        <w:fldChar w:fldCharType="end"/>
      </w:r>
      <w:r w:rsidRPr="00D77020">
        <w:rPr>
          <w:rFonts w:ascii="Arial" w:hAnsi="Arial" w:cs="Arial"/>
        </w:rPr>
        <w:t xml:space="preserve"> Other (please specify) </w:t>
      </w:r>
    </w:p>
    <w:p w14:paraId="2A1C0D0A" w14:textId="3D79FC0A" w:rsidR="00141BAC" w:rsidRPr="00D77020" w:rsidRDefault="00141BAC" w:rsidP="006A4A35">
      <w:pPr>
        <w:pStyle w:val="Heading2"/>
        <w:spacing w:before="120" w:line="276" w:lineRule="auto"/>
        <w:jc w:val="both"/>
        <w:rPr>
          <w:rFonts w:ascii="Arial" w:hAnsi="Arial" w:cs="Arial"/>
        </w:rPr>
      </w:pPr>
      <w:r w:rsidRPr="00D77020">
        <w:rPr>
          <w:rFonts w:ascii="Arial" w:hAnsi="Arial" w:cs="Arial"/>
        </w:rPr>
        <w:t xml:space="preserve">Is the proposed health technology intended to be entirely rendered inside Australia? </w:t>
      </w:r>
    </w:p>
    <w:p w14:paraId="0478F3B1" w14:textId="5A6D68EF" w:rsidR="00141BAC" w:rsidRPr="00D77020" w:rsidRDefault="00141BAC" w:rsidP="006A4A35">
      <w:pPr>
        <w:spacing w:line="276" w:lineRule="auto"/>
        <w:jc w:val="both"/>
        <w:rPr>
          <w:rFonts w:ascii="Arial" w:hAnsi="Arial" w:cs="Arial"/>
        </w:rPr>
      </w:pPr>
      <w:r w:rsidRPr="00D77020">
        <w:rPr>
          <w:rFonts w:ascii="Arial" w:hAnsi="Arial" w:cs="Arial"/>
        </w:rPr>
        <w:t>Yes</w:t>
      </w:r>
    </w:p>
    <w:p w14:paraId="5B9D9A2F" w14:textId="5569185C" w:rsidR="00141BAC" w:rsidRPr="00D77020" w:rsidRDefault="00141BAC" w:rsidP="002C0622">
      <w:pPr>
        <w:pStyle w:val="Heading1"/>
        <w:rPr>
          <w:rFonts w:ascii="Arial" w:hAnsi="Arial" w:cs="Arial"/>
        </w:rPr>
      </w:pPr>
      <w:r w:rsidRPr="00D77020">
        <w:rPr>
          <w:rFonts w:ascii="Arial" w:hAnsi="Arial" w:cs="Arial"/>
        </w:rPr>
        <w:t>Comparator</w:t>
      </w:r>
    </w:p>
    <w:p w14:paraId="0339C7B6" w14:textId="427C6D5F" w:rsidR="00141BAC" w:rsidRPr="00D77020" w:rsidRDefault="00141BAC" w:rsidP="002C0622">
      <w:pPr>
        <w:pStyle w:val="Heading2"/>
        <w:spacing w:before="120" w:after="120" w:line="276" w:lineRule="auto"/>
        <w:jc w:val="both"/>
        <w:rPr>
          <w:rFonts w:ascii="Arial" w:hAnsi="Arial" w:cs="Arial"/>
        </w:rPr>
      </w:pPr>
      <w:r w:rsidRPr="00D77020">
        <w:rPr>
          <w:rFonts w:ascii="Arial" w:hAnsi="Arial" w:cs="Arial"/>
        </w:rPr>
        <w:t xml:space="preserve">Nominate the appropriate comparator(s) for the proposed medical service (i.e., how is the proposed population currently managed in the absence of the proposed medical service being available in the </w:t>
      </w:r>
      <w:r w:rsidRPr="00D77020">
        <w:rPr>
          <w:rFonts w:ascii="Arial" w:hAnsi="Arial" w:cs="Arial"/>
          <w:u w:val="single"/>
        </w:rPr>
        <w:t>Australian healthcare system)</w:t>
      </w:r>
      <w:r w:rsidRPr="00D77020">
        <w:rPr>
          <w:rFonts w:ascii="Arial" w:hAnsi="Arial" w:cs="Arial"/>
        </w:rPr>
        <w:t>. This includes identifying healthcare resources that are needed to be delivered at the same time as the comparator service:</w:t>
      </w:r>
    </w:p>
    <w:p w14:paraId="037549F1" w14:textId="06303A50" w:rsidR="00141BAC" w:rsidRPr="00D77020" w:rsidRDefault="00141BAC" w:rsidP="006605C2">
      <w:pPr>
        <w:keepNext/>
        <w:keepLines/>
        <w:spacing w:before="120" w:line="276" w:lineRule="auto"/>
        <w:jc w:val="both"/>
        <w:rPr>
          <w:rFonts w:ascii="Arial" w:hAnsi="Arial" w:cs="Arial"/>
        </w:rPr>
      </w:pPr>
      <w:r w:rsidRPr="006605C2">
        <w:rPr>
          <w:rFonts w:ascii="Arial" w:hAnsi="Arial" w:cs="Arial"/>
          <w:u w:val="single"/>
        </w:rPr>
        <w:lastRenderedPageBreak/>
        <w:t>Test comparator:</w:t>
      </w:r>
      <w:r w:rsidRPr="00D77020">
        <w:rPr>
          <w:rFonts w:ascii="Arial" w:hAnsi="Arial" w:cs="Arial"/>
        </w:rPr>
        <w:t xml:space="preserve"> “No testing”, as testing for FRα is not currently funded, nor available or part of the current treatment algorithm.</w:t>
      </w:r>
    </w:p>
    <w:p w14:paraId="7E63E35F" w14:textId="54037E9B" w:rsidR="00141BAC" w:rsidRPr="00D77020" w:rsidRDefault="00141BAC" w:rsidP="006605C2">
      <w:pPr>
        <w:spacing w:before="120" w:line="276" w:lineRule="auto"/>
        <w:jc w:val="both"/>
        <w:rPr>
          <w:rFonts w:ascii="Arial" w:hAnsi="Arial" w:cs="Arial"/>
        </w:rPr>
      </w:pPr>
      <w:r w:rsidRPr="006605C2">
        <w:rPr>
          <w:rFonts w:ascii="Arial" w:hAnsi="Arial" w:cs="Arial"/>
          <w:u w:val="single"/>
        </w:rPr>
        <w:t>Treatment comparator:</w:t>
      </w:r>
      <w:r w:rsidRPr="00D77020">
        <w:rPr>
          <w:rFonts w:ascii="Arial" w:hAnsi="Arial" w:cs="Arial"/>
        </w:rPr>
        <w:t xml:space="preserve"> Non-platinum containing, single-agent systemic chemotherapy (paclitaxel, pegylated liposomal doxorubicin or topotecan). There is no recommendation of one specific chemotherapy. The choice of non-platinum containing chemotherapy is dependent on patient characteristics, previous treatment and clinician and patient choice</w:t>
      </w:r>
      <w:r w:rsidR="00282372">
        <w:rPr>
          <w:rFonts w:ascii="Arial" w:hAnsi="Arial" w:cs="Arial"/>
        </w:rPr>
        <w:t xml:space="preserve">. </w:t>
      </w:r>
    </w:p>
    <w:p w14:paraId="3E3431F7" w14:textId="71478296" w:rsidR="00141BAC" w:rsidRPr="00D77020" w:rsidRDefault="00141BAC" w:rsidP="006605C2">
      <w:pPr>
        <w:pStyle w:val="Heading2"/>
        <w:spacing w:before="120" w:after="120" w:line="276" w:lineRule="auto"/>
        <w:jc w:val="both"/>
        <w:rPr>
          <w:rFonts w:ascii="Arial" w:hAnsi="Arial" w:cs="Arial"/>
        </w:rPr>
      </w:pPr>
      <w:r w:rsidRPr="00D77020">
        <w:rPr>
          <w:rFonts w:ascii="Arial" w:hAnsi="Arial" w:cs="Arial"/>
        </w:rPr>
        <w:t xml:space="preserve">List any existing MBS item numbers that are relevant for the nominated comparators: </w:t>
      </w:r>
    </w:p>
    <w:p w14:paraId="571268CF" w14:textId="31B79F58" w:rsidR="00141BAC" w:rsidRPr="00D77020" w:rsidRDefault="00141BAC" w:rsidP="006605C2">
      <w:pPr>
        <w:spacing w:before="120" w:line="276" w:lineRule="auto"/>
        <w:jc w:val="both"/>
        <w:rPr>
          <w:rFonts w:ascii="Arial" w:hAnsi="Arial" w:cs="Arial"/>
          <w:b/>
          <w:bCs/>
        </w:rPr>
      </w:pPr>
      <w:r w:rsidRPr="00D77020">
        <w:rPr>
          <w:rFonts w:ascii="Arial" w:hAnsi="Arial" w:cs="Arial"/>
        </w:rPr>
        <w:t xml:space="preserve">As the proposed comparator is no testing, there are no eligible MBS items. </w:t>
      </w:r>
    </w:p>
    <w:p w14:paraId="7AE42CF7" w14:textId="16911655" w:rsidR="00141BAC" w:rsidRPr="00D77020" w:rsidRDefault="00141BAC" w:rsidP="006605C2">
      <w:pPr>
        <w:pStyle w:val="Heading2"/>
        <w:spacing w:before="120" w:after="120" w:line="276" w:lineRule="auto"/>
        <w:jc w:val="both"/>
        <w:rPr>
          <w:rFonts w:ascii="Arial" w:hAnsi="Arial" w:cs="Arial"/>
        </w:rPr>
      </w:pPr>
      <w:r w:rsidRPr="00D77020">
        <w:rPr>
          <w:rFonts w:ascii="Arial" w:hAnsi="Arial" w:cs="Arial"/>
        </w:rPr>
        <w:t>Provide a rationale for why this is a comparator:</w:t>
      </w:r>
    </w:p>
    <w:p w14:paraId="74659BC8" w14:textId="25224AFD" w:rsidR="00141BAC" w:rsidRPr="00D77020" w:rsidRDefault="00141BAC" w:rsidP="006605C2">
      <w:pPr>
        <w:spacing w:before="120" w:line="276" w:lineRule="auto"/>
        <w:jc w:val="both"/>
        <w:rPr>
          <w:rFonts w:ascii="Arial" w:hAnsi="Arial" w:cs="Arial"/>
        </w:rPr>
      </w:pPr>
      <w:r w:rsidRPr="001E34DF">
        <w:rPr>
          <w:rFonts w:ascii="Arial" w:hAnsi="Arial" w:cs="Arial"/>
          <w:u w:val="single"/>
        </w:rPr>
        <w:t>Test Comparator:</w:t>
      </w:r>
      <w:r w:rsidRPr="00D77020">
        <w:rPr>
          <w:rFonts w:ascii="Arial" w:hAnsi="Arial" w:cs="Arial"/>
        </w:rPr>
        <w:t xml:space="preserve"> As testing for FRα is not currently funded, the appropriate comparator is 'no testing’.</w:t>
      </w:r>
    </w:p>
    <w:p w14:paraId="3E587FFE" w14:textId="104EC0EE" w:rsidR="00141BAC" w:rsidRPr="00D77020" w:rsidRDefault="00141BAC" w:rsidP="006605C2">
      <w:pPr>
        <w:spacing w:before="120" w:line="276" w:lineRule="auto"/>
        <w:jc w:val="both"/>
        <w:rPr>
          <w:rFonts w:ascii="Arial" w:hAnsi="Arial" w:cs="Arial"/>
        </w:rPr>
      </w:pPr>
      <w:r w:rsidRPr="001E34DF">
        <w:rPr>
          <w:rFonts w:ascii="Arial" w:hAnsi="Arial" w:cs="Arial"/>
          <w:u w:val="single"/>
        </w:rPr>
        <w:t>Treatment Comparator:</w:t>
      </w:r>
      <w:r w:rsidRPr="00D77020">
        <w:rPr>
          <w:rFonts w:ascii="Arial" w:hAnsi="Arial" w:cs="Arial"/>
        </w:rPr>
        <w:t xml:space="preserve"> Non-platinum treatment and supportive care options are </w:t>
      </w:r>
      <w:r>
        <w:rPr>
          <w:rFonts w:ascii="Arial" w:hAnsi="Arial" w:cs="Arial"/>
        </w:rPr>
        <w:t>understood to be the standard of care</w:t>
      </w:r>
      <w:r w:rsidRPr="00D77020">
        <w:rPr>
          <w:rFonts w:ascii="Arial" w:hAnsi="Arial" w:cs="Arial"/>
        </w:rPr>
        <w:t xml:space="preserve"> in patients not eligible for platinum rechallenge due to progression on platinum-based therapy or after a short treatment-free interval. </w:t>
      </w:r>
      <w:r w:rsidR="008A538C">
        <w:rPr>
          <w:rFonts w:ascii="Arial" w:hAnsi="Arial" w:cs="Arial"/>
        </w:rPr>
        <w:t xml:space="preserve">Options include paclitaxel, </w:t>
      </w:r>
      <w:r w:rsidR="00DF69D0" w:rsidRPr="00DF69D0">
        <w:rPr>
          <w:rFonts w:ascii="Arial" w:hAnsi="Arial" w:cs="Arial"/>
        </w:rPr>
        <w:t>topotecan</w:t>
      </w:r>
      <w:r w:rsidR="008A538C">
        <w:rPr>
          <w:rFonts w:ascii="Arial" w:hAnsi="Arial" w:cs="Arial"/>
        </w:rPr>
        <w:t>,</w:t>
      </w:r>
      <w:r w:rsidR="00DF69D0" w:rsidRPr="00DF69D0">
        <w:t xml:space="preserve"> </w:t>
      </w:r>
      <w:r w:rsidR="00CB56A7">
        <w:t xml:space="preserve">or </w:t>
      </w:r>
      <w:r w:rsidR="00DF69D0" w:rsidRPr="00DF69D0">
        <w:rPr>
          <w:rFonts w:ascii="Arial" w:hAnsi="Arial" w:cs="Arial"/>
        </w:rPr>
        <w:t>pegylated liposomal doxorubicin</w:t>
      </w:r>
      <w:r w:rsidR="008A538C">
        <w:rPr>
          <w:rFonts w:ascii="Arial" w:hAnsi="Arial" w:cs="Arial"/>
        </w:rPr>
        <w:t xml:space="preserve"> </w:t>
      </w:r>
      <w:r w:rsidR="00CB56A7">
        <w:rPr>
          <w:rFonts w:ascii="Arial" w:hAnsi="Arial" w:cs="Arial"/>
        </w:rPr>
        <w:t>(PLD).</w:t>
      </w:r>
      <w:r w:rsidR="008A538C">
        <w:rPr>
          <w:rFonts w:ascii="Arial" w:hAnsi="Arial" w:cs="Arial"/>
        </w:rPr>
        <w:t xml:space="preserve"> </w:t>
      </w:r>
      <w:r w:rsidRPr="00D77020">
        <w:rPr>
          <w:rFonts w:ascii="Arial" w:hAnsi="Arial" w:cs="Arial"/>
        </w:rPr>
        <w:t>The prognosis of these patients is poor and the main treatment objectives are symptom palliation and maintenance QoL.</w:t>
      </w:r>
    </w:p>
    <w:p w14:paraId="4853BEC7" w14:textId="38E6D0CB" w:rsidR="00141BAC" w:rsidRDefault="00141BAC" w:rsidP="006605C2">
      <w:pPr>
        <w:spacing w:before="120" w:line="276" w:lineRule="auto"/>
        <w:jc w:val="both"/>
        <w:rPr>
          <w:rFonts w:ascii="Arial" w:hAnsi="Arial" w:cs="Arial"/>
        </w:rPr>
      </w:pPr>
      <w:r w:rsidRPr="00D77020">
        <w:rPr>
          <w:rFonts w:ascii="Arial" w:hAnsi="Arial" w:cs="Arial"/>
        </w:rPr>
        <w:t>Non-platinum chemotherapy can be given alone or with bevacizumab. However,</w:t>
      </w:r>
      <w:r>
        <w:rPr>
          <w:rFonts w:ascii="Arial" w:hAnsi="Arial" w:cs="Arial"/>
        </w:rPr>
        <w:t xml:space="preserve"> bevacizumab is only TGA registered for recurrent, platinum-resistant ovarian cancer in Australia for patients who  have not received bevacizumab (or any prior anti-angiogenic treatment) and have received no more than two prior chemotherapy regimens. This aligns with the latest ESMO guidelines which also only recommend bevacizumab if it has not been received in prior lines and no contraindications are </w:t>
      </w:r>
      <w:r w:rsidR="00011D83">
        <w:rPr>
          <w:rFonts w:ascii="Arial" w:hAnsi="Arial" w:cs="Arial"/>
        </w:rPr>
        <w:t>present</w:t>
      </w:r>
      <w:r>
        <w:rPr>
          <w:rFonts w:ascii="Arial" w:hAnsi="Arial" w:cs="Arial"/>
        </w:rPr>
        <w:t xml:space="preserve">. Overall, </w:t>
      </w:r>
      <w:r w:rsidR="000C3E0D">
        <w:rPr>
          <w:rFonts w:ascii="Arial" w:hAnsi="Arial" w:cs="Arial"/>
        </w:rPr>
        <w:t>based on current understanding, th</w:t>
      </w:r>
      <w:r>
        <w:rPr>
          <w:rFonts w:ascii="Arial" w:hAnsi="Arial" w:cs="Arial"/>
        </w:rPr>
        <w:t>e number of patients receiving bevacizumab in a PROC setting in Australia is expected to be negligible</w:t>
      </w:r>
      <w:r w:rsidR="00E16A79">
        <w:rPr>
          <w:rFonts w:ascii="Arial" w:hAnsi="Arial" w:cs="Arial"/>
        </w:rPr>
        <w:t>.</w:t>
      </w:r>
    </w:p>
    <w:p w14:paraId="72E50B0D" w14:textId="77777777" w:rsidR="007D6E58" w:rsidRPr="007D6E58" w:rsidRDefault="00141BAC" w:rsidP="0063444C">
      <w:pPr>
        <w:pStyle w:val="Heading2"/>
        <w:spacing w:line="276" w:lineRule="auto"/>
        <w:jc w:val="both"/>
        <w:rPr>
          <w:rFonts w:ascii="Arial" w:hAnsi="Arial" w:cs="Arial"/>
          <w:b w:val="0"/>
          <w:bCs w:val="0"/>
        </w:rPr>
      </w:pPr>
      <w:r w:rsidRPr="007D6E58">
        <w:rPr>
          <w:rFonts w:ascii="Arial" w:hAnsi="Arial" w:cs="Arial"/>
          <w:b w:val="0"/>
          <w:bCs w:val="0"/>
        </w:rPr>
        <w:t xml:space="preserve">As such, the nominated comparator for mirvetuximab soravtansine is non-platinum chemotherapy. </w:t>
      </w:r>
    </w:p>
    <w:p w14:paraId="4D02590E" w14:textId="6DFBE09E" w:rsidR="00141BAC" w:rsidRPr="00D77020" w:rsidRDefault="00141BAC" w:rsidP="0063444C">
      <w:pPr>
        <w:pStyle w:val="Heading2"/>
        <w:spacing w:line="276" w:lineRule="auto"/>
        <w:jc w:val="both"/>
        <w:rPr>
          <w:rFonts w:ascii="Arial" w:hAnsi="Arial" w:cs="Arial"/>
        </w:rPr>
      </w:pPr>
      <w:r w:rsidRPr="00D77020">
        <w:rPr>
          <w:rFonts w:ascii="Arial" w:hAnsi="Arial" w:cs="Arial"/>
        </w:rPr>
        <w:t xml:space="preserve">Pattern of substitution – Will the proposed health technology wholly replace the proposed comparator, partially replace the proposed comparator, displace the proposed comparator or be used in combination with the proposed comparator? </w:t>
      </w:r>
    </w:p>
    <w:p w14:paraId="0A5F4C44" w14:textId="17ACE538" w:rsidR="00141BAC" w:rsidRPr="006C4607" w:rsidRDefault="00141BAC" w:rsidP="0063444C">
      <w:pPr>
        <w:pStyle w:val="Tickboxes"/>
        <w:spacing w:line="276" w:lineRule="auto"/>
        <w:jc w:val="both"/>
        <w:rPr>
          <w:rFonts w:ascii="Arial" w:hAnsi="Arial" w:cs="Arial"/>
        </w:rPr>
      </w:pPr>
      <w:r w:rsidRPr="006C4607">
        <w:rPr>
          <w:rFonts w:ascii="Arial" w:hAnsi="Arial" w:cs="Arial"/>
        </w:rPr>
        <w:fldChar w:fldCharType="begin">
          <w:ffData>
            <w:name w:val="Check2"/>
            <w:enabled/>
            <w:calcOnExit w:val="0"/>
            <w:checkBox>
              <w:sizeAuto/>
              <w:default w:val="0"/>
            </w:checkBox>
          </w:ffData>
        </w:fldChar>
      </w:r>
      <w:r w:rsidRPr="006C4607">
        <w:rPr>
          <w:rFonts w:ascii="Arial" w:hAnsi="Arial" w:cs="Arial"/>
        </w:rPr>
        <w:instrText xml:space="preserve"> FORMCHECKBOX </w:instrText>
      </w:r>
      <w:r w:rsidR="009D2CE0">
        <w:rPr>
          <w:rFonts w:ascii="Arial" w:hAnsi="Arial" w:cs="Arial"/>
        </w:rPr>
      </w:r>
      <w:r w:rsidR="009D2CE0">
        <w:rPr>
          <w:rFonts w:ascii="Arial" w:hAnsi="Arial" w:cs="Arial"/>
        </w:rPr>
        <w:fldChar w:fldCharType="separate"/>
      </w:r>
      <w:r w:rsidRPr="006C4607">
        <w:rPr>
          <w:rFonts w:ascii="Arial" w:hAnsi="Arial" w:cs="Arial"/>
        </w:rPr>
        <w:fldChar w:fldCharType="end"/>
      </w:r>
      <w:r w:rsidRPr="006C4607">
        <w:rPr>
          <w:rFonts w:ascii="Arial" w:hAnsi="Arial" w:cs="Arial"/>
        </w:rPr>
        <w:t xml:space="preserve"> None (used with the comparator) </w:t>
      </w:r>
    </w:p>
    <w:p w14:paraId="04FD711F" w14:textId="717AF290" w:rsidR="00141BAC" w:rsidRPr="006C4607" w:rsidRDefault="00141BAC" w:rsidP="0063444C">
      <w:pPr>
        <w:pStyle w:val="Tickboxes"/>
        <w:spacing w:line="276" w:lineRule="auto"/>
        <w:jc w:val="both"/>
        <w:rPr>
          <w:rFonts w:ascii="Arial" w:hAnsi="Arial" w:cs="Arial"/>
        </w:rPr>
      </w:pPr>
      <w:r w:rsidRPr="006C4607">
        <w:rPr>
          <w:rFonts w:ascii="Arial" w:hAnsi="Arial" w:cs="Arial"/>
        </w:rPr>
        <w:fldChar w:fldCharType="begin">
          <w:ffData>
            <w:name w:val="Check2"/>
            <w:enabled/>
            <w:calcOnExit w:val="0"/>
            <w:checkBox>
              <w:sizeAuto/>
              <w:default w:val="0"/>
            </w:checkBox>
          </w:ffData>
        </w:fldChar>
      </w:r>
      <w:r w:rsidRPr="006C4607">
        <w:rPr>
          <w:rFonts w:ascii="Arial" w:hAnsi="Arial" w:cs="Arial"/>
        </w:rPr>
        <w:instrText xml:space="preserve"> FORMCHECKBOX </w:instrText>
      </w:r>
      <w:r w:rsidR="009D2CE0">
        <w:rPr>
          <w:rFonts w:ascii="Arial" w:hAnsi="Arial" w:cs="Arial"/>
        </w:rPr>
      </w:r>
      <w:r w:rsidR="009D2CE0">
        <w:rPr>
          <w:rFonts w:ascii="Arial" w:hAnsi="Arial" w:cs="Arial"/>
        </w:rPr>
        <w:fldChar w:fldCharType="separate"/>
      </w:r>
      <w:r w:rsidRPr="006C4607">
        <w:rPr>
          <w:rFonts w:ascii="Arial" w:hAnsi="Arial" w:cs="Arial"/>
        </w:rPr>
        <w:fldChar w:fldCharType="end"/>
      </w:r>
      <w:r w:rsidRPr="006C4607">
        <w:rPr>
          <w:rFonts w:ascii="Arial" w:hAnsi="Arial" w:cs="Arial"/>
        </w:rPr>
        <w:t xml:space="preserve"> Displaced (comparator will likely be used following the proposed technology in some patients)</w:t>
      </w:r>
    </w:p>
    <w:p w14:paraId="3243B3BE" w14:textId="58C72178" w:rsidR="00141BAC" w:rsidRPr="006C4607" w:rsidRDefault="0038465F" w:rsidP="0063444C">
      <w:pPr>
        <w:pStyle w:val="Tickboxes"/>
        <w:spacing w:line="276" w:lineRule="auto"/>
        <w:jc w:val="both"/>
        <w:rPr>
          <w:rFonts w:ascii="Arial" w:hAnsi="Arial" w:cs="Arial"/>
        </w:rPr>
      </w:pPr>
      <w:r>
        <w:rPr>
          <w:rFonts w:ascii="Arial" w:hAnsi="Arial" w:cs="Arial"/>
        </w:rPr>
        <w:fldChar w:fldCharType="begin">
          <w:ffData>
            <w:name w:val="Check1"/>
            <w:enabled/>
            <w:calcOnExit w:val="0"/>
            <w:checkBox>
              <w:sizeAuto/>
              <w:default w:val="1"/>
            </w:checkBox>
          </w:ffData>
        </w:fldChar>
      </w:r>
      <w:bookmarkStart w:id="2" w:name="Check1"/>
      <w:r>
        <w:rPr>
          <w:rFonts w:ascii="Arial" w:hAnsi="Arial" w:cs="Arial"/>
        </w:rPr>
        <w:instrText xml:space="preserve"> FORMCHECKBOX </w:instrText>
      </w:r>
      <w:r w:rsidR="009D2CE0">
        <w:rPr>
          <w:rFonts w:ascii="Arial" w:hAnsi="Arial" w:cs="Arial"/>
        </w:rPr>
      </w:r>
      <w:r w:rsidR="009D2CE0">
        <w:rPr>
          <w:rFonts w:ascii="Arial" w:hAnsi="Arial" w:cs="Arial"/>
        </w:rPr>
        <w:fldChar w:fldCharType="separate"/>
      </w:r>
      <w:r>
        <w:rPr>
          <w:rFonts w:ascii="Arial" w:hAnsi="Arial" w:cs="Arial"/>
        </w:rPr>
        <w:fldChar w:fldCharType="end"/>
      </w:r>
      <w:bookmarkEnd w:id="2"/>
      <w:r w:rsidR="00141BAC" w:rsidRPr="006C4607">
        <w:rPr>
          <w:rFonts w:ascii="Arial" w:hAnsi="Arial" w:cs="Arial"/>
        </w:rPr>
        <w:t xml:space="preserve"> Partial (in some cases, the proposed technology will replace the use of the comparator, but not all) </w:t>
      </w:r>
    </w:p>
    <w:p w14:paraId="32AA0FD6" w14:textId="44E8640C" w:rsidR="00141BAC" w:rsidRPr="006C4607" w:rsidRDefault="0038465F" w:rsidP="0063444C">
      <w:pPr>
        <w:pStyle w:val="Tickboxes"/>
        <w:spacing w:line="276" w:lineRule="auto"/>
        <w:jc w:val="both"/>
        <w:rPr>
          <w:rFonts w:ascii="Arial" w:hAnsi="Arial" w:cs="Arial"/>
        </w:rPr>
      </w:pPr>
      <w:r>
        <w:rPr>
          <w:rFonts w:ascii="Arial" w:hAnsi="Arial" w:cs="Arial"/>
        </w:rPr>
        <w:fldChar w:fldCharType="begin">
          <w:ffData>
            <w:name w:val="Check2"/>
            <w:enabled/>
            <w:calcOnExit w:val="0"/>
            <w:checkBox>
              <w:sizeAuto/>
              <w:default w:val="0"/>
            </w:checkBox>
          </w:ffData>
        </w:fldChar>
      </w:r>
      <w:bookmarkStart w:id="3" w:name="Check2"/>
      <w:r>
        <w:rPr>
          <w:rFonts w:ascii="Arial" w:hAnsi="Arial" w:cs="Arial"/>
        </w:rPr>
        <w:instrText xml:space="preserve"> FORMCHECKBOX </w:instrText>
      </w:r>
      <w:r w:rsidR="009D2CE0">
        <w:rPr>
          <w:rFonts w:ascii="Arial" w:hAnsi="Arial" w:cs="Arial"/>
        </w:rPr>
      </w:r>
      <w:r w:rsidR="009D2CE0">
        <w:rPr>
          <w:rFonts w:ascii="Arial" w:hAnsi="Arial" w:cs="Arial"/>
        </w:rPr>
        <w:fldChar w:fldCharType="separate"/>
      </w:r>
      <w:r>
        <w:rPr>
          <w:rFonts w:ascii="Arial" w:hAnsi="Arial" w:cs="Arial"/>
        </w:rPr>
        <w:fldChar w:fldCharType="end"/>
      </w:r>
      <w:bookmarkEnd w:id="3"/>
      <w:r w:rsidR="00141BAC" w:rsidRPr="006C4607">
        <w:rPr>
          <w:rFonts w:ascii="Arial" w:hAnsi="Arial" w:cs="Arial"/>
        </w:rPr>
        <w:t xml:space="preserve"> Full (subjects who receive the proposed intervention will not receive the comparator)</w:t>
      </w:r>
    </w:p>
    <w:p w14:paraId="3D9A6633" w14:textId="0FC8A361" w:rsidR="00141BAC" w:rsidRPr="00D77020" w:rsidRDefault="00141BAC" w:rsidP="002C0622">
      <w:pPr>
        <w:pStyle w:val="Heading2"/>
        <w:spacing w:line="276" w:lineRule="auto"/>
        <w:jc w:val="both"/>
        <w:rPr>
          <w:rFonts w:ascii="Arial" w:hAnsi="Arial" w:cs="Arial"/>
        </w:rPr>
      </w:pPr>
      <w:r w:rsidRPr="00D77020">
        <w:rPr>
          <w:rFonts w:ascii="Arial" w:hAnsi="Arial" w:cs="Arial"/>
        </w:rPr>
        <w:t>Outline and explain the extent to which the current comparator is expected to be substituted:</w:t>
      </w:r>
    </w:p>
    <w:p w14:paraId="65203620" w14:textId="097E63F3" w:rsidR="002C0622" w:rsidRDefault="00141BAC" w:rsidP="002C0622">
      <w:pPr>
        <w:spacing w:before="120" w:line="276" w:lineRule="auto"/>
        <w:jc w:val="both"/>
        <w:rPr>
          <w:rFonts w:ascii="Arial" w:hAnsi="Arial" w:cs="Arial"/>
        </w:rPr>
      </w:pPr>
      <w:r w:rsidRPr="00D77020">
        <w:rPr>
          <w:rFonts w:ascii="Arial" w:hAnsi="Arial" w:cs="Arial"/>
        </w:rPr>
        <w:t xml:space="preserve">The proposed medical service (FRα testing) facilitates eligibility to treatment with </w:t>
      </w:r>
      <w:r w:rsidRPr="00D77020">
        <w:rPr>
          <w:rFonts w:ascii="Arial" w:hAnsi="Arial" w:cs="Arial"/>
          <w:lang w:val="en-US"/>
        </w:rPr>
        <w:t xml:space="preserve">mirvetuximab soravtansine </w:t>
      </w:r>
      <w:r w:rsidRPr="00D77020">
        <w:rPr>
          <w:rFonts w:ascii="Arial" w:hAnsi="Arial" w:cs="Arial"/>
        </w:rPr>
        <w:t>as monotherapy</w:t>
      </w:r>
      <w:r w:rsidR="00BC44E8">
        <w:rPr>
          <w:rFonts w:ascii="Arial" w:hAnsi="Arial" w:cs="Arial"/>
        </w:rPr>
        <w:t xml:space="preserve">. </w:t>
      </w:r>
      <w:r w:rsidR="004A6428">
        <w:rPr>
          <w:rFonts w:ascii="Arial" w:hAnsi="Arial" w:cs="Arial"/>
        </w:rPr>
        <w:t xml:space="preserve">‘Partial’ substitution is ticked above as it is assumed that a large majority of </w:t>
      </w:r>
      <w:r w:rsidR="005D212E">
        <w:rPr>
          <w:rFonts w:ascii="Arial" w:hAnsi="Arial" w:cs="Arial"/>
        </w:rPr>
        <w:t xml:space="preserve">eligible </w:t>
      </w:r>
      <w:r w:rsidR="004A6428">
        <w:rPr>
          <w:rFonts w:ascii="Arial" w:hAnsi="Arial" w:cs="Arial"/>
        </w:rPr>
        <w:t xml:space="preserve">patients </w:t>
      </w:r>
      <w:r w:rsidR="00A40B4A">
        <w:rPr>
          <w:rFonts w:ascii="Arial" w:hAnsi="Arial" w:cs="Arial"/>
        </w:rPr>
        <w:t>would</w:t>
      </w:r>
      <w:r w:rsidR="004A6428">
        <w:rPr>
          <w:rFonts w:ascii="Arial" w:hAnsi="Arial" w:cs="Arial"/>
        </w:rPr>
        <w:t xml:space="preserve"> begin to receive the </w:t>
      </w:r>
      <w:r w:rsidR="003A72C9" w:rsidRPr="00D77020">
        <w:rPr>
          <w:rFonts w:ascii="Arial" w:hAnsi="Arial" w:cs="Arial"/>
        </w:rPr>
        <w:t xml:space="preserve">FRα </w:t>
      </w:r>
      <w:r w:rsidR="004A6428">
        <w:rPr>
          <w:rFonts w:ascii="Arial" w:hAnsi="Arial" w:cs="Arial"/>
        </w:rPr>
        <w:t xml:space="preserve">testing and similarly almost all patients who are </w:t>
      </w:r>
      <w:r w:rsidR="003A72C9" w:rsidRPr="00D77020">
        <w:rPr>
          <w:rFonts w:ascii="Arial" w:hAnsi="Arial" w:cs="Arial"/>
        </w:rPr>
        <w:t xml:space="preserve">FRα </w:t>
      </w:r>
      <w:r w:rsidR="004A6428">
        <w:rPr>
          <w:rFonts w:ascii="Arial" w:hAnsi="Arial" w:cs="Arial"/>
        </w:rPr>
        <w:t>-high</w:t>
      </w:r>
      <w:r w:rsidR="00561DC3">
        <w:rPr>
          <w:rFonts w:ascii="Arial" w:hAnsi="Arial" w:cs="Arial"/>
        </w:rPr>
        <w:t xml:space="preserve"> </w:t>
      </w:r>
      <w:r w:rsidR="00B2427C">
        <w:rPr>
          <w:rFonts w:ascii="Arial" w:hAnsi="Arial" w:cs="Arial"/>
        </w:rPr>
        <w:t>would</w:t>
      </w:r>
      <w:r w:rsidR="007F017A">
        <w:rPr>
          <w:rFonts w:ascii="Arial" w:hAnsi="Arial" w:cs="Arial"/>
        </w:rPr>
        <w:t xml:space="preserve"> receive </w:t>
      </w:r>
      <w:r w:rsidR="007F017A" w:rsidRPr="00D77020">
        <w:rPr>
          <w:rFonts w:ascii="Arial" w:hAnsi="Arial" w:cs="Arial"/>
          <w:lang w:val="en-US"/>
        </w:rPr>
        <w:t>mirvetuximab soravtansine</w:t>
      </w:r>
      <w:r w:rsidR="00910477">
        <w:rPr>
          <w:rFonts w:ascii="Arial" w:hAnsi="Arial" w:cs="Arial"/>
          <w:lang w:val="en-US"/>
        </w:rPr>
        <w:t xml:space="preserve"> - </w:t>
      </w:r>
      <w:r w:rsidR="007F017A">
        <w:rPr>
          <w:rFonts w:ascii="Arial" w:hAnsi="Arial" w:cs="Arial"/>
          <w:lang w:val="en-US"/>
        </w:rPr>
        <w:t xml:space="preserve">however there may be some eligible patients who </w:t>
      </w:r>
      <w:r w:rsidR="00910477">
        <w:rPr>
          <w:rFonts w:ascii="Arial" w:hAnsi="Arial" w:cs="Arial"/>
          <w:lang w:val="en-US"/>
        </w:rPr>
        <w:t>may</w:t>
      </w:r>
      <w:r w:rsidR="007F017A">
        <w:rPr>
          <w:rFonts w:ascii="Arial" w:hAnsi="Arial" w:cs="Arial"/>
          <w:lang w:val="en-US"/>
        </w:rPr>
        <w:t xml:space="preserve"> not receive the test or </w:t>
      </w:r>
      <w:r w:rsidR="007F017A" w:rsidRPr="007F017A">
        <w:rPr>
          <w:rFonts w:ascii="Arial" w:hAnsi="Arial" w:cs="Arial"/>
          <w:lang w:val="en-US"/>
        </w:rPr>
        <w:t>mirvetuximab soravtansine</w:t>
      </w:r>
      <w:r w:rsidR="007F017A">
        <w:rPr>
          <w:rFonts w:ascii="Arial" w:hAnsi="Arial" w:cs="Arial"/>
          <w:lang w:val="en-US"/>
        </w:rPr>
        <w:t xml:space="preserve"> for various reasons including</w:t>
      </w:r>
      <w:r w:rsidR="00705308">
        <w:rPr>
          <w:rFonts w:ascii="Arial" w:hAnsi="Arial" w:cs="Arial"/>
          <w:lang w:val="en-US"/>
        </w:rPr>
        <w:t xml:space="preserve"> clinician choice</w:t>
      </w:r>
      <w:r w:rsidR="005E36EF">
        <w:rPr>
          <w:rFonts w:ascii="Arial" w:hAnsi="Arial" w:cs="Arial"/>
          <w:lang w:val="en-US"/>
        </w:rPr>
        <w:t xml:space="preserve"> or patient preference. </w:t>
      </w:r>
    </w:p>
    <w:p w14:paraId="527F0163" w14:textId="2A3A7352" w:rsidR="00141BAC" w:rsidRPr="00D77020" w:rsidRDefault="00141BAC" w:rsidP="00EA0AA0">
      <w:pPr>
        <w:pStyle w:val="Heading1"/>
        <w:rPr>
          <w:rFonts w:ascii="Arial" w:hAnsi="Arial" w:cs="Arial"/>
        </w:rPr>
      </w:pPr>
      <w:r w:rsidRPr="00D77020">
        <w:rPr>
          <w:rFonts w:ascii="Arial" w:hAnsi="Arial" w:cs="Arial"/>
        </w:rPr>
        <w:t>Outcomes</w:t>
      </w:r>
    </w:p>
    <w:p w14:paraId="17E1F7BE" w14:textId="77777777" w:rsidR="00141BAC" w:rsidRPr="00D77020" w:rsidRDefault="00141BAC" w:rsidP="00C53317">
      <w:pPr>
        <w:pStyle w:val="Heading2"/>
        <w:spacing w:before="120" w:after="120" w:line="276" w:lineRule="auto"/>
        <w:jc w:val="both"/>
        <w:rPr>
          <w:rFonts w:ascii="Arial" w:hAnsi="Arial" w:cs="Arial"/>
        </w:rPr>
      </w:pPr>
      <w:r w:rsidRPr="00D77020">
        <w:rPr>
          <w:rFonts w:ascii="Arial" w:hAnsi="Arial" w:cs="Arial"/>
        </w:rPr>
        <w:t xml:space="preserve">List the key health outcomes (major and minor – prioritising major key health outcomes first) that will need to be measured in assessing the clinical claim for the proposed medical service/technology (versus the comparator): </w:t>
      </w:r>
    </w:p>
    <w:p w14:paraId="2BA09AC5" w14:textId="57BB5ABF" w:rsidR="00141BAC" w:rsidRPr="00D77020" w:rsidRDefault="00141BAC" w:rsidP="00C53317">
      <w:pPr>
        <w:pStyle w:val="Tickboxes"/>
        <w:spacing w:before="120" w:after="120" w:line="276" w:lineRule="auto"/>
        <w:jc w:val="both"/>
        <w:rPr>
          <w:rFonts w:ascii="Arial" w:hAnsi="Arial" w:cs="Arial"/>
          <w:b/>
          <w:u w:val="single"/>
        </w:rPr>
      </w:pPr>
      <w:r w:rsidRPr="00D77020">
        <w:rPr>
          <w:rFonts w:ascii="Arial" w:hAnsi="Arial" w:cs="Arial"/>
          <w:b/>
          <w:bCs w:val="0"/>
          <w:u w:val="single"/>
        </w:rPr>
        <w:lastRenderedPageBreak/>
        <w:t>X</w:t>
      </w:r>
      <w:r w:rsidRPr="00D77020">
        <w:rPr>
          <w:rFonts w:ascii="Arial" w:hAnsi="Arial" w:cs="Arial"/>
          <w:b/>
          <w:u w:val="single"/>
        </w:rPr>
        <w:t xml:space="preserve"> Health benefits </w:t>
      </w:r>
    </w:p>
    <w:p w14:paraId="4B5E35E8" w14:textId="096584F0" w:rsidR="00141BAC" w:rsidRPr="00D77020" w:rsidRDefault="00141BAC" w:rsidP="00C53317">
      <w:pPr>
        <w:pStyle w:val="Tickboxes"/>
        <w:spacing w:before="120" w:after="120" w:line="276" w:lineRule="auto"/>
        <w:jc w:val="both"/>
        <w:rPr>
          <w:rFonts w:ascii="Arial" w:hAnsi="Arial" w:cs="Arial"/>
        </w:rPr>
      </w:pPr>
      <w:r w:rsidRPr="00D77020">
        <w:rPr>
          <w:rFonts w:ascii="Arial" w:hAnsi="Arial" w:cs="Arial"/>
        </w:rPr>
        <w:fldChar w:fldCharType="begin">
          <w:ffData>
            <w:name w:val=""/>
            <w:enabled/>
            <w:calcOnExit w:val="0"/>
            <w:checkBox>
              <w:sizeAuto/>
              <w:default w:val="1"/>
            </w:checkBox>
          </w:ffData>
        </w:fldChar>
      </w:r>
      <w:r w:rsidRPr="00D77020">
        <w:rPr>
          <w:rFonts w:ascii="Arial" w:hAnsi="Arial" w:cs="Arial"/>
        </w:rPr>
        <w:instrText xml:space="preserve"> FORMCHECKBOX </w:instrText>
      </w:r>
      <w:r w:rsidR="009D2CE0">
        <w:rPr>
          <w:rFonts w:ascii="Arial" w:hAnsi="Arial" w:cs="Arial"/>
        </w:rPr>
      </w:r>
      <w:r w:rsidR="009D2CE0">
        <w:rPr>
          <w:rFonts w:ascii="Arial" w:hAnsi="Arial" w:cs="Arial"/>
        </w:rPr>
        <w:fldChar w:fldCharType="separate"/>
      </w:r>
      <w:r w:rsidRPr="00D77020">
        <w:rPr>
          <w:rFonts w:ascii="Arial" w:hAnsi="Arial" w:cs="Arial"/>
        </w:rPr>
        <w:fldChar w:fldCharType="end"/>
      </w:r>
      <w:r w:rsidRPr="00D77020">
        <w:rPr>
          <w:rFonts w:ascii="Arial" w:hAnsi="Arial" w:cs="Arial"/>
        </w:rPr>
        <w:t xml:space="preserve"> Health harms</w:t>
      </w:r>
    </w:p>
    <w:p w14:paraId="7846E3EA" w14:textId="2FF72254" w:rsidR="00141BAC" w:rsidRPr="00D77020" w:rsidRDefault="00141BAC" w:rsidP="00C53317">
      <w:pPr>
        <w:pStyle w:val="Tickboxes"/>
        <w:spacing w:before="120" w:after="120" w:line="276" w:lineRule="auto"/>
        <w:jc w:val="both"/>
        <w:rPr>
          <w:rFonts w:ascii="Arial" w:hAnsi="Arial" w:cs="Arial"/>
        </w:rPr>
      </w:pPr>
      <w:r w:rsidRPr="00D77020">
        <w:rPr>
          <w:rFonts w:ascii="Arial" w:hAnsi="Arial" w:cs="Arial"/>
        </w:rPr>
        <w:fldChar w:fldCharType="begin">
          <w:ffData>
            <w:name w:val="Check1"/>
            <w:enabled/>
            <w:calcOnExit w:val="0"/>
            <w:checkBox>
              <w:sizeAuto/>
              <w:default w:val="0"/>
            </w:checkBox>
          </w:ffData>
        </w:fldChar>
      </w:r>
      <w:r w:rsidRPr="00D77020">
        <w:rPr>
          <w:rFonts w:ascii="Arial" w:hAnsi="Arial" w:cs="Arial"/>
        </w:rPr>
        <w:instrText xml:space="preserve"> FORMCHECKBOX </w:instrText>
      </w:r>
      <w:r w:rsidR="009D2CE0">
        <w:rPr>
          <w:rFonts w:ascii="Arial" w:hAnsi="Arial" w:cs="Arial"/>
        </w:rPr>
      </w:r>
      <w:r w:rsidR="009D2CE0">
        <w:rPr>
          <w:rFonts w:ascii="Arial" w:hAnsi="Arial" w:cs="Arial"/>
        </w:rPr>
        <w:fldChar w:fldCharType="separate"/>
      </w:r>
      <w:r w:rsidRPr="00D77020">
        <w:rPr>
          <w:rFonts w:ascii="Arial" w:hAnsi="Arial" w:cs="Arial"/>
        </w:rPr>
        <w:fldChar w:fldCharType="end"/>
      </w:r>
      <w:r w:rsidRPr="00D77020">
        <w:rPr>
          <w:rFonts w:ascii="Arial" w:hAnsi="Arial" w:cs="Arial"/>
        </w:rPr>
        <w:t xml:space="preserve"> Resources </w:t>
      </w:r>
    </w:p>
    <w:p w14:paraId="4A3C8161" w14:textId="3093E4D6" w:rsidR="00141BAC" w:rsidRPr="00D77020" w:rsidRDefault="00141BAC" w:rsidP="00C53317">
      <w:pPr>
        <w:pStyle w:val="Tickboxes"/>
        <w:spacing w:before="120" w:after="120" w:line="276" w:lineRule="auto"/>
        <w:jc w:val="both"/>
        <w:rPr>
          <w:rFonts w:ascii="Arial" w:hAnsi="Arial" w:cs="Arial"/>
          <w:b/>
        </w:rPr>
      </w:pPr>
      <w:r w:rsidRPr="00D77020">
        <w:rPr>
          <w:rFonts w:ascii="Arial" w:hAnsi="Arial" w:cs="Arial"/>
        </w:rPr>
        <w:fldChar w:fldCharType="begin">
          <w:ffData>
            <w:name w:val="Check2"/>
            <w:enabled/>
            <w:calcOnExit w:val="0"/>
            <w:checkBox>
              <w:sizeAuto/>
              <w:default w:val="0"/>
            </w:checkBox>
          </w:ffData>
        </w:fldChar>
      </w:r>
      <w:r w:rsidRPr="00D77020">
        <w:rPr>
          <w:rFonts w:ascii="Arial" w:hAnsi="Arial" w:cs="Arial"/>
        </w:rPr>
        <w:instrText xml:space="preserve"> FORMCHECKBOX </w:instrText>
      </w:r>
      <w:r w:rsidR="009D2CE0">
        <w:rPr>
          <w:rFonts w:ascii="Arial" w:hAnsi="Arial" w:cs="Arial"/>
        </w:rPr>
      </w:r>
      <w:r w:rsidR="009D2CE0">
        <w:rPr>
          <w:rFonts w:ascii="Arial" w:hAnsi="Arial" w:cs="Arial"/>
        </w:rPr>
        <w:fldChar w:fldCharType="separate"/>
      </w:r>
      <w:r w:rsidRPr="00D77020">
        <w:rPr>
          <w:rFonts w:ascii="Arial" w:hAnsi="Arial" w:cs="Arial"/>
        </w:rPr>
        <w:fldChar w:fldCharType="end"/>
      </w:r>
      <w:r w:rsidRPr="00D77020">
        <w:rPr>
          <w:rFonts w:ascii="Arial" w:hAnsi="Arial" w:cs="Arial"/>
        </w:rPr>
        <w:t xml:space="preserve"> Value of knowing</w:t>
      </w:r>
    </w:p>
    <w:p w14:paraId="36189B68" w14:textId="2A9DD4E8" w:rsidR="00141BAC" w:rsidRPr="00D77020" w:rsidRDefault="00141BAC" w:rsidP="00E34472">
      <w:pPr>
        <w:pStyle w:val="Heading2"/>
        <w:spacing w:before="120" w:after="120" w:line="276" w:lineRule="auto"/>
        <w:jc w:val="both"/>
        <w:rPr>
          <w:rFonts w:ascii="Arial" w:hAnsi="Arial" w:cs="Arial"/>
        </w:rPr>
      </w:pPr>
      <w:r w:rsidRPr="00D77020">
        <w:rPr>
          <w:rFonts w:ascii="Arial" w:hAnsi="Arial" w:cs="Arial"/>
        </w:rPr>
        <w:t>Outcome description – include information about whether a change in patient management, or prognosis, occurs as a result of the test information:</w:t>
      </w:r>
    </w:p>
    <w:p w14:paraId="2B3D0F4B" w14:textId="22AE651B" w:rsidR="00141BAC" w:rsidRPr="00D77020" w:rsidRDefault="00141BAC" w:rsidP="00E34472">
      <w:pPr>
        <w:spacing w:before="120" w:line="276" w:lineRule="auto"/>
        <w:jc w:val="both"/>
        <w:rPr>
          <w:rFonts w:ascii="Arial" w:hAnsi="Arial" w:cs="Arial"/>
        </w:rPr>
      </w:pPr>
      <w:r w:rsidRPr="00D77020">
        <w:rPr>
          <w:rFonts w:ascii="Arial" w:hAnsi="Arial" w:cs="Arial"/>
        </w:rPr>
        <w:t xml:space="preserve">The test is a predictive companion diagnostic. As a result of a positive FRα test, a change in clinical management would occur. Patients would be eligible to receive </w:t>
      </w:r>
      <w:r w:rsidRPr="00D77020">
        <w:rPr>
          <w:rFonts w:ascii="Arial" w:hAnsi="Arial" w:cs="Arial"/>
          <w:lang w:val="en-US"/>
        </w:rPr>
        <w:t>mirvetuximab soravtansine</w:t>
      </w:r>
      <w:r w:rsidRPr="00D77020">
        <w:rPr>
          <w:rFonts w:ascii="Arial" w:hAnsi="Arial" w:cs="Arial"/>
        </w:rPr>
        <w:t xml:space="preserve"> on the PBS, resulting in improved health outcomes such as increased progression-free survival, overall survival and maintenance of quality of life. </w:t>
      </w:r>
    </w:p>
    <w:p w14:paraId="17D99724" w14:textId="4F45D8ED" w:rsidR="00141BAC" w:rsidRPr="00D77020" w:rsidRDefault="00141BAC" w:rsidP="00E34472">
      <w:pPr>
        <w:spacing w:before="120" w:line="276" w:lineRule="auto"/>
        <w:jc w:val="both"/>
        <w:rPr>
          <w:rFonts w:ascii="Arial" w:hAnsi="Arial" w:cs="Arial"/>
          <w:u w:val="single"/>
        </w:rPr>
      </w:pPr>
      <w:r w:rsidRPr="00D77020">
        <w:rPr>
          <w:rFonts w:ascii="Arial" w:hAnsi="Arial" w:cs="Arial"/>
          <w:u w:val="single"/>
        </w:rPr>
        <w:t>Test outcomes</w:t>
      </w:r>
    </w:p>
    <w:p w14:paraId="5E2A5F92" w14:textId="77777777" w:rsidR="009D2CE0" w:rsidRDefault="00141BAC" w:rsidP="009D2CE0">
      <w:pPr>
        <w:pStyle w:val="ListParagraph"/>
        <w:numPr>
          <w:ilvl w:val="0"/>
          <w:numId w:val="10"/>
        </w:numPr>
        <w:spacing w:before="120" w:line="276" w:lineRule="auto"/>
        <w:jc w:val="both"/>
        <w:rPr>
          <w:rFonts w:ascii="Arial" w:hAnsi="Arial" w:cs="Arial"/>
        </w:rPr>
      </w:pPr>
      <w:r w:rsidRPr="009D2CE0">
        <w:rPr>
          <w:rFonts w:ascii="Arial" w:hAnsi="Arial" w:cs="Arial"/>
        </w:rPr>
        <w:t>Analytical validity</w:t>
      </w:r>
    </w:p>
    <w:p w14:paraId="36146663" w14:textId="77777777" w:rsidR="009D2CE0" w:rsidRDefault="00141BAC" w:rsidP="009D2CE0">
      <w:pPr>
        <w:pStyle w:val="ListParagraph"/>
        <w:numPr>
          <w:ilvl w:val="0"/>
          <w:numId w:val="10"/>
        </w:numPr>
        <w:spacing w:before="120" w:line="276" w:lineRule="auto"/>
        <w:jc w:val="both"/>
        <w:rPr>
          <w:rFonts w:ascii="Arial" w:hAnsi="Arial" w:cs="Arial"/>
        </w:rPr>
      </w:pPr>
      <w:r w:rsidRPr="009D2CE0">
        <w:rPr>
          <w:rFonts w:ascii="Arial" w:hAnsi="Arial" w:cs="Arial"/>
        </w:rPr>
        <w:t>Clinical validity</w:t>
      </w:r>
    </w:p>
    <w:p w14:paraId="37B19B7A" w14:textId="62C18B93" w:rsidR="00141BAC" w:rsidRPr="009D2CE0" w:rsidRDefault="00141BAC" w:rsidP="009D2CE0">
      <w:pPr>
        <w:pStyle w:val="ListParagraph"/>
        <w:numPr>
          <w:ilvl w:val="0"/>
          <w:numId w:val="10"/>
        </w:numPr>
        <w:spacing w:before="120" w:line="276" w:lineRule="auto"/>
        <w:jc w:val="both"/>
        <w:rPr>
          <w:rFonts w:ascii="Arial" w:hAnsi="Arial" w:cs="Arial"/>
        </w:rPr>
      </w:pPr>
      <w:r w:rsidRPr="009D2CE0">
        <w:rPr>
          <w:rFonts w:ascii="Arial" w:hAnsi="Arial" w:cs="Arial"/>
        </w:rPr>
        <w:t>Clinical utility</w:t>
      </w:r>
    </w:p>
    <w:p w14:paraId="1E1EBE09" w14:textId="1EAB82FF" w:rsidR="00141BAC" w:rsidRPr="00D77020" w:rsidRDefault="00141BAC" w:rsidP="00E34472">
      <w:pPr>
        <w:spacing w:before="120" w:line="276" w:lineRule="auto"/>
        <w:jc w:val="both"/>
        <w:rPr>
          <w:rFonts w:ascii="Arial" w:hAnsi="Arial" w:cs="Arial"/>
          <w:u w:val="single"/>
        </w:rPr>
      </w:pPr>
      <w:r w:rsidRPr="00D77020">
        <w:rPr>
          <w:rFonts w:ascii="Arial" w:hAnsi="Arial" w:cs="Arial"/>
          <w:u w:val="single"/>
        </w:rPr>
        <w:t>Drug outcomes</w:t>
      </w:r>
    </w:p>
    <w:p w14:paraId="21ADE247" w14:textId="6BF1018D" w:rsidR="00141BAC" w:rsidRPr="00D77020" w:rsidRDefault="00141BAC" w:rsidP="00E34472">
      <w:pPr>
        <w:pStyle w:val="ListParagraph"/>
        <w:numPr>
          <w:ilvl w:val="0"/>
          <w:numId w:val="1"/>
        </w:numPr>
        <w:spacing w:before="120" w:line="276" w:lineRule="auto"/>
        <w:jc w:val="both"/>
        <w:rPr>
          <w:rFonts w:ascii="Arial" w:hAnsi="Arial" w:cs="Arial"/>
        </w:rPr>
      </w:pPr>
      <w:r w:rsidRPr="00D77020">
        <w:rPr>
          <w:rFonts w:ascii="Arial" w:hAnsi="Arial" w:cs="Arial"/>
        </w:rPr>
        <w:t>Safety and tolerability, including adverse events</w:t>
      </w:r>
    </w:p>
    <w:p w14:paraId="6FC84250" w14:textId="6DB0BF31" w:rsidR="00141BAC" w:rsidRPr="00D77020" w:rsidRDefault="00141BAC" w:rsidP="00E34472">
      <w:pPr>
        <w:pStyle w:val="ListParagraph"/>
        <w:numPr>
          <w:ilvl w:val="0"/>
          <w:numId w:val="1"/>
        </w:numPr>
        <w:spacing w:before="120" w:line="276" w:lineRule="auto"/>
        <w:jc w:val="both"/>
        <w:rPr>
          <w:rFonts w:ascii="Arial" w:hAnsi="Arial" w:cs="Arial"/>
        </w:rPr>
      </w:pPr>
      <w:r w:rsidRPr="00D77020">
        <w:rPr>
          <w:rFonts w:ascii="Arial" w:hAnsi="Arial" w:cs="Arial"/>
        </w:rPr>
        <w:t>Effectiveness, including overall survival, progression-free survival, response rates, quality of life</w:t>
      </w:r>
    </w:p>
    <w:p w14:paraId="51234613" w14:textId="4936BE72" w:rsidR="00141BAC" w:rsidRPr="00D77020" w:rsidRDefault="00141BAC" w:rsidP="00EA0AA0">
      <w:pPr>
        <w:pStyle w:val="Heading1"/>
        <w:rPr>
          <w:rFonts w:ascii="Arial" w:hAnsi="Arial" w:cs="Arial"/>
        </w:rPr>
      </w:pPr>
      <w:r w:rsidRPr="00D77020">
        <w:rPr>
          <w:rFonts w:ascii="Arial" w:hAnsi="Arial" w:cs="Arial"/>
        </w:rPr>
        <w:t>Proposed MBS items</w:t>
      </w:r>
    </w:p>
    <w:p w14:paraId="65E4A37C" w14:textId="17B967C3" w:rsidR="00141BAC" w:rsidRPr="00D77020" w:rsidRDefault="00141BAC" w:rsidP="00081B29">
      <w:pPr>
        <w:pStyle w:val="Heading2"/>
        <w:spacing w:before="120" w:after="120" w:line="276" w:lineRule="auto"/>
        <w:jc w:val="both"/>
        <w:rPr>
          <w:rFonts w:ascii="Arial" w:hAnsi="Arial" w:cs="Arial"/>
        </w:rPr>
      </w:pPr>
      <w:r w:rsidRPr="00D77020">
        <w:rPr>
          <w:rFonts w:ascii="Arial" w:hAnsi="Arial" w:cs="Arial"/>
        </w:rPr>
        <w:t xml:space="preserve">How is the technology/service funded at present? (e.g., research funding; State-based funding; self-funded by patients; no funding or payments): </w:t>
      </w:r>
    </w:p>
    <w:p w14:paraId="212E410A" w14:textId="6A4E48D6" w:rsidR="00141BAC" w:rsidRPr="00D77020" w:rsidRDefault="00141BAC" w:rsidP="00081B29">
      <w:pPr>
        <w:spacing w:before="120" w:line="276" w:lineRule="auto"/>
        <w:jc w:val="both"/>
        <w:rPr>
          <w:rFonts w:ascii="Arial" w:eastAsia="Segoe UI" w:hAnsi="Arial" w:cs="Arial"/>
          <w:color w:val="000000"/>
        </w:rPr>
      </w:pPr>
      <w:r w:rsidRPr="00D77020">
        <w:rPr>
          <w:rFonts w:ascii="Arial" w:hAnsi="Arial" w:cs="Arial"/>
        </w:rPr>
        <w:t>Not currently funded.</w:t>
      </w:r>
    </w:p>
    <w:p w14:paraId="17C1E836" w14:textId="74C7E4A5" w:rsidR="00141BAC" w:rsidRPr="00D77020" w:rsidRDefault="00141BAC" w:rsidP="00081B29">
      <w:pPr>
        <w:pStyle w:val="Heading2"/>
        <w:keepNext/>
        <w:keepLines/>
        <w:spacing w:line="276" w:lineRule="auto"/>
        <w:jc w:val="both"/>
        <w:rPr>
          <w:rFonts w:ascii="Arial" w:hAnsi="Arial" w:cs="Arial"/>
        </w:rPr>
      </w:pPr>
      <w:r w:rsidRPr="00D77020">
        <w:rPr>
          <w:rFonts w:ascii="Arial" w:hAnsi="Arial" w:cs="Arial"/>
        </w:rPr>
        <w:t>Provide at least one proposed item with their descriptor and associated costs</w:t>
      </w:r>
      <w:r>
        <w:rPr>
          <w:rFonts w:ascii="Arial" w:hAnsi="Arial" w:cs="Arial"/>
        </w:rPr>
        <w:t xml:space="preserve"> </w:t>
      </w:r>
      <w:r w:rsidRPr="00D77020">
        <w:rPr>
          <w:rFonts w:ascii="Arial" w:hAnsi="Arial" w:cs="Arial"/>
        </w:rPr>
        <w:t>for each</w:t>
      </w:r>
      <w:r>
        <w:rPr>
          <w:rFonts w:ascii="Arial" w:hAnsi="Arial" w:cs="Arial"/>
        </w:rPr>
        <w:t>:</w:t>
      </w:r>
      <w:r w:rsidRPr="00D77020">
        <w:rPr>
          <w:rFonts w:ascii="Arial" w:hAnsi="Arial" w:cs="Arial"/>
        </w:rPr>
        <w:t xml:space="preserve"> </w:t>
      </w:r>
    </w:p>
    <w:tbl>
      <w:tblPr>
        <w:tblStyle w:val="TableGrid"/>
        <w:tblW w:w="0" w:type="auto"/>
        <w:tblLook w:val="04A0" w:firstRow="1" w:lastRow="0" w:firstColumn="1" w:lastColumn="0" w:noHBand="0" w:noVBand="1"/>
      </w:tblPr>
      <w:tblGrid>
        <w:gridCol w:w="3256"/>
        <w:gridCol w:w="6209"/>
      </w:tblGrid>
      <w:tr w:rsidR="00141BAC" w:rsidRPr="002C7D3E" w14:paraId="550CA6B5" w14:textId="77777777" w:rsidTr="00EE1AAA">
        <w:trPr>
          <w:cantSplit/>
        </w:trPr>
        <w:tc>
          <w:tcPr>
            <w:tcW w:w="3256" w:type="dxa"/>
          </w:tcPr>
          <w:p w14:paraId="392E8065" w14:textId="291357C7" w:rsidR="00141BAC" w:rsidRPr="002C7D3E" w:rsidRDefault="00141BAC" w:rsidP="005B6C21">
            <w:pPr>
              <w:keepNext/>
              <w:keepLines/>
              <w:rPr>
                <w:rFonts w:ascii="Arial" w:hAnsi="Arial" w:cs="Arial"/>
              </w:rPr>
            </w:pPr>
            <w:bookmarkStart w:id="4" w:name="_Hlk121232719"/>
            <w:r w:rsidRPr="002C7D3E">
              <w:rPr>
                <w:rFonts w:ascii="Arial" w:hAnsi="Arial" w:cs="Arial"/>
              </w:rPr>
              <w:t xml:space="preserve">MBS item number </w:t>
            </w:r>
            <w:r w:rsidRPr="002C7D3E">
              <w:rPr>
                <w:rFonts w:ascii="Arial" w:hAnsi="Arial" w:cs="Arial"/>
              </w:rPr>
              <w:br/>
              <w:t>(where used as a template for the proposed item)</w:t>
            </w:r>
          </w:p>
        </w:tc>
        <w:tc>
          <w:tcPr>
            <w:tcW w:w="6209" w:type="dxa"/>
          </w:tcPr>
          <w:p w14:paraId="4800781C" w14:textId="3EFC7ADF" w:rsidR="00141BAC" w:rsidRPr="002C7D3E" w:rsidRDefault="00141BAC" w:rsidP="005B6C21">
            <w:pPr>
              <w:keepNext/>
              <w:keepLines/>
              <w:rPr>
                <w:rFonts w:ascii="Arial" w:hAnsi="Arial" w:cs="Arial"/>
              </w:rPr>
            </w:pPr>
            <w:r w:rsidRPr="002C7D3E">
              <w:rPr>
                <w:rFonts w:ascii="Arial" w:hAnsi="Arial" w:cs="Arial"/>
              </w:rPr>
              <w:t>N/A</w:t>
            </w:r>
          </w:p>
        </w:tc>
      </w:tr>
      <w:tr w:rsidR="00141BAC" w:rsidRPr="002C7D3E" w14:paraId="28C30EF6" w14:textId="77777777" w:rsidTr="00EE1AAA">
        <w:trPr>
          <w:cantSplit/>
        </w:trPr>
        <w:tc>
          <w:tcPr>
            <w:tcW w:w="3256" w:type="dxa"/>
          </w:tcPr>
          <w:p w14:paraId="6164541B" w14:textId="67698528" w:rsidR="00141BAC" w:rsidRPr="002C7D3E" w:rsidRDefault="00141BAC" w:rsidP="00BC0C43">
            <w:pPr>
              <w:rPr>
                <w:rFonts w:ascii="Arial" w:hAnsi="Arial" w:cs="Arial"/>
              </w:rPr>
            </w:pPr>
            <w:r w:rsidRPr="002C7D3E">
              <w:rPr>
                <w:rFonts w:ascii="Arial" w:hAnsi="Arial" w:cs="Arial"/>
              </w:rPr>
              <w:t>Category number</w:t>
            </w:r>
          </w:p>
        </w:tc>
        <w:tc>
          <w:tcPr>
            <w:tcW w:w="6209" w:type="dxa"/>
          </w:tcPr>
          <w:p w14:paraId="60FB6E4B" w14:textId="0E4B3A4A" w:rsidR="00141BAC" w:rsidRPr="002C7D3E" w:rsidRDefault="00141BAC" w:rsidP="00BC0C43">
            <w:pPr>
              <w:rPr>
                <w:rFonts w:ascii="Arial" w:hAnsi="Arial" w:cs="Arial"/>
              </w:rPr>
            </w:pPr>
            <w:r w:rsidRPr="002C7D3E">
              <w:rPr>
                <w:rFonts w:ascii="Arial" w:hAnsi="Arial" w:cs="Arial"/>
              </w:rPr>
              <w:t xml:space="preserve">Category 6 </w:t>
            </w:r>
          </w:p>
        </w:tc>
      </w:tr>
      <w:tr w:rsidR="00141BAC" w:rsidRPr="002C7D3E" w14:paraId="27CB821A" w14:textId="77777777" w:rsidTr="00EE1AAA">
        <w:trPr>
          <w:cantSplit/>
        </w:trPr>
        <w:tc>
          <w:tcPr>
            <w:tcW w:w="3256" w:type="dxa"/>
          </w:tcPr>
          <w:p w14:paraId="5E21B36E" w14:textId="39749155" w:rsidR="00141BAC" w:rsidRPr="002C7D3E" w:rsidRDefault="00141BAC" w:rsidP="00BC0C43">
            <w:pPr>
              <w:rPr>
                <w:rFonts w:ascii="Arial" w:hAnsi="Arial" w:cs="Arial"/>
              </w:rPr>
            </w:pPr>
            <w:r w:rsidRPr="002C7D3E">
              <w:rPr>
                <w:rFonts w:ascii="Arial" w:hAnsi="Arial" w:cs="Arial"/>
              </w:rPr>
              <w:t>Category description</w:t>
            </w:r>
          </w:p>
        </w:tc>
        <w:tc>
          <w:tcPr>
            <w:tcW w:w="6209" w:type="dxa"/>
          </w:tcPr>
          <w:p w14:paraId="4DED686A" w14:textId="46E277FC" w:rsidR="00141BAC" w:rsidRPr="002C7D3E" w:rsidRDefault="00141BAC" w:rsidP="00BC0C43">
            <w:pPr>
              <w:rPr>
                <w:rFonts w:ascii="Arial" w:hAnsi="Arial" w:cs="Arial"/>
              </w:rPr>
            </w:pPr>
            <w:r w:rsidRPr="002C7D3E">
              <w:rPr>
                <w:rFonts w:ascii="Arial" w:hAnsi="Arial" w:cs="Arial"/>
              </w:rPr>
              <w:t>Pathology Services</w:t>
            </w:r>
          </w:p>
        </w:tc>
      </w:tr>
      <w:tr w:rsidR="00141BAC" w:rsidRPr="002C7D3E" w14:paraId="7AF5F341" w14:textId="77777777" w:rsidTr="00EE1AAA">
        <w:trPr>
          <w:cantSplit/>
        </w:trPr>
        <w:tc>
          <w:tcPr>
            <w:tcW w:w="3256" w:type="dxa"/>
          </w:tcPr>
          <w:p w14:paraId="454ADFE2" w14:textId="5F0060E6" w:rsidR="00141BAC" w:rsidRPr="002C7D3E" w:rsidRDefault="00141BAC" w:rsidP="00BC0C43">
            <w:pPr>
              <w:rPr>
                <w:rFonts w:ascii="Arial" w:hAnsi="Arial" w:cs="Arial"/>
              </w:rPr>
            </w:pPr>
            <w:r w:rsidRPr="002C7D3E">
              <w:rPr>
                <w:rFonts w:ascii="Arial" w:hAnsi="Arial" w:cs="Arial"/>
              </w:rPr>
              <w:t>Proposed item descriptor</w:t>
            </w:r>
          </w:p>
        </w:tc>
        <w:tc>
          <w:tcPr>
            <w:tcW w:w="6209" w:type="dxa"/>
          </w:tcPr>
          <w:p w14:paraId="730D437D" w14:textId="1B86765A" w:rsidR="00141BAC" w:rsidRPr="002C7D3E" w:rsidRDefault="00141BAC" w:rsidP="00262E3C">
            <w:pPr>
              <w:rPr>
                <w:rFonts w:ascii="Arial" w:hAnsi="Arial" w:cs="Arial"/>
              </w:rPr>
            </w:pPr>
            <w:r w:rsidRPr="002C7D3E">
              <w:rPr>
                <w:rFonts w:ascii="Arial" w:hAnsi="Arial" w:cs="Arial"/>
              </w:rPr>
              <w:t>A test of tumour tissue for the detection of FRα tumour expression, in a patient with:</w:t>
            </w:r>
          </w:p>
          <w:p w14:paraId="5EE30C3E" w14:textId="308C2E21" w:rsidR="00141BAC" w:rsidRPr="002C7D3E" w:rsidRDefault="00141BAC" w:rsidP="00E2372F">
            <w:pPr>
              <w:pStyle w:val="ListParagraph"/>
              <w:numPr>
                <w:ilvl w:val="0"/>
                <w:numId w:val="7"/>
              </w:numPr>
              <w:rPr>
                <w:rFonts w:ascii="Arial" w:hAnsi="Arial" w:cs="Arial"/>
              </w:rPr>
            </w:pPr>
            <w:r w:rsidRPr="002C7D3E">
              <w:rPr>
                <w:rFonts w:ascii="Arial" w:hAnsi="Arial" w:cs="Arial"/>
              </w:rPr>
              <w:t>platinum-resistant ovarian cancer</w:t>
            </w:r>
          </w:p>
          <w:p w14:paraId="647BC308" w14:textId="5FC323C6" w:rsidR="00141BAC" w:rsidRPr="002C7D3E" w:rsidRDefault="00141BAC" w:rsidP="00BC0C43">
            <w:pPr>
              <w:rPr>
                <w:rFonts w:ascii="Arial" w:hAnsi="Arial" w:cs="Arial"/>
              </w:rPr>
            </w:pPr>
            <w:r w:rsidRPr="002C7D3E">
              <w:rPr>
                <w:rFonts w:ascii="Arial" w:hAnsi="Arial" w:cs="Arial"/>
              </w:rPr>
              <w:t>As requested by a specialist or consultant physician, to determine eligibility for treatment with mirvetuximab soravtansine under the Pharmaceutical Benefits Scheme (PBS)</w:t>
            </w:r>
          </w:p>
        </w:tc>
      </w:tr>
      <w:tr w:rsidR="00141BAC" w:rsidRPr="002C7D3E" w14:paraId="2C0CA02D" w14:textId="77777777" w:rsidTr="00EE1AAA">
        <w:trPr>
          <w:cantSplit/>
        </w:trPr>
        <w:tc>
          <w:tcPr>
            <w:tcW w:w="3256" w:type="dxa"/>
          </w:tcPr>
          <w:p w14:paraId="4881ED4A" w14:textId="6F25EF4B" w:rsidR="00141BAC" w:rsidRPr="002C7D3E" w:rsidRDefault="00141BAC" w:rsidP="00BC0C43">
            <w:pPr>
              <w:rPr>
                <w:rFonts w:ascii="Arial" w:hAnsi="Arial" w:cs="Arial"/>
              </w:rPr>
            </w:pPr>
            <w:r w:rsidRPr="002C7D3E">
              <w:rPr>
                <w:rFonts w:ascii="Arial" w:hAnsi="Arial" w:cs="Arial"/>
              </w:rPr>
              <w:t>Proposed MBS fee</w:t>
            </w:r>
          </w:p>
        </w:tc>
        <w:tc>
          <w:tcPr>
            <w:tcW w:w="6209" w:type="dxa"/>
          </w:tcPr>
          <w:p w14:paraId="3B790048" w14:textId="68E5EDE3" w:rsidR="00141BAC" w:rsidRPr="002C7D3E" w:rsidRDefault="004E0444" w:rsidP="00BC0C43">
            <w:pPr>
              <w:rPr>
                <w:rFonts w:ascii="Arial" w:hAnsi="Arial" w:cs="Arial"/>
              </w:rPr>
            </w:pPr>
            <w:r w:rsidRPr="004E0444">
              <w:rPr>
                <w:rFonts w:ascii="Arial" w:hAnsi="Arial" w:cs="Arial"/>
              </w:rPr>
              <w:t>$74.50</w:t>
            </w:r>
            <w:r>
              <w:rPr>
                <w:rFonts w:ascii="Arial" w:hAnsi="Arial" w:cs="Arial"/>
              </w:rPr>
              <w:t xml:space="preserve"> </w:t>
            </w:r>
            <w:r w:rsidR="007C0384">
              <w:rPr>
                <w:rFonts w:ascii="Arial" w:hAnsi="Arial" w:cs="Arial"/>
              </w:rPr>
              <w:t xml:space="preserve">(based on </w:t>
            </w:r>
            <w:r w:rsidR="00182D44">
              <w:rPr>
                <w:rFonts w:ascii="Arial" w:hAnsi="Arial" w:cs="Arial"/>
              </w:rPr>
              <w:t xml:space="preserve">comparable IHC </w:t>
            </w:r>
            <w:r w:rsidR="007C0384" w:rsidRPr="004E0444">
              <w:rPr>
                <w:rFonts w:ascii="Arial" w:hAnsi="Arial" w:cs="Arial"/>
              </w:rPr>
              <w:t>item 72814</w:t>
            </w:r>
            <w:r w:rsidR="007C0384">
              <w:rPr>
                <w:rFonts w:ascii="Arial" w:hAnsi="Arial" w:cs="Arial"/>
              </w:rPr>
              <w:t xml:space="preserve"> for PD-L1 testing</w:t>
            </w:r>
            <w:r w:rsidR="00E4141F">
              <w:rPr>
                <w:rFonts w:ascii="Arial" w:hAnsi="Arial" w:cs="Arial"/>
              </w:rPr>
              <w:t>, to be confirmed through submission process</w:t>
            </w:r>
            <w:r w:rsidR="007C0384">
              <w:rPr>
                <w:rFonts w:ascii="Arial" w:hAnsi="Arial" w:cs="Arial"/>
              </w:rPr>
              <w:t xml:space="preserve">). </w:t>
            </w:r>
          </w:p>
        </w:tc>
      </w:tr>
      <w:tr w:rsidR="00141BAC" w:rsidRPr="002C7D3E" w14:paraId="0984AD65" w14:textId="77777777" w:rsidTr="00EE1AAA">
        <w:trPr>
          <w:cantSplit/>
        </w:trPr>
        <w:tc>
          <w:tcPr>
            <w:tcW w:w="3256" w:type="dxa"/>
          </w:tcPr>
          <w:p w14:paraId="7B69A5E7" w14:textId="0C7AED59" w:rsidR="00141BAC" w:rsidRPr="002C7D3E" w:rsidRDefault="00141BAC" w:rsidP="00BC0C43">
            <w:pPr>
              <w:rPr>
                <w:rFonts w:ascii="Arial" w:hAnsi="Arial" w:cs="Arial"/>
              </w:rPr>
            </w:pPr>
            <w:r w:rsidRPr="002C7D3E">
              <w:rPr>
                <w:rFonts w:ascii="Arial" w:hAnsi="Arial" w:cs="Arial"/>
              </w:rPr>
              <w:t>Indicate the overall cost per patient of providing the proposed health technology</w:t>
            </w:r>
          </w:p>
        </w:tc>
        <w:tc>
          <w:tcPr>
            <w:tcW w:w="6209" w:type="dxa"/>
          </w:tcPr>
          <w:p w14:paraId="1F0E7AAB" w14:textId="1A91A564" w:rsidR="00141BAC" w:rsidRPr="002C7D3E" w:rsidRDefault="00141BAC" w:rsidP="00BC0C43">
            <w:pPr>
              <w:rPr>
                <w:rFonts w:ascii="Arial" w:hAnsi="Arial" w:cs="Arial"/>
              </w:rPr>
            </w:pPr>
            <w:r w:rsidRPr="002C7D3E">
              <w:rPr>
                <w:rFonts w:ascii="Arial" w:hAnsi="Arial" w:cs="Arial"/>
              </w:rPr>
              <w:t>A detailed analysis will be presented in the co-dependent MSAC/PBAC submission.</w:t>
            </w:r>
          </w:p>
        </w:tc>
      </w:tr>
      <w:tr w:rsidR="00141BAC" w:rsidRPr="002C7D3E" w14:paraId="273F94AE" w14:textId="77777777" w:rsidTr="00EE1AAA">
        <w:trPr>
          <w:cantSplit/>
        </w:trPr>
        <w:tc>
          <w:tcPr>
            <w:tcW w:w="3256" w:type="dxa"/>
          </w:tcPr>
          <w:p w14:paraId="41FCA2CE" w14:textId="1F2EB5A8" w:rsidR="00141BAC" w:rsidRPr="002C7D3E" w:rsidRDefault="00141BAC" w:rsidP="00BC0C43">
            <w:pPr>
              <w:rPr>
                <w:rFonts w:ascii="Arial" w:hAnsi="Arial" w:cs="Arial"/>
              </w:rPr>
            </w:pPr>
            <w:r w:rsidRPr="002C7D3E">
              <w:rPr>
                <w:rFonts w:ascii="Arial" w:hAnsi="Arial" w:cs="Arial"/>
              </w:rPr>
              <w:t>Please specify any anticipated out of pocket expenses</w:t>
            </w:r>
          </w:p>
        </w:tc>
        <w:tc>
          <w:tcPr>
            <w:tcW w:w="6209" w:type="dxa"/>
          </w:tcPr>
          <w:p w14:paraId="13FE8BA2" w14:textId="0FA1660D" w:rsidR="00141BAC" w:rsidRPr="002C7D3E" w:rsidRDefault="00141BAC" w:rsidP="00BC0C43">
            <w:pPr>
              <w:rPr>
                <w:rFonts w:ascii="Arial" w:eastAsia="Segoe UI" w:hAnsi="Arial" w:cs="Arial"/>
                <w:bCs/>
                <w:color w:val="000000"/>
              </w:rPr>
            </w:pPr>
            <w:r w:rsidRPr="002C7D3E">
              <w:rPr>
                <w:rFonts w:ascii="Arial" w:hAnsi="Arial" w:cs="Arial"/>
              </w:rPr>
              <w:t>A detailed analysis will be presented in the co-dependent MSAC/PBAC submission.</w:t>
            </w:r>
          </w:p>
        </w:tc>
      </w:tr>
      <w:tr w:rsidR="00141BAC" w:rsidRPr="002C7D3E" w14:paraId="553E9440" w14:textId="77777777" w:rsidTr="00EE1AAA">
        <w:trPr>
          <w:cantSplit/>
        </w:trPr>
        <w:tc>
          <w:tcPr>
            <w:tcW w:w="3256" w:type="dxa"/>
          </w:tcPr>
          <w:p w14:paraId="4D378DFC" w14:textId="4C67A6B8" w:rsidR="00141BAC" w:rsidRPr="002C7D3E" w:rsidRDefault="00141BAC" w:rsidP="00BC0C43">
            <w:pPr>
              <w:rPr>
                <w:rFonts w:ascii="Arial" w:hAnsi="Arial" w:cs="Arial"/>
              </w:rPr>
            </w:pPr>
            <w:r w:rsidRPr="002C7D3E">
              <w:rPr>
                <w:rFonts w:ascii="Arial" w:hAnsi="Arial" w:cs="Arial"/>
              </w:rPr>
              <w:lastRenderedPageBreak/>
              <w:t>Provide any further details and explain</w:t>
            </w:r>
          </w:p>
        </w:tc>
        <w:tc>
          <w:tcPr>
            <w:tcW w:w="6209" w:type="dxa"/>
          </w:tcPr>
          <w:p w14:paraId="674ECDEB" w14:textId="57A16E7B" w:rsidR="00141BAC" w:rsidRPr="002C7D3E" w:rsidRDefault="00141BAC" w:rsidP="00BC0C43">
            <w:pPr>
              <w:rPr>
                <w:rFonts w:ascii="Arial" w:eastAsia="Segoe UI" w:hAnsi="Arial" w:cs="Arial"/>
                <w:bCs/>
                <w:color w:val="000000"/>
              </w:rPr>
            </w:pPr>
            <w:r w:rsidRPr="002C7D3E">
              <w:rPr>
                <w:rFonts w:ascii="Arial" w:hAnsi="Arial" w:cs="Arial"/>
              </w:rPr>
              <w:t>A detailed analysis will be presented in the co-dependent MSAC/PBAC submission.</w:t>
            </w:r>
          </w:p>
        </w:tc>
      </w:tr>
    </w:tbl>
    <w:bookmarkEnd w:id="4"/>
    <w:p w14:paraId="321449D0" w14:textId="53188756" w:rsidR="00141BAC" w:rsidRPr="00D77020" w:rsidRDefault="00141BAC" w:rsidP="00215319">
      <w:pPr>
        <w:pStyle w:val="Heading1"/>
        <w:keepNext/>
        <w:keepLines/>
        <w:rPr>
          <w:rFonts w:ascii="Arial" w:hAnsi="Arial" w:cs="Arial"/>
        </w:rPr>
      </w:pPr>
      <w:r w:rsidRPr="00D77020">
        <w:rPr>
          <w:rFonts w:ascii="Arial" w:hAnsi="Arial" w:cs="Arial"/>
        </w:rPr>
        <w:t>Algorithms</w:t>
      </w:r>
    </w:p>
    <w:p w14:paraId="7EDD3EB5" w14:textId="76582628" w:rsidR="00141BAC" w:rsidRPr="00D77020" w:rsidRDefault="00141BAC" w:rsidP="00E7768E">
      <w:pPr>
        <w:pStyle w:val="Heading2"/>
        <w:keepNext/>
        <w:keepLines/>
        <w:spacing w:before="120" w:after="120" w:line="276" w:lineRule="auto"/>
        <w:jc w:val="both"/>
        <w:rPr>
          <w:rFonts w:ascii="Arial" w:hAnsi="Arial" w:cs="Arial"/>
          <w:u w:val="single"/>
        </w:rPr>
      </w:pPr>
      <w:r w:rsidRPr="00D77020">
        <w:rPr>
          <w:rFonts w:ascii="Arial" w:hAnsi="Arial" w:cs="Arial"/>
          <w:u w:val="single"/>
        </w:rPr>
        <w:t>PREPARATION FOR USING THE HEALTH TECHNOLOGY</w:t>
      </w:r>
    </w:p>
    <w:p w14:paraId="75D823FD" w14:textId="4513E57D" w:rsidR="00141BAC" w:rsidRDefault="00141BAC" w:rsidP="00E7768E">
      <w:pPr>
        <w:pStyle w:val="Heading2"/>
        <w:keepNext/>
        <w:keepLines/>
        <w:spacing w:before="120" w:after="120" w:line="276" w:lineRule="auto"/>
        <w:jc w:val="both"/>
        <w:rPr>
          <w:rFonts w:ascii="Arial" w:hAnsi="Arial" w:cs="Arial"/>
        </w:rPr>
      </w:pPr>
      <w:r w:rsidRPr="00D77020">
        <w:rPr>
          <w:rFonts w:ascii="Arial" w:hAnsi="Arial" w:cs="Arial"/>
        </w:rPr>
        <w:t xml:space="preserve">Define and summarise the clinical management algorithm, including any required tests or healthcare resources, before patients would be eligible for the </w:t>
      </w:r>
      <w:r w:rsidRPr="00D77020">
        <w:rPr>
          <w:rFonts w:ascii="Arial" w:hAnsi="Arial" w:cs="Arial"/>
          <w:u w:val="single"/>
        </w:rPr>
        <w:t>proposed health technology</w:t>
      </w:r>
      <w:r w:rsidRPr="00D77020">
        <w:rPr>
          <w:rFonts w:ascii="Arial" w:hAnsi="Arial" w:cs="Arial"/>
        </w:rPr>
        <w:t>:</w:t>
      </w:r>
    </w:p>
    <w:p w14:paraId="1670D86D" w14:textId="4977D978" w:rsidR="00141BAC" w:rsidRDefault="00141BAC" w:rsidP="0054374D">
      <w:pPr>
        <w:spacing w:line="276" w:lineRule="auto"/>
        <w:jc w:val="both"/>
        <w:rPr>
          <w:rFonts w:ascii="Arial" w:hAnsi="Arial" w:cs="Arial"/>
        </w:rPr>
      </w:pPr>
      <w:r w:rsidRPr="00555DD2">
        <w:rPr>
          <w:rFonts w:ascii="Arial" w:hAnsi="Arial" w:cs="Arial"/>
        </w:rPr>
        <w:t xml:space="preserve">González-Martín </w:t>
      </w:r>
      <w:r>
        <w:rPr>
          <w:rFonts w:ascii="Arial" w:hAnsi="Arial" w:cs="Arial"/>
        </w:rPr>
        <w:t>et al (2023) outlines the most recent treatment guidelines from the European Society for Medical Oncology (ESMO) for advanced epithelial ovarian cancer (EOC), which is inclusive of International Federation of Gynaecology and Obstetrics (FIGO) stage III and IV cancer of the ovary, fallopian tube, or peritoneum.</w:t>
      </w:r>
      <w:r w:rsidR="00F41A4F">
        <w:rPr>
          <w:rFonts w:ascii="Arial" w:hAnsi="Arial" w:cs="Arial"/>
        </w:rPr>
        <w:t xml:space="preserve"> These generally align well with the Australia eviQ guidelines</w:t>
      </w:r>
      <w:r w:rsidR="00835AD5">
        <w:rPr>
          <w:rFonts w:ascii="Arial" w:hAnsi="Arial" w:cs="Arial"/>
        </w:rPr>
        <w:t xml:space="preserve"> for </w:t>
      </w:r>
      <w:r w:rsidR="0092333F">
        <w:rPr>
          <w:rFonts w:ascii="Arial" w:hAnsi="Arial" w:cs="Arial"/>
        </w:rPr>
        <w:t>treatment regimens</w:t>
      </w:r>
      <w:r w:rsidR="00835AD5">
        <w:rPr>
          <w:rFonts w:ascii="Arial" w:hAnsi="Arial" w:cs="Arial"/>
        </w:rPr>
        <w:t xml:space="preserve"> </w:t>
      </w:r>
      <w:r w:rsidR="00357180">
        <w:rPr>
          <w:rFonts w:ascii="Arial" w:hAnsi="Arial" w:cs="Arial"/>
        </w:rPr>
        <w:t>in</w:t>
      </w:r>
      <w:r w:rsidR="00835AD5">
        <w:rPr>
          <w:rFonts w:ascii="Arial" w:hAnsi="Arial" w:cs="Arial"/>
        </w:rPr>
        <w:t xml:space="preserve"> ovarian cancer</w:t>
      </w:r>
      <w:r w:rsidR="0092333F">
        <w:rPr>
          <w:rFonts w:ascii="Arial" w:hAnsi="Arial" w:cs="Arial"/>
        </w:rPr>
        <w:t xml:space="preserve"> </w:t>
      </w:r>
      <w:r w:rsidR="00835AD5">
        <w:rPr>
          <w:rFonts w:ascii="Arial" w:hAnsi="Arial" w:cs="Arial"/>
        </w:rPr>
        <w:t>(eviQ 2023b).</w:t>
      </w:r>
      <w:r>
        <w:rPr>
          <w:rFonts w:ascii="Arial" w:hAnsi="Arial" w:cs="Arial"/>
        </w:rPr>
        <w:t xml:space="preserve"> </w:t>
      </w:r>
      <w:r w:rsidR="00C913A1">
        <w:rPr>
          <w:rFonts w:ascii="Arial" w:hAnsi="Arial" w:cs="Arial"/>
        </w:rPr>
        <w:t>Along with a consideration of PBS restrictions, these resources</w:t>
      </w:r>
      <w:r w:rsidR="00DA311B">
        <w:rPr>
          <w:rFonts w:ascii="Arial" w:hAnsi="Arial" w:cs="Arial"/>
        </w:rPr>
        <w:t xml:space="preserve"> have </w:t>
      </w:r>
      <w:r>
        <w:rPr>
          <w:rFonts w:ascii="Arial" w:hAnsi="Arial" w:cs="Arial"/>
        </w:rPr>
        <w:t xml:space="preserve">been adapted and presented below in </w:t>
      </w:r>
      <w:r>
        <w:rPr>
          <w:rFonts w:ascii="Arial" w:hAnsi="Arial" w:cs="Arial"/>
        </w:rPr>
        <w:fldChar w:fldCharType="begin"/>
      </w:r>
      <w:r>
        <w:rPr>
          <w:rFonts w:ascii="Arial" w:hAnsi="Arial" w:cs="Arial"/>
        </w:rPr>
        <w:instrText xml:space="preserve"> REF _Ref162466929 \h  \* MERGEFORMAT </w:instrText>
      </w:r>
      <w:r>
        <w:rPr>
          <w:rFonts w:ascii="Arial" w:hAnsi="Arial" w:cs="Arial"/>
        </w:rPr>
      </w:r>
      <w:r>
        <w:rPr>
          <w:rFonts w:ascii="Arial" w:hAnsi="Arial" w:cs="Arial"/>
        </w:rPr>
        <w:fldChar w:fldCharType="separate"/>
      </w:r>
      <w:r w:rsidRPr="00FA759D">
        <w:rPr>
          <w:rFonts w:ascii="Arial" w:hAnsi="Arial" w:cs="Arial"/>
          <w:b/>
          <w:bCs/>
        </w:rPr>
        <w:t xml:space="preserve">Figure </w:t>
      </w:r>
      <w:r w:rsidRPr="00FA759D">
        <w:rPr>
          <w:rFonts w:ascii="Arial" w:hAnsi="Arial" w:cs="Arial"/>
          <w:b/>
          <w:bCs/>
          <w:noProof/>
        </w:rPr>
        <w:t>1</w:t>
      </w:r>
      <w:r>
        <w:rPr>
          <w:rFonts w:ascii="Arial" w:hAnsi="Arial" w:cs="Arial"/>
        </w:rPr>
        <w:fldChar w:fldCharType="end"/>
      </w:r>
      <w:r w:rsidR="00C93F5E">
        <w:rPr>
          <w:rFonts w:ascii="Arial" w:hAnsi="Arial" w:cs="Arial"/>
        </w:rPr>
        <w:t xml:space="preserve">. </w:t>
      </w:r>
      <w:r>
        <w:rPr>
          <w:rFonts w:ascii="Arial" w:hAnsi="Arial" w:cs="Arial"/>
        </w:rPr>
        <w:t>AbbVie notes that the below algorithm requires Australian clinical expert validation and input</w:t>
      </w:r>
      <w:r w:rsidR="00CE5F9D">
        <w:rPr>
          <w:rFonts w:ascii="Arial" w:hAnsi="Arial" w:cs="Arial"/>
        </w:rPr>
        <w:t>, a</w:t>
      </w:r>
      <w:r>
        <w:rPr>
          <w:rFonts w:ascii="Arial" w:hAnsi="Arial" w:cs="Arial"/>
        </w:rPr>
        <w:t>nd is subject to change throughout the co-dependent application and consultation process.</w:t>
      </w:r>
    </w:p>
    <w:p w14:paraId="3284FD35" w14:textId="3083F2A7" w:rsidR="00141BAC" w:rsidRDefault="00141BAC" w:rsidP="0054374D">
      <w:pPr>
        <w:spacing w:line="276" w:lineRule="auto"/>
        <w:jc w:val="both"/>
        <w:rPr>
          <w:rFonts w:ascii="Arial" w:hAnsi="Arial" w:cs="Arial"/>
        </w:rPr>
      </w:pPr>
      <w:r>
        <w:rPr>
          <w:rFonts w:ascii="Arial" w:hAnsi="Arial" w:cs="Arial"/>
        </w:rPr>
        <w:t xml:space="preserve">The gold standard for initial management of advanced EOC management is primary cytoreductive surgery, if patients are physically able to undergo surgery and complete resection seems achievable, followed by systemic neoadjuvant chemotherapy (ChT). Standard ChT concludes platinum-based regimens such as carboplatin with paclitaxel, or alternatively with docetaxel or pegylated liposomal doxorubicin (PLD) if paclitaxel is contraindicated. This can be given with or without concomitant bevacizumab. Following induction ChT treatment with or without bevacizumab, PARPis are recommended for maintenance treatment in patients with BRCA1/2 mutation or with </w:t>
      </w:r>
      <w:r w:rsidRPr="00BF5483">
        <w:rPr>
          <w:rFonts w:ascii="Arial" w:hAnsi="Arial" w:cs="Arial"/>
        </w:rPr>
        <w:t>homologous recombination deficiency</w:t>
      </w:r>
      <w:r>
        <w:rPr>
          <w:rFonts w:ascii="Arial" w:hAnsi="Arial" w:cs="Arial"/>
        </w:rPr>
        <w:t xml:space="preserve"> (HRD+) BRCA wildtype (wt) tumours. Under the latest PBS restrictions, these PARPis can also be given with or without bevacizumab. </w:t>
      </w:r>
    </w:p>
    <w:p w14:paraId="5E83D3E8" w14:textId="0F05E236" w:rsidR="00141BAC" w:rsidRDefault="00141BAC" w:rsidP="0054374D">
      <w:pPr>
        <w:spacing w:line="276" w:lineRule="auto"/>
        <w:jc w:val="both"/>
        <w:rPr>
          <w:rFonts w:ascii="Arial" w:hAnsi="Arial" w:cs="Arial"/>
        </w:rPr>
      </w:pPr>
      <w:r>
        <w:rPr>
          <w:rFonts w:ascii="Arial" w:hAnsi="Arial" w:cs="Arial"/>
        </w:rPr>
        <w:t>After first-line treatment, if a patient relapses then re-assessment of several patient characteristics is recommended in order to determine the most appropriate subsequent treatment approach – including histotype, potential for surgery, BRCA1/2 status, number of prior lines of therapy, exposure and response to prior treatment, treatment-free interval, residual toxicity, patient’s general condition, and patient preference. In patients who are considered platinum-sensitive (PSOC) and platinum is an option, carbo-platinum with paclitaxel, PLD, or gemcitabine is recommended, with or without bevacizumab. Following induction treatment in this relapsed (</w:t>
      </w:r>
      <w:r w:rsidR="00482201">
        <w:rPr>
          <w:rFonts w:ascii="Arial" w:hAnsi="Arial" w:cs="Arial"/>
        </w:rPr>
        <w:t>second line</w:t>
      </w:r>
      <w:r>
        <w:rPr>
          <w:rFonts w:ascii="Arial" w:hAnsi="Arial" w:cs="Arial"/>
        </w:rPr>
        <w:t xml:space="preserve">) setting, bevacizumab can also be used for maintenance or alternatively olaparib monotherapy is PBS-funded for maintenance treatment in this setting for patients who have </w:t>
      </w:r>
      <w:r w:rsidRPr="00583B43">
        <w:rPr>
          <w:rFonts w:ascii="Arial" w:hAnsi="Arial" w:cs="Arial"/>
        </w:rPr>
        <w:t>BRCA1/2</w:t>
      </w:r>
      <w:r>
        <w:rPr>
          <w:rFonts w:ascii="Arial" w:hAnsi="Arial" w:cs="Arial"/>
        </w:rPr>
        <w:t xml:space="preserve"> mutations. </w:t>
      </w:r>
    </w:p>
    <w:p w14:paraId="2D20DD62" w14:textId="045EFFAD" w:rsidR="00141BAC" w:rsidRPr="00D461C3" w:rsidRDefault="00141BAC" w:rsidP="00D461C3">
      <w:pPr>
        <w:spacing w:line="276" w:lineRule="auto"/>
        <w:jc w:val="both"/>
        <w:rPr>
          <w:rFonts w:ascii="Arial" w:hAnsi="Arial" w:cs="Arial"/>
        </w:rPr>
      </w:pPr>
      <w:r>
        <w:rPr>
          <w:rFonts w:ascii="Arial" w:hAnsi="Arial" w:cs="Arial"/>
        </w:rPr>
        <w:t>In patients who are considered platinum-resistant (PROC</w:t>
      </w:r>
      <w:r w:rsidR="00482201">
        <w:rPr>
          <w:rFonts w:ascii="Arial" w:hAnsi="Arial" w:cs="Arial"/>
        </w:rPr>
        <w:t>),</w:t>
      </w:r>
      <w:r>
        <w:rPr>
          <w:rFonts w:ascii="Arial" w:hAnsi="Arial" w:cs="Arial"/>
        </w:rPr>
        <w:t xml:space="preserve"> or platinum is not considered an appropriate option for other reasons, single-agent non-platinum ChT regimens can be used, including paclitaxel, topotecan, and PLD, based on patient preference or toxicity considerations. Bevacizumab may be used but is not recommended for patients who have previously been exposed to bevacizumab.</w:t>
      </w:r>
      <w:r w:rsidR="006450D9">
        <w:rPr>
          <w:rFonts w:ascii="Arial" w:hAnsi="Arial" w:cs="Arial"/>
        </w:rPr>
        <w:t xml:space="preserve"> Gemcitabine is also noted in the ESMO guidelines as an option in this setting, however gemcitabine is only TGA registered for combination use with carboplatin</w:t>
      </w:r>
      <w:r w:rsidR="006E0A2E">
        <w:rPr>
          <w:rFonts w:ascii="Arial" w:hAnsi="Arial" w:cs="Arial"/>
        </w:rPr>
        <w:t xml:space="preserve">, </w:t>
      </w:r>
      <w:r w:rsidR="00C24F21">
        <w:rPr>
          <w:rFonts w:ascii="Arial" w:hAnsi="Arial" w:cs="Arial"/>
        </w:rPr>
        <w:t xml:space="preserve">so </w:t>
      </w:r>
      <w:r w:rsidR="00022EC1">
        <w:rPr>
          <w:rFonts w:ascii="Arial" w:hAnsi="Arial" w:cs="Arial"/>
        </w:rPr>
        <w:t xml:space="preserve">is not believed to play </w:t>
      </w:r>
      <w:r w:rsidR="005554FF">
        <w:rPr>
          <w:rFonts w:ascii="Arial" w:hAnsi="Arial" w:cs="Arial"/>
        </w:rPr>
        <w:t>a large role in PROC</w:t>
      </w:r>
      <w:r w:rsidR="00AD3D4F">
        <w:rPr>
          <w:rFonts w:ascii="Arial" w:hAnsi="Arial" w:cs="Arial"/>
        </w:rPr>
        <w:t xml:space="preserve"> treatment</w:t>
      </w:r>
      <w:r w:rsidR="00750480">
        <w:rPr>
          <w:rFonts w:ascii="Arial" w:hAnsi="Arial" w:cs="Arial"/>
        </w:rPr>
        <w:t xml:space="preserve">. </w:t>
      </w:r>
      <w:r>
        <w:rPr>
          <w:rFonts w:ascii="Arial" w:hAnsi="Arial" w:cs="Arial"/>
        </w:rPr>
        <w:t xml:space="preserve">Supportive care options and early palliative care may also be required. </w:t>
      </w:r>
      <w:bookmarkStart w:id="5" w:name="_Ref162466929"/>
    </w:p>
    <w:p w14:paraId="7BAC1280" w14:textId="11F42FF1" w:rsidR="00141BAC" w:rsidRPr="00FA759D" w:rsidRDefault="00141BAC" w:rsidP="008A2EBD">
      <w:pPr>
        <w:pStyle w:val="Caption"/>
        <w:keepNext/>
        <w:keepLines/>
        <w:spacing w:before="240" w:after="120"/>
        <w:rPr>
          <w:rFonts w:ascii="Arial" w:hAnsi="Arial" w:cs="Arial"/>
          <w:b/>
          <w:bCs/>
          <w:i w:val="0"/>
          <w:iCs w:val="0"/>
          <w:color w:val="auto"/>
          <w:sz w:val="22"/>
          <w:szCs w:val="22"/>
        </w:rPr>
      </w:pPr>
      <w:r w:rsidRPr="00FA759D">
        <w:rPr>
          <w:rFonts w:ascii="Arial" w:hAnsi="Arial" w:cs="Arial"/>
          <w:b/>
          <w:bCs/>
          <w:i w:val="0"/>
          <w:iCs w:val="0"/>
          <w:color w:val="auto"/>
          <w:sz w:val="22"/>
          <w:szCs w:val="22"/>
        </w:rPr>
        <w:lastRenderedPageBreak/>
        <w:t xml:space="preserve">Figure </w:t>
      </w:r>
      <w:r w:rsidRPr="00FA759D">
        <w:rPr>
          <w:rFonts w:ascii="Arial" w:hAnsi="Arial" w:cs="Arial"/>
          <w:b/>
          <w:bCs/>
          <w:i w:val="0"/>
          <w:iCs w:val="0"/>
          <w:color w:val="auto"/>
          <w:sz w:val="22"/>
          <w:szCs w:val="22"/>
        </w:rPr>
        <w:fldChar w:fldCharType="begin"/>
      </w:r>
      <w:r w:rsidRPr="00FA759D">
        <w:rPr>
          <w:rFonts w:ascii="Arial" w:hAnsi="Arial" w:cs="Arial"/>
          <w:b/>
          <w:bCs/>
          <w:i w:val="0"/>
          <w:iCs w:val="0"/>
          <w:color w:val="auto"/>
          <w:sz w:val="22"/>
          <w:szCs w:val="22"/>
        </w:rPr>
        <w:instrText xml:space="preserve"> SEQ Figure \* ARABIC </w:instrText>
      </w:r>
      <w:r w:rsidRPr="00FA759D">
        <w:rPr>
          <w:rFonts w:ascii="Arial" w:hAnsi="Arial" w:cs="Arial"/>
          <w:b/>
          <w:bCs/>
          <w:i w:val="0"/>
          <w:iCs w:val="0"/>
          <w:color w:val="auto"/>
          <w:sz w:val="22"/>
          <w:szCs w:val="22"/>
        </w:rPr>
        <w:fldChar w:fldCharType="separate"/>
      </w:r>
      <w:r w:rsidRPr="00FA759D">
        <w:rPr>
          <w:rFonts w:ascii="Arial" w:hAnsi="Arial" w:cs="Arial"/>
          <w:b/>
          <w:bCs/>
          <w:i w:val="0"/>
          <w:iCs w:val="0"/>
          <w:noProof/>
          <w:color w:val="auto"/>
          <w:sz w:val="22"/>
          <w:szCs w:val="22"/>
        </w:rPr>
        <w:t>1</w:t>
      </w:r>
      <w:r w:rsidRPr="00FA759D">
        <w:rPr>
          <w:rFonts w:ascii="Arial" w:hAnsi="Arial" w:cs="Arial"/>
          <w:b/>
          <w:bCs/>
          <w:i w:val="0"/>
          <w:iCs w:val="0"/>
          <w:color w:val="auto"/>
          <w:sz w:val="22"/>
          <w:szCs w:val="22"/>
        </w:rPr>
        <w:fldChar w:fldCharType="end"/>
      </w:r>
      <w:bookmarkEnd w:id="5"/>
      <w:r>
        <w:rPr>
          <w:rFonts w:ascii="Arial" w:hAnsi="Arial" w:cs="Arial"/>
          <w:b/>
          <w:bCs/>
          <w:i w:val="0"/>
          <w:iCs w:val="0"/>
          <w:color w:val="auto"/>
          <w:sz w:val="22"/>
          <w:szCs w:val="22"/>
        </w:rPr>
        <w:tab/>
      </w:r>
      <w:r w:rsidRPr="00FA759D">
        <w:rPr>
          <w:rFonts w:ascii="Arial" w:hAnsi="Arial" w:cs="Arial"/>
          <w:b/>
          <w:bCs/>
          <w:i w:val="0"/>
          <w:iCs w:val="0"/>
          <w:color w:val="auto"/>
          <w:sz w:val="22"/>
          <w:szCs w:val="22"/>
        </w:rPr>
        <w:t>Current treatment algorithm for epithelial ovarian cance</w:t>
      </w:r>
      <w:r w:rsidR="00182CB8">
        <w:rPr>
          <w:rFonts w:ascii="Arial" w:hAnsi="Arial" w:cs="Arial"/>
          <w:b/>
          <w:bCs/>
          <w:i w:val="0"/>
          <w:iCs w:val="0"/>
          <w:color w:val="auto"/>
          <w:sz w:val="22"/>
          <w:szCs w:val="22"/>
        </w:rPr>
        <w:t>r</w:t>
      </w:r>
    </w:p>
    <w:p w14:paraId="2F65E472" w14:textId="4FAAED97" w:rsidR="00965CA4" w:rsidRDefault="001B1EB8" w:rsidP="00215319">
      <w:pPr>
        <w:keepNext/>
        <w:keepLines/>
        <w:rPr>
          <w:rFonts w:ascii="Arial" w:hAnsi="Arial" w:cs="Arial"/>
          <w:noProof/>
        </w:rPr>
      </w:pPr>
      <w:r>
        <w:rPr>
          <w:rFonts w:ascii="Arial" w:hAnsi="Arial" w:cs="Arial"/>
          <w:noProof/>
        </w:rPr>
        <w:drawing>
          <wp:inline distT="0" distB="0" distL="0" distR="0" wp14:anchorId="73EA6398" wp14:editId="6A6BCC3B">
            <wp:extent cx="5897880" cy="5676485"/>
            <wp:effectExtent l="19050" t="19050" r="26670" b="19685"/>
            <wp:docPr id="1497394160" name="Picture 3" descr="Current treatment algorithm for epithelial ovarian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394160" name="Picture 3" descr="Current treatment algorithm for epithelial ovarian cance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030" b="2195"/>
                    <a:stretch/>
                  </pic:blipFill>
                  <pic:spPr bwMode="auto">
                    <a:xfrm>
                      <a:off x="0" y="0"/>
                      <a:ext cx="5897880" cy="567648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A91E17C" w14:textId="622858B8" w:rsidR="00075305" w:rsidRDefault="00C46237" w:rsidP="00AE2E58">
      <w:pPr>
        <w:keepNext/>
        <w:spacing w:after="0"/>
        <w:rPr>
          <w:rFonts w:ascii="Arial" w:hAnsi="Arial" w:cs="Arial"/>
          <w:sz w:val="16"/>
          <w:szCs w:val="16"/>
          <w:lang w:val="en-US"/>
        </w:rPr>
      </w:pPr>
      <w:r>
        <w:rPr>
          <w:rFonts w:ascii="Arial" w:hAnsi="Arial" w:cs="Arial"/>
          <w:sz w:val="16"/>
          <w:szCs w:val="16"/>
        </w:rPr>
        <w:t xml:space="preserve">Sources: </w:t>
      </w:r>
      <w:r w:rsidR="00CF79D3">
        <w:rPr>
          <w:rFonts w:ascii="Arial" w:hAnsi="Arial" w:cs="Arial"/>
          <w:sz w:val="16"/>
          <w:szCs w:val="16"/>
        </w:rPr>
        <w:t>Lederma</w:t>
      </w:r>
      <w:r w:rsidR="00963128">
        <w:rPr>
          <w:rFonts w:ascii="Arial" w:hAnsi="Arial" w:cs="Arial"/>
          <w:sz w:val="16"/>
          <w:szCs w:val="16"/>
        </w:rPr>
        <w:t>n</w:t>
      </w:r>
      <w:r w:rsidR="00CF79D3">
        <w:rPr>
          <w:rFonts w:ascii="Arial" w:hAnsi="Arial" w:cs="Arial"/>
          <w:sz w:val="16"/>
          <w:szCs w:val="16"/>
        </w:rPr>
        <w:t>n</w:t>
      </w:r>
      <w:r>
        <w:rPr>
          <w:rFonts w:ascii="Arial" w:hAnsi="Arial" w:cs="Arial"/>
          <w:sz w:val="16"/>
          <w:szCs w:val="16"/>
        </w:rPr>
        <w:t xml:space="preserve"> et al 2024; </w:t>
      </w:r>
      <w:r w:rsidR="00911206" w:rsidRPr="00911206">
        <w:rPr>
          <w:rFonts w:ascii="Arial" w:hAnsi="Arial" w:cs="Arial"/>
          <w:sz w:val="16"/>
          <w:szCs w:val="16"/>
        </w:rPr>
        <w:t>González-Martín et al (2023)</w:t>
      </w:r>
      <w:r w:rsidR="00911206">
        <w:rPr>
          <w:rFonts w:ascii="Arial" w:hAnsi="Arial" w:cs="Arial"/>
          <w:sz w:val="16"/>
          <w:szCs w:val="16"/>
        </w:rPr>
        <w:t xml:space="preserve">; PBS Website. </w:t>
      </w:r>
      <w:r>
        <w:rPr>
          <w:rFonts w:ascii="Arial" w:hAnsi="Arial" w:cs="Arial"/>
          <w:sz w:val="16"/>
          <w:szCs w:val="16"/>
        </w:rPr>
        <w:br/>
      </w:r>
      <w:r w:rsidR="00CB0710" w:rsidRPr="00794CDD">
        <w:rPr>
          <w:rFonts w:ascii="Arial" w:hAnsi="Arial" w:cs="Arial"/>
          <w:sz w:val="16"/>
          <w:szCs w:val="16"/>
        </w:rPr>
        <w:t>Abbreviations</w:t>
      </w:r>
      <w:r w:rsidR="00815B1F" w:rsidRPr="00794CDD">
        <w:rPr>
          <w:rFonts w:ascii="Arial" w:hAnsi="Arial" w:cs="Arial"/>
          <w:sz w:val="16"/>
          <w:szCs w:val="16"/>
        </w:rPr>
        <w:t xml:space="preserve">: </w:t>
      </w:r>
      <w:r w:rsidR="005A0BCD" w:rsidRPr="00794CDD">
        <w:rPr>
          <w:rFonts w:ascii="Arial" w:hAnsi="Arial" w:cs="Arial"/>
          <w:sz w:val="16"/>
          <w:szCs w:val="16"/>
        </w:rPr>
        <w:t xml:space="preserve">+/-, with or without; BRCA, breast cancer </w:t>
      </w:r>
      <w:r w:rsidR="00257040" w:rsidRPr="00794CDD">
        <w:rPr>
          <w:rFonts w:ascii="Arial" w:hAnsi="Arial" w:cs="Arial"/>
          <w:sz w:val="16"/>
          <w:szCs w:val="16"/>
        </w:rPr>
        <w:t>gene; PARPi, poly (ADP-ribose) polymerase inhibitor; PFI, platinum-free interval until relapse; PLD, pegylated liposomal doxorubicin</w:t>
      </w:r>
      <w:r w:rsidR="007F50EA" w:rsidRPr="00794CDD">
        <w:rPr>
          <w:rFonts w:ascii="Arial" w:hAnsi="Arial" w:cs="Arial"/>
          <w:sz w:val="16"/>
          <w:szCs w:val="16"/>
        </w:rPr>
        <w:t xml:space="preserve">. </w:t>
      </w:r>
      <w:r w:rsidR="004306E1" w:rsidRPr="00794CDD">
        <w:rPr>
          <w:rFonts w:ascii="Arial" w:hAnsi="Arial" w:cs="Arial"/>
          <w:sz w:val="16"/>
          <w:szCs w:val="16"/>
        </w:rPr>
        <w:t>HRD, homologous recombination deficiency.</w:t>
      </w:r>
      <w:r w:rsidR="00AC7C83" w:rsidRPr="00794CDD">
        <w:rPr>
          <w:rFonts w:ascii="Arial" w:hAnsi="Arial" w:cs="Arial"/>
          <w:sz w:val="16"/>
          <w:szCs w:val="16"/>
        </w:rPr>
        <w:br/>
      </w:r>
      <w:r w:rsidR="00CE2BC4">
        <w:rPr>
          <w:rFonts w:ascii="Arial" w:hAnsi="Arial" w:cs="Arial"/>
          <w:sz w:val="16"/>
          <w:szCs w:val="16"/>
          <w:lang w:val="en-US"/>
        </w:rPr>
        <w:t xml:space="preserve">1. </w:t>
      </w:r>
      <w:r w:rsidR="00075305" w:rsidRPr="00075305">
        <w:rPr>
          <w:rFonts w:ascii="Arial" w:hAnsi="Arial" w:cs="Arial"/>
          <w:sz w:val="16"/>
          <w:szCs w:val="16"/>
          <w:lang w:val="en-US"/>
        </w:rPr>
        <w:t>PSOC = platinum sensitive ovarian cancer. Traditionally defined as a platinum-free interval before recurrence of ≥6 months. Latest guidelines by ESMO</w:t>
      </w:r>
      <w:r w:rsidR="00EC455C">
        <w:rPr>
          <w:rFonts w:ascii="Arial" w:hAnsi="Arial" w:cs="Arial"/>
          <w:sz w:val="16"/>
          <w:szCs w:val="16"/>
          <w:lang w:val="en-US"/>
        </w:rPr>
        <w:t xml:space="preserve"> </w:t>
      </w:r>
      <w:r w:rsidR="00075305" w:rsidRPr="00075305">
        <w:rPr>
          <w:rFonts w:ascii="Arial" w:hAnsi="Arial" w:cs="Arial"/>
          <w:sz w:val="16"/>
          <w:szCs w:val="16"/>
          <w:lang w:val="en-US"/>
        </w:rPr>
        <w:t xml:space="preserve">indicate this decision is driven by </w:t>
      </w:r>
      <w:r w:rsidR="00CF7B23">
        <w:rPr>
          <w:rFonts w:ascii="Arial" w:hAnsi="Arial" w:cs="Arial"/>
          <w:sz w:val="16"/>
          <w:szCs w:val="16"/>
          <w:lang w:val="en-US"/>
        </w:rPr>
        <w:t xml:space="preserve">several </w:t>
      </w:r>
      <w:r w:rsidR="00075305" w:rsidRPr="00075305">
        <w:rPr>
          <w:rFonts w:ascii="Arial" w:hAnsi="Arial" w:cs="Arial"/>
          <w:sz w:val="16"/>
          <w:szCs w:val="16"/>
          <w:lang w:val="en-US"/>
        </w:rPr>
        <w:t>patient characteristics</w:t>
      </w:r>
      <w:r w:rsidR="00CF7B23">
        <w:rPr>
          <w:rFonts w:ascii="Arial" w:hAnsi="Arial" w:cs="Arial"/>
          <w:sz w:val="16"/>
          <w:szCs w:val="16"/>
          <w:lang w:val="en-US"/>
        </w:rPr>
        <w:t xml:space="preserve"> described in the paragraph </w:t>
      </w:r>
      <w:r w:rsidR="00482201">
        <w:rPr>
          <w:rFonts w:ascii="Arial" w:hAnsi="Arial" w:cs="Arial"/>
          <w:sz w:val="16"/>
          <w:szCs w:val="16"/>
          <w:lang w:val="en-US"/>
        </w:rPr>
        <w:t>above.</w:t>
      </w:r>
    </w:p>
    <w:p w14:paraId="75A1B301" w14:textId="26A1339A" w:rsidR="00075305" w:rsidRPr="00075305" w:rsidRDefault="00CE2BC4" w:rsidP="00AE2E58">
      <w:pPr>
        <w:keepNext/>
        <w:spacing w:after="0"/>
        <w:rPr>
          <w:rFonts w:ascii="Arial" w:hAnsi="Arial" w:cs="Arial"/>
          <w:sz w:val="16"/>
          <w:szCs w:val="16"/>
          <w:lang w:val="en-US"/>
        </w:rPr>
      </w:pPr>
      <w:r>
        <w:rPr>
          <w:rFonts w:ascii="Arial" w:hAnsi="Arial" w:cs="Arial"/>
          <w:sz w:val="16"/>
          <w:szCs w:val="16"/>
          <w:lang w:val="en-US"/>
        </w:rPr>
        <w:t xml:space="preserve">2. </w:t>
      </w:r>
      <w:r w:rsidR="00075305" w:rsidRPr="00075305">
        <w:rPr>
          <w:rFonts w:ascii="Arial" w:hAnsi="Arial" w:cs="Arial"/>
          <w:sz w:val="16"/>
          <w:szCs w:val="16"/>
          <w:lang w:val="en-US"/>
        </w:rPr>
        <w:t>PROC = platinum-resistant ovarian cancer. Traditionally defined as a platinum-free interval before recurrence of ≤6 months. Latest guidelines by ESMO (2023) indicate this decision is driven by</w:t>
      </w:r>
      <w:r w:rsidR="005F4506" w:rsidRPr="005F4506">
        <w:rPr>
          <w:rFonts w:ascii="Arial" w:hAnsi="Arial" w:cs="Arial"/>
          <w:sz w:val="16"/>
          <w:szCs w:val="16"/>
          <w:lang w:val="en-US"/>
        </w:rPr>
        <w:t xml:space="preserve"> </w:t>
      </w:r>
      <w:r w:rsidR="005F4506">
        <w:rPr>
          <w:rFonts w:ascii="Arial" w:hAnsi="Arial" w:cs="Arial"/>
          <w:sz w:val="16"/>
          <w:szCs w:val="16"/>
          <w:lang w:val="en-US"/>
        </w:rPr>
        <w:t xml:space="preserve">several </w:t>
      </w:r>
      <w:r w:rsidR="005F4506" w:rsidRPr="00075305">
        <w:rPr>
          <w:rFonts w:ascii="Arial" w:hAnsi="Arial" w:cs="Arial"/>
          <w:sz w:val="16"/>
          <w:szCs w:val="16"/>
          <w:lang w:val="en-US"/>
        </w:rPr>
        <w:t>patient characteristics</w:t>
      </w:r>
      <w:r w:rsidR="005F4506">
        <w:rPr>
          <w:rFonts w:ascii="Arial" w:hAnsi="Arial" w:cs="Arial"/>
          <w:sz w:val="16"/>
          <w:szCs w:val="16"/>
          <w:lang w:val="en-US"/>
        </w:rPr>
        <w:t xml:space="preserve"> described in the paragraph </w:t>
      </w:r>
      <w:r w:rsidR="00482201">
        <w:rPr>
          <w:rFonts w:ascii="Arial" w:hAnsi="Arial" w:cs="Arial"/>
          <w:sz w:val="16"/>
          <w:szCs w:val="16"/>
          <w:lang w:val="en-US"/>
        </w:rPr>
        <w:t>above.</w:t>
      </w:r>
    </w:p>
    <w:p w14:paraId="392946D3" w14:textId="12082C90" w:rsidR="00E25E5D" w:rsidRPr="00D77020" w:rsidRDefault="00075305" w:rsidP="00AE2E58">
      <w:pPr>
        <w:keepNext/>
        <w:spacing w:after="0"/>
        <w:rPr>
          <w:rFonts w:ascii="Arial" w:hAnsi="Arial" w:cs="Arial"/>
          <w:sz w:val="18"/>
          <w:szCs w:val="18"/>
        </w:rPr>
      </w:pPr>
      <w:r w:rsidRPr="000C3BE6">
        <w:rPr>
          <w:rFonts w:ascii="Arial" w:hAnsi="Arial" w:cs="Arial"/>
          <w:b/>
          <w:bCs/>
          <w:sz w:val="16"/>
          <w:szCs w:val="16"/>
          <w:lang w:val="en-US"/>
        </w:rPr>
        <w:t>Dashed line</w:t>
      </w:r>
      <w:r w:rsidR="00737E71">
        <w:rPr>
          <w:rFonts w:ascii="Arial" w:hAnsi="Arial" w:cs="Arial"/>
          <w:b/>
          <w:bCs/>
          <w:sz w:val="16"/>
          <w:szCs w:val="16"/>
          <w:lang w:val="en-US"/>
        </w:rPr>
        <w:t>s</w:t>
      </w:r>
      <w:r w:rsidRPr="00075305">
        <w:rPr>
          <w:rFonts w:ascii="Arial" w:hAnsi="Arial" w:cs="Arial"/>
          <w:sz w:val="16"/>
          <w:szCs w:val="16"/>
          <w:lang w:val="en-US"/>
        </w:rPr>
        <w:t xml:space="preserve"> indicate how platinum-sensitive patients may become platinum resistant while progressing through therapy lines</w:t>
      </w:r>
      <w:r w:rsidR="00E046F9">
        <w:rPr>
          <w:rFonts w:ascii="Arial" w:hAnsi="Arial" w:cs="Arial"/>
          <w:sz w:val="16"/>
          <w:szCs w:val="16"/>
          <w:lang w:val="en-US"/>
        </w:rPr>
        <w:t>.</w:t>
      </w:r>
    </w:p>
    <w:p w14:paraId="4EE00181" w14:textId="77777777" w:rsidR="00837EA3" w:rsidRDefault="00837EA3" w:rsidP="00AE2E58">
      <w:pPr>
        <w:spacing w:after="160" w:line="259" w:lineRule="auto"/>
        <w:rPr>
          <w:rStyle w:val="Heading2Char"/>
          <w:rFonts w:ascii="Arial" w:hAnsi="Arial" w:cs="Arial"/>
        </w:rPr>
      </w:pPr>
      <w:r>
        <w:rPr>
          <w:rStyle w:val="Heading2Char"/>
          <w:rFonts w:ascii="Arial" w:hAnsi="Arial" w:cs="Arial"/>
        </w:rPr>
        <w:br w:type="page"/>
      </w:r>
    </w:p>
    <w:p w14:paraId="4131E93D" w14:textId="57220328" w:rsidR="005E1CFB" w:rsidRPr="00D77020" w:rsidRDefault="0090168B" w:rsidP="005675C6">
      <w:pPr>
        <w:spacing w:before="240"/>
        <w:rPr>
          <w:rFonts w:ascii="Arial" w:hAnsi="Arial" w:cs="Arial"/>
          <w:bCs/>
        </w:rPr>
      </w:pPr>
      <w:r w:rsidRPr="00D77020">
        <w:rPr>
          <w:rStyle w:val="Heading2Char"/>
          <w:rFonts w:ascii="Arial" w:hAnsi="Arial" w:cs="Arial"/>
        </w:rPr>
        <w:lastRenderedPageBreak/>
        <w:t>Is there any expectation that the clinical management algorithm before the health technology is used will change due to the introduction of the proposed health technology</w:t>
      </w:r>
      <w:r w:rsidR="005E1CFB" w:rsidRPr="00D77020">
        <w:rPr>
          <w:rStyle w:val="Heading2Char"/>
          <w:rFonts w:ascii="Arial" w:hAnsi="Arial" w:cs="Arial"/>
        </w:rPr>
        <w:t xml:space="preserve">? </w:t>
      </w:r>
    </w:p>
    <w:p w14:paraId="5469E6CC" w14:textId="26A7120D" w:rsidR="00011B66" w:rsidRPr="00D77020" w:rsidRDefault="00011B66" w:rsidP="00011B66">
      <w:pPr>
        <w:spacing w:line="276" w:lineRule="auto"/>
        <w:jc w:val="both"/>
        <w:rPr>
          <w:rStyle w:val="Heading2Char"/>
          <w:rFonts w:ascii="Arial" w:hAnsi="Arial" w:cs="Arial"/>
          <w:b w:val="0"/>
          <w:bCs w:val="0"/>
        </w:rPr>
      </w:pPr>
      <w:r w:rsidRPr="00D77020">
        <w:rPr>
          <w:rStyle w:val="Heading2Char"/>
          <w:rFonts w:ascii="Arial" w:hAnsi="Arial" w:cs="Arial"/>
          <w:b w:val="0"/>
          <w:bCs w:val="0"/>
        </w:rPr>
        <w:t>The proposed positioning of mirvetuximab soravtansine based on the clinical trial evidence of patients with FRα high tumour expression (new proposed MBS item), is in patients with platinum-resistant advanced ovarian cancer.</w:t>
      </w:r>
      <w:r w:rsidR="00445F00">
        <w:rPr>
          <w:rStyle w:val="Heading2Char"/>
          <w:rFonts w:ascii="Arial" w:hAnsi="Arial" w:cs="Arial"/>
          <w:b w:val="0"/>
          <w:bCs w:val="0"/>
        </w:rPr>
        <w:t xml:space="preserve"> </w:t>
      </w:r>
      <w:r w:rsidRPr="00D77020">
        <w:rPr>
          <w:rStyle w:val="Heading2Char"/>
          <w:rFonts w:ascii="Arial" w:hAnsi="Arial" w:cs="Arial"/>
          <w:b w:val="0"/>
          <w:bCs w:val="0"/>
        </w:rPr>
        <w:t xml:space="preserve">Mirvetuximab soravtansine could provide an alternative treatment agent to single agent chemotherapy in this subset of patients. </w:t>
      </w:r>
      <w:r w:rsidR="00FD5538">
        <w:rPr>
          <w:rStyle w:val="Heading2Char"/>
          <w:rFonts w:ascii="Arial" w:hAnsi="Arial" w:cs="Arial"/>
          <w:b w:val="0"/>
          <w:bCs w:val="0"/>
        </w:rPr>
        <w:t xml:space="preserve">For patients who receive mirvetuximab </w:t>
      </w:r>
      <w:r w:rsidR="000642B0" w:rsidRPr="00D77020">
        <w:rPr>
          <w:rStyle w:val="Heading2Char"/>
          <w:rFonts w:ascii="Arial" w:hAnsi="Arial" w:cs="Arial"/>
          <w:b w:val="0"/>
          <w:bCs w:val="0"/>
        </w:rPr>
        <w:t>soravtansine</w:t>
      </w:r>
      <w:r w:rsidR="00E46645">
        <w:rPr>
          <w:rStyle w:val="Heading2Char"/>
          <w:rFonts w:ascii="Arial" w:hAnsi="Arial" w:cs="Arial"/>
          <w:b w:val="0"/>
          <w:bCs w:val="0"/>
        </w:rPr>
        <w:t xml:space="preserve"> in second-line or beyond</w:t>
      </w:r>
      <w:r w:rsidR="00907267">
        <w:rPr>
          <w:rStyle w:val="Heading2Char"/>
          <w:rFonts w:ascii="Arial" w:hAnsi="Arial" w:cs="Arial"/>
          <w:b w:val="0"/>
          <w:bCs w:val="0"/>
        </w:rPr>
        <w:t>, they may still receive othe</w:t>
      </w:r>
      <w:r w:rsidR="00076AF6">
        <w:rPr>
          <w:rStyle w:val="Heading2Char"/>
          <w:rFonts w:ascii="Arial" w:hAnsi="Arial" w:cs="Arial"/>
          <w:b w:val="0"/>
          <w:bCs w:val="0"/>
        </w:rPr>
        <w:t xml:space="preserve">r existing options in </w:t>
      </w:r>
      <w:r w:rsidR="00694190">
        <w:rPr>
          <w:rStyle w:val="Heading2Char"/>
          <w:rFonts w:ascii="Arial" w:hAnsi="Arial" w:cs="Arial"/>
          <w:b w:val="0"/>
          <w:bCs w:val="0"/>
        </w:rPr>
        <w:t>preceding or subsequent</w:t>
      </w:r>
      <w:r w:rsidR="00076AF6">
        <w:rPr>
          <w:rStyle w:val="Heading2Char"/>
          <w:rFonts w:ascii="Arial" w:hAnsi="Arial" w:cs="Arial"/>
          <w:b w:val="0"/>
          <w:bCs w:val="0"/>
        </w:rPr>
        <w:t xml:space="preserve"> lines of therapy. </w:t>
      </w:r>
    </w:p>
    <w:p w14:paraId="7DC7FBAB" w14:textId="77777777" w:rsidR="00011B66" w:rsidRDefault="00011B66" w:rsidP="00011B66">
      <w:pPr>
        <w:spacing w:line="276" w:lineRule="auto"/>
        <w:jc w:val="both"/>
        <w:rPr>
          <w:rFonts w:ascii="Arial" w:eastAsia="Times New Roman" w:hAnsi="Arial" w:cs="Arial"/>
        </w:rPr>
      </w:pPr>
      <w:r w:rsidRPr="00D77020">
        <w:rPr>
          <w:rFonts w:ascii="Arial" w:eastAsia="Times New Roman" w:hAnsi="Arial" w:cs="Arial"/>
        </w:rPr>
        <w:t>The proposed algorithm may evolve based on clinician/expert feedback, which will be incorporated into the codependent PBAC/MSAC submissions. </w:t>
      </w:r>
    </w:p>
    <w:p w14:paraId="7F107EB9" w14:textId="63D21ACD" w:rsidR="008C20DC" w:rsidRPr="00EA1C5D" w:rsidRDefault="008C20DC" w:rsidP="008C20DC">
      <w:pPr>
        <w:pStyle w:val="Caption"/>
        <w:keepNext/>
        <w:spacing w:before="120" w:after="0"/>
        <w:rPr>
          <w:rFonts w:ascii="Arial" w:hAnsi="Arial" w:cs="Arial"/>
          <w:b/>
          <w:bCs/>
          <w:i w:val="0"/>
          <w:iCs w:val="0"/>
          <w:color w:val="auto"/>
          <w:sz w:val="22"/>
          <w:szCs w:val="22"/>
        </w:rPr>
      </w:pPr>
      <w:bookmarkStart w:id="6" w:name="_Ref162466931"/>
      <w:r w:rsidRPr="00EA1C5D">
        <w:rPr>
          <w:rFonts w:ascii="Arial" w:hAnsi="Arial" w:cs="Arial"/>
          <w:b/>
          <w:bCs/>
          <w:i w:val="0"/>
          <w:iCs w:val="0"/>
          <w:color w:val="auto"/>
          <w:sz w:val="22"/>
          <w:szCs w:val="22"/>
        </w:rPr>
        <w:t xml:space="preserve">Figure </w:t>
      </w:r>
      <w:r w:rsidRPr="00EA1C5D">
        <w:rPr>
          <w:rFonts w:ascii="Arial" w:hAnsi="Arial" w:cs="Arial"/>
          <w:b/>
          <w:bCs/>
          <w:i w:val="0"/>
          <w:iCs w:val="0"/>
          <w:color w:val="auto"/>
          <w:sz w:val="22"/>
          <w:szCs w:val="22"/>
        </w:rPr>
        <w:fldChar w:fldCharType="begin"/>
      </w:r>
      <w:r w:rsidRPr="00EA1C5D">
        <w:rPr>
          <w:rFonts w:ascii="Arial" w:hAnsi="Arial" w:cs="Arial"/>
          <w:b/>
          <w:bCs/>
          <w:i w:val="0"/>
          <w:iCs w:val="0"/>
          <w:color w:val="auto"/>
          <w:sz w:val="22"/>
          <w:szCs w:val="22"/>
        </w:rPr>
        <w:instrText xml:space="preserve"> SEQ Figure \* ARABIC </w:instrText>
      </w:r>
      <w:r w:rsidRPr="00EA1C5D">
        <w:rPr>
          <w:rFonts w:ascii="Arial" w:hAnsi="Arial" w:cs="Arial"/>
          <w:b/>
          <w:bCs/>
          <w:i w:val="0"/>
          <w:iCs w:val="0"/>
          <w:color w:val="auto"/>
          <w:sz w:val="22"/>
          <w:szCs w:val="22"/>
        </w:rPr>
        <w:fldChar w:fldCharType="separate"/>
      </w:r>
      <w:r w:rsidRPr="00EA1C5D">
        <w:rPr>
          <w:rFonts w:ascii="Arial" w:hAnsi="Arial" w:cs="Arial"/>
          <w:b/>
          <w:bCs/>
          <w:i w:val="0"/>
          <w:iCs w:val="0"/>
          <w:color w:val="auto"/>
          <w:sz w:val="22"/>
          <w:szCs w:val="22"/>
        </w:rPr>
        <w:t>2</w:t>
      </w:r>
      <w:r w:rsidRPr="00EA1C5D">
        <w:rPr>
          <w:rFonts w:ascii="Arial" w:hAnsi="Arial" w:cs="Arial"/>
          <w:b/>
          <w:bCs/>
          <w:i w:val="0"/>
          <w:iCs w:val="0"/>
          <w:color w:val="auto"/>
          <w:sz w:val="22"/>
          <w:szCs w:val="22"/>
        </w:rPr>
        <w:fldChar w:fldCharType="end"/>
      </w:r>
      <w:bookmarkEnd w:id="6"/>
      <w:r>
        <w:rPr>
          <w:rFonts w:ascii="Arial" w:hAnsi="Arial" w:cs="Arial"/>
          <w:b/>
          <w:bCs/>
          <w:i w:val="0"/>
          <w:iCs w:val="0"/>
          <w:color w:val="auto"/>
          <w:sz w:val="22"/>
          <w:szCs w:val="22"/>
        </w:rPr>
        <w:tab/>
      </w:r>
      <w:r w:rsidR="00445F00" w:rsidRPr="00EA1C5D">
        <w:rPr>
          <w:rFonts w:ascii="Arial" w:hAnsi="Arial" w:cs="Arial"/>
          <w:b/>
          <w:bCs/>
          <w:i w:val="0"/>
          <w:iCs w:val="0"/>
          <w:color w:val="auto"/>
          <w:sz w:val="22"/>
          <w:szCs w:val="22"/>
        </w:rPr>
        <w:t>Proposed future treatment algorithm</w:t>
      </w:r>
    </w:p>
    <w:p w14:paraId="36DA8135" w14:textId="0D4BB487" w:rsidR="008C20DC" w:rsidRPr="00D77020" w:rsidRDefault="00AE2E58" w:rsidP="008C20DC">
      <w:pPr>
        <w:keepNext/>
        <w:rPr>
          <w:rFonts w:ascii="Arial" w:hAnsi="Arial" w:cs="Arial"/>
          <w:sz w:val="18"/>
          <w:szCs w:val="18"/>
        </w:rPr>
      </w:pPr>
      <w:r>
        <w:rPr>
          <w:rFonts w:ascii="Arial" w:hAnsi="Arial" w:cs="Arial"/>
          <w:noProof/>
        </w:rPr>
        <w:drawing>
          <wp:inline distT="0" distB="0" distL="0" distR="0" wp14:anchorId="2C594BDA" wp14:editId="4C0B5940">
            <wp:extent cx="5897880" cy="5711076"/>
            <wp:effectExtent l="19050" t="19050" r="26670" b="23495"/>
            <wp:docPr id="440377848" name="Picture 2" descr="Proposed future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77848" name="Picture 2" descr="Proposed future treatment algorith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897880" cy="5711076"/>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29BA297" w14:textId="431BC4FD" w:rsidR="002E48F5" w:rsidRPr="001E2951" w:rsidRDefault="00B74435" w:rsidP="00F34CCB">
      <w:pPr>
        <w:spacing w:after="0"/>
        <w:rPr>
          <w:rFonts w:ascii="Arial" w:hAnsi="Arial" w:cs="Arial"/>
          <w:sz w:val="16"/>
          <w:szCs w:val="16"/>
        </w:rPr>
      </w:pPr>
      <w:r>
        <w:rPr>
          <w:rFonts w:ascii="Arial" w:hAnsi="Arial" w:cs="Arial"/>
          <w:sz w:val="16"/>
          <w:szCs w:val="16"/>
        </w:rPr>
        <w:t xml:space="preserve">Sources: Ledermann et al 2024; </w:t>
      </w:r>
      <w:r w:rsidRPr="00911206">
        <w:rPr>
          <w:rFonts w:ascii="Arial" w:hAnsi="Arial" w:cs="Arial"/>
          <w:sz w:val="16"/>
          <w:szCs w:val="16"/>
        </w:rPr>
        <w:t>González-Martín et al (2023)</w:t>
      </w:r>
      <w:r>
        <w:rPr>
          <w:rFonts w:ascii="Arial" w:hAnsi="Arial" w:cs="Arial"/>
          <w:sz w:val="16"/>
          <w:szCs w:val="16"/>
        </w:rPr>
        <w:t>; PBS Website.</w:t>
      </w:r>
      <w:r>
        <w:rPr>
          <w:rFonts w:ascii="Arial" w:hAnsi="Arial" w:cs="Arial"/>
          <w:sz w:val="16"/>
          <w:szCs w:val="16"/>
        </w:rPr>
        <w:br/>
      </w:r>
      <w:r w:rsidR="002E48F5" w:rsidRPr="001E2951">
        <w:rPr>
          <w:rFonts w:ascii="Arial" w:hAnsi="Arial" w:cs="Arial"/>
          <w:sz w:val="16"/>
          <w:szCs w:val="16"/>
        </w:rPr>
        <w:t>Abbreviations: +/-, with or without; BRCA, breast cancer gene; PARPi, poly (ADP-ribose) polymerase inhibitor; PFI, platinum-free interval until relapse; PLD, pegylated liposomal doxorubicin. HRD, homologous recombination deficiency.</w:t>
      </w:r>
    </w:p>
    <w:p w14:paraId="24C14A26" w14:textId="77777777" w:rsidR="009E185E" w:rsidRPr="009E185E" w:rsidRDefault="009E185E" w:rsidP="00F34CCB">
      <w:pPr>
        <w:spacing w:after="0"/>
        <w:rPr>
          <w:rFonts w:ascii="Arial" w:hAnsi="Arial" w:cs="Arial"/>
          <w:sz w:val="16"/>
          <w:szCs w:val="16"/>
        </w:rPr>
      </w:pPr>
      <w:r w:rsidRPr="009E185E">
        <w:rPr>
          <w:rFonts w:ascii="Arial" w:hAnsi="Arial" w:cs="Arial"/>
          <w:sz w:val="16"/>
          <w:szCs w:val="16"/>
        </w:rPr>
        <w:t>1. PSOC = platinum sensitive ovarian cancer. Traditionally defined as a platinum-free interval before recurrence of ≥6 months. Latest guidelines by ESMO indicate this decision is driven by patient characteristics/not solely by 6 month time period.13</w:t>
      </w:r>
    </w:p>
    <w:p w14:paraId="38A93748" w14:textId="1D258E69" w:rsidR="00515CAB" w:rsidRPr="001E2951" w:rsidRDefault="009E185E" w:rsidP="00F34CCB">
      <w:pPr>
        <w:spacing w:after="0"/>
        <w:rPr>
          <w:rFonts w:ascii="Arial" w:hAnsi="Arial" w:cs="Arial"/>
          <w:sz w:val="16"/>
          <w:szCs w:val="16"/>
        </w:rPr>
      </w:pPr>
      <w:r w:rsidRPr="009E185E">
        <w:rPr>
          <w:rFonts w:ascii="Arial" w:hAnsi="Arial" w:cs="Arial"/>
          <w:sz w:val="16"/>
          <w:szCs w:val="16"/>
        </w:rPr>
        <w:t>2. PROC = platinum-resistant ovarian cancer. Traditionally defined as a platinum-free interval before recurrence of ≤6 months. Latest guidelines by ESMO (2023) indicate this decision is driven by patient characteristics/not solely by 6 month time period, e.g., this group represents all patients where “platinum is not the best option” including for patient choice/quality of life reasons.13</w:t>
      </w:r>
      <w:r>
        <w:rPr>
          <w:rFonts w:ascii="Arial" w:hAnsi="Arial" w:cs="Arial"/>
          <w:sz w:val="16"/>
          <w:szCs w:val="16"/>
        </w:rPr>
        <w:br/>
      </w:r>
      <w:r w:rsidR="00515CAB">
        <w:rPr>
          <w:rFonts w:ascii="Arial" w:hAnsi="Arial" w:cs="Arial"/>
          <w:sz w:val="16"/>
          <w:szCs w:val="16"/>
        </w:rPr>
        <w:t>3. High FR</w:t>
      </w:r>
      <w:r w:rsidR="00AB158F">
        <w:rPr>
          <w:rFonts w:ascii="Roboto" w:hAnsi="Roboto" w:cs="Arial"/>
          <w:sz w:val="16"/>
          <w:szCs w:val="16"/>
        </w:rPr>
        <w:t>α</w:t>
      </w:r>
      <w:r w:rsidR="00515CAB">
        <w:rPr>
          <w:rFonts w:ascii="Arial" w:hAnsi="Arial" w:cs="Arial"/>
          <w:sz w:val="16"/>
          <w:szCs w:val="16"/>
        </w:rPr>
        <w:t xml:space="preserve"> expression to be determined by</w:t>
      </w:r>
      <w:r w:rsidR="00B01177">
        <w:rPr>
          <w:rFonts w:ascii="Arial" w:hAnsi="Arial" w:cs="Arial"/>
          <w:sz w:val="16"/>
          <w:szCs w:val="16"/>
        </w:rPr>
        <w:t xml:space="preserve"> new MBS item -</w:t>
      </w:r>
      <w:r w:rsidR="00515CAB">
        <w:rPr>
          <w:rFonts w:ascii="Arial" w:hAnsi="Arial" w:cs="Arial"/>
          <w:sz w:val="16"/>
          <w:szCs w:val="16"/>
        </w:rPr>
        <w:t xml:space="preserve"> VENTANA FOLR1 </w:t>
      </w:r>
      <w:r w:rsidR="004D3C4B">
        <w:rPr>
          <w:rFonts w:ascii="Arial" w:hAnsi="Arial" w:cs="Arial"/>
          <w:sz w:val="16"/>
          <w:szCs w:val="16"/>
        </w:rPr>
        <w:t xml:space="preserve">immunohistochemistry </w:t>
      </w:r>
      <w:r w:rsidR="00515CAB">
        <w:rPr>
          <w:rFonts w:ascii="Arial" w:hAnsi="Arial" w:cs="Arial"/>
          <w:sz w:val="16"/>
          <w:szCs w:val="16"/>
        </w:rPr>
        <w:t xml:space="preserve"> test, with ≥75% of expression on tumour cel</w:t>
      </w:r>
      <w:r w:rsidR="006A5370">
        <w:rPr>
          <w:rFonts w:ascii="Arial" w:hAnsi="Arial" w:cs="Arial"/>
          <w:sz w:val="16"/>
          <w:szCs w:val="16"/>
        </w:rPr>
        <w:t>ls</w:t>
      </w:r>
      <w:r w:rsidR="0068479B">
        <w:rPr>
          <w:rFonts w:ascii="Arial" w:hAnsi="Arial" w:cs="Arial"/>
          <w:sz w:val="16"/>
          <w:szCs w:val="16"/>
        </w:rPr>
        <w:t xml:space="preserve">. </w:t>
      </w:r>
    </w:p>
    <w:p w14:paraId="36668D0B" w14:textId="5F001D6A" w:rsidR="000222C0" w:rsidRPr="001E2951" w:rsidRDefault="002E48F5" w:rsidP="00F34CCB">
      <w:pPr>
        <w:spacing w:after="0"/>
        <w:rPr>
          <w:rFonts w:ascii="Arial" w:eastAsia="Times New Roman" w:hAnsi="Arial" w:cs="Arial"/>
          <w:sz w:val="20"/>
          <w:szCs w:val="20"/>
        </w:rPr>
      </w:pPr>
      <w:r w:rsidRPr="00F81A2E">
        <w:rPr>
          <w:rFonts w:ascii="Arial" w:hAnsi="Arial" w:cs="Arial"/>
          <w:b/>
          <w:bCs/>
          <w:sz w:val="16"/>
          <w:szCs w:val="16"/>
        </w:rPr>
        <w:t>Dashed line</w:t>
      </w:r>
      <w:r w:rsidR="00F81A2E" w:rsidRPr="00F81A2E">
        <w:rPr>
          <w:rFonts w:ascii="Arial" w:hAnsi="Arial" w:cs="Arial"/>
          <w:b/>
          <w:bCs/>
          <w:sz w:val="16"/>
          <w:szCs w:val="16"/>
        </w:rPr>
        <w:t>s</w:t>
      </w:r>
      <w:r w:rsidRPr="001E2951">
        <w:rPr>
          <w:rFonts w:ascii="Arial" w:hAnsi="Arial" w:cs="Arial"/>
          <w:sz w:val="16"/>
          <w:szCs w:val="16"/>
        </w:rPr>
        <w:t xml:space="preserve"> indicate how platinum-sensitive patients may become platinum resistant while progressing through therapy lines</w:t>
      </w:r>
      <w:r w:rsidR="00347876">
        <w:rPr>
          <w:rFonts w:ascii="Arial" w:hAnsi="Arial" w:cs="Arial"/>
          <w:sz w:val="16"/>
          <w:szCs w:val="16"/>
        </w:rPr>
        <w:t>.</w:t>
      </w:r>
    </w:p>
    <w:p w14:paraId="0EA69E70" w14:textId="22879896" w:rsidR="005E1CFB" w:rsidRPr="00D77020" w:rsidRDefault="0090168B" w:rsidP="000C50A2">
      <w:pPr>
        <w:pStyle w:val="Heading2"/>
        <w:keepNext/>
        <w:keepLines/>
        <w:rPr>
          <w:rFonts w:ascii="Arial" w:hAnsi="Arial" w:cs="Arial"/>
        </w:rPr>
      </w:pPr>
      <w:r w:rsidRPr="00D77020">
        <w:rPr>
          <w:rFonts w:ascii="Arial" w:hAnsi="Arial" w:cs="Arial"/>
        </w:rPr>
        <w:lastRenderedPageBreak/>
        <w:t xml:space="preserve">Describe and explain any differences in the clinical management algorithm prior to the use of the </w:t>
      </w:r>
      <w:r w:rsidRPr="00D77020">
        <w:rPr>
          <w:rFonts w:ascii="Arial" w:hAnsi="Arial" w:cs="Arial"/>
          <w:u w:val="single"/>
        </w:rPr>
        <w:t>proposed health technology</w:t>
      </w:r>
      <w:r w:rsidRPr="00D77020">
        <w:rPr>
          <w:rFonts w:ascii="Arial" w:hAnsi="Arial" w:cs="Arial"/>
        </w:rPr>
        <w:t xml:space="preserve"> vs. the </w:t>
      </w:r>
      <w:r w:rsidRPr="00D77020">
        <w:rPr>
          <w:rFonts w:ascii="Arial" w:hAnsi="Arial" w:cs="Arial"/>
          <w:u w:val="single"/>
        </w:rPr>
        <w:t>comparator health technology</w:t>
      </w:r>
      <w:r w:rsidR="005E1CFB" w:rsidRPr="00D77020">
        <w:rPr>
          <w:rFonts w:ascii="Arial" w:hAnsi="Arial" w:cs="Arial"/>
        </w:rPr>
        <w:t>:</w:t>
      </w:r>
    </w:p>
    <w:p w14:paraId="2898E570" w14:textId="2404DE16" w:rsidR="002565F5" w:rsidRDefault="002565F5" w:rsidP="00445E99">
      <w:pPr>
        <w:keepNext/>
        <w:keepLines/>
        <w:spacing w:before="120" w:line="276" w:lineRule="auto"/>
        <w:jc w:val="both"/>
        <w:rPr>
          <w:rFonts w:ascii="Arial" w:hAnsi="Arial" w:cs="Arial"/>
        </w:rPr>
      </w:pPr>
      <w:r>
        <w:rPr>
          <w:rFonts w:ascii="Arial" w:hAnsi="Arial" w:cs="Arial"/>
        </w:rPr>
        <w:t>As described in the items above,</w:t>
      </w:r>
      <w:r w:rsidR="00C9305C">
        <w:rPr>
          <w:rFonts w:ascii="Arial" w:hAnsi="Arial" w:cs="Arial"/>
        </w:rPr>
        <w:t xml:space="preserve"> the use of the Ventana FOLR1 test will be introduced </w:t>
      </w:r>
      <w:r w:rsidR="00BA509F">
        <w:rPr>
          <w:rFonts w:ascii="Arial" w:hAnsi="Arial" w:cs="Arial"/>
        </w:rPr>
        <w:t>to replace no testing for patients with platinum-resistant ovarian cancer. I</w:t>
      </w:r>
      <w:r w:rsidR="00445E99">
        <w:rPr>
          <w:rFonts w:ascii="Arial" w:hAnsi="Arial" w:cs="Arial"/>
        </w:rPr>
        <w:t xml:space="preserve">n </w:t>
      </w:r>
      <w:r w:rsidR="00BA509F">
        <w:rPr>
          <w:rFonts w:ascii="Arial" w:hAnsi="Arial" w:cs="Arial"/>
        </w:rPr>
        <w:t xml:space="preserve">eligible </w:t>
      </w:r>
      <w:r w:rsidR="00F46649">
        <w:rPr>
          <w:rFonts w:ascii="Arial" w:hAnsi="Arial" w:cs="Arial"/>
        </w:rPr>
        <w:t>patients</w:t>
      </w:r>
      <w:r w:rsidR="00BA509F">
        <w:rPr>
          <w:rFonts w:ascii="Arial" w:hAnsi="Arial" w:cs="Arial"/>
        </w:rPr>
        <w:t xml:space="preserve"> </w:t>
      </w:r>
      <w:r w:rsidR="00F46649">
        <w:rPr>
          <w:rFonts w:ascii="Arial" w:hAnsi="Arial" w:cs="Arial"/>
        </w:rPr>
        <w:t>identified</w:t>
      </w:r>
      <w:r w:rsidR="00BA509F">
        <w:rPr>
          <w:rFonts w:ascii="Arial" w:hAnsi="Arial" w:cs="Arial"/>
        </w:rPr>
        <w:t xml:space="preserve"> using the test, the use of </w:t>
      </w:r>
      <w:r w:rsidR="00BA509F" w:rsidRPr="00BA509F">
        <w:rPr>
          <w:rFonts w:ascii="Arial" w:hAnsi="Arial" w:cs="Arial"/>
        </w:rPr>
        <w:t>mirvetuximab soravtansine</w:t>
      </w:r>
      <w:r w:rsidR="00BA509F">
        <w:rPr>
          <w:rFonts w:ascii="Arial" w:hAnsi="Arial" w:cs="Arial"/>
        </w:rPr>
        <w:t xml:space="preserve"> will replace the use of </w:t>
      </w:r>
      <w:r w:rsidR="00D84DAC">
        <w:rPr>
          <w:rFonts w:ascii="Arial" w:hAnsi="Arial" w:cs="Arial"/>
        </w:rPr>
        <w:t xml:space="preserve">chemotherapy and supportive care options. </w:t>
      </w:r>
      <w:r w:rsidR="001948FD">
        <w:rPr>
          <w:rFonts w:ascii="Arial" w:hAnsi="Arial" w:cs="Arial"/>
        </w:rPr>
        <w:t xml:space="preserve"> </w:t>
      </w:r>
    </w:p>
    <w:p w14:paraId="2AEB8C28" w14:textId="17DF89E6" w:rsidR="00F16239" w:rsidRPr="00D77020" w:rsidRDefault="00EA0AA0" w:rsidP="00BC66EE">
      <w:pPr>
        <w:pStyle w:val="Heading2"/>
        <w:spacing w:before="120" w:after="120" w:line="276" w:lineRule="auto"/>
        <w:jc w:val="both"/>
        <w:rPr>
          <w:rFonts w:ascii="Arial" w:hAnsi="Arial" w:cs="Arial"/>
          <w:u w:val="single"/>
        </w:rPr>
      </w:pPr>
      <w:r w:rsidRPr="00D77020">
        <w:rPr>
          <w:rFonts w:ascii="Arial" w:hAnsi="Arial" w:cs="Arial"/>
          <w:u w:val="single"/>
        </w:rPr>
        <w:t>USE OF THE HEALTH TECHNOLOGY</w:t>
      </w:r>
    </w:p>
    <w:p w14:paraId="7C130FEF" w14:textId="04FF653C" w:rsidR="0090168B" w:rsidRPr="00D77020" w:rsidRDefault="00F16239" w:rsidP="00BC66EE">
      <w:pPr>
        <w:pStyle w:val="Heading2"/>
        <w:spacing w:before="120" w:after="120" w:line="276" w:lineRule="auto"/>
        <w:jc w:val="both"/>
        <w:rPr>
          <w:rFonts w:ascii="Arial" w:hAnsi="Arial" w:cs="Arial"/>
        </w:rPr>
      </w:pPr>
      <w:r w:rsidRPr="00D77020">
        <w:rPr>
          <w:rFonts w:ascii="Arial" w:hAnsi="Arial" w:cs="Arial"/>
        </w:rPr>
        <w:t xml:space="preserve">Explain what other healthcare resources are used in conjunction with delivering the </w:t>
      </w:r>
      <w:r w:rsidRPr="00D77020">
        <w:rPr>
          <w:rFonts w:ascii="Arial" w:hAnsi="Arial" w:cs="Arial"/>
          <w:u w:val="single"/>
        </w:rPr>
        <w:t>proposed health technology</w:t>
      </w:r>
      <w:r w:rsidR="0090168B" w:rsidRPr="00D77020">
        <w:rPr>
          <w:rFonts w:ascii="Arial" w:hAnsi="Arial" w:cs="Arial"/>
        </w:rPr>
        <w:t>:</w:t>
      </w:r>
    </w:p>
    <w:p w14:paraId="0F6AD720" w14:textId="1E4A9818" w:rsidR="00E02AA0" w:rsidRPr="00D77020" w:rsidRDefault="00E02AA0" w:rsidP="00BC66EE">
      <w:pPr>
        <w:pStyle w:val="Heading2"/>
        <w:spacing w:before="120" w:after="120" w:line="276" w:lineRule="auto"/>
        <w:jc w:val="both"/>
        <w:rPr>
          <w:rFonts w:ascii="Arial" w:hAnsi="Arial" w:cs="Arial"/>
          <w:b w:val="0"/>
          <w:bCs w:val="0"/>
        </w:rPr>
      </w:pPr>
      <w:r w:rsidRPr="00D77020">
        <w:rPr>
          <w:rFonts w:ascii="Arial" w:hAnsi="Arial" w:cs="Arial"/>
          <w:b w:val="0"/>
          <w:bCs w:val="0"/>
        </w:rPr>
        <w:t xml:space="preserve">Healthcare resources that are used in conjunction with </w:t>
      </w:r>
      <w:r w:rsidR="0079082F" w:rsidRPr="00D77020">
        <w:rPr>
          <w:rFonts w:ascii="Arial" w:hAnsi="Arial" w:cs="Arial"/>
          <w:b w:val="0"/>
          <w:bCs w:val="0"/>
        </w:rPr>
        <w:t xml:space="preserve">Ventana </w:t>
      </w:r>
      <w:r w:rsidRPr="00D77020">
        <w:rPr>
          <w:rFonts w:ascii="Arial" w:hAnsi="Arial" w:cs="Arial"/>
          <w:b w:val="0"/>
          <w:bCs w:val="0"/>
        </w:rPr>
        <w:t xml:space="preserve">FOLR1 IHC testing include </w:t>
      </w:r>
      <w:r w:rsidR="00A86AC1" w:rsidRPr="00D77020">
        <w:rPr>
          <w:rFonts w:ascii="Arial" w:hAnsi="Arial" w:cs="Arial"/>
          <w:b w:val="0"/>
          <w:bCs w:val="0"/>
        </w:rPr>
        <w:t>obtaining tumour tissue specime</w:t>
      </w:r>
      <w:r w:rsidR="00C61BB1" w:rsidRPr="00D77020">
        <w:rPr>
          <w:rFonts w:ascii="Arial" w:hAnsi="Arial" w:cs="Arial"/>
          <w:b w:val="0"/>
          <w:bCs w:val="0"/>
        </w:rPr>
        <w:t>n</w:t>
      </w:r>
      <w:r w:rsidRPr="00D77020">
        <w:rPr>
          <w:rFonts w:ascii="Arial" w:hAnsi="Arial" w:cs="Arial"/>
          <w:b w:val="0"/>
          <w:bCs w:val="0"/>
        </w:rPr>
        <w:t>, which is already being conducted</w:t>
      </w:r>
      <w:r w:rsidR="00D14468" w:rsidRPr="00D77020">
        <w:rPr>
          <w:rFonts w:ascii="Arial" w:hAnsi="Arial" w:cs="Arial"/>
          <w:b w:val="0"/>
          <w:bCs w:val="0"/>
        </w:rPr>
        <w:t xml:space="preserve"> as part of routine care</w:t>
      </w:r>
      <w:r w:rsidR="000F629A" w:rsidRPr="00D77020">
        <w:rPr>
          <w:rFonts w:ascii="Arial" w:hAnsi="Arial" w:cs="Arial"/>
          <w:b w:val="0"/>
          <w:bCs w:val="0"/>
        </w:rPr>
        <w:t xml:space="preserve"> (</w:t>
      </w:r>
      <w:r w:rsidR="00482201" w:rsidRPr="00D77020">
        <w:rPr>
          <w:rFonts w:ascii="Arial" w:hAnsi="Arial" w:cs="Arial"/>
          <w:b w:val="0"/>
          <w:bCs w:val="0"/>
        </w:rPr>
        <w:t>e.g.</w:t>
      </w:r>
      <w:r w:rsidR="000F629A" w:rsidRPr="00D77020">
        <w:rPr>
          <w:rFonts w:ascii="Arial" w:hAnsi="Arial" w:cs="Arial"/>
          <w:b w:val="0"/>
          <w:bCs w:val="0"/>
        </w:rPr>
        <w:t xml:space="preserve"> tumour debulking or biopsy)</w:t>
      </w:r>
      <w:r w:rsidRPr="00D77020">
        <w:rPr>
          <w:rFonts w:ascii="Arial" w:hAnsi="Arial" w:cs="Arial"/>
          <w:b w:val="0"/>
          <w:bCs w:val="0"/>
        </w:rPr>
        <w:t xml:space="preserve">, </w:t>
      </w:r>
      <w:r w:rsidR="00F17717" w:rsidRPr="00D77020">
        <w:rPr>
          <w:rFonts w:ascii="Arial" w:hAnsi="Arial" w:cs="Arial"/>
          <w:b w:val="0"/>
          <w:bCs w:val="0"/>
        </w:rPr>
        <w:t xml:space="preserve">therefore </w:t>
      </w:r>
      <w:r w:rsidRPr="00D77020">
        <w:rPr>
          <w:rFonts w:ascii="Arial" w:hAnsi="Arial" w:cs="Arial"/>
          <w:b w:val="0"/>
          <w:bCs w:val="0"/>
        </w:rPr>
        <w:t xml:space="preserve">no additional costs </w:t>
      </w:r>
      <w:r w:rsidR="00C72F52" w:rsidRPr="00D77020">
        <w:rPr>
          <w:rFonts w:ascii="Arial" w:hAnsi="Arial" w:cs="Arial"/>
          <w:b w:val="0"/>
          <w:bCs w:val="0"/>
        </w:rPr>
        <w:t>associated.</w:t>
      </w:r>
    </w:p>
    <w:p w14:paraId="38D2ADE7" w14:textId="11FF6FA5" w:rsidR="0090168B" w:rsidRPr="00D77020" w:rsidRDefault="00F16239" w:rsidP="00BC66EE">
      <w:pPr>
        <w:pStyle w:val="Heading2"/>
        <w:spacing w:before="120" w:after="120" w:line="276" w:lineRule="auto"/>
        <w:jc w:val="both"/>
        <w:rPr>
          <w:rFonts w:ascii="Arial" w:hAnsi="Arial" w:cs="Arial"/>
        </w:rPr>
      </w:pPr>
      <w:r w:rsidRPr="00D77020">
        <w:rPr>
          <w:rFonts w:ascii="Arial" w:hAnsi="Arial" w:cs="Arial"/>
        </w:rPr>
        <w:t xml:space="preserve">Explain what other healthcare resources are used in conjunction with the </w:t>
      </w:r>
      <w:r w:rsidRPr="00D77020">
        <w:rPr>
          <w:rFonts w:ascii="Arial" w:hAnsi="Arial" w:cs="Arial"/>
          <w:u w:val="single"/>
        </w:rPr>
        <w:t>comparator health technology</w:t>
      </w:r>
      <w:r w:rsidR="0090168B" w:rsidRPr="00D77020">
        <w:rPr>
          <w:rFonts w:ascii="Arial" w:hAnsi="Arial" w:cs="Arial"/>
        </w:rPr>
        <w:t>:</w:t>
      </w:r>
    </w:p>
    <w:p w14:paraId="51AE9037" w14:textId="576DBDD5" w:rsidR="00865193" w:rsidRPr="00D77020" w:rsidRDefault="00865193" w:rsidP="00BC66EE">
      <w:pPr>
        <w:pStyle w:val="Heading2"/>
        <w:spacing w:before="120" w:after="120" w:line="276" w:lineRule="auto"/>
        <w:jc w:val="both"/>
        <w:rPr>
          <w:rFonts w:ascii="Arial" w:hAnsi="Arial" w:cs="Arial"/>
          <w:b w:val="0"/>
          <w:bCs w:val="0"/>
        </w:rPr>
      </w:pPr>
      <w:r w:rsidRPr="00D77020">
        <w:rPr>
          <w:rFonts w:ascii="Arial" w:hAnsi="Arial" w:cs="Arial"/>
          <w:b w:val="0"/>
          <w:bCs w:val="0"/>
        </w:rPr>
        <w:t>No other medical services or healthcare resources need to be delivered at the same time</w:t>
      </w:r>
      <w:r w:rsidR="005B57CB" w:rsidRPr="00D77020">
        <w:rPr>
          <w:rFonts w:ascii="Arial" w:hAnsi="Arial" w:cs="Arial"/>
          <w:b w:val="0"/>
          <w:bCs w:val="0"/>
        </w:rPr>
        <w:t>.</w:t>
      </w:r>
      <w:r w:rsidRPr="00D77020">
        <w:rPr>
          <w:rFonts w:ascii="Arial" w:hAnsi="Arial" w:cs="Arial"/>
          <w:b w:val="0"/>
          <w:bCs w:val="0"/>
        </w:rPr>
        <w:t xml:space="preserve"> </w:t>
      </w:r>
    </w:p>
    <w:p w14:paraId="378F78D9" w14:textId="64169713" w:rsidR="00F16239" w:rsidRPr="00D77020" w:rsidRDefault="00F16239" w:rsidP="00BC66EE">
      <w:pPr>
        <w:pStyle w:val="Heading2"/>
        <w:spacing w:before="120" w:after="120" w:line="276" w:lineRule="auto"/>
        <w:jc w:val="both"/>
        <w:rPr>
          <w:rFonts w:ascii="Arial" w:hAnsi="Arial" w:cs="Arial"/>
        </w:rPr>
      </w:pPr>
      <w:r w:rsidRPr="00D77020">
        <w:rPr>
          <w:rFonts w:ascii="Arial" w:hAnsi="Arial" w:cs="Arial"/>
        </w:rPr>
        <w:t xml:space="preserve">Describe and explain any differences in the healthcare resources used in conjunction with the </w:t>
      </w:r>
      <w:r w:rsidRPr="00D77020">
        <w:rPr>
          <w:rFonts w:ascii="Arial" w:hAnsi="Arial" w:cs="Arial"/>
          <w:u w:val="single"/>
        </w:rPr>
        <w:t>proposed health technology</w:t>
      </w:r>
      <w:r w:rsidRPr="00D77020">
        <w:rPr>
          <w:rFonts w:ascii="Arial" w:hAnsi="Arial" w:cs="Arial"/>
        </w:rPr>
        <w:t xml:space="preserve"> vs. the </w:t>
      </w:r>
      <w:r w:rsidRPr="00D77020">
        <w:rPr>
          <w:rFonts w:ascii="Arial" w:hAnsi="Arial" w:cs="Arial"/>
          <w:u w:val="single"/>
        </w:rPr>
        <w:t>comparator health technology</w:t>
      </w:r>
      <w:r w:rsidRPr="00D77020">
        <w:rPr>
          <w:rFonts w:ascii="Arial" w:hAnsi="Arial" w:cs="Arial"/>
        </w:rPr>
        <w:t>:</w:t>
      </w:r>
    </w:p>
    <w:p w14:paraId="161BEF1B" w14:textId="2CB7495B" w:rsidR="00F16239" w:rsidRPr="00D77020" w:rsidRDefault="007677B0" w:rsidP="00BC66EE">
      <w:pPr>
        <w:spacing w:before="120" w:line="276" w:lineRule="auto"/>
        <w:jc w:val="both"/>
        <w:rPr>
          <w:rFonts w:ascii="Arial" w:eastAsia="Segoe UI" w:hAnsi="Arial" w:cs="Arial"/>
          <w:color w:val="000000"/>
        </w:rPr>
      </w:pPr>
      <w:r w:rsidRPr="00D77020">
        <w:rPr>
          <w:rFonts w:ascii="Arial" w:hAnsi="Arial" w:cs="Arial"/>
        </w:rPr>
        <w:t xml:space="preserve">The </w:t>
      </w:r>
      <w:r w:rsidR="00796A67" w:rsidRPr="00D77020">
        <w:rPr>
          <w:rFonts w:ascii="Arial" w:hAnsi="Arial" w:cs="Arial"/>
        </w:rPr>
        <w:t>comparator is no testin</w:t>
      </w:r>
      <w:r w:rsidR="00CE05F1" w:rsidRPr="00D77020">
        <w:rPr>
          <w:rFonts w:ascii="Arial" w:hAnsi="Arial" w:cs="Arial"/>
        </w:rPr>
        <w:t>g + standard of care chemotherapy</w:t>
      </w:r>
      <w:r w:rsidR="0088625C" w:rsidRPr="00D77020">
        <w:rPr>
          <w:rFonts w:ascii="Arial" w:hAnsi="Arial" w:cs="Arial"/>
        </w:rPr>
        <w:t xml:space="preserve">. </w:t>
      </w:r>
    </w:p>
    <w:p w14:paraId="2BE17ED5" w14:textId="0F1E92FD" w:rsidR="00F16239" w:rsidRPr="00D77020" w:rsidRDefault="00EA0AA0" w:rsidP="00BC66EE">
      <w:pPr>
        <w:pStyle w:val="Heading2"/>
        <w:spacing w:before="120" w:after="120" w:line="276" w:lineRule="auto"/>
        <w:jc w:val="both"/>
        <w:rPr>
          <w:rFonts w:ascii="Arial" w:hAnsi="Arial" w:cs="Arial"/>
          <w:u w:val="single"/>
        </w:rPr>
      </w:pPr>
      <w:r w:rsidRPr="00D77020">
        <w:rPr>
          <w:rFonts w:ascii="Arial" w:hAnsi="Arial" w:cs="Arial"/>
          <w:u w:val="single"/>
        </w:rPr>
        <w:t>CLINICAL MANAGEMENT AFTER THE USE OF HEALTH TECHNOLOGY</w:t>
      </w:r>
    </w:p>
    <w:p w14:paraId="3017C87B" w14:textId="631F5EC6" w:rsidR="00F16239" w:rsidRPr="00D77020" w:rsidRDefault="00F16239" w:rsidP="00BC66EE">
      <w:pPr>
        <w:pStyle w:val="Heading2"/>
        <w:spacing w:before="120" w:after="120" w:line="276" w:lineRule="auto"/>
        <w:jc w:val="both"/>
        <w:rPr>
          <w:rFonts w:ascii="Arial" w:hAnsi="Arial" w:cs="Arial"/>
        </w:rPr>
      </w:pPr>
      <w:r w:rsidRPr="00D77020">
        <w:rPr>
          <w:rFonts w:ascii="Arial" w:hAnsi="Arial" w:cs="Arial"/>
        </w:rPr>
        <w:t xml:space="preserve">Define and summarise the clinical management algorithm, including any required tests or healthcare resources, </w:t>
      </w:r>
      <w:r w:rsidRPr="00D77020">
        <w:rPr>
          <w:rFonts w:ascii="Arial" w:hAnsi="Arial" w:cs="Arial"/>
          <w:i/>
          <w:iCs/>
        </w:rPr>
        <w:t>after</w:t>
      </w:r>
      <w:r w:rsidRPr="00D77020">
        <w:rPr>
          <w:rFonts w:ascii="Arial" w:hAnsi="Arial" w:cs="Arial"/>
        </w:rPr>
        <w:t xml:space="preserve"> the use of the </w:t>
      </w:r>
      <w:r w:rsidRPr="00D77020">
        <w:rPr>
          <w:rFonts w:ascii="Arial" w:hAnsi="Arial" w:cs="Arial"/>
          <w:u w:val="single"/>
        </w:rPr>
        <w:t>proposed health technology</w:t>
      </w:r>
      <w:r w:rsidRPr="00D77020">
        <w:rPr>
          <w:rFonts w:ascii="Arial" w:hAnsi="Arial" w:cs="Arial"/>
        </w:rPr>
        <w:t>:</w:t>
      </w:r>
    </w:p>
    <w:p w14:paraId="1F72AE58" w14:textId="5A1F7B1F" w:rsidR="006F4DED" w:rsidRPr="00D77020" w:rsidRDefault="006F4DED" w:rsidP="00BC66EE">
      <w:pPr>
        <w:spacing w:before="120" w:line="276" w:lineRule="auto"/>
        <w:jc w:val="both"/>
        <w:rPr>
          <w:rFonts w:ascii="Arial" w:hAnsi="Arial" w:cs="Arial"/>
        </w:rPr>
      </w:pPr>
      <w:r w:rsidRPr="00D77020">
        <w:rPr>
          <w:rFonts w:ascii="Arial" w:hAnsi="Arial" w:cs="Arial"/>
        </w:rPr>
        <w:t>The clinical management algorithms for advanced ovarian</w:t>
      </w:r>
      <w:r w:rsidR="00AF6F96" w:rsidRPr="00D77020">
        <w:rPr>
          <w:rFonts w:ascii="Arial" w:hAnsi="Arial" w:cs="Arial"/>
        </w:rPr>
        <w:t xml:space="preserve"> cancer (</w:t>
      </w:r>
      <w:r w:rsidR="00BC51EF" w:rsidRPr="002D4E02">
        <w:rPr>
          <w:rFonts w:ascii="Arial" w:hAnsi="Arial" w:cs="Arial"/>
          <w:b/>
          <w:bCs/>
        </w:rPr>
        <w:fldChar w:fldCharType="begin"/>
      </w:r>
      <w:r w:rsidR="00BC51EF" w:rsidRPr="002D4E02">
        <w:rPr>
          <w:rFonts w:ascii="Arial" w:hAnsi="Arial" w:cs="Arial"/>
          <w:b/>
          <w:bCs/>
        </w:rPr>
        <w:instrText xml:space="preserve"> REF _Ref162466929 \h  \* MERGEFORMAT </w:instrText>
      </w:r>
      <w:r w:rsidR="00BC51EF" w:rsidRPr="002D4E02">
        <w:rPr>
          <w:rFonts w:ascii="Arial" w:hAnsi="Arial" w:cs="Arial"/>
          <w:b/>
          <w:bCs/>
        </w:rPr>
      </w:r>
      <w:r w:rsidR="00BC51EF" w:rsidRPr="002D4E02">
        <w:rPr>
          <w:rFonts w:ascii="Arial" w:hAnsi="Arial" w:cs="Arial"/>
          <w:b/>
          <w:bCs/>
        </w:rPr>
        <w:fldChar w:fldCharType="separate"/>
      </w:r>
      <w:r w:rsidR="00BC51EF" w:rsidRPr="002D4E02">
        <w:rPr>
          <w:rFonts w:ascii="Arial" w:hAnsi="Arial" w:cs="Arial"/>
          <w:b/>
          <w:bCs/>
        </w:rPr>
        <w:t xml:space="preserve">Figure </w:t>
      </w:r>
      <w:r w:rsidR="00BC51EF" w:rsidRPr="002D4E02">
        <w:rPr>
          <w:rFonts w:ascii="Arial" w:hAnsi="Arial" w:cs="Arial"/>
          <w:b/>
          <w:bCs/>
          <w:noProof/>
        </w:rPr>
        <w:t>1</w:t>
      </w:r>
      <w:r w:rsidR="00BC51EF" w:rsidRPr="002D4E02">
        <w:rPr>
          <w:rFonts w:ascii="Arial" w:hAnsi="Arial" w:cs="Arial"/>
          <w:b/>
          <w:bCs/>
        </w:rPr>
        <w:fldChar w:fldCharType="end"/>
      </w:r>
      <w:r w:rsidR="00BC51EF" w:rsidRPr="00D77020">
        <w:rPr>
          <w:rFonts w:ascii="Arial" w:hAnsi="Arial" w:cs="Arial"/>
        </w:rPr>
        <w:t xml:space="preserve"> and </w:t>
      </w:r>
      <w:r w:rsidR="00BC51EF" w:rsidRPr="002D4E02">
        <w:rPr>
          <w:rFonts w:ascii="Arial" w:hAnsi="Arial" w:cs="Arial"/>
          <w:b/>
          <w:bCs/>
        </w:rPr>
        <w:fldChar w:fldCharType="begin"/>
      </w:r>
      <w:r w:rsidR="00BC51EF" w:rsidRPr="002D4E02">
        <w:rPr>
          <w:rFonts w:ascii="Arial" w:hAnsi="Arial" w:cs="Arial"/>
          <w:b/>
          <w:bCs/>
        </w:rPr>
        <w:instrText xml:space="preserve"> REF _Ref162466931 \h  \* MERGEFORMAT </w:instrText>
      </w:r>
      <w:r w:rsidR="00BC51EF" w:rsidRPr="002D4E02">
        <w:rPr>
          <w:rFonts w:ascii="Arial" w:hAnsi="Arial" w:cs="Arial"/>
          <w:b/>
          <w:bCs/>
        </w:rPr>
      </w:r>
      <w:r w:rsidR="00BC51EF" w:rsidRPr="002D4E02">
        <w:rPr>
          <w:rFonts w:ascii="Arial" w:hAnsi="Arial" w:cs="Arial"/>
          <w:b/>
          <w:bCs/>
        </w:rPr>
        <w:fldChar w:fldCharType="separate"/>
      </w:r>
      <w:r w:rsidR="00BC51EF" w:rsidRPr="002D4E02">
        <w:rPr>
          <w:rFonts w:ascii="Arial" w:hAnsi="Arial" w:cs="Arial"/>
          <w:b/>
          <w:bCs/>
        </w:rPr>
        <w:t>Figure 2</w:t>
      </w:r>
      <w:r w:rsidR="00BC51EF" w:rsidRPr="002D4E02">
        <w:rPr>
          <w:rFonts w:ascii="Arial" w:hAnsi="Arial" w:cs="Arial"/>
          <w:b/>
          <w:bCs/>
        </w:rPr>
        <w:fldChar w:fldCharType="end"/>
      </w:r>
      <w:r w:rsidR="00BC51EF" w:rsidRPr="00D77020">
        <w:rPr>
          <w:rFonts w:ascii="Arial" w:hAnsi="Arial" w:cs="Arial"/>
        </w:rPr>
        <w:t>)</w:t>
      </w:r>
      <w:r w:rsidRPr="00D77020">
        <w:rPr>
          <w:rFonts w:ascii="Arial" w:hAnsi="Arial" w:cs="Arial"/>
        </w:rPr>
        <w:t xml:space="preserve"> </w:t>
      </w:r>
      <w:r w:rsidR="00BC51EF" w:rsidRPr="00D77020">
        <w:rPr>
          <w:rFonts w:ascii="Arial" w:hAnsi="Arial" w:cs="Arial"/>
        </w:rPr>
        <w:t>propose that FR</w:t>
      </w:r>
      <w:r w:rsidR="00E14E52" w:rsidRPr="00D77020">
        <w:rPr>
          <w:rFonts w:ascii="Arial" w:hAnsi="Arial" w:cs="Arial"/>
        </w:rPr>
        <w:t>α status</w:t>
      </w:r>
      <w:r w:rsidR="00BC51EF" w:rsidRPr="00D77020">
        <w:rPr>
          <w:rFonts w:ascii="Arial" w:hAnsi="Arial" w:cs="Arial"/>
        </w:rPr>
        <w:t xml:space="preserve"> testing is undertaken in patients </w:t>
      </w:r>
      <w:r w:rsidR="00CE6B0C" w:rsidRPr="00D77020">
        <w:rPr>
          <w:rFonts w:ascii="Arial" w:hAnsi="Arial" w:cs="Arial"/>
        </w:rPr>
        <w:t>with resistance to platinum chemotherapy</w:t>
      </w:r>
      <w:r w:rsidR="00440A79" w:rsidRPr="00D77020">
        <w:rPr>
          <w:rFonts w:ascii="Arial" w:hAnsi="Arial" w:cs="Arial"/>
        </w:rPr>
        <w:t xml:space="preserve">. If a patient </w:t>
      </w:r>
      <w:r w:rsidR="00E057F7" w:rsidRPr="00D77020">
        <w:rPr>
          <w:rFonts w:ascii="Arial" w:hAnsi="Arial" w:cs="Arial"/>
        </w:rPr>
        <w:t>is FR</w:t>
      </w:r>
      <w:r w:rsidR="00D030A1" w:rsidRPr="00D77020">
        <w:rPr>
          <w:rFonts w:ascii="Arial" w:hAnsi="Arial" w:cs="Arial"/>
        </w:rPr>
        <w:t xml:space="preserve">α-positive (i.e. </w:t>
      </w:r>
      <w:r w:rsidR="00440A79" w:rsidRPr="00D77020">
        <w:rPr>
          <w:rFonts w:ascii="Arial" w:hAnsi="Arial" w:cs="Arial"/>
        </w:rPr>
        <w:t xml:space="preserve">has </w:t>
      </w:r>
      <w:r w:rsidR="00CE6B0C" w:rsidRPr="00D77020">
        <w:rPr>
          <w:rFonts w:ascii="Arial" w:hAnsi="Arial" w:cs="Arial"/>
        </w:rPr>
        <w:t xml:space="preserve">high </w:t>
      </w:r>
      <w:r w:rsidR="003732B1" w:rsidRPr="00D77020">
        <w:rPr>
          <w:rFonts w:ascii="Arial" w:hAnsi="Arial" w:cs="Arial"/>
        </w:rPr>
        <w:t xml:space="preserve">FRα </w:t>
      </w:r>
      <w:r w:rsidR="006B407A" w:rsidRPr="00D77020">
        <w:rPr>
          <w:rFonts w:ascii="Arial" w:hAnsi="Arial" w:cs="Arial"/>
        </w:rPr>
        <w:t xml:space="preserve">tumour </w:t>
      </w:r>
      <w:r w:rsidR="003732B1" w:rsidRPr="00D77020">
        <w:rPr>
          <w:rFonts w:ascii="Arial" w:hAnsi="Arial" w:cs="Arial"/>
        </w:rPr>
        <w:t>expression</w:t>
      </w:r>
      <w:r w:rsidR="00D030A1" w:rsidRPr="00D77020">
        <w:rPr>
          <w:rFonts w:ascii="Arial" w:hAnsi="Arial" w:cs="Arial"/>
        </w:rPr>
        <w:t>)</w:t>
      </w:r>
      <w:r w:rsidR="00440A79" w:rsidRPr="00D77020">
        <w:rPr>
          <w:rFonts w:ascii="Arial" w:hAnsi="Arial" w:cs="Arial"/>
        </w:rPr>
        <w:t xml:space="preserve"> it is proposed that mirvetuximab </w:t>
      </w:r>
      <w:r w:rsidR="00482201" w:rsidRPr="00D77020">
        <w:rPr>
          <w:rFonts w:ascii="Arial" w:hAnsi="Arial" w:cs="Arial"/>
        </w:rPr>
        <w:t>soravtansine</w:t>
      </w:r>
      <w:r w:rsidR="00440A79" w:rsidRPr="00D77020">
        <w:rPr>
          <w:rFonts w:ascii="Arial" w:hAnsi="Arial" w:cs="Arial"/>
        </w:rPr>
        <w:t xml:space="preserve"> </w:t>
      </w:r>
      <w:r w:rsidRPr="00D77020">
        <w:rPr>
          <w:rFonts w:ascii="Arial" w:hAnsi="Arial" w:cs="Arial"/>
        </w:rPr>
        <w:t xml:space="preserve">would </w:t>
      </w:r>
      <w:r w:rsidR="0087409C" w:rsidRPr="00D77020">
        <w:rPr>
          <w:rFonts w:ascii="Arial" w:hAnsi="Arial" w:cs="Arial"/>
        </w:rPr>
        <w:t xml:space="preserve">replace </w:t>
      </w:r>
      <w:r w:rsidR="00BC66EE">
        <w:rPr>
          <w:rFonts w:ascii="Arial" w:hAnsi="Arial" w:cs="Arial"/>
        </w:rPr>
        <w:t>non-platinum</w:t>
      </w:r>
      <w:r w:rsidR="0087409C" w:rsidRPr="00D77020">
        <w:rPr>
          <w:rFonts w:ascii="Arial" w:hAnsi="Arial" w:cs="Arial"/>
        </w:rPr>
        <w:t xml:space="preserve"> chemotherapy as </w:t>
      </w:r>
      <w:r w:rsidR="006B407A" w:rsidRPr="00D77020">
        <w:rPr>
          <w:rFonts w:ascii="Arial" w:hAnsi="Arial" w:cs="Arial"/>
        </w:rPr>
        <w:t xml:space="preserve">standard treatment. </w:t>
      </w:r>
    </w:p>
    <w:p w14:paraId="09165252" w14:textId="7A2CB041" w:rsidR="00F16239" w:rsidRPr="00D77020" w:rsidRDefault="00F16239" w:rsidP="00BC66EE">
      <w:pPr>
        <w:pStyle w:val="Heading2"/>
        <w:spacing w:before="120" w:after="120" w:line="276" w:lineRule="auto"/>
        <w:jc w:val="both"/>
        <w:rPr>
          <w:rFonts w:ascii="Arial" w:hAnsi="Arial" w:cs="Arial"/>
        </w:rPr>
      </w:pPr>
      <w:r w:rsidRPr="00D77020">
        <w:rPr>
          <w:rFonts w:ascii="Arial" w:hAnsi="Arial" w:cs="Arial"/>
        </w:rPr>
        <w:t xml:space="preserve">Define and summarise the clinical management algorithm, including any required tests or healthcare resources, </w:t>
      </w:r>
      <w:r w:rsidRPr="00D77020">
        <w:rPr>
          <w:rFonts w:ascii="Arial" w:hAnsi="Arial" w:cs="Arial"/>
          <w:i/>
          <w:iCs/>
        </w:rPr>
        <w:t>after</w:t>
      </w:r>
      <w:r w:rsidRPr="00D77020">
        <w:rPr>
          <w:rFonts w:ascii="Arial" w:hAnsi="Arial" w:cs="Arial"/>
        </w:rPr>
        <w:t xml:space="preserve"> the use of the </w:t>
      </w:r>
      <w:r w:rsidRPr="00D77020">
        <w:rPr>
          <w:rFonts w:ascii="Arial" w:hAnsi="Arial" w:cs="Arial"/>
          <w:u w:val="single"/>
        </w:rPr>
        <w:t>comparator health technology</w:t>
      </w:r>
      <w:r w:rsidRPr="00D77020">
        <w:rPr>
          <w:rFonts w:ascii="Arial" w:hAnsi="Arial" w:cs="Arial"/>
        </w:rPr>
        <w:t>:</w:t>
      </w:r>
    </w:p>
    <w:p w14:paraId="7CB30264" w14:textId="072EBE64" w:rsidR="0040387D" w:rsidRPr="00D77020" w:rsidRDefault="0040387D" w:rsidP="00BC66EE">
      <w:pPr>
        <w:spacing w:before="120" w:line="276" w:lineRule="auto"/>
        <w:jc w:val="both"/>
        <w:rPr>
          <w:rFonts w:ascii="Arial" w:hAnsi="Arial" w:cs="Arial"/>
        </w:rPr>
      </w:pPr>
      <w:r w:rsidRPr="00D77020">
        <w:rPr>
          <w:rFonts w:ascii="Arial" w:hAnsi="Arial" w:cs="Arial"/>
        </w:rPr>
        <w:t xml:space="preserve">The clinical management algorithms for advanced ovarian cancer </w:t>
      </w:r>
      <w:r w:rsidR="002E7A73" w:rsidRPr="00D77020">
        <w:rPr>
          <w:rFonts w:ascii="Arial" w:hAnsi="Arial" w:cs="Arial"/>
        </w:rPr>
        <w:t>(</w:t>
      </w:r>
      <w:r w:rsidR="002E7A73" w:rsidRPr="00D77020">
        <w:rPr>
          <w:rFonts w:ascii="Arial" w:hAnsi="Arial" w:cs="Arial"/>
        </w:rPr>
        <w:fldChar w:fldCharType="begin"/>
      </w:r>
      <w:r w:rsidR="002E7A73" w:rsidRPr="00D77020">
        <w:rPr>
          <w:rFonts w:ascii="Arial" w:hAnsi="Arial" w:cs="Arial"/>
        </w:rPr>
        <w:instrText xml:space="preserve"> REF _Ref162466929 \h  \* MERGEFORMAT </w:instrText>
      </w:r>
      <w:r w:rsidR="002E7A73" w:rsidRPr="00D77020">
        <w:rPr>
          <w:rFonts w:ascii="Arial" w:hAnsi="Arial" w:cs="Arial"/>
        </w:rPr>
      </w:r>
      <w:r w:rsidR="002E7A73" w:rsidRPr="00D77020">
        <w:rPr>
          <w:rFonts w:ascii="Arial" w:hAnsi="Arial" w:cs="Arial"/>
        </w:rPr>
        <w:fldChar w:fldCharType="separate"/>
      </w:r>
      <w:r w:rsidR="002E7A73" w:rsidRPr="00D77020">
        <w:rPr>
          <w:rFonts w:ascii="Arial" w:hAnsi="Arial" w:cs="Arial"/>
        </w:rPr>
        <w:t xml:space="preserve">Figure </w:t>
      </w:r>
      <w:r w:rsidR="002E7A73" w:rsidRPr="00D77020">
        <w:rPr>
          <w:rFonts w:ascii="Arial" w:hAnsi="Arial" w:cs="Arial"/>
          <w:noProof/>
        </w:rPr>
        <w:t>1</w:t>
      </w:r>
      <w:r w:rsidR="002E7A73" w:rsidRPr="00D77020">
        <w:rPr>
          <w:rFonts w:ascii="Arial" w:hAnsi="Arial" w:cs="Arial"/>
        </w:rPr>
        <w:fldChar w:fldCharType="end"/>
      </w:r>
      <w:r w:rsidR="002E7A73" w:rsidRPr="00D77020">
        <w:rPr>
          <w:rFonts w:ascii="Arial" w:hAnsi="Arial" w:cs="Arial"/>
        </w:rPr>
        <w:t xml:space="preserve"> and </w:t>
      </w:r>
      <w:r w:rsidR="002E7A73" w:rsidRPr="00D77020">
        <w:rPr>
          <w:rFonts w:ascii="Arial" w:hAnsi="Arial" w:cs="Arial"/>
        </w:rPr>
        <w:fldChar w:fldCharType="begin"/>
      </w:r>
      <w:r w:rsidR="002E7A73" w:rsidRPr="00D77020">
        <w:rPr>
          <w:rFonts w:ascii="Arial" w:hAnsi="Arial" w:cs="Arial"/>
        </w:rPr>
        <w:instrText xml:space="preserve"> REF _Ref162466931 \h  \* MERGEFORMAT </w:instrText>
      </w:r>
      <w:r w:rsidR="002E7A73" w:rsidRPr="00D77020">
        <w:rPr>
          <w:rFonts w:ascii="Arial" w:hAnsi="Arial" w:cs="Arial"/>
        </w:rPr>
      </w:r>
      <w:r w:rsidR="002E7A73" w:rsidRPr="00D77020">
        <w:rPr>
          <w:rFonts w:ascii="Arial" w:hAnsi="Arial" w:cs="Arial"/>
        </w:rPr>
        <w:fldChar w:fldCharType="separate"/>
      </w:r>
      <w:r w:rsidR="002E7A73" w:rsidRPr="00D77020">
        <w:rPr>
          <w:rFonts w:ascii="Arial" w:hAnsi="Arial" w:cs="Arial"/>
        </w:rPr>
        <w:t>Figure 2</w:t>
      </w:r>
      <w:r w:rsidR="002E7A73" w:rsidRPr="00D77020">
        <w:rPr>
          <w:rFonts w:ascii="Arial" w:hAnsi="Arial" w:cs="Arial"/>
        </w:rPr>
        <w:fldChar w:fldCharType="end"/>
      </w:r>
      <w:r w:rsidR="002E7A73" w:rsidRPr="00D77020">
        <w:rPr>
          <w:rFonts w:ascii="Arial" w:hAnsi="Arial" w:cs="Arial"/>
        </w:rPr>
        <w:t>) determine that</w:t>
      </w:r>
      <w:r w:rsidR="00C72598" w:rsidRPr="00D77020">
        <w:rPr>
          <w:rFonts w:ascii="Arial" w:hAnsi="Arial" w:cs="Arial"/>
        </w:rPr>
        <w:t xml:space="preserve"> no further testing </w:t>
      </w:r>
      <w:r w:rsidR="002E7A73" w:rsidRPr="00D77020">
        <w:rPr>
          <w:rFonts w:ascii="Arial" w:hAnsi="Arial" w:cs="Arial"/>
        </w:rPr>
        <w:t xml:space="preserve">is </w:t>
      </w:r>
      <w:r w:rsidR="002F30C7" w:rsidRPr="00D77020">
        <w:rPr>
          <w:rFonts w:ascii="Arial" w:hAnsi="Arial" w:cs="Arial"/>
        </w:rPr>
        <w:t>required in patients with resistance to platinum chemotherapy</w:t>
      </w:r>
      <w:r w:rsidR="00E066D0" w:rsidRPr="00D77020">
        <w:rPr>
          <w:rFonts w:ascii="Arial" w:hAnsi="Arial" w:cs="Arial"/>
        </w:rPr>
        <w:t xml:space="preserve">, with single agent chemotherapy being </w:t>
      </w:r>
      <w:r w:rsidR="006942F4" w:rsidRPr="00D77020">
        <w:rPr>
          <w:rFonts w:ascii="Arial" w:hAnsi="Arial" w:cs="Arial"/>
        </w:rPr>
        <w:t xml:space="preserve">offered as </w:t>
      </w:r>
      <w:r w:rsidR="00E066D0" w:rsidRPr="00D77020">
        <w:rPr>
          <w:rFonts w:ascii="Arial" w:hAnsi="Arial" w:cs="Arial"/>
        </w:rPr>
        <w:t>the current standard of care.</w:t>
      </w:r>
    </w:p>
    <w:p w14:paraId="5C871695" w14:textId="2206DF58" w:rsidR="00F16239" w:rsidRPr="00D77020" w:rsidRDefault="00F16239" w:rsidP="00BC66EE">
      <w:pPr>
        <w:pStyle w:val="Heading2"/>
        <w:spacing w:before="120" w:after="120" w:line="276" w:lineRule="auto"/>
        <w:jc w:val="both"/>
        <w:rPr>
          <w:rFonts w:ascii="Arial" w:hAnsi="Arial" w:cs="Arial"/>
        </w:rPr>
      </w:pPr>
      <w:r w:rsidRPr="00D77020">
        <w:rPr>
          <w:rFonts w:ascii="Arial" w:hAnsi="Arial" w:cs="Arial"/>
        </w:rPr>
        <w:t xml:space="preserve">Describe and explain any differences in the healthcare resources used </w:t>
      </w:r>
      <w:r w:rsidRPr="00D77020">
        <w:rPr>
          <w:rFonts w:ascii="Arial" w:hAnsi="Arial" w:cs="Arial"/>
          <w:i/>
          <w:iCs/>
        </w:rPr>
        <w:t>after</w:t>
      </w:r>
      <w:r w:rsidRPr="00D77020">
        <w:rPr>
          <w:rFonts w:ascii="Arial" w:hAnsi="Arial" w:cs="Arial"/>
        </w:rPr>
        <w:t xml:space="preserve"> the </w:t>
      </w:r>
      <w:r w:rsidRPr="00D77020">
        <w:rPr>
          <w:rFonts w:ascii="Arial" w:hAnsi="Arial" w:cs="Arial"/>
          <w:u w:val="single"/>
        </w:rPr>
        <w:t>proposed health technology</w:t>
      </w:r>
      <w:r w:rsidRPr="00D77020">
        <w:rPr>
          <w:rFonts w:ascii="Arial" w:hAnsi="Arial" w:cs="Arial"/>
        </w:rPr>
        <w:t xml:space="preserve"> vs. the </w:t>
      </w:r>
      <w:r w:rsidRPr="00D77020">
        <w:rPr>
          <w:rFonts w:ascii="Arial" w:hAnsi="Arial" w:cs="Arial"/>
          <w:u w:val="single"/>
        </w:rPr>
        <w:t>comparator health technology</w:t>
      </w:r>
      <w:r w:rsidRPr="00D77020">
        <w:rPr>
          <w:rFonts w:ascii="Arial" w:hAnsi="Arial" w:cs="Arial"/>
        </w:rPr>
        <w:t>:</w:t>
      </w:r>
    </w:p>
    <w:p w14:paraId="172E2218" w14:textId="0FB5292A" w:rsidR="00D86D3E" w:rsidRPr="00D77020" w:rsidRDefault="00D86D3E" w:rsidP="00BC66EE">
      <w:pPr>
        <w:spacing w:before="120" w:line="276" w:lineRule="auto"/>
        <w:jc w:val="both"/>
        <w:rPr>
          <w:rFonts w:ascii="Arial" w:hAnsi="Arial" w:cs="Arial"/>
        </w:rPr>
      </w:pPr>
      <w:r w:rsidRPr="00D77020">
        <w:rPr>
          <w:rFonts w:ascii="Arial" w:hAnsi="Arial" w:cs="Arial"/>
        </w:rPr>
        <w:t xml:space="preserve">Utilisation of PBS funded mirvetuximab </w:t>
      </w:r>
      <w:r w:rsidR="00482201" w:rsidRPr="00D77020">
        <w:rPr>
          <w:rFonts w:ascii="Arial" w:hAnsi="Arial" w:cs="Arial"/>
        </w:rPr>
        <w:t>soravtansine</w:t>
      </w:r>
      <w:r w:rsidRPr="00D77020">
        <w:rPr>
          <w:rFonts w:ascii="Arial" w:hAnsi="Arial" w:cs="Arial"/>
        </w:rPr>
        <w:t>.</w:t>
      </w:r>
    </w:p>
    <w:p w14:paraId="6205BDFB" w14:textId="204E696A" w:rsidR="00241069" w:rsidRPr="00D77020" w:rsidRDefault="00364572" w:rsidP="005F79AE">
      <w:pPr>
        <w:pStyle w:val="Heading2"/>
        <w:keepNext/>
        <w:keepLines/>
        <w:rPr>
          <w:rFonts w:ascii="Arial" w:hAnsi="Arial" w:cs="Arial"/>
        </w:rPr>
      </w:pPr>
      <w:r w:rsidRPr="00D77020">
        <w:rPr>
          <w:rFonts w:ascii="Arial" w:hAnsi="Arial" w:cs="Arial"/>
        </w:rPr>
        <w:t xml:space="preserve">Insert </w:t>
      </w:r>
      <w:r w:rsidR="00545A4C" w:rsidRPr="00D77020">
        <w:rPr>
          <w:rFonts w:ascii="Arial" w:hAnsi="Arial" w:cs="Arial"/>
        </w:rPr>
        <w:t>diagrams demonstrating the clinical management algorithm with and without the proposed health technology:</w:t>
      </w:r>
    </w:p>
    <w:p w14:paraId="37B28EAE" w14:textId="3A092FB5" w:rsidR="000C50A2" w:rsidRPr="00F14463" w:rsidRDefault="00241069" w:rsidP="0021153E">
      <w:pPr>
        <w:keepNext/>
        <w:keepLines/>
        <w:spacing w:before="120"/>
        <w:rPr>
          <w:rFonts w:ascii="Arial" w:hAnsi="Arial" w:cs="Arial"/>
          <w:u w:val="single"/>
        </w:rPr>
      </w:pPr>
      <w:r w:rsidRPr="00D77020">
        <w:rPr>
          <w:rFonts w:ascii="Arial" w:hAnsi="Arial" w:cs="Arial"/>
          <w:u w:val="single"/>
        </w:rPr>
        <w:t>Current treatment algorithm</w:t>
      </w:r>
      <w:r w:rsidR="00F35227">
        <w:rPr>
          <w:rFonts w:ascii="Arial" w:hAnsi="Arial" w:cs="Arial"/>
          <w:u w:val="single"/>
        </w:rPr>
        <w:t xml:space="preserve"> </w:t>
      </w:r>
      <w:r w:rsidR="00F35227" w:rsidRPr="00906331">
        <w:rPr>
          <w:rFonts w:ascii="Arial" w:hAnsi="Arial" w:cs="Arial"/>
        </w:rPr>
        <w:t>– see</w:t>
      </w:r>
      <w:r w:rsidR="00F35227" w:rsidRPr="00353F8C">
        <w:rPr>
          <w:rFonts w:ascii="Arial" w:hAnsi="Arial" w:cs="Arial"/>
        </w:rPr>
        <w:t xml:space="preserve"> </w:t>
      </w:r>
      <w:r w:rsidR="00F35227">
        <w:rPr>
          <w:rFonts w:ascii="Arial" w:hAnsi="Arial" w:cs="Arial"/>
          <w:u w:val="single"/>
        </w:rPr>
        <w:fldChar w:fldCharType="begin"/>
      </w:r>
      <w:r w:rsidR="00F35227">
        <w:rPr>
          <w:rFonts w:ascii="Arial" w:hAnsi="Arial" w:cs="Arial"/>
          <w:u w:val="single"/>
        </w:rPr>
        <w:instrText xml:space="preserve"> REF _Ref162466929 \h </w:instrText>
      </w:r>
      <w:r w:rsidR="00F35227">
        <w:rPr>
          <w:rFonts w:ascii="Arial" w:hAnsi="Arial" w:cs="Arial"/>
          <w:u w:val="single"/>
        </w:rPr>
      </w:r>
      <w:r w:rsidR="00F35227">
        <w:rPr>
          <w:rFonts w:ascii="Arial" w:hAnsi="Arial" w:cs="Arial"/>
          <w:u w:val="single"/>
        </w:rPr>
        <w:fldChar w:fldCharType="separate"/>
      </w:r>
      <w:r w:rsidR="00F35227" w:rsidRPr="00FA759D">
        <w:rPr>
          <w:rFonts w:ascii="Arial" w:hAnsi="Arial" w:cs="Arial"/>
          <w:b/>
          <w:bCs/>
        </w:rPr>
        <w:t xml:space="preserve">Figure </w:t>
      </w:r>
      <w:r w:rsidR="00F35227" w:rsidRPr="00FA759D">
        <w:rPr>
          <w:rFonts w:ascii="Arial" w:hAnsi="Arial" w:cs="Arial"/>
          <w:b/>
          <w:bCs/>
          <w:noProof/>
        </w:rPr>
        <w:t>1</w:t>
      </w:r>
      <w:r w:rsidR="00F35227">
        <w:rPr>
          <w:rFonts w:ascii="Arial" w:hAnsi="Arial" w:cs="Arial"/>
          <w:u w:val="single"/>
        </w:rPr>
        <w:fldChar w:fldCharType="end"/>
      </w:r>
      <w:r w:rsidR="00F35227" w:rsidRPr="00F14463">
        <w:rPr>
          <w:rFonts w:ascii="Arial" w:hAnsi="Arial" w:cs="Arial"/>
        </w:rPr>
        <w:t xml:space="preserve">. </w:t>
      </w:r>
    </w:p>
    <w:p w14:paraId="36BB1716" w14:textId="451E368E" w:rsidR="00241069" w:rsidRPr="00906331" w:rsidRDefault="00241069" w:rsidP="000C50A2">
      <w:pPr>
        <w:keepNext/>
        <w:keepLines/>
        <w:rPr>
          <w:rFonts w:ascii="Arial" w:hAnsi="Arial" w:cs="Arial"/>
        </w:rPr>
      </w:pPr>
      <w:r w:rsidRPr="00D77020">
        <w:rPr>
          <w:rFonts w:ascii="Arial" w:hAnsi="Arial" w:cs="Arial"/>
          <w:u w:val="single"/>
        </w:rPr>
        <w:t>Proposed future treatment algorithm</w:t>
      </w:r>
      <w:r w:rsidR="00906331">
        <w:rPr>
          <w:rFonts w:ascii="Arial" w:hAnsi="Arial" w:cs="Arial"/>
        </w:rPr>
        <w:t xml:space="preserve"> – see </w:t>
      </w:r>
      <w:r w:rsidR="00906331">
        <w:rPr>
          <w:rFonts w:ascii="Arial" w:hAnsi="Arial" w:cs="Arial"/>
        </w:rPr>
        <w:fldChar w:fldCharType="begin"/>
      </w:r>
      <w:r w:rsidR="00906331">
        <w:rPr>
          <w:rFonts w:ascii="Arial" w:hAnsi="Arial" w:cs="Arial"/>
        </w:rPr>
        <w:instrText xml:space="preserve"> REF _Ref162466931 \h </w:instrText>
      </w:r>
      <w:r w:rsidR="00906331">
        <w:rPr>
          <w:rFonts w:ascii="Arial" w:hAnsi="Arial" w:cs="Arial"/>
        </w:rPr>
      </w:r>
      <w:r w:rsidR="00906331">
        <w:rPr>
          <w:rFonts w:ascii="Arial" w:hAnsi="Arial" w:cs="Arial"/>
        </w:rPr>
        <w:fldChar w:fldCharType="separate"/>
      </w:r>
      <w:r w:rsidR="00906331" w:rsidRPr="00EA1C5D">
        <w:rPr>
          <w:rFonts w:ascii="Arial" w:hAnsi="Arial" w:cs="Arial"/>
          <w:b/>
          <w:bCs/>
        </w:rPr>
        <w:t>Figure 2</w:t>
      </w:r>
      <w:r w:rsidR="00906331">
        <w:rPr>
          <w:rFonts w:ascii="Arial" w:hAnsi="Arial" w:cs="Arial"/>
        </w:rPr>
        <w:fldChar w:fldCharType="end"/>
      </w:r>
      <w:r w:rsidR="00906331">
        <w:rPr>
          <w:rFonts w:ascii="Arial" w:hAnsi="Arial" w:cs="Arial"/>
        </w:rPr>
        <w:t>.</w:t>
      </w:r>
    </w:p>
    <w:p w14:paraId="23BA16BB" w14:textId="14619FC3" w:rsidR="00AB7451" w:rsidRPr="00D77020" w:rsidRDefault="00F2591D" w:rsidP="003949A9">
      <w:pPr>
        <w:keepNext/>
        <w:keepLines/>
        <w:spacing w:before="120" w:line="276" w:lineRule="auto"/>
        <w:jc w:val="both"/>
        <w:rPr>
          <w:rFonts w:ascii="Arial" w:hAnsi="Arial" w:cs="Arial"/>
        </w:rPr>
      </w:pPr>
      <w:r>
        <w:rPr>
          <w:rFonts w:ascii="Arial" w:hAnsi="Arial" w:cs="Arial"/>
        </w:rPr>
        <w:t xml:space="preserve">The above algorithms are </w:t>
      </w:r>
      <w:r w:rsidR="00AB7451" w:rsidRPr="00D77020">
        <w:rPr>
          <w:rFonts w:ascii="Arial" w:hAnsi="Arial" w:cs="Arial"/>
        </w:rPr>
        <w:t xml:space="preserve">based on AbbVie’s understanding of the </w:t>
      </w:r>
      <w:r w:rsidR="005B661B" w:rsidRPr="00D77020">
        <w:rPr>
          <w:rFonts w:ascii="Arial" w:hAnsi="Arial" w:cs="Arial"/>
        </w:rPr>
        <w:t xml:space="preserve">future treatment landscape at the time of this submission and may evolve depending on clinical feedback and consultation. </w:t>
      </w:r>
    </w:p>
    <w:p w14:paraId="656BF3DD" w14:textId="77777777" w:rsidR="00BC66EE" w:rsidRDefault="00BC66EE">
      <w:pPr>
        <w:spacing w:after="160" w:line="259" w:lineRule="auto"/>
        <w:rPr>
          <w:rFonts w:ascii="Arial" w:hAnsi="Arial" w:cs="Arial"/>
          <w:b/>
          <w:bCs/>
          <w:color w:val="0070C0"/>
          <w:sz w:val="32"/>
          <w:szCs w:val="32"/>
        </w:rPr>
      </w:pPr>
      <w:r>
        <w:rPr>
          <w:rFonts w:ascii="Arial" w:hAnsi="Arial" w:cs="Arial"/>
        </w:rPr>
        <w:br w:type="page"/>
      </w:r>
    </w:p>
    <w:p w14:paraId="5C94C69B" w14:textId="7B1811B3" w:rsidR="004A45BE" w:rsidRPr="00D77020" w:rsidRDefault="004A45BE" w:rsidP="00EA0AA0">
      <w:pPr>
        <w:pStyle w:val="Heading1"/>
        <w:rPr>
          <w:rFonts w:ascii="Arial" w:hAnsi="Arial" w:cs="Arial"/>
        </w:rPr>
      </w:pPr>
      <w:r w:rsidRPr="00D77020">
        <w:rPr>
          <w:rFonts w:ascii="Arial" w:hAnsi="Arial" w:cs="Arial"/>
        </w:rPr>
        <w:lastRenderedPageBreak/>
        <w:t>Claims</w:t>
      </w:r>
    </w:p>
    <w:p w14:paraId="022C40EC" w14:textId="77777777" w:rsidR="00361BBE" w:rsidRPr="00047EF1" w:rsidRDefault="004A45BE" w:rsidP="004434FA">
      <w:pPr>
        <w:pStyle w:val="Heading2"/>
        <w:spacing w:before="120" w:after="120" w:line="276" w:lineRule="auto"/>
        <w:jc w:val="both"/>
        <w:rPr>
          <w:rFonts w:ascii="Arial" w:hAnsi="Arial" w:cs="Arial"/>
        </w:rPr>
      </w:pPr>
      <w:bookmarkStart w:id="7" w:name="_Hlk121218597"/>
      <w:r w:rsidRPr="00047EF1">
        <w:rPr>
          <w:rFonts w:ascii="Arial" w:hAnsi="Arial" w:cs="Arial"/>
        </w:rPr>
        <w:t xml:space="preserve">In terms of health outcomes (comparative benefits and harms), is the proposed technology claimed to be superior, non-inferior or inferior to the comparator(s)? </w:t>
      </w:r>
    </w:p>
    <w:p w14:paraId="137243BD" w14:textId="789A325E" w:rsidR="004209FC" w:rsidRPr="00047EF1" w:rsidRDefault="004967A8" w:rsidP="004434FA">
      <w:pPr>
        <w:pStyle w:val="Tickboxes"/>
        <w:spacing w:before="120" w:after="120" w:line="276" w:lineRule="auto"/>
        <w:jc w:val="both"/>
        <w:rPr>
          <w:rFonts w:ascii="Arial" w:hAnsi="Arial" w:cs="Arial"/>
          <w:b/>
          <w:bCs w:val="0"/>
          <w:sz w:val="22"/>
          <w:szCs w:val="22"/>
          <w:u w:val="single"/>
        </w:rPr>
      </w:pPr>
      <w:r w:rsidRPr="00047EF1">
        <w:rPr>
          <w:rFonts w:ascii="Arial" w:hAnsi="Arial" w:cs="Arial"/>
          <w:b/>
          <w:bCs w:val="0"/>
          <w:sz w:val="22"/>
          <w:szCs w:val="22"/>
          <w:u w:val="single"/>
        </w:rPr>
        <w:t xml:space="preserve">X </w:t>
      </w:r>
      <w:r w:rsidR="004209FC" w:rsidRPr="00047EF1">
        <w:rPr>
          <w:rFonts w:ascii="Arial" w:hAnsi="Arial" w:cs="Arial"/>
          <w:b/>
          <w:bCs w:val="0"/>
          <w:sz w:val="22"/>
          <w:szCs w:val="22"/>
          <w:u w:val="single"/>
        </w:rPr>
        <w:t xml:space="preserve">Superior </w:t>
      </w:r>
    </w:p>
    <w:p w14:paraId="219D6AC6" w14:textId="43BA6BEE" w:rsidR="004209FC" w:rsidRPr="00047EF1" w:rsidRDefault="00DE1A6F" w:rsidP="004434FA">
      <w:pPr>
        <w:pStyle w:val="Tickboxes"/>
        <w:spacing w:before="120" w:after="120" w:line="276" w:lineRule="auto"/>
        <w:jc w:val="both"/>
        <w:rPr>
          <w:rFonts w:ascii="Arial" w:hAnsi="Arial" w:cs="Arial"/>
          <w:sz w:val="22"/>
          <w:szCs w:val="22"/>
        </w:rPr>
      </w:pPr>
      <w:r w:rsidRPr="00047EF1">
        <w:rPr>
          <w:rFonts w:ascii="Arial" w:hAnsi="Arial" w:cs="Arial"/>
          <w:sz w:val="22"/>
          <w:szCs w:val="22"/>
        </w:rPr>
        <w:fldChar w:fldCharType="begin">
          <w:ffData>
            <w:name w:val=""/>
            <w:enabled/>
            <w:calcOnExit w:val="0"/>
            <w:checkBox>
              <w:sizeAuto/>
              <w:default w:val="0"/>
            </w:checkBox>
          </w:ffData>
        </w:fldChar>
      </w:r>
      <w:r w:rsidRPr="00047EF1">
        <w:rPr>
          <w:rFonts w:ascii="Arial" w:hAnsi="Arial" w:cs="Arial"/>
          <w:sz w:val="22"/>
          <w:szCs w:val="22"/>
        </w:rPr>
        <w:instrText xml:space="preserve"> FORMCHECKBOX </w:instrText>
      </w:r>
      <w:r w:rsidR="009D2CE0">
        <w:rPr>
          <w:rFonts w:ascii="Arial" w:hAnsi="Arial" w:cs="Arial"/>
          <w:sz w:val="22"/>
          <w:szCs w:val="22"/>
        </w:rPr>
      </w:r>
      <w:r w:rsidR="009D2CE0">
        <w:rPr>
          <w:rFonts w:ascii="Arial" w:hAnsi="Arial" w:cs="Arial"/>
          <w:sz w:val="22"/>
          <w:szCs w:val="22"/>
        </w:rPr>
        <w:fldChar w:fldCharType="separate"/>
      </w:r>
      <w:r w:rsidRPr="00047EF1">
        <w:rPr>
          <w:rFonts w:ascii="Arial" w:hAnsi="Arial" w:cs="Arial"/>
          <w:sz w:val="22"/>
          <w:szCs w:val="22"/>
        </w:rPr>
        <w:fldChar w:fldCharType="end"/>
      </w:r>
      <w:r w:rsidR="004209FC" w:rsidRPr="00047EF1">
        <w:rPr>
          <w:rFonts w:ascii="Arial" w:hAnsi="Arial" w:cs="Arial"/>
          <w:sz w:val="22"/>
          <w:szCs w:val="22"/>
        </w:rPr>
        <w:t xml:space="preserve"> Non-inferior</w:t>
      </w:r>
    </w:p>
    <w:p w14:paraId="1E1E7FC3" w14:textId="6E51E804" w:rsidR="00364572" w:rsidRPr="00047EF1" w:rsidRDefault="004209FC" w:rsidP="004434FA">
      <w:pPr>
        <w:pStyle w:val="Tickboxes"/>
        <w:spacing w:before="120" w:after="120" w:line="276" w:lineRule="auto"/>
        <w:jc w:val="both"/>
        <w:rPr>
          <w:rFonts w:ascii="Arial" w:hAnsi="Arial" w:cs="Arial"/>
          <w:sz w:val="22"/>
          <w:szCs w:val="22"/>
        </w:rPr>
      </w:pPr>
      <w:r w:rsidRPr="00047EF1">
        <w:rPr>
          <w:rFonts w:ascii="Arial" w:hAnsi="Arial" w:cs="Arial"/>
          <w:sz w:val="22"/>
          <w:szCs w:val="22"/>
        </w:rPr>
        <w:fldChar w:fldCharType="begin">
          <w:ffData>
            <w:name w:val="Check1"/>
            <w:enabled/>
            <w:calcOnExit w:val="0"/>
            <w:checkBox>
              <w:sizeAuto/>
              <w:default w:val="0"/>
            </w:checkBox>
          </w:ffData>
        </w:fldChar>
      </w:r>
      <w:r w:rsidRPr="00047EF1">
        <w:rPr>
          <w:rFonts w:ascii="Arial" w:hAnsi="Arial" w:cs="Arial"/>
          <w:sz w:val="22"/>
          <w:szCs w:val="22"/>
        </w:rPr>
        <w:instrText xml:space="preserve"> FORMCHECKBOX </w:instrText>
      </w:r>
      <w:r w:rsidR="009D2CE0">
        <w:rPr>
          <w:rFonts w:ascii="Arial" w:hAnsi="Arial" w:cs="Arial"/>
          <w:sz w:val="22"/>
          <w:szCs w:val="22"/>
        </w:rPr>
      </w:r>
      <w:r w:rsidR="009D2CE0">
        <w:rPr>
          <w:rFonts w:ascii="Arial" w:hAnsi="Arial" w:cs="Arial"/>
          <w:sz w:val="22"/>
          <w:szCs w:val="22"/>
        </w:rPr>
        <w:fldChar w:fldCharType="separate"/>
      </w:r>
      <w:r w:rsidRPr="00047EF1">
        <w:rPr>
          <w:rFonts w:ascii="Arial" w:hAnsi="Arial" w:cs="Arial"/>
          <w:sz w:val="22"/>
          <w:szCs w:val="22"/>
        </w:rPr>
        <w:fldChar w:fldCharType="end"/>
      </w:r>
      <w:r w:rsidRPr="00047EF1">
        <w:rPr>
          <w:rFonts w:ascii="Arial" w:hAnsi="Arial" w:cs="Arial"/>
          <w:sz w:val="22"/>
          <w:szCs w:val="22"/>
        </w:rPr>
        <w:t xml:space="preserve"> Inferior </w:t>
      </w:r>
    </w:p>
    <w:p w14:paraId="12D880D8" w14:textId="573EC961" w:rsidR="004A45BE" w:rsidRPr="00047EF1" w:rsidRDefault="00364572" w:rsidP="004434FA">
      <w:pPr>
        <w:pStyle w:val="Heading2"/>
        <w:spacing w:before="120" w:after="120" w:line="276" w:lineRule="auto"/>
        <w:jc w:val="both"/>
        <w:rPr>
          <w:rFonts w:ascii="Arial" w:hAnsi="Arial" w:cs="Arial"/>
        </w:rPr>
      </w:pPr>
      <w:r w:rsidRPr="00047EF1">
        <w:rPr>
          <w:rFonts w:ascii="Arial" w:hAnsi="Arial" w:cs="Arial"/>
        </w:rPr>
        <w:t>Please state what the overall claim is, and provide a rationale:</w:t>
      </w:r>
    </w:p>
    <w:bookmarkEnd w:id="7"/>
    <w:p w14:paraId="4C50D112" w14:textId="780E69A5" w:rsidR="004A45BE" w:rsidRPr="00047EF1" w:rsidRDefault="003748E5" w:rsidP="004434FA">
      <w:pPr>
        <w:spacing w:before="120" w:line="276" w:lineRule="auto"/>
        <w:jc w:val="both"/>
        <w:rPr>
          <w:rFonts w:ascii="Arial" w:eastAsia="Segoe UI" w:hAnsi="Arial" w:cs="Arial"/>
          <w:color w:val="000000"/>
        </w:rPr>
      </w:pPr>
      <w:r w:rsidRPr="00047EF1">
        <w:rPr>
          <w:rFonts w:ascii="Arial" w:hAnsi="Arial" w:cs="Arial"/>
        </w:rPr>
        <w:t>Superiority vs. No testing + standard of care</w:t>
      </w:r>
      <w:r w:rsidR="00B66ED6" w:rsidRPr="00047EF1">
        <w:rPr>
          <w:rFonts w:ascii="Arial" w:hAnsi="Arial" w:cs="Arial"/>
        </w:rPr>
        <w:t xml:space="preserve"> therapy</w:t>
      </w:r>
      <w:r w:rsidR="0090252E" w:rsidRPr="00047EF1">
        <w:rPr>
          <w:rFonts w:ascii="Arial" w:hAnsi="Arial" w:cs="Arial"/>
        </w:rPr>
        <w:t xml:space="preserve"> (chemotherapy)</w:t>
      </w:r>
      <w:r w:rsidR="00420FCB" w:rsidRPr="00047EF1">
        <w:rPr>
          <w:rFonts w:ascii="Arial" w:hAnsi="Arial" w:cs="Arial"/>
        </w:rPr>
        <w:t xml:space="preserve">. </w:t>
      </w:r>
      <w:r w:rsidR="00B66ED6" w:rsidRPr="00047EF1">
        <w:rPr>
          <w:rFonts w:ascii="Arial" w:hAnsi="Arial" w:cs="Arial"/>
        </w:rPr>
        <w:t xml:space="preserve"> </w:t>
      </w:r>
    </w:p>
    <w:p w14:paraId="43670E9E" w14:textId="3DAE6738" w:rsidR="004A45BE" w:rsidRPr="00047EF1" w:rsidRDefault="004A45BE" w:rsidP="004434FA">
      <w:pPr>
        <w:pStyle w:val="Heading2"/>
        <w:spacing w:before="120" w:after="120" w:line="276" w:lineRule="auto"/>
        <w:jc w:val="both"/>
        <w:rPr>
          <w:rFonts w:ascii="Arial" w:hAnsi="Arial" w:cs="Arial"/>
        </w:rPr>
      </w:pPr>
      <w:r w:rsidRPr="00047EF1">
        <w:rPr>
          <w:rFonts w:ascii="Arial" w:hAnsi="Arial" w:cs="Arial"/>
        </w:rPr>
        <w:t>Why would the requestor seek to use the proposed investigative technology rather than the comparator(s)?</w:t>
      </w:r>
    </w:p>
    <w:p w14:paraId="402C9439" w14:textId="5F07099F" w:rsidR="00F855B0" w:rsidRPr="00047EF1" w:rsidRDefault="00F855B0" w:rsidP="00462BBA">
      <w:pPr>
        <w:spacing w:before="120" w:line="276" w:lineRule="auto"/>
        <w:jc w:val="both"/>
        <w:rPr>
          <w:rFonts w:ascii="Arial" w:hAnsi="Arial" w:cs="Arial"/>
          <w:b/>
          <w:bCs/>
        </w:rPr>
      </w:pPr>
      <w:r w:rsidRPr="00047EF1">
        <w:rPr>
          <w:rFonts w:ascii="Arial" w:hAnsi="Arial" w:cs="Arial"/>
        </w:rPr>
        <w:t>Initial chemotherapy treatment for ovarian cancer typically yields high response; however, most tumours subsequently relapse and eventually become resistant to platinum-based regimens. Current therapies in platinum-resistant ovarian cancer consist primarily of nonplatinum chemotherapy</w:t>
      </w:r>
      <w:r w:rsidR="007C5844" w:rsidRPr="00047EF1">
        <w:rPr>
          <w:rFonts w:ascii="Arial" w:hAnsi="Arial" w:cs="Arial"/>
        </w:rPr>
        <w:t>. Patients with platinum-resistant ovarian cancer receiving nonplatinum chemotherapy alone typically have a poor response.</w:t>
      </w:r>
      <w:r w:rsidR="00FC57C4" w:rsidRPr="00047EF1">
        <w:rPr>
          <w:rFonts w:ascii="Arial" w:hAnsi="Arial" w:cs="Arial"/>
        </w:rPr>
        <w:t xml:space="preserve"> </w:t>
      </w:r>
      <w:r w:rsidR="00F02392" w:rsidRPr="00047EF1">
        <w:rPr>
          <w:rFonts w:ascii="Arial" w:hAnsi="Arial" w:cs="Arial"/>
        </w:rPr>
        <w:t>FR</w:t>
      </w:r>
      <w:r w:rsidR="001A2A60" w:rsidRPr="00047EF1">
        <w:rPr>
          <w:rFonts w:ascii="Arial" w:hAnsi="Arial" w:cs="Arial"/>
        </w:rPr>
        <w:t>α</w:t>
      </w:r>
      <w:r w:rsidR="00FC57C4" w:rsidRPr="00047EF1">
        <w:rPr>
          <w:rFonts w:ascii="Arial" w:hAnsi="Arial" w:cs="Arial"/>
        </w:rPr>
        <w:t xml:space="preserve"> testing to determine eligibility for </w:t>
      </w:r>
      <w:r w:rsidR="00CA4E7C" w:rsidRPr="00047EF1">
        <w:rPr>
          <w:rFonts w:ascii="Arial" w:hAnsi="Arial" w:cs="Arial"/>
          <w:lang w:val="en-US"/>
        </w:rPr>
        <w:t>mirvetuximab soravtansine</w:t>
      </w:r>
      <w:r w:rsidR="00F02392" w:rsidRPr="00047EF1">
        <w:rPr>
          <w:rFonts w:ascii="Arial" w:hAnsi="Arial" w:cs="Arial"/>
        </w:rPr>
        <w:t xml:space="preserve"> </w:t>
      </w:r>
      <w:r w:rsidR="00FC57C4" w:rsidRPr="00047EF1">
        <w:rPr>
          <w:rFonts w:ascii="Arial" w:hAnsi="Arial" w:cs="Arial"/>
        </w:rPr>
        <w:t>is expected to lead to a change in clinical management, as patients who</w:t>
      </w:r>
      <w:r w:rsidR="000A7BB6" w:rsidRPr="00047EF1">
        <w:rPr>
          <w:rFonts w:ascii="Arial" w:hAnsi="Arial" w:cs="Arial"/>
        </w:rPr>
        <w:t xml:space="preserve"> </w:t>
      </w:r>
      <w:r w:rsidR="00507366" w:rsidRPr="00047EF1">
        <w:rPr>
          <w:rFonts w:ascii="Arial" w:hAnsi="Arial" w:cs="Arial"/>
        </w:rPr>
        <w:t>have ovarian cancer</w:t>
      </w:r>
      <w:r w:rsidR="00FC57C4" w:rsidRPr="00047EF1">
        <w:rPr>
          <w:rFonts w:ascii="Arial" w:hAnsi="Arial" w:cs="Arial"/>
        </w:rPr>
        <w:t xml:space="preserve"> </w:t>
      </w:r>
      <w:r w:rsidR="00EB205E" w:rsidRPr="00047EF1">
        <w:rPr>
          <w:rFonts w:ascii="Arial" w:hAnsi="Arial" w:cs="Arial"/>
        </w:rPr>
        <w:t xml:space="preserve">with high FRα expression </w:t>
      </w:r>
      <w:r w:rsidR="00FC57C4" w:rsidRPr="00047EF1">
        <w:rPr>
          <w:rFonts w:ascii="Arial" w:hAnsi="Arial" w:cs="Arial"/>
        </w:rPr>
        <w:t xml:space="preserve">will </w:t>
      </w:r>
      <w:r w:rsidR="00507366" w:rsidRPr="00047EF1">
        <w:rPr>
          <w:rFonts w:ascii="Arial" w:hAnsi="Arial" w:cs="Arial"/>
        </w:rPr>
        <w:t xml:space="preserve">be eligible for </w:t>
      </w:r>
      <w:r w:rsidR="00FC57C4" w:rsidRPr="00047EF1">
        <w:rPr>
          <w:rFonts w:ascii="Arial" w:hAnsi="Arial" w:cs="Arial"/>
        </w:rPr>
        <w:t>targeted treatment.</w:t>
      </w:r>
    </w:p>
    <w:p w14:paraId="67792CDE" w14:textId="40DB8290" w:rsidR="004A45BE" w:rsidRPr="00D77020" w:rsidRDefault="004A45BE" w:rsidP="00366126">
      <w:pPr>
        <w:pStyle w:val="Heading2"/>
        <w:spacing w:before="120" w:after="120" w:line="276" w:lineRule="auto"/>
        <w:jc w:val="both"/>
        <w:rPr>
          <w:rFonts w:ascii="Arial" w:hAnsi="Arial" w:cs="Arial"/>
        </w:rPr>
      </w:pPr>
      <w:r w:rsidRPr="00D77020">
        <w:rPr>
          <w:rFonts w:ascii="Arial" w:hAnsi="Arial" w:cs="Arial"/>
        </w:rPr>
        <w:t>Identify how the proposed technology achieves the intended patient outcomes:</w:t>
      </w:r>
    </w:p>
    <w:p w14:paraId="472C68A7" w14:textId="271DDEE0" w:rsidR="0090252E" w:rsidRPr="00D77020" w:rsidRDefault="0090252E" w:rsidP="00366126">
      <w:pPr>
        <w:spacing w:before="120" w:line="276" w:lineRule="auto"/>
        <w:jc w:val="both"/>
        <w:rPr>
          <w:rFonts w:ascii="Arial" w:hAnsi="Arial" w:cs="Arial"/>
          <w:b/>
          <w:bCs/>
        </w:rPr>
      </w:pPr>
      <w:r w:rsidRPr="00D77020">
        <w:rPr>
          <w:rFonts w:ascii="Arial" w:hAnsi="Arial" w:cs="Arial"/>
        </w:rPr>
        <w:t xml:space="preserve">In the MIRASOL trial, among participants with platinum-resistant, FRα-positive ovarian cancer, treatment with </w:t>
      </w:r>
      <w:r w:rsidR="00CA4E7C" w:rsidRPr="00D77020">
        <w:rPr>
          <w:rFonts w:ascii="Arial" w:hAnsi="Arial" w:cs="Arial"/>
          <w:lang w:val="en-US"/>
        </w:rPr>
        <w:t>mirvetuximab soravtansine</w:t>
      </w:r>
      <w:r w:rsidRPr="00D77020">
        <w:rPr>
          <w:rFonts w:ascii="Arial" w:hAnsi="Arial" w:cs="Arial"/>
        </w:rPr>
        <w:t xml:space="preserve"> showed a significant benefit over chemotherapy with respect to progression-free and overall survival and objective response. </w:t>
      </w:r>
    </w:p>
    <w:p w14:paraId="0C2BEC69" w14:textId="2C345F79" w:rsidR="004A45BE" w:rsidRPr="00D77020" w:rsidRDefault="004A45BE" w:rsidP="00A454C1">
      <w:pPr>
        <w:pStyle w:val="Heading2"/>
        <w:spacing w:before="120" w:after="120" w:line="276" w:lineRule="auto"/>
        <w:jc w:val="both"/>
        <w:rPr>
          <w:rFonts w:ascii="Arial" w:hAnsi="Arial" w:cs="Arial"/>
        </w:rPr>
      </w:pPr>
      <w:r w:rsidRPr="00D77020">
        <w:rPr>
          <w:rFonts w:ascii="Arial" w:hAnsi="Arial" w:cs="Arial"/>
        </w:rPr>
        <w:t xml:space="preserve">For some people, compared with the comparator(s), does the test information result in: </w:t>
      </w:r>
    </w:p>
    <w:p w14:paraId="67DE36BA" w14:textId="0EAE41C1" w:rsidR="004A45BE" w:rsidRPr="00D77020" w:rsidRDefault="004A45BE" w:rsidP="0052059B">
      <w:pPr>
        <w:spacing w:after="0" w:line="276" w:lineRule="auto"/>
        <w:jc w:val="both"/>
        <w:rPr>
          <w:rFonts w:ascii="Arial" w:hAnsi="Arial" w:cs="Arial"/>
          <w:bCs/>
        </w:rPr>
      </w:pPr>
      <w:r w:rsidRPr="00D77020">
        <w:rPr>
          <w:rFonts w:ascii="Arial" w:hAnsi="Arial" w:cs="Arial"/>
          <w:b/>
          <w:bCs/>
        </w:rPr>
        <w:t>A change in clinical management?</w:t>
      </w:r>
      <w:r w:rsidRPr="00D77020">
        <w:rPr>
          <w:rFonts w:ascii="Arial" w:hAnsi="Arial" w:cs="Arial"/>
          <w:bCs/>
        </w:rPr>
        <w:tab/>
      </w:r>
      <w:r w:rsidRPr="00D77020">
        <w:rPr>
          <w:rFonts w:ascii="Arial" w:hAnsi="Arial" w:cs="Arial"/>
          <w:b/>
          <w:highlight w:val="lightGray"/>
        </w:rPr>
        <w:t>Yes</w:t>
      </w:r>
    </w:p>
    <w:p w14:paraId="6C54CA8D" w14:textId="4DFEA852" w:rsidR="004A45BE" w:rsidRPr="00D77020" w:rsidRDefault="004A45BE" w:rsidP="0052059B">
      <w:pPr>
        <w:spacing w:after="0" w:line="276" w:lineRule="auto"/>
        <w:jc w:val="both"/>
        <w:rPr>
          <w:rFonts w:ascii="Arial" w:hAnsi="Arial" w:cs="Arial"/>
          <w:bCs/>
        </w:rPr>
      </w:pPr>
      <w:r w:rsidRPr="00D77020">
        <w:rPr>
          <w:rFonts w:ascii="Arial" w:hAnsi="Arial" w:cs="Arial"/>
          <w:b/>
          <w:bCs/>
        </w:rPr>
        <w:t>A change in health outcome?</w:t>
      </w:r>
      <w:r w:rsidRPr="00D77020">
        <w:rPr>
          <w:rFonts w:ascii="Arial" w:hAnsi="Arial" w:cs="Arial"/>
          <w:bCs/>
        </w:rPr>
        <w:tab/>
      </w:r>
      <w:r w:rsidRPr="00D77020">
        <w:rPr>
          <w:rFonts w:ascii="Arial" w:hAnsi="Arial" w:cs="Arial"/>
          <w:b/>
          <w:highlight w:val="lightGray"/>
        </w:rPr>
        <w:t>Yes</w:t>
      </w:r>
    </w:p>
    <w:p w14:paraId="0434A6A4" w14:textId="5DA5D32E" w:rsidR="004A45BE" w:rsidRPr="00D77020" w:rsidRDefault="004A45BE" w:rsidP="0052059B">
      <w:pPr>
        <w:spacing w:after="0" w:line="276" w:lineRule="auto"/>
        <w:jc w:val="both"/>
        <w:rPr>
          <w:rFonts w:ascii="Arial" w:hAnsi="Arial" w:cs="Arial"/>
          <w:bCs/>
        </w:rPr>
      </w:pPr>
      <w:r w:rsidRPr="00D77020">
        <w:rPr>
          <w:rFonts w:ascii="Arial" w:hAnsi="Arial" w:cs="Arial"/>
          <w:b/>
          <w:bCs/>
        </w:rPr>
        <w:t>Other benefits?</w:t>
      </w:r>
      <w:r w:rsidRPr="00D77020">
        <w:rPr>
          <w:rFonts w:ascii="Arial" w:hAnsi="Arial" w:cs="Arial"/>
          <w:b/>
          <w:bCs/>
        </w:rPr>
        <w:tab/>
      </w:r>
      <w:r w:rsidRPr="00D77020">
        <w:rPr>
          <w:rFonts w:ascii="Arial" w:hAnsi="Arial" w:cs="Arial"/>
          <w:bCs/>
        </w:rPr>
        <w:tab/>
      </w:r>
      <w:r w:rsidRPr="00D77020">
        <w:rPr>
          <w:rFonts w:ascii="Arial" w:hAnsi="Arial" w:cs="Arial"/>
          <w:bCs/>
        </w:rPr>
        <w:tab/>
      </w:r>
      <w:r w:rsidRPr="00D77020">
        <w:rPr>
          <w:rFonts w:ascii="Arial" w:hAnsi="Arial" w:cs="Arial"/>
          <w:b/>
          <w:highlight w:val="lightGray"/>
        </w:rPr>
        <w:t>No</w:t>
      </w:r>
    </w:p>
    <w:p w14:paraId="04716397" w14:textId="0FE58BC1" w:rsidR="004A45BE" w:rsidRPr="00D77020" w:rsidRDefault="009D5D20" w:rsidP="00A454C1">
      <w:pPr>
        <w:pStyle w:val="Heading2"/>
        <w:spacing w:before="120" w:after="120" w:line="276" w:lineRule="auto"/>
        <w:jc w:val="both"/>
        <w:rPr>
          <w:rFonts w:ascii="Arial" w:hAnsi="Arial" w:cs="Arial"/>
        </w:rPr>
      </w:pPr>
      <w:r w:rsidRPr="00D77020">
        <w:rPr>
          <w:rFonts w:ascii="Arial" w:hAnsi="Arial" w:cs="Arial"/>
        </w:rPr>
        <w:t>Please provide a rationale, and information on other benefits if relevant</w:t>
      </w:r>
      <w:r w:rsidR="004A45BE" w:rsidRPr="00D77020">
        <w:rPr>
          <w:rFonts w:ascii="Arial" w:hAnsi="Arial" w:cs="Arial"/>
        </w:rPr>
        <w:t>:</w:t>
      </w:r>
    </w:p>
    <w:p w14:paraId="4559AF7E" w14:textId="38E1FFB3" w:rsidR="004A45BE" w:rsidRPr="00D77020" w:rsidRDefault="00CF4CE1" w:rsidP="00A454C1">
      <w:pPr>
        <w:spacing w:before="120" w:line="276" w:lineRule="auto"/>
        <w:jc w:val="both"/>
        <w:rPr>
          <w:rFonts w:ascii="Arial" w:eastAsia="Segoe UI" w:hAnsi="Arial" w:cs="Arial"/>
          <w:color w:val="000000"/>
        </w:rPr>
      </w:pPr>
      <w:r w:rsidRPr="00D77020">
        <w:rPr>
          <w:rFonts w:ascii="Arial" w:hAnsi="Arial" w:cs="Arial"/>
        </w:rPr>
        <w:t>N/A</w:t>
      </w:r>
      <w:r w:rsidR="006A5CDF">
        <w:rPr>
          <w:rFonts w:ascii="Arial" w:hAnsi="Arial" w:cs="Arial"/>
        </w:rPr>
        <w:t xml:space="preserve">. A detailed description of the clinical evidence and patient benefits for the proposed test and treatment will be provided in the PBAC/MSAC submission. </w:t>
      </w:r>
    </w:p>
    <w:p w14:paraId="387EB1A7" w14:textId="77777777" w:rsidR="00361BBE" w:rsidRPr="00D77020" w:rsidRDefault="009D5D20" w:rsidP="00F302FE">
      <w:pPr>
        <w:pStyle w:val="Heading2"/>
        <w:spacing w:before="120" w:after="120" w:line="276" w:lineRule="auto"/>
        <w:jc w:val="both"/>
        <w:rPr>
          <w:rFonts w:ascii="Arial" w:hAnsi="Arial" w:cs="Arial"/>
        </w:rPr>
      </w:pPr>
      <w:r w:rsidRPr="00D77020">
        <w:rPr>
          <w:rFonts w:ascii="Arial" w:hAnsi="Arial" w:cs="Arial"/>
        </w:rPr>
        <w:t>In terms of the immediate costs of the proposed technology (and immediate cost consequences, such as procedural costs, testing costs etc.), is the proposed technology claimed to be more costly, the same cost or less costly than the comparator?</w:t>
      </w:r>
      <w:r w:rsidR="004A45BE" w:rsidRPr="00D77020">
        <w:rPr>
          <w:rFonts w:ascii="Arial" w:hAnsi="Arial" w:cs="Arial"/>
        </w:rPr>
        <w:t xml:space="preserve"> </w:t>
      </w:r>
    </w:p>
    <w:p w14:paraId="0EB954C3" w14:textId="0B585166" w:rsidR="006437E6" w:rsidRPr="00D77020" w:rsidRDefault="008C7CB7" w:rsidP="00F302FE">
      <w:pPr>
        <w:pStyle w:val="Tickboxes"/>
        <w:spacing w:before="120" w:after="120" w:line="276" w:lineRule="auto"/>
        <w:jc w:val="both"/>
        <w:rPr>
          <w:rFonts w:ascii="Arial" w:hAnsi="Arial" w:cs="Arial"/>
        </w:rPr>
      </w:pPr>
      <w:r w:rsidRPr="00D77020">
        <w:rPr>
          <w:rFonts w:ascii="Arial" w:hAnsi="Arial" w:cs="Arial"/>
          <w:b/>
          <w:bCs w:val="0"/>
          <w:u w:val="single"/>
        </w:rPr>
        <w:t xml:space="preserve">X </w:t>
      </w:r>
      <w:r w:rsidR="006437E6" w:rsidRPr="00D77020">
        <w:rPr>
          <w:rFonts w:ascii="Arial" w:hAnsi="Arial" w:cs="Arial"/>
          <w:b/>
          <w:bCs w:val="0"/>
          <w:u w:val="single"/>
        </w:rPr>
        <w:t>More costly</w:t>
      </w:r>
      <w:r w:rsidR="006437E6" w:rsidRPr="00D77020">
        <w:rPr>
          <w:rFonts w:ascii="Arial" w:hAnsi="Arial" w:cs="Arial"/>
        </w:rPr>
        <w:t xml:space="preserve"> </w:t>
      </w:r>
    </w:p>
    <w:p w14:paraId="76F56838" w14:textId="77777777" w:rsidR="006437E6" w:rsidRPr="00D77020" w:rsidRDefault="006437E6" w:rsidP="00F302FE">
      <w:pPr>
        <w:pStyle w:val="Tickboxes"/>
        <w:spacing w:before="120" w:after="120" w:line="276" w:lineRule="auto"/>
        <w:jc w:val="both"/>
        <w:rPr>
          <w:rFonts w:ascii="Arial" w:hAnsi="Arial" w:cs="Arial"/>
        </w:rPr>
      </w:pPr>
      <w:r w:rsidRPr="00D77020">
        <w:rPr>
          <w:rFonts w:ascii="Arial" w:hAnsi="Arial" w:cs="Arial"/>
        </w:rPr>
        <w:fldChar w:fldCharType="begin">
          <w:ffData>
            <w:name w:val="Check2"/>
            <w:enabled/>
            <w:calcOnExit w:val="0"/>
            <w:checkBox>
              <w:sizeAuto/>
              <w:default w:val="0"/>
            </w:checkBox>
          </w:ffData>
        </w:fldChar>
      </w:r>
      <w:r w:rsidRPr="00D77020">
        <w:rPr>
          <w:rFonts w:ascii="Arial" w:hAnsi="Arial" w:cs="Arial"/>
        </w:rPr>
        <w:instrText xml:space="preserve"> FORMCHECKBOX </w:instrText>
      </w:r>
      <w:r w:rsidR="009D2CE0">
        <w:rPr>
          <w:rFonts w:ascii="Arial" w:hAnsi="Arial" w:cs="Arial"/>
        </w:rPr>
      </w:r>
      <w:r w:rsidR="009D2CE0">
        <w:rPr>
          <w:rFonts w:ascii="Arial" w:hAnsi="Arial" w:cs="Arial"/>
        </w:rPr>
        <w:fldChar w:fldCharType="separate"/>
      </w:r>
      <w:r w:rsidRPr="00D77020">
        <w:rPr>
          <w:rFonts w:ascii="Arial" w:hAnsi="Arial" w:cs="Arial"/>
        </w:rPr>
        <w:fldChar w:fldCharType="end"/>
      </w:r>
      <w:r w:rsidRPr="00D77020">
        <w:rPr>
          <w:rFonts w:ascii="Arial" w:hAnsi="Arial" w:cs="Arial"/>
        </w:rPr>
        <w:t xml:space="preserve"> Same cost</w:t>
      </w:r>
    </w:p>
    <w:p w14:paraId="7925F574" w14:textId="04A11129" w:rsidR="00025969" w:rsidRPr="00D77020" w:rsidRDefault="006437E6" w:rsidP="00F302FE">
      <w:pPr>
        <w:pStyle w:val="Tickboxes"/>
        <w:spacing w:before="120" w:after="120" w:line="276" w:lineRule="auto"/>
        <w:jc w:val="both"/>
        <w:rPr>
          <w:rFonts w:ascii="Arial" w:hAnsi="Arial" w:cs="Arial"/>
        </w:rPr>
      </w:pPr>
      <w:r w:rsidRPr="00D77020">
        <w:rPr>
          <w:rFonts w:ascii="Arial" w:hAnsi="Arial" w:cs="Arial"/>
        </w:rPr>
        <w:fldChar w:fldCharType="begin">
          <w:ffData>
            <w:name w:val="Check1"/>
            <w:enabled/>
            <w:calcOnExit w:val="0"/>
            <w:checkBox>
              <w:sizeAuto/>
              <w:default w:val="0"/>
            </w:checkBox>
          </w:ffData>
        </w:fldChar>
      </w:r>
      <w:r w:rsidRPr="00D77020">
        <w:rPr>
          <w:rFonts w:ascii="Arial" w:hAnsi="Arial" w:cs="Arial"/>
        </w:rPr>
        <w:instrText xml:space="preserve"> FORMCHECKBOX </w:instrText>
      </w:r>
      <w:r w:rsidR="009D2CE0">
        <w:rPr>
          <w:rFonts w:ascii="Arial" w:hAnsi="Arial" w:cs="Arial"/>
        </w:rPr>
      </w:r>
      <w:r w:rsidR="009D2CE0">
        <w:rPr>
          <w:rFonts w:ascii="Arial" w:hAnsi="Arial" w:cs="Arial"/>
        </w:rPr>
        <w:fldChar w:fldCharType="separate"/>
      </w:r>
      <w:r w:rsidRPr="00D77020">
        <w:rPr>
          <w:rFonts w:ascii="Arial" w:hAnsi="Arial" w:cs="Arial"/>
        </w:rPr>
        <w:fldChar w:fldCharType="end"/>
      </w:r>
      <w:r w:rsidRPr="00D77020">
        <w:rPr>
          <w:rFonts w:ascii="Arial" w:hAnsi="Arial" w:cs="Arial"/>
        </w:rPr>
        <w:t xml:space="preserve"> Less costly </w:t>
      </w:r>
    </w:p>
    <w:p w14:paraId="3797314E" w14:textId="321C0DC3" w:rsidR="004A45BE" w:rsidRPr="00D77020" w:rsidRDefault="009D5D20" w:rsidP="00F302FE">
      <w:pPr>
        <w:pStyle w:val="Heading2"/>
        <w:spacing w:before="120" w:after="120" w:line="276" w:lineRule="auto"/>
        <w:jc w:val="both"/>
        <w:rPr>
          <w:rFonts w:ascii="Arial" w:hAnsi="Arial" w:cs="Arial"/>
        </w:rPr>
      </w:pPr>
      <w:r w:rsidRPr="00D77020">
        <w:rPr>
          <w:rFonts w:ascii="Arial" w:hAnsi="Arial" w:cs="Arial"/>
        </w:rPr>
        <w:t>Provide a brief rationale for the claim</w:t>
      </w:r>
      <w:r w:rsidR="004A45BE" w:rsidRPr="00D77020">
        <w:rPr>
          <w:rFonts w:ascii="Arial" w:hAnsi="Arial" w:cs="Arial"/>
        </w:rPr>
        <w:t>:</w:t>
      </w:r>
    </w:p>
    <w:p w14:paraId="3E4B5467" w14:textId="473DEA40" w:rsidR="004A45BE" w:rsidRPr="00D77020" w:rsidRDefault="00BD237D" w:rsidP="00F302FE">
      <w:pPr>
        <w:spacing w:before="120" w:line="276" w:lineRule="auto"/>
        <w:jc w:val="both"/>
        <w:rPr>
          <w:rFonts w:ascii="Arial" w:hAnsi="Arial" w:cs="Arial"/>
        </w:rPr>
      </w:pPr>
      <w:r w:rsidRPr="00D77020">
        <w:rPr>
          <w:rFonts w:ascii="Arial" w:hAnsi="Arial" w:cs="Arial"/>
        </w:rPr>
        <w:t>There will be a</w:t>
      </w:r>
      <w:r w:rsidR="00295B1B" w:rsidRPr="00D77020">
        <w:rPr>
          <w:rFonts w:ascii="Arial" w:hAnsi="Arial" w:cs="Arial"/>
        </w:rPr>
        <w:t xml:space="preserve"> cost for testin</w:t>
      </w:r>
      <w:r w:rsidR="00944BCD" w:rsidRPr="00D77020">
        <w:rPr>
          <w:rFonts w:ascii="Arial" w:hAnsi="Arial" w:cs="Arial"/>
        </w:rPr>
        <w:t xml:space="preserve">g </w:t>
      </w:r>
      <w:r w:rsidR="00171DB4" w:rsidRPr="00D77020">
        <w:rPr>
          <w:rFonts w:ascii="Arial" w:hAnsi="Arial" w:cs="Arial"/>
        </w:rPr>
        <w:t>for the approved MBS item number</w:t>
      </w:r>
      <w:r w:rsidR="009717A1" w:rsidRPr="00D77020">
        <w:rPr>
          <w:rFonts w:ascii="Arial" w:hAnsi="Arial" w:cs="Arial"/>
        </w:rPr>
        <w:t xml:space="preserve">, and if the </w:t>
      </w:r>
      <w:r w:rsidR="007B5E71" w:rsidRPr="00D77020">
        <w:rPr>
          <w:rFonts w:ascii="Arial" w:hAnsi="Arial" w:cs="Arial"/>
        </w:rPr>
        <w:t>test results</w:t>
      </w:r>
      <w:r w:rsidR="00AD36B8" w:rsidRPr="00D77020">
        <w:rPr>
          <w:rFonts w:ascii="Arial" w:hAnsi="Arial" w:cs="Arial"/>
        </w:rPr>
        <w:t xml:space="preserve"> confirm</w:t>
      </w:r>
      <w:r w:rsidR="007B5E71" w:rsidRPr="00D77020">
        <w:rPr>
          <w:rFonts w:ascii="Arial" w:hAnsi="Arial" w:cs="Arial"/>
        </w:rPr>
        <w:t xml:space="preserve"> </w:t>
      </w:r>
      <w:r w:rsidR="0049274C" w:rsidRPr="00D77020">
        <w:rPr>
          <w:rFonts w:ascii="Arial" w:hAnsi="Arial" w:cs="Arial"/>
        </w:rPr>
        <w:t>FRα-positive ovarian cancer</w:t>
      </w:r>
      <w:r w:rsidR="00A50225" w:rsidRPr="00D77020">
        <w:rPr>
          <w:rFonts w:ascii="Arial" w:hAnsi="Arial" w:cs="Arial"/>
        </w:rPr>
        <w:t>, the patient will b</w:t>
      </w:r>
      <w:r w:rsidR="00F007CC" w:rsidRPr="00D77020">
        <w:rPr>
          <w:rFonts w:ascii="Arial" w:hAnsi="Arial" w:cs="Arial"/>
        </w:rPr>
        <w:t xml:space="preserve">e </w:t>
      </w:r>
      <w:r w:rsidR="00AD36B8" w:rsidRPr="00D77020">
        <w:rPr>
          <w:rFonts w:ascii="Arial" w:hAnsi="Arial" w:cs="Arial"/>
        </w:rPr>
        <w:t>eligible to</w:t>
      </w:r>
      <w:r w:rsidR="00F007CC" w:rsidRPr="00D77020">
        <w:rPr>
          <w:rFonts w:ascii="Arial" w:hAnsi="Arial" w:cs="Arial"/>
        </w:rPr>
        <w:t xml:space="preserve"> access </w:t>
      </w:r>
      <w:r w:rsidR="00017916" w:rsidRPr="00D77020">
        <w:rPr>
          <w:rFonts w:ascii="Arial" w:hAnsi="Arial" w:cs="Arial"/>
        </w:rPr>
        <w:t>PBS treatment</w:t>
      </w:r>
      <w:r w:rsidR="007D5FF4" w:rsidRPr="00D77020">
        <w:rPr>
          <w:rFonts w:ascii="Arial" w:hAnsi="Arial" w:cs="Arial"/>
        </w:rPr>
        <w:t xml:space="preserve"> </w:t>
      </w:r>
      <w:r w:rsidR="00463F7F" w:rsidRPr="00D77020">
        <w:rPr>
          <w:rFonts w:ascii="Arial" w:hAnsi="Arial" w:cs="Arial"/>
        </w:rPr>
        <w:t xml:space="preserve">with </w:t>
      </w:r>
      <w:r w:rsidR="00D40042" w:rsidRPr="00D77020">
        <w:rPr>
          <w:rFonts w:ascii="Arial" w:hAnsi="Arial" w:cs="Arial"/>
        </w:rPr>
        <w:t>mirvetuximab soravtansine</w:t>
      </w:r>
      <w:r w:rsidR="00C55287" w:rsidRPr="00D77020">
        <w:rPr>
          <w:rFonts w:ascii="Arial" w:hAnsi="Arial" w:cs="Arial"/>
        </w:rPr>
        <w:t>.</w:t>
      </w:r>
    </w:p>
    <w:p w14:paraId="3F215402" w14:textId="77777777" w:rsidR="00BF4BAA" w:rsidRPr="00D77020" w:rsidRDefault="00BF4BAA" w:rsidP="00EA0AA0">
      <w:pPr>
        <w:pStyle w:val="Heading1"/>
        <w:rPr>
          <w:rFonts w:ascii="Arial" w:hAnsi="Arial" w:cs="Arial"/>
        </w:rPr>
        <w:sectPr w:rsidR="00BF4BAA" w:rsidRPr="00D77020" w:rsidSect="00AC3934">
          <w:headerReference w:type="even" r:id="rId10"/>
          <w:headerReference w:type="default" r:id="rId11"/>
          <w:footerReference w:type="even" r:id="rId12"/>
          <w:footerReference w:type="default" r:id="rId13"/>
          <w:headerReference w:type="first" r:id="rId14"/>
          <w:footerReference w:type="first" r:id="rId15"/>
          <w:pgSz w:w="11906" w:h="16838"/>
          <w:pgMar w:top="993" w:right="1133" w:bottom="993" w:left="1276" w:header="426" w:footer="252" w:gutter="0"/>
          <w:pgNumType w:start="0"/>
          <w:cols w:space="708"/>
          <w:titlePg/>
          <w:docGrid w:linePitch="360"/>
        </w:sectPr>
      </w:pPr>
      <w:bookmarkStart w:id="8" w:name="_Hlk122532620"/>
    </w:p>
    <w:p w14:paraId="78D9C328" w14:textId="7948D0B2" w:rsidR="0030566C" w:rsidRPr="00D77020" w:rsidRDefault="0030566C" w:rsidP="00EA0AA0">
      <w:pPr>
        <w:pStyle w:val="Heading1"/>
        <w:rPr>
          <w:rFonts w:ascii="Arial" w:hAnsi="Arial" w:cs="Arial"/>
        </w:rPr>
      </w:pPr>
      <w:r w:rsidRPr="00D77020">
        <w:rPr>
          <w:rFonts w:ascii="Arial" w:hAnsi="Arial" w:cs="Arial"/>
        </w:rPr>
        <w:lastRenderedPageBreak/>
        <w:t>Summary of Evidence</w:t>
      </w:r>
    </w:p>
    <w:p w14:paraId="093E0992" w14:textId="77777777" w:rsidR="00BC0C43" w:rsidRPr="00D77020" w:rsidRDefault="0030566C" w:rsidP="00BC0C43">
      <w:pPr>
        <w:pStyle w:val="Heading2"/>
        <w:rPr>
          <w:rFonts w:ascii="Arial" w:hAnsi="Arial" w:cs="Arial"/>
        </w:rPr>
      </w:pPr>
      <w:r w:rsidRPr="00D77020">
        <w:rPr>
          <w:rFonts w:ascii="Arial" w:hAnsi="Arial" w:cs="Arial"/>
        </w:rPr>
        <w:t xml:space="preserve">Provide one or more recent (published) high quality clinical studies that support use of the proposed health service/technology. At ‘Application Form lodgement’, </w:t>
      </w:r>
    </w:p>
    <w:tbl>
      <w:tblPr>
        <w:tblStyle w:val="TableGrid"/>
        <w:tblW w:w="5000" w:type="pct"/>
        <w:tblLook w:val="04A0" w:firstRow="1" w:lastRow="0" w:firstColumn="1" w:lastColumn="0" w:noHBand="0" w:noVBand="1"/>
        <w:tblCaption w:val="Summary of Evidence - Published"/>
      </w:tblPr>
      <w:tblGrid>
        <w:gridCol w:w="383"/>
        <w:gridCol w:w="1317"/>
        <w:gridCol w:w="2231"/>
        <w:gridCol w:w="3711"/>
        <w:gridCol w:w="5097"/>
        <w:gridCol w:w="1514"/>
      </w:tblGrid>
      <w:tr w:rsidR="00A87E42" w:rsidRPr="00464910" w14:paraId="7D7CFBCF" w14:textId="77777777" w:rsidTr="000A3DD9">
        <w:trPr>
          <w:cantSplit/>
          <w:tblHeader/>
        </w:trPr>
        <w:tc>
          <w:tcPr>
            <w:tcW w:w="134" w:type="pct"/>
            <w:shd w:val="clear" w:color="auto" w:fill="F2F2F2" w:themeFill="background1" w:themeFillShade="F2"/>
          </w:tcPr>
          <w:p w14:paraId="3C303F90" w14:textId="77777777" w:rsidR="002B3774" w:rsidRPr="00464910" w:rsidRDefault="002B3774">
            <w:pPr>
              <w:rPr>
                <w:rFonts w:ascii="Arial" w:hAnsi="Arial" w:cs="Arial"/>
                <w:sz w:val="20"/>
                <w:szCs w:val="20"/>
              </w:rPr>
            </w:pPr>
          </w:p>
        </w:tc>
        <w:tc>
          <w:tcPr>
            <w:tcW w:w="462" w:type="pct"/>
            <w:shd w:val="clear" w:color="auto" w:fill="F2F2F2" w:themeFill="background1" w:themeFillShade="F2"/>
          </w:tcPr>
          <w:p w14:paraId="22034637" w14:textId="077117C1" w:rsidR="002B3774" w:rsidRPr="00464910" w:rsidRDefault="002B3774">
            <w:pPr>
              <w:rPr>
                <w:rFonts w:ascii="Arial" w:hAnsi="Arial" w:cs="Arial"/>
                <w:b/>
                <w:bCs/>
                <w:sz w:val="20"/>
                <w:szCs w:val="20"/>
              </w:rPr>
            </w:pPr>
            <w:r w:rsidRPr="00464910">
              <w:rPr>
                <w:rFonts w:ascii="Arial" w:hAnsi="Arial" w:cs="Arial"/>
                <w:b/>
                <w:bCs/>
                <w:sz w:val="20"/>
                <w:szCs w:val="20"/>
              </w:rPr>
              <w:t>Type of study design</w:t>
            </w:r>
          </w:p>
        </w:tc>
        <w:tc>
          <w:tcPr>
            <w:tcW w:w="783" w:type="pct"/>
            <w:shd w:val="clear" w:color="auto" w:fill="F2F2F2" w:themeFill="background1" w:themeFillShade="F2"/>
          </w:tcPr>
          <w:p w14:paraId="72A969B8" w14:textId="0E810A34" w:rsidR="002B3774" w:rsidRPr="00464910" w:rsidRDefault="002B3774">
            <w:pPr>
              <w:rPr>
                <w:rFonts w:ascii="Arial" w:hAnsi="Arial" w:cs="Arial"/>
                <w:b/>
                <w:bCs/>
                <w:sz w:val="20"/>
                <w:szCs w:val="20"/>
              </w:rPr>
            </w:pPr>
            <w:r w:rsidRPr="00464910">
              <w:rPr>
                <w:rFonts w:ascii="Arial" w:hAnsi="Arial" w:cs="Arial"/>
                <w:b/>
                <w:bCs/>
                <w:sz w:val="20"/>
                <w:szCs w:val="20"/>
              </w:rPr>
              <w:t xml:space="preserve">Title of journal article or research project </w:t>
            </w:r>
          </w:p>
        </w:tc>
        <w:tc>
          <w:tcPr>
            <w:tcW w:w="1302" w:type="pct"/>
            <w:shd w:val="clear" w:color="auto" w:fill="F2F2F2" w:themeFill="background1" w:themeFillShade="F2"/>
          </w:tcPr>
          <w:p w14:paraId="6849AB75" w14:textId="1601FCAD" w:rsidR="002B3774" w:rsidRPr="00464910" w:rsidRDefault="002B3774">
            <w:pPr>
              <w:rPr>
                <w:rFonts w:ascii="Arial" w:hAnsi="Arial" w:cs="Arial"/>
                <w:b/>
                <w:bCs/>
                <w:sz w:val="20"/>
                <w:szCs w:val="20"/>
              </w:rPr>
            </w:pPr>
            <w:r w:rsidRPr="00464910">
              <w:rPr>
                <w:rFonts w:ascii="Arial" w:hAnsi="Arial" w:cs="Arial"/>
                <w:b/>
                <w:bCs/>
                <w:sz w:val="20"/>
                <w:szCs w:val="20"/>
              </w:rPr>
              <w:t xml:space="preserve">Short description of research </w:t>
            </w:r>
          </w:p>
        </w:tc>
        <w:tc>
          <w:tcPr>
            <w:tcW w:w="1788" w:type="pct"/>
            <w:shd w:val="clear" w:color="auto" w:fill="F2F2F2" w:themeFill="background1" w:themeFillShade="F2"/>
          </w:tcPr>
          <w:p w14:paraId="6D438BD5" w14:textId="2CD9FFA6" w:rsidR="002B3774" w:rsidRPr="00464910" w:rsidRDefault="002B3774">
            <w:pPr>
              <w:rPr>
                <w:rFonts w:ascii="Arial" w:hAnsi="Arial" w:cs="Arial"/>
                <w:b/>
                <w:bCs/>
                <w:sz w:val="20"/>
                <w:szCs w:val="20"/>
              </w:rPr>
            </w:pPr>
            <w:r w:rsidRPr="00464910">
              <w:rPr>
                <w:rFonts w:ascii="Arial" w:hAnsi="Arial" w:cs="Arial"/>
                <w:b/>
                <w:bCs/>
                <w:sz w:val="20"/>
                <w:szCs w:val="20"/>
              </w:rPr>
              <w:t xml:space="preserve">Website link to journal article or research </w:t>
            </w:r>
          </w:p>
        </w:tc>
        <w:tc>
          <w:tcPr>
            <w:tcW w:w="531" w:type="pct"/>
            <w:shd w:val="clear" w:color="auto" w:fill="F2F2F2" w:themeFill="background1" w:themeFillShade="F2"/>
          </w:tcPr>
          <w:p w14:paraId="53584C89" w14:textId="3FA7BD11" w:rsidR="002B3774" w:rsidRPr="00464910" w:rsidRDefault="002B3774">
            <w:pPr>
              <w:rPr>
                <w:rFonts w:ascii="Arial" w:hAnsi="Arial" w:cs="Arial"/>
                <w:b/>
                <w:bCs/>
                <w:sz w:val="20"/>
                <w:szCs w:val="20"/>
              </w:rPr>
            </w:pPr>
            <w:r w:rsidRPr="00464910">
              <w:rPr>
                <w:rFonts w:ascii="Arial" w:hAnsi="Arial" w:cs="Arial"/>
                <w:b/>
                <w:bCs/>
                <w:sz w:val="20"/>
                <w:szCs w:val="20"/>
              </w:rPr>
              <w:t>Date of publication</w:t>
            </w:r>
          </w:p>
        </w:tc>
      </w:tr>
      <w:tr w:rsidR="00A87E42" w:rsidRPr="00464910" w14:paraId="770ED8C0" w14:textId="77777777" w:rsidTr="000A3DD9">
        <w:trPr>
          <w:cantSplit/>
        </w:trPr>
        <w:tc>
          <w:tcPr>
            <w:tcW w:w="134" w:type="pct"/>
          </w:tcPr>
          <w:p w14:paraId="3ED51E73" w14:textId="77777777" w:rsidR="002B3774" w:rsidRPr="00464910" w:rsidRDefault="002B3774">
            <w:pPr>
              <w:rPr>
                <w:rFonts w:ascii="Arial" w:hAnsi="Arial" w:cs="Arial"/>
                <w:sz w:val="20"/>
                <w:szCs w:val="20"/>
              </w:rPr>
            </w:pPr>
            <w:r w:rsidRPr="00464910">
              <w:rPr>
                <w:rFonts w:ascii="Arial" w:hAnsi="Arial" w:cs="Arial"/>
                <w:sz w:val="20"/>
                <w:szCs w:val="20"/>
              </w:rPr>
              <w:t>1.</w:t>
            </w:r>
          </w:p>
        </w:tc>
        <w:tc>
          <w:tcPr>
            <w:tcW w:w="462" w:type="pct"/>
          </w:tcPr>
          <w:p w14:paraId="10FDEB23" w14:textId="56B8EAA0" w:rsidR="002B3774" w:rsidRPr="00464910" w:rsidRDefault="00336173">
            <w:pPr>
              <w:rPr>
                <w:rFonts w:ascii="Arial" w:hAnsi="Arial" w:cs="Arial"/>
                <w:b/>
                <w:sz w:val="20"/>
                <w:szCs w:val="20"/>
              </w:rPr>
            </w:pPr>
            <w:r w:rsidRPr="00464910">
              <w:rPr>
                <w:rFonts w:ascii="Arial" w:hAnsi="Arial" w:cs="Arial"/>
                <w:sz w:val="20"/>
                <w:szCs w:val="20"/>
              </w:rPr>
              <w:t>Phase III, open-label, randomi</w:t>
            </w:r>
            <w:r w:rsidR="001D2CEA" w:rsidRPr="00464910">
              <w:rPr>
                <w:rFonts w:ascii="Arial" w:hAnsi="Arial" w:cs="Arial"/>
                <w:sz w:val="20"/>
                <w:szCs w:val="20"/>
              </w:rPr>
              <w:t>s</w:t>
            </w:r>
            <w:r w:rsidRPr="00464910">
              <w:rPr>
                <w:rFonts w:ascii="Arial" w:hAnsi="Arial" w:cs="Arial"/>
                <w:sz w:val="20"/>
                <w:szCs w:val="20"/>
              </w:rPr>
              <w:t>ed, controlled trial</w:t>
            </w:r>
          </w:p>
        </w:tc>
        <w:tc>
          <w:tcPr>
            <w:tcW w:w="783" w:type="pct"/>
          </w:tcPr>
          <w:p w14:paraId="50674999" w14:textId="77777777" w:rsidR="002B3774" w:rsidRPr="00464910" w:rsidRDefault="009025F1">
            <w:pPr>
              <w:rPr>
                <w:rFonts w:ascii="Arial" w:hAnsi="Arial" w:cs="Arial"/>
                <w:sz w:val="20"/>
                <w:szCs w:val="20"/>
              </w:rPr>
            </w:pPr>
            <w:r w:rsidRPr="00464910">
              <w:rPr>
                <w:rFonts w:ascii="Arial" w:hAnsi="Arial" w:cs="Arial"/>
                <w:sz w:val="20"/>
                <w:szCs w:val="20"/>
              </w:rPr>
              <w:t>Mirvetuximab Soravtansine in FRα-Positive, Platinum-Resistant Ovarian Cancer</w:t>
            </w:r>
            <w:r w:rsidR="00690105" w:rsidRPr="00464910">
              <w:rPr>
                <w:rFonts w:ascii="Arial" w:hAnsi="Arial" w:cs="Arial"/>
                <w:sz w:val="20"/>
                <w:szCs w:val="20"/>
              </w:rPr>
              <w:t xml:space="preserve"> (MIRASOL)</w:t>
            </w:r>
          </w:p>
          <w:p w14:paraId="22D6D80D" w14:textId="77777777" w:rsidR="008A7710" w:rsidRPr="00464910" w:rsidRDefault="008A7710">
            <w:pPr>
              <w:rPr>
                <w:rFonts w:ascii="Arial" w:hAnsi="Arial" w:cs="Arial"/>
                <w:b/>
                <w:sz w:val="20"/>
                <w:szCs w:val="20"/>
              </w:rPr>
            </w:pPr>
          </w:p>
          <w:p w14:paraId="78324A85" w14:textId="7DE48646" w:rsidR="008A7710" w:rsidRPr="00464910" w:rsidRDefault="008A7710">
            <w:pPr>
              <w:rPr>
                <w:rFonts w:ascii="Arial" w:hAnsi="Arial" w:cs="Arial"/>
                <w:bCs/>
                <w:sz w:val="20"/>
                <w:szCs w:val="20"/>
              </w:rPr>
            </w:pPr>
            <w:r w:rsidRPr="00464910">
              <w:rPr>
                <w:rFonts w:ascii="Arial" w:hAnsi="Arial" w:cs="Arial"/>
                <w:bCs/>
                <w:sz w:val="20"/>
                <w:szCs w:val="20"/>
              </w:rPr>
              <w:t>NCT04209855</w:t>
            </w:r>
          </w:p>
        </w:tc>
        <w:tc>
          <w:tcPr>
            <w:tcW w:w="1302" w:type="pct"/>
          </w:tcPr>
          <w:p w14:paraId="2D371915" w14:textId="77777777" w:rsidR="002B3774" w:rsidRDefault="000C3616">
            <w:pPr>
              <w:rPr>
                <w:rFonts w:ascii="Arial" w:hAnsi="Arial" w:cs="Arial"/>
                <w:sz w:val="20"/>
                <w:szCs w:val="20"/>
              </w:rPr>
            </w:pPr>
            <w:r w:rsidRPr="00464910">
              <w:rPr>
                <w:rFonts w:ascii="Arial" w:hAnsi="Arial" w:cs="Arial"/>
                <w:sz w:val="20"/>
                <w:szCs w:val="20"/>
              </w:rPr>
              <w:t xml:space="preserve">Among participants with platinum-resistant, FRα-positive ovarian cancer, treatment with </w:t>
            </w:r>
            <w:r w:rsidR="00AC4248" w:rsidRPr="00464910">
              <w:rPr>
                <w:rFonts w:ascii="Arial" w:hAnsi="Arial" w:cs="Arial"/>
                <w:sz w:val="20"/>
                <w:szCs w:val="20"/>
              </w:rPr>
              <w:t>mirvetuximab soravtansine</w:t>
            </w:r>
            <w:r w:rsidRPr="00464910">
              <w:rPr>
                <w:rFonts w:ascii="Arial" w:hAnsi="Arial" w:cs="Arial"/>
                <w:sz w:val="20"/>
                <w:szCs w:val="20"/>
              </w:rPr>
              <w:t xml:space="preserve"> showed a significant benefit over chemotherapy with respect to progression-free and overall survival and objective response.</w:t>
            </w:r>
          </w:p>
          <w:p w14:paraId="3C61C1FC" w14:textId="29CA8EB5" w:rsidR="000A3DD9" w:rsidRPr="000A3DD9" w:rsidRDefault="000A3DD9" w:rsidP="000A3DD9">
            <w:pPr>
              <w:rPr>
                <w:rFonts w:ascii="Arial" w:hAnsi="Arial" w:cs="Arial"/>
                <w:sz w:val="20"/>
                <w:szCs w:val="20"/>
              </w:rPr>
            </w:pPr>
          </w:p>
        </w:tc>
        <w:tc>
          <w:tcPr>
            <w:tcW w:w="1788" w:type="pct"/>
          </w:tcPr>
          <w:p w14:paraId="50CDF2AD" w14:textId="77777777" w:rsidR="00DD5AFC" w:rsidRDefault="00DD5AFC">
            <w:pPr>
              <w:rPr>
                <w:rFonts w:ascii="Arial" w:hAnsi="Arial" w:cs="Arial"/>
                <w:sz w:val="20"/>
                <w:szCs w:val="20"/>
              </w:rPr>
            </w:pPr>
          </w:p>
          <w:p w14:paraId="38103175" w14:textId="4AC709C0" w:rsidR="00843332" w:rsidRPr="00464910" w:rsidRDefault="00D15E65">
            <w:pPr>
              <w:rPr>
                <w:rFonts w:ascii="Arial" w:hAnsi="Arial" w:cs="Arial"/>
                <w:sz w:val="20"/>
                <w:szCs w:val="20"/>
              </w:rPr>
            </w:pPr>
            <w:r w:rsidRPr="00077773">
              <w:rPr>
                <w:rFonts w:ascii="Arial" w:hAnsi="Arial" w:cs="Arial"/>
                <w:sz w:val="20"/>
                <w:szCs w:val="20"/>
              </w:rPr>
              <w:t>https://www.nejm.org/doi/full/10.1056/NEJMoa2309169</w:t>
            </w:r>
          </w:p>
          <w:p w14:paraId="7CBBD55B" w14:textId="77777777" w:rsidR="00843332" w:rsidRPr="00464910" w:rsidRDefault="00843332">
            <w:pPr>
              <w:rPr>
                <w:rFonts w:ascii="Arial" w:hAnsi="Arial" w:cs="Arial"/>
                <w:sz w:val="20"/>
                <w:szCs w:val="20"/>
              </w:rPr>
            </w:pPr>
          </w:p>
          <w:p w14:paraId="0D5BA928" w14:textId="0B7FE2EF" w:rsidR="002B3774" w:rsidRPr="00464910" w:rsidRDefault="00D15E65">
            <w:pPr>
              <w:rPr>
                <w:rFonts w:ascii="Arial" w:hAnsi="Arial" w:cs="Arial"/>
                <w:b/>
                <w:sz w:val="20"/>
                <w:szCs w:val="20"/>
              </w:rPr>
            </w:pPr>
            <w:r w:rsidRPr="00464910">
              <w:rPr>
                <w:rFonts w:ascii="Arial" w:hAnsi="Arial" w:cs="Arial"/>
                <w:sz w:val="20"/>
                <w:szCs w:val="20"/>
              </w:rPr>
              <w:t xml:space="preserve"> </w:t>
            </w:r>
            <w:r w:rsidR="00747403" w:rsidRPr="00464910">
              <w:rPr>
                <w:rFonts w:ascii="Arial" w:hAnsi="Arial" w:cs="Arial"/>
                <w:sz w:val="20"/>
                <w:szCs w:val="20"/>
              </w:rPr>
              <w:t>N Engl J Med 2023; 389:2162-2174</w:t>
            </w:r>
          </w:p>
        </w:tc>
        <w:tc>
          <w:tcPr>
            <w:tcW w:w="531" w:type="pct"/>
          </w:tcPr>
          <w:p w14:paraId="10751763" w14:textId="047E481A" w:rsidR="002B3774" w:rsidRPr="00464910" w:rsidRDefault="00843332">
            <w:pPr>
              <w:rPr>
                <w:rFonts w:ascii="Arial" w:hAnsi="Arial" w:cs="Arial"/>
                <w:b/>
                <w:sz w:val="20"/>
                <w:szCs w:val="20"/>
              </w:rPr>
            </w:pPr>
            <w:r w:rsidRPr="00464910">
              <w:rPr>
                <w:rFonts w:ascii="Arial" w:hAnsi="Arial" w:cs="Arial"/>
                <w:sz w:val="20"/>
                <w:szCs w:val="20"/>
              </w:rPr>
              <w:t>Dec</w:t>
            </w:r>
            <w:r w:rsidR="00747403" w:rsidRPr="00464910">
              <w:rPr>
                <w:rFonts w:ascii="Arial" w:hAnsi="Arial" w:cs="Arial"/>
                <w:sz w:val="20"/>
                <w:szCs w:val="20"/>
              </w:rPr>
              <w:t xml:space="preserve"> 7 2023</w:t>
            </w:r>
          </w:p>
        </w:tc>
      </w:tr>
      <w:tr w:rsidR="00A87E42" w:rsidRPr="00464910" w14:paraId="13AA3206" w14:textId="77777777" w:rsidTr="000A3DD9">
        <w:trPr>
          <w:cantSplit/>
        </w:trPr>
        <w:tc>
          <w:tcPr>
            <w:tcW w:w="134" w:type="pct"/>
          </w:tcPr>
          <w:p w14:paraId="7E036800" w14:textId="5B0FA1EA" w:rsidR="003B5CCD" w:rsidRPr="00464910" w:rsidRDefault="003B5CCD">
            <w:pPr>
              <w:rPr>
                <w:rFonts w:ascii="Arial" w:hAnsi="Arial" w:cs="Arial"/>
                <w:sz w:val="20"/>
                <w:szCs w:val="20"/>
              </w:rPr>
            </w:pPr>
            <w:r w:rsidRPr="00464910">
              <w:rPr>
                <w:rFonts w:ascii="Arial" w:hAnsi="Arial" w:cs="Arial"/>
                <w:sz w:val="20"/>
                <w:szCs w:val="20"/>
              </w:rPr>
              <w:t>2.</w:t>
            </w:r>
          </w:p>
        </w:tc>
        <w:tc>
          <w:tcPr>
            <w:tcW w:w="462" w:type="pct"/>
          </w:tcPr>
          <w:p w14:paraId="63B9BDA3" w14:textId="283313C5" w:rsidR="003B5CCD" w:rsidRPr="00464910" w:rsidRDefault="00F85F8C">
            <w:pPr>
              <w:rPr>
                <w:rFonts w:ascii="Arial" w:hAnsi="Arial" w:cs="Arial"/>
                <w:sz w:val="20"/>
                <w:szCs w:val="20"/>
              </w:rPr>
            </w:pPr>
            <w:r w:rsidRPr="00464910">
              <w:rPr>
                <w:rFonts w:ascii="Arial" w:hAnsi="Arial" w:cs="Arial"/>
                <w:sz w:val="20"/>
                <w:szCs w:val="20"/>
              </w:rPr>
              <w:t>Phase II single-arm, study</w:t>
            </w:r>
          </w:p>
        </w:tc>
        <w:tc>
          <w:tcPr>
            <w:tcW w:w="783" w:type="pct"/>
          </w:tcPr>
          <w:p w14:paraId="6386F6CB" w14:textId="77777777" w:rsidR="003B5CCD" w:rsidRPr="00464910" w:rsidRDefault="00CB63D4">
            <w:pPr>
              <w:rPr>
                <w:rFonts w:ascii="Arial" w:hAnsi="Arial" w:cs="Arial"/>
                <w:sz w:val="20"/>
                <w:szCs w:val="20"/>
              </w:rPr>
            </w:pPr>
            <w:r w:rsidRPr="00464910">
              <w:rPr>
                <w:rFonts w:ascii="Arial" w:hAnsi="Arial" w:cs="Arial"/>
                <w:sz w:val="20"/>
                <w:szCs w:val="20"/>
              </w:rPr>
              <w:t>Efficacy and Safety of Mirvetuximab Soravtansine in Patients With Platinum-Resistant Ovarian Cancer With High Folate Receptor Alpha Expression: Results From the SORAYA Study</w:t>
            </w:r>
          </w:p>
          <w:p w14:paraId="67ACF6F2" w14:textId="1738695A" w:rsidR="000230BD" w:rsidRPr="00464910" w:rsidRDefault="000230BD">
            <w:pPr>
              <w:rPr>
                <w:rFonts w:ascii="Arial" w:hAnsi="Arial" w:cs="Arial"/>
                <w:sz w:val="20"/>
                <w:szCs w:val="20"/>
              </w:rPr>
            </w:pPr>
            <w:r w:rsidRPr="00464910">
              <w:rPr>
                <w:rFonts w:ascii="Arial" w:hAnsi="Arial" w:cs="Arial"/>
                <w:sz w:val="20"/>
                <w:szCs w:val="20"/>
              </w:rPr>
              <w:t>NCT04296890</w:t>
            </w:r>
          </w:p>
        </w:tc>
        <w:tc>
          <w:tcPr>
            <w:tcW w:w="1302" w:type="pct"/>
          </w:tcPr>
          <w:p w14:paraId="2799C369" w14:textId="77777777" w:rsidR="003B5CCD" w:rsidRDefault="00AC4248">
            <w:pPr>
              <w:rPr>
                <w:rFonts w:ascii="Arial" w:hAnsi="Arial" w:cs="Arial"/>
                <w:sz w:val="20"/>
                <w:szCs w:val="20"/>
              </w:rPr>
            </w:pPr>
            <w:r w:rsidRPr="00464910">
              <w:rPr>
                <w:rFonts w:ascii="Arial" w:hAnsi="Arial" w:cs="Arial"/>
                <w:sz w:val="20"/>
                <w:szCs w:val="20"/>
              </w:rPr>
              <w:t>mirvetuximab soravtansine</w:t>
            </w:r>
            <w:r w:rsidR="008C7FE2" w:rsidRPr="00464910">
              <w:rPr>
                <w:rFonts w:ascii="Arial" w:hAnsi="Arial" w:cs="Arial"/>
                <w:sz w:val="20"/>
                <w:szCs w:val="20"/>
              </w:rPr>
              <w:t xml:space="preserve"> demonstrated consistent clinically meaningful antitumor activity and </w:t>
            </w:r>
            <w:r w:rsidR="00482201" w:rsidRPr="00464910">
              <w:rPr>
                <w:rFonts w:ascii="Arial" w:hAnsi="Arial" w:cs="Arial"/>
                <w:sz w:val="20"/>
                <w:szCs w:val="20"/>
              </w:rPr>
              <w:t>favourable</w:t>
            </w:r>
            <w:r w:rsidR="008C7FE2" w:rsidRPr="00464910">
              <w:rPr>
                <w:rFonts w:ascii="Arial" w:hAnsi="Arial" w:cs="Arial"/>
                <w:sz w:val="20"/>
                <w:szCs w:val="20"/>
              </w:rPr>
              <w:t xml:space="preserve"> tolerability and safety in patients with FRα-high PROC who had received up to three prior therapies, including bevacizumab, representing an important advance for this biomarker-selected population.</w:t>
            </w:r>
          </w:p>
          <w:p w14:paraId="46F76FAF" w14:textId="77777777" w:rsidR="000A3DD9" w:rsidRPr="000A3DD9" w:rsidRDefault="000A3DD9" w:rsidP="000A3DD9">
            <w:pPr>
              <w:rPr>
                <w:rFonts w:ascii="Arial" w:hAnsi="Arial" w:cs="Arial"/>
                <w:sz w:val="20"/>
                <w:szCs w:val="20"/>
              </w:rPr>
            </w:pPr>
          </w:p>
          <w:p w14:paraId="718A8EDB" w14:textId="2ED1E9D0" w:rsidR="000A3DD9" w:rsidRPr="000A3DD9" w:rsidRDefault="000A3DD9" w:rsidP="000A3DD9">
            <w:pPr>
              <w:rPr>
                <w:rFonts w:ascii="Arial" w:hAnsi="Arial" w:cs="Arial"/>
                <w:sz w:val="20"/>
                <w:szCs w:val="20"/>
              </w:rPr>
            </w:pPr>
          </w:p>
        </w:tc>
        <w:tc>
          <w:tcPr>
            <w:tcW w:w="1788" w:type="pct"/>
          </w:tcPr>
          <w:p w14:paraId="38BD3471" w14:textId="7F1C1E5F" w:rsidR="003B5CCD" w:rsidRPr="00464910" w:rsidRDefault="00A87E42">
            <w:pPr>
              <w:rPr>
                <w:rFonts w:ascii="Arial" w:hAnsi="Arial" w:cs="Arial"/>
                <w:sz w:val="20"/>
                <w:szCs w:val="20"/>
              </w:rPr>
            </w:pPr>
            <w:r w:rsidRPr="00077773">
              <w:rPr>
                <w:rFonts w:ascii="Arial" w:hAnsi="Arial" w:cs="Arial"/>
                <w:sz w:val="20"/>
                <w:szCs w:val="20"/>
              </w:rPr>
              <w:t>https://ascopubs.org/doi/full/10.1200/JCO.22.01900</w:t>
            </w:r>
            <w:r w:rsidRPr="00464910">
              <w:rPr>
                <w:rFonts w:ascii="Arial" w:hAnsi="Arial" w:cs="Arial"/>
                <w:sz w:val="20"/>
                <w:szCs w:val="20"/>
              </w:rPr>
              <w:t xml:space="preserve"> </w:t>
            </w:r>
          </w:p>
          <w:p w14:paraId="6951D09C" w14:textId="77777777" w:rsidR="00030A2A" w:rsidRPr="00464910" w:rsidRDefault="00030A2A">
            <w:pPr>
              <w:rPr>
                <w:rFonts w:ascii="Arial" w:hAnsi="Arial" w:cs="Arial"/>
                <w:sz w:val="20"/>
                <w:szCs w:val="20"/>
              </w:rPr>
            </w:pPr>
          </w:p>
          <w:p w14:paraId="6B976BCE" w14:textId="47D53A24" w:rsidR="00030A2A" w:rsidRPr="00464910" w:rsidRDefault="00C1226E">
            <w:pPr>
              <w:rPr>
                <w:rFonts w:ascii="Arial" w:hAnsi="Arial" w:cs="Arial"/>
                <w:sz w:val="20"/>
                <w:szCs w:val="20"/>
              </w:rPr>
            </w:pPr>
            <w:r w:rsidRPr="00464910">
              <w:rPr>
                <w:rFonts w:ascii="Arial" w:hAnsi="Arial" w:cs="Arial"/>
                <w:sz w:val="20"/>
                <w:szCs w:val="20"/>
              </w:rPr>
              <w:t xml:space="preserve">J Clin Oncol </w:t>
            </w:r>
            <w:r w:rsidR="006F6D77">
              <w:rPr>
                <w:rFonts w:ascii="Arial" w:hAnsi="Arial" w:cs="Arial"/>
                <w:sz w:val="20"/>
                <w:szCs w:val="20"/>
              </w:rPr>
              <w:t xml:space="preserve">2023; </w:t>
            </w:r>
            <w:r w:rsidRPr="00464910">
              <w:rPr>
                <w:rFonts w:ascii="Arial" w:hAnsi="Arial" w:cs="Arial"/>
                <w:sz w:val="20"/>
                <w:szCs w:val="20"/>
              </w:rPr>
              <w:t xml:space="preserve">41:2436-2445. </w:t>
            </w:r>
          </w:p>
        </w:tc>
        <w:tc>
          <w:tcPr>
            <w:tcW w:w="531" w:type="pct"/>
          </w:tcPr>
          <w:p w14:paraId="2B0FAE9B" w14:textId="59D106B2" w:rsidR="003B5CCD" w:rsidRPr="00464910" w:rsidRDefault="00316790">
            <w:pPr>
              <w:rPr>
                <w:rFonts w:ascii="Arial" w:hAnsi="Arial" w:cs="Arial"/>
                <w:sz w:val="20"/>
                <w:szCs w:val="20"/>
              </w:rPr>
            </w:pPr>
            <w:r w:rsidRPr="00464910">
              <w:rPr>
                <w:rFonts w:ascii="Arial" w:hAnsi="Arial" w:cs="Arial"/>
                <w:sz w:val="20"/>
                <w:szCs w:val="20"/>
              </w:rPr>
              <w:t>Jan 30 2023</w:t>
            </w:r>
          </w:p>
        </w:tc>
      </w:tr>
      <w:tr w:rsidR="00B5481F" w:rsidRPr="00464910" w14:paraId="72F04A59" w14:textId="77777777" w:rsidTr="000A3DD9">
        <w:trPr>
          <w:cantSplit/>
        </w:trPr>
        <w:tc>
          <w:tcPr>
            <w:tcW w:w="134" w:type="pct"/>
          </w:tcPr>
          <w:p w14:paraId="75DF4A24" w14:textId="375D257A" w:rsidR="00B5481F" w:rsidRPr="00464910" w:rsidRDefault="00B5481F">
            <w:pPr>
              <w:rPr>
                <w:rFonts w:ascii="Arial" w:hAnsi="Arial" w:cs="Arial"/>
                <w:sz w:val="20"/>
                <w:szCs w:val="20"/>
              </w:rPr>
            </w:pPr>
            <w:r>
              <w:rPr>
                <w:rFonts w:ascii="Arial" w:hAnsi="Arial" w:cs="Arial"/>
                <w:sz w:val="20"/>
                <w:szCs w:val="20"/>
              </w:rPr>
              <w:lastRenderedPageBreak/>
              <w:t xml:space="preserve">3. </w:t>
            </w:r>
          </w:p>
        </w:tc>
        <w:tc>
          <w:tcPr>
            <w:tcW w:w="462" w:type="pct"/>
          </w:tcPr>
          <w:p w14:paraId="122C40EA" w14:textId="2E254029" w:rsidR="00B5481F" w:rsidRPr="00464910" w:rsidRDefault="00B5481F">
            <w:pPr>
              <w:rPr>
                <w:rFonts w:ascii="Arial" w:hAnsi="Arial" w:cs="Arial"/>
                <w:sz w:val="20"/>
                <w:szCs w:val="20"/>
              </w:rPr>
            </w:pPr>
            <w:r>
              <w:rPr>
                <w:rFonts w:ascii="Arial" w:hAnsi="Arial" w:cs="Arial"/>
                <w:sz w:val="20"/>
                <w:szCs w:val="20"/>
              </w:rPr>
              <w:t>Phase III, open-label, randomised, controlled trial</w:t>
            </w:r>
          </w:p>
        </w:tc>
        <w:tc>
          <w:tcPr>
            <w:tcW w:w="783" w:type="pct"/>
          </w:tcPr>
          <w:p w14:paraId="1F7C61B7" w14:textId="77777777" w:rsidR="00B5481F" w:rsidRDefault="00754D2C" w:rsidP="00754D2C">
            <w:pPr>
              <w:rPr>
                <w:rFonts w:ascii="Arial" w:hAnsi="Arial" w:cs="Arial"/>
                <w:sz w:val="20"/>
                <w:szCs w:val="20"/>
              </w:rPr>
            </w:pPr>
            <w:r w:rsidRPr="00754D2C">
              <w:rPr>
                <w:rFonts w:ascii="Arial" w:hAnsi="Arial" w:cs="Arial"/>
                <w:sz w:val="20"/>
                <w:szCs w:val="20"/>
              </w:rPr>
              <w:t>Phase III, randomized trial of mirvetuximab soravtansine versus</w:t>
            </w:r>
            <w:r w:rsidR="002A2B7A">
              <w:rPr>
                <w:rFonts w:ascii="Arial" w:hAnsi="Arial" w:cs="Arial"/>
                <w:sz w:val="20"/>
                <w:szCs w:val="20"/>
              </w:rPr>
              <w:t xml:space="preserve"> </w:t>
            </w:r>
            <w:r w:rsidRPr="00754D2C">
              <w:rPr>
                <w:rFonts w:ascii="Arial" w:hAnsi="Arial" w:cs="Arial"/>
                <w:sz w:val="20"/>
                <w:szCs w:val="20"/>
              </w:rPr>
              <w:t>chemotherapy in patients with platinum-resistant ovarian cancer:</w:t>
            </w:r>
            <w:r w:rsidR="002A2B7A">
              <w:rPr>
                <w:rFonts w:ascii="Arial" w:hAnsi="Arial" w:cs="Arial"/>
                <w:sz w:val="20"/>
                <w:szCs w:val="20"/>
              </w:rPr>
              <w:t xml:space="preserve"> </w:t>
            </w:r>
            <w:r w:rsidRPr="00754D2C">
              <w:rPr>
                <w:rFonts w:ascii="Arial" w:hAnsi="Arial" w:cs="Arial"/>
                <w:sz w:val="20"/>
                <w:szCs w:val="20"/>
              </w:rPr>
              <w:t>primary analysis of FORWARD I</w:t>
            </w:r>
          </w:p>
          <w:p w14:paraId="46C311F8" w14:textId="324FA25B" w:rsidR="007F70C4" w:rsidRPr="00464910" w:rsidRDefault="00184ED5" w:rsidP="00754D2C">
            <w:pPr>
              <w:rPr>
                <w:rFonts w:ascii="Arial" w:hAnsi="Arial" w:cs="Arial"/>
                <w:sz w:val="20"/>
                <w:szCs w:val="20"/>
              </w:rPr>
            </w:pPr>
            <w:r w:rsidRPr="00184ED5">
              <w:rPr>
                <w:rFonts w:ascii="Arial" w:hAnsi="Arial" w:cs="Arial"/>
                <w:sz w:val="20"/>
                <w:szCs w:val="20"/>
              </w:rPr>
              <w:t>NCT02631876</w:t>
            </w:r>
          </w:p>
        </w:tc>
        <w:tc>
          <w:tcPr>
            <w:tcW w:w="1302" w:type="pct"/>
          </w:tcPr>
          <w:p w14:paraId="44954371" w14:textId="1E97084D" w:rsidR="00B5481F" w:rsidRPr="00464910" w:rsidRDefault="004E0F26">
            <w:pPr>
              <w:rPr>
                <w:rFonts w:ascii="Arial" w:hAnsi="Arial" w:cs="Arial"/>
                <w:sz w:val="20"/>
                <w:szCs w:val="20"/>
              </w:rPr>
            </w:pPr>
            <w:r>
              <w:rPr>
                <w:rFonts w:ascii="Arial" w:hAnsi="Arial" w:cs="Arial"/>
                <w:sz w:val="20"/>
                <w:szCs w:val="20"/>
              </w:rPr>
              <w:t xml:space="preserve">While mirvetuximab treatment in all </w:t>
            </w:r>
            <w:r w:rsidR="007703A7" w:rsidRPr="007703A7">
              <w:rPr>
                <w:rFonts w:ascii="Arial" w:hAnsi="Arial" w:cs="Arial"/>
                <w:sz w:val="20"/>
                <w:szCs w:val="20"/>
              </w:rPr>
              <w:t>FRα-positive ovarian cancer</w:t>
            </w:r>
            <w:r w:rsidR="00A00C13">
              <w:rPr>
                <w:rFonts w:ascii="Arial" w:hAnsi="Arial" w:cs="Arial"/>
                <w:sz w:val="20"/>
                <w:szCs w:val="20"/>
              </w:rPr>
              <w:t xml:space="preserve"> patients</w:t>
            </w:r>
            <w:r w:rsidR="007703A7" w:rsidRPr="007703A7">
              <w:rPr>
                <w:rFonts w:ascii="Arial" w:hAnsi="Arial" w:cs="Arial"/>
                <w:sz w:val="20"/>
                <w:szCs w:val="20"/>
              </w:rPr>
              <w:t xml:space="preserve"> </w:t>
            </w:r>
            <w:r w:rsidR="0098084D">
              <w:rPr>
                <w:rFonts w:ascii="Arial" w:hAnsi="Arial" w:cs="Arial"/>
                <w:sz w:val="20"/>
                <w:szCs w:val="20"/>
              </w:rPr>
              <w:t>did not</w:t>
            </w:r>
            <w:r w:rsidR="007F0B76">
              <w:rPr>
                <w:rFonts w:ascii="Arial" w:hAnsi="Arial" w:cs="Arial"/>
                <w:sz w:val="20"/>
                <w:szCs w:val="20"/>
              </w:rPr>
              <w:t xml:space="preserve"> lead to a significant improvement on the primary endpoint of </w:t>
            </w:r>
            <w:r w:rsidR="00104F2E">
              <w:rPr>
                <w:rFonts w:ascii="Arial" w:hAnsi="Arial" w:cs="Arial"/>
                <w:sz w:val="20"/>
                <w:szCs w:val="20"/>
              </w:rPr>
              <w:t>profession-free survival</w:t>
            </w:r>
            <w:r w:rsidR="00536A78">
              <w:rPr>
                <w:rFonts w:ascii="Arial" w:hAnsi="Arial" w:cs="Arial"/>
                <w:sz w:val="20"/>
                <w:szCs w:val="20"/>
              </w:rPr>
              <w:t xml:space="preserve"> - </w:t>
            </w:r>
            <w:r w:rsidR="00104F2E">
              <w:rPr>
                <w:rFonts w:ascii="Arial" w:hAnsi="Arial" w:cs="Arial"/>
                <w:sz w:val="20"/>
                <w:szCs w:val="20"/>
              </w:rPr>
              <w:t xml:space="preserve">significant benefits were observed in the pre-specified subgroup of FRa-high </w:t>
            </w:r>
            <w:r w:rsidR="00132ACF">
              <w:rPr>
                <w:rFonts w:ascii="Arial" w:hAnsi="Arial" w:cs="Arial"/>
                <w:sz w:val="20"/>
                <w:szCs w:val="20"/>
              </w:rPr>
              <w:t>patients.</w:t>
            </w:r>
          </w:p>
        </w:tc>
        <w:tc>
          <w:tcPr>
            <w:tcW w:w="1788" w:type="pct"/>
          </w:tcPr>
          <w:p w14:paraId="437E3B43" w14:textId="77777777" w:rsidR="00B5481F" w:rsidRDefault="003A37D5">
            <w:pPr>
              <w:rPr>
                <w:rFonts w:ascii="Arial" w:hAnsi="Arial" w:cs="Arial"/>
                <w:sz w:val="20"/>
                <w:szCs w:val="20"/>
              </w:rPr>
            </w:pPr>
            <w:r w:rsidRPr="003A37D5">
              <w:rPr>
                <w:rFonts w:ascii="Arial" w:hAnsi="Arial" w:cs="Arial"/>
                <w:sz w:val="20"/>
                <w:szCs w:val="20"/>
              </w:rPr>
              <w:t>https://www.annalsofoncology.org/article/S0923-7534(21)00157-5/pdf</w:t>
            </w:r>
          </w:p>
          <w:p w14:paraId="18564617" w14:textId="77777777" w:rsidR="003A37D5" w:rsidRDefault="003A37D5">
            <w:pPr>
              <w:rPr>
                <w:rFonts w:ascii="Arial" w:hAnsi="Arial" w:cs="Arial"/>
                <w:sz w:val="20"/>
                <w:szCs w:val="20"/>
              </w:rPr>
            </w:pPr>
          </w:p>
          <w:p w14:paraId="2D49128E" w14:textId="17DAE99F" w:rsidR="003A37D5" w:rsidRPr="00077773" w:rsidRDefault="003A37D5">
            <w:pPr>
              <w:rPr>
                <w:rFonts w:ascii="Arial" w:hAnsi="Arial" w:cs="Arial"/>
                <w:sz w:val="20"/>
                <w:szCs w:val="20"/>
              </w:rPr>
            </w:pPr>
            <w:r>
              <w:rPr>
                <w:rFonts w:ascii="Arial" w:hAnsi="Arial" w:cs="Arial"/>
                <w:sz w:val="20"/>
                <w:szCs w:val="20"/>
              </w:rPr>
              <w:t xml:space="preserve">J Ann Onc </w:t>
            </w:r>
            <w:r w:rsidR="00DD30A9">
              <w:rPr>
                <w:rFonts w:ascii="Arial" w:hAnsi="Arial" w:cs="Arial"/>
                <w:sz w:val="20"/>
                <w:szCs w:val="20"/>
              </w:rPr>
              <w:t xml:space="preserve"> 2021; </w:t>
            </w:r>
            <w:r w:rsidR="00BC6878">
              <w:rPr>
                <w:rFonts w:ascii="Arial" w:hAnsi="Arial" w:cs="Arial"/>
                <w:sz w:val="20"/>
                <w:szCs w:val="20"/>
              </w:rPr>
              <w:t>32:757-</w:t>
            </w:r>
            <w:r w:rsidR="00670442">
              <w:rPr>
                <w:rFonts w:ascii="Arial" w:hAnsi="Arial" w:cs="Arial"/>
                <w:sz w:val="20"/>
                <w:szCs w:val="20"/>
              </w:rPr>
              <w:t>765</w:t>
            </w:r>
            <w:r w:rsidR="00EE61B1">
              <w:rPr>
                <w:rFonts w:ascii="Arial" w:hAnsi="Arial" w:cs="Arial"/>
                <w:sz w:val="20"/>
                <w:szCs w:val="20"/>
              </w:rPr>
              <w:t>.</w:t>
            </w:r>
          </w:p>
        </w:tc>
        <w:tc>
          <w:tcPr>
            <w:tcW w:w="531" w:type="pct"/>
          </w:tcPr>
          <w:p w14:paraId="67599685" w14:textId="76622A18" w:rsidR="00B5481F" w:rsidRPr="00464910" w:rsidRDefault="0030541D">
            <w:pPr>
              <w:rPr>
                <w:rFonts w:ascii="Arial" w:hAnsi="Arial" w:cs="Arial"/>
                <w:sz w:val="20"/>
                <w:szCs w:val="20"/>
              </w:rPr>
            </w:pPr>
            <w:r>
              <w:rPr>
                <w:rFonts w:ascii="Arial" w:hAnsi="Arial" w:cs="Arial"/>
                <w:sz w:val="20"/>
                <w:szCs w:val="20"/>
              </w:rPr>
              <w:t>Mar 2 2021</w:t>
            </w:r>
          </w:p>
        </w:tc>
      </w:tr>
    </w:tbl>
    <w:p w14:paraId="6E188312" w14:textId="77777777" w:rsidR="009D2CE0" w:rsidRDefault="009D2CE0" w:rsidP="00BC0C43">
      <w:pPr>
        <w:rPr>
          <w:rStyle w:val="Heading2Char"/>
          <w:rFonts w:ascii="Arial" w:hAnsi="Arial" w:cs="Arial"/>
        </w:rPr>
      </w:pPr>
    </w:p>
    <w:p w14:paraId="6CE4F0CD" w14:textId="484A868C" w:rsidR="00BC0C43" w:rsidRPr="00D77020" w:rsidRDefault="0030566C" w:rsidP="00BC0C43">
      <w:pPr>
        <w:rPr>
          <w:rFonts w:ascii="Arial" w:hAnsi="Arial" w:cs="Arial"/>
        </w:rPr>
      </w:pPr>
      <w:r w:rsidRPr="00D77020">
        <w:rPr>
          <w:rStyle w:val="Heading2Char"/>
          <w:rFonts w:ascii="Arial" w:hAnsi="Arial" w:cs="Arial"/>
        </w:rPr>
        <w:t>Identify yet-to-be-published research that may have results available in the near future (that could be relevant to your application).</w:t>
      </w:r>
      <w:r w:rsidRPr="00D77020">
        <w:rPr>
          <w:rFonts w:ascii="Arial" w:hAnsi="Arial" w:cs="Arial"/>
        </w:rPr>
        <w:t xml:space="preserve"> </w:t>
      </w:r>
    </w:p>
    <w:p w14:paraId="6395763C" w14:textId="13CA18D2" w:rsidR="008238FF" w:rsidRPr="008238FF" w:rsidRDefault="008238FF" w:rsidP="00BC0C43">
      <w:pPr>
        <w:rPr>
          <w:rFonts w:ascii="Arial" w:hAnsi="Arial" w:cs="Arial"/>
        </w:rPr>
      </w:pPr>
      <w:r w:rsidRPr="008238FF">
        <w:rPr>
          <w:rFonts w:ascii="Arial" w:hAnsi="Arial" w:cs="Arial"/>
        </w:rPr>
        <w:t xml:space="preserve">At the time of writing, AbbVie is not aware of any research relevant to this application which will be published in the </w:t>
      </w:r>
      <w:r w:rsidR="00482201" w:rsidRPr="008238FF">
        <w:rPr>
          <w:rFonts w:ascii="Arial" w:hAnsi="Arial" w:cs="Arial"/>
        </w:rPr>
        <w:t>near future</w:t>
      </w:r>
      <w:r w:rsidRPr="008238FF">
        <w:rPr>
          <w:rFonts w:ascii="Arial" w:hAnsi="Arial" w:cs="Arial"/>
        </w:rPr>
        <w:t xml:space="preserve">. </w:t>
      </w:r>
    </w:p>
    <w:p w14:paraId="3A47E654" w14:textId="65F11A34" w:rsidR="0030566C" w:rsidRPr="00D77020" w:rsidRDefault="003C2446" w:rsidP="00BC0C43">
      <w:pPr>
        <w:rPr>
          <w:rFonts w:ascii="Arial" w:hAnsi="Arial" w:cs="Arial"/>
          <w:i/>
          <w:iCs/>
          <w:color w:val="538135" w:themeColor="accent6" w:themeShade="BF"/>
          <w:sz w:val="20"/>
          <w:szCs w:val="20"/>
        </w:rPr>
      </w:pPr>
      <w:r w:rsidRPr="00D77020">
        <w:rPr>
          <w:rFonts w:ascii="Arial" w:hAnsi="Arial" w:cs="Arial"/>
          <w:i/>
          <w:iCs/>
          <w:color w:val="538135" w:themeColor="accent6" w:themeShade="BF"/>
          <w:sz w:val="20"/>
          <w:szCs w:val="20"/>
        </w:rPr>
        <w:t xml:space="preserve"> </w:t>
      </w:r>
    </w:p>
    <w:bookmarkEnd w:id="8"/>
    <w:p w14:paraId="6CF59D44" w14:textId="77777777" w:rsidR="00077773" w:rsidRDefault="00077773" w:rsidP="00BC0C43">
      <w:pPr>
        <w:rPr>
          <w:rFonts w:ascii="Arial" w:hAnsi="Arial" w:cs="Arial"/>
        </w:rPr>
        <w:sectPr w:rsidR="00077773" w:rsidSect="00AC3934">
          <w:pgSz w:w="16838" w:h="11906" w:orient="landscape"/>
          <w:pgMar w:top="1440" w:right="1440" w:bottom="991" w:left="1135" w:header="426" w:footer="252" w:gutter="0"/>
          <w:cols w:space="708"/>
          <w:docGrid w:linePitch="360"/>
        </w:sectPr>
      </w:pPr>
    </w:p>
    <w:p w14:paraId="2EB12D7B" w14:textId="12D668FD" w:rsidR="0030566C" w:rsidRDefault="00077773" w:rsidP="006133E3">
      <w:pPr>
        <w:pStyle w:val="Heading1"/>
      </w:pPr>
      <w:r>
        <w:lastRenderedPageBreak/>
        <w:t>Reference</w:t>
      </w:r>
      <w:r w:rsidR="0060785A">
        <w:t xml:space="preserve"> List</w:t>
      </w:r>
    </w:p>
    <w:p w14:paraId="628F964D" w14:textId="38427BE4" w:rsidR="00CC1F94" w:rsidRDefault="00CC1F94" w:rsidP="00853CB6">
      <w:pPr>
        <w:spacing w:before="120"/>
        <w:rPr>
          <w:rFonts w:ascii="Arial" w:hAnsi="Arial" w:cs="Arial"/>
        </w:rPr>
      </w:pPr>
      <w:r w:rsidRPr="00CC1F94">
        <w:rPr>
          <w:rFonts w:ascii="Arial" w:hAnsi="Arial" w:cs="Arial"/>
        </w:rPr>
        <w:t xml:space="preserve">Australia Cancer Research Foundation (ACRF). Accessed March 2024. Available at </w:t>
      </w:r>
      <w:r w:rsidR="00A850E9" w:rsidRPr="001C3BD1">
        <w:rPr>
          <w:rFonts w:ascii="Arial" w:hAnsi="Arial" w:cs="Arial"/>
        </w:rPr>
        <w:t>https://www.acrf.com.au/news/ovarian-cancer/ovarian-cancer-statistics/</w:t>
      </w:r>
      <w:r w:rsidRPr="00CC1F94">
        <w:rPr>
          <w:rFonts w:ascii="Arial" w:hAnsi="Arial" w:cs="Arial"/>
        </w:rPr>
        <w:t>.</w:t>
      </w:r>
    </w:p>
    <w:p w14:paraId="0E691C0B" w14:textId="77777777" w:rsidR="00327872" w:rsidRDefault="00327872" w:rsidP="00853CB6">
      <w:pPr>
        <w:spacing w:before="120"/>
        <w:rPr>
          <w:rFonts w:ascii="Arial" w:hAnsi="Arial" w:cs="Arial"/>
        </w:rPr>
      </w:pPr>
      <w:r w:rsidRPr="00CC1F94">
        <w:rPr>
          <w:rFonts w:ascii="Arial" w:hAnsi="Arial" w:cs="Arial"/>
        </w:rPr>
        <w:t xml:space="preserve">Australia Cancer Research Foundation (ACRF). Accessed March 2024. Available at </w:t>
      </w:r>
      <w:r w:rsidRPr="001C3BD1">
        <w:rPr>
          <w:rFonts w:ascii="Arial" w:hAnsi="Arial" w:cs="Arial"/>
        </w:rPr>
        <w:t>https://www.acrf.com.au/news/ovarian-cancer/ovarian-cancer-statistics/</w:t>
      </w:r>
      <w:r w:rsidRPr="00CC1F94">
        <w:rPr>
          <w:rFonts w:ascii="Arial" w:hAnsi="Arial" w:cs="Arial"/>
        </w:rPr>
        <w:t>.</w:t>
      </w:r>
    </w:p>
    <w:p w14:paraId="7165968E" w14:textId="77777777" w:rsidR="00327872" w:rsidRDefault="00327872" w:rsidP="00853CB6">
      <w:pPr>
        <w:spacing w:before="120"/>
        <w:rPr>
          <w:rFonts w:ascii="Arial" w:hAnsi="Arial" w:cs="Arial"/>
        </w:rPr>
      </w:pPr>
      <w:r w:rsidRPr="002678CD">
        <w:rPr>
          <w:rFonts w:ascii="Arial" w:hAnsi="Arial" w:cs="Arial"/>
        </w:rPr>
        <w:t>Davis, A. et al. (2014) “Platinum resistant” ovarian cancer: What is it, who to treat and how to measure benefit? Gynecologic oncology. [Online] 133 (3), 624–631.</w:t>
      </w:r>
    </w:p>
    <w:p w14:paraId="614DA724" w14:textId="5809BB3F" w:rsidR="00327872" w:rsidRDefault="00327872" w:rsidP="00853CB6">
      <w:pPr>
        <w:spacing w:before="120"/>
        <w:rPr>
          <w:rFonts w:ascii="Arial" w:hAnsi="Arial" w:cs="Arial"/>
        </w:rPr>
      </w:pPr>
      <w:r w:rsidRPr="00CC1F94">
        <w:rPr>
          <w:rFonts w:ascii="Arial" w:hAnsi="Arial" w:cs="Arial"/>
        </w:rPr>
        <w:t xml:space="preserve">eviQ Guidelines </w:t>
      </w:r>
      <w:r>
        <w:rPr>
          <w:rFonts w:ascii="Arial" w:hAnsi="Arial" w:cs="Arial"/>
        </w:rPr>
        <w:t xml:space="preserve">(2023a). </w:t>
      </w:r>
      <w:r w:rsidRPr="00CC1F94">
        <w:rPr>
          <w:rFonts w:ascii="Arial" w:hAnsi="Arial" w:cs="Arial"/>
        </w:rPr>
        <w:t>Cancer Institute NSW Cancer Genetics ID: 620 v.13 BRCA1, BRCA2 and PALB2 (truncating variants)</w:t>
      </w:r>
      <w:r>
        <w:rPr>
          <w:rFonts w:ascii="Arial" w:hAnsi="Arial" w:cs="Arial"/>
        </w:rPr>
        <w:t xml:space="preserve">. Available at: </w:t>
      </w:r>
      <w:r w:rsidRPr="00004BC0">
        <w:rPr>
          <w:rFonts w:ascii="Arial" w:hAnsi="Arial" w:cs="Arial"/>
        </w:rPr>
        <w:t>https://www.eviq.org.au/cancer-genetics/adult/genetic-testing-for-heritable-pathogenic-variants/620-brca1-brca2-and-palb2-truncating-variants</w:t>
      </w:r>
      <w:r>
        <w:rPr>
          <w:rFonts w:ascii="Arial" w:hAnsi="Arial" w:cs="Arial"/>
        </w:rPr>
        <w:t xml:space="preserve"> </w:t>
      </w:r>
    </w:p>
    <w:p w14:paraId="7B11FD18" w14:textId="13FC113D" w:rsidR="00327872" w:rsidRPr="00CC1F94" w:rsidRDefault="00327872" w:rsidP="00853CB6">
      <w:pPr>
        <w:spacing w:before="120"/>
        <w:rPr>
          <w:rFonts w:ascii="Arial" w:hAnsi="Arial" w:cs="Arial"/>
        </w:rPr>
      </w:pPr>
      <w:r w:rsidRPr="00CC1F94">
        <w:rPr>
          <w:rFonts w:ascii="Arial" w:hAnsi="Arial" w:cs="Arial"/>
        </w:rPr>
        <w:t xml:space="preserve">eviQ Guidelines </w:t>
      </w:r>
      <w:r>
        <w:rPr>
          <w:rFonts w:ascii="Arial" w:hAnsi="Arial" w:cs="Arial"/>
        </w:rPr>
        <w:t xml:space="preserve">(2023b). Ovarian Cancer. Available at: </w:t>
      </w:r>
      <w:r w:rsidRPr="00004BC0">
        <w:rPr>
          <w:rFonts w:ascii="Arial" w:hAnsi="Arial" w:cs="Arial"/>
        </w:rPr>
        <w:t>https://www.eviq.org.au/medical-oncology/gynaecological/ovarian</w:t>
      </w:r>
      <w:r>
        <w:rPr>
          <w:rFonts w:ascii="Arial" w:hAnsi="Arial" w:cs="Arial"/>
        </w:rPr>
        <w:t xml:space="preserve"> </w:t>
      </w:r>
    </w:p>
    <w:p w14:paraId="7C278CEF" w14:textId="29240B00" w:rsidR="00327872" w:rsidRDefault="00327872" w:rsidP="00853CB6">
      <w:pPr>
        <w:spacing w:before="120"/>
        <w:rPr>
          <w:rFonts w:ascii="Arial" w:hAnsi="Arial" w:cs="Arial"/>
        </w:rPr>
      </w:pPr>
      <w:r w:rsidRPr="00CC1F94">
        <w:rPr>
          <w:rFonts w:ascii="Arial" w:hAnsi="Arial" w:cs="Arial"/>
        </w:rPr>
        <w:t xml:space="preserve">FDA 2022 VENTANA FOLR1 (FOLR-2.1) RxDx Assay </w:t>
      </w:r>
      <w:r w:rsidRPr="00004BC0">
        <w:rPr>
          <w:rFonts w:ascii="Arial" w:hAnsi="Arial" w:cs="Arial"/>
        </w:rPr>
        <w:t>https://www.accessdata.fda.gov/cdrh_docs/pdf22/P220006A.pdf</w:t>
      </w:r>
      <w:r>
        <w:rPr>
          <w:rFonts w:ascii="Arial" w:hAnsi="Arial" w:cs="Arial"/>
        </w:rPr>
        <w:t xml:space="preserve"> </w:t>
      </w:r>
      <w:r w:rsidRPr="00CC1F94">
        <w:rPr>
          <w:rFonts w:ascii="Arial" w:hAnsi="Arial" w:cs="Arial"/>
        </w:rPr>
        <w:t xml:space="preserve">  </w:t>
      </w:r>
      <w:r>
        <w:rPr>
          <w:rFonts w:ascii="Arial" w:hAnsi="Arial" w:cs="Arial"/>
        </w:rPr>
        <w:t xml:space="preserve"> </w:t>
      </w:r>
    </w:p>
    <w:p w14:paraId="1456998C" w14:textId="77777777" w:rsidR="00327872" w:rsidRDefault="00327872" w:rsidP="00853CB6">
      <w:pPr>
        <w:spacing w:before="120"/>
        <w:rPr>
          <w:rFonts w:ascii="Arial" w:hAnsi="Arial" w:cs="Arial"/>
        </w:rPr>
      </w:pPr>
      <w:r w:rsidRPr="002D5D11">
        <w:rPr>
          <w:rFonts w:ascii="Arial" w:hAnsi="Arial" w:cs="Arial"/>
        </w:rPr>
        <w:t>González-Martín, A. et al. (2023) Newly diagnosed and relapsed epithelial ovarian cancer: ESMO Clinical Practice Guideline for diagnosis, treatment and follow-up. Annals of oncology. [Online] 34 (10), 833–848.</w:t>
      </w:r>
      <w:r>
        <w:rPr>
          <w:rFonts w:ascii="Arial" w:hAnsi="Arial" w:cs="Arial"/>
        </w:rPr>
        <w:t xml:space="preserve">  </w:t>
      </w:r>
    </w:p>
    <w:p w14:paraId="594D58EA" w14:textId="77777777" w:rsidR="00327872" w:rsidRDefault="00327872" w:rsidP="00853CB6">
      <w:pPr>
        <w:spacing w:before="120"/>
        <w:rPr>
          <w:rFonts w:ascii="Arial" w:hAnsi="Arial" w:cs="Arial"/>
        </w:rPr>
      </w:pPr>
      <w:r w:rsidRPr="00BA588F">
        <w:rPr>
          <w:rFonts w:ascii="Arial" w:hAnsi="Arial" w:cs="Arial"/>
        </w:rPr>
        <w:t>Ledermann, J. A. et al. (2024) ESGO–ESMO–ESP consensus conference recommendations on ovarian cancer: pathology and molecular biology and early, advanced and recurrent disease. Annals of oncology. [Online] 35 (3), 248–266.</w:t>
      </w:r>
      <w:r>
        <w:rPr>
          <w:rFonts w:ascii="Arial" w:hAnsi="Arial" w:cs="Arial"/>
        </w:rPr>
        <w:t xml:space="preserve"> </w:t>
      </w:r>
    </w:p>
    <w:p w14:paraId="0758E6AC" w14:textId="77777777" w:rsidR="00327872" w:rsidRPr="00CC1F94" w:rsidRDefault="00327872" w:rsidP="00853CB6">
      <w:pPr>
        <w:spacing w:before="120"/>
        <w:rPr>
          <w:rFonts w:ascii="Arial" w:hAnsi="Arial" w:cs="Arial"/>
        </w:rPr>
      </w:pPr>
      <w:r w:rsidRPr="00612F99">
        <w:rPr>
          <w:rFonts w:ascii="Arial" w:hAnsi="Arial" w:cs="Arial"/>
        </w:rPr>
        <w:t>Lokadasan, R. et al. (2016) Targeted agents in epithelial ovarian cancer: review on emerging therapies and future developments. Ecancermedicalscience. [Online] 10626–626.</w:t>
      </w:r>
      <w:r>
        <w:rPr>
          <w:rFonts w:ascii="Arial" w:hAnsi="Arial" w:cs="Arial"/>
        </w:rPr>
        <w:t xml:space="preserve"> </w:t>
      </w:r>
    </w:p>
    <w:p w14:paraId="789609E8" w14:textId="77777777" w:rsidR="00327872" w:rsidRDefault="00327872" w:rsidP="00853CB6">
      <w:pPr>
        <w:spacing w:before="120"/>
        <w:rPr>
          <w:rFonts w:ascii="Arial" w:hAnsi="Arial" w:cs="Arial"/>
        </w:rPr>
      </w:pPr>
      <w:r w:rsidRPr="00EB1723">
        <w:rPr>
          <w:rFonts w:ascii="Arial" w:hAnsi="Arial" w:cs="Arial"/>
        </w:rPr>
        <w:t>Matulonis, U. A. et al. (2023) Efficacy and Safety of Mirvetuximab Soravtansine in Patients With Platinum-Resistant Ovarian Cancer With High Folate Receptor Alpha Expression: Results From the SORAYA Study. Journal of clinical oncology. [Online] 41 (13), 2436–2445.</w:t>
      </w:r>
    </w:p>
    <w:p w14:paraId="2F06F6AE" w14:textId="77777777" w:rsidR="00327872" w:rsidRPr="00194C03" w:rsidRDefault="00327872" w:rsidP="00853CB6">
      <w:pPr>
        <w:spacing w:before="120"/>
        <w:rPr>
          <w:rFonts w:ascii="Arial" w:hAnsi="Arial" w:cs="Arial"/>
          <w:lang w:val="en-US"/>
        </w:rPr>
      </w:pPr>
      <w:r w:rsidRPr="00194C03">
        <w:rPr>
          <w:rFonts w:ascii="Arial" w:hAnsi="Arial" w:cs="Arial"/>
          <w:lang w:val="en-US"/>
        </w:rPr>
        <w:t xml:space="preserve">Moore, K. N. et al. (2021) Phase III, randomized trial of mirvetuximab soravtansine versus chemotherapy in patients with platinum-resistant ovarian cancer: primary analysis of FORWARD I. </w:t>
      </w:r>
      <w:r w:rsidRPr="00194C03">
        <w:rPr>
          <w:rFonts w:ascii="Arial" w:hAnsi="Arial" w:cs="Arial"/>
          <w:i/>
          <w:iCs/>
          <w:lang w:val="en-US"/>
        </w:rPr>
        <w:t>Annals of oncology</w:t>
      </w:r>
      <w:r w:rsidRPr="00194C03">
        <w:rPr>
          <w:rFonts w:ascii="Arial" w:hAnsi="Arial" w:cs="Arial"/>
          <w:lang w:val="en-US"/>
        </w:rPr>
        <w:t>. [Online] 32 (6), 757–765.</w:t>
      </w:r>
    </w:p>
    <w:p w14:paraId="39322C2E" w14:textId="77777777" w:rsidR="00327872" w:rsidRDefault="00327872" w:rsidP="00853CB6">
      <w:pPr>
        <w:spacing w:before="120"/>
        <w:rPr>
          <w:rFonts w:ascii="Arial" w:hAnsi="Arial" w:cs="Arial"/>
        </w:rPr>
      </w:pPr>
      <w:r w:rsidRPr="001852CF">
        <w:rPr>
          <w:rFonts w:ascii="Arial" w:hAnsi="Arial" w:cs="Arial"/>
        </w:rPr>
        <w:t>Moore, K. N. et al. (2023) Mirvetuximab Soravtansine in FRα-Positive, Platinum-Resistant Ovarian Cancer. The New England journal of medicine. [Online] 389 (23), 2162–2174.</w:t>
      </w:r>
    </w:p>
    <w:p w14:paraId="54D5B8AD" w14:textId="77777777" w:rsidR="00327872" w:rsidRDefault="00327872" w:rsidP="00853CB6">
      <w:pPr>
        <w:spacing w:before="120"/>
        <w:rPr>
          <w:rFonts w:ascii="Arial" w:hAnsi="Arial" w:cs="Arial"/>
        </w:rPr>
      </w:pPr>
      <w:r w:rsidRPr="00524F00">
        <w:rPr>
          <w:rFonts w:ascii="Arial" w:hAnsi="Arial" w:cs="Arial"/>
        </w:rPr>
        <w:t>Reid, B. M. et al. (2017) Epidemiology of ovarian cancer</w:t>
      </w:r>
      <w:r w:rsidRPr="00524F00">
        <w:rPr>
          <w:rFonts w:ascii="MS Gothic" w:eastAsia="MS Gothic" w:hAnsi="MS Gothic" w:cs="MS Gothic" w:hint="eastAsia"/>
        </w:rPr>
        <w:t>：</w:t>
      </w:r>
      <w:r w:rsidRPr="00524F00">
        <w:rPr>
          <w:rFonts w:ascii="Arial" w:hAnsi="Arial" w:cs="Arial"/>
        </w:rPr>
        <w:t xml:space="preserve"> a review. Cancer biology &amp; medicine. [Online] 14 (1), 9–32.</w:t>
      </w:r>
      <w:r>
        <w:rPr>
          <w:rFonts w:ascii="Arial" w:hAnsi="Arial" w:cs="Arial"/>
        </w:rPr>
        <w:t xml:space="preserve"> </w:t>
      </w:r>
    </w:p>
    <w:p w14:paraId="261AA821" w14:textId="77777777" w:rsidR="00327872" w:rsidRPr="00CC1F94" w:rsidRDefault="00327872" w:rsidP="00853CB6">
      <w:pPr>
        <w:spacing w:before="120"/>
        <w:rPr>
          <w:rFonts w:ascii="Arial" w:hAnsi="Arial" w:cs="Arial"/>
        </w:rPr>
      </w:pPr>
      <w:r w:rsidRPr="004B3730">
        <w:rPr>
          <w:rFonts w:ascii="Arial" w:hAnsi="Arial" w:cs="Arial"/>
        </w:rPr>
        <w:t>Scaranti, M. et al. (2020) Exploiting the folate receptor α in oncology. Nature reviews. Clinical oncology. [Online] 17 (6), 349–359.</w:t>
      </w:r>
    </w:p>
    <w:p w14:paraId="67B0C750" w14:textId="77777777" w:rsidR="00327872" w:rsidRDefault="00327872" w:rsidP="00327872"/>
    <w:p w14:paraId="210EF7E5" w14:textId="77777777" w:rsidR="00CC1F94" w:rsidRPr="00077773" w:rsidRDefault="00CC1F94" w:rsidP="00BC0C43">
      <w:pPr>
        <w:rPr>
          <w:rFonts w:ascii="Arial" w:hAnsi="Arial" w:cs="Arial"/>
        </w:rPr>
      </w:pPr>
    </w:p>
    <w:sectPr w:rsidR="00CC1F94" w:rsidRPr="00077773" w:rsidSect="00077773">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759A" w14:textId="77777777" w:rsidR="00C520F2" w:rsidRDefault="00C520F2" w:rsidP="00BC0C43">
      <w:r>
        <w:separator/>
      </w:r>
    </w:p>
  </w:endnote>
  <w:endnote w:type="continuationSeparator" w:id="0">
    <w:p w14:paraId="04DEA575" w14:textId="77777777" w:rsidR="00C520F2" w:rsidRDefault="00C520F2" w:rsidP="00BC0C43">
      <w:r>
        <w:continuationSeparator/>
      </w:r>
    </w:p>
  </w:endnote>
  <w:endnote w:type="continuationNotice" w:id="1">
    <w:p w14:paraId="41C10002" w14:textId="77777777" w:rsidR="00C520F2" w:rsidRDefault="00C520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0336" w14:textId="77777777" w:rsidR="000A3DD9" w:rsidRDefault="000A3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6C7C" w14:textId="2135B215" w:rsidR="0090168B" w:rsidRDefault="009D2CE0" w:rsidP="002B3774">
    <w:pPr>
      <w:pStyle w:val="Footer"/>
      <w:jc w:val="right"/>
    </w:pPr>
    <w:sdt>
      <w:sdtPr>
        <w:id w:val="-723988514"/>
        <w:docPartObj>
          <w:docPartGallery w:val="Page Numbers (Bottom of Page)"/>
          <w:docPartUnique/>
        </w:docPartObj>
      </w:sdtPr>
      <w:sdtEndPr/>
      <w:sdtContent>
        <w:r w:rsidR="0090168B" w:rsidRPr="00582377">
          <w:rPr>
            <w:sz w:val="21"/>
            <w:szCs w:val="21"/>
          </w:rPr>
          <w:fldChar w:fldCharType="begin"/>
        </w:r>
        <w:r w:rsidR="0090168B" w:rsidRPr="00582377">
          <w:rPr>
            <w:sz w:val="21"/>
            <w:szCs w:val="21"/>
          </w:rPr>
          <w:instrText xml:space="preserve"> PAGE  \* Arabic  \* MERGEFORMAT </w:instrText>
        </w:r>
        <w:r w:rsidR="0090168B" w:rsidRPr="00582377">
          <w:rPr>
            <w:sz w:val="21"/>
            <w:szCs w:val="21"/>
          </w:rPr>
          <w:fldChar w:fldCharType="separate"/>
        </w:r>
        <w:r w:rsidR="0090168B" w:rsidRPr="00582377">
          <w:rPr>
            <w:noProof/>
            <w:sz w:val="21"/>
            <w:szCs w:val="21"/>
          </w:rPr>
          <w:t>3</w:t>
        </w:r>
        <w:r w:rsidR="0090168B" w:rsidRPr="00582377">
          <w:rPr>
            <w:sz w:val="21"/>
            <w:szCs w:val="21"/>
          </w:rPr>
          <w:fldChar w:fldCharType="end"/>
        </w:r>
      </w:sdtContent>
    </w:sdt>
  </w:p>
  <w:p w14:paraId="19933B4E" w14:textId="3756BBE0" w:rsidR="000503CF" w:rsidRPr="00DD7177" w:rsidRDefault="000503CF" w:rsidP="000503CF">
    <w:pPr>
      <w:pStyle w:val="Header"/>
      <w:jc w:val="center"/>
      <w:rPr>
        <w:rFonts w:ascii="Arial" w:hAnsi="Arial" w:cs="Arial"/>
        <w:sz w:val="20"/>
        <w:szCs w:val="20"/>
      </w:rPr>
    </w:pPr>
    <w:r w:rsidRPr="00DD7177">
      <w:rPr>
        <w:rFonts w:ascii="Arial" w:hAnsi="Arial" w:cs="Arial"/>
        <w:sz w:val="20"/>
        <w:szCs w:val="20"/>
      </w:rPr>
      <w:t>MSAC</w:t>
    </w:r>
    <w:r w:rsidR="000A3DD9">
      <w:rPr>
        <w:rFonts w:ascii="Arial" w:hAnsi="Arial" w:cs="Arial"/>
        <w:sz w:val="20"/>
        <w:szCs w:val="20"/>
      </w:rPr>
      <w:t xml:space="preserve"> </w:t>
    </w:r>
    <w:r>
      <w:rPr>
        <w:rFonts w:ascii="Arial" w:hAnsi="Arial" w:cs="Arial"/>
        <w:sz w:val="20"/>
        <w:szCs w:val="20"/>
      </w:rPr>
      <w:t xml:space="preserve">1787 </w:t>
    </w:r>
    <w:r w:rsidRPr="00DD7177">
      <w:rPr>
        <w:rFonts w:ascii="Arial" w:hAnsi="Arial" w:cs="Arial"/>
        <w:sz w:val="20"/>
        <w:szCs w:val="20"/>
      </w:rPr>
      <w:t>– PICO Set</w:t>
    </w:r>
  </w:p>
  <w:p w14:paraId="355A1DA5" w14:textId="77777777" w:rsidR="0090168B" w:rsidRDefault="0090168B" w:rsidP="00BC0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FB4F" w14:textId="77777777" w:rsidR="000A3DD9" w:rsidRDefault="000A3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B15E" w14:textId="77777777" w:rsidR="00C520F2" w:rsidRDefault="00C520F2" w:rsidP="00BC0C43">
      <w:r>
        <w:separator/>
      </w:r>
    </w:p>
  </w:footnote>
  <w:footnote w:type="continuationSeparator" w:id="0">
    <w:p w14:paraId="5398664E" w14:textId="77777777" w:rsidR="00C520F2" w:rsidRDefault="00C520F2" w:rsidP="00BC0C43">
      <w:r>
        <w:continuationSeparator/>
      </w:r>
    </w:p>
  </w:footnote>
  <w:footnote w:type="continuationNotice" w:id="1">
    <w:p w14:paraId="57F12233" w14:textId="77777777" w:rsidR="00C520F2" w:rsidRDefault="00C520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A4C6" w14:textId="77777777" w:rsidR="000A3DD9" w:rsidRDefault="000A3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173B" w14:textId="77777777" w:rsidR="000A3DD9" w:rsidRDefault="000A3D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2536" w14:textId="77777777" w:rsidR="000A3DD9" w:rsidRDefault="000A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E4D"/>
    <w:multiLevelType w:val="hybridMultilevel"/>
    <w:tmpl w:val="8236B28E"/>
    <w:lvl w:ilvl="0" w:tplc="857C4BC0">
      <w:start w:val="1"/>
      <w:numFmt w:val="decimal"/>
      <w:lvlText w:val="%1."/>
      <w:lvlJc w:val="left"/>
      <w:pPr>
        <w:tabs>
          <w:tab w:val="num" w:pos="720"/>
        </w:tabs>
        <w:ind w:left="720" w:hanging="360"/>
      </w:pPr>
    </w:lvl>
    <w:lvl w:ilvl="1" w:tplc="6A34ADCE" w:tentative="1">
      <w:start w:val="1"/>
      <w:numFmt w:val="decimal"/>
      <w:lvlText w:val="%2."/>
      <w:lvlJc w:val="left"/>
      <w:pPr>
        <w:tabs>
          <w:tab w:val="num" w:pos="1440"/>
        </w:tabs>
        <w:ind w:left="1440" w:hanging="360"/>
      </w:pPr>
    </w:lvl>
    <w:lvl w:ilvl="2" w:tplc="62525686" w:tentative="1">
      <w:start w:val="1"/>
      <w:numFmt w:val="decimal"/>
      <w:lvlText w:val="%3."/>
      <w:lvlJc w:val="left"/>
      <w:pPr>
        <w:tabs>
          <w:tab w:val="num" w:pos="2160"/>
        </w:tabs>
        <w:ind w:left="2160" w:hanging="360"/>
      </w:pPr>
    </w:lvl>
    <w:lvl w:ilvl="3" w:tplc="D3504C34" w:tentative="1">
      <w:start w:val="1"/>
      <w:numFmt w:val="decimal"/>
      <w:lvlText w:val="%4."/>
      <w:lvlJc w:val="left"/>
      <w:pPr>
        <w:tabs>
          <w:tab w:val="num" w:pos="2880"/>
        </w:tabs>
        <w:ind w:left="2880" w:hanging="360"/>
      </w:pPr>
    </w:lvl>
    <w:lvl w:ilvl="4" w:tplc="D0F0FDC6" w:tentative="1">
      <w:start w:val="1"/>
      <w:numFmt w:val="decimal"/>
      <w:lvlText w:val="%5."/>
      <w:lvlJc w:val="left"/>
      <w:pPr>
        <w:tabs>
          <w:tab w:val="num" w:pos="3600"/>
        </w:tabs>
        <w:ind w:left="3600" w:hanging="360"/>
      </w:pPr>
    </w:lvl>
    <w:lvl w:ilvl="5" w:tplc="3600EE44" w:tentative="1">
      <w:start w:val="1"/>
      <w:numFmt w:val="decimal"/>
      <w:lvlText w:val="%6."/>
      <w:lvlJc w:val="left"/>
      <w:pPr>
        <w:tabs>
          <w:tab w:val="num" w:pos="4320"/>
        </w:tabs>
        <w:ind w:left="4320" w:hanging="360"/>
      </w:pPr>
    </w:lvl>
    <w:lvl w:ilvl="6" w:tplc="68923454" w:tentative="1">
      <w:start w:val="1"/>
      <w:numFmt w:val="decimal"/>
      <w:lvlText w:val="%7."/>
      <w:lvlJc w:val="left"/>
      <w:pPr>
        <w:tabs>
          <w:tab w:val="num" w:pos="5040"/>
        </w:tabs>
        <w:ind w:left="5040" w:hanging="360"/>
      </w:pPr>
    </w:lvl>
    <w:lvl w:ilvl="7" w:tplc="C5027F50" w:tentative="1">
      <w:start w:val="1"/>
      <w:numFmt w:val="decimal"/>
      <w:lvlText w:val="%8."/>
      <w:lvlJc w:val="left"/>
      <w:pPr>
        <w:tabs>
          <w:tab w:val="num" w:pos="5760"/>
        </w:tabs>
        <w:ind w:left="5760" w:hanging="360"/>
      </w:pPr>
    </w:lvl>
    <w:lvl w:ilvl="8" w:tplc="C7186C94" w:tentative="1">
      <w:start w:val="1"/>
      <w:numFmt w:val="decimal"/>
      <w:lvlText w:val="%9."/>
      <w:lvlJc w:val="left"/>
      <w:pPr>
        <w:tabs>
          <w:tab w:val="num" w:pos="6480"/>
        </w:tabs>
        <w:ind w:left="6480" w:hanging="360"/>
      </w:pPr>
    </w:lvl>
  </w:abstractNum>
  <w:abstractNum w:abstractNumId="1" w15:restartNumberingAfterBreak="0">
    <w:nsid w:val="068D75B5"/>
    <w:multiLevelType w:val="hybridMultilevel"/>
    <w:tmpl w:val="E1AC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03A1C"/>
    <w:multiLevelType w:val="hybridMultilevel"/>
    <w:tmpl w:val="1E06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B4962"/>
    <w:multiLevelType w:val="hybridMultilevel"/>
    <w:tmpl w:val="E066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26DA0"/>
    <w:multiLevelType w:val="hybridMultilevel"/>
    <w:tmpl w:val="CDC8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E48FD"/>
    <w:multiLevelType w:val="hybridMultilevel"/>
    <w:tmpl w:val="A7BE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87632"/>
    <w:multiLevelType w:val="hybridMultilevel"/>
    <w:tmpl w:val="B330D0A4"/>
    <w:lvl w:ilvl="0" w:tplc="E32A7470">
      <w:start w:val="1"/>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3644A6"/>
    <w:multiLevelType w:val="multilevel"/>
    <w:tmpl w:val="D21E6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2D03E7"/>
    <w:multiLevelType w:val="hybridMultilevel"/>
    <w:tmpl w:val="6B120938"/>
    <w:lvl w:ilvl="0" w:tplc="E32A7470">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27D28"/>
    <w:multiLevelType w:val="multilevel"/>
    <w:tmpl w:val="82624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53353439">
    <w:abstractNumId w:val="8"/>
  </w:num>
  <w:num w:numId="2" w16cid:durableId="1813019896">
    <w:abstractNumId w:val="9"/>
  </w:num>
  <w:num w:numId="3" w16cid:durableId="1467815291">
    <w:abstractNumId w:val="7"/>
  </w:num>
  <w:num w:numId="4" w16cid:durableId="1534460793">
    <w:abstractNumId w:val="5"/>
  </w:num>
  <w:num w:numId="5" w16cid:durableId="2017147097">
    <w:abstractNumId w:val="3"/>
  </w:num>
  <w:num w:numId="6" w16cid:durableId="1418794205">
    <w:abstractNumId w:val="2"/>
  </w:num>
  <w:num w:numId="7" w16cid:durableId="100221332">
    <w:abstractNumId w:val="1"/>
  </w:num>
  <w:num w:numId="8" w16cid:durableId="71245382">
    <w:abstractNumId w:val="0"/>
  </w:num>
  <w:num w:numId="9" w16cid:durableId="402921414">
    <w:abstractNumId w:val="4"/>
  </w:num>
  <w:num w:numId="10" w16cid:durableId="572619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00931"/>
    <w:rsid w:val="0000346E"/>
    <w:rsid w:val="0000441D"/>
    <w:rsid w:val="000044CC"/>
    <w:rsid w:val="00004675"/>
    <w:rsid w:val="00004796"/>
    <w:rsid w:val="00004919"/>
    <w:rsid w:val="00004BC0"/>
    <w:rsid w:val="000052A3"/>
    <w:rsid w:val="0000637E"/>
    <w:rsid w:val="00006717"/>
    <w:rsid w:val="0001007D"/>
    <w:rsid w:val="00010AAA"/>
    <w:rsid w:val="00011B66"/>
    <w:rsid w:val="00011D83"/>
    <w:rsid w:val="0001229B"/>
    <w:rsid w:val="0001262E"/>
    <w:rsid w:val="00014C7A"/>
    <w:rsid w:val="00015280"/>
    <w:rsid w:val="0001550E"/>
    <w:rsid w:val="00015696"/>
    <w:rsid w:val="0001646D"/>
    <w:rsid w:val="00017916"/>
    <w:rsid w:val="00021621"/>
    <w:rsid w:val="00021A12"/>
    <w:rsid w:val="000222C0"/>
    <w:rsid w:val="00022EC1"/>
    <w:rsid w:val="000230BD"/>
    <w:rsid w:val="00023355"/>
    <w:rsid w:val="000245FD"/>
    <w:rsid w:val="00024B69"/>
    <w:rsid w:val="00025382"/>
    <w:rsid w:val="00025969"/>
    <w:rsid w:val="0002670E"/>
    <w:rsid w:val="000273B3"/>
    <w:rsid w:val="00030A2A"/>
    <w:rsid w:val="0003136B"/>
    <w:rsid w:val="00033AF8"/>
    <w:rsid w:val="000349F4"/>
    <w:rsid w:val="000400FD"/>
    <w:rsid w:val="0004053E"/>
    <w:rsid w:val="00040ED1"/>
    <w:rsid w:val="00046E08"/>
    <w:rsid w:val="00047EF1"/>
    <w:rsid w:val="000503CF"/>
    <w:rsid w:val="00051843"/>
    <w:rsid w:val="000520EE"/>
    <w:rsid w:val="00052CF2"/>
    <w:rsid w:val="00052F70"/>
    <w:rsid w:val="00056415"/>
    <w:rsid w:val="00057AA1"/>
    <w:rsid w:val="00057CBA"/>
    <w:rsid w:val="00057F79"/>
    <w:rsid w:val="00060066"/>
    <w:rsid w:val="000609F0"/>
    <w:rsid w:val="00061233"/>
    <w:rsid w:val="000627EF"/>
    <w:rsid w:val="00063BA6"/>
    <w:rsid w:val="00063E33"/>
    <w:rsid w:val="000642B0"/>
    <w:rsid w:val="00064E55"/>
    <w:rsid w:val="00066E77"/>
    <w:rsid w:val="00067F1E"/>
    <w:rsid w:val="00071200"/>
    <w:rsid w:val="00072558"/>
    <w:rsid w:val="00072A40"/>
    <w:rsid w:val="00073C7A"/>
    <w:rsid w:val="00074620"/>
    <w:rsid w:val="00074C5A"/>
    <w:rsid w:val="00075305"/>
    <w:rsid w:val="00075350"/>
    <w:rsid w:val="00075602"/>
    <w:rsid w:val="00076110"/>
    <w:rsid w:val="00076AF6"/>
    <w:rsid w:val="00077773"/>
    <w:rsid w:val="00080111"/>
    <w:rsid w:val="00081B29"/>
    <w:rsid w:val="00081D2A"/>
    <w:rsid w:val="00081E7F"/>
    <w:rsid w:val="00083133"/>
    <w:rsid w:val="000834C7"/>
    <w:rsid w:val="00084532"/>
    <w:rsid w:val="00084C15"/>
    <w:rsid w:val="00084C45"/>
    <w:rsid w:val="000852EF"/>
    <w:rsid w:val="000875ED"/>
    <w:rsid w:val="000876CD"/>
    <w:rsid w:val="000902A8"/>
    <w:rsid w:val="0009097A"/>
    <w:rsid w:val="000922AD"/>
    <w:rsid w:val="00092325"/>
    <w:rsid w:val="000934AF"/>
    <w:rsid w:val="000948E9"/>
    <w:rsid w:val="0009639F"/>
    <w:rsid w:val="000979F6"/>
    <w:rsid w:val="000A0236"/>
    <w:rsid w:val="000A0DDC"/>
    <w:rsid w:val="000A0E3B"/>
    <w:rsid w:val="000A2886"/>
    <w:rsid w:val="000A39B6"/>
    <w:rsid w:val="000A3DD9"/>
    <w:rsid w:val="000A53BF"/>
    <w:rsid w:val="000A54C4"/>
    <w:rsid w:val="000A59FB"/>
    <w:rsid w:val="000A5FC0"/>
    <w:rsid w:val="000A743A"/>
    <w:rsid w:val="000A7BB6"/>
    <w:rsid w:val="000B01A7"/>
    <w:rsid w:val="000B0C0E"/>
    <w:rsid w:val="000B0E95"/>
    <w:rsid w:val="000B1342"/>
    <w:rsid w:val="000B2113"/>
    <w:rsid w:val="000B6797"/>
    <w:rsid w:val="000B6859"/>
    <w:rsid w:val="000B705B"/>
    <w:rsid w:val="000B73B2"/>
    <w:rsid w:val="000C0D7F"/>
    <w:rsid w:val="000C1104"/>
    <w:rsid w:val="000C1842"/>
    <w:rsid w:val="000C1B41"/>
    <w:rsid w:val="000C23FF"/>
    <w:rsid w:val="000C2A22"/>
    <w:rsid w:val="000C3616"/>
    <w:rsid w:val="000C38F6"/>
    <w:rsid w:val="000C3BE6"/>
    <w:rsid w:val="000C3C3F"/>
    <w:rsid w:val="000C3CB3"/>
    <w:rsid w:val="000C3E0D"/>
    <w:rsid w:val="000C43E5"/>
    <w:rsid w:val="000C50A2"/>
    <w:rsid w:val="000C5513"/>
    <w:rsid w:val="000C5669"/>
    <w:rsid w:val="000C6911"/>
    <w:rsid w:val="000C69B2"/>
    <w:rsid w:val="000C6D33"/>
    <w:rsid w:val="000C72E9"/>
    <w:rsid w:val="000C74D7"/>
    <w:rsid w:val="000D0347"/>
    <w:rsid w:val="000D2473"/>
    <w:rsid w:val="000D25C1"/>
    <w:rsid w:val="000D4856"/>
    <w:rsid w:val="000D4A5F"/>
    <w:rsid w:val="000D4C01"/>
    <w:rsid w:val="000D5A8C"/>
    <w:rsid w:val="000D5E3E"/>
    <w:rsid w:val="000D6313"/>
    <w:rsid w:val="000D7DCD"/>
    <w:rsid w:val="000E01EE"/>
    <w:rsid w:val="000E1794"/>
    <w:rsid w:val="000E3690"/>
    <w:rsid w:val="000E4166"/>
    <w:rsid w:val="000E5713"/>
    <w:rsid w:val="000E5F6A"/>
    <w:rsid w:val="000E7BCE"/>
    <w:rsid w:val="000F3263"/>
    <w:rsid w:val="000F3E1E"/>
    <w:rsid w:val="000F3F27"/>
    <w:rsid w:val="000F4245"/>
    <w:rsid w:val="000F4A33"/>
    <w:rsid w:val="000F5983"/>
    <w:rsid w:val="000F629A"/>
    <w:rsid w:val="000F721D"/>
    <w:rsid w:val="000F7474"/>
    <w:rsid w:val="0010080F"/>
    <w:rsid w:val="00100A4D"/>
    <w:rsid w:val="0010116E"/>
    <w:rsid w:val="001013BD"/>
    <w:rsid w:val="00102E2D"/>
    <w:rsid w:val="00102F79"/>
    <w:rsid w:val="00104F2E"/>
    <w:rsid w:val="00105070"/>
    <w:rsid w:val="00105E5A"/>
    <w:rsid w:val="00106C0F"/>
    <w:rsid w:val="001103E9"/>
    <w:rsid w:val="0011094E"/>
    <w:rsid w:val="00111320"/>
    <w:rsid w:val="001117B7"/>
    <w:rsid w:val="0011197A"/>
    <w:rsid w:val="00111F3B"/>
    <w:rsid w:val="001127FB"/>
    <w:rsid w:val="001129AC"/>
    <w:rsid w:val="00113637"/>
    <w:rsid w:val="00113C71"/>
    <w:rsid w:val="001150E5"/>
    <w:rsid w:val="00115D92"/>
    <w:rsid w:val="0011641C"/>
    <w:rsid w:val="00116538"/>
    <w:rsid w:val="00117F36"/>
    <w:rsid w:val="00120EE9"/>
    <w:rsid w:val="00120FDB"/>
    <w:rsid w:val="00121127"/>
    <w:rsid w:val="001219EE"/>
    <w:rsid w:val="00122CD8"/>
    <w:rsid w:val="00122E42"/>
    <w:rsid w:val="0012332F"/>
    <w:rsid w:val="00124221"/>
    <w:rsid w:val="00125138"/>
    <w:rsid w:val="0012656C"/>
    <w:rsid w:val="00127AC9"/>
    <w:rsid w:val="00130030"/>
    <w:rsid w:val="00130BF8"/>
    <w:rsid w:val="00130CE9"/>
    <w:rsid w:val="00130EC2"/>
    <w:rsid w:val="00132ACF"/>
    <w:rsid w:val="00132DA5"/>
    <w:rsid w:val="001333ED"/>
    <w:rsid w:val="001343E5"/>
    <w:rsid w:val="00134F80"/>
    <w:rsid w:val="001352E5"/>
    <w:rsid w:val="00136C2D"/>
    <w:rsid w:val="00137FF0"/>
    <w:rsid w:val="00140CDC"/>
    <w:rsid w:val="00141B00"/>
    <w:rsid w:val="00141BAC"/>
    <w:rsid w:val="0014293E"/>
    <w:rsid w:val="00143388"/>
    <w:rsid w:val="00143438"/>
    <w:rsid w:val="001449E0"/>
    <w:rsid w:val="00144B43"/>
    <w:rsid w:val="00147CBD"/>
    <w:rsid w:val="0015067A"/>
    <w:rsid w:val="00150FB9"/>
    <w:rsid w:val="0015104A"/>
    <w:rsid w:val="00151A40"/>
    <w:rsid w:val="00151CB3"/>
    <w:rsid w:val="00151F59"/>
    <w:rsid w:val="00152E1D"/>
    <w:rsid w:val="00154053"/>
    <w:rsid w:val="00154257"/>
    <w:rsid w:val="00155A02"/>
    <w:rsid w:val="001565BF"/>
    <w:rsid w:val="00156A96"/>
    <w:rsid w:val="00156DFC"/>
    <w:rsid w:val="0015769F"/>
    <w:rsid w:val="00157ABF"/>
    <w:rsid w:val="00157D9E"/>
    <w:rsid w:val="001604B7"/>
    <w:rsid w:val="0016065A"/>
    <w:rsid w:val="00165049"/>
    <w:rsid w:val="001666D6"/>
    <w:rsid w:val="001701C9"/>
    <w:rsid w:val="001705BC"/>
    <w:rsid w:val="00170792"/>
    <w:rsid w:val="001711FB"/>
    <w:rsid w:val="00171DB4"/>
    <w:rsid w:val="00171FEC"/>
    <w:rsid w:val="001728FF"/>
    <w:rsid w:val="00175349"/>
    <w:rsid w:val="001818BE"/>
    <w:rsid w:val="00181D1E"/>
    <w:rsid w:val="0018218A"/>
    <w:rsid w:val="001821F9"/>
    <w:rsid w:val="00182CB8"/>
    <w:rsid w:val="00182D44"/>
    <w:rsid w:val="00182EFB"/>
    <w:rsid w:val="0018314F"/>
    <w:rsid w:val="00183A29"/>
    <w:rsid w:val="00183EFB"/>
    <w:rsid w:val="00184011"/>
    <w:rsid w:val="00184A53"/>
    <w:rsid w:val="00184ED5"/>
    <w:rsid w:val="001852CF"/>
    <w:rsid w:val="00186A3A"/>
    <w:rsid w:val="00186D88"/>
    <w:rsid w:val="0019132A"/>
    <w:rsid w:val="00193319"/>
    <w:rsid w:val="001948A9"/>
    <w:rsid w:val="001948FD"/>
    <w:rsid w:val="00194A58"/>
    <w:rsid w:val="00196185"/>
    <w:rsid w:val="00197295"/>
    <w:rsid w:val="00197915"/>
    <w:rsid w:val="001A02F5"/>
    <w:rsid w:val="001A0330"/>
    <w:rsid w:val="001A0FAB"/>
    <w:rsid w:val="001A2A60"/>
    <w:rsid w:val="001A3446"/>
    <w:rsid w:val="001A3F40"/>
    <w:rsid w:val="001A48AD"/>
    <w:rsid w:val="001A4F02"/>
    <w:rsid w:val="001A5AF1"/>
    <w:rsid w:val="001B1EB8"/>
    <w:rsid w:val="001B2B39"/>
    <w:rsid w:val="001B2E46"/>
    <w:rsid w:val="001B32B5"/>
    <w:rsid w:val="001B3390"/>
    <w:rsid w:val="001B359E"/>
    <w:rsid w:val="001B4D50"/>
    <w:rsid w:val="001B51D2"/>
    <w:rsid w:val="001B5B67"/>
    <w:rsid w:val="001B5FA2"/>
    <w:rsid w:val="001B79C6"/>
    <w:rsid w:val="001B7E27"/>
    <w:rsid w:val="001C0515"/>
    <w:rsid w:val="001C1872"/>
    <w:rsid w:val="001C1F52"/>
    <w:rsid w:val="001C20B1"/>
    <w:rsid w:val="001C3BD1"/>
    <w:rsid w:val="001C4764"/>
    <w:rsid w:val="001C53DF"/>
    <w:rsid w:val="001C5BD3"/>
    <w:rsid w:val="001C765C"/>
    <w:rsid w:val="001C7892"/>
    <w:rsid w:val="001C7FE3"/>
    <w:rsid w:val="001D15E2"/>
    <w:rsid w:val="001D172E"/>
    <w:rsid w:val="001D17A9"/>
    <w:rsid w:val="001D180F"/>
    <w:rsid w:val="001D2CEA"/>
    <w:rsid w:val="001D303B"/>
    <w:rsid w:val="001D33FF"/>
    <w:rsid w:val="001D469D"/>
    <w:rsid w:val="001D673E"/>
    <w:rsid w:val="001D6753"/>
    <w:rsid w:val="001D6922"/>
    <w:rsid w:val="001D6F9C"/>
    <w:rsid w:val="001D7101"/>
    <w:rsid w:val="001D76DF"/>
    <w:rsid w:val="001E0514"/>
    <w:rsid w:val="001E1A6F"/>
    <w:rsid w:val="001E2251"/>
    <w:rsid w:val="001E2951"/>
    <w:rsid w:val="001E32CF"/>
    <w:rsid w:val="001E34DF"/>
    <w:rsid w:val="001E44AC"/>
    <w:rsid w:val="001E45A0"/>
    <w:rsid w:val="001E598C"/>
    <w:rsid w:val="001E73A5"/>
    <w:rsid w:val="001F0BBE"/>
    <w:rsid w:val="001F2122"/>
    <w:rsid w:val="001F27A1"/>
    <w:rsid w:val="001F2941"/>
    <w:rsid w:val="001F3AD0"/>
    <w:rsid w:val="001F4782"/>
    <w:rsid w:val="001F6656"/>
    <w:rsid w:val="001F676C"/>
    <w:rsid w:val="00200165"/>
    <w:rsid w:val="002013E7"/>
    <w:rsid w:val="00202A0F"/>
    <w:rsid w:val="00203032"/>
    <w:rsid w:val="00204609"/>
    <w:rsid w:val="0020469A"/>
    <w:rsid w:val="002108C9"/>
    <w:rsid w:val="002108F1"/>
    <w:rsid w:val="0021153E"/>
    <w:rsid w:val="002121AC"/>
    <w:rsid w:val="00213EA2"/>
    <w:rsid w:val="002142BB"/>
    <w:rsid w:val="00215319"/>
    <w:rsid w:val="002155C1"/>
    <w:rsid w:val="00215990"/>
    <w:rsid w:val="00215B1B"/>
    <w:rsid w:val="00216623"/>
    <w:rsid w:val="002168B1"/>
    <w:rsid w:val="0021695F"/>
    <w:rsid w:val="00217733"/>
    <w:rsid w:val="00220886"/>
    <w:rsid w:val="002214FD"/>
    <w:rsid w:val="00221D2A"/>
    <w:rsid w:val="00221FB7"/>
    <w:rsid w:val="0022282C"/>
    <w:rsid w:val="00222C4C"/>
    <w:rsid w:val="00224BA5"/>
    <w:rsid w:val="002251D1"/>
    <w:rsid w:val="00225F80"/>
    <w:rsid w:val="00226BF1"/>
    <w:rsid w:val="00226D9D"/>
    <w:rsid w:val="002270C6"/>
    <w:rsid w:val="002271B4"/>
    <w:rsid w:val="00227C53"/>
    <w:rsid w:val="00227DE5"/>
    <w:rsid w:val="00230426"/>
    <w:rsid w:val="00231736"/>
    <w:rsid w:val="00232183"/>
    <w:rsid w:val="00233252"/>
    <w:rsid w:val="00233B05"/>
    <w:rsid w:val="00233C53"/>
    <w:rsid w:val="00233DDD"/>
    <w:rsid w:val="002345D4"/>
    <w:rsid w:val="00235B0E"/>
    <w:rsid w:val="00237C0D"/>
    <w:rsid w:val="00240757"/>
    <w:rsid w:val="00241069"/>
    <w:rsid w:val="00241560"/>
    <w:rsid w:val="00241ED4"/>
    <w:rsid w:val="0024249C"/>
    <w:rsid w:val="00242F8D"/>
    <w:rsid w:val="00243250"/>
    <w:rsid w:val="0024354A"/>
    <w:rsid w:val="00245561"/>
    <w:rsid w:val="00246104"/>
    <w:rsid w:val="0024673E"/>
    <w:rsid w:val="0024733A"/>
    <w:rsid w:val="0025052D"/>
    <w:rsid w:val="00253531"/>
    <w:rsid w:val="00253CFE"/>
    <w:rsid w:val="0025435F"/>
    <w:rsid w:val="00255600"/>
    <w:rsid w:val="002565F5"/>
    <w:rsid w:val="00257040"/>
    <w:rsid w:val="00260609"/>
    <w:rsid w:val="00260BB6"/>
    <w:rsid w:val="00261459"/>
    <w:rsid w:val="00261D2C"/>
    <w:rsid w:val="00261EC7"/>
    <w:rsid w:val="0026239F"/>
    <w:rsid w:val="00262728"/>
    <w:rsid w:val="00262E3C"/>
    <w:rsid w:val="00264723"/>
    <w:rsid w:val="0026488F"/>
    <w:rsid w:val="00266957"/>
    <w:rsid w:val="002678CD"/>
    <w:rsid w:val="00270F5E"/>
    <w:rsid w:val="00271589"/>
    <w:rsid w:val="00272A2A"/>
    <w:rsid w:val="00272BFA"/>
    <w:rsid w:val="0027453B"/>
    <w:rsid w:val="00276750"/>
    <w:rsid w:val="00280050"/>
    <w:rsid w:val="002800DB"/>
    <w:rsid w:val="0028091D"/>
    <w:rsid w:val="002816CC"/>
    <w:rsid w:val="00282372"/>
    <w:rsid w:val="00284C65"/>
    <w:rsid w:val="00284FBC"/>
    <w:rsid w:val="002864E5"/>
    <w:rsid w:val="00290C91"/>
    <w:rsid w:val="00291800"/>
    <w:rsid w:val="002928E6"/>
    <w:rsid w:val="00292EEB"/>
    <w:rsid w:val="002930CE"/>
    <w:rsid w:val="00293AF4"/>
    <w:rsid w:val="00293FFC"/>
    <w:rsid w:val="00294752"/>
    <w:rsid w:val="002958F8"/>
    <w:rsid w:val="00295B1B"/>
    <w:rsid w:val="00295B43"/>
    <w:rsid w:val="00296287"/>
    <w:rsid w:val="002970F3"/>
    <w:rsid w:val="00297239"/>
    <w:rsid w:val="00297BEE"/>
    <w:rsid w:val="002A07F6"/>
    <w:rsid w:val="002A1D3B"/>
    <w:rsid w:val="002A2075"/>
    <w:rsid w:val="002A2B7A"/>
    <w:rsid w:val="002A3042"/>
    <w:rsid w:val="002A3BFA"/>
    <w:rsid w:val="002A4284"/>
    <w:rsid w:val="002A4AE5"/>
    <w:rsid w:val="002A5889"/>
    <w:rsid w:val="002A5AF9"/>
    <w:rsid w:val="002A60DB"/>
    <w:rsid w:val="002A6614"/>
    <w:rsid w:val="002A708C"/>
    <w:rsid w:val="002A767A"/>
    <w:rsid w:val="002B0552"/>
    <w:rsid w:val="002B1245"/>
    <w:rsid w:val="002B1BD8"/>
    <w:rsid w:val="002B1D49"/>
    <w:rsid w:val="002B200A"/>
    <w:rsid w:val="002B2998"/>
    <w:rsid w:val="002B3774"/>
    <w:rsid w:val="002B3823"/>
    <w:rsid w:val="002B3D59"/>
    <w:rsid w:val="002B422C"/>
    <w:rsid w:val="002B489B"/>
    <w:rsid w:val="002B64C2"/>
    <w:rsid w:val="002B7B2B"/>
    <w:rsid w:val="002C0622"/>
    <w:rsid w:val="002C0AB1"/>
    <w:rsid w:val="002C20EA"/>
    <w:rsid w:val="002C2BCF"/>
    <w:rsid w:val="002C314F"/>
    <w:rsid w:val="002C3B0B"/>
    <w:rsid w:val="002C442B"/>
    <w:rsid w:val="002C4C05"/>
    <w:rsid w:val="002C50C7"/>
    <w:rsid w:val="002C5D34"/>
    <w:rsid w:val="002C654A"/>
    <w:rsid w:val="002C6777"/>
    <w:rsid w:val="002C755D"/>
    <w:rsid w:val="002C7D3E"/>
    <w:rsid w:val="002D09D3"/>
    <w:rsid w:val="002D1127"/>
    <w:rsid w:val="002D289F"/>
    <w:rsid w:val="002D35FC"/>
    <w:rsid w:val="002D4353"/>
    <w:rsid w:val="002D4E02"/>
    <w:rsid w:val="002D5D11"/>
    <w:rsid w:val="002D667B"/>
    <w:rsid w:val="002D6B92"/>
    <w:rsid w:val="002D7216"/>
    <w:rsid w:val="002E101F"/>
    <w:rsid w:val="002E205D"/>
    <w:rsid w:val="002E315E"/>
    <w:rsid w:val="002E357C"/>
    <w:rsid w:val="002E3A98"/>
    <w:rsid w:val="002E48A7"/>
    <w:rsid w:val="002E48F5"/>
    <w:rsid w:val="002E494E"/>
    <w:rsid w:val="002E5213"/>
    <w:rsid w:val="002E6FF6"/>
    <w:rsid w:val="002E70CC"/>
    <w:rsid w:val="002E74DB"/>
    <w:rsid w:val="002E7A73"/>
    <w:rsid w:val="002F08D0"/>
    <w:rsid w:val="002F0B4D"/>
    <w:rsid w:val="002F15A2"/>
    <w:rsid w:val="002F2109"/>
    <w:rsid w:val="002F28F7"/>
    <w:rsid w:val="002F30C7"/>
    <w:rsid w:val="002F3C99"/>
    <w:rsid w:val="002F7351"/>
    <w:rsid w:val="002F7C58"/>
    <w:rsid w:val="003013B5"/>
    <w:rsid w:val="003021B5"/>
    <w:rsid w:val="00302DB0"/>
    <w:rsid w:val="00303123"/>
    <w:rsid w:val="0030381E"/>
    <w:rsid w:val="003038B3"/>
    <w:rsid w:val="00303E7B"/>
    <w:rsid w:val="003044B1"/>
    <w:rsid w:val="00304CE9"/>
    <w:rsid w:val="00305371"/>
    <w:rsid w:val="0030541D"/>
    <w:rsid w:val="0030566C"/>
    <w:rsid w:val="003100F3"/>
    <w:rsid w:val="003110E6"/>
    <w:rsid w:val="0031276A"/>
    <w:rsid w:val="00313258"/>
    <w:rsid w:val="00313F9A"/>
    <w:rsid w:val="003152C8"/>
    <w:rsid w:val="00316790"/>
    <w:rsid w:val="003208D1"/>
    <w:rsid w:val="003212F9"/>
    <w:rsid w:val="00321A44"/>
    <w:rsid w:val="00322122"/>
    <w:rsid w:val="00322CDF"/>
    <w:rsid w:val="00323886"/>
    <w:rsid w:val="00323E03"/>
    <w:rsid w:val="003240AB"/>
    <w:rsid w:val="00324D56"/>
    <w:rsid w:val="003252D1"/>
    <w:rsid w:val="0032642F"/>
    <w:rsid w:val="00326D26"/>
    <w:rsid w:val="00327872"/>
    <w:rsid w:val="00327A6A"/>
    <w:rsid w:val="00327E57"/>
    <w:rsid w:val="00330BD3"/>
    <w:rsid w:val="00332427"/>
    <w:rsid w:val="0033255F"/>
    <w:rsid w:val="00332904"/>
    <w:rsid w:val="00333FF7"/>
    <w:rsid w:val="00334399"/>
    <w:rsid w:val="00336173"/>
    <w:rsid w:val="00336498"/>
    <w:rsid w:val="003365EB"/>
    <w:rsid w:val="00336A0C"/>
    <w:rsid w:val="003373D8"/>
    <w:rsid w:val="00337FCA"/>
    <w:rsid w:val="00340218"/>
    <w:rsid w:val="0034167A"/>
    <w:rsid w:val="00342A5F"/>
    <w:rsid w:val="00342E95"/>
    <w:rsid w:val="00343300"/>
    <w:rsid w:val="00344C10"/>
    <w:rsid w:val="00346D10"/>
    <w:rsid w:val="003475F4"/>
    <w:rsid w:val="003476F4"/>
    <w:rsid w:val="00347876"/>
    <w:rsid w:val="00352170"/>
    <w:rsid w:val="00352540"/>
    <w:rsid w:val="00352968"/>
    <w:rsid w:val="00353F8C"/>
    <w:rsid w:val="00355426"/>
    <w:rsid w:val="00357180"/>
    <w:rsid w:val="00357A78"/>
    <w:rsid w:val="00360303"/>
    <w:rsid w:val="00361371"/>
    <w:rsid w:val="003615B3"/>
    <w:rsid w:val="003617C1"/>
    <w:rsid w:val="00361BBE"/>
    <w:rsid w:val="00363A81"/>
    <w:rsid w:val="00364572"/>
    <w:rsid w:val="00365012"/>
    <w:rsid w:val="00366126"/>
    <w:rsid w:val="00366C4E"/>
    <w:rsid w:val="00366E2B"/>
    <w:rsid w:val="00366FF0"/>
    <w:rsid w:val="00367B21"/>
    <w:rsid w:val="00370607"/>
    <w:rsid w:val="00370CBC"/>
    <w:rsid w:val="00370D86"/>
    <w:rsid w:val="00371C32"/>
    <w:rsid w:val="00371FDB"/>
    <w:rsid w:val="00372C7F"/>
    <w:rsid w:val="003732B1"/>
    <w:rsid w:val="00373A99"/>
    <w:rsid w:val="003748E5"/>
    <w:rsid w:val="00374F53"/>
    <w:rsid w:val="003765C8"/>
    <w:rsid w:val="00376631"/>
    <w:rsid w:val="00377780"/>
    <w:rsid w:val="00377FF5"/>
    <w:rsid w:val="00380C41"/>
    <w:rsid w:val="00380F5B"/>
    <w:rsid w:val="0038178D"/>
    <w:rsid w:val="0038186E"/>
    <w:rsid w:val="0038350B"/>
    <w:rsid w:val="0038465F"/>
    <w:rsid w:val="0038544A"/>
    <w:rsid w:val="00385862"/>
    <w:rsid w:val="00386A31"/>
    <w:rsid w:val="003870BE"/>
    <w:rsid w:val="003901D9"/>
    <w:rsid w:val="0039083B"/>
    <w:rsid w:val="00390E50"/>
    <w:rsid w:val="003911F6"/>
    <w:rsid w:val="00391581"/>
    <w:rsid w:val="0039188B"/>
    <w:rsid w:val="00391A0D"/>
    <w:rsid w:val="00391A89"/>
    <w:rsid w:val="00391D0E"/>
    <w:rsid w:val="00391FB0"/>
    <w:rsid w:val="00392121"/>
    <w:rsid w:val="003925C1"/>
    <w:rsid w:val="003949A9"/>
    <w:rsid w:val="00394C03"/>
    <w:rsid w:val="00395244"/>
    <w:rsid w:val="00396335"/>
    <w:rsid w:val="003970E3"/>
    <w:rsid w:val="00397FEE"/>
    <w:rsid w:val="003A044E"/>
    <w:rsid w:val="003A0677"/>
    <w:rsid w:val="003A16D1"/>
    <w:rsid w:val="003A1B8C"/>
    <w:rsid w:val="003A2E5A"/>
    <w:rsid w:val="003A37D5"/>
    <w:rsid w:val="003A4467"/>
    <w:rsid w:val="003A72C9"/>
    <w:rsid w:val="003A7B56"/>
    <w:rsid w:val="003B09B0"/>
    <w:rsid w:val="003B47A9"/>
    <w:rsid w:val="003B4CD1"/>
    <w:rsid w:val="003B5315"/>
    <w:rsid w:val="003B56C3"/>
    <w:rsid w:val="003B5CCD"/>
    <w:rsid w:val="003B7107"/>
    <w:rsid w:val="003B7E06"/>
    <w:rsid w:val="003B7FA9"/>
    <w:rsid w:val="003C0A6A"/>
    <w:rsid w:val="003C1E1D"/>
    <w:rsid w:val="003C2446"/>
    <w:rsid w:val="003C28EE"/>
    <w:rsid w:val="003C2B17"/>
    <w:rsid w:val="003C2C7E"/>
    <w:rsid w:val="003C3C9F"/>
    <w:rsid w:val="003C4B13"/>
    <w:rsid w:val="003C5845"/>
    <w:rsid w:val="003C5CF0"/>
    <w:rsid w:val="003C6BA9"/>
    <w:rsid w:val="003C7A34"/>
    <w:rsid w:val="003D1497"/>
    <w:rsid w:val="003D16F4"/>
    <w:rsid w:val="003D2947"/>
    <w:rsid w:val="003D2F03"/>
    <w:rsid w:val="003D32C1"/>
    <w:rsid w:val="003D349F"/>
    <w:rsid w:val="003D3E9E"/>
    <w:rsid w:val="003D4520"/>
    <w:rsid w:val="003D46BC"/>
    <w:rsid w:val="003D4827"/>
    <w:rsid w:val="003E024D"/>
    <w:rsid w:val="003E03DC"/>
    <w:rsid w:val="003E0727"/>
    <w:rsid w:val="003E1096"/>
    <w:rsid w:val="003E149B"/>
    <w:rsid w:val="003E1BE7"/>
    <w:rsid w:val="003E4144"/>
    <w:rsid w:val="003E4314"/>
    <w:rsid w:val="003E43E5"/>
    <w:rsid w:val="003E4858"/>
    <w:rsid w:val="003E4880"/>
    <w:rsid w:val="003E4C99"/>
    <w:rsid w:val="003E4F8F"/>
    <w:rsid w:val="003E6117"/>
    <w:rsid w:val="003E64EA"/>
    <w:rsid w:val="003E67F8"/>
    <w:rsid w:val="003E6EB0"/>
    <w:rsid w:val="003E6F72"/>
    <w:rsid w:val="003E75AC"/>
    <w:rsid w:val="003F0A2E"/>
    <w:rsid w:val="003F0F44"/>
    <w:rsid w:val="003F1FCA"/>
    <w:rsid w:val="003F3928"/>
    <w:rsid w:val="003F39D1"/>
    <w:rsid w:val="003F5CB3"/>
    <w:rsid w:val="003F7063"/>
    <w:rsid w:val="003F73D0"/>
    <w:rsid w:val="003F7B6B"/>
    <w:rsid w:val="00400974"/>
    <w:rsid w:val="00402355"/>
    <w:rsid w:val="00402904"/>
    <w:rsid w:val="004034C0"/>
    <w:rsid w:val="0040387D"/>
    <w:rsid w:val="00403DED"/>
    <w:rsid w:val="00403F01"/>
    <w:rsid w:val="00405307"/>
    <w:rsid w:val="004067B1"/>
    <w:rsid w:val="004073AA"/>
    <w:rsid w:val="004105F3"/>
    <w:rsid w:val="00410F09"/>
    <w:rsid w:val="0041143E"/>
    <w:rsid w:val="0041178E"/>
    <w:rsid w:val="00411E21"/>
    <w:rsid w:val="004129E4"/>
    <w:rsid w:val="00413119"/>
    <w:rsid w:val="00413354"/>
    <w:rsid w:val="00413A70"/>
    <w:rsid w:val="00413B41"/>
    <w:rsid w:val="00413EAF"/>
    <w:rsid w:val="00414163"/>
    <w:rsid w:val="00414BAF"/>
    <w:rsid w:val="0042086A"/>
    <w:rsid w:val="004208EB"/>
    <w:rsid w:val="004209FC"/>
    <w:rsid w:val="00420B74"/>
    <w:rsid w:val="00420FCB"/>
    <w:rsid w:val="004214A4"/>
    <w:rsid w:val="0042180F"/>
    <w:rsid w:val="00421D6C"/>
    <w:rsid w:val="00421E6D"/>
    <w:rsid w:val="00423056"/>
    <w:rsid w:val="0042448E"/>
    <w:rsid w:val="004244D2"/>
    <w:rsid w:val="004246CD"/>
    <w:rsid w:val="00424BB3"/>
    <w:rsid w:val="0042582B"/>
    <w:rsid w:val="00427B04"/>
    <w:rsid w:val="0043055F"/>
    <w:rsid w:val="004306E1"/>
    <w:rsid w:val="00432280"/>
    <w:rsid w:val="00432968"/>
    <w:rsid w:val="00432A83"/>
    <w:rsid w:val="004348E1"/>
    <w:rsid w:val="004350F4"/>
    <w:rsid w:val="004360FE"/>
    <w:rsid w:val="00440A79"/>
    <w:rsid w:val="00440AF6"/>
    <w:rsid w:val="00441F16"/>
    <w:rsid w:val="00442811"/>
    <w:rsid w:val="00442BE4"/>
    <w:rsid w:val="00442C96"/>
    <w:rsid w:val="00443261"/>
    <w:rsid w:val="004434FA"/>
    <w:rsid w:val="00444306"/>
    <w:rsid w:val="00444903"/>
    <w:rsid w:val="00444DE6"/>
    <w:rsid w:val="0044527A"/>
    <w:rsid w:val="00445E99"/>
    <w:rsid w:val="00445F00"/>
    <w:rsid w:val="004507DF"/>
    <w:rsid w:val="00450AE4"/>
    <w:rsid w:val="004516C7"/>
    <w:rsid w:val="00451A94"/>
    <w:rsid w:val="00451F59"/>
    <w:rsid w:val="00452348"/>
    <w:rsid w:val="0045243B"/>
    <w:rsid w:val="00452657"/>
    <w:rsid w:val="00452A33"/>
    <w:rsid w:val="00454896"/>
    <w:rsid w:val="00455F39"/>
    <w:rsid w:val="00460AA6"/>
    <w:rsid w:val="00461C5F"/>
    <w:rsid w:val="00462BBA"/>
    <w:rsid w:val="00463F7F"/>
    <w:rsid w:val="0046432F"/>
    <w:rsid w:val="00464910"/>
    <w:rsid w:val="004650CB"/>
    <w:rsid w:val="00466E6A"/>
    <w:rsid w:val="004706C4"/>
    <w:rsid w:val="00471A89"/>
    <w:rsid w:val="0047321A"/>
    <w:rsid w:val="00473486"/>
    <w:rsid w:val="004735D7"/>
    <w:rsid w:val="00474815"/>
    <w:rsid w:val="00475E99"/>
    <w:rsid w:val="00476660"/>
    <w:rsid w:val="00476701"/>
    <w:rsid w:val="00480000"/>
    <w:rsid w:val="00480103"/>
    <w:rsid w:val="00482035"/>
    <w:rsid w:val="00482120"/>
    <w:rsid w:val="00482201"/>
    <w:rsid w:val="0048312D"/>
    <w:rsid w:val="00483D9F"/>
    <w:rsid w:val="00483DB3"/>
    <w:rsid w:val="00484580"/>
    <w:rsid w:val="00484952"/>
    <w:rsid w:val="0048614B"/>
    <w:rsid w:val="0048664F"/>
    <w:rsid w:val="00486C67"/>
    <w:rsid w:val="00486ECB"/>
    <w:rsid w:val="004913DC"/>
    <w:rsid w:val="00491B43"/>
    <w:rsid w:val="0049212F"/>
    <w:rsid w:val="0049274C"/>
    <w:rsid w:val="004948B5"/>
    <w:rsid w:val="00496671"/>
    <w:rsid w:val="004967A8"/>
    <w:rsid w:val="004978B0"/>
    <w:rsid w:val="004A2A3F"/>
    <w:rsid w:val="004A2B95"/>
    <w:rsid w:val="004A36EF"/>
    <w:rsid w:val="004A45BE"/>
    <w:rsid w:val="004A6428"/>
    <w:rsid w:val="004A6F94"/>
    <w:rsid w:val="004B0022"/>
    <w:rsid w:val="004B06E7"/>
    <w:rsid w:val="004B07A4"/>
    <w:rsid w:val="004B15EC"/>
    <w:rsid w:val="004B3013"/>
    <w:rsid w:val="004B32F7"/>
    <w:rsid w:val="004B3730"/>
    <w:rsid w:val="004B3A06"/>
    <w:rsid w:val="004B494A"/>
    <w:rsid w:val="004B62CB"/>
    <w:rsid w:val="004B6BF3"/>
    <w:rsid w:val="004B7729"/>
    <w:rsid w:val="004C0110"/>
    <w:rsid w:val="004C02B7"/>
    <w:rsid w:val="004C1374"/>
    <w:rsid w:val="004C1C7E"/>
    <w:rsid w:val="004C2347"/>
    <w:rsid w:val="004C27D2"/>
    <w:rsid w:val="004C473F"/>
    <w:rsid w:val="004C501F"/>
    <w:rsid w:val="004C61C6"/>
    <w:rsid w:val="004C658A"/>
    <w:rsid w:val="004C7646"/>
    <w:rsid w:val="004D03FE"/>
    <w:rsid w:val="004D1B09"/>
    <w:rsid w:val="004D210A"/>
    <w:rsid w:val="004D2C1E"/>
    <w:rsid w:val="004D2C8B"/>
    <w:rsid w:val="004D3C4B"/>
    <w:rsid w:val="004D459C"/>
    <w:rsid w:val="004D4C77"/>
    <w:rsid w:val="004D767F"/>
    <w:rsid w:val="004D77BF"/>
    <w:rsid w:val="004E0444"/>
    <w:rsid w:val="004E0F26"/>
    <w:rsid w:val="004E1042"/>
    <w:rsid w:val="004E17C0"/>
    <w:rsid w:val="004E1E4B"/>
    <w:rsid w:val="004E542B"/>
    <w:rsid w:val="004E6258"/>
    <w:rsid w:val="004E62E8"/>
    <w:rsid w:val="004E74AF"/>
    <w:rsid w:val="004E78F0"/>
    <w:rsid w:val="004F04E8"/>
    <w:rsid w:val="004F0FB2"/>
    <w:rsid w:val="004F247B"/>
    <w:rsid w:val="004F2534"/>
    <w:rsid w:val="004F2C21"/>
    <w:rsid w:val="004F2D77"/>
    <w:rsid w:val="004F2F21"/>
    <w:rsid w:val="004F4C8D"/>
    <w:rsid w:val="004F5ABA"/>
    <w:rsid w:val="004F5CA3"/>
    <w:rsid w:val="004F62F7"/>
    <w:rsid w:val="004F677E"/>
    <w:rsid w:val="004F6981"/>
    <w:rsid w:val="00501579"/>
    <w:rsid w:val="00502BFC"/>
    <w:rsid w:val="00503528"/>
    <w:rsid w:val="00503D00"/>
    <w:rsid w:val="005045FD"/>
    <w:rsid w:val="0050487E"/>
    <w:rsid w:val="00504DF1"/>
    <w:rsid w:val="00505E98"/>
    <w:rsid w:val="0050638A"/>
    <w:rsid w:val="00506D8D"/>
    <w:rsid w:val="00506E3D"/>
    <w:rsid w:val="005072A1"/>
    <w:rsid w:val="00507366"/>
    <w:rsid w:val="0050777C"/>
    <w:rsid w:val="00507A50"/>
    <w:rsid w:val="00510598"/>
    <w:rsid w:val="00511548"/>
    <w:rsid w:val="00513718"/>
    <w:rsid w:val="005138C2"/>
    <w:rsid w:val="00514BF8"/>
    <w:rsid w:val="00515029"/>
    <w:rsid w:val="005151AA"/>
    <w:rsid w:val="00515A8B"/>
    <w:rsid w:val="00515CAB"/>
    <w:rsid w:val="0051673B"/>
    <w:rsid w:val="0051774B"/>
    <w:rsid w:val="00517AE4"/>
    <w:rsid w:val="0052059B"/>
    <w:rsid w:val="00520FE8"/>
    <w:rsid w:val="00521446"/>
    <w:rsid w:val="0052190E"/>
    <w:rsid w:val="00522313"/>
    <w:rsid w:val="0052274F"/>
    <w:rsid w:val="005229F5"/>
    <w:rsid w:val="0052395C"/>
    <w:rsid w:val="00523FC9"/>
    <w:rsid w:val="00524863"/>
    <w:rsid w:val="00524F00"/>
    <w:rsid w:val="00525155"/>
    <w:rsid w:val="00525F97"/>
    <w:rsid w:val="00526225"/>
    <w:rsid w:val="005317E2"/>
    <w:rsid w:val="00531D1B"/>
    <w:rsid w:val="00533598"/>
    <w:rsid w:val="0053362B"/>
    <w:rsid w:val="005337C2"/>
    <w:rsid w:val="00536A78"/>
    <w:rsid w:val="00537291"/>
    <w:rsid w:val="005402D3"/>
    <w:rsid w:val="0054221D"/>
    <w:rsid w:val="00542274"/>
    <w:rsid w:val="0054374D"/>
    <w:rsid w:val="00543D73"/>
    <w:rsid w:val="00543EDE"/>
    <w:rsid w:val="00545A4C"/>
    <w:rsid w:val="00545C93"/>
    <w:rsid w:val="00545FB0"/>
    <w:rsid w:val="0054729B"/>
    <w:rsid w:val="00550429"/>
    <w:rsid w:val="00550C35"/>
    <w:rsid w:val="00552531"/>
    <w:rsid w:val="00552568"/>
    <w:rsid w:val="005528A7"/>
    <w:rsid w:val="005554FF"/>
    <w:rsid w:val="005557FD"/>
    <w:rsid w:val="005558E3"/>
    <w:rsid w:val="00555922"/>
    <w:rsid w:val="00555BEE"/>
    <w:rsid w:val="00555DD2"/>
    <w:rsid w:val="00557717"/>
    <w:rsid w:val="0056087C"/>
    <w:rsid w:val="00560AB8"/>
    <w:rsid w:val="00560BFB"/>
    <w:rsid w:val="0056150F"/>
    <w:rsid w:val="00561DC3"/>
    <w:rsid w:val="0056242F"/>
    <w:rsid w:val="005629CC"/>
    <w:rsid w:val="00562BBB"/>
    <w:rsid w:val="005648E6"/>
    <w:rsid w:val="005669EB"/>
    <w:rsid w:val="00566BB5"/>
    <w:rsid w:val="00566CF9"/>
    <w:rsid w:val="005675C6"/>
    <w:rsid w:val="00570E4A"/>
    <w:rsid w:val="005718FB"/>
    <w:rsid w:val="00571EE5"/>
    <w:rsid w:val="00572CA8"/>
    <w:rsid w:val="005738EE"/>
    <w:rsid w:val="00574131"/>
    <w:rsid w:val="005744A5"/>
    <w:rsid w:val="00575749"/>
    <w:rsid w:val="00575EA5"/>
    <w:rsid w:val="00576519"/>
    <w:rsid w:val="005766E1"/>
    <w:rsid w:val="00581E61"/>
    <w:rsid w:val="00582377"/>
    <w:rsid w:val="005828C4"/>
    <w:rsid w:val="00583636"/>
    <w:rsid w:val="00583683"/>
    <w:rsid w:val="005837E9"/>
    <w:rsid w:val="00583B43"/>
    <w:rsid w:val="005842D9"/>
    <w:rsid w:val="00585967"/>
    <w:rsid w:val="005863B7"/>
    <w:rsid w:val="00586422"/>
    <w:rsid w:val="00586594"/>
    <w:rsid w:val="0058677A"/>
    <w:rsid w:val="00586C9C"/>
    <w:rsid w:val="00586D59"/>
    <w:rsid w:val="005870BB"/>
    <w:rsid w:val="00587A19"/>
    <w:rsid w:val="005902E5"/>
    <w:rsid w:val="00590ADC"/>
    <w:rsid w:val="00591294"/>
    <w:rsid w:val="00591751"/>
    <w:rsid w:val="00592292"/>
    <w:rsid w:val="0059266A"/>
    <w:rsid w:val="00593600"/>
    <w:rsid w:val="00594DD4"/>
    <w:rsid w:val="0059507F"/>
    <w:rsid w:val="0059624E"/>
    <w:rsid w:val="00596DCE"/>
    <w:rsid w:val="0059752C"/>
    <w:rsid w:val="005A0BCD"/>
    <w:rsid w:val="005A24B4"/>
    <w:rsid w:val="005A3287"/>
    <w:rsid w:val="005A3379"/>
    <w:rsid w:val="005A3B3C"/>
    <w:rsid w:val="005A55D0"/>
    <w:rsid w:val="005A6A04"/>
    <w:rsid w:val="005A784A"/>
    <w:rsid w:val="005B0C5F"/>
    <w:rsid w:val="005B14BD"/>
    <w:rsid w:val="005B20A7"/>
    <w:rsid w:val="005B4AB6"/>
    <w:rsid w:val="005B4C1F"/>
    <w:rsid w:val="005B57CB"/>
    <w:rsid w:val="005B5A58"/>
    <w:rsid w:val="005B661B"/>
    <w:rsid w:val="005B6B98"/>
    <w:rsid w:val="005B6C21"/>
    <w:rsid w:val="005B6DDA"/>
    <w:rsid w:val="005B6EDD"/>
    <w:rsid w:val="005C110B"/>
    <w:rsid w:val="005C14C6"/>
    <w:rsid w:val="005C1C46"/>
    <w:rsid w:val="005C3AED"/>
    <w:rsid w:val="005C5D3E"/>
    <w:rsid w:val="005C793A"/>
    <w:rsid w:val="005D0ACC"/>
    <w:rsid w:val="005D0B3E"/>
    <w:rsid w:val="005D1A64"/>
    <w:rsid w:val="005D212E"/>
    <w:rsid w:val="005D23BC"/>
    <w:rsid w:val="005D2792"/>
    <w:rsid w:val="005D5796"/>
    <w:rsid w:val="005D5A20"/>
    <w:rsid w:val="005D7130"/>
    <w:rsid w:val="005D7C6A"/>
    <w:rsid w:val="005E11FF"/>
    <w:rsid w:val="005E1CFB"/>
    <w:rsid w:val="005E2B06"/>
    <w:rsid w:val="005E32E1"/>
    <w:rsid w:val="005E332C"/>
    <w:rsid w:val="005E3567"/>
    <w:rsid w:val="005E36EF"/>
    <w:rsid w:val="005E41DB"/>
    <w:rsid w:val="005E56C6"/>
    <w:rsid w:val="005E5F6D"/>
    <w:rsid w:val="005E7304"/>
    <w:rsid w:val="005E7670"/>
    <w:rsid w:val="005F05BC"/>
    <w:rsid w:val="005F1C99"/>
    <w:rsid w:val="005F33B7"/>
    <w:rsid w:val="005F3956"/>
    <w:rsid w:val="005F4506"/>
    <w:rsid w:val="005F496A"/>
    <w:rsid w:val="005F5E82"/>
    <w:rsid w:val="005F6718"/>
    <w:rsid w:val="005F79AE"/>
    <w:rsid w:val="0060025D"/>
    <w:rsid w:val="006028B7"/>
    <w:rsid w:val="00605001"/>
    <w:rsid w:val="0060517F"/>
    <w:rsid w:val="00605559"/>
    <w:rsid w:val="00605A5C"/>
    <w:rsid w:val="00605B24"/>
    <w:rsid w:val="00606551"/>
    <w:rsid w:val="0060659D"/>
    <w:rsid w:val="00606C5E"/>
    <w:rsid w:val="0060785A"/>
    <w:rsid w:val="00607B92"/>
    <w:rsid w:val="006103A2"/>
    <w:rsid w:val="00611C9A"/>
    <w:rsid w:val="0061221C"/>
    <w:rsid w:val="0061274C"/>
    <w:rsid w:val="00612F99"/>
    <w:rsid w:val="006133E3"/>
    <w:rsid w:val="00613978"/>
    <w:rsid w:val="00614D65"/>
    <w:rsid w:val="0061684C"/>
    <w:rsid w:val="00616A0A"/>
    <w:rsid w:val="006173AF"/>
    <w:rsid w:val="00617A80"/>
    <w:rsid w:val="00620CCE"/>
    <w:rsid w:val="006212F3"/>
    <w:rsid w:val="00621E1F"/>
    <w:rsid w:val="006227EA"/>
    <w:rsid w:val="006227EF"/>
    <w:rsid w:val="00623233"/>
    <w:rsid w:val="00623FE6"/>
    <w:rsid w:val="00624172"/>
    <w:rsid w:val="0062427E"/>
    <w:rsid w:val="00625375"/>
    <w:rsid w:val="006303B3"/>
    <w:rsid w:val="006304B5"/>
    <w:rsid w:val="0063112F"/>
    <w:rsid w:val="00631BE3"/>
    <w:rsid w:val="00632123"/>
    <w:rsid w:val="00632B72"/>
    <w:rsid w:val="00633693"/>
    <w:rsid w:val="0063444C"/>
    <w:rsid w:val="006346AB"/>
    <w:rsid w:val="00635153"/>
    <w:rsid w:val="006379C5"/>
    <w:rsid w:val="00637C72"/>
    <w:rsid w:val="00640455"/>
    <w:rsid w:val="00640476"/>
    <w:rsid w:val="00641760"/>
    <w:rsid w:val="006429A1"/>
    <w:rsid w:val="006435F8"/>
    <w:rsid w:val="006437E6"/>
    <w:rsid w:val="00644881"/>
    <w:rsid w:val="006450D9"/>
    <w:rsid w:val="00645554"/>
    <w:rsid w:val="00645783"/>
    <w:rsid w:val="00646A98"/>
    <w:rsid w:val="00646F08"/>
    <w:rsid w:val="006526B8"/>
    <w:rsid w:val="006534D1"/>
    <w:rsid w:val="0065428E"/>
    <w:rsid w:val="00655A82"/>
    <w:rsid w:val="0065640A"/>
    <w:rsid w:val="00656653"/>
    <w:rsid w:val="0066033D"/>
    <w:rsid w:val="006605C2"/>
    <w:rsid w:val="00660A2E"/>
    <w:rsid w:val="00660F46"/>
    <w:rsid w:val="00661746"/>
    <w:rsid w:val="0066200F"/>
    <w:rsid w:val="00662B1B"/>
    <w:rsid w:val="006631FC"/>
    <w:rsid w:val="00665487"/>
    <w:rsid w:val="00666097"/>
    <w:rsid w:val="00666DA1"/>
    <w:rsid w:val="0066795D"/>
    <w:rsid w:val="00667E96"/>
    <w:rsid w:val="006701B5"/>
    <w:rsid w:val="00670442"/>
    <w:rsid w:val="00670DA8"/>
    <w:rsid w:val="006724DE"/>
    <w:rsid w:val="00673BC4"/>
    <w:rsid w:val="00673D7A"/>
    <w:rsid w:val="00673F3D"/>
    <w:rsid w:val="00677A07"/>
    <w:rsid w:val="00677C5E"/>
    <w:rsid w:val="006801DF"/>
    <w:rsid w:val="00680AF4"/>
    <w:rsid w:val="0068115B"/>
    <w:rsid w:val="0068297F"/>
    <w:rsid w:val="00683FBD"/>
    <w:rsid w:val="0068479B"/>
    <w:rsid w:val="006860DE"/>
    <w:rsid w:val="00687157"/>
    <w:rsid w:val="00687E50"/>
    <w:rsid w:val="00690105"/>
    <w:rsid w:val="00691B08"/>
    <w:rsid w:val="00691BE9"/>
    <w:rsid w:val="00691C30"/>
    <w:rsid w:val="0069295F"/>
    <w:rsid w:val="00692E9E"/>
    <w:rsid w:val="00694190"/>
    <w:rsid w:val="006942F4"/>
    <w:rsid w:val="00695376"/>
    <w:rsid w:val="00695C99"/>
    <w:rsid w:val="00695FA2"/>
    <w:rsid w:val="006A0D14"/>
    <w:rsid w:val="006A0D74"/>
    <w:rsid w:val="006A2048"/>
    <w:rsid w:val="006A290A"/>
    <w:rsid w:val="006A32F1"/>
    <w:rsid w:val="006A3895"/>
    <w:rsid w:val="006A4860"/>
    <w:rsid w:val="006A4A35"/>
    <w:rsid w:val="006A5370"/>
    <w:rsid w:val="006A5A75"/>
    <w:rsid w:val="006A5CDF"/>
    <w:rsid w:val="006A6C50"/>
    <w:rsid w:val="006B0CB5"/>
    <w:rsid w:val="006B1118"/>
    <w:rsid w:val="006B157A"/>
    <w:rsid w:val="006B1591"/>
    <w:rsid w:val="006B1925"/>
    <w:rsid w:val="006B2D3F"/>
    <w:rsid w:val="006B3BAF"/>
    <w:rsid w:val="006B3F23"/>
    <w:rsid w:val="006B407A"/>
    <w:rsid w:val="006B56DA"/>
    <w:rsid w:val="006B5E96"/>
    <w:rsid w:val="006B5F24"/>
    <w:rsid w:val="006B627A"/>
    <w:rsid w:val="006B6B01"/>
    <w:rsid w:val="006B6C63"/>
    <w:rsid w:val="006B6E87"/>
    <w:rsid w:val="006B7B16"/>
    <w:rsid w:val="006B7D67"/>
    <w:rsid w:val="006B7DA8"/>
    <w:rsid w:val="006C0144"/>
    <w:rsid w:val="006C24C4"/>
    <w:rsid w:val="006C3CA7"/>
    <w:rsid w:val="006C3CDC"/>
    <w:rsid w:val="006C4607"/>
    <w:rsid w:val="006C492E"/>
    <w:rsid w:val="006C5010"/>
    <w:rsid w:val="006C545D"/>
    <w:rsid w:val="006C5A0B"/>
    <w:rsid w:val="006C6D76"/>
    <w:rsid w:val="006C7F19"/>
    <w:rsid w:val="006C7FD0"/>
    <w:rsid w:val="006D01EB"/>
    <w:rsid w:val="006D0E5D"/>
    <w:rsid w:val="006D2A1A"/>
    <w:rsid w:val="006D3346"/>
    <w:rsid w:val="006D33DC"/>
    <w:rsid w:val="006D594A"/>
    <w:rsid w:val="006D5F0E"/>
    <w:rsid w:val="006D7EF3"/>
    <w:rsid w:val="006E0A2E"/>
    <w:rsid w:val="006E1FDF"/>
    <w:rsid w:val="006E2BF8"/>
    <w:rsid w:val="006E3483"/>
    <w:rsid w:val="006E6097"/>
    <w:rsid w:val="006F0EC1"/>
    <w:rsid w:val="006F1BBD"/>
    <w:rsid w:val="006F30CA"/>
    <w:rsid w:val="006F451B"/>
    <w:rsid w:val="006F4DED"/>
    <w:rsid w:val="006F60AA"/>
    <w:rsid w:val="006F666F"/>
    <w:rsid w:val="006F6D77"/>
    <w:rsid w:val="006F726C"/>
    <w:rsid w:val="0070051D"/>
    <w:rsid w:val="00700B26"/>
    <w:rsid w:val="007016CE"/>
    <w:rsid w:val="00701D4D"/>
    <w:rsid w:val="00702323"/>
    <w:rsid w:val="00704ACC"/>
    <w:rsid w:val="00705308"/>
    <w:rsid w:val="007056EE"/>
    <w:rsid w:val="007059EF"/>
    <w:rsid w:val="00707700"/>
    <w:rsid w:val="0071036B"/>
    <w:rsid w:val="00710832"/>
    <w:rsid w:val="00711D15"/>
    <w:rsid w:val="00711DA5"/>
    <w:rsid w:val="00712C40"/>
    <w:rsid w:val="0071582C"/>
    <w:rsid w:val="007160B7"/>
    <w:rsid w:val="00717463"/>
    <w:rsid w:val="00717FA0"/>
    <w:rsid w:val="007203AE"/>
    <w:rsid w:val="0072122E"/>
    <w:rsid w:val="007215BD"/>
    <w:rsid w:val="00721DA2"/>
    <w:rsid w:val="007233D2"/>
    <w:rsid w:val="00723AE2"/>
    <w:rsid w:val="00724F8F"/>
    <w:rsid w:val="00725261"/>
    <w:rsid w:val="007259DB"/>
    <w:rsid w:val="00725D6F"/>
    <w:rsid w:val="007266DA"/>
    <w:rsid w:val="0072690B"/>
    <w:rsid w:val="00726AC7"/>
    <w:rsid w:val="00727FC0"/>
    <w:rsid w:val="00730A3C"/>
    <w:rsid w:val="00731991"/>
    <w:rsid w:val="00731DFA"/>
    <w:rsid w:val="00732205"/>
    <w:rsid w:val="00732BCB"/>
    <w:rsid w:val="00733199"/>
    <w:rsid w:val="00733B55"/>
    <w:rsid w:val="007346CC"/>
    <w:rsid w:val="00734701"/>
    <w:rsid w:val="00734B59"/>
    <w:rsid w:val="00735C6B"/>
    <w:rsid w:val="0073775E"/>
    <w:rsid w:val="00737918"/>
    <w:rsid w:val="00737E71"/>
    <w:rsid w:val="0074196A"/>
    <w:rsid w:val="0074219D"/>
    <w:rsid w:val="0074221F"/>
    <w:rsid w:val="007439AB"/>
    <w:rsid w:val="00744DB2"/>
    <w:rsid w:val="0074622F"/>
    <w:rsid w:val="00746F1E"/>
    <w:rsid w:val="00747403"/>
    <w:rsid w:val="0074758C"/>
    <w:rsid w:val="00750480"/>
    <w:rsid w:val="0075067B"/>
    <w:rsid w:val="00750E47"/>
    <w:rsid w:val="00751757"/>
    <w:rsid w:val="00752497"/>
    <w:rsid w:val="00753BE9"/>
    <w:rsid w:val="00754D2C"/>
    <w:rsid w:val="0075643C"/>
    <w:rsid w:val="00756B9F"/>
    <w:rsid w:val="00757FF3"/>
    <w:rsid w:val="007605AC"/>
    <w:rsid w:val="00760736"/>
    <w:rsid w:val="007619ED"/>
    <w:rsid w:val="0076283E"/>
    <w:rsid w:val="007638E3"/>
    <w:rsid w:val="0076427A"/>
    <w:rsid w:val="00764985"/>
    <w:rsid w:val="00765B2C"/>
    <w:rsid w:val="00765FE0"/>
    <w:rsid w:val="007664D4"/>
    <w:rsid w:val="007677B0"/>
    <w:rsid w:val="00767B9C"/>
    <w:rsid w:val="007703A7"/>
    <w:rsid w:val="00770FA6"/>
    <w:rsid w:val="007715AD"/>
    <w:rsid w:val="00771ACD"/>
    <w:rsid w:val="00771B35"/>
    <w:rsid w:val="00773364"/>
    <w:rsid w:val="0077376F"/>
    <w:rsid w:val="00773CE4"/>
    <w:rsid w:val="0077454B"/>
    <w:rsid w:val="00774783"/>
    <w:rsid w:val="007749B0"/>
    <w:rsid w:val="00776123"/>
    <w:rsid w:val="007761F7"/>
    <w:rsid w:val="0077681F"/>
    <w:rsid w:val="007806F5"/>
    <w:rsid w:val="00781611"/>
    <w:rsid w:val="00781F13"/>
    <w:rsid w:val="00782DAF"/>
    <w:rsid w:val="00784EC8"/>
    <w:rsid w:val="007902FF"/>
    <w:rsid w:val="00790404"/>
    <w:rsid w:val="00790574"/>
    <w:rsid w:val="0079082F"/>
    <w:rsid w:val="00790A0F"/>
    <w:rsid w:val="00793173"/>
    <w:rsid w:val="0079385B"/>
    <w:rsid w:val="0079390F"/>
    <w:rsid w:val="0079492C"/>
    <w:rsid w:val="00794ACB"/>
    <w:rsid w:val="00794CDD"/>
    <w:rsid w:val="007953D5"/>
    <w:rsid w:val="007959CE"/>
    <w:rsid w:val="00796A67"/>
    <w:rsid w:val="00797A9A"/>
    <w:rsid w:val="007A281C"/>
    <w:rsid w:val="007A4471"/>
    <w:rsid w:val="007A4B68"/>
    <w:rsid w:val="007A547D"/>
    <w:rsid w:val="007A66B9"/>
    <w:rsid w:val="007A6D05"/>
    <w:rsid w:val="007A77D9"/>
    <w:rsid w:val="007B0303"/>
    <w:rsid w:val="007B03D1"/>
    <w:rsid w:val="007B04B7"/>
    <w:rsid w:val="007B40F5"/>
    <w:rsid w:val="007B470C"/>
    <w:rsid w:val="007B4E76"/>
    <w:rsid w:val="007B572E"/>
    <w:rsid w:val="007B5E71"/>
    <w:rsid w:val="007B6385"/>
    <w:rsid w:val="007B667F"/>
    <w:rsid w:val="007B71C0"/>
    <w:rsid w:val="007C0291"/>
    <w:rsid w:val="007C0384"/>
    <w:rsid w:val="007C09DE"/>
    <w:rsid w:val="007C1FED"/>
    <w:rsid w:val="007C2C73"/>
    <w:rsid w:val="007C5284"/>
    <w:rsid w:val="007C5844"/>
    <w:rsid w:val="007C59EB"/>
    <w:rsid w:val="007C5B9D"/>
    <w:rsid w:val="007C612C"/>
    <w:rsid w:val="007C6143"/>
    <w:rsid w:val="007D1EEA"/>
    <w:rsid w:val="007D27B8"/>
    <w:rsid w:val="007D412C"/>
    <w:rsid w:val="007D4249"/>
    <w:rsid w:val="007D5C8F"/>
    <w:rsid w:val="007D5FF4"/>
    <w:rsid w:val="007D63D7"/>
    <w:rsid w:val="007D6E58"/>
    <w:rsid w:val="007D7FD3"/>
    <w:rsid w:val="007E11D2"/>
    <w:rsid w:val="007E1C1F"/>
    <w:rsid w:val="007E1D10"/>
    <w:rsid w:val="007E1E16"/>
    <w:rsid w:val="007E20BE"/>
    <w:rsid w:val="007E29AF"/>
    <w:rsid w:val="007E2A69"/>
    <w:rsid w:val="007E2B8E"/>
    <w:rsid w:val="007E3F8A"/>
    <w:rsid w:val="007E43D9"/>
    <w:rsid w:val="007E5153"/>
    <w:rsid w:val="007E51A1"/>
    <w:rsid w:val="007E581A"/>
    <w:rsid w:val="007E59B9"/>
    <w:rsid w:val="007E5C58"/>
    <w:rsid w:val="007E5E4D"/>
    <w:rsid w:val="007E6218"/>
    <w:rsid w:val="007E6499"/>
    <w:rsid w:val="007E7BC7"/>
    <w:rsid w:val="007F0155"/>
    <w:rsid w:val="007F017A"/>
    <w:rsid w:val="007F0A2B"/>
    <w:rsid w:val="007F0B76"/>
    <w:rsid w:val="007F1C88"/>
    <w:rsid w:val="007F256F"/>
    <w:rsid w:val="007F2845"/>
    <w:rsid w:val="007F45E6"/>
    <w:rsid w:val="007F50EA"/>
    <w:rsid w:val="007F543F"/>
    <w:rsid w:val="007F553D"/>
    <w:rsid w:val="007F629C"/>
    <w:rsid w:val="007F6EF1"/>
    <w:rsid w:val="007F70C4"/>
    <w:rsid w:val="007F7DB6"/>
    <w:rsid w:val="008008D8"/>
    <w:rsid w:val="008009EE"/>
    <w:rsid w:val="00801199"/>
    <w:rsid w:val="008019BB"/>
    <w:rsid w:val="008023FD"/>
    <w:rsid w:val="00802B9F"/>
    <w:rsid w:val="0080389C"/>
    <w:rsid w:val="008038CF"/>
    <w:rsid w:val="00804CBE"/>
    <w:rsid w:val="0080710C"/>
    <w:rsid w:val="00807187"/>
    <w:rsid w:val="00807221"/>
    <w:rsid w:val="00807A3B"/>
    <w:rsid w:val="00811847"/>
    <w:rsid w:val="00812752"/>
    <w:rsid w:val="008134A2"/>
    <w:rsid w:val="008137B3"/>
    <w:rsid w:val="00813905"/>
    <w:rsid w:val="00813A93"/>
    <w:rsid w:val="00813BC9"/>
    <w:rsid w:val="00813C3D"/>
    <w:rsid w:val="0081452A"/>
    <w:rsid w:val="00814D7C"/>
    <w:rsid w:val="00815015"/>
    <w:rsid w:val="0081536E"/>
    <w:rsid w:val="00815B1F"/>
    <w:rsid w:val="00816FCA"/>
    <w:rsid w:val="00817058"/>
    <w:rsid w:val="00820645"/>
    <w:rsid w:val="00820A92"/>
    <w:rsid w:val="008212C0"/>
    <w:rsid w:val="00821A1A"/>
    <w:rsid w:val="00822CAE"/>
    <w:rsid w:val="008238FF"/>
    <w:rsid w:val="00823F67"/>
    <w:rsid w:val="008254F1"/>
    <w:rsid w:val="00825B2D"/>
    <w:rsid w:val="008262F9"/>
    <w:rsid w:val="00826B3E"/>
    <w:rsid w:val="00826BA9"/>
    <w:rsid w:val="0082750A"/>
    <w:rsid w:val="00827EF9"/>
    <w:rsid w:val="008306B2"/>
    <w:rsid w:val="00830E85"/>
    <w:rsid w:val="008331D9"/>
    <w:rsid w:val="00834D86"/>
    <w:rsid w:val="00834FB9"/>
    <w:rsid w:val="0083552A"/>
    <w:rsid w:val="0083552E"/>
    <w:rsid w:val="00835AD5"/>
    <w:rsid w:val="00836A15"/>
    <w:rsid w:val="00836DEB"/>
    <w:rsid w:val="00837EA3"/>
    <w:rsid w:val="008401B7"/>
    <w:rsid w:val="00840AB4"/>
    <w:rsid w:val="00840B1A"/>
    <w:rsid w:val="00840BB3"/>
    <w:rsid w:val="00840F84"/>
    <w:rsid w:val="0084105E"/>
    <w:rsid w:val="00841FB5"/>
    <w:rsid w:val="008424E5"/>
    <w:rsid w:val="008428D1"/>
    <w:rsid w:val="00843332"/>
    <w:rsid w:val="008436CD"/>
    <w:rsid w:val="00845ABD"/>
    <w:rsid w:val="00845B46"/>
    <w:rsid w:val="0085026A"/>
    <w:rsid w:val="008504FF"/>
    <w:rsid w:val="00850EF4"/>
    <w:rsid w:val="00851953"/>
    <w:rsid w:val="00853CB6"/>
    <w:rsid w:val="00854C3D"/>
    <w:rsid w:val="00855F5F"/>
    <w:rsid w:val="00855F6F"/>
    <w:rsid w:val="00856ADD"/>
    <w:rsid w:val="00856E3A"/>
    <w:rsid w:val="0085799F"/>
    <w:rsid w:val="008612A5"/>
    <w:rsid w:val="0086205F"/>
    <w:rsid w:val="00862CF8"/>
    <w:rsid w:val="0086407C"/>
    <w:rsid w:val="00865193"/>
    <w:rsid w:val="008651E3"/>
    <w:rsid w:val="008653EE"/>
    <w:rsid w:val="00865BC3"/>
    <w:rsid w:val="0086740E"/>
    <w:rsid w:val="0087016D"/>
    <w:rsid w:val="008701DB"/>
    <w:rsid w:val="00873FA9"/>
    <w:rsid w:val="00874026"/>
    <w:rsid w:val="0087409C"/>
    <w:rsid w:val="0087476A"/>
    <w:rsid w:val="00875536"/>
    <w:rsid w:val="008771C3"/>
    <w:rsid w:val="00880723"/>
    <w:rsid w:val="00880B51"/>
    <w:rsid w:val="00882129"/>
    <w:rsid w:val="00884F92"/>
    <w:rsid w:val="00885915"/>
    <w:rsid w:val="0088625C"/>
    <w:rsid w:val="00886884"/>
    <w:rsid w:val="00887166"/>
    <w:rsid w:val="00887598"/>
    <w:rsid w:val="00887DFC"/>
    <w:rsid w:val="0089020C"/>
    <w:rsid w:val="008909B4"/>
    <w:rsid w:val="00890A68"/>
    <w:rsid w:val="00891D57"/>
    <w:rsid w:val="00891E1B"/>
    <w:rsid w:val="00893522"/>
    <w:rsid w:val="008940F3"/>
    <w:rsid w:val="008944B4"/>
    <w:rsid w:val="00895BD3"/>
    <w:rsid w:val="00896F96"/>
    <w:rsid w:val="008A095E"/>
    <w:rsid w:val="008A131A"/>
    <w:rsid w:val="008A15CD"/>
    <w:rsid w:val="008A2501"/>
    <w:rsid w:val="008A2EBD"/>
    <w:rsid w:val="008A3410"/>
    <w:rsid w:val="008A538C"/>
    <w:rsid w:val="008A55BA"/>
    <w:rsid w:val="008A58EA"/>
    <w:rsid w:val="008A67CF"/>
    <w:rsid w:val="008A707A"/>
    <w:rsid w:val="008A7710"/>
    <w:rsid w:val="008A7A5A"/>
    <w:rsid w:val="008B017D"/>
    <w:rsid w:val="008B044F"/>
    <w:rsid w:val="008B0AA3"/>
    <w:rsid w:val="008B20F8"/>
    <w:rsid w:val="008B2DA1"/>
    <w:rsid w:val="008B47A9"/>
    <w:rsid w:val="008B7F20"/>
    <w:rsid w:val="008C20DC"/>
    <w:rsid w:val="008C214C"/>
    <w:rsid w:val="008C3C29"/>
    <w:rsid w:val="008C4B08"/>
    <w:rsid w:val="008C5A36"/>
    <w:rsid w:val="008C7855"/>
    <w:rsid w:val="008C7CB7"/>
    <w:rsid w:val="008C7FE2"/>
    <w:rsid w:val="008D06EE"/>
    <w:rsid w:val="008D0790"/>
    <w:rsid w:val="008D2B4D"/>
    <w:rsid w:val="008D2F5C"/>
    <w:rsid w:val="008D6DFC"/>
    <w:rsid w:val="008D795E"/>
    <w:rsid w:val="008E18C6"/>
    <w:rsid w:val="008E3F9A"/>
    <w:rsid w:val="008E58EF"/>
    <w:rsid w:val="008E7030"/>
    <w:rsid w:val="008E733D"/>
    <w:rsid w:val="008E7702"/>
    <w:rsid w:val="008E7B25"/>
    <w:rsid w:val="008F176F"/>
    <w:rsid w:val="008F23CA"/>
    <w:rsid w:val="008F293D"/>
    <w:rsid w:val="008F3C3C"/>
    <w:rsid w:val="008F51CC"/>
    <w:rsid w:val="008F51EA"/>
    <w:rsid w:val="008F65F7"/>
    <w:rsid w:val="008F7497"/>
    <w:rsid w:val="00900725"/>
    <w:rsid w:val="00900C04"/>
    <w:rsid w:val="00900CBC"/>
    <w:rsid w:val="0090168B"/>
    <w:rsid w:val="00901917"/>
    <w:rsid w:val="0090252E"/>
    <w:rsid w:val="009025F1"/>
    <w:rsid w:val="00902B88"/>
    <w:rsid w:val="00903014"/>
    <w:rsid w:val="009031A6"/>
    <w:rsid w:val="009042FD"/>
    <w:rsid w:val="0090522B"/>
    <w:rsid w:val="00905780"/>
    <w:rsid w:val="00906331"/>
    <w:rsid w:val="00907267"/>
    <w:rsid w:val="00907269"/>
    <w:rsid w:val="00907B81"/>
    <w:rsid w:val="00910477"/>
    <w:rsid w:val="009105F3"/>
    <w:rsid w:val="00911206"/>
    <w:rsid w:val="009116B3"/>
    <w:rsid w:val="00912A6D"/>
    <w:rsid w:val="00912C98"/>
    <w:rsid w:val="009139B7"/>
    <w:rsid w:val="00913AB8"/>
    <w:rsid w:val="00913C98"/>
    <w:rsid w:val="0091411A"/>
    <w:rsid w:val="009158DE"/>
    <w:rsid w:val="0091594B"/>
    <w:rsid w:val="009159D3"/>
    <w:rsid w:val="009166A8"/>
    <w:rsid w:val="009176A0"/>
    <w:rsid w:val="00917709"/>
    <w:rsid w:val="00917C6D"/>
    <w:rsid w:val="00920A3B"/>
    <w:rsid w:val="00922DC2"/>
    <w:rsid w:val="0092333F"/>
    <w:rsid w:val="009255BD"/>
    <w:rsid w:val="009256A8"/>
    <w:rsid w:val="00925F6C"/>
    <w:rsid w:val="00926817"/>
    <w:rsid w:val="00926C5C"/>
    <w:rsid w:val="009276E6"/>
    <w:rsid w:val="00927C48"/>
    <w:rsid w:val="00930344"/>
    <w:rsid w:val="0093305E"/>
    <w:rsid w:val="0093450B"/>
    <w:rsid w:val="00935BBA"/>
    <w:rsid w:val="009376EB"/>
    <w:rsid w:val="00937997"/>
    <w:rsid w:val="00937F05"/>
    <w:rsid w:val="00942C43"/>
    <w:rsid w:val="00942D57"/>
    <w:rsid w:val="00942E02"/>
    <w:rsid w:val="00943989"/>
    <w:rsid w:val="00944B5D"/>
    <w:rsid w:val="00944BCD"/>
    <w:rsid w:val="009453FE"/>
    <w:rsid w:val="00945951"/>
    <w:rsid w:val="00946532"/>
    <w:rsid w:val="0094790B"/>
    <w:rsid w:val="00947D6D"/>
    <w:rsid w:val="00947EF3"/>
    <w:rsid w:val="009510FF"/>
    <w:rsid w:val="00951C35"/>
    <w:rsid w:val="00952662"/>
    <w:rsid w:val="00952D45"/>
    <w:rsid w:val="009539A4"/>
    <w:rsid w:val="00954C68"/>
    <w:rsid w:val="00955904"/>
    <w:rsid w:val="009562F3"/>
    <w:rsid w:val="009577CF"/>
    <w:rsid w:val="00960575"/>
    <w:rsid w:val="00961FED"/>
    <w:rsid w:val="00963128"/>
    <w:rsid w:val="00965CA4"/>
    <w:rsid w:val="00966722"/>
    <w:rsid w:val="0097023E"/>
    <w:rsid w:val="00970CD8"/>
    <w:rsid w:val="00970EAD"/>
    <w:rsid w:val="0097114D"/>
    <w:rsid w:val="009717A1"/>
    <w:rsid w:val="0097369A"/>
    <w:rsid w:val="00973CF5"/>
    <w:rsid w:val="00973D02"/>
    <w:rsid w:val="0097510A"/>
    <w:rsid w:val="0097525F"/>
    <w:rsid w:val="0097564B"/>
    <w:rsid w:val="00975B6D"/>
    <w:rsid w:val="00975C27"/>
    <w:rsid w:val="00975C33"/>
    <w:rsid w:val="0097722E"/>
    <w:rsid w:val="0098084D"/>
    <w:rsid w:val="009830D4"/>
    <w:rsid w:val="009834CD"/>
    <w:rsid w:val="00983876"/>
    <w:rsid w:val="00983FB8"/>
    <w:rsid w:val="00985354"/>
    <w:rsid w:val="009858A1"/>
    <w:rsid w:val="00985E85"/>
    <w:rsid w:val="009868DE"/>
    <w:rsid w:val="009872C5"/>
    <w:rsid w:val="00987BF7"/>
    <w:rsid w:val="009909EE"/>
    <w:rsid w:val="00991E0C"/>
    <w:rsid w:val="00992F7A"/>
    <w:rsid w:val="00993CD3"/>
    <w:rsid w:val="009947EF"/>
    <w:rsid w:val="00994A7B"/>
    <w:rsid w:val="0099752B"/>
    <w:rsid w:val="009A0E76"/>
    <w:rsid w:val="009A13B8"/>
    <w:rsid w:val="009A1751"/>
    <w:rsid w:val="009A1CD7"/>
    <w:rsid w:val="009A3272"/>
    <w:rsid w:val="009A3558"/>
    <w:rsid w:val="009A3B14"/>
    <w:rsid w:val="009A4390"/>
    <w:rsid w:val="009A65AF"/>
    <w:rsid w:val="009A692F"/>
    <w:rsid w:val="009B10A4"/>
    <w:rsid w:val="009B12F4"/>
    <w:rsid w:val="009B2544"/>
    <w:rsid w:val="009B34A1"/>
    <w:rsid w:val="009B3D66"/>
    <w:rsid w:val="009B4BCB"/>
    <w:rsid w:val="009B4C47"/>
    <w:rsid w:val="009B4C7D"/>
    <w:rsid w:val="009B7655"/>
    <w:rsid w:val="009C01C7"/>
    <w:rsid w:val="009C0554"/>
    <w:rsid w:val="009C0579"/>
    <w:rsid w:val="009C113B"/>
    <w:rsid w:val="009C1D4E"/>
    <w:rsid w:val="009C2243"/>
    <w:rsid w:val="009C2344"/>
    <w:rsid w:val="009C26E0"/>
    <w:rsid w:val="009C3EC6"/>
    <w:rsid w:val="009C4F53"/>
    <w:rsid w:val="009C52F6"/>
    <w:rsid w:val="009C6986"/>
    <w:rsid w:val="009D0483"/>
    <w:rsid w:val="009D121A"/>
    <w:rsid w:val="009D2CE0"/>
    <w:rsid w:val="009D3750"/>
    <w:rsid w:val="009D552F"/>
    <w:rsid w:val="009D55E8"/>
    <w:rsid w:val="009D5D20"/>
    <w:rsid w:val="009E185E"/>
    <w:rsid w:val="009E1F31"/>
    <w:rsid w:val="009E20E6"/>
    <w:rsid w:val="009E24F2"/>
    <w:rsid w:val="009E4FE9"/>
    <w:rsid w:val="009E56D0"/>
    <w:rsid w:val="009E7EAC"/>
    <w:rsid w:val="009F0DCB"/>
    <w:rsid w:val="009F13ED"/>
    <w:rsid w:val="009F1A2C"/>
    <w:rsid w:val="009F2128"/>
    <w:rsid w:val="009F3AFD"/>
    <w:rsid w:val="009F6129"/>
    <w:rsid w:val="009F6212"/>
    <w:rsid w:val="00A00286"/>
    <w:rsid w:val="00A0065E"/>
    <w:rsid w:val="00A00C13"/>
    <w:rsid w:val="00A0214D"/>
    <w:rsid w:val="00A030EF"/>
    <w:rsid w:val="00A05B4D"/>
    <w:rsid w:val="00A06133"/>
    <w:rsid w:val="00A0649B"/>
    <w:rsid w:val="00A06E6A"/>
    <w:rsid w:val="00A07BE8"/>
    <w:rsid w:val="00A07C5D"/>
    <w:rsid w:val="00A109D1"/>
    <w:rsid w:val="00A116D5"/>
    <w:rsid w:val="00A11757"/>
    <w:rsid w:val="00A11A6A"/>
    <w:rsid w:val="00A12375"/>
    <w:rsid w:val="00A1288D"/>
    <w:rsid w:val="00A12DE8"/>
    <w:rsid w:val="00A13778"/>
    <w:rsid w:val="00A14F84"/>
    <w:rsid w:val="00A1535D"/>
    <w:rsid w:val="00A15F58"/>
    <w:rsid w:val="00A16BF7"/>
    <w:rsid w:val="00A22CA9"/>
    <w:rsid w:val="00A22D9E"/>
    <w:rsid w:val="00A23472"/>
    <w:rsid w:val="00A24B56"/>
    <w:rsid w:val="00A24DBD"/>
    <w:rsid w:val="00A25221"/>
    <w:rsid w:val="00A25D7E"/>
    <w:rsid w:val="00A25DA1"/>
    <w:rsid w:val="00A2669B"/>
    <w:rsid w:val="00A266EC"/>
    <w:rsid w:val="00A2724B"/>
    <w:rsid w:val="00A31397"/>
    <w:rsid w:val="00A31B02"/>
    <w:rsid w:val="00A34E28"/>
    <w:rsid w:val="00A35092"/>
    <w:rsid w:val="00A3555A"/>
    <w:rsid w:val="00A36EDF"/>
    <w:rsid w:val="00A37618"/>
    <w:rsid w:val="00A406A8"/>
    <w:rsid w:val="00A40B4A"/>
    <w:rsid w:val="00A41EFE"/>
    <w:rsid w:val="00A429A9"/>
    <w:rsid w:val="00A435D2"/>
    <w:rsid w:val="00A43D22"/>
    <w:rsid w:val="00A440F9"/>
    <w:rsid w:val="00A4457A"/>
    <w:rsid w:val="00A454C1"/>
    <w:rsid w:val="00A464F6"/>
    <w:rsid w:val="00A46899"/>
    <w:rsid w:val="00A46B8B"/>
    <w:rsid w:val="00A50225"/>
    <w:rsid w:val="00A520B5"/>
    <w:rsid w:val="00A5266D"/>
    <w:rsid w:val="00A53032"/>
    <w:rsid w:val="00A53205"/>
    <w:rsid w:val="00A53F04"/>
    <w:rsid w:val="00A546C7"/>
    <w:rsid w:val="00A553F0"/>
    <w:rsid w:val="00A557A7"/>
    <w:rsid w:val="00A56AD7"/>
    <w:rsid w:val="00A56C64"/>
    <w:rsid w:val="00A570A7"/>
    <w:rsid w:val="00A60575"/>
    <w:rsid w:val="00A6251B"/>
    <w:rsid w:val="00A629D5"/>
    <w:rsid w:val="00A62B79"/>
    <w:rsid w:val="00A6304B"/>
    <w:rsid w:val="00A63BA4"/>
    <w:rsid w:val="00A63E73"/>
    <w:rsid w:val="00A65DA6"/>
    <w:rsid w:val="00A67593"/>
    <w:rsid w:val="00A7000D"/>
    <w:rsid w:val="00A707CE"/>
    <w:rsid w:val="00A70A79"/>
    <w:rsid w:val="00A72333"/>
    <w:rsid w:val="00A731F8"/>
    <w:rsid w:val="00A73AD3"/>
    <w:rsid w:val="00A7420A"/>
    <w:rsid w:val="00A75494"/>
    <w:rsid w:val="00A763FD"/>
    <w:rsid w:val="00A77B5A"/>
    <w:rsid w:val="00A812AF"/>
    <w:rsid w:val="00A81593"/>
    <w:rsid w:val="00A83E3C"/>
    <w:rsid w:val="00A84285"/>
    <w:rsid w:val="00A850E9"/>
    <w:rsid w:val="00A86AC1"/>
    <w:rsid w:val="00A87E42"/>
    <w:rsid w:val="00A90822"/>
    <w:rsid w:val="00A9110A"/>
    <w:rsid w:val="00A9498A"/>
    <w:rsid w:val="00A94A4E"/>
    <w:rsid w:val="00A94D67"/>
    <w:rsid w:val="00A95537"/>
    <w:rsid w:val="00A95702"/>
    <w:rsid w:val="00A958DA"/>
    <w:rsid w:val="00A95DA4"/>
    <w:rsid w:val="00A96B8C"/>
    <w:rsid w:val="00A96C18"/>
    <w:rsid w:val="00A9727F"/>
    <w:rsid w:val="00A975CE"/>
    <w:rsid w:val="00A975EA"/>
    <w:rsid w:val="00A97818"/>
    <w:rsid w:val="00A97C99"/>
    <w:rsid w:val="00AA425B"/>
    <w:rsid w:val="00AA68EE"/>
    <w:rsid w:val="00AA6E65"/>
    <w:rsid w:val="00AA7DE4"/>
    <w:rsid w:val="00AB158F"/>
    <w:rsid w:val="00AB1E4E"/>
    <w:rsid w:val="00AB29CD"/>
    <w:rsid w:val="00AB4FE9"/>
    <w:rsid w:val="00AB7451"/>
    <w:rsid w:val="00AC115D"/>
    <w:rsid w:val="00AC17B3"/>
    <w:rsid w:val="00AC20E0"/>
    <w:rsid w:val="00AC216D"/>
    <w:rsid w:val="00AC2FCB"/>
    <w:rsid w:val="00AC3934"/>
    <w:rsid w:val="00AC4248"/>
    <w:rsid w:val="00AC4755"/>
    <w:rsid w:val="00AC5C82"/>
    <w:rsid w:val="00AC6AAE"/>
    <w:rsid w:val="00AC72B0"/>
    <w:rsid w:val="00AC77C3"/>
    <w:rsid w:val="00AC7C83"/>
    <w:rsid w:val="00AC7E64"/>
    <w:rsid w:val="00AD06F3"/>
    <w:rsid w:val="00AD0F24"/>
    <w:rsid w:val="00AD18F0"/>
    <w:rsid w:val="00AD36B8"/>
    <w:rsid w:val="00AD3D4F"/>
    <w:rsid w:val="00AD46CA"/>
    <w:rsid w:val="00AD4E19"/>
    <w:rsid w:val="00AD4E32"/>
    <w:rsid w:val="00AD5B1B"/>
    <w:rsid w:val="00AD6B48"/>
    <w:rsid w:val="00AD6C97"/>
    <w:rsid w:val="00AE2E58"/>
    <w:rsid w:val="00AE3490"/>
    <w:rsid w:val="00AE3FE8"/>
    <w:rsid w:val="00AE5030"/>
    <w:rsid w:val="00AE5DA8"/>
    <w:rsid w:val="00AE6849"/>
    <w:rsid w:val="00AE6BAC"/>
    <w:rsid w:val="00AF03EF"/>
    <w:rsid w:val="00AF2803"/>
    <w:rsid w:val="00AF2EBC"/>
    <w:rsid w:val="00AF3624"/>
    <w:rsid w:val="00AF3EEB"/>
    <w:rsid w:val="00AF5879"/>
    <w:rsid w:val="00AF5D74"/>
    <w:rsid w:val="00AF6F96"/>
    <w:rsid w:val="00AF7FF3"/>
    <w:rsid w:val="00B00CBD"/>
    <w:rsid w:val="00B00DAD"/>
    <w:rsid w:val="00B01177"/>
    <w:rsid w:val="00B018D5"/>
    <w:rsid w:val="00B01D90"/>
    <w:rsid w:val="00B02EFD"/>
    <w:rsid w:val="00B033BF"/>
    <w:rsid w:val="00B067FF"/>
    <w:rsid w:val="00B07DC1"/>
    <w:rsid w:val="00B07F81"/>
    <w:rsid w:val="00B1011B"/>
    <w:rsid w:val="00B10A36"/>
    <w:rsid w:val="00B12FCA"/>
    <w:rsid w:val="00B13D23"/>
    <w:rsid w:val="00B16A55"/>
    <w:rsid w:val="00B17A98"/>
    <w:rsid w:val="00B17F14"/>
    <w:rsid w:val="00B212DF"/>
    <w:rsid w:val="00B22A8F"/>
    <w:rsid w:val="00B23452"/>
    <w:rsid w:val="00B234AB"/>
    <w:rsid w:val="00B23567"/>
    <w:rsid w:val="00B2427C"/>
    <w:rsid w:val="00B262B6"/>
    <w:rsid w:val="00B27BD0"/>
    <w:rsid w:val="00B3283F"/>
    <w:rsid w:val="00B3352D"/>
    <w:rsid w:val="00B33E8A"/>
    <w:rsid w:val="00B340C6"/>
    <w:rsid w:val="00B3729C"/>
    <w:rsid w:val="00B37D80"/>
    <w:rsid w:val="00B402BE"/>
    <w:rsid w:val="00B40574"/>
    <w:rsid w:val="00B4104D"/>
    <w:rsid w:val="00B41D81"/>
    <w:rsid w:val="00B42097"/>
    <w:rsid w:val="00B4389E"/>
    <w:rsid w:val="00B441FE"/>
    <w:rsid w:val="00B45534"/>
    <w:rsid w:val="00B45F23"/>
    <w:rsid w:val="00B501A9"/>
    <w:rsid w:val="00B50D45"/>
    <w:rsid w:val="00B5120B"/>
    <w:rsid w:val="00B5122B"/>
    <w:rsid w:val="00B5167C"/>
    <w:rsid w:val="00B52204"/>
    <w:rsid w:val="00B52FEA"/>
    <w:rsid w:val="00B53536"/>
    <w:rsid w:val="00B5481F"/>
    <w:rsid w:val="00B556F0"/>
    <w:rsid w:val="00B5599A"/>
    <w:rsid w:val="00B559A0"/>
    <w:rsid w:val="00B56007"/>
    <w:rsid w:val="00B562E8"/>
    <w:rsid w:val="00B5678B"/>
    <w:rsid w:val="00B56A79"/>
    <w:rsid w:val="00B56D02"/>
    <w:rsid w:val="00B57462"/>
    <w:rsid w:val="00B6004F"/>
    <w:rsid w:val="00B614B8"/>
    <w:rsid w:val="00B61BD9"/>
    <w:rsid w:val="00B61EF8"/>
    <w:rsid w:val="00B61FE0"/>
    <w:rsid w:val="00B6266A"/>
    <w:rsid w:val="00B63B0C"/>
    <w:rsid w:val="00B65490"/>
    <w:rsid w:val="00B65FFD"/>
    <w:rsid w:val="00B6637B"/>
    <w:rsid w:val="00B66ED6"/>
    <w:rsid w:val="00B67D3D"/>
    <w:rsid w:val="00B70C57"/>
    <w:rsid w:val="00B71890"/>
    <w:rsid w:val="00B722EE"/>
    <w:rsid w:val="00B726BB"/>
    <w:rsid w:val="00B7301F"/>
    <w:rsid w:val="00B732DC"/>
    <w:rsid w:val="00B73757"/>
    <w:rsid w:val="00B74435"/>
    <w:rsid w:val="00B7540A"/>
    <w:rsid w:val="00B75502"/>
    <w:rsid w:val="00B759D1"/>
    <w:rsid w:val="00B803DE"/>
    <w:rsid w:val="00B817B3"/>
    <w:rsid w:val="00B820A7"/>
    <w:rsid w:val="00B82AC0"/>
    <w:rsid w:val="00B85521"/>
    <w:rsid w:val="00B86220"/>
    <w:rsid w:val="00B87642"/>
    <w:rsid w:val="00B90379"/>
    <w:rsid w:val="00B91E36"/>
    <w:rsid w:val="00B936AF"/>
    <w:rsid w:val="00B93B08"/>
    <w:rsid w:val="00B947F4"/>
    <w:rsid w:val="00B94AD1"/>
    <w:rsid w:val="00B94B6D"/>
    <w:rsid w:val="00B94D42"/>
    <w:rsid w:val="00B95F5A"/>
    <w:rsid w:val="00B96118"/>
    <w:rsid w:val="00B96AA3"/>
    <w:rsid w:val="00B972B0"/>
    <w:rsid w:val="00B978F6"/>
    <w:rsid w:val="00BA00B3"/>
    <w:rsid w:val="00BA1288"/>
    <w:rsid w:val="00BA1640"/>
    <w:rsid w:val="00BA1B2D"/>
    <w:rsid w:val="00BA2BAA"/>
    <w:rsid w:val="00BA2F27"/>
    <w:rsid w:val="00BA3474"/>
    <w:rsid w:val="00BA509F"/>
    <w:rsid w:val="00BA55EC"/>
    <w:rsid w:val="00BA5721"/>
    <w:rsid w:val="00BA588F"/>
    <w:rsid w:val="00BA5C23"/>
    <w:rsid w:val="00BA6855"/>
    <w:rsid w:val="00BB0710"/>
    <w:rsid w:val="00BB1D6F"/>
    <w:rsid w:val="00BB2B48"/>
    <w:rsid w:val="00BB4578"/>
    <w:rsid w:val="00BB494A"/>
    <w:rsid w:val="00BB50D4"/>
    <w:rsid w:val="00BB5398"/>
    <w:rsid w:val="00BB586B"/>
    <w:rsid w:val="00BB5EC5"/>
    <w:rsid w:val="00BB67A4"/>
    <w:rsid w:val="00BB7173"/>
    <w:rsid w:val="00BB7375"/>
    <w:rsid w:val="00BC00E7"/>
    <w:rsid w:val="00BC0266"/>
    <w:rsid w:val="00BC043A"/>
    <w:rsid w:val="00BC04C7"/>
    <w:rsid w:val="00BC0C43"/>
    <w:rsid w:val="00BC0DF8"/>
    <w:rsid w:val="00BC1AA9"/>
    <w:rsid w:val="00BC2062"/>
    <w:rsid w:val="00BC2CD7"/>
    <w:rsid w:val="00BC3800"/>
    <w:rsid w:val="00BC4380"/>
    <w:rsid w:val="00BC44E8"/>
    <w:rsid w:val="00BC51D4"/>
    <w:rsid w:val="00BC51EF"/>
    <w:rsid w:val="00BC5530"/>
    <w:rsid w:val="00BC578E"/>
    <w:rsid w:val="00BC6094"/>
    <w:rsid w:val="00BC66EE"/>
    <w:rsid w:val="00BC6878"/>
    <w:rsid w:val="00BC6FE5"/>
    <w:rsid w:val="00BC7D03"/>
    <w:rsid w:val="00BC7E4F"/>
    <w:rsid w:val="00BC7FDF"/>
    <w:rsid w:val="00BD0275"/>
    <w:rsid w:val="00BD0379"/>
    <w:rsid w:val="00BD237D"/>
    <w:rsid w:val="00BD45FB"/>
    <w:rsid w:val="00BD4B04"/>
    <w:rsid w:val="00BD50CB"/>
    <w:rsid w:val="00BD6A83"/>
    <w:rsid w:val="00BD6D53"/>
    <w:rsid w:val="00BD74A6"/>
    <w:rsid w:val="00BE0612"/>
    <w:rsid w:val="00BE22A8"/>
    <w:rsid w:val="00BE5740"/>
    <w:rsid w:val="00BE61DF"/>
    <w:rsid w:val="00BE68B3"/>
    <w:rsid w:val="00BE6B22"/>
    <w:rsid w:val="00BE72CF"/>
    <w:rsid w:val="00BE7AAB"/>
    <w:rsid w:val="00BE7CEA"/>
    <w:rsid w:val="00BF1812"/>
    <w:rsid w:val="00BF1A56"/>
    <w:rsid w:val="00BF21D7"/>
    <w:rsid w:val="00BF29D6"/>
    <w:rsid w:val="00BF3CC7"/>
    <w:rsid w:val="00BF435D"/>
    <w:rsid w:val="00BF457B"/>
    <w:rsid w:val="00BF4BAA"/>
    <w:rsid w:val="00BF5354"/>
    <w:rsid w:val="00BF53A0"/>
    <w:rsid w:val="00BF5483"/>
    <w:rsid w:val="00BF5659"/>
    <w:rsid w:val="00BF5C13"/>
    <w:rsid w:val="00BF5D45"/>
    <w:rsid w:val="00BF6621"/>
    <w:rsid w:val="00BF6F14"/>
    <w:rsid w:val="00C01387"/>
    <w:rsid w:val="00C015D3"/>
    <w:rsid w:val="00C01E76"/>
    <w:rsid w:val="00C026E9"/>
    <w:rsid w:val="00C02E1C"/>
    <w:rsid w:val="00C035FB"/>
    <w:rsid w:val="00C03C6E"/>
    <w:rsid w:val="00C04A6A"/>
    <w:rsid w:val="00C04F9E"/>
    <w:rsid w:val="00C059B8"/>
    <w:rsid w:val="00C062D1"/>
    <w:rsid w:val="00C0686F"/>
    <w:rsid w:val="00C06EF7"/>
    <w:rsid w:val="00C06FC5"/>
    <w:rsid w:val="00C0742C"/>
    <w:rsid w:val="00C109A8"/>
    <w:rsid w:val="00C1226E"/>
    <w:rsid w:val="00C12629"/>
    <w:rsid w:val="00C1395D"/>
    <w:rsid w:val="00C158E1"/>
    <w:rsid w:val="00C16698"/>
    <w:rsid w:val="00C16782"/>
    <w:rsid w:val="00C16AF8"/>
    <w:rsid w:val="00C16D0A"/>
    <w:rsid w:val="00C16E4E"/>
    <w:rsid w:val="00C20C23"/>
    <w:rsid w:val="00C215FB"/>
    <w:rsid w:val="00C2190C"/>
    <w:rsid w:val="00C22D54"/>
    <w:rsid w:val="00C23E2B"/>
    <w:rsid w:val="00C23FAF"/>
    <w:rsid w:val="00C24F21"/>
    <w:rsid w:val="00C25C6F"/>
    <w:rsid w:val="00C25D2D"/>
    <w:rsid w:val="00C279A5"/>
    <w:rsid w:val="00C30B03"/>
    <w:rsid w:val="00C316BD"/>
    <w:rsid w:val="00C31DBE"/>
    <w:rsid w:val="00C3253A"/>
    <w:rsid w:val="00C32BDA"/>
    <w:rsid w:val="00C33D6C"/>
    <w:rsid w:val="00C3554C"/>
    <w:rsid w:val="00C369A4"/>
    <w:rsid w:val="00C37AC7"/>
    <w:rsid w:val="00C37DCA"/>
    <w:rsid w:val="00C40286"/>
    <w:rsid w:val="00C40707"/>
    <w:rsid w:val="00C419C7"/>
    <w:rsid w:val="00C431B9"/>
    <w:rsid w:val="00C43A43"/>
    <w:rsid w:val="00C43EBA"/>
    <w:rsid w:val="00C44F3F"/>
    <w:rsid w:val="00C46237"/>
    <w:rsid w:val="00C466FA"/>
    <w:rsid w:val="00C4671B"/>
    <w:rsid w:val="00C46E8B"/>
    <w:rsid w:val="00C50733"/>
    <w:rsid w:val="00C50A07"/>
    <w:rsid w:val="00C51A0B"/>
    <w:rsid w:val="00C520F2"/>
    <w:rsid w:val="00C529B0"/>
    <w:rsid w:val="00C53317"/>
    <w:rsid w:val="00C54E0B"/>
    <w:rsid w:val="00C55287"/>
    <w:rsid w:val="00C56DFD"/>
    <w:rsid w:val="00C57631"/>
    <w:rsid w:val="00C576BF"/>
    <w:rsid w:val="00C57F50"/>
    <w:rsid w:val="00C60126"/>
    <w:rsid w:val="00C6047F"/>
    <w:rsid w:val="00C609F3"/>
    <w:rsid w:val="00C60FD3"/>
    <w:rsid w:val="00C614CE"/>
    <w:rsid w:val="00C616E3"/>
    <w:rsid w:val="00C61BB1"/>
    <w:rsid w:val="00C61ECD"/>
    <w:rsid w:val="00C64572"/>
    <w:rsid w:val="00C648C6"/>
    <w:rsid w:val="00C66BBB"/>
    <w:rsid w:val="00C66E2D"/>
    <w:rsid w:val="00C67434"/>
    <w:rsid w:val="00C67A81"/>
    <w:rsid w:val="00C70ACB"/>
    <w:rsid w:val="00C72598"/>
    <w:rsid w:val="00C72F52"/>
    <w:rsid w:val="00C735EC"/>
    <w:rsid w:val="00C73BEB"/>
    <w:rsid w:val="00C74B23"/>
    <w:rsid w:val="00C76B82"/>
    <w:rsid w:val="00C77C11"/>
    <w:rsid w:val="00C807B7"/>
    <w:rsid w:val="00C81472"/>
    <w:rsid w:val="00C822B5"/>
    <w:rsid w:val="00C826A1"/>
    <w:rsid w:val="00C83984"/>
    <w:rsid w:val="00C83D68"/>
    <w:rsid w:val="00C84D02"/>
    <w:rsid w:val="00C86ECB"/>
    <w:rsid w:val="00C872A9"/>
    <w:rsid w:val="00C87E37"/>
    <w:rsid w:val="00C90718"/>
    <w:rsid w:val="00C90E6F"/>
    <w:rsid w:val="00C913A1"/>
    <w:rsid w:val="00C92C74"/>
    <w:rsid w:val="00C92EF7"/>
    <w:rsid w:val="00C9305C"/>
    <w:rsid w:val="00C93F5E"/>
    <w:rsid w:val="00C9402C"/>
    <w:rsid w:val="00C9658C"/>
    <w:rsid w:val="00C96E92"/>
    <w:rsid w:val="00C97BED"/>
    <w:rsid w:val="00CA05E4"/>
    <w:rsid w:val="00CA1B01"/>
    <w:rsid w:val="00CA1C3B"/>
    <w:rsid w:val="00CA2DB5"/>
    <w:rsid w:val="00CA3BE3"/>
    <w:rsid w:val="00CA4200"/>
    <w:rsid w:val="00CA4754"/>
    <w:rsid w:val="00CA4BE9"/>
    <w:rsid w:val="00CA4E44"/>
    <w:rsid w:val="00CA4E7C"/>
    <w:rsid w:val="00CA5A5E"/>
    <w:rsid w:val="00CA6298"/>
    <w:rsid w:val="00CA6735"/>
    <w:rsid w:val="00CA7BD7"/>
    <w:rsid w:val="00CB0710"/>
    <w:rsid w:val="00CB1777"/>
    <w:rsid w:val="00CB189A"/>
    <w:rsid w:val="00CB3673"/>
    <w:rsid w:val="00CB3A16"/>
    <w:rsid w:val="00CB4585"/>
    <w:rsid w:val="00CB502F"/>
    <w:rsid w:val="00CB5480"/>
    <w:rsid w:val="00CB55D3"/>
    <w:rsid w:val="00CB56A7"/>
    <w:rsid w:val="00CB5BEF"/>
    <w:rsid w:val="00CB63D4"/>
    <w:rsid w:val="00CB68F2"/>
    <w:rsid w:val="00CB6FB0"/>
    <w:rsid w:val="00CC1F94"/>
    <w:rsid w:val="00CC33E7"/>
    <w:rsid w:val="00CC3455"/>
    <w:rsid w:val="00CC4FB5"/>
    <w:rsid w:val="00CC5370"/>
    <w:rsid w:val="00CC64C0"/>
    <w:rsid w:val="00CC66BA"/>
    <w:rsid w:val="00CC6828"/>
    <w:rsid w:val="00CC6924"/>
    <w:rsid w:val="00CC7F46"/>
    <w:rsid w:val="00CC7FCE"/>
    <w:rsid w:val="00CD0B15"/>
    <w:rsid w:val="00CD25E0"/>
    <w:rsid w:val="00CD282F"/>
    <w:rsid w:val="00CD400B"/>
    <w:rsid w:val="00CD51D6"/>
    <w:rsid w:val="00CD63A9"/>
    <w:rsid w:val="00CD77EE"/>
    <w:rsid w:val="00CD7818"/>
    <w:rsid w:val="00CE0303"/>
    <w:rsid w:val="00CE05F1"/>
    <w:rsid w:val="00CE0B00"/>
    <w:rsid w:val="00CE0D17"/>
    <w:rsid w:val="00CE2BC4"/>
    <w:rsid w:val="00CE2D8D"/>
    <w:rsid w:val="00CE43D7"/>
    <w:rsid w:val="00CE4815"/>
    <w:rsid w:val="00CE504B"/>
    <w:rsid w:val="00CE54F1"/>
    <w:rsid w:val="00CE5F9D"/>
    <w:rsid w:val="00CE6B0C"/>
    <w:rsid w:val="00CE6BE7"/>
    <w:rsid w:val="00CE7589"/>
    <w:rsid w:val="00CF0173"/>
    <w:rsid w:val="00CF24A9"/>
    <w:rsid w:val="00CF3F0D"/>
    <w:rsid w:val="00CF4CE1"/>
    <w:rsid w:val="00CF5277"/>
    <w:rsid w:val="00CF5903"/>
    <w:rsid w:val="00CF647A"/>
    <w:rsid w:val="00CF6D4B"/>
    <w:rsid w:val="00CF768C"/>
    <w:rsid w:val="00CF79D3"/>
    <w:rsid w:val="00CF7B23"/>
    <w:rsid w:val="00D0049B"/>
    <w:rsid w:val="00D01F32"/>
    <w:rsid w:val="00D01F63"/>
    <w:rsid w:val="00D03028"/>
    <w:rsid w:val="00D030A1"/>
    <w:rsid w:val="00D0350E"/>
    <w:rsid w:val="00D0389F"/>
    <w:rsid w:val="00D03ECC"/>
    <w:rsid w:val="00D0486C"/>
    <w:rsid w:val="00D0487E"/>
    <w:rsid w:val="00D049D2"/>
    <w:rsid w:val="00D06289"/>
    <w:rsid w:val="00D0750F"/>
    <w:rsid w:val="00D126FB"/>
    <w:rsid w:val="00D13D1A"/>
    <w:rsid w:val="00D14324"/>
    <w:rsid w:val="00D14468"/>
    <w:rsid w:val="00D14862"/>
    <w:rsid w:val="00D149B8"/>
    <w:rsid w:val="00D14A3B"/>
    <w:rsid w:val="00D15E65"/>
    <w:rsid w:val="00D16443"/>
    <w:rsid w:val="00D165C4"/>
    <w:rsid w:val="00D167DA"/>
    <w:rsid w:val="00D17130"/>
    <w:rsid w:val="00D207F3"/>
    <w:rsid w:val="00D20AD9"/>
    <w:rsid w:val="00D20B73"/>
    <w:rsid w:val="00D2140A"/>
    <w:rsid w:val="00D22062"/>
    <w:rsid w:val="00D22D4D"/>
    <w:rsid w:val="00D253DA"/>
    <w:rsid w:val="00D261D3"/>
    <w:rsid w:val="00D26AFD"/>
    <w:rsid w:val="00D30CC3"/>
    <w:rsid w:val="00D3195C"/>
    <w:rsid w:val="00D32DD1"/>
    <w:rsid w:val="00D32EB9"/>
    <w:rsid w:val="00D32F1F"/>
    <w:rsid w:val="00D35A4A"/>
    <w:rsid w:val="00D36603"/>
    <w:rsid w:val="00D366DF"/>
    <w:rsid w:val="00D36CBD"/>
    <w:rsid w:val="00D376D8"/>
    <w:rsid w:val="00D37B54"/>
    <w:rsid w:val="00D40042"/>
    <w:rsid w:val="00D400B5"/>
    <w:rsid w:val="00D40AC0"/>
    <w:rsid w:val="00D41622"/>
    <w:rsid w:val="00D42274"/>
    <w:rsid w:val="00D4440A"/>
    <w:rsid w:val="00D45710"/>
    <w:rsid w:val="00D45AA0"/>
    <w:rsid w:val="00D45F37"/>
    <w:rsid w:val="00D461C3"/>
    <w:rsid w:val="00D46ED5"/>
    <w:rsid w:val="00D47D7A"/>
    <w:rsid w:val="00D50A21"/>
    <w:rsid w:val="00D5632B"/>
    <w:rsid w:val="00D56640"/>
    <w:rsid w:val="00D57754"/>
    <w:rsid w:val="00D61A91"/>
    <w:rsid w:val="00D62E9B"/>
    <w:rsid w:val="00D63DF5"/>
    <w:rsid w:val="00D63DFD"/>
    <w:rsid w:val="00D64079"/>
    <w:rsid w:val="00D643C6"/>
    <w:rsid w:val="00D646CC"/>
    <w:rsid w:val="00D65C7E"/>
    <w:rsid w:val="00D66E04"/>
    <w:rsid w:val="00D6716D"/>
    <w:rsid w:val="00D67986"/>
    <w:rsid w:val="00D70463"/>
    <w:rsid w:val="00D71803"/>
    <w:rsid w:val="00D729C6"/>
    <w:rsid w:val="00D73463"/>
    <w:rsid w:val="00D73673"/>
    <w:rsid w:val="00D738A6"/>
    <w:rsid w:val="00D73B32"/>
    <w:rsid w:val="00D7515D"/>
    <w:rsid w:val="00D752A9"/>
    <w:rsid w:val="00D7577F"/>
    <w:rsid w:val="00D759F9"/>
    <w:rsid w:val="00D75E67"/>
    <w:rsid w:val="00D77020"/>
    <w:rsid w:val="00D776CE"/>
    <w:rsid w:val="00D778B5"/>
    <w:rsid w:val="00D77E08"/>
    <w:rsid w:val="00D80EBC"/>
    <w:rsid w:val="00D8204D"/>
    <w:rsid w:val="00D82703"/>
    <w:rsid w:val="00D82B5B"/>
    <w:rsid w:val="00D83B25"/>
    <w:rsid w:val="00D83E50"/>
    <w:rsid w:val="00D84DAC"/>
    <w:rsid w:val="00D850E7"/>
    <w:rsid w:val="00D85422"/>
    <w:rsid w:val="00D85631"/>
    <w:rsid w:val="00D86194"/>
    <w:rsid w:val="00D86D3E"/>
    <w:rsid w:val="00D87C42"/>
    <w:rsid w:val="00D87F33"/>
    <w:rsid w:val="00D90176"/>
    <w:rsid w:val="00D91173"/>
    <w:rsid w:val="00D9164B"/>
    <w:rsid w:val="00D92152"/>
    <w:rsid w:val="00D92238"/>
    <w:rsid w:val="00D92CFB"/>
    <w:rsid w:val="00D92DF0"/>
    <w:rsid w:val="00D93B2E"/>
    <w:rsid w:val="00D943C4"/>
    <w:rsid w:val="00D94857"/>
    <w:rsid w:val="00D96627"/>
    <w:rsid w:val="00D9760C"/>
    <w:rsid w:val="00DA0A1F"/>
    <w:rsid w:val="00DA10C3"/>
    <w:rsid w:val="00DA2229"/>
    <w:rsid w:val="00DA22FA"/>
    <w:rsid w:val="00DA28B1"/>
    <w:rsid w:val="00DA311B"/>
    <w:rsid w:val="00DA350A"/>
    <w:rsid w:val="00DA38C1"/>
    <w:rsid w:val="00DA3A12"/>
    <w:rsid w:val="00DA3DF8"/>
    <w:rsid w:val="00DA4BB4"/>
    <w:rsid w:val="00DA6311"/>
    <w:rsid w:val="00DB1744"/>
    <w:rsid w:val="00DB1947"/>
    <w:rsid w:val="00DB2D53"/>
    <w:rsid w:val="00DB2F90"/>
    <w:rsid w:val="00DB3B2C"/>
    <w:rsid w:val="00DB3B8D"/>
    <w:rsid w:val="00DB4C2E"/>
    <w:rsid w:val="00DB4F1C"/>
    <w:rsid w:val="00DB50A5"/>
    <w:rsid w:val="00DB50DD"/>
    <w:rsid w:val="00DB57CA"/>
    <w:rsid w:val="00DB6018"/>
    <w:rsid w:val="00DB650B"/>
    <w:rsid w:val="00DB7DFC"/>
    <w:rsid w:val="00DC08EC"/>
    <w:rsid w:val="00DC136E"/>
    <w:rsid w:val="00DC2346"/>
    <w:rsid w:val="00DC2A8B"/>
    <w:rsid w:val="00DC30AB"/>
    <w:rsid w:val="00DC5976"/>
    <w:rsid w:val="00DC6CC5"/>
    <w:rsid w:val="00DC6EDF"/>
    <w:rsid w:val="00DC7B20"/>
    <w:rsid w:val="00DD0A06"/>
    <w:rsid w:val="00DD2778"/>
    <w:rsid w:val="00DD30A9"/>
    <w:rsid w:val="00DD4AD4"/>
    <w:rsid w:val="00DD4D3A"/>
    <w:rsid w:val="00DD569A"/>
    <w:rsid w:val="00DD5AFC"/>
    <w:rsid w:val="00DD6175"/>
    <w:rsid w:val="00DD7177"/>
    <w:rsid w:val="00DE02DD"/>
    <w:rsid w:val="00DE1A6F"/>
    <w:rsid w:val="00DE1ADB"/>
    <w:rsid w:val="00DE3692"/>
    <w:rsid w:val="00DE5D08"/>
    <w:rsid w:val="00DE6881"/>
    <w:rsid w:val="00DE759C"/>
    <w:rsid w:val="00DE7FB7"/>
    <w:rsid w:val="00DF0E9F"/>
    <w:rsid w:val="00DF1830"/>
    <w:rsid w:val="00DF6372"/>
    <w:rsid w:val="00DF6569"/>
    <w:rsid w:val="00DF69D0"/>
    <w:rsid w:val="00E008F0"/>
    <w:rsid w:val="00E00B1A"/>
    <w:rsid w:val="00E00CD3"/>
    <w:rsid w:val="00E01C25"/>
    <w:rsid w:val="00E02AA0"/>
    <w:rsid w:val="00E02BEA"/>
    <w:rsid w:val="00E0344A"/>
    <w:rsid w:val="00E0380C"/>
    <w:rsid w:val="00E03DB5"/>
    <w:rsid w:val="00E046F9"/>
    <w:rsid w:val="00E04BBE"/>
    <w:rsid w:val="00E057F7"/>
    <w:rsid w:val="00E05F39"/>
    <w:rsid w:val="00E06685"/>
    <w:rsid w:val="00E066D0"/>
    <w:rsid w:val="00E07596"/>
    <w:rsid w:val="00E07BA0"/>
    <w:rsid w:val="00E10686"/>
    <w:rsid w:val="00E1145D"/>
    <w:rsid w:val="00E11D90"/>
    <w:rsid w:val="00E13075"/>
    <w:rsid w:val="00E145A3"/>
    <w:rsid w:val="00E14E52"/>
    <w:rsid w:val="00E155C1"/>
    <w:rsid w:val="00E16A79"/>
    <w:rsid w:val="00E17CB8"/>
    <w:rsid w:val="00E20746"/>
    <w:rsid w:val="00E23481"/>
    <w:rsid w:val="00E2372F"/>
    <w:rsid w:val="00E24092"/>
    <w:rsid w:val="00E25E5D"/>
    <w:rsid w:val="00E26BA9"/>
    <w:rsid w:val="00E30F23"/>
    <w:rsid w:val="00E3101A"/>
    <w:rsid w:val="00E3211E"/>
    <w:rsid w:val="00E3406D"/>
    <w:rsid w:val="00E34472"/>
    <w:rsid w:val="00E356AE"/>
    <w:rsid w:val="00E37EF2"/>
    <w:rsid w:val="00E40C20"/>
    <w:rsid w:val="00E40E1F"/>
    <w:rsid w:val="00E4141F"/>
    <w:rsid w:val="00E42C85"/>
    <w:rsid w:val="00E43242"/>
    <w:rsid w:val="00E46645"/>
    <w:rsid w:val="00E46F5F"/>
    <w:rsid w:val="00E47942"/>
    <w:rsid w:val="00E47D9F"/>
    <w:rsid w:val="00E5197B"/>
    <w:rsid w:val="00E51CA0"/>
    <w:rsid w:val="00E5214B"/>
    <w:rsid w:val="00E52258"/>
    <w:rsid w:val="00E52777"/>
    <w:rsid w:val="00E53588"/>
    <w:rsid w:val="00E53AB6"/>
    <w:rsid w:val="00E548ED"/>
    <w:rsid w:val="00E54CFE"/>
    <w:rsid w:val="00E5575E"/>
    <w:rsid w:val="00E56ECD"/>
    <w:rsid w:val="00E5789A"/>
    <w:rsid w:val="00E60A50"/>
    <w:rsid w:val="00E6225A"/>
    <w:rsid w:val="00E64199"/>
    <w:rsid w:val="00E65521"/>
    <w:rsid w:val="00E65A3D"/>
    <w:rsid w:val="00E66580"/>
    <w:rsid w:val="00E67E4A"/>
    <w:rsid w:val="00E7056B"/>
    <w:rsid w:val="00E71853"/>
    <w:rsid w:val="00E71DC6"/>
    <w:rsid w:val="00E71F94"/>
    <w:rsid w:val="00E73702"/>
    <w:rsid w:val="00E73AA6"/>
    <w:rsid w:val="00E74BC5"/>
    <w:rsid w:val="00E74E2C"/>
    <w:rsid w:val="00E752B4"/>
    <w:rsid w:val="00E75994"/>
    <w:rsid w:val="00E75AEF"/>
    <w:rsid w:val="00E76EBC"/>
    <w:rsid w:val="00E77638"/>
    <w:rsid w:val="00E7768E"/>
    <w:rsid w:val="00E814A3"/>
    <w:rsid w:val="00E81915"/>
    <w:rsid w:val="00E83889"/>
    <w:rsid w:val="00E83C5D"/>
    <w:rsid w:val="00E84EC2"/>
    <w:rsid w:val="00E85667"/>
    <w:rsid w:val="00E85691"/>
    <w:rsid w:val="00E85784"/>
    <w:rsid w:val="00E869CE"/>
    <w:rsid w:val="00E877CC"/>
    <w:rsid w:val="00E91678"/>
    <w:rsid w:val="00E93AC5"/>
    <w:rsid w:val="00E94B88"/>
    <w:rsid w:val="00E97000"/>
    <w:rsid w:val="00EA0AA0"/>
    <w:rsid w:val="00EA0DC3"/>
    <w:rsid w:val="00EA152F"/>
    <w:rsid w:val="00EA176F"/>
    <w:rsid w:val="00EA1C5D"/>
    <w:rsid w:val="00EA204A"/>
    <w:rsid w:val="00EA3C64"/>
    <w:rsid w:val="00EA3F23"/>
    <w:rsid w:val="00EA5DAB"/>
    <w:rsid w:val="00EA7B42"/>
    <w:rsid w:val="00EA7CC0"/>
    <w:rsid w:val="00EB1126"/>
    <w:rsid w:val="00EB1723"/>
    <w:rsid w:val="00EB205E"/>
    <w:rsid w:val="00EB2EDD"/>
    <w:rsid w:val="00EB5BD3"/>
    <w:rsid w:val="00EC097E"/>
    <w:rsid w:val="00EC455C"/>
    <w:rsid w:val="00EC5B6B"/>
    <w:rsid w:val="00EC6B41"/>
    <w:rsid w:val="00EC6CAC"/>
    <w:rsid w:val="00EC70AA"/>
    <w:rsid w:val="00EC7A9D"/>
    <w:rsid w:val="00EC7D66"/>
    <w:rsid w:val="00ED0394"/>
    <w:rsid w:val="00ED19BD"/>
    <w:rsid w:val="00ED1F01"/>
    <w:rsid w:val="00ED24B3"/>
    <w:rsid w:val="00ED3A27"/>
    <w:rsid w:val="00ED4450"/>
    <w:rsid w:val="00ED45D2"/>
    <w:rsid w:val="00ED5313"/>
    <w:rsid w:val="00ED6054"/>
    <w:rsid w:val="00EE136E"/>
    <w:rsid w:val="00EE1AAA"/>
    <w:rsid w:val="00EE1AAF"/>
    <w:rsid w:val="00EE26B0"/>
    <w:rsid w:val="00EE38EA"/>
    <w:rsid w:val="00EE3C95"/>
    <w:rsid w:val="00EE5E0E"/>
    <w:rsid w:val="00EE61B1"/>
    <w:rsid w:val="00EE7252"/>
    <w:rsid w:val="00EE73B5"/>
    <w:rsid w:val="00EF0300"/>
    <w:rsid w:val="00EF0770"/>
    <w:rsid w:val="00EF0CEB"/>
    <w:rsid w:val="00EF12E1"/>
    <w:rsid w:val="00EF30B0"/>
    <w:rsid w:val="00EF4046"/>
    <w:rsid w:val="00EF686C"/>
    <w:rsid w:val="00EF7B5F"/>
    <w:rsid w:val="00F001C6"/>
    <w:rsid w:val="00F00360"/>
    <w:rsid w:val="00F007CC"/>
    <w:rsid w:val="00F02392"/>
    <w:rsid w:val="00F0352C"/>
    <w:rsid w:val="00F03C77"/>
    <w:rsid w:val="00F04DF1"/>
    <w:rsid w:val="00F0695F"/>
    <w:rsid w:val="00F073FE"/>
    <w:rsid w:val="00F10546"/>
    <w:rsid w:val="00F1116C"/>
    <w:rsid w:val="00F13624"/>
    <w:rsid w:val="00F14463"/>
    <w:rsid w:val="00F146E2"/>
    <w:rsid w:val="00F14B49"/>
    <w:rsid w:val="00F14D6C"/>
    <w:rsid w:val="00F15E2A"/>
    <w:rsid w:val="00F16239"/>
    <w:rsid w:val="00F17717"/>
    <w:rsid w:val="00F20792"/>
    <w:rsid w:val="00F209A3"/>
    <w:rsid w:val="00F210E3"/>
    <w:rsid w:val="00F21866"/>
    <w:rsid w:val="00F22EF6"/>
    <w:rsid w:val="00F232A2"/>
    <w:rsid w:val="00F2348F"/>
    <w:rsid w:val="00F250B9"/>
    <w:rsid w:val="00F2591D"/>
    <w:rsid w:val="00F302FE"/>
    <w:rsid w:val="00F30899"/>
    <w:rsid w:val="00F31415"/>
    <w:rsid w:val="00F31947"/>
    <w:rsid w:val="00F31FD1"/>
    <w:rsid w:val="00F3290A"/>
    <w:rsid w:val="00F32F01"/>
    <w:rsid w:val="00F3375E"/>
    <w:rsid w:val="00F34CCB"/>
    <w:rsid w:val="00F35227"/>
    <w:rsid w:val="00F35EFC"/>
    <w:rsid w:val="00F361AF"/>
    <w:rsid w:val="00F36950"/>
    <w:rsid w:val="00F405C3"/>
    <w:rsid w:val="00F41A4F"/>
    <w:rsid w:val="00F41C9C"/>
    <w:rsid w:val="00F422E4"/>
    <w:rsid w:val="00F437CA"/>
    <w:rsid w:val="00F43EF0"/>
    <w:rsid w:val="00F45548"/>
    <w:rsid w:val="00F462DB"/>
    <w:rsid w:val="00F463B2"/>
    <w:rsid w:val="00F46649"/>
    <w:rsid w:val="00F466D9"/>
    <w:rsid w:val="00F47AAF"/>
    <w:rsid w:val="00F47AD7"/>
    <w:rsid w:val="00F47F16"/>
    <w:rsid w:val="00F50425"/>
    <w:rsid w:val="00F50459"/>
    <w:rsid w:val="00F52133"/>
    <w:rsid w:val="00F53D40"/>
    <w:rsid w:val="00F5482C"/>
    <w:rsid w:val="00F552FB"/>
    <w:rsid w:val="00F55414"/>
    <w:rsid w:val="00F55A91"/>
    <w:rsid w:val="00F5615F"/>
    <w:rsid w:val="00F56307"/>
    <w:rsid w:val="00F56413"/>
    <w:rsid w:val="00F604FD"/>
    <w:rsid w:val="00F60647"/>
    <w:rsid w:val="00F6066E"/>
    <w:rsid w:val="00F60731"/>
    <w:rsid w:val="00F618A4"/>
    <w:rsid w:val="00F626F4"/>
    <w:rsid w:val="00F62938"/>
    <w:rsid w:val="00F62B29"/>
    <w:rsid w:val="00F63C56"/>
    <w:rsid w:val="00F63DF4"/>
    <w:rsid w:val="00F65E97"/>
    <w:rsid w:val="00F7000C"/>
    <w:rsid w:val="00F717DB"/>
    <w:rsid w:val="00F7283D"/>
    <w:rsid w:val="00F7393B"/>
    <w:rsid w:val="00F801F6"/>
    <w:rsid w:val="00F80709"/>
    <w:rsid w:val="00F808AE"/>
    <w:rsid w:val="00F81A2E"/>
    <w:rsid w:val="00F82448"/>
    <w:rsid w:val="00F8272E"/>
    <w:rsid w:val="00F831C0"/>
    <w:rsid w:val="00F83618"/>
    <w:rsid w:val="00F841B5"/>
    <w:rsid w:val="00F855B0"/>
    <w:rsid w:val="00F85744"/>
    <w:rsid w:val="00F85F8C"/>
    <w:rsid w:val="00F860AC"/>
    <w:rsid w:val="00F866E1"/>
    <w:rsid w:val="00F867B0"/>
    <w:rsid w:val="00F909A6"/>
    <w:rsid w:val="00F9327B"/>
    <w:rsid w:val="00F93A6A"/>
    <w:rsid w:val="00F94C6A"/>
    <w:rsid w:val="00F95E08"/>
    <w:rsid w:val="00F96852"/>
    <w:rsid w:val="00F96D6B"/>
    <w:rsid w:val="00F970EE"/>
    <w:rsid w:val="00F97294"/>
    <w:rsid w:val="00FA0F33"/>
    <w:rsid w:val="00FA1CD4"/>
    <w:rsid w:val="00FA2F41"/>
    <w:rsid w:val="00FA2F55"/>
    <w:rsid w:val="00FA3D20"/>
    <w:rsid w:val="00FA48D5"/>
    <w:rsid w:val="00FA4FBA"/>
    <w:rsid w:val="00FA6D97"/>
    <w:rsid w:val="00FA7092"/>
    <w:rsid w:val="00FA759D"/>
    <w:rsid w:val="00FA75A0"/>
    <w:rsid w:val="00FB07E4"/>
    <w:rsid w:val="00FB0DAE"/>
    <w:rsid w:val="00FB1783"/>
    <w:rsid w:val="00FB17E7"/>
    <w:rsid w:val="00FB36EC"/>
    <w:rsid w:val="00FB3DC2"/>
    <w:rsid w:val="00FB40F2"/>
    <w:rsid w:val="00FB41A5"/>
    <w:rsid w:val="00FB4D87"/>
    <w:rsid w:val="00FB6DC7"/>
    <w:rsid w:val="00FB71CB"/>
    <w:rsid w:val="00FB79B3"/>
    <w:rsid w:val="00FC0A0E"/>
    <w:rsid w:val="00FC1387"/>
    <w:rsid w:val="00FC29E5"/>
    <w:rsid w:val="00FC2EDF"/>
    <w:rsid w:val="00FC31DB"/>
    <w:rsid w:val="00FC35EE"/>
    <w:rsid w:val="00FC3AE6"/>
    <w:rsid w:val="00FC4142"/>
    <w:rsid w:val="00FC445E"/>
    <w:rsid w:val="00FC4BA2"/>
    <w:rsid w:val="00FC545C"/>
    <w:rsid w:val="00FC5757"/>
    <w:rsid w:val="00FC57C4"/>
    <w:rsid w:val="00FC6C87"/>
    <w:rsid w:val="00FD08A8"/>
    <w:rsid w:val="00FD0938"/>
    <w:rsid w:val="00FD18A1"/>
    <w:rsid w:val="00FD2104"/>
    <w:rsid w:val="00FD2A81"/>
    <w:rsid w:val="00FD3DA9"/>
    <w:rsid w:val="00FD3F73"/>
    <w:rsid w:val="00FD5538"/>
    <w:rsid w:val="00FD5598"/>
    <w:rsid w:val="00FD580D"/>
    <w:rsid w:val="00FD60B4"/>
    <w:rsid w:val="00FD7C2E"/>
    <w:rsid w:val="00FE06C2"/>
    <w:rsid w:val="00FE257E"/>
    <w:rsid w:val="00FE369D"/>
    <w:rsid w:val="00FE3F61"/>
    <w:rsid w:val="00FE5E72"/>
    <w:rsid w:val="00FE681E"/>
    <w:rsid w:val="00FE6E81"/>
    <w:rsid w:val="00FE75BF"/>
    <w:rsid w:val="00FF0338"/>
    <w:rsid w:val="00FF15BE"/>
    <w:rsid w:val="00FF1D37"/>
    <w:rsid w:val="00FF1ECB"/>
    <w:rsid w:val="00FF252B"/>
    <w:rsid w:val="00FF2ED9"/>
    <w:rsid w:val="00FF3CDC"/>
    <w:rsid w:val="00FF49ED"/>
    <w:rsid w:val="00FF4A37"/>
    <w:rsid w:val="00FF4BA5"/>
    <w:rsid w:val="00FF56E7"/>
    <w:rsid w:val="00FF59E9"/>
    <w:rsid w:val="00FF5E91"/>
    <w:rsid w:val="00FF6892"/>
    <w:rsid w:val="00FF7015"/>
    <w:rsid w:val="00FF7147"/>
    <w:rsid w:val="00FF77A2"/>
    <w:rsid w:val="00FF7A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B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Heading2"/>
    <w:link w:val="InstructionsChar"/>
    <w:qFormat/>
    <w:rsid w:val="00361BBE"/>
    <w:pPr>
      <w:spacing w:before="120" w:after="120"/>
    </w:pPr>
    <w:rPr>
      <w:b w:val="0"/>
      <w:bCs w:val="0"/>
    </w:rPr>
  </w:style>
  <w:style w:type="character" w:customStyle="1" w:styleId="InstructionsChar">
    <w:name w:val="Instructions Char"/>
    <w:basedOn w:val="Heading2Char"/>
    <w:link w:val="Instructions"/>
    <w:rsid w:val="00361BBE"/>
    <w:rPr>
      <w:rFonts w:ascii="Segoe UI" w:hAnsi="Segoe UI" w:cs="Segoe UI"/>
      <w:b w:val="0"/>
      <w:bCs w:val="0"/>
      <w:sz w:val="22"/>
      <w:szCs w:val="22"/>
    </w:rPr>
  </w:style>
  <w:style w:type="character" w:styleId="Mention">
    <w:name w:val="Mention"/>
    <w:basedOn w:val="DefaultParagraphFont"/>
    <w:uiPriority w:val="99"/>
    <w:unhideWhenUsed/>
    <w:rsid w:val="004F2C21"/>
    <w:rPr>
      <w:color w:val="2B579A"/>
      <w:shd w:val="clear" w:color="auto" w:fill="E1DFDD"/>
    </w:rPr>
  </w:style>
  <w:style w:type="character" w:styleId="Hyperlink">
    <w:name w:val="Hyperlink"/>
    <w:basedOn w:val="DefaultParagraphFont"/>
    <w:uiPriority w:val="99"/>
    <w:unhideWhenUsed/>
    <w:rsid w:val="00D15E65"/>
    <w:rPr>
      <w:color w:val="0563C1" w:themeColor="hyperlink"/>
      <w:u w:val="single"/>
    </w:rPr>
  </w:style>
  <w:style w:type="character" w:styleId="UnresolvedMention">
    <w:name w:val="Unresolved Mention"/>
    <w:basedOn w:val="DefaultParagraphFont"/>
    <w:uiPriority w:val="99"/>
    <w:semiHidden/>
    <w:unhideWhenUsed/>
    <w:rsid w:val="00D15E65"/>
    <w:rPr>
      <w:color w:val="605E5C"/>
      <w:shd w:val="clear" w:color="auto" w:fill="E1DFDD"/>
    </w:rPr>
  </w:style>
  <w:style w:type="paragraph" w:styleId="FootnoteText">
    <w:name w:val="footnote text"/>
    <w:basedOn w:val="Normal"/>
    <w:link w:val="FootnoteTextChar"/>
    <w:uiPriority w:val="99"/>
    <w:semiHidden/>
    <w:unhideWhenUsed/>
    <w:rsid w:val="006B1925"/>
    <w:pPr>
      <w:spacing w:after="0"/>
    </w:pPr>
    <w:rPr>
      <w:sz w:val="20"/>
      <w:szCs w:val="20"/>
    </w:rPr>
  </w:style>
  <w:style w:type="character" w:customStyle="1" w:styleId="FootnoteTextChar">
    <w:name w:val="Footnote Text Char"/>
    <w:basedOn w:val="DefaultParagraphFont"/>
    <w:link w:val="FootnoteText"/>
    <w:uiPriority w:val="99"/>
    <w:semiHidden/>
    <w:rsid w:val="006B1925"/>
    <w:rPr>
      <w:rFonts w:ascii="Segoe UI" w:hAnsi="Segoe UI" w:cs="Segoe UI"/>
      <w:sz w:val="20"/>
      <w:szCs w:val="20"/>
    </w:rPr>
  </w:style>
  <w:style w:type="character" w:styleId="FootnoteReference">
    <w:name w:val="footnote reference"/>
    <w:basedOn w:val="DefaultParagraphFont"/>
    <w:uiPriority w:val="99"/>
    <w:semiHidden/>
    <w:unhideWhenUsed/>
    <w:rsid w:val="006B1925"/>
    <w:rPr>
      <w:vertAlign w:val="superscript"/>
    </w:rPr>
  </w:style>
  <w:style w:type="paragraph" w:styleId="EndnoteText">
    <w:name w:val="endnote text"/>
    <w:basedOn w:val="Normal"/>
    <w:link w:val="EndnoteTextChar"/>
    <w:uiPriority w:val="99"/>
    <w:semiHidden/>
    <w:unhideWhenUsed/>
    <w:rsid w:val="00004796"/>
    <w:pPr>
      <w:spacing w:after="0"/>
    </w:pPr>
    <w:rPr>
      <w:sz w:val="20"/>
      <w:szCs w:val="20"/>
    </w:rPr>
  </w:style>
  <w:style w:type="character" w:customStyle="1" w:styleId="EndnoteTextChar">
    <w:name w:val="Endnote Text Char"/>
    <w:basedOn w:val="DefaultParagraphFont"/>
    <w:link w:val="EndnoteText"/>
    <w:uiPriority w:val="99"/>
    <w:semiHidden/>
    <w:rsid w:val="00004796"/>
    <w:rPr>
      <w:rFonts w:ascii="Segoe UI" w:hAnsi="Segoe UI" w:cs="Segoe UI"/>
      <w:sz w:val="20"/>
      <w:szCs w:val="20"/>
    </w:rPr>
  </w:style>
  <w:style w:type="character" w:styleId="EndnoteReference">
    <w:name w:val="endnote reference"/>
    <w:basedOn w:val="DefaultParagraphFont"/>
    <w:uiPriority w:val="99"/>
    <w:semiHidden/>
    <w:unhideWhenUsed/>
    <w:rsid w:val="00004796"/>
    <w:rPr>
      <w:vertAlign w:val="superscript"/>
    </w:rPr>
  </w:style>
  <w:style w:type="character" w:styleId="FollowedHyperlink">
    <w:name w:val="FollowedHyperlink"/>
    <w:basedOn w:val="DefaultParagraphFont"/>
    <w:uiPriority w:val="99"/>
    <w:semiHidden/>
    <w:unhideWhenUsed/>
    <w:rsid w:val="009C52F6"/>
    <w:rPr>
      <w:color w:val="954F72" w:themeColor="followedHyperlink"/>
      <w:u w:val="single"/>
    </w:rPr>
  </w:style>
  <w:style w:type="paragraph" w:styleId="ListParagraph">
    <w:name w:val="List Paragraph"/>
    <w:basedOn w:val="Normal"/>
    <w:uiPriority w:val="34"/>
    <w:qFormat/>
    <w:rsid w:val="001E2251"/>
    <w:pPr>
      <w:ind w:left="720"/>
      <w:contextualSpacing/>
    </w:pPr>
  </w:style>
  <w:style w:type="table" w:customStyle="1" w:styleId="TableGrid1">
    <w:name w:val="Table Grid1"/>
    <w:basedOn w:val="TableNormal"/>
    <w:next w:val="TableGrid"/>
    <w:uiPriority w:val="59"/>
    <w:rsid w:val="002A07F6"/>
    <w:pPr>
      <w:spacing w:after="0" w:line="240" w:lineRule="auto"/>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40455"/>
    <w:pPr>
      <w:spacing w:after="200"/>
    </w:pPr>
    <w:rPr>
      <w:i/>
      <w:iCs/>
      <w:color w:val="44546A" w:themeColor="text2"/>
      <w:sz w:val="18"/>
      <w:szCs w:val="18"/>
    </w:rPr>
  </w:style>
  <w:style w:type="paragraph" w:styleId="Revision">
    <w:name w:val="Revision"/>
    <w:hidden/>
    <w:uiPriority w:val="99"/>
    <w:semiHidden/>
    <w:rsid w:val="00F96D6B"/>
    <w:pPr>
      <w:spacing w:after="0" w:line="240" w:lineRule="auto"/>
    </w:pPr>
    <w:rPr>
      <w:rFonts w:ascii="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8830">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015574531">
      <w:bodyDiv w:val="1"/>
      <w:marLeft w:val="0"/>
      <w:marRight w:val="0"/>
      <w:marTop w:val="0"/>
      <w:marBottom w:val="0"/>
      <w:divBdr>
        <w:top w:val="none" w:sz="0" w:space="0" w:color="auto"/>
        <w:left w:val="none" w:sz="0" w:space="0" w:color="auto"/>
        <w:bottom w:val="none" w:sz="0" w:space="0" w:color="auto"/>
        <w:right w:val="none" w:sz="0" w:space="0" w:color="auto"/>
      </w:divBdr>
    </w:div>
    <w:div w:id="1598637759">
      <w:bodyDiv w:val="1"/>
      <w:marLeft w:val="0"/>
      <w:marRight w:val="0"/>
      <w:marTop w:val="0"/>
      <w:marBottom w:val="0"/>
      <w:divBdr>
        <w:top w:val="none" w:sz="0" w:space="0" w:color="auto"/>
        <w:left w:val="none" w:sz="0" w:space="0" w:color="auto"/>
        <w:bottom w:val="none" w:sz="0" w:space="0" w:color="auto"/>
        <w:right w:val="none" w:sz="0" w:space="0" w:color="auto"/>
      </w:divBdr>
      <w:divsChild>
        <w:div w:id="737705798">
          <w:marLeft w:val="360"/>
          <w:marRight w:val="0"/>
          <w:marTop w:val="0"/>
          <w:marBottom w:val="0"/>
          <w:divBdr>
            <w:top w:val="none" w:sz="0" w:space="0" w:color="auto"/>
            <w:left w:val="none" w:sz="0" w:space="0" w:color="auto"/>
            <w:bottom w:val="none" w:sz="0" w:space="0" w:color="auto"/>
            <w:right w:val="none" w:sz="0" w:space="0" w:color="auto"/>
          </w:divBdr>
        </w:div>
        <w:div w:id="92707501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5784</Words>
  <Characters>34074</Characters>
  <Application>Microsoft Office Word</Application>
  <DocSecurity>0</DocSecurity>
  <Lines>757</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39390</CharactersWithSpaces>
  <SharedDoc>false</SharedDoc>
  <HLinks>
    <vt:vector size="6" baseType="variant">
      <vt:variant>
        <vt:i4>5439547</vt:i4>
      </vt:variant>
      <vt:variant>
        <vt:i4>0</vt:i4>
      </vt:variant>
      <vt:variant>
        <vt:i4>0</vt:i4>
      </vt:variant>
      <vt:variant>
        <vt:i4>5</vt:i4>
      </vt:variant>
      <vt:variant>
        <vt:lpwstr>mailto:gabrielle.mears@abbvie.com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2024-09-05T04:36:00Z</dcterms:created>
  <dcterms:modified xsi:type="dcterms:W3CDTF">2024-09-10T05:57:00Z</dcterms:modified>
</cp:coreProperties>
</file>