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87AEB" w14:textId="77777777" w:rsidR="00BC1364" w:rsidRPr="00707064" w:rsidRDefault="00C67DD2" w:rsidP="00065623">
      <w:pPr>
        <w:jc w:val="center"/>
        <w:rPr>
          <w:b/>
          <w:i/>
          <w:szCs w:val="24"/>
          <w:highlight w:val="yellow"/>
        </w:rPr>
      </w:pPr>
      <w:r>
        <w:rPr>
          <w:rFonts w:ascii="Arial" w:hAnsi="Arial" w:cs="Arial"/>
          <w:b/>
          <w:noProof/>
          <w:color w:val="000080"/>
          <w:sz w:val="28"/>
          <w:szCs w:val="28"/>
        </w:rPr>
        <w:drawing>
          <wp:inline distT="0" distB="0" distL="0" distR="0" wp14:anchorId="51CC35AE" wp14:editId="223446C7">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6F706588" w14:textId="77777777" w:rsidR="00BC1364" w:rsidRPr="008D5885" w:rsidRDefault="00BC1364" w:rsidP="008D5885"/>
    <w:p w14:paraId="45F3FC48" w14:textId="77777777" w:rsidR="00C67DD2" w:rsidRPr="008D5885" w:rsidRDefault="00C67DD2" w:rsidP="008D5885"/>
    <w:p w14:paraId="3C2222F5" w14:textId="77777777" w:rsidR="00BC1364" w:rsidRPr="007B32D1" w:rsidRDefault="00BF479B" w:rsidP="007B32D1">
      <w:pPr>
        <w:jc w:val="center"/>
        <w:rPr>
          <w:rFonts w:ascii="Arial" w:hAnsi="Arial" w:cs="Arial"/>
          <w:b/>
          <w:bCs/>
          <w:color w:val="000080"/>
          <w:sz w:val="36"/>
          <w:szCs w:val="36"/>
        </w:rPr>
      </w:pPr>
      <w:r>
        <w:rPr>
          <w:rFonts w:ascii="Arial" w:hAnsi="Arial" w:cs="Arial"/>
          <w:b/>
          <w:bCs/>
          <w:color w:val="000080"/>
          <w:sz w:val="36"/>
          <w:szCs w:val="36"/>
        </w:rPr>
        <w:t>Public Summary Document</w:t>
      </w:r>
    </w:p>
    <w:p w14:paraId="04A3F1D1" w14:textId="77777777" w:rsidR="00BC1364" w:rsidRPr="007B32D1" w:rsidRDefault="00BC1364" w:rsidP="007B32D1"/>
    <w:p w14:paraId="2080861E" w14:textId="77777777" w:rsidR="00BC1364" w:rsidRPr="007B32D1" w:rsidRDefault="00BC1364" w:rsidP="007B32D1">
      <w:pPr>
        <w:jc w:val="center"/>
        <w:rPr>
          <w:rFonts w:ascii="Arial" w:hAnsi="Arial" w:cs="Arial"/>
          <w:b/>
          <w:bCs/>
          <w:i/>
          <w:color w:val="000080"/>
          <w:sz w:val="28"/>
          <w:szCs w:val="28"/>
        </w:rPr>
      </w:pPr>
      <w:r w:rsidRPr="007B32D1">
        <w:rPr>
          <w:rFonts w:ascii="Arial" w:hAnsi="Arial" w:cs="Arial"/>
          <w:b/>
          <w:bCs/>
          <w:i/>
          <w:color w:val="000080"/>
          <w:sz w:val="28"/>
          <w:szCs w:val="28"/>
        </w:rPr>
        <w:t xml:space="preserve">Application No. </w:t>
      </w:r>
      <w:r w:rsidR="00CE2650">
        <w:rPr>
          <w:rFonts w:ascii="Arial" w:hAnsi="Arial" w:cs="Arial"/>
          <w:b/>
          <w:bCs/>
          <w:i/>
          <w:color w:val="000080"/>
          <w:sz w:val="28"/>
          <w:szCs w:val="28"/>
        </w:rPr>
        <w:t xml:space="preserve">1411 – Clinical </w:t>
      </w:r>
      <w:r w:rsidR="000B17FC">
        <w:rPr>
          <w:rFonts w:ascii="Arial" w:hAnsi="Arial" w:cs="Arial"/>
          <w:b/>
          <w:bCs/>
          <w:i/>
          <w:color w:val="000080"/>
          <w:sz w:val="28"/>
          <w:szCs w:val="28"/>
        </w:rPr>
        <w:t xml:space="preserve">utility card for heritable mutations which </w:t>
      </w:r>
      <w:r w:rsidR="00FA4D6A">
        <w:rPr>
          <w:rFonts w:ascii="Arial" w:hAnsi="Arial" w:cs="Arial"/>
          <w:b/>
          <w:bCs/>
          <w:i/>
          <w:color w:val="000080"/>
          <w:sz w:val="28"/>
          <w:szCs w:val="28"/>
        </w:rPr>
        <w:t>increase risk in breast and/or ovarian</w:t>
      </w:r>
      <w:r w:rsidR="000B17FC">
        <w:rPr>
          <w:rFonts w:ascii="Arial" w:hAnsi="Arial" w:cs="Arial"/>
          <w:b/>
          <w:bCs/>
          <w:i/>
          <w:color w:val="000080"/>
          <w:sz w:val="28"/>
          <w:szCs w:val="28"/>
        </w:rPr>
        <w:t xml:space="preserve"> cancer</w:t>
      </w:r>
    </w:p>
    <w:p w14:paraId="7DA5E04C" w14:textId="77777777" w:rsidR="00BC1364" w:rsidRDefault="00BC1364" w:rsidP="00065623">
      <w:pPr>
        <w:tabs>
          <w:tab w:val="left" w:pos="3600"/>
        </w:tabs>
        <w:ind w:left="3600" w:hanging="3600"/>
        <w:rPr>
          <w:szCs w:val="24"/>
        </w:rPr>
      </w:pPr>
    </w:p>
    <w:p w14:paraId="5F9AB4AD" w14:textId="77777777" w:rsidR="00BC1364" w:rsidRPr="00707064" w:rsidRDefault="00BC1364" w:rsidP="00065623">
      <w:pPr>
        <w:tabs>
          <w:tab w:val="left" w:pos="3600"/>
        </w:tabs>
        <w:ind w:left="3600" w:hanging="3600"/>
        <w:rPr>
          <w:szCs w:val="24"/>
        </w:rPr>
      </w:pPr>
    </w:p>
    <w:p w14:paraId="4D122E6F" w14:textId="77777777" w:rsidR="00BC1364" w:rsidRPr="00D90A38" w:rsidRDefault="00B35595" w:rsidP="000B17FC">
      <w:pPr>
        <w:ind w:left="3600" w:hanging="3600"/>
        <w:rPr>
          <w:rFonts w:ascii="Arial" w:hAnsi="Arial" w:cs="Arial"/>
          <w:b/>
          <w:szCs w:val="24"/>
        </w:rPr>
      </w:pPr>
      <w:r>
        <w:rPr>
          <w:rFonts w:ascii="Arial" w:hAnsi="Arial" w:cs="Arial"/>
          <w:b/>
          <w:szCs w:val="24"/>
        </w:rPr>
        <w:t>Applicant</w:t>
      </w:r>
      <w:r w:rsidR="00BC1364" w:rsidRPr="00D90A38">
        <w:rPr>
          <w:rFonts w:ascii="Arial" w:hAnsi="Arial" w:cs="Arial"/>
          <w:b/>
          <w:szCs w:val="24"/>
        </w:rPr>
        <w:t>:</w:t>
      </w:r>
      <w:r w:rsidR="00BC1364" w:rsidRPr="00D90A38">
        <w:rPr>
          <w:rFonts w:ascii="Arial" w:hAnsi="Arial" w:cs="Arial"/>
          <w:b/>
          <w:szCs w:val="24"/>
        </w:rPr>
        <w:tab/>
      </w:r>
      <w:r w:rsidR="000B17FC">
        <w:rPr>
          <w:rFonts w:ascii="Arial" w:hAnsi="Arial" w:cs="Arial"/>
          <w:b/>
          <w:szCs w:val="24"/>
        </w:rPr>
        <w:t xml:space="preserve">Royal College of Pathologists of Australasia </w:t>
      </w:r>
      <w:r w:rsidR="00DF497D">
        <w:rPr>
          <w:rFonts w:ascii="Arial" w:hAnsi="Arial" w:cs="Arial"/>
          <w:b/>
          <w:szCs w:val="24"/>
        </w:rPr>
        <w:t>(RCPA)</w:t>
      </w:r>
    </w:p>
    <w:p w14:paraId="4D8C2D24" w14:textId="77777777" w:rsidR="00BC1364" w:rsidRPr="00D90A38" w:rsidRDefault="00BC1364" w:rsidP="00065623">
      <w:pPr>
        <w:tabs>
          <w:tab w:val="left" w:pos="2265"/>
          <w:tab w:val="left" w:pos="3420"/>
          <w:tab w:val="left" w:pos="4320"/>
        </w:tabs>
        <w:rPr>
          <w:rFonts w:ascii="Arial" w:hAnsi="Arial" w:cs="Arial"/>
          <w:b/>
        </w:rPr>
      </w:pPr>
    </w:p>
    <w:p w14:paraId="15ACAF99" w14:textId="77777777" w:rsidR="00BC1364" w:rsidRPr="00D90A38" w:rsidRDefault="00BC1364" w:rsidP="00DD2858">
      <w:pPr>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C67DD2" w:rsidRPr="00D90A38">
        <w:rPr>
          <w:rFonts w:ascii="Arial" w:hAnsi="Arial" w:cs="Arial"/>
          <w:b/>
          <w:szCs w:val="24"/>
        </w:rPr>
        <w:t xml:space="preserve">MSAC </w:t>
      </w:r>
      <w:r w:rsidR="00B35595">
        <w:rPr>
          <w:rFonts w:ascii="Arial" w:hAnsi="Arial" w:cs="Arial"/>
          <w:b/>
          <w:szCs w:val="24"/>
        </w:rPr>
        <w:t>6</w:t>
      </w:r>
      <w:r w:rsidR="000B17FC">
        <w:rPr>
          <w:rFonts w:ascii="Arial" w:hAnsi="Arial" w:cs="Arial"/>
          <w:b/>
          <w:szCs w:val="24"/>
        </w:rPr>
        <w:t>5th</w:t>
      </w:r>
      <w:r w:rsidRPr="00D90A38">
        <w:rPr>
          <w:rFonts w:ascii="Arial" w:hAnsi="Arial" w:cs="Arial"/>
          <w:b/>
          <w:szCs w:val="24"/>
        </w:rPr>
        <w:t xml:space="preserve"> Meeting, </w:t>
      </w:r>
      <w:r w:rsidR="00B35595">
        <w:rPr>
          <w:rFonts w:ascii="Arial" w:hAnsi="Arial" w:cs="Arial"/>
          <w:b/>
          <w:szCs w:val="24"/>
        </w:rPr>
        <w:t>26 November 201</w:t>
      </w:r>
      <w:r w:rsidR="000B17FC">
        <w:rPr>
          <w:rFonts w:ascii="Arial" w:hAnsi="Arial" w:cs="Arial"/>
          <w:b/>
          <w:szCs w:val="24"/>
        </w:rPr>
        <w:t>5</w:t>
      </w:r>
    </w:p>
    <w:p w14:paraId="1CD93B2E" w14:textId="77777777" w:rsidR="00BC1364" w:rsidRDefault="00BC1364" w:rsidP="00065623">
      <w:pPr>
        <w:rPr>
          <w:szCs w:val="24"/>
        </w:rPr>
      </w:pPr>
    </w:p>
    <w:p w14:paraId="54C008D6" w14:textId="617B2DA2" w:rsidR="0041758C" w:rsidRDefault="006A0D97" w:rsidP="00065623">
      <w:pPr>
        <w:rPr>
          <w:szCs w:val="24"/>
        </w:rPr>
      </w:pPr>
      <w:r>
        <w:rPr>
          <w:szCs w:val="24"/>
        </w:rPr>
        <w:t xml:space="preserve">Context for decision: MSAC makes its advice in accordance with its Terms of Reference, see at </w:t>
      </w:r>
      <w:hyperlink r:id="rId10" w:tooltip="Link to Medical Services Advisory Committee website" w:history="1">
        <w:r w:rsidRPr="000A74FE">
          <w:rPr>
            <w:rStyle w:val="Hyperlink"/>
            <w:szCs w:val="24"/>
          </w:rPr>
          <w:t>www.msac.gov.au</w:t>
        </w:r>
      </w:hyperlink>
    </w:p>
    <w:p w14:paraId="661FCB43" w14:textId="77777777" w:rsidR="0041758C" w:rsidRDefault="0041758C" w:rsidP="00065623">
      <w:pPr>
        <w:rPr>
          <w:szCs w:val="24"/>
        </w:rPr>
      </w:pPr>
    </w:p>
    <w:p w14:paraId="6CC5BB27" w14:textId="77777777" w:rsidR="00F41812" w:rsidRDefault="00F41812" w:rsidP="00065623">
      <w:pPr>
        <w:rPr>
          <w:szCs w:val="24"/>
        </w:rPr>
      </w:pPr>
    </w:p>
    <w:p w14:paraId="78A9C3FF" w14:textId="77777777" w:rsidR="003D7F29" w:rsidRPr="00D90A38" w:rsidRDefault="003D7F29" w:rsidP="003D7F29">
      <w:pPr>
        <w:pStyle w:val="Heading1"/>
        <w:numPr>
          <w:ilvl w:val="0"/>
          <w:numId w:val="23"/>
        </w:numPr>
        <w:ind w:hanging="720"/>
      </w:pPr>
      <w:r w:rsidRPr="00D90A38">
        <w:t>Purpose of application</w:t>
      </w:r>
      <w:r w:rsidR="00822C7E">
        <w:t xml:space="preserve"> and links to other applications</w:t>
      </w:r>
    </w:p>
    <w:p w14:paraId="23D0FF28" w14:textId="77777777" w:rsidR="005948B5" w:rsidRPr="00DF497D" w:rsidRDefault="005948B5" w:rsidP="005948B5">
      <w:pPr>
        <w:tabs>
          <w:tab w:val="left" w:pos="720"/>
          <w:tab w:val="left" w:pos="1140"/>
        </w:tabs>
        <w:rPr>
          <w:bCs/>
          <w:szCs w:val="24"/>
        </w:rPr>
      </w:pPr>
    </w:p>
    <w:p w14:paraId="23D95C34" w14:textId="406F981B" w:rsidR="005948B5" w:rsidRPr="00545277" w:rsidRDefault="00545277" w:rsidP="00545277">
      <w:pPr>
        <w:rPr>
          <w:lang w:val="en-US"/>
        </w:rPr>
      </w:pPr>
      <w:r>
        <w:rPr>
          <w:lang w:val="en-US"/>
        </w:rPr>
        <w:t xml:space="preserve">Application 1411 </w:t>
      </w:r>
      <w:r w:rsidR="00DF497D">
        <w:rPr>
          <w:lang w:val="en-US"/>
        </w:rPr>
        <w:t>wa</w:t>
      </w:r>
      <w:r>
        <w:rPr>
          <w:lang w:val="en-US"/>
        </w:rPr>
        <w:t xml:space="preserve">s a </w:t>
      </w:r>
      <w:r w:rsidRPr="00280559">
        <w:rPr>
          <w:bCs/>
          <w:lang w:val="en-US"/>
        </w:rPr>
        <w:t>pilot</w:t>
      </w:r>
      <w:r w:rsidRPr="00280559">
        <w:rPr>
          <w:lang w:val="en-US"/>
        </w:rPr>
        <w:t xml:space="preserve"> fit-for-purpose assessment</w:t>
      </w:r>
      <w:r>
        <w:rPr>
          <w:lang w:val="en-US"/>
        </w:rPr>
        <w:t xml:space="preserve"> </w:t>
      </w:r>
      <w:r w:rsidRPr="00280559">
        <w:rPr>
          <w:lang w:val="en-US"/>
        </w:rPr>
        <w:t xml:space="preserve">of </w:t>
      </w:r>
      <w:r w:rsidRPr="008A643B">
        <w:rPr>
          <w:b/>
          <w:lang w:val="en-US"/>
        </w:rPr>
        <w:t>diagnostic genetic testing</w:t>
      </w:r>
      <w:r w:rsidRPr="00280559">
        <w:rPr>
          <w:lang w:val="en-US"/>
        </w:rPr>
        <w:t xml:space="preserve"> </w:t>
      </w:r>
      <w:r w:rsidR="00AB3E18">
        <w:rPr>
          <w:lang w:val="en-US"/>
        </w:rPr>
        <w:t xml:space="preserve">for </w:t>
      </w:r>
      <w:r w:rsidRPr="00280559">
        <w:rPr>
          <w:lang w:val="en-US"/>
        </w:rPr>
        <w:t>heritable mutations</w:t>
      </w:r>
      <w:r>
        <w:rPr>
          <w:lang w:val="en-US"/>
        </w:rPr>
        <w:t xml:space="preserve"> predisposing to breast or ovarian cancer </w:t>
      </w:r>
      <w:r w:rsidR="00AB3E18">
        <w:rPr>
          <w:lang w:val="en-US"/>
        </w:rPr>
        <w:t xml:space="preserve">in </w:t>
      </w:r>
      <w:r>
        <w:rPr>
          <w:lang w:val="en-US"/>
        </w:rPr>
        <w:t xml:space="preserve">clinically affected individuals to estimate their </w:t>
      </w:r>
      <w:r w:rsidR="00AB3E18">
        <w:rPr>
          <w:lang w:val="en-US"/>
        </w:rPr>
        <w:t xml:space="preserve">relative </w:t>
      </w:r>
      <w:r>
        <w:rPr>
          <w:lang w:val="en-US"/>
        </w:rPr>
        <w:t xml:space="preserve">risk of </w:t>
      </w:r>
      <w:r w:rsidR="00C20051">
        <w:rPr>
          <w:lang w:val="en-US"/>
        </w:rPr>
        <w:t>a new primary cancer</w:t>
      </w:r>
      <w:r>
        <w:rPr>
          <w:lang w:val="en-US"/>
        </w:rPr>
        <w:t xml:space="preserve">, and </w:t>
      </w:r>
      <w:r w:rsidR="00AB3E18">
        <w:rPr>
          <w:lang w:val="en-US"/>
        </w:rPr>
        <w:t xml:space="preserve">of </w:t>
      </w:r>
      <w:r w:rsidR="00C0660C" w:rsidRPr="008A643B">
        <w:rPr>
          <w:b/>
          <w:lang w:val="en-US"/>
        </w:rPr>
        <w:t xml:space="preserve">predictive </w:t>
      </w:r>
      <w:r w:rsidR="004710DC">
        <w:rPr>
          <w:b/>
          <w:lang w:val="en-US"/>
        </w:rPr>
        <w:t xml:space="preserve">genetic </w:t>
      </w:r>
      <w:r w:rsidRPr="008A643B">
        <w:rPr>
          <w:b/>
          <w:lang w:val="en-US"/>
        </w:rPr>
        <w:t>testing</w:t>
      </w:r>
      <w:r>
        <w:rPr>
          <w:lang w:val="en-US"/>
        </w:rPr>
        <w:t xml:space="preserve"> </w:t>
      </w:r>
      <w:r w:rsidR="00C0660C">
        <w:rPr>
          <w:lang w:val="en-US"/>
        </w:rPr>
        <w:t xml:space="preserve">(or “cascade testing”) </w:t>
      </w:r>
      <w:r>
        <w:rPr>
          <w:lang w:val="en-US"/>
        </w:rPr>
        <w:t xml:space="preserve">of </w:t>
      </w:r>
      <w:r w:rsidR="00AB3E18">
        <w:rPr>
          <w:lang w:val="en-US"/>
        </w:rPr>
        <w:t xml:space="preserve">the </w:t>
      </w:r>
      <w:r>
        <w:rPr>
          <w:lang w:val="en-US"/>
        </w:rPr>
        <w:t xml:space="preserve">family members of those affected individuals who </w:t>
      </w:r>
      <w:r w:rsidR="008A643B">
        <w:rPr>
          <w:lang w:val="en-US"/>
        </w:rPr>
        <w:t>are</w:t>
      </w:r>
      <w:r w:rsidR="00AB3E18">
        <w:rPr>
          <w:lang w:val="en-US"/>
        </w:rPr>
        <w:t xml:space="preserve"> shown to have such a mutation</w:t>
      </w:r>
      <w:r>
        <w:rPr>
          <w:lang w:val="en-US"/>
        </w:rPr>
        <w:t xml:space="preserve">. </w:t>
      </w:r>
      <w:r w:rsidR="005948B5" w:rsidRPr="005948B5">
        <w:rPr>
          <w:szCs w:val="24"/>
        </w:rPr>
        <w:t>The evidence for assessment of this a</w:t>
      </w:r>
      <w:r>
        <w:rPr>
          <w:szCs w:val="24"/>
        </w:rPr>
        <w:t xml:space="preserve">pplication was submitted </w:t>
      </w:r>
      <w:r w:rsidR="004710DC">
        <w:rPr>
          <w:szCs w:val="24"/>
        </w:rPr>
        <w:t>i</w:t>
      </w:r>
      <w:r>
        <w:rPr>
          <w:szCs w:val="24"/>
        </w:rPr>
        <w:t>n</w:t>
      </w:r>
      <w:r w:rsidR="00153F47">
        <w:rPr>
          <w:szCs w:val="24"/>
        </w:rPr>
        <w:t xml:space="preserve"> August 2015</w:t>
      </w:r>
      <w:r w:rsidR="00FD0F9E">
        <w:rPr>
          <w:szCs w:val="24"/>
        </w:rPr>
        <w:t xml:space="preserve"> in the form of a clinical utility card (CUC)</w:t>
      </w:r>
      <w:r w:rsidR="005948B5" w:rsidRPr="005948B5">
        <w:rPr>
          <w:szCs w:val="24"/>
        </w:rPr>
        <w:t>.</w:t>
      </w:r>
    </w:p>
    <w:p w14:paraId="64B2F2FB" w14:textId="77777777" w:rsidR="005948B5" w:rsidRPr="00DF497D" w:rsidRDefault="005948B5" w:rsidP="00DF497D">
      <w:pPr>
        <w:tabs>
          <w:tab w:val="left" w:pos="720"/>
          <w:tab w:val="left" w:pos="1140"/>
        </w:tabs>
        <w:rPr>
          <w:bCs/>
          <w:szCs w:val="24"/>
        </w:rPr>
      </w:pPr>
    </w:p>
    <w:p w14:paraId="40207AF3" w14:textId="77777777" w:rsidR="00E977EE" w:rsidRDefault="00E977EE" w:rsidP="00E977EE">
      <w:pPr>
        <w:pStyle w:val="Heading1"/>
        <w:numPr>
          <w:ilvl w:val="0"/>
          <w:numId w:val="23"/>
        </w:numPr>
        <w:ind w:hanging="720"/>
      </w:pPr>
      <w:r w:rsidRPr="008D5885">
        <w:t>MSAC’s advice to the Minister</w:t>
      </w:r>
    </w:p>
    <w:p w14:paraId="3919881B" w14:textId="77777777" w:rsidR="00E977EE" w:rsidRPr="00DF497D" w:rsidRDefault="00E977EE" w:rsidP="00E977EE">
      <w:pPr>
        <w:tabs>
          <w:tab w:val="left" w:pos="720"/>
        </w:tabs>
        <w:ind w:left="709" w:hanging="709"/>
        <w:rPr>
          <w:szCs w:val="24"/>
        </w:rPr>
      </w:pPr>
    </w:p>
    <w:p w14:paraId="605FA0EA" w14:textId="2FFA5996" w:rsidR="00C20051" w:rsidRDefault="00D53243" w:rsidP="00C20051">
      <w:r>
        <w:t xml:space="preserve">After considering the available evidence presented in relation to safety, clinical effectiveness and cost-effectiveness of genetic testing for hereditary mutations predisposing to breast and/or ovarian cancer using the clinical utility card approach supported previously, </w:t>
      </w:r>
      <w:r w:rsidRPr="006E369E">
        <w:t xml:space="preserve">MSAC </w:t>
      </w:r>
      <w:r w:rsidR="00C20051">
        <w:t xml:space="preserve">considered that the CUC provided strong evidence to support the analytical validity, clinical validity and clinical utility of the proposed genetic testing in the context of breast and/or ovarian cancer. </w:t>
      </w:r>
      <w:r w:rsidR="00FD0F9E">
        <w:t xml:space="preserve">However, </w:t>
      </w:r>
      <w:r w:rsidR="00C20051">
        <w:t xml:space="preserve">MSAC had concerns regarding the adequacy of the economic analysis for decision-making and </w:t>
      </w:r>
      <w:r>
        <w:t xml:space="preserve">deferred public funding for testing </w:t>
      </w:r>
      <w:r w:rsidR="00C20051">
        <w:t>so that the outstanding economic issues could be addressed.</w:t>
      </w:r>
    </w:p>
    <w:p w14:paraId="238746C2" w14:textId="0BCA0648" w:rsidR="00D53243" w:rsidRDefault="00D53243" w:rsidP="00D53243"/>
    <w:p w14:paraId="2AF00445" w14:textId="1A67222B" w:rsidR="00D53243" w:rsidRDefault="00D53243" w:rsidP="00D53243">
      <w:r>
        <w:t>MSAC noted that this application was a pilot application to test the process of applying for public funding of testing panels of genes rather than testing individual genes. MSAC supported the overall approach</w:t>
      </w:r>
      <w:r w:rsidR="00273DD3">
        <w:t xml:space="preserve"> </w:t>
      </w:r>
      <w:r w:rsidR="008A643B">
        <w:t xml:space="preserve">of the </w:t>
      </w:r>
      <w:proofErr w:type="gramStart"/>
      <w:r w:rsidR="008A643B">
        <w:t>application</w:t>
      </w:r>
      <w:r>
        <w:t>,</w:t>
      </w:r>
      <w:proofErr w:type="gramEnd"/>
      <w:r>
        <w:t xml:space="preserve"> however greater clarity was required regarding the cost effectiveness analysis.</w:t>
      </w:r>
    </w:p>
    <w:p w14:paraId="54E09D30" w14:textId="77777777" w:rsidR="00D53243" w:rsidRDefault="00D53243" w:rsidP="00D53243"/>
    <w:p w14:paraId="47FB1746" w14:textId="77777777" w:rsidR="00D53243" w:rsidRDefault="00D53243" w:rsidP="00D53243">
      <w:r>
        <w:t>MSAC suggested that an economics working group be formed to determine an appropriate methodology to assist with modelling and economic analysis for this type of genetic testing</w:t>
      </w:r>
      <w:r w:rsidR="008A643B">
        <w:t xml:space="preserve"> for reconsideration by MSAC through the ESC</w:t>
      </w:r>
      <w:r>
        <w:t>.</w:t>
      </w:r>
    </w:p>
    <w:p w14:paraId="76E96F3E" w14:textId="77777777" w:rsidR="00550354" w:rsidRDefault="00550354" w:rsidP="00550354">
      <w:pPr>
        <w:pStyle w:val="Heading1"/>
        <w:numPr>
          <w:ilvl w:val="0"/>
          <w:numId w:val="23"/>
        </w:numPr>
        <w:ind w:hanging="720"/>
      </w:pPr>
      <w:r w:rsidRPr="008D5885">
        <w:lastRenderedPageBreak/>
        <w:t>Summary of consideration and rationale for MSAC’s advice</w:t>
      </w:r>
      <w:r w:rsidRPr="00707064">
        <w:t xml:space="preserve"> </w:t>
      </w:r>
    </w:p>
    <w:p w14:paraId="745DA118" w14:textId="77777777" w:rsidR="00550354" w:rsidRDefault="00550354" w:rsidP="00550354">
      <w:pPr>
        <w:rPr>
          <w:szCs w:val="24"/>
        </w:rPr>
      </w:pPr>
    </w:p>
    <w:p w14:paraId="46FA146C" w14:textId="4AEAD7E5" w:rsidR="00D53243" w:rsidRDefault="00D53243" w:rsidP="00D53243">
      <w:r>
        <w:t>MSAC considered the application for genetic testing of hereditary mutations predisposing to breast and/or ovarian cancer</w:t>
      </w:r>
      <w:r w:rsidR="001266C0">
        <w:t xml:space="preserve">. This application was presented to MSAC using </w:t>
      </w:r>
      <w:r>
        <w:t xml:space="preserve">the CUC </w:t>
      </w:r>
      <w:r w:rsidR="00AE47B2">
        <w:t>pro forma</w:t>
      </w:r>
      <w:r w:rsidR="00AE47B2" w:rsidDel="001266C0">
        <w:t xml:space="preserve"> </w:t>
      </w:r>
      <w:r>
        <w:t>supported at the July 2015 MSAC meeting. The CUC allows for the assessment of the clinical utility of testing of multiple genes</w:t>
      </w:r>
      <w:r w:rsidR="001266C0">
        <w:t xml:space="preserve"> in the context of</w:t>
      </w:r>
      <w:r>
        <w:t xml:space="preserve"> defined clinical </w:t>
      </w:r>
      <w:r w:rsidR="001266C0">
        <w:t xml:space="preserve">presentations. This contrasts with the previously used approach whereby the cost effectiveness of testing single genes was evaluated. </w:t>
      </w:r>
      <w:r>
        <w:t>The assessment is therefore focused on the clinical purpose of the testing rather than technical aspects of the genetic tests. Since July 2015, further work had been undertaken to extend the CUC to include economic and financial analyses to inform an overall MSAC appraisal.</w:t>
      </w:r>
    </w:p>
    <w:p w14:paraId="02EE5312" w14:textId="77777777" w:rsidR="00D53243" w:rsidRDefault="00D53243" w:rsidP="00D53243"/>
    <w:p w14:paraId="0BF5993B" w14:textId="77777777" w:rsidR="00D53243" w:rsidRDefault="00D53243" w:rsidP="00D53243">
      <w:r>
        <w:t xml:space="preserve">The application first considered testing of individuals affected by breast and/or ovarian cancer for genes known to predispose to these conditions. The application also included cascade testing of family members of the subset of affected individuals who are shown to </w:t>
      </w:r>
      <w:r w:rsidR="006343A2">
        <w:t xml:space="preserve">have </w:t>
      </w:r>
      <w:r>
        <w:t xml:space="preserve">a </w:t>
      </w:r>
      <w:r w:rsidRPr="00C95B81">
        <w:rPr>
          <w:bCs/>
          <w:iCs/>
          <w:szCs w:val="24"/>
        </w:rPr>
        <w:t>hereditary</w:t>
      </w:r>
      <w:r>
        <w:t xml:space="preserve"> mutation.</w:t>
      </w:r>
    </w:p>
    <w:p w14:paraId="68042F0C" w14:textId="77777777" w:rsidR="00D53243" w:rsidRDefault="00D53243" w:rsidP="00D53243"/>
    <w:p w14:paraId="038DBC31" w14:textId="333A5B16" w:rsidR="00D53243" w:rsidRDefault="00D53243" w:rsidP="00D53243">
      <w:r>
        <w:t>MSAC considered that there were different purposes to testing these two populations. The first purpose</w:t>
      </w:r>
      <w:r w:rsidR="004710DC">
        <w:t xml:space="preserve"> (</w:t>
      </w:r>
      <w:r w:rsidR="004710DC">
        <w:rPr>
          <w:b/>
        </w:rPr>
        <w:t>di</w:t>
      </w:r>
      <w:r w:rsidR="004710DC" w:rsidRPr="004710DC">
        <w:rPr>
          <w:b/>
        </w:rPr>
        <w:t xml:space="preserve">agnostic </w:t>
      </w:r>
      <w:r w:rsidR="004710DC">
        <w:rPr>
          <w:b/>
        </w:rPr>
        <w:t xml:space="preserve">genetic </w:t>
      </w:r>
      <w:r w:rsidR="004710DC" w:rsidRPr="004710DC">
        <w:rPr>
          <w:b/>
        </w:rPr>
        <w:t>testing</w:t>
      </w:r>
      <w:r w:rsidR="004710DC">
        <w:t>)</w:t>
      </w:r>
      <w:r w:rsidR="001266C0">
        <w:t xml:space="preserve"> is applied to</w:t>
      </w:r>
      <w:r>
        <w:t xml:space="preserve"> an individual who has been diagnosed with breast or ovarian cancer</w:t>
      </w:r>
      <w:r w:rsidR="001266C0">
        <w:t>. Th</w:t>
      </w:r>
      <w:r w:rsidR="00FD0F9E">
        <w:t>is</w:t>
      </w:r>
      <w:r w:rsidR="001266C0">
        <w:t xml:space="preserve"> purpose</w:t>
      </w:r>
      <w:r w:rsidR="00C0660C">
        <w:t xml:space="preserve"> </w:t>
      </w:r>
      <w:r>
        <w:t xml:space="preserve">is to identify one or more mutations known to predict the risk of </w:t>
      </w:r>
      <w:r w:rsidR="001266C0">
        <w:t xml:space="preserve">a new primary cancer </w:t>
      </w:r>
      <w:r w:rsidR="006343A2">
        <w:t xml:space="preserve">compared with </w:t>
      </w:r>
      <w:r w:rsidR="001266C0">
        <w:t xml:space="preserve">cancer </w:t>
      </w:r>
      <w:r w:rsidR="006343A2">
        <w:t>affected individuals who do not have such a mutation</w:t>
      </w:r>
      <w:r>
        <w:t>. The second purpose</w:t>
      </w:r>
      <w:r w:rsidR="004710DC">
        <w:t xml:space="preserve"> (</w:t>
      </w:r>
      <w:r w:rsidR="004710DC" w:rsidRPr="004710DC">
        <w:rPr>
          <w:b/>
        </w:rPr>
        <w:t xml:space="preserve">predictive </w:t>
      </w:r>
      <w:r w:rsidR="004710DC">
        <w:rPr>
          <w:b/>
        </w:rPr>
        <w:t xml:space="preserve">genetic </w:t>
      </w:r>
      <w:r w:rsidR="004710DC" w:rsidRPr="004710DC">
        <w:rPr>
          <w:b/>
        </w:rPr>
        <w:t>testing</w:t>
      </w:r>
      <w:r w:rsidR="004710DC" w:rsidRPr="004710DC">
        <w:t>)</w:t>
      </w:r>
      <w:r w:rsidR="00FF46B2">
        <w:t xml:space="preserve"> </w:t>
      </w:r>
      <w:r w:rsidR="001266C0">
        <w:t>is applied to</w:t>
      </w:r>
      <w:r>
        <w:t xml:space="preserve"> the </w:t>
      </w:r>
      <w:r w:rsidR="00FF46B2">
        <w:t>biologically</w:t>
      </w:r>
      <w:r w:rsidR="00FD0F9E">
        <w:t>-</w:t>
      </w:r>
      <w:r w:rsidR="00FF46B2">
        <w:t xml:space="preserve">related </w:t>
      </w:r>
      <w:r>
        <w:t xml:space="preserve">family members of </w:t>
      </w:r>
      <w:r w:rsidR="00FD0F9E">
        <w:t>cancer-</w:t>
      </w:r>
      <w:r>
        <w:t>affected individuals who</w:t>
      </w:r>
      <w:r w:rsidR="006343A2">
        <w:t xml:space="preserve"> are shown to have </w:t>
      </w:r>
      <w:r>
        <w:t>a hereditary mutation</w:t>
      </w:r>
      <w:r w:rsidR="00FF46B2">
        <w:t>. Th</w:t>
      </w:r>
      <w:r w:rsidR="00FD0F9E">
        <w:t>is</w:t>
      </w:r>
      <w:r w:rsidR="00FF46B2">
        <w:t xml:space="preserve"> purpose</w:t>
      </w:r>
      <w:r w:rsidR="00C0660C">
        <w:t xml:space="preserve"> </w:t>
      </w:r>
      <w:r>
        <w:t xml:space="preserve">is to </w:t>
      </w:r>
      <w:r w:rsidR="00273DD3">
        <w:t xml:space="preserve">determine </w:t>
      </w:r>
      <w:r>
        <w:t>whether that mutation, known to predict the risk of cancer, is present. Thus</w:t>
      </w:r>
      <w:r w:rsidR="00FD0F9E">
        <w:t>,</w:t>
      </w:r>
      <w:r>
        <w:t xml:space="preserve"> there is a key difference in the genetic testing of these two populations: a wider panel of genes is proposed to be tested for the initial population of affected individuals, whilst only the identified mutation is proposed to be tested for the </w:t>
      </w:r>
      <w:r w:rsidR="00FF46B2">
        <w:t xml:space="preserve">biological </w:t>
      </w:r>
      <w:r>
        <w:t>family members.</w:t>
      </w:r>
    </w:p>
    <w:p w14:paraId="6F794A03" w14:textId="77777777" w:rsidR="00D53243" w:rsidRDefault="00D53243" w:rsidP="00D53243"/>
    <w:p w14:paraId="0D47D92E" w14:textId="77777777" w:rsidR="001E69AC" w:rsidRDefault="00D53243" w:rsidP="00D53243">
      <w:r>
        <w:t>There are also key differences in the post-test consequences across these two populations</w:t>
      </w:r>
      <w:r w:rsidR="00E2151E">
        <w:t>. For</w:t>
      </w:r>
      <w:r w:rsidR="004B5937">
        <w:t xml:space="preserve"> </w:t>
      </w:r>
      <w:r w:rsidR="00C0660C">
        <w:t>diagnostic</w:t>
      </w:r>
      <w:r w:rsidR="004710DC">
        <w:t xml:space="preserve"> genetic</w:t>
      </w:r>
      <w:r w:rsidR="00C0660C">
        <w:t xml:space="preserve"> testing of </w:t>
      </w:r>
      <w:r w:rsidR="00FD0F9E">
        <w:t>the cancer-</w:t>
      </w:r>
      <w:r>
        <w:t>affected individuals,</w:t>
      </w:r>
      <w:r w:rsidRPr="00E27354">
        <w:t xml:space="preserve"> </w:t>
      </w:r>
      <w:r>
        <w:t xml:space="preserve">the consequences of </w:t>
      </w:r>
      <w:r w:rsidR="00273DD3">
        <w:t xml:space="preserve">a mutation being identified </w:t>
      </w:r>
      <w:r>
        <w:t xml:space="preserve">are </w:t>
      </w:r>
      <w:r w:rsidR="00273DD3">
        <w:t xml:space="preserve">relatively </w:t>
      </w:r>
      <w:r>
        <w:t>simple</w:t>
      </w:r>
      <w:r w:rsidR="00FF46B2">
        <w:t xml:space="preserve"> and can be </w:t>
      </w:r>
      <w:r>
        <w:t xml:space="preserve">readily incorporated into </w:t>
      </w:r>
      <w:r w:rsidR="00FF46B2">
        <w:t xml:space="preserve">the care plans of </w:t>
      </w:r>
      <w:r>
        <w:t>the</w:t>
      </w:r>
      <w:r w:rsidR="00FF46B2">
        <w:t>ir</w:t>
      </w:r>
      <w:r>
        <w:t xml:space="preserve"> </w:t>
      </w:r>
      <w:r w:rsidR="00FF46B2">
        <w:t xml:space="preserve">pre-existing specialist. </w:t>
      </w:r>
      <w:r>
        <w:t xml:space="preserve">On the other hand, </w:t>
      </w:r>
      <w:r w:rsidR="00FF46B2">
        <w:t xml:space="preserve">unaffected </w:t>
      </w:r>
      <w:r w:rsidR="004710DC">
        <w:t>family members</w:t>
      </w:r>
      <w:r>
        <w:t xml:space="preserve"> who </w:t>
      </w:r>
      <w:r w:rsidR="00273DD3">
        <w:t xml:space="preserve">are shown by </w:t>
      </w:r>
      <w:r w:rsidR="00C0660C">
        <w:t xml:space="preserve">predictive </w:t>
      </w:r>
      <w:r w:rsidR="004710DC">
        <w:t xml:space="preserve">genetic </w:t>
      </w:r>
      <w:r>
        <w:t xml:space="preserve">testing </w:t>
      </w:r>
      <w:r w:rsidR="00273DD3">
        <w:t xml:space="preserve">to carry the mutation </w:t>
      </w:r>
      <w:r>
        <w:t xml:space="preserve">have more care pathways </w:t>
      </w:r>
      <w:r w:rsidR="00273DD3">
        <w:t xml:space="preserve">potentially available because they have yet to manifest a cancer diagnosis. The care pathways </w:t>
      </w:r>
      <w:r w:rsidR="00FF46B2">
        <w:t xml:space="preserve">for these individuals will likely </w:t>
      </w:r>
      <w:r>
        <w:t xml:space="preserve">involve </w:t>
      </w:r>
      <w:r w:rsidR="00FF46B2">
        <w:t xml:space="preserve">new </w:t>
      </w:r>
      <w:r>
        <w:t>specialists</w:t>
      </w:r>
      <w:r w:rsidR="001E69AC">
        <w:t>’</w:t>
      </w:r>
      <w:r>
        <w:t xml:space="preserve"> </w:t>
      </w:r>
      <w:r w:rsidR="00FF46B2">
        <w:t xml:space="preserve">consultations and counselling. </w:t>
      </w:r>
      <w:r>
        <w:t xml:space="preserve">In this regard, MSAC noted that limiting the requesting of MBS-funded cascade testing to “familial cancer physicians” may raise implementation issues because this </w:t>
      </w:r>
      <w:r w:rsidR="00FF46B2">
        <w:t>is not a</w:t>
      </w:r>
      <w:r>
        <w:t xml:space="preserve"> recognised specialty and </w:t>
      </w:r>
      <w:r w:rsidR="00FF46B2">
        <w:t>there are only a small number of Family Cancer Clinics in Australia.</w:t>
      </w:r>
    </w:p>
    <w:p w14:paraId="39A2B923" w14:textId="77777777" w:rsidR="001E69AC" w:rsidRDefault="001E69AC" w:rsidP="00D53243"/>
    <w:p w14:paraId="1B19475C" w14:textId="6806D925" w:rsidR="00D53243" w:rsidRDefault="00D53243" w:rsidP="00D53243">
      <w:r>
        <w:t>MSAC noted that</w:t>
      </w:r>
      <w:r w:rsidR="00273DD3">
        <w:t xml:space="preserve"> the </w:t>
      </w:r>
      <w:r w:rsidR="00FF46B2">
        <w:t xml:space="preserve">use of the </w:t>
      </w:r>
      <w:r w:rsidR="00273DD3">
        <w:t xml:space="preserve">CUC </w:t>
      </w:r>
      <w:r w:rsidR="00AE47B2">
        <w:t>pro forma</w:t>
      </w:r>
      <w:r w:rsidR="00FF46B2">
        <w:t xml:space="preserve"> </w:t>
      </w:r>
      <w:r w:rsidR="00273DD3">
        <w:t xml:space="preserve">simplified </w:t>
      </w:r>
      <w:r w:rsidR="00C0660C">
        <w:t xml:space="preserve">the analysis of diagnostic </w:t>
      </w:r>
      <w:r w:rsidR="004710DC">
        <w:t xml:space="preserve">genetic </w:t>
      </w:r>
      <w:r w:rsidR="00C0660C">
        <w:t>testing by concentrating on one or more primary genetic targets for testing (“star performers”)</w:t>
      </w:r>
      <w:r w:rsidR="00FF46B2">
        <w:t xml:space="preserve">. </w:t>
      </w:r>
      <w:r w:rsidR="001E69AC">
        <w:t xml:space="preserve">However, </w:t>
      </w:r>
      <w:r w:rsidR="00FF46B2">
        <w:t xml:space="preserve">MSAC also noted that </w:t>
      </w:r>
      <w:r w:rsidR="00C177F5">
        <w:t xml:space="preserve">testing a panel of genes </w:t>
      </w:r>
      <w:r w:rsidR="00FF46B2">
        <w:t xml:space="preserve">was not required for </w:t>
      </w:r>
      <w:r w:rsidR="00C0660C">
        <w:t xml:space="preserve">predictive </w:t>
      </w:r>
      <w:r w:rsidR="004710DC">
        <w:t xml:space="preserve">genetic </w:t>
      </w:r>
      <w:r>
        <w:t>testing</w:t>
      </w:r>
      <w:r w:rsidR="00FF46B2">
        <w:t xml:space="preserve"> as only the specific mutation in one gene would be tested</w:t>
      </w:r>
      <w:r w:rsidR="001E69AC">
        <w:t>.</w:t>
      </w:r>
    </w:p>
    <w:p w14:paraId="33D3480C" w14:textId="77777777" w:rsidR="00D53243" w:rsidRDefault="00D53243" w:rsidP="00D53243"/>
    <w:p w14:paraId="4B7FD3F8" w14:textId="33500058" w:rsidR="00D53243" w:rsidRDefault="00D53243" w:rsidP="00D53243">
      <w:r>
        <w:t xml:space="preserve">The clinical validity and clinical utility assessment in the current application focussed on </w:t>
      </w:r>
      <w:r w:rsidRPr="00A8248C">
        <w:rPr>
          <w:i/>
        </w:rPr>
        <w:t>BRCA1</w:t>
      </w:r>
      <w:r w:rsidR="00C0660C" w:rsidRPr="008D226A">
        <w:t xml:space="preserve"> </w:t>
      </w:r>
      <w:r w:rsidR="00C0660C">
        <w:t xml:space="preserve">and </w:t>
      </w:r>
      <w:r w:rsidR="00C0660C">
        <w:rPr>
          <w:i/>
        </w:rPr>
        <w:t>BRCA</w:t>
      </w:r>
      <w:r w:rsidRPr="00A8248C">
        <w:rPr>
          <w:i/>
        </w:rPr>
        <w:t>2</w:t>
      </w:r>
      <w:r w:rsidR="00C0660C" w:rsidRPr="008D226A">
        <w:t xml:space="preserve"> </w:t>
      </w:r>
      <w:r w:rsidR="00C0660C">
        <w:t xml:space="preserve">as the primary genetic targets for diagnostic </w:t>
      </w:r>
      <w:r w:rsidR="005819E2">
        <w:t xml:space="preserve">genetic </w:t>
      </w:r>
      <w:r w:rsidR="00C0660C">
        <w:t xml:space="preserve">testing in </w:t>
      </w:r>
      <w:r w:rsidR="005819E2">
        <w:t xml:space="preserve">affected individuals with </w:t>
      </w:r>
      <w:r w:rsidR="00C0660C">
        <w:t>breast</w:t>
      </w:r>
      <w:r w:rsidR="005819E2">
        <w:t xml:space="preserve"> and/or </w:t>
      </w:r>
      <w:r w:rsidR="00C0660C">
        <w:t>ovarian cancer</w:t>
      </w:r>
      <w:r>
        <w:t xml:space="preserve">. MSAC agreed that these </w:t>
      </w:r>
      <w:r w:rsidR="00C0660C">
        <w:t xml:space="preserve">test attributes </w:t>
      </w:r>
      <w:r>
        <w:t>had been clearly established</w:t>
      </w:r>
      <w:r w:rsidR="005819E2">
        <w:t xml:space="preserve"> for these primary genetic targets in these individuals</w:t>
      </w:r>
      <w:r>
        <w:t xml:space="preserve">. MSAC </w:t>
      </w:r>
      <w:r w:rsidR="00C0660C">
        <w:t xml:space="preserve">also </w:t>
      </w:r>
      <w:r>
        <w:t xml:space="preserve">considered other genes </w:t>
      </w:r>
      <w:r w:rsidR="00C0660C">
        <w:t xml:space="preserve">that could be secondary genetic targets for diagnostic </w:t>
      </w:r>
      <w:r w:rsidR="005819E2">
        <w:t xml:space="preserve">genetic </w:t>
      </w:r>
      <w:r w:rsidR="00C0660C">
        <w:t xml:space="preserve">testing in this setting. MSAC noted that secondary genetic targets should </w:t>
      </w:r>
      <w:r>
        <w:t xml:space="preserve">only be included in a </w:t>
      </w:r>
      <w:r w:rsidR="005819E2">
        <w:t xml:space="preserve">set of options </w:t>
      </w:r>
      <w:r>
        <w:t xml:space="preserve">for </w:t>
      </w:r>
      <w:r w:rsidR="005819E2">
        <w:t xml:space="preserve">concurrent </w:t>
      </w:r>
      <w:r w:rsidR="00985A1F">
        <w:t xml:space="preserve">diagnostic </w:t>
      </w:r>
      <w:r>
        <w:t xml:space="preserve">genetic testing of </w:t>
      </w:r>
      <w:r w:rsidR="005819E2">
        <w:t xml:space="preserve">these </w:t>
      </w:r>
      <w:r>
        <w:t xml:space="preserve">affected individuals </w:t>
      </w:r>
      <w:r w:rsidR="00985A1F">
        <w:t xml:space="preserve">if there was </w:t>
      </w:r>
      <w:r>
        <w:lastRenderedPageBreak/>
        <w:t>sufficient evidence of clinical validity and clinical utility (</w:t>
      </w:r>
      <w:r w:rsidR="00985A1F">
        <w:t xml:space="preserve">albeit </w:t>
      </w:r>
      <w:r>
        <w:t xml:space="preserve">of a less rigorous standard than for the </w:t>
      </w:r>
      <w:r w:rsidR="001E69AC">
        <w:t>“</w:t>
      </w:r>
      <w:r w:rsidR="00901388">
        <w:t>star performers</w:t>
      </w:r>
      <w:r w:rsidR="001E69AC">
        <w:t>”</w:t>
      </w:r>
      <w:r>
        <w:t xml:space="preserve">). Of the other genes included in the proposed </w:t>
      </w:r>
      <w:r w:rsidR="005819E2">
        <w:t xml:space="preserve">set of options </w:t>
      </w:r>
      <w:r>
        <w:t xml:space="preserve">for </w:t>
      </w:r>
      <w:r w:rsidR="00985A1F">
        <w:t xml:space="preserve">diagnostic </w:t>
      </w:r>
      <w:r>
        <w:t xml:space="preserve">genetic testing of individuals affected with breast and/or ovarian cancer, </w:t>
      </w:r>
      <w:r w:rsidRPr="00473D2B">
        <w:rPr>
          <w:i/>
        </w:rPr>
        <w:t>STK11</w:t>
      </w:r>
      <w:r w:rsidRPr="00473D2B">
        <w:t xml:space="preserve">, </w:t>
      </w:r>
      <w:r w:rsidRPr="00473D2B">
        <w:rPr>
          <w:i/>
        </w:rPr>
        <w:t>PTEN</w:t>
      </w:r>
      <w:r w:rsidRPr="00473D2B">
        <w:t xml:space="preserve">, </w:t>
      </w:r>
      <w:r w:rsidRPr="00473D2B">
        <w:rPr>
          <w:i/>
        </w:rPr>
        <w:t>CDH1</w:t>
      </w:r>
      <w:r w:rsidRPr="00473D2B">
        <w:t xml:space="preserve">, </w:t>
      </w:r>
      <w:r w:rsidRPr="00473D2B">
        <w:rPr>
          <w:i/>
        </w:rPr>
        <w:t>PALB2</w:t>
      </w:r>
      <w:r w:rsidRPr="00473D2B">
        <w:t>,</w:t>
      </w:r>
      <w:r w:rsidRPr="005F028C">
        <w:t xml:space="preserve"> and </w:t>
      </w:r>
      <w:r w:rsidRPr="00473D2B">
        <w:rPr>
          <w:i/>
        </w:rPr>
        <w:t>TP53</w:t>
      </w:r>
      <w:r>
        <w:t xml:space="preserve"> all had </w:t>
      </w:r>
      <w:proofErr w:type="spellStart"/>
      <w:r>
        <w:t>eviQ</w:t>
      </w:r>
      <w:proofErr w:type="spellEnd"/>
      <w:r>
        <w:t xml:space="preserve"> guidelines </w:t>
      </w:r>
      <w:r w:rsidR="00CA2FDF">
        <w:t>(</w:t>
      </w:r>
      <w:hyperlink r:id="rId11" w:tooltip="Link to eviQ Cancer Treatments Online website" w:history="1">
        <w:r w:rsidR="00CA2FDF" w:rsidRPr="007E2CB0">
          <w:rPr>
            <w:rStyle w:val="Hyperlink"/>
          </w:rPr>
          <w:t>www.eviq.org.au</w:t>
        </w:r>
      </w:hyperlink>
      <w:r w:rsidR="00CA2FDF">
        <w:t xml:space="preserve">) </w:t>
      </w:r>
      <w:r>
        <w:t xml:space="preserve">for the clinical management of individuals with a mutation in these genes, and MSAC accepted that </w:t>
      </w:r>
      <w:r w:rsidR="00985A1F">
        <w:t xml:space="preserve">this constituted </w:t>
      </w:r>
      <w:r>
        <w:t xml:space="preserve">sufficient evidence </w:t>
      </w:r>
      <w:r w:rsidR="00985A1F">
        <w:t xml:space="preserve">of </w:t>
      </w:r>
      <w:r>
        <w:t xml:space="preserve">the clinical utility of testing these </w:t>
      </w:r>
      <w:r w:rsidR="00985A1F">
        <w:t xml:space="preserve">secondary </w:t>
      </w:r>
      <w:r>
        <w:t>gene</w:t>
      </w:r>
      <w:r w:rsidR="00473D2B">
        <w:t>tic target</w:t>
      </w:r>
      <w:r>
        <w:t>s</w:t>
      </w:r>
      <w:r w:rsidR="00901388">
        <w:t xml:space="preserve"> (via the</w:t>
      </w:r>
      <w:r w:rsidR="001E69AC">
        <w:t>ir</w:t>
      </w:r>
      <w:r w:rsidR="00901388">
        <w:t xml:space="preserve"> </w:t>
      </w:r>
      <w:r w:rsidR="001E69AC">
        <w:t xml:space="preserve">optional </w:t>
      </w:r>
      <w:r w:rsidR="00901388">
        <w:t xml:space="preserve">inclusion </w:t>
      </w:r>
      <w:r w:rsidR="001E69AC">
        <w:t>i</w:t>
      </w:r>
      <w:r w:rsidR="00901388">
        <w:t>n a panel</w:t>
      </w:r>
      <w:r w:rsidR="00C177F5">
        <w:t xml:space="preserve"> of genes for testing</w:t>
      </w:r>
      <w:r w:rsidR="00901388">
        <w:t>)</w:t>
      </w:r>
      <w:r>
        <w:t xml:space="preserve">. However, MSAC noted that </w:t>
      </w:r>
      <w:r w:rsidRPr="00473D2B">
        <w:rPr>
          <w:i/>
        </w:rPr>
        <w:t>CHK2</w:t>
      </w:r>
      <w:r>
        <w:t xml:space="preserve"> did not currently have consensus management guidelines, and without any such evidence of clinical utility currently available for either affected individuals or cascade testing, MSAC concluded that testing for </w:t>
      </w:r>
      <w:r w:rsidRPr="00473D2B">
        <w:rPr>
          <w:i/>
        </w:rPr>
        <w:t>CHK2</w:t>
      </w:r>
      <w:r>
        <w:t xml:space="preserve"> mutations should not be included in the </w:t>
      </w:r>
      <w:r w:rsidR="00473D2B">
        <w:t>set of options for diagnostic genetic testing of individuals affected with breast and/or ovarian cancer</w:t>
      </w:r>
      <w:r>
        <w:t>.</w:t>
      </w:r>
      <w:r w:rsidR="00985A1F">
        <w:t xml:space="preserve"> MSAC recognised that a laboratory may also test other genes that </w:t>
      </w:r>
      <w:r w:rsidR="00473D2B">
        <w:t xml:space="preserve">MSAC did </w:t>
      </w:r>
      <w:r w:rsidR="00985A1F">
        <w:t xml:space="preserve">not </w:t>
      </w:r>
      <w:r w:rsidR="00473D2B">
        <w:t xml:space="preserve">accept </w:t>
      </w:r>
      <w:r w:rsidR="00985A1F">
        <w:t xml:space="preserve">as </w:t>
      </w:r>
      <w:r w:rsidR="001E69AC">
        <w:t>“</w:t>
      </w:r>
      <w:r w:rsidR="00901388">
        <w:t>star performer</w:t>
      </w:r>
      <w:r w:rsidR="001E69AC">
        <w:t>”</w:t>
      </w:r>
      <w:r w:rsidR="00901388">
        <w:t xml:space="preserve"> </w:t>
      </w:r>
      <w:r w:rsidR="00985A1F">
        <w:t xml:space="preserve">or secondary genetic targets </w:t>
      </w:r>
      <w:r w:rsidR="00473D2B">
        <w:t>for these individuals</w:t>
      </w:r>
      <w:r w:rsidR="00985A1F">
        <w:t xml:space="preserve">, and </w:t>
      </w:r>
      <w:r w:rsidR="00473D2B">
        <w:t xml:space="preserve">foreshadowed </w:t>
      </w:r>
      <w:r w:rsidR="00985A1F">
        <w:t>that such testing would fall outsid</w:t>
      </w:r>
      <w:r w:rsidR="00473D2B">
        <w:t>e the scope of public funding should MSAC support public funding on its reconsideration of the deferred application.</w:t>
      </w:r>
    </w:p>
    <w:p w14:paraId="01F3A23F" w14:textId="77777777" w:rsidR="00D53243" w:rsidRDefault="00D53243" w:rsidP="00D53243"/>
    <w:p w14:paraId="7AA3F37F" w14:textId="77777777" w:rsidR="00D53243" w:rsidRDefault="00D53243" w:rsidP="00D53243">
      <w:r>
        <w:t xml:space="preserve">MSAC also noted that the prevalence of mutations in each of the identified </w:t>
      </w:r>
      <w:r w:rsidR="00985A1F">
        <w:t xml:space="preserve">secondary genetic targets </w:t>
      </w:r>
      <w:r>
        <w:t xml:space="preserve">was not provided for the </w:t>
      </w:r>
      <w:r w:rsidR="00985A1F">
        <w:t>targeted cancers i</w:t>
      </w:r>
      <w:r w:rsidR="00E752C9">
        <w:t>.</w:t>
      </w:r>
      <w:r w:rsidR="00985A1F">
        <w:t>e. breast</w:t>
      </w:r>
      <w:r w:rsidR="00473D2B">
        <w:t xml:space="preserve"> and</w:t>
      </w:r>
      <w:r w:rsidR="00985A1F">
        <w:t>/</w:t>
      </w:r>
      <w:r w:rsidR="00473D2B">
        <w:t xml:space="preserve">or </w:t>
      </w:r>
      <w:r w:rsidR="00985A1F">
        <w:t>ovarian</w:t>
      </w:r>
      <w:r w:rsidR="00E752C9">
        <w:t xml:space="preserve"> cancer</w:t>
      </w:r>
      <w:r>
        <w:t xml:space="preserve">, </w:t>
      </w:r>
      <w:r w:rsidR="00985A1F">
        <w:t xml:space="preserve">and that this </w:t>
      </w:r>
      <w:r>
        <w:t xml:space="preserve">would be a useful inclusion to confirm that </w:t>
      </w:r>
      <w:r w:rsidR="00985A1F">
        <w:t xml:space="preserve">inclusion of these </w:t>
      </w:r>
      <w:r>
        <w:t xml:space="preserve">genes would have limited consequences for overall cost-effectiveness. MSAC also noted that future </w:t>
      </w:r>
      <w:r w:rsidR="00473D2B">
        <w:t xml:space="preserve">CUC </w:t>
      </w:r>
      <w:r>
        <w:t>applications of this type should exclude testing for mutations of unknown clinical utility or prevalence.</w:t>
      </w:r>
    </w:p>
    <w:p w14:paraId="7EC13A35" w14:textId="77777777" w:rsidR="00D53243" w:rsidRDefault="00D53243" w:rsidP="00D53243"/>
    <w:p w14:paraId="55E309C0" w14:textId="2A4DE2CD" w:rsidR="00D53243" w:rsidRDefault="00D53243" w:rsidP="00D53243">
      <w:r>
        <w:t xml:space="preserve">MSAC agreed that </w:t>
      </w:r>
      <w:r w:rsidR="00985A1F">
        <w:t xml:space="preserve">the scope of predictive </w:t>
      </w:r>
      <w:r w:rsidR="00473D2B">
        <w:t xml:space="preserve">genetic </w:t>
      </w:r>
      <w:r>
        <w:t>testing of family members of affected individuals who</w:t>
      </w:r>
      <w:r w:rsidR="00553876">
        <w:t xml:space="preserve"> have </w:t>
      </w:r>
      <w:r>
        <w:t xml:space="preserve">a mutation needed to be carefully defined </w:t>
      </w:r>
      <w:r w:rsidR="00901388">
        <w:t xml:space="preserve">with respect to the definition of what constitutes a “relative”. Clearly the family member must be biologically related to the mutation positive index case. MSAC considered that clinical geneticists or clinical specialists (with access to accredited genetic counsellors) should be able to order predictive </w:t>
      </w:r>
      <w:r w:rsidR="001E69AC">
        <w:t xml:space="preserve">genetic </w:t>
      </w:r>
      <w:r w:rsidR="00901388">
        <w:t>tests. Confining test ordering to familial cancer physicians would inappropriately restrict access for relatives.</w:t>
      </w:r>
    </w:p>
    <w:p w14:paraId="01F9E664" w14:textId="77777777" w:rsidR="00D53243" w:rsidRDefault="00D53243" w:rsidP="00D53243"/>
    <w:p w14:paraId="6B08436C" w14:textId="77777777" w:rsidR="00D53243" w:rsidRDefault="00D53243" w:rsidP="00D53243">
      <w:r>
        <w:t>Overall, MSAC considered that the CUC provided strong evidence to support the analytical validity, clinical validity and clinical utility of the proposed genetic testing in the context of breast and/or ovarian cancer.</w:t>
      </w:r>
    </w:p>
    <w:p w14:paraId="370F6FD0" w14:textId="77777777" w:rsidR="00D53243" w:rsidRDefault="00D53243" w:rsidP="00D53243"/>
    <w:p w14:paraId="6641466B" w14:textId="55950B1F" w:rsidR="00D53243" w:rsidRDefault="00D53243" w:rsidP="00D53243">
      <w:r>
        <w:t>MSAC considered the cost effectiveness of genetic testing for hereditary mutations in breast and/or ovarian cancer and concluded that there was considerable uncertainty regarding the economic modelling, particularly for the model relating to family members. The committee noted that this is the first application of its kind and therefore suggested that a working group be formed to help develop an economic model that would better inform decision-making.</w:t>
      </w:r>
      <w:r w:rsidR="00901388">
        <w:t xml:space="preserve"> MSAC also noted that such a model could serve as a tool for future applications for other conditions</w:t>
      </w:r>
      <w:r w:rsidR="001E69AC">
        <w:t xml:space="preserve"> where </w:t>
      </w:r>
      <w:r w:rsidR="00C177F5">
        <w:t xml:space="preserve">a </w:t>
      </w:r>
      <w:r w:rsidR="001E69AC">
        <w:t xml:space="preserve">similar </w:t>
      </w:r>
      <w:r w:rsidR="00C177F5">
        <w:t xml:space="preserve">mix of </w:t>
      </w:r>
      <w:r w:rsidR="001E69AC">
        <w:t>diagnostic and predictive genetic testing</w:t>
      </w:r>
      <w:r w:rsidR="00A57C77">
        <w:t xml:space="preserve"> is proposed</w:t>
      </w:r>
      <w:r w:rsidR="00901388">
        <w:t>.</w:t>
      </w:r>
    </w:p>
    <w:p w14:paraId="71375820" w14:textId="77777777" w:rsidR="00D53243" w:rsidRDefault="00D53243" w:rsidP="00D53243"/>
    <w:p w14:paraId="733CBAFC" w14:textId="77777777" w:rsidR="00D53243" w:rsidRDefault="00D53243" w:rsidP="00D53243">
      <w:r>
        <w:t>MSAC considered that the cost-consequence analyses presenting the incremental cost per extra cancer avoided was informative in helping judge the internal validity of each model before then translating the outcome measure to QALYs gained. MSAC suggested that this cost-consequences approach could usefully be extended to capture other consequences included in the model.  Similarly, MSAC suggested that relevant Markov traces be presented to help assess key variables against time for each model, such as the incremental cost per extra QALY gained, incremental QALYs gained, incremental life-years gained, incremental cancers avoided; and for each arm of each model, life-years gained with and without testing, and cancers occurring with and without testing.</w:t>
      </w:r>
    </w:p>
    <w:p w14:paraId="7BDE3D05" w14:textId="77777777" w:rsidR="00D53243" w:rsidRDefault="00D53243" w:rsidP="00D53243"/>
    <w:p w14:paraId="17D7E32D" w14:textId="5E1AFB30" w:rsidR="00D53243" w:rsidRDefault="00D53243" w:rsidP="00D53243">
      <w:r>
        <w:lastRenderedPageBreak/>
        <w:t xml:space="preserve">MSAC noted that </w:t>
      </w:r>
      <w:r w:rsidR="002B48B1">
        <w:t xml:space="preserve">predictive </w:t>
      </w:r>
      <w:r w:rsidR="00473D2B">
        <w:t xml:space="preserve">genetic </w:t>
      </w:r>
      <w:r>
        <w:t xml:space="preserve">testing of family members might be offset against the costs of any enhanced surveillance which these family members would undergo if genetic testing was unavailable. Family members who did not </w:t>
      </w:r>
      <w:r w:rsidR="005F7F0D">
        <w:t xml:space="preserve">have </w:t>
      </w:r>
      <w:r>
        <w:t xml:space="preserve">the </w:t>
      </w:r>
      <w:r w:rsidR="002B48B1">
        <w:t xml:space="preserve">family’s </w:t>
      </w:r>
      <w:r>
        <w:t xml:space="preserve">mutation might then revert to </w:t>
      </w:r>
      <w:r w:rsidR="002B48B1">
        <w:t xml:space="preserve">the population </w:t>
      </w:r>
      <w:r>
        <w:t>risk</w:t>
      </w:r>
      <w:r w:rsidR="002B48B1">
        <w:t xml:space="preserve"> of cancer and require only population-based </w:t>
      </w:r>
      <w:r>
        <w:t xml:space="preserve">cancer surveillance. MSAC noted the complexity regarding the downstream options for family members who </w:t>
      </w:r>
      <w:r w:rsidR="002B48B1">
        <w:t>are shown to have the family’s mutation</w:t>
      </w:r>
      <w:r>
        <w:t xml:space="preserve">. The Markov model that formed the basis of the economic analysis estimated a transitional probability of downstream care where 40% of </w:t>
      </w:r>
      <w:r w:rsidR="002B48B1">
        <w:t xml:space="preserve">female carriers of a </w:t>
      </w:r>
      <w:r w:rsidR="008D226A" w:rsidRPr="00A8248C">
        <w:rPr>
          <w:i/>
        </w:rPr>
        <w:t>BRCA1</w:t>
      </w:r>
      <w:r w:rsidR="008D226A">
        <w:t xml:space="preserve"> or </w:t>
      </w:r>
      <w:r w:rsidR="008D226A">
        <w:rPr>
          <w:i/>
        </w:rPr>
        <w:t>BRCA</w:t>
      </w:r>
      <w:r w:rsidR="008D226A" w:rsidRPr="00A8248C">
        <w:rPr>
          <w:i/>
        </w:rPr>
        <w:t>2</w:t>
      </w:r>
      <w:r w:rsidR="008D226A" w:rsidRPr="008D226A">
        <w:t xml:space="preserve"> </w:t>
      </w:r>
      <w:r w:rsidR="002B48B1">
        <w:t xml:space="preserve">mutation </w:t>
      </w:r>
      <w:r>
        <w:t xml:space="preserve">would opt for bilateral </w:t>
      </w:r>
      <w:proofErr w:type="spellStart"/>
      <w:r>
        <w:t>salpingo</w:t>
      </w:r>
      <w:r w:rsidR="002B48B1">
        <w:t>-</w:t>
      </w:r>
      <w:r>
        <w:t>oopherectomy</w:t>
      </w:r>
      <w:proofErr w:type="spellEnd"/>
      <w:r>
        <w:t xml:space="preserve"> (BSO) plus bilateral mastectomy, 40% would opt for BSO only, and 20% would opt for surveillance only. It was unclear whether these transitional probabilities were reflective of current care.</w:t>
      </w:r>
      <w:r w:rsidR="00AE47B2" w:rsidRPr="00AE47B2">
        <w:t xml:space="preserve"> </w:t>
      </w:r>
      <w:r w:rsidR="00AE47B2">
        <w:t xml:space="preserve">MSAC also noted that high-risk unaffected individuals offered </w:t>
      </w:r>
      <w:r w:rsidR="00AE47B2" w:rsidRPr="00A8248C">
        <w:rPr>
          <w:i/>
        </w:rPr>
        <w:t>BRCA</w:t>
      </w:r>
      <w:r w:rsidR="00AE47B2">
        <w:t xml:space="preserve"> testing did not reported significantly worse psychological or quality of life consequences (</w:t>
      </w:r>
      <w:proofErr w:type="spellStart"/>
      <w:r w:rsidR="00AE47B2">
        <w:rPr>
          <w:bCs/>
        </w:rPr>
        <w:t>Manchanda</w:t>
      </w:r>
      <w:proofErr w:type="spellEnd"/>
      <w:r w:rsidR="00AE47B2">
        <w:rPr>
          <w:bCs/>
        </w:rPr>
        <w:t xml:space="preserve"> R et al. Journal of the National Cancer Institute </w:t>
      </w:r>
      <w:r w:rsidR="00AE47B2" w:rsidRPr="00381D56">
        <w:rPr>
          <w:bCs/>
        </w:rPr>
        <w:t>2014 Nov 30</w:t>
      </w:r>
      <w:proofErr w:type="gramStart"/>
      <w:r w:rsidR="00AE47B2" w:rsidRPr="00381D56">
        <w:rPr>
          <w:bCs/>
        </w:rPr>
        <w:t>;107</w:t>
      </w:r>
      <w:proofErr w:type="gramEnd"/>
      <w:r w:rsidR="00AE47B2" w:rsidRPr="00381D56">
        <w:rPr>
          <w:bCs/>
        </w:rPr>
        <w:t>(1):</w:t>
      </w:r>
      <w:r w:rsidR="00AE47B2">
        <w:rPr>
          <w:bCs/>
        </w:rPr>
        <w:t>dju</w:t>
      </w:r>
      <w:r w:rsidR="00AE47B2" w:rsidRPr="00381D56">
        <w:rPr>
          <w:bCs/>
        </w:rPr>
        <w:t>3</w:t>
      </w:r>
      <w:r w:rsidR="00AE47B2">
        <w:rPr>
          <w:bCs/>
        </w:rPr>
        <w:t>79</w:t>
      </w:r>
      <w:r w:rsidR="00AE47B2">
        <w:t>).</w:t>
      </w:r>
    </w:p>
    <w:p w14:paraId="503300A6" w14:textId="77777777" w:rsidR="002B48B1" w:rsidRDefault="002B48B1" w:rsidP="00D53243"/>
    <w:p w14:paraId="0FC54034" w14:textId="77777777" w:rsidR="00373783" w:rsidRDefault="00D53243" w:rsidP="00D53243">
      <w:pPr>
        <w:rPr>
          <w:bCs/>
        </w:rPr>
      </w:pPr>
      <w:r>
        <w:t>MSAC considered the results of the cost-utility analyses and noted that they were high with an incremental cost effectiveness ratio per QALY of $151,837 and $85,598</w:t>
      </w:r>
      <w:r>
        <w:rPr>
          <w:bCs/>
        </w:rPr>
        <w:t xml:space="preserve"> for affected individuals and family members, respectively. MSAC considered that these ICER/QALY estimates may not be representative of the cost utility of publicly funding this test, noting that they do not match others quoted in the literature (</w:t>
      </w:r>
      <w:proofErr w:type="spellStart"/>
      <w:r>
        <w:rPr>
          <w:bCs/>
        </w:rPr>
        <w:t>eg</w:t>
      </w:r>
      <w:proofErr w:type="spellEnd"/>
      <w:r>
        <w:rPr>
          <w:bCs/>
        </w:rPr>
        <w:t xml:space="preserve"> </w:t>
      </w:r>
      <w:r w:rsidR="008E051C">
        <w:rPr>
          <w:bCs/>
        </w:rPr>
        <w:t xml:space="preserve">Griffith GL et al. </w:t>
      </w:r>
      <w:r>
        <w:rPr>
          <w:bCs/>
        </w:rPr>
        <w:t>British Journal of Cancer 2004</w:t>
      </w:r>
      <w:proofErr w:type="gramStart"/>
      <w:r>
        <w:rPr>
          <w:bCs/>
        </w:rPr>
        <w:t>;90:1697</w:t>
      </w:r>
      <w:proofErr w:type="gramEnd"/>
      <w:r>
        <w:rPr>
          <w:bCs/>
        </w:rPr>
        <w:t xml:space="preserve">-703; </w:t>
      </w:r>
      <w:r w:rsidR="008E051C" w:rsidRPr="008E051C">
        <w:rPr>
          <w:noProof/>
          <w:szCs w:val="24"/>
        </w:rPr>
        <w:t>Breheny N et al. Genomics, Society and Policy 2005;</w:t>
      </w:r>
      <w:r w:rsidR="008E051C" w:rsidRPr="008E051C">
        <w:rPr>
          <w:bCs/>
          <w:noProof/>
          <w:szCs w:val="24"/>
        </w:rPr>
        <w:t>1:</w:t>
      </w:r>
      <w:r w:rsidR="008E051C" w:rsidRPr="008E051C">
        <w:rPr>
          <w:noProof/>
          <w:szCs w:val="24"/>
        </w:rPr>
        <w:t>67-79</w:t>
      </w:r>
      <w:r w:rsidRPr="008E051C">
        <w:rPr>
          <w:bCs/>
        </w:rPr>
        <w:t>;</w:t>
      </w:r>
      <w:r>
        <w:rPr>
          <w:bCs/>
        </w:rPr>
        <w:t xml:space="preserve"> and </w:t>
      </w:r>
      <w:proofErr w:type="spellStart"/>
      <w:r>
        <w:rPr>
          <w:bCs/>
        </w:rPr>
        <w:t>Manchanda</w:t>
      </w:r>
      <w:proofErr w:type="spellEnd"/>
      <w:r>
        <w:rPr>
          <w:bCs/>
        </w:rPr>
        <w:t xml:space="preserve"> R et al</w:t>
      </w:r>
      <w:r w:rsidR="008E051C">
        <w:rPr>
          <w:bCs/>
        </w:rPr>
        <w:t>.</w:t>
      </w:r>
      <w:r>
        <w:rPr>
          <w:bCs/>
        </w:rPr>
        <w:t xml:space="preserve"> J</w:t>
      </w:r>
      <w:r w:rsidR="008E051C">
        <w:rPr>
          <w:bCs/>
        </w:rPr>
        <w:t xml:space="preserve">ournal of the </w:t>
      </w:r>
      <w:r>
        <w:rPr>
          <w:bCs/>
        </w:rPr>
        <w:t>Nat</w:t>
      </w:r>
      <w:r w:rsidR="008E051C">
        <w:rPr>
          <w:bCs/>
        </w:rPr>
        <w:t>iona</w:t>
      </w:r>
      <w:r>
        <w:rPr>
          <w:bCs/>
        </w:rPr>
        <w:t>l Cancer Inst</w:t>
      </w:r>
      <w:r w:rsidR="008E051C">
        <w:rPr>
          <w:bCs/>
        </w:rPr>
        <w:t>itute</w:t>
      </w:r>
      <w:r>
        <w:rPr>
          <w:bCs/>
        </w:rPr>
        <w:t xml:space="preserve"> </w:t>
      </w:r>
      <w:r w:rsidRPr="00381D56">
        <w:rPr>
          <w:bCs/>
        </w:rPr>
        <w:t>2014</w:t>
      </w:r>
      <w:r w:rsidR="008E051C">
        <w:rPr>
          <w:bCs/>
        </w:rPr>
        <w:t xml:space="preserve"> Nov 30</w:t>
      </w:r>
      <w:r w:rsidRPr="00381D56">
        <w:rPr>
          <w:bCs/>
        </w:rPr>
        <w:t>;107(1):</w:t>
      </w:r>
      <w:r>
        <w:rPr>
          <w:bCs/>
        </w:rPr>
        <w:t>dju</w:t>
      </w:r>
      <w:r w:rsidRPr="00381D56">
        <w:rPr>
          <w:bCs/>
        </w:rPr>
        <w:t>380</w:t>
      </w:r>
      <w:r>
        <w:rPr>
          <w:bCs/>
        </w:rPr>
        <w:t>). An extended search for other relevant economic analyses might yield further insights which could be examined for the model prepared for this application, such as other important consequences of this type of genetic testing or adjusting for the varying relative risk of cancer by age.</w:t>
      </w:r>
    </w:p>
    <w:p w14:paraId="1D3CCF4D" w14:textId="77777777" w:rsidR="00373783" w:rsidRDefault="00373783" w:rsidP="00D53243">
      <w:pPr>
        <w:rPr>
          <w:bCs/>
        </w:rPr>
      </w:pPr>
    </w:p>
    <w:p w14:paraId="40E99098" w14:textId="77777777" w:rsidR="00D53243" w:rsidRDefault="00D53243" w:rsidP="00D53243">
      <w:pPr>
        <w:rPr>
          <w:bCs/>
        </w:rPr>
      </w:pPr>
      <w:r>
        <w:rPr>
          <w:bCs/>
        </w:rPr>
        <w:t>MSAC also considered that the overall cost-effectiveness would lie somewhere between the ICER for the affected individuals and the consequent ICER for family members, but did not have a confident basis to reach a conclusion. The proposed literature search should also seek to identify ways of providing a third analysis which would appropriately combine the models developed for each of these two populations.</w:t>
      </w:r>
    </w:p>
    <w:p w14:paraId="5B5CE5F8" w14:textId="77777777" w:rsidR="00D53243" w:rsidRDefault="00D53243" w:rsidP="00D53243">
      <w:pPr>
        <w:rPr>
          <w:bCs/>
        </w:rPr>
      </w:pPr>
    </w:p>
    <w:p w14:paraId="15EF3144" w14:textId="2FA621F2" w:rsidR="00D53243" w:rsidRDefault="00D53243" w:rsidP="00D53243">
      <w:pPr>
        <w:rPr>
          <w:bCs/>
        </w:rPr>
      </w:pPr>
      <w:r>
        <w:rPr>
          <w:bCs/>
        </w:rPr>
        <w:t>Further refinements to the economic analysis would be usefully incorporated into the CUC pro</w:t>
      </w:r>
      <w:r w:rsidR="00AE47B2">
        <w:rPr>
          <w:bCs/>
        </w:rPr>
        <w:t xml:space="preserve"> </w:t>
      </w:r>
      <w:r>
        <w:rPr>
          <w:bCs/>
        </w:rPr>
        <w:t>forma for future applications for genetic testing of this type.</w:t>
      </w:r>
    </w:p>
    <w:p w14:paraId="1441ACD6" w14:textId="77777777" w:rsidR="00D53243" w:rsidRDefault="00D53243" w:rsidP="00D53243">
      <w:pPr>
        <w:rPr>
          <w:bCs/>
        </w:rPr>
      </w:pPr>
    </w:p>
    <w:p w14:paraId="36904AE2" w14:textId="705B45BA" w:rsidR="00D53243" w:rsidRDefault="00D53243" w:rsidP="00D53243">
      <w:pPr>
        <w:rPr>
          <w:bCs/>
        </w:rPr>
      </w:pPr>
      <w:r>
        <w:rPr>
          <w:bCs/>
        </w:rPr>
        <w:t xml:space="preserve">Although the CUC described the essential role of extended genetic counselling in the context of </w:t>
      </w:r>
      <w:r w:rsidR="005C40BC">
        <w:rPr>
          <w:bCs/>
        </w:rPr>
        <w:t xml:space="preserve">predictive genetic </w:t>
      </w:r>
      <w:r>
        <w:rPr>
          <w:bCs/>
        </w:rPr>
        <w:t>testing,</w:t>
      </w:r>
      <w:r w:rsidR="005C40BC">
        <w:rPr>
          <w:bCs/>
        </w:rPr>
        <w:t xml:space="preserve"> </w:t>
      </w:r>
      <w:r w:rsidR="005C40BC">
        <w:t xml:space="preserve">MSAC recognised that access to and resourcing of genetic counselling was an important consideration in this setting, and noted that consideration of this lay outside the scope of </w:t>
      </w:r>
      <w:r w:rsidR="00AE47B2">
        <w:t xml:space="preserve">the current </w:t>
      </w:r>
      <w:r w:rsidR="005C40BC">
        <w:t>application</w:t>
      </w:r>
      <w:r>
        <w:rPr>
          <w:bCs/>
        </w:rPr>
        <w:t>.</w:t>
      </w:r>
    </w:p>
    <w:p w14:paraId="5895A255" w14:textId="77777777" w:rsidR="00D53243" w:rsidRDefault="00D53243" w:rsidP="00D53243">
      <w:pPr>
        <w:rPr>
          <w:bCs/>
        </w:rPr>
      </w:pPr>
    </w:p>
    <w:p w14:paraId="7F8175BC" w14:textId="77777777" w:rsidR="00D53243" w:rsidRDefault="00D53243" w:rsidP="00D53243">
      <w:r>
        <w:t xml:space="preserve">In deferring the application, MSAC requested that the following issues with the economic analysis </w:t>
      </w:r>
      <w:r w:rsidR="007124B5">
        <w:t xml:space="preserve">of </w:t>
      </w:r>
      <w:r>
        <w:t xml:space="preserve">both </w:t>
      </w:r>
      <w:r w:rsidR="008B3D31">
        <w:t xml:space="preserve">diagnostic </w:t>
      </w:r>
      <w:r w:rsidR="005C40BC">
        <w:t xml:space="preserve">genetic </w:t>
      </w:r>
      <w:r w:rsidR="008B3D31">
        <w:t xml:space="preserve">testing </w:t>
      </w:r>
      <w:r w:rsidR="005C40BC">
        <w:t xml:space="preserve">of </w:t>
      </w:r>
      <w:r>
        <w:t xml:space="preserve">affected individuals and </w:t>
      </w:r>
      <w:r w:rsidR="008B3D31">
        <w:t xml:space="preserve">predictive </w:t>
      </w:r>
      <w:r w:rsidR="005C40BC">
        <w:t xml:space="preserve">genetic </w:t>
      </w:r>
      <w:r>
        <w:t xml:space="preserve">testing </w:t>
      </w:r>
      <w:r w:rsidR="005C40BC">
        <w:t xml:space="preserve">of family members </w:t>
      </w:r>
      <w:r>
        <w:t>be addressed</w:t>
      </w:r>
      <w:r w:rsidR="007124B5">
        <w:t>,</w:t>
      </w:r>
      <w:r>
        <w:t xml:space="preserve"> in particular:</w:t>
      </w:r>
    </w:p>
    <w:p w14:paraId="248EABDA" w14:textId="77777777" w:rsidR="00D53243" w:rsidRDefault="00D53243" w:rsidP="00D53243">
      <w:pPr>
        <w:pStyle w:val="ListParagraph"/>
        <w:numPr>
          <w:ilvl w:val="0"/>
          <w:numId w:val="30"/>
        </w:numPr>
        <w:spacing w:after="120"/>
      </w:pPr>
      <w:r>
        <w:t>disaggregation of each cost-utility analysis to also include a cost-consequence analysis showing how testing would improve other clinically meaningful consequences, such as cancers and life-years;</w:t>
      </w:r>
    </w:p>
    <w:p w14:paraId="10639C18" w14:textId="77777777" w:rsidR="00D53243" w:rsidRDefault="00D53243" w:rsidP="00D53243">
      <w:pPr>
        <w:pStyle w:val="ListParagraph"/>
        <w:numPr>
          <w:ilvl w:val="0"/>
          <w:numId w:val="30"/>
        </w:numPr>
        <w:spacing w:after="120"/>
      </w:pPr>
      <w:r>
        <w:t>provision of Markov traces for each model to show changes over time for important variables;</w:t>
      </w:r>
    </w:p>
    <w:p w14:paraId="58680CA6" w14:textId="77777777" w:rsidR="00D53243" w:rsidRDefault="00D53243" w:rsidP="00D53243">
      <w:pPr>
        <w:pStyle w:val="ListParagraph"/>
        <w:numPr>
          <w:ilvl w:val="0"/>
          <w:numId w:val="30"/>
        </w:numPr>
        <w:spacing w:after="120"/>
      </w:pPr>
      <w:r>
        <w:t>further consideration of the care pathways for</w:t>
      </w:r>
      <w:r w:rsidR="005C40BC">
        <w:t xml:space="preserve"> predictive genetic</w:t>
      </w:r>
      <w:r>
        <w:t xml:space="preserve"> testing of family members, including genetic counselling, to inform the management of these relevant services;</w:t>
      </w:r>
    </w:p>
    <w:p w14:paraId="2ABA2488" w14:textId="77777777" w:rsidR="00D53243" w:rsidRDefault="00D53243" w:rsidP="00D53243">
      <w:pPr>
        <w:pStyle w:val="ListParagraph"/>
        <w:numPr>
          <w:ilvl w:val="0"/>
          <w:numId w:val="30"/>
        </w:numPr>
        <w:spacing w:after="120"/>
      </w:pPr>
      <w:r>
        <w:lastRenderedPageBreak/>
        <w:t xml:space="preserve">provision of a wider literature search for other relevant economic models, and an assessment of those found to identify whether any important insights might be available, particularly for </w:t>
      </w:r>
      <w:r w:rsidR="007124B5">
        <w:t xml:space="preserve">predictive </w:t>
      </w:r>
      <w:r w:rsidR="005C40BC">
        <w:t>genetic testing of family members</w:t>
      </w:r>
      <w:r>
        <w:t>, and to better inform how the two models might also be combined;</w:t>
      </w:r>
    </w:p>
    <w:p w14:paraId="42184248" w14:textId="77777777" w:rsidR="00D53243" w:rsidRDefault="00D53243" w:rsidP="00D53243">
      <w:pPr>
        <w:pStyle w:val="ListParagraph"/>
        <w:numPr>
          <w:ilvl w:val="0"/>
          <w:numId w:val="30"/>
        </w:numPr>
        <w:ind w:left="714" w:hanging="357"/>
      </w:pPr>
      <w:proofErr w:type="gramStart"/>
      <w:r>
        <w:t>provision</w:t>
      </w:r>
      <w:proofErr w:type="gramEnd"/>
      <w:r>
        <w:t xml:space="preserve"> of a wider literature search for other relevant consequences of this type of genetic testing.</w:t>
      </w:r>
    </w:p>
    <w:p w14:paraId="37B3ABEF" w14:textId="77777777" w:rsidR="00D53243" w:rsidRPr="00707064" w:rsidRDefault="00D53243" w:rsidP="00D53243">
      <w:pPr>
        <w:rPr>
          <w:szCs w:val="24"/>
        </w:rPr>
      </w:pPr>
    </w:p>
    <w:p w14:paraId="02D7B942" w14:textId="77777777" w:rsidR="00BC1364" w:rsidRPr="00D90A38" w:rsidRDefault="00BC1364" w:rsidP="007B32D1">
      <w:pPr>
        <w:pStyle w:val="Heading1"/>
        <w:numPr>
          <w:ilvl w:val="0"/>
          <w:numId w:val="23"/>
        </w:numPr>
        <w:ind w:hanging="720"/>
      </w:pPr>
      <w:r w:rsidRPr="00D90A38">
        <w:t>Background</w:t>
      </w:r>
    </w:p>
    <w:p w14:paraId="28EACCC1" w14:textId="77777777" w:rsidR="00BC1364" w:rsidRPr="00DF497D" w:rsidRDefault="00BC1364" w:rsidP="00DD2858">
      <w:pPr>
        <w:rPr>
          <w:szCs w:val="24"/>
        </w:rPr>
      </w:pPr>
    </w:p>
    <w:p w14:paraId="52BDCF4C" w14:textId="73B25CFB" w:rsidR="00545277" w:rsidRDefault="00545277" w:rsidP="00545277">
      <w:r>
        <w:rPr>
          <w:lang w:val="en-US"/>
        </w:rPr>
        <w:t xml:space="preserve">The application </w:t>
      </w:r>
      <w:r w:rsidR="00DF497D">
        <w:rPr>
          <w:lang w:val="en-US"/>
        </w:rPr>
        <w:t xml:space="preserve">was prepared </w:t>
      </w:r>
      <w:r>
        <w:rPr>
          <w:lang w:val="en-US"/>
        </w:rPr>
        <w:t>using a</w:t>
      </w:r>
      <w:r>
        <w:t xml:space="preserve"> Clinical Utility Card (CUC) </w:t>
      </w:r>
      <w:r w:rsidR="00DF497D">
        <w:t>pro</w:t>
      </w:r>
      <w:r w:rsidR="00AE47B2">
        <w:t xml:space="preserve"> </w:t>
      </w:r>
      <w:r w:rsidR="00DF497D">
        <w:t xml:space="preserve">forma </w:t>
      </w:r>
      <w:r>
        <w:t xml:space="preserve">which was developed by a working group of MSAC as </w:t>
      </w:r>
      <w:r w:rsidRPr="00280559">
        <w:rPr>
          <w:lang w:val="en-US"/>
        </w:rPr>
        <w:t>a methodology for evaluating genetic testing of heritable mutations from the clinical perspective of disease management, and not a gene by gene approach</w:t>
      </w:r>
      <w:r>
        <w:t>. Comprehensive background on the application is provided in the CUC.</w:t>
      </w:r>
    </w:p>
    <w:p w14:paraId="56C67684" w14:textId="77777777" w:rsidR="00545277" w:rsidRDefault="00545277" w:rsidP="00545277"/>
    <w:p w14:paraId="16BD92FA" w14:textId="77777777" w:rsidR="00545277" w:rsidRDefault="00545277" w:rsidP="00545277">
      <w:pPr>
        <w:rPr>
          <w:szCs w:val="24"/>
        </w:rPr>
      </w:pPr>
      <w:r>
        <w:t>The CUC present</w:t>
      </w:r>
      <w:r w:rsidR="00DF497D">
        <w:t>ed</w:t>
      </w:r>
      <w:r>
        <w:t xml:space="preserve"> the key facts related to the application. This </w:t>
      </w:r>
      <w:r w:rsidR="00DF497D">
        <w:t>Public Summary Document</w:t>
      </w:r>
      <w:r>
        <w:t xml:space="preserve"> should be read in conjunction with the CUC.</w:t>
      </w:r>
    </w:p>
    <w:p w14:paraId="01BC3F51" w14:textId="77777777" w:rsidR="007B32D1" w:rsidRPr="007B32D1" w:rsidRDefault="007B32D1" w:rsidP="007B32D1"/>
    <w:p w14:paraId="2DD5A646" w14:textId="77777777" w:rsidR="00BC1364" w:rsidRPr="00D90A38" w:rsidRDefault="00BC1364" w:rsidP="007B32D1">
      <w:pPr>
        <w:pStyle w:val="Heading1"/>
        <w:numPr>
          <w:ilvl w:val="0"/>
          <w:numId w:val="23"/>
        </w:numPr>
        <w:ind w:hanging="720"/>
      </w:pPr>
      <w:r w:rsidRPr="00D90A38">
        <w:t>Prerequisites to implementation of any funding advice</w:t>
      </w:r>
    </w:p>
    <w:p w14:paraId="78588679" w14:textId="77777777" w:rsidR="00BC1364" w:rsidRPr="00DF497D" w:rsidRDefault="00BC1364" w:rsidP="00DF497D">
      <w:pPr>
        <w:tabs>
          <w:tab w:val="left" w:pos="720"/>
          <w:tab w:val="left" w:pos="1140"/>
        </w:tabs>
        <w:rPr>
          <w:szCs w:val="24"/>
        </w:rPr>
      </w:pPr>
    </w:p>
    <w:p w14:paraId="772BC5E4" w14:textId="77777777" w:rsidR="00BC1364" w:rsidRPr="00545277" w:rsidRDefault="00545277" w:rsidP="009E0D98">
      <w:pPr>
        <w:tabs>
          <w:tab w:val="left" w:pos="720"/>
          <w:tab w:val="left" w:pos="1140"/>
        </w:tabs>
        <w:rPr>
          <w:szCs w:val="24"/>
        </w:rPr>
      </w:pPr>
      <w:r w:rsidRPr="00545277">
        <w:rPr>
          <w:szCs w:val="24"/>
        </w:rPr>
        <w:t>Nil</w:t>
      </w:r>
    </w:p>
    <w:p w14:paraId="6553B86F" w14:textId="77777777" w:rsidR="00BC1364" w:rsidRPr="00DF497D" w:rsidRDefault="00BC1364" w:rsidP="009E0D98">
      <w:pPr>
        <w:tabs>
          <w:tab w:val="left" w:pos="720"/>
          <w:tab w:val="left" w:pos="1140"/>
        </w:tabs>
        <w:rPr>
          <w:szCs w:val="24"/>
        </w:rPr>
      </w:pPr>
    </w:p>
    <w:p w14:paraId="57D756DC" w14:textId="77777777" w:rsidR="00BC1364" w:rsidRPr="007B32D1" w:rsidRDefault="00BC1364" w:rsidP="007B32D1">
      <w:pPr>
        <w:pStyle w:val="Heading1"/>
        <w:numPr>
          <w:ilvl w:val="0"/>
          <w:numId w:val="23"/>
        </w:numPr>
        <w:ind w:hanging="720"/>
      </w:pPr>
      <w:r w:rsidRPr="007B32D1">
        <w:t>Proposal for public funding</w:t>
      </w:r>
    </w:p>
    <w:p w14:paraId="7B2C1C45" w14:textId="77777777" w:rsidR="000468B6" w:rsidRPr="000468B6" w:rsidRDefault="000468B6" w:rsidP="009A631D">
      <w:pPr>
        <w:rPr>
          <w:szCs w:val="24"/>
        </w:rPr>
      </w:pPr>
    </w:p>
    <w:p w14:paraId="664587EA" w14:textId="77777777" w:rsidR="009A631D" w:rsidRPr="00393DD3" w:rsidRDefault="009A631D" w:rsidP="009A631D">
      <w:pPr>
        <w:rPr>
          <w:szCs w:val="24"/>
          <w:u w:val="single"/>
        </w:rPr>
      </w:pPr>
      <w:r w:rsidRPr="00393DD3">
        <w:rPr>
          <w:szCs w:val="24"/>
          <w:u w:val="single"/>
        </w:rPr>
        <w:t>Affected individuals</w:t>
      </w:r>
    </w:p>
    <w:p w14:paraId="147BF7CC" w14:textId="77777777" w:rsidR="009A631D" w:rsidRPr="00393DD3" w:rsidRDefault="009A631D" w:rsidP="009A631D">
      <w:pPr>
        <w:rPr>
          <w:rFonts w:eastAsia="Calibri"/>
        </w:rPr>
      </w:pPr>
      <w:r w:rsidRPr="00393DD3">
        <w:rPr>
          <w:rFonts w:eastAsia="Calibri"/>
          <w:iCs/>
        </w:rPr>
        <w:t xml:space="preserve">“Characterisation of germline gene variants, including at minimum </w:t>
      </w:r>
      <w:r w:rsidRPr="000473F9">
        <w:rPr>
          <w:rFonts w:eastAsia="Calibri"/>
          <w:i/>
          <w:iCs/>
        </w:rPr>
        <w:t>BRCA1</w:t>
      </w:r>
      <w:r w:rsidRPr="00393DD3">
        <w:rPr>
          <w:rFonts w:eastAsia="Calibri"/>
          <w:iCs/>
        </w:rPr>
        <w:t xml:space="preserve"> and/or </w:t>
      </w:r>
      <w:r w:rsidRPr="000473F9">
        <w:rPr>
          <w:rFonts w:eastAsia="Calibri"/>
          <w:i/>
          <w:iCs/>
        </w:rPr>
        <w:t>BRCA2</w:t>
      </w:r>
      <w:r w:rsidR="005C40BC" w:rsidRPr="005C40BC">
        <w:rPr>
          <w:rFonts w:eastAsia="Calibri"/>
          <w:iCs/>
        </w:rPr>
        <w:t xml:space="preserve"> </w:t>
      </w:r>
      <w:r w:rsidRPr="00393DD3">
        <w:rPr>
          <w:rFonts w:eastAsia="Calibri"/>
          <w:iCs/>
        </w:rPr>
        <w:t>genes, in a patient with breast or ovarian cancer, in whom clinical and family history criteria have been determined by a treating specialist to be strongly suggestive of heritable breast/ovarian cancer predisposition based on the following criteria:</w:t>
      </w:r>
    </w:p>
    <w:p w14:paraId="72DE1423" w14:textId="77777777" w:rsidR="009A631D" w:rsidRPr="00393DD3" w:rsidRDefault="009A631D" w:rsidP="009A631D">
      <w:pPr>
        <w:numPr>
          <w:ilvl w:val="0"/>
          <w:numId w:val="26"/>
        </w:numPr>
      </w:pPr>
      <w:r w:rsidRPr="00393DD3">
        <w:rPr>
          <w:iCs/>
        </w:rPr>
        <w:t>A patient with breast and/or ovarian cancer whose personal or family history of cancer using a mutation prediction score predicts a combined mutation carrier probability of &gt;10% according to either BOADICEA, BRCAPRO or pathology-adjusted Manchester score (combined score of 16 or greater) OR</w:t>
      </w:r>
    </w:p>
    <w:p w14:paraId="4CB78A69" w14:textId="77777777" w:rsidR="009A631D" w:rsidRPr="00393DD3" w:rsidRDefault="009A631D" w:rsidP="009A631D">
      <w:pPr>
        <w:numPr>
          <w:ilvl w:val="0"/>
          <w:numId w:val="26"/>
        </w:numPr>
      </w:pPr>
      <w:r w:rsidRPr="00393DD3">
        <w:rPr>
          <w:iCs/>
        </w:rPr>
        <w:t xml:space="preserve">A patient </w:t>
      </w:r>
      <w:r>
        <w:rPr>
          <w:iCs/>
        </w:rPr>
        <w:t>with one or more of the following:</w:t>
      </w:r>
    </w:p>
    <w:p w14:paraId="3845B630" w14:textId="77777777" w:rsidR="009A631D" w:rsidRPr="00393DD3" w:rsidRDefault="009A631D" w:rsidP="009A631D">
      <w:pPr>
        <w:numPr>
          <w:ilvl w:val="1"/>
          <w:numId w:val="26"/>
        </w:numPr>
      </w:pPr>
      <w:r w:rsidRPr="00393DD3">
        <w:rPr>
          <w:iCs/>
        </w:rPr>
        <w:t>triple negative b</w:t>
      </w:r>
      <w:r>
        <w:rPr>
          <w:iCs/>
        </w:rPr>
        <w:t>reast cancer and aged ≤40 years</w:t>
      </w:r>
    </w:p>
    <w:p w14:paraId="656B1352" w14:textId="77777777" w:rsidR="009A631D" w:rsidRPr="00393DD3" w:rsidRDefault="009A631D" w:rsidP="009A631D">
      <w:pPr>
        <w:numPr>
          <w:ilvl w:val="1"/>
          <w:numId w:val="26"/>
        </w:numPr>
      </w:pPr>
      <w:r w:rsidRPr="00393DD3">
        <w:rPr>
          <w:iCs/>
        </w:rPr>
        <w:t>isolated high grade (Grades 2 &amp; 3) invasive non-mucinous ovarian, fallopian tube or primary peritoneal cancer aged ≤70 years</w:t>
      </w:r>
    </w:p>
    <w:p w14:paraId="57D1205B" w14:textId="77777777" w:rsidR="009A631D" w:rsidRPr="00393DD3" w:rsidRDefault="009A631D" w:rsidP="009A631D">
      <w:pPr>
        <w:numPr>
          <w:ilvl w:val="1"/>
          <w:numId w:val="26"/>
        </w:numPr>
      </w:pPr>
      <w:r w:rsidRPr="00393DD3">
        <w:rPr>
          <w:iCs/>
        </w:rPr>
        <w:t>invasive non-mucinous ovarian, fallopian tube or primary peritoneal cancer at any age and a family hist</w:t>
      </w:r>
      <w:r>
        <w:rPr>
          <w:iCs/>
        </w:rPr>
        <w:t>ory of breast or ovarian cancer</w:t>
      </w:r>
    </w:p>
    <w:p w14:paraId="0CD32EA9" w14:textId="77777777" w:rsidR="009A631D" w:rsidRPr="000473F9" w:rsidRDefault="009A631D" w:rsidP="009A631D">
      <w:pPr>
        <w:numPr>
          <w:ilvl w:val="1"/>
          <w:numId w:val="26"/>
        </w:numPr>
        <w:ind w:left="1434" w:hanging="357"/>
      </w:pPr>
      <w:proofErr w:type="gramStart"/>
      <w:r w:rsidRPr="00393DD3">
        <w:rPr>
          <w:iCs/>
        </w:rPr>
        <w:t>personal</w:t>
      </w:r>
      <w:proofErr w:type="gramEnd"/>
      <w:r w:rsidRPr="00393DD3">
        <w:rPr>
          <w:iCs/>
        </w:rPr>
        <w:t xml:space="preserve"> and/or family history of breast and/or ovarian cancer, from a population where a common founder mutation exists.”</w:t>
      </w:r>
    </w:p>
    <w:p w14:paraId="1CB1B694" w14:textId="77777777" w:rsidR="009A631D" w:rsidRPr="000473F9" w:rsidRDefault="009A631D" w:rsidP="009A631D"/>
    <w:p w14:paraId="68B6138B" w14:textId="77777777" w:rsidR="009A631D" w:rsidRPr="000473F9" w:rsidRDefault="009A631D" w:rsidP="009A631D">
      <w:r w:rsidRPr="000473F9">
        <w:rPr>
          <w:szCs w:val="24"/>
          <w:u w:val="single"/>
        </w:rPr>
        <w:t>Family members</w:t>
      </w:r>
    </w:p>
    <w:p w14:paraId="2C18BC26" w14:textId="77777777" w:rsidR="009A631D" w:rsidRPr="00393DD3" w:rsidRDefault="009A631D" w:rsidP="009A631D">
      <w:pPr>
        <w:rPr>
          <w:szCs w:val="24"/>
        </w:rPr>
      </w:pPr>
      <w:r w:rsidRPr="00393DD3">
        <w:rPr>
          <w:iCs/>
        </w:rPr>
        <w:t>“Request by a specialist familial cancer physician for the detection of a previously identified single gene variant, in a relative of a patient with known breast or ovarian cancer where previous genetic testing has detected a variant causative of hereditary familial cancer predisposition.</w:t>
      </w:r>
      <w:r>
        <w:rPr>
          <w:iCs/>
        </w:rPr>
        <w:t>”</w:t>
      </w:r>
    </w:p>
    <w:p w14:paraId="4BF6D2EC" w14:textId="77777777" w:rsidR="00DF497D" w:rsidRDefault="00DF497D" w:rsidP="00DF497D"/>
    <w:p w14:paraId="57068EC2" w14:textId="3E58D793" w:rsidR="00DF497D" w:rsidRDefault="000468B6" w:rsidP="00DF497D">
      <w:r>
        <w:t xml:space="preserve">Using this application as a prototype, </w:t>
      </w:r>
      <w:r w:rsidR="00DF497D">
        <w:t xml:space="preserve">MSAC proposed the following simplification of the item descriptors for </w:t>
      </w:r>
      <w:r w:rsidR="00261195">
        <w:t xml:space="preserve">applications using the </w:t>
      </w:r>
      <w:r w:rsidR="00DF497D">
        <w:t>CUC</w:t>
      </w:r>
      <w:r w:rsidR="00A57C77">
        <w:t xml:space="preserve"> </w:t>
      </w:r>
      <w:r w:rsidR="00261195">
        <w:t>pro</w:t>
      </w:r>
      <w:r w:rsidR="00C177F5">
        <w:t xml:space="preserve"> </w:t>
      </w:r>
      <w:r w:rsidR="00261195">
        <w:t>forma to apply</w:t>
      </w:r>
      <w:r w:rsidR="00A57C77">
        <w:t xml:space="preserve"> </w:t>
      </w:r>
      <w:r w:rsidR="00DF497D">
        <w:t xml:space="preserve">for </w:t>
      </w:r>
      <w:r w:rsidR="00A57C77">
        <w:t>public funding of</w:t>
      </w:r>
      <w:r w:rsidR="00261195">
        <w:t xml:space="preserve"> </w:t>
      </w:r>
      <w:r w:rsidR="00DF497D">
        <w:t>genetic testing.</w:t>
      </w:r>
    </w:p>
    <w:p w14:paraId="319F9F50" w14:textId="6CE0C6B9" w:rsidR="00E323A3" w:rsidRDefault="00E323A3">
      <w:r>
        <w:br w:type="page"/>
      </w:r>
    </w:p>
    <w:p w14:paraId="53AF9D0C" w14:textId="77777777" w:rsidR="009A631D" w:rsidRPr="009A631D" w:rsidRDefault="009A631D" w:rsidP="000468B6">
      <w:pPr>
        <w:numPr>
          <w:ilvl w:val="0"/>
          <w:numId w:val="26"/>
        </w:numPr>
        <w:rPr>
          <w:szCs w:val="24"/>
          <w:u w:val="single"/>
        </w:rPr>
      </w:pPr>
      <w:r w:rsidRPr="009A631D">
        <w:rPr>
          <w:szCs w:val="24"/>
          <w:u w:val="single"/>
        </w:rPr>
        <w:lastRenderedPageBreak/>
        <w:t xml:space="preserve">Diagnostic </w:t>
      </w:r>
      <w:r w:rsidR="000468B6">
        <w:rPr>
          <w:szCs w:val="24"/>
          <w:u w:val="single"/>
        </w:rPr>
        <w:t xml:space="preserve">genetic </w:t>
      </w:r>
      <w:r w:rsidRPr="009A631D">
        <w:rPr>
          <w:szCs w:val="24"/>
          <w:u w:val="single"/>
        </w:rPr>
        <w:t>testing</w:t>
      </w:r>
      <w:r w:rsidR="000468B6">
        <w:rPr>
          <w:szCs w:val="24"/>
          <w:u w:val="single"/>
        </w:rPr>
        <w:t xml:space="preserve"> of affected individuals</w:t>
      </w:r>
    </w:p>
    <w:p w14:paraId="1328BF29" w14:textId="77777777" w:rsidR="009A631D" w:rsidRPr="009A631D" w:rsidRDefault="009A631D" w:rsidP="009A631D">
      <w:pPr>
        <w:pStyle w:val="ListParagraph"/>
        <w:rPr>
          <w:rFonts w:eastAsia="Calibri"/>
          <w:iCs/>
        </w:rPr>
      </w:pPr>
      <w:r w:rsidRPr="009A631D">
        <w:rPr>
          <w:rFonts w:eastAsia="Calibri"/>
          <w:iCs/>
        </w:rPr>
        <w:t xml:space="preserve">“Characterisation of germline gene variants in one or more of the following genes </w:t>
      </w:r>
      <w:r>
        <w:rPr>
          <w:rFonts w:eastAsia="Calibri"/>
          <w:iCs/>
        </w:rPr>
        <w:t>[</w:t>
      </w:r>
      <w:r w:rsidRPr="000468B6">
        <w:rPr>
          <w:rFonts w:eastAsia="Calibri"/>
          <w:i/>
          <w:iCs/>
        </w:rPr>
        <w:t>BRCA1</w:t>
      </w:r>
      <w:r w:rsidRPr="009A631D">
        <w:rPr>
          <w:rFonts w:eastAsia="Calibri"/>
          <w:iCs/>
        </w:rPr>
        <w:t xml:space="preserve">, </w:t>
      </w:r>
      <w:r w:rsidRPr="000468B6">
        <w:rPr>
          <w:rFonts w:eastAsia="Calibri"/>
          <w:i/>
          <w:iCs/>
        </w:rPr>
        <w:t>BRCA2</w:t>
      </w:r>
      <w:r w:rsidRPr="009A631D">
        <w:rPr>
          <w:rFonts w:eastAsia="Calibri"/>
          <w:iCs/>
        </w:rPr>
        <w:t xml:space="preserve">, </w:t>
      </w:r>
      <w:r w:rsidRPr="000468B6">
        <w:rPr>
          <w:i/>
        </w:rPr>
        <w:t>STK11</w:t>
      </w:r>
      <w:r w:rsidRPr="00697980">
        <w:t xml:space="preserve">, </w:t>
      </w:r>
      <w:r w:rsidRPr="000468B6">
        <w:rPr>
          <w:i/>
        </w:rPr>
        <w:t>PTEN</w:t>
      </w:r>
      <w:r w:rsidRPr="00697980">
        <w:t xml:space="preserve">, </w:t>
      </w:r>
      <w:r w:rsidRPr="000468B6">
        <w:rPr>
          <w:i/>
        </w:rPr>
        <w:t>CDH1</w:t>
      </w:r>
      <w:r w:rsidRPr="00697980">
        <w:t xml:space="preserve">, </w:t>
      </w:r>
      <w:r w:rsidRPr="000468B6">
        <w:rPr>
          <w:i/>
        </w:rPr>
        <w:t>PALB2</w:t>
      </w:r>
      <w:r w:rsidRPr="00697980">
        <w:t>,</w:t>
      </w:r>
      <w:r w:rsidRPr="007124B5">
        <w:t xml:space="preserve"> and </w:t>
      </w:r>
      <w:r w:rsidRPr="000468B6">
        <w:rPr>
          <w:i/>
        </w:rPr>
        <w:t>TP53</w:t>
      </w:r>
      <w:r>
        <w:t>]</w:t>
      </w:r>
      <w:r w:rsidRPr="009A631D">
        <w:rPr>
          <w:rFonts w:eastAsia="Calibri"/>
          <w:iCs/>
        </w:rPr>
        <w:t xml:space="preserve">, in a patient with </w:t>
      </w:r>
      <w:r>
        <w:rPr>
          <w:rFonts w:eastAsia="Calibri"/>
          <w:iCs/>
        </w:rPr>
        <w:t>[</w:t>
      </w:r>
      <w:r w:rsidRPr="009A631D">
        <w:rPr>
          <w:rFonts w:eastAsia="Calibri"/>
          <w:iCs/>
        </w:rPr>
        <w:t>breast or ovarian cancer</w:t>
      </w:r>
      <w:r>
        <w:rPr>
          <w:rFonts w:eastAsia="Calibri"/>
          <w:iCs/>
        </w:rPr>
        <w:t>]</w:t>
      </w:r>
      <w:r w:rsidRPr="009A631D">
        <w:rPr>
          <w:rFonts w:eastAsia="Calibri"/>
          <w:iCs/>
        </w:rPr>
        <w:t xml:space="preserve"> </w:t>
      </w:r>
      <w:r w:rsidR="00C018FB">
        <w:rPr>
          <w:rFonts w:eastAsia="Calibri"/>
          <w:iCs/>
        </w:rPr>
        <w:t>for</w:t>
      </w:r>
      <w:r w:rsidRPr="009A631D">
        <w:rPr>
          <w:rFonts w:eastAsia="Calibri"/>
          <w:iCs/>
        </w:rPr>
        <w:t xml:space="preserve"> whom clinical and family history criteria, as assessed by a treating specialist using a quantitative algorithm, place the patient at </w:t>
      </w:r>
      <w:r w:rsidR="004006F3">
        <w:rPr>
          <w:rFonts w:eastAsia="Calibri"/>
          <w:iCs/>
        </w:rPr>
        <w:t>[</w:t>
      </w:r>
      <w:r w:rsidRPr="009A631D">
        <w:rPr>
          <w:rFonts w:eastAsia="Calibri"/>
          <w:iCs/>
        </w:rPr>
        <w:t>&gt;10%</w:t>
      </w:r>
      <w:r w:rsidR="004006F3">
        <w:rPr>
          <w:rFonts w:eastAsia="Calibri"/>
          <w:iCs/>
        </w:rPr>
        <w:t>]</w:t>
      </w:r>
      <w:r w:rsidRPr="009A631D">
        <w:rPr>
          <w:rFonts w:eastAsia="Calibri"/>
          <w:iCs/>
        </w:rPr>
        <w:t xml:space="preserve"> risk of having a clinically actionable pathogenic mutation identified”.</w:t>
      </w:r>
    </w:p>
    <w:p w14:paraId="1D3A4DA8" w14:textId="77777777" w:rsidR="009A631D" w:rsidRPr="000473F9" w:rsidRDefault="009A631D" w:rsidP="00C018FB"/>
    <w:p w14:paraId="60C1DDA0" w14:textId="77777777" w:rsidR="009A631D" w:rsidRPr="000473F9" w:rsidRDefault="009A631D" w:rsidP="000468B6">
      <w:pPr>
        <w:numPr>
          <w:ilvl w:val="0"/>
          <w:numId w:val="26"/>
        </w:numPr>
      </w:pPr>
      <w:r w:rsidRPr="009A631D">
        <w:rPr>
          <w:szCs w:val="24"/>
          <w:u w:val="single"/>
        </w:rPr>
        <w:t xml:space="preserve">Predictive </w:t>
      </w:r>
      <w:r w:rsidR="000468B6">
        <w:rPr>
          <w:szCs w:val="24"/>
          <w:u w:val="single"/>
        </w:rPr>
        <w:t xml:space="preserve">genetic </w:t>
      </w:r>
      <w:r w:rsidRPr="009A631D">
        <w:rPr>
          <w:szCs w:val="24"/>
          <w:u w:val="single"/>
        </w:rPr>
        <w:t>testing</w:t>
      </w:r>
      <w:r w:rsidR="000468B6">
        <w:rPr>
          <w:szCs w:val="24"/>
          <w:u w:val="single"/>
        </w:rPr>
        <w:t xml:space="preserve"> of family members</w:t>
      </w:r>
    </w:p>
    <w:p w14:paraId="08603ACA" w14:textId="5632BFA0" w:rsidR="009A631D" w:rsidRPr="009A631D" w:rsidRDefault="009A631D" w:rsidP="009A631D">
      <w:pPr>
        <w:pStyle w:val="ListParagraph"/>
        <w:rPr>
          <w:iCs/>
        </w:rPr>
      </w:pPr>
      <w:r w:rsidRPr="009A631D">
        <w:rPr>
          <w:iCs/>
        </w:rPr>
        <w:t xml:space="preserve">“Request by a clinical geneticist, or a medical specialist providing professional genetic counselling services, for the detection of a </w:t>
      </w:r>
      <w:r w:rsidR="00C018FB">
        <w:rPr>
          <w:iCs/>
        </w:rPr>
        <w:t xml:space="preserve">clinically </w:t>
      </w:r>
      <w:r>
        <w:rPr>
          <w:iCs/>
        </w:rPr>
        <w:t xml:space="preserve">actionable </w:t>
      </w:r>
      <w:r w:rsidR="00C018FB">
        <w:rPr>
          <w:iCs/>
        </w:rPr>
        <w:t xml:space="preserve">pathogenic </w:t>
      </w:r>
      <w:r w:rsidRPr="009A631D">
        <w:rPr>
          <w:iCs/>
        </w:rPr>
        <w:t>mutation previously identified in a gene listed in Item XXXX in a relative.</w:t>
      </w:r>
      <w:r w:rsidR="000468B6">
        <w:rPr>
          <w:iCs/>
        </w:rPr>
        <w:t>”</w:t>
      </w:r>
    </w:p>
    <w:p w14:paraId="6EBC0DEE" w14:textId="77777777" w:rsidR="000468B6" w:rsidRDefault="000468B6" w:rsidP="00DF497D"/>
    <w:p w14:paraId="3F6F464B" w14:textId="2139F4B3" w:rsidR="00DF497D" w:rsidRDefault="00DF497D" w:rsidP="00DF497D">
      <w:r>
        <w:t xml:space="preserve">Text in square brackets (relating to the </w:t>
      </w:r>
      <w:r w:rsidR="00A57C77">
        <w:t>“</w:t>
      </w:r>
      <w:r w:rsidR="00261195">
        <w:t>star performer</w:t>
      </w:r>
      <w:r w:rsidR="00A57C77">
        <w:t>”</w:t>
      </w:r>
      <w:r w:rsidR="00261195">
        <w:t xml:space="preserve"> </w:t>
      </w:r>
      <w:r w:rsidR="000468B6">
        <w:t xml:space="preserve">and secondary </w:t>
      </w:r>
      <w:r w:rsidR="009A631D">
        <w:t>genetic targets</w:t>
      </w:r>
      <w:r>
        <w:t xml:space="preserve">, the medical condition, and the threshold risk of having a clinically actionable pathogenic mutation identified in affected individuals) would need to be </w:t>
      </w:r>
      <w:r w:rsidR="00261195">
        <w:t xml:space="preserve">completed </w:t>
      </w:r>
      <w:r>
        <w:t>for each application</w:t>
      </w:r>
      <w:r w:rsidR="00261195">
        <w:t xml:space="preserve"> to MSAC for new clinical conditions</w:t>
      </w:r>
      <w:r>
        <w:t xml:space="preserve">. </w:t>
      </w:r>
      <w:r w:rsidR="00261195">
        <w:t>MSAC noted that the threshold for diagnostic testing may differ by clinical condition. For each clinical condition</w:t>
      </w:r>
      <w:r w:rsidR="00491BF1">
        <w:t>,</w:t>
      </w:r>
      <w:r w:rsidR="00261195">
        <w:t xml:space="preserve"> c</w:t>
      </w:r>
      <w:r>
        <w:t xml:space="preserve">onsideration should be given </w:t>
      </w:r>
      <w:r w:rsidR="00491BF1">
        <w:t xml:space="preserve">to including the specific criteria for meeting the threshold risk of having a clinically actionable pathogenic mutation. This information should be incorporated in the </w:t>
      </w:r>
      <w:r>
        <w:t xml:space="preserve">item </w:t>
      </w:r>
      <w:r w:rsidRPr="0014286C">
        <w:rPr>
          <w:iCs/>
        </w:rPr>
        <w:t>descriptor</w:t>
      </w:r>
      <w:r>
        <w:t xml:space="preserve"> for </w:t>
      </w:r>
      <w:r w:rsidR="000468B6">
        <w:t xml:space="preserve">diagnostic genetic testing of </w:t>
      </w:r>
      <w:r>
        <w:t>affected individuals</w:t>
      </w:r>
      <w:r w:rsidR="00491BF1">
        <w:t xml:space="preserve">. MSAC considered it was particularly important to define the threshold for testing where practices were likely to vary between </w:t>
      </w:r>
      <w:r>
        <w:t>specialists</w:t>
      </w:r>
      <w:r w:rsidR="00491BF1">
        <w:t xml:space="preserve">. The threshold for testing was likely </w:t>
      </w:r>
      <w:r w:rsidR="004A6234">
        <w:t xml:space="preserve">to </w:t>
      </w:r>
      <w:r w:rsidR="00491BF1">
        <w:t xml:space="preserve">be particularly variable in relation to the </w:t>
      </w:r>
      <w:r w:rsidR="009A631D">
        <w:t>secondary genetic targets</w:t>
      </w:r>
      <w:r w:rsidR="00491BF1">
        <w:t xml:space="preserve"> </w:t>
      </w:r>
      <w:r w:rsidR="00C177F5">
        <w:t>i</w:t>
      </w:r>
      <w:r w:rsidR="00491BF1">
        <w:t>n the panels</w:t>
      </w:r>
      <w:r w:rsidR="00C177F5">
        <w:t xml:space="preserve"> of genes for testing.</w:t>
      </w:r>
    </w:p>
    <w:p w14:paraId="2AE87534" w14:textId="77777777" w:rsidR="00DF497D" w:rsidRDefault="00DF497D" w:rsidP="00DF497D"/>
    <w:p w14:paraId="32E50A15" w14:textId="77777777" w:rsidR="00BC1364" w:rsidRPr="007B32D1" w:rsidRDefault="00BC1364" w:rsidP="007B32D1">
      <w:pPr>
        <w:pStyle w:val="Heading1"/>
        <w:numPr>
          <w:ilvl w:val="0"/>
          <w:numId w:val="23"/>
        </w:numPr>
        <w:ind w:hanging="720"/>
      </w:pPr>
      <w:r w:rsidRPr="007B32D1">
        <w:t xml:space="preserve">Summary of </w:t>
      </w:r>
      <w:r w:rsidR="003D7F29">
        <w:t>Public Consultation</w:t>
      </w:r>
      <w:r w:rsidRPr="007B32D1">
        <w:t xml:space="preserve"> Feedback</w:t>
      </w:r>
      <w:r w:rsidR="003D7F29">
        <w:t>/Consumer Issues</w:t>
      </w:r>
    </w:p>
    <w:p w14:paraId="17C09854" w14:textId="77777777" w:rsidR="00BC1364" w:rsidRPr="001F0D98" w:rsidRDefault="00BC1364" w:rsidP="00DD2858">
      <w:pPr>
        <w:rPr>
          <w:szCs w:val="24"/>
        </w:rPr>
      </w:pPr>
    </w:p>
    <w:p w14:paraId="52A09A0B" w14:textId="77777777" w:rsidR="00545277" w:rsidRDefault="00545277" w:rsidP="00545277">
      <w:r>
        <w:t>There were access and equity concerns in terms of the availability of the service and genetic counselling for rural and lower s</w:t>
      </w:r>
      <w:r w:rsidR="001F0D98">
        <w:t xml:space="preserve">ocio-economic status patients. </w:t>
      </w:r>
      <w:r>
        <w:t>The latter was difficult to predict at the time of assessment due to uncertainties of cost effectiveness. Consumers were supportive of accurate early detection of cancers so that families can make decisions.</w:t>
      </w:r>
    </w:p>
    <w:p w14:paraId="7642756E" w14:textId="77777777" w:rsidR="00BC1364" w:rsidRPr="001F0D98" w:rsidRDefault="00BC1364" w:rsidP="00DD2858">
      <w:pPr>
        <w:rPr>
          <w:szCs w:val="24"/>
        </w:rPr>
      </w:pPr>
    </w:p>
    <w:p w14:paraId="6E9FEA34" w14:textId="77777777" w:rsidR="00BC1364" w:rsidRDefault="00BC1364" w:rsidP="007B32D1">
      <w:pPr>
        <w:pStyle w:val="Heading1"/>
        <w:numPr>
          <w:ilvl w:val="0"/>
          <w:numId w:val="23"/>
        </w:numPr>
        <w:ind w:hanging="720"/>
      </w:pPr>
      <w:r w:rsidRPr="00D90A38">
        <w:t>Proposed intervention’s place in clinical management</w:t>
      </w:r>
    </w:p>
    <w:p w14:paraId="07E8C6CD" w14:textId="77777777" w:rsidR="00BC1364" w:rsidRPr="001F0D98" w:rsidRDefault="00BC1364" w:rsidP="00DD2858">
      <w:pPr>
        <w:rPr>
          <w:szCs w:val="24"/>
        </w:rPr>
      </w:pPr>
    </w:p>
    <w:p w14:paraId="081F6E55" w14:textId="77777777" w:rsidR="00545277" w:rsidRDefault="001F0D98" w:rsidP="00DD2858">
      <w:pPr>
        <w:rPr>
          <w:szCs w:val="24"/>
        </w:rPr>
      </w:pPr>
      <w:r>
        <w:rPr>
          <w:szCs w:val="24"/>
        </w:rPr>
        <w:t>Genetic testing was proposed to be added to the management of populations selected for being of elevated risk of having an inherited mutation in particular genes, for whom a genetic diagnosis would improve overall subsequent clinical management.</w:t>
      </w:r>
    </w:p>
    <w:p w14:paraId="38D86DC6" w14:textId="77777777" w:rsidR="00545277" w:rsidRPr="00545277" w:rsidRDefault="00545277" w:rsidP="00DD2858">
      <w:pPr>
        <w:rPr>
          <w:szCs w:val="24"/>
        </w:rPr>
      </w:pPr>
    </w:p>
    <w:p w14:paraId="61F815ED" w14:textId="77777777" w:rsidR="00BC1364" w:rsidRPr="008D5885" w:rsidRDefault="001F0D98" w:rsidP="007B32D1">
      <w:pPr>
        <w:pStyle w:val="Heading1"/>
        <w:numPr>
          <w:ilvl w:val="0"/>
          <w:numId w:val="23"/>
        </w:numPr>
        <w:ind w:hanging="720"/>
      </w:pPr>
      <w:r>
        <w:t>Comparator</w:t>
      </w:r>
    </w:p>
    <w:p w14:paraId="056E0C81" w14:textId="77777777" w:rsidR="00BC1364" w:rsidRPr="001F0D98" w:rsidRDefault="00BC1364" w:rsidP="00DD2858">
      <w:pPr>
        <w:rPr>
          <w:szCs w:val="24"/>
        </w:rPr>
      </w:pPr>
    </w:p>
    <w:p w14:paraId="69E25773" w14:textId="77777777" w:rsidR="00DB5833" w:rsidRPr="00D53243" w:rsidRDefault="00D53243" w:rsidP="00DB5833">
      <w:pPr>
        <w:tabs>
          <w:tab w:val="num" w:pos="426"/>
        </w:tabs>
        <w:rPr>
          <w:szCs w:val="24"/>
        </w:rPr>
      </w:pPr>
      <w:r w:rsidRPr="00D53243">
        <w:t>N</w:t>
      </w:r>
      <w:r w:rsidR="001F0D98">
        <w:t>o genetic testing of the proposed populations</w:t>
      </w:r>
      <w:r w:rsidRPr="00D53243">
        <w:t>.</w:t>
      </w:r>
    </w:p>
    <w:p w14:paraId="2B41C586" w14:textId="77777777" w:rsidR="00BC1364" w:rsidRPr="001F0D98" w:rsidRDefault="00BC1364" w:rsidP="004539DE">
      <w:pPr>
        <w:rPr>
          <w:szCs w:val="24"/>
        </w:rPr>
      </w:pPr>
    </w:p>
    <w:p w14:paraId="15436AFE" w14:textId="77777777" w:rsidR="00BC1364" w:rsidRPr="008D5885" w:rsidRDefault="00BC1364" w:rsidP="007B32D1">
      <w:pPr>
        <w:pStyle w:val="Heading1"/>
        <w:numPr>
          <w:ilvl w:val="0"/>
          <w:numId w:val="23"/>
        </w:numPr>
        <w:ind w:hanging="720"/>
      </w:pPr>
      <w:r w:rsidRPr="008D5885">
        <w:t>Comparative safety</w:t>
      </w:r>
    </w:p>
    <w:p w14:paraId="566C466C" w14:textId="77777777" w:rsidR="00BC1364" w:rsidRPr="001F0D98" w:rsidRDefault="00BC1364" w:rsidP="00DD2858">
      <w:pPr>
        <w:pStyle w:val="ListParagraph"/>
        <w:ind w:left="0"/>
        <w:rPr>
          <w:szCs w:val="24"/>
        </w:rPr>
      </w:pPr>
    </w:p>
    <w:p w14:paraId="12D68743" w14:textId="77777777" w:rsidR="00DB5833" w:rsidRPr="00D53243" w:rsidRDefault="001F0D98" w:rsidP="00DB5833">
      <w:pPr>
        <w:tabs>
          <w:tab w:val="left" w:pos="720"/>
          <w:tab w:val="left" w:pos="1140"/>
        </w:tabs>
        <w:rPr>
          <w:szCs w:val="24"/>
        </w:rPr>
      </w:pPr>
      <w:r>
        <w:rPr>
          <w:szCs w:val="24"/>
        </w:rPr>
        <w:t>See CUC</w:t>
      </w:r>
      <w:r w:rsidR="00D53243" w:rsidRPr="00D53243">
        <w:rPr>
          <w:szCs w:val="24"/>
        </w:rPr>
        <w:t>.</w:t>
      </w:r>
    </w:p>
    <w:p w14:paraId="4B0FC9A4" w14:textId="77777777" w:rsidR="00BC1364" w:rsidRPr="001F0D98" w:rsidRDefault="00BC1364" w:rsidP="00DD2858">
      <w:pPr>
        <w:pStyle w:val="ListParagraph"/>
        <w:ind w:left="0"/>
        <w:rPr>
          <w:szCs w:val="24"/>
        </w:rPr>
      </w:pPr>
    </w:p>
    <w:p w14:paraId="37B76A2D" w14:textId="77777777" w:rsidR="00BC1364" w:rsidRPr="008D5885" w:rsidRDefault="00BC1364" w:rsidP="007B32D1">
      <w:pPr>
        <w:pStyle w:val="Heading1"/>
        <w:numPr>
          <w:ilvl w:val="0"/>
          <w:numId w:val="23"/>
        </w:numPr>
        <w:ind w:hanging="720"/>
      </w:pPr>
      <w:r w:rsidRPr="008D5885">
        <w:t>Comparative effectiveness</w:t>
      </w:r>
    </w:p>
    <w:p w14:paraId="127112C6" w14:textId="77777777" w:rsidR="00BC1364" w:rsidRPr="001F0D98" w:rsidRDefault="00BC1364" w:rsidP="00DD2858"/>
    <w:p w14:paraId="16E9E1EA" w14:textId="77777777" w:rsidR="00DB5833" w:rsidRPr="00D53243" w:rsidRDefault="001F0D98" w:rsidP="00DB5833">
      <w:pPr>
        <w:tabs>
          <w:tab w:val="left" w:pos="720"/>
          <w:tab w:val="left" w:pos="1140"/>
        </w:tabs>
        <w:rPr>
          <w:szCs w:val="24"/>
        </w:rPr>
      </w:pPr>
      <w:r>
        <w:rPr>
          <w:szCs w:val="24"/>
        </w:rPr>
        <w:t>See CUC</w:t>
      </w:r>
      <w:r w:rsidR="00D53243" w:rsidRPr="00D53243">
        <w:rPr>
          <w:szCs w:val="24"/>
        </w:rPr>
        <w:t>.</w:t>
      </w:r>
    </w:p>
    <w:p w14:paraId="258C9963" w14:textId="2D7473FA" w:rsidR="00E323A3" w:rsidRDefault="00E323A3">
      <w:pPr>
        <w:rPr>
          <w:szCs w:val="24"/>
        </w:rPr>
      </w:pPr>
      <w:r>
        <w:rPr>
          <w:szCs w:val="24"/>
        </w:rPr>
        <w:br w:type="page"/>
      </w:r>
    </w:p>
    <w:p w14:paraId="1DE53A77" w14:textId="77777777" w:rsidR="00BC1364" w:rsidRDefault="00BC1364" w:rsidP="007B32D1">
      <w:pPr>
        <w:pStyle w:val="Heading1"/>
        <w:numPr>
          <w:ilvl w:val="0"/>
          <w:numId w:val="23"/>
        </w:numPr>
        <w:ind w:hanging="720"/>
      </w:pPr>
      <w:r w:rsidRPr="008D5885">
        <w:lastRenderedPageBreak/>
        <w:t>Economic evaluation</w:t>
      </w:r>
    </w:p>
    <w:p w14:paraId="7E00B65A" w14:textId="77777777" w:rsidR="00BC1364" w:rsidRPr="001F0D98" w:rsidRDefault="00BC1364" w:rsidP="00DD2858">
      <w:pPr>
        <w:rPr>
          <w:szCs w:val="24"/>
        </w:rPr>
      </w:pPr>
    </w:p>
    <w:p w14:paraId="7C6093B3" w14:textId="77777777" w:rsidR="00AD3739" w:rsidRPr="009F6B6F" w:rsidRDefault="00AD3739" w:rsidP="00AD3739">
      <w:pPr>
        <w:rPr>
          <w:szCs w:val="24"/>
        </w:rPr>
      </w:pPr>
      <w:r>
        <w:t>Section 6 of the CUC</w:t>
      </w:r>
      <w:r w:rsidRPr="009F6B6F">
        <w:t xml:space="preserve"> </w:t>
      </w:r>
      <w:r>
        <w:t xml:space="preserve">presented </w:t>
      </w:r>
      <w:r>
        <w:rPr>
          <w:szCs w:val="24"/>
        </w:rPr>
        <w:t>t</w:t>
      </w:r>
      <w:r w:rsidRPr="009F6B6F">
        <w:rPr>
          <w:szCs w:val="24"/>
        </w:rPr>
        <w:t>wo separate Markov models</w:t>
      </w:r>
      <w:r>
        <w:rPr>
          <w:szCs w:val="24"/>
        </w:rPr>
        <w:t xml:space="preserve">, constructed </w:t>
      </w:r>
      <w:r>
        <w:t xml:space="preserve">using </w:t>
      </w:r>
      <w:proofErr w:type="spellStart"/>
      <w:r>
        <w:t>TreeAge</w:t>
      </w:r>
      <w:proofErr w:type="spellEnd"/>
      <w:r>
        <w:t xml:space="preserve"> Pro,</w:t>
      </w:r>
      <w:r w:rsidRPr="009F6B6F">
        <w:rPr>
          <w:szCs w:val="24"/>
        </w:rPr>
        <w:t xml:space="preserve"> of testing </w:t>
      </w:r>
      <w:r w:rsidR="009A631D">
        <w:rPr>
          <w:szCs w:val="24"/>
        </w:rPr>
        <w:t xml:space="preserve">the </w:t>
      </w:r>
      <w:r w:rsidR="009A631D" w:rsidRPr="00011EFC">
        <w:rPr>
          <w:i/>
          <w:szCs w:val="24"/>
        </w:rPr>
        <w:t>BRCA1</w:t>
      </w:r>
      <w:r w:rsidR="009A631D">
        <w:rPr>
          <w:szCs w:val="24"/>
        </w:rPr>
        <w:t xml:space="preserve"> and </w:t>
      </w:r>
      <w:r w:rsidR="009A631D" w:rsidRPr="00011EFC">
        <w:rPr>
          <w:i/>
          <w:szCs w:val="24"/>
        </w:rPr>
        <w:t>BRCA2</w:t>
      </w:r>
      <w:r w:rsidR="009A631D">
        <w:rPr>
          <w:szCs w:val="24"/>
        </w:rPr>
        <w:t xml:space="preserve"> genes </w:t>
      </w:r>
      <w:r w:rsidRPr="009F6B6F">
        <w:rPr>
          <w:szCs w:val="24"/>
        </w:rPr>
        <w:t>in brea</w:t>
      </w:r>
      <w:r w:rsidR="001F0D98">
        <w:rPr>
          <w:szCs w:val="24"/>
        </w:rPr>
        <w:t>st cancer versus usual care in:</w:t>
      </w:r>
    </w:p>
    <w:p w14:paraId="200F47B8" w14:textId="77777777" w:rsidR="00AD3739" w:rsidRPr="009F6B6F" w:rsidRDefault="00AD3739" w:rsidP="007748B7">
      <w:pPr>
        <w:pStyle w:val="ListParagraph"/>
        <w:widowControl w:val="0"/>
        <w:numPr>
          <w:ilvl w:val="0"/>
          <w:numId w:val="27"/>
        </w:numPr>
        <w:ind w:left="426" w:hanging="426"/>
        <w:rPr>
          <w:szCs w:val="24"/>
        </w:rPr>
      </w:pPr>
      <w:r w:rsidRPr="009F6B6F">
        <w:rPr>
          <w:szCs w:val="24"/>
        </w:rPr>
        <w:t xml:space="preserve">clinically affected individuals who have an early breast cancer diagnosis and also </w:t>
      </w:r>
      <w:r w:rsidR="009A631D">
        <w:rPr>
          <w:szCs w:val="24"/>
        </w:rPr>
        <w:t xml:space="preserve">fit </w:t>
      </w:r>
      <w:r w:rsidRPr="009F6B6F">
        <w:rPr>
          <w:szCs w:val="24"/>
        </w:rPr>
        <w:t xml:space="preserve">the </w:t>
      </w:r>
      <w:r w:rsidR="009A631D">
        <w:rPr>
          <w:szCs w:val="24"/>
        </w:rPr>
        <w:t xml:space="preserve">clinical description </w:t>
      </w:r>
      <w:r w:rsidRPr="009F6B6F">
        <w:rPr>
          <w:szCs w:val="24"/>
        </w:rPr>
        <w:t>as described in Section 1.5 of the CUC (</w:t>
      </w:r>
      <w:r w:rsidR="009A631D">
        <w:rPr>
          <w:szCs w:val="24"/>
        </w:rPr>
        <w:t xml:space="preserve">diagnostic </w:t>
      </w:r>
      <w:r w:rsidR="00011EFC">
        <w:rPr>
          <w:szCs w:val="24"/>
        </w:rPr>
        <w:t xml:space="preserve">genetic </w:t>
      </w:r>
      <w:r w:rsidR="009A631D">
        <w:rPr>
          <w:szCs w:val="24"/>
        </w:rPr>
        <w:t>testing</w:t>
      </w:r>
      <w:r w:rsidRPr="009F6B6F">
        <w:rPr>
          <w:szCs w:val="24"/>
        </w:rPr>
        <w:t xml:space="preserve">); and </w:t>
      </w:r>
    </w:p>
    <w:p w14:paraId="053F23E8" w14:textId="77777777" w:rsidR="00AD3739" w:rsidRDefault="00AD3739" w:rsidP="007748B7">
      <w:pPr>
        <w:pStyle w:val="ListParagraph"/>
        <w:widowControl w:val="0"/>
        <w:numPr>
          <w:ilvl w:val="0"/>
          <w:numId w:val="27"/>
        </w:numPr>
        <w:ind w:left="426" w:hanging="426"/>
        <w:rPr>
          <w:szCs w:val="24"/>
        </w:rPr>
      </w:pPr>
      <w:proofErr w:type="gramStart"/>
      <w:r w:rsidRPr="009F6B6F">
        <w:rPr>
          <w:szCs w:val="24"/>
        </w:rPr>
        <w:t>family</w:t>
      </w:r>
      <w:proofErr w:type="gramEnd"/>
      <w:r w:rsidRPr="009F6B6F">
        <w:rPr>
          <w:szCs w:val="24"/>
        </w:rPr>
        <w:t xml:space="preserve"> members </w:t>
      </w:r>
      <w:r w:rsidR="009A631D">
        <w:rPr>
          <w:szCs w:val="24"/>
        </w:rPr>
        <w:t xml:space="preserve">shown to carry the family’s mutation (predictive </w:t>
      </w:r>
      <w:r w:rsidR="00011EFC">
        <w:rPr>
          <w:szCs w:val="24"/>
        </w:rPr>
        <w:t xml:space="preserve">genetic </w:t>
      </w:r>
      <w:r w:rsidR="009A631D">
        <w:rPr>
          <w:szCs w:val="24"/>
        </w:rPr>
        <w:t>testing)</w:t>
      </w:r>
      <w:r w:rsidRPr="009F6B6F">
        <w:rPr>
          <w:szCs w:val="24"/>
        </w:rPr>
        <w:t>.</w:t>
      </w:r>
    </w:p>
    <w:p w14:paraId="62512863" w14:textId="77777777" w:rsidR="00AD3739" w:rsidRDefault="00AD3739" w:rsidP="007748B7">
      <w:pPr>
        <w:widowControl w:val="0"/>
        <w:rPr>
          <w:szCs w:val="24"/>
        </w:rPr>
      </w:pPr>
    </w:p>
    <w:p w14:paraId="5E874524" w14:textId="77777777" w:rsidR="00AD3739" w:rsidRPr="00393DD3" w:rsidRDefault="00AD3739" w:rsidP="007748B7">
      <w:pPr>
        <w:widowControl w:val="0"/>
        <w:rPr>
          <w:szCs w:val="24"/>
        </w:rPr>
      </w:pPr>
      <w:r w:rsidRPr="009F6B6F">
        <w:rPr>
          <w:szCs w:val="24"/>
        </w:rPr>
        <w:t>A</w:t>
      </w:r>
      <w:r w:rsidR="001F0D98">
        <w:rPr>
          <w:szCs w:val="24"/>
        </w:rPr>
        <w:t>n incremental</w:t>
      </w:r>
      <w:r w:rsidRPr="009F6B6F">
        <w:rPr>
          <w:szCs w:val="24"/>
        </w:rPr>
        <w:t xml:space="preserve"> cost per QALY </w:t>
      </w:r>
      <w:r w:rsidR="001F0D98">
        <w:rPr>
          <w:szCs w:val="24"/>
        </w:rPr>
        <w:t>gained and</w:t>
      </w:r>
      <w:r w:rsidRPr="009F6B6F">
        <w:rPr>
          <w:szCs w:val="24"/>
        </w:rPr>
        <w:t xml:space="preserve"> a</w:t>
      </w:r>
      <w:r w:rsidR="001F0D98">
        <w:rPr>
          <w:szCs w:val="24"/>
        </w:rPr>
        <w:t>n incremental</w:t>
      </w:r>
      <w:r w:rsidRPr="009F6B6F">
        <w:rPr>
          <w:szCs w:val="24"/>
        </w:rPr>
        <w:t xml:space="preserve"> cost per breast cancer diagnosis avoided </w:t>
      </w:r>
      <w:r>
        <w:rPr>
          <w:szCs w:val="24"/>
        </w:rPr>
        <w:t>w</w:t>
      </w:r>
      <w:r w:rsidR="001F0D98">
        <w:rPr>
          <w:szCs w:val="24"/>
        </w:rPr>
        <w:t>ere</w:t>
      </w:r>
      <w:r w:rsidRPr="009F6B6F">
        <w:rPr>
          <w:szCs w:val="24"/>
        </w:rPr>
        <w:t xml:space="preserve"> estimated.  A weighted cost per QALY based on the proportion of family members to affected individuals was also presented.</w:t>
      </w:r>
    </w:p>
    <w:p w14:paraId="0674547E" w14:textId="77777777" w:rsidR="00AD3739" w:rsidRPr="001F0D98" w:rsidRDefault="00AD3739" w:rsidP="00AD3739">
      <w:pPr>
        <w:rPr>
          <w:szCs w:val="24"/>
        </w:rPr>
      </w:pPr>
    </w:p>
    <w:p w14:paraId="37DA1428" w14:textId="77777777" w:rsidR="00AD3739" w:rsidRPr="00177DCE" w:rsidRDefault="00AD3739" w:rsidP="00AD3739">
      <w:pPr>
        <w:pStyle w:val="Caption"/>
        <w:spacing w:before="0" w:after="0"/>
        <w:ind w:left="0" w:firstLine="0"/>
      </w:pPr>
      <w:r>
        <w:t xml:space="preserve">Table </w:t>
      </w:r>
      <w:r w:rsidR="006E64BD">
        <w:fldChar w:fldCharType="begin"/>
      </w:r>
      <w:r w:rsidR="006E64BD">
        <w:instrText xml:space="preserve"> SEQ Table \* ARABIC </w:instrText>
      </w:r>
      <w:r w:rsidR="006E64BD">
        <w:fldChar w:fldCharType="separate"/>
      </w:r>
      <w:r w:rsidR="006E64BD">
        <w:rPr>
          <w:noProof/>
        </w:rPr>
        <w:t>1</w:t>
      </w:r>
      <w:r w:rsidR="006E64BD">
        <w:rPr>
          <w:noProof/>
        </w:rPr>
        <w:fldChar w:fldCharType="end"/>
      </w:r>
      <w:r>
        <w:t>: Summary of model structure</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46"/>
        <w:gridCol w:w="7796"/>
      </w:tblGrid>
      <w:tr w:rsidR="00AD3739" w:rsidRPr="007743A8" w14:paraId="40A46C10" w14:textId="77777777" w:rsidTr="00E71C9F">
        <w:trPr>
          <w:trHeight w:val="240"/>
        </w:trPr>
        <w:tc>
          <w:tcPr>
            <w:tcW w:w="1446" w:type="dxa"/>
            <w:shd w:val="clear" w:color="auto" w:fill="auto"/>
          </w:tcPr>
          <w:p w14:paraId="444406B7" w14:textId="77777777" w:rsidR="00AD3739" w:rsidRPr="007743A8" w:rsidRDefault="00AD3739" w:rsidP="00DF497D">
            <w:pPr>
              <w:rPr>
                <w:rFonts w:ascii="Arial Narrow" w:hAnsi="Arial Narrow"/>
                <w:sz w:val="20"/>
              </w:rPr>
            </w:pPr>
            <w:r w:rsidRPr="007743A8">
              <w:rPr>
                <w:rFonts w:ascii="Arial Narrow" w:hAnsi="Arial Narrow"/>
                <w:sz w:val="20"/>
              </w:rPr>
              <w:t>Time horizon</w:t>
            </w:r>
          </w:p>
        </w:tc>
        <w:tc>
          <w:tcPr>
            <w:tcW w:w="7796" w:type="dxa"/>
            <w:shd w:val="clear" w:color="auto" w:fill="auto"/>
          </w:tcPr>
          <w:p w14:paraId="00C27F90" w14:textId="77777777" w:rsidR="00AD3739" w:rsidRPr="007743A8" w:rsidRDefault="00AD3739" w:rsidP="00DF497D">
            <w:pPr>
              <w:rPr>
                <w:rFonts w:ascii="Arial Narrow" w:hAnsi="Arial Narrow"/>
                <w:sz w:val="20"/>
              </w:rPr>
            </w:pPr>
            <w:r w:rsidRPr="007743A8">
              <w:rPr>
                <w:rFonts w:ascii="Arial Narrow" w:hAnsi="Arial Narrow"/>
                <w:sz w:val="20"/>
              </w:rPr>
              <w:t>50 years</w:t>
            </w:r>
          </w:p>
        </w:tc>
      </w:tr>
      <w:tr w:rsidR="00AD3739" w:rsidRPr="007743A8" w14:paraId="43184148" w14:textId="77777777" w:rsidTr="00E71C9F">
        <w:trPr>
          <w:trHeight w:val="85"/>
        </w:trPr>
        <w:tc>
          <w:tcPr>
            <w:tcW w:w="1446" w:type="dxa"/>
            <w:shd w:val="clear" w:color="auto" w:fill="auto"/>
          </w:tcPr>
          <w:p w14:paraId="7ED276DB" w14:textId="77777777" w:rsidR="00AD3739" w:rsidRPr="007743A8" w:rsidRDefault="00AD3739" w:rsidP="00DF497D">
            <w:pPr>
              <w:rPr>
                <w:rFonts w:ascii="Arial Narrow" w:hAnsi="Arial Narrow"/>
                <w:sz w:val="20"/>
              </w:rPr>
            </w:pPr>
            <w:r w:rsidRPr="007743A8">
              <w:rPr>
                <w:rFonts w:ascii="Arial Narrow" w:hAnsi="Arial Narrow"/>
                <w:sz w:val="20"/>
              </w:rPr>
              <w:t xml:space="preserve">Cohort size </w:t>
            </w:r>
          </w:p>
        </w:tc>
        <w:tc>
          <w:tcPr>
            <w:tcW w:w="7796" w:type="dxa"/>
            <w:shd w:val="clear" w:color="auto" w:fill="auto"/>
          </w:tcPr>
          <w:p w14:paraId="6B269B14" w14:textId="77777777" w:rsidR="00AD3739" w:rsidRPr="007743A8" w:rsidRDefault="00AD3739" w:rsidP="00DF497D">
            <w:pPr>
              <w:rPr>
                <w:rFonts w:ascii="Arial Narrow" w:hAnsi="Arial Narrow"/>
                <w:sz w:val="20"/>
              </w:rPr>
            </w:pPr>
            <w:r w:rsidRPr="007743A8">
              <w:rPr>
                <w:rFonts w:ascii="Arial Narrow" w:hAnsi="Arial Narrow"/>
                <w:sz w:val="20"/>
              </w:rPr>
              <w:t xml:space="preserve">100,000 for each simulation  </w:t>
            </w:r>
          </w:p>
        </w:tc>
      </w:tr>
      <w:tr w:rsidR="00AD3739" w:rsidRPr="007743A8" w14:paraId="19ABCA26" w14:textId="77777777" w:rsidTr="00E71C9F">
        <w:trPr>
          <w:trHeight w:val="448"/>
        </w:trPr>
        <w:tc>
          <w:tcPr>
            <w:tcW w:w="1446" w:type="dxa"/>
            <w:shd w:val="clear" w:color="auto" w:fill="auto"/>
          </w:tcPr>
          <w:p w14:paraId="148D3A1B" w14:textId="77777777" w:rsidR="00AD3739" w:rsidRPr="007743A8" w:rsidRDefault="00AD3739" w:rsidP="00DF497D">
            <w:pPr>
              <w:rPr>
                <w:rFonts w:ascii="Arial Narrow" w:hAnsi="Arial Narrow"/>
                <w:sz w:val="20"/>
              </w:rPr>
            </w:pPr>
            <w:r w:rsidRPr="007743A8">
              <w:rPr>
                <w:rFonts w:ascii="Arial Narrow" w:hAnsi="Arial Narrow"/>
                <w:sz w:val="20"/>
              </w:rPr>
              <w:t>Outcomes</w:t>
            </w:r>
          </w:p>
        </w:tc>
        <w:tc>
          <w:tcPr>
            <w:tcW w:w="7796" w:type="dxa"/>
            <w:shd w:val="clear" w:color="auto" w:fill="auto"/>
          </w:tcPr>
          <w:p w14:paraId="08FAD436" w14:textId="77777777" w:rsidR="00AD3739" w:rsidRPr="007743A8" w:rsidRDefault="00AD3739" w:rsidP="00DF497D">
            <w:pPr>
              <w:rPr>
                <w:rFonts w:ascii="Arial Narrow" w:hAnsi="Arial Narrow"/>
                <w:sz w:val="20"/>
              </w:rPr>
            </w:pPr>
            <w:r w:rsidRPr="007743A8">
              <w:rPr>
                <w:rFonts w:ascii="Arial Narrow" w:hAnsi="Arial Narrow"/>
                <w:sz w:val="20"/>
              </w:rPr>
              <w:t>Total incidence of (</w:t>
            </w:r>
            <w:proofErr w:type="spellStart"/>
            <w:r w:rsidRPr="007743A8">
              <w:rPr>
                <w:rFonts w:ascii="Arial Narrow" w:hAnsi="Arial Narrow"/>
                <w:sz w:val="20"/>
              </w:rPr>
              <w:t>i</w:t>
            </w:r>
            <w:proofErr w:type="spellEnd"/>
            <w:r w:rsidRPr="007743A8">
              <w:rPr>
                <w:rFonts w:ascii="Arial Narrow" w:hAnsi="Arial Narrow"/>
                <w:sz w:val="20"/>
              </w:rPr>
              <w:t>) early contralateral breast cancer in affected individuals and (ii) early breast cancer in family members; QALY</w:t>
            </w:r>
          </w:p>
        </w:tc>
      </w:tr>
      <w:tr w:rsidR="00AD3739" w:rsidRPr="007743A8" w14:paraId="719F46C4" w14:textId="77777777" w:rsidTr="00E71C9F">
        <w:trPr>
          <w:trHeight w:val="704"/>
        </w:trPr>
        <w:tc>
          <w:tcPr>
            <w:tcW w:w="1446" w:type="dxa"/>
            <w:shd w:val="clear" w:color="auto" w:fill="auto"/>
          </w:tcPr>
          <w:p w14:paraId="6E76E5EC" w14:textId="77777777" w:rsidR="00AD3739" w:rsidRPr="007743A8" w:rsidRDefault="00AD3739" w:rsidP="00DF497D">
            <w:pPr>
              <w:rPr>
                <w:rFonts w:ascii="Arial Narrow" w:hAnsi="Arial Narrow"/>
                <w:sz w:val="20"/>
              </w:rPr>
            </w:pPr>
            <w:r w:rsidRPr="007743A8">
              <w:rPr>
                <w:rFonts w:ascii="Arial Narrow" w:hAnsi="Arial Narrow"/>
                <w:sz w:val="20"/>
              </w:rPr>
              <w:t>Methods used to generate results</w:t>
            </w:r>
          </w:p>
        </w:tc>
        <w:tc>
          <w:tcPr>
            <w:tcW w:w="7796" w:type="dxa"/>
            <w:shd w:val="clear" w:color="auto" w:fill="auto"/>
          </w:tcPr>
          <w:p w14:paraId="625F91EF" w14:textId="77777777" w:rsidR="00AD3739" w:rsidRPr="007743A8" w:rsidRDefault="00AD3739" w:rsidP="00DF497D">
            <w:pPr>
              <w:rPr>
                <w:rFonts w:ascii="Arial Narrow" w:hAnsi="Arial Narrow"/>
                <w:sz w:val="20"/>
                <w:u w:val="single"/>
              </w:rPr>
            </w:pPr>
            <w:r w:rsidRPr="007743A8">
              <w:rPr>
                <w:rFonts w:ascii="Arial Narrow" w:hAnsi="Arial Narrow"/>
                <w:sz w:val="20"/>
                <w:u w:val="single"/>
              </w:rPr>
              <w:t>Affected individuals</w:t>
            </w:r>
          </w:p>
          <w:p w14:paraId="076E59C4" w14:textId="77777777" w:rsidR="00AD3739" w:rsidRPr="007743A8" w:rsidRDefault="00AD3739" w:rsidP="00DF497D">
            <w:pPr>
              <w:rPr>
                <w:rFonts w:ascii="Arial Narrow" w:hAnsi="Arial Narrow"/>
                <w:sz w:val="20"/>
              </w:rPr>
            </w:pPr>
            <w:r w:rsidRPr="007743A8">
              <w:rPr>
                <w:rFonts w:ascii="Arial Narrow" w:hAnsi="Arial Narrow"/>
                <w:sz w:val="20"/>
              </w:rPr>
              <w:t>Population risk of breast cancer was d</w:t>
            </w:r>
            <w:r w:rsidR="001F0D98">
              <w:rPr>
                <w:rFonts w:ascii="Arial Narrow" w:hAnsi="Arial Narrow"/>
                <w:sz w:val="20"/>
              </w:rPr>
              <w:t>erived from AIHW publications.</w:t>
            </w:r>
          </w:p>
          <w:p w14:paraId="2F7662CF" w14:textId="77777777" w:rsidR="00AD3739" w:rsidRPr="007743A8" w:rsidRDefault="00AD3739" w:rsidP="00DF497D">
            <w:pPr>
              <w:rPr>
                <w:rFonts w:ascii="Arial Narrow" w:hAnsi="Arial Narrow"/>
                <w:sz w:val="20"/>
              </w:rPr>
            </w:pPr>
            <w:r w:rsidRPr="007743A8">
              <w:rPr>
                <w:rFonts w:ascii="Arial Narrow" w:hAnsi="Arial Narrow"/>
                <w:sz w:val="20"/>
              </w:rPr>
              <w:t xml:space="preserve">A higher risk (relative risk = 3.4; derived by 28.7%/8.4% </w:t>
            </w:r>
            <w:r w:rsidRPr="007743A8">
              <w:rPr>
                <w:rFonts w:ascii="Arial Narrow" w:hAnsi="Arial Narrow"/>
                <w:bCs/>
                <w:color w:val="000000"/>
                <w:sz w:val="20"/>
              </w:rPr>
              <w:t>15-year risk of contralateral breast cancer</w:t>
            </w:r>
            <w:r w:rsidRPr="007743A8">
              <w:rPr>
                <w:rFonts w:ascii="Arial Narrow" w:hAnsi="Arial Narrow"/>
                <w:sz w:val="20"/>
              </w:rPr>
              <w:t xml:space="preserve">) was applied to individuals who were considered to be </w:t>
            </w:r>
            <w:r w:rsidR="00A8248C" w:rsidRPr="00A8248C">
              <w:rPr>
                <w:rFonts w:ascii="Arial Narrow" w:hAnsi="Arial Narrow"/>
                <w:i/>
                <w:sz w:val="20"/>
              </w:rPr>
              <w:t>BRCA</w:t>
            </w:r>
            <w:r w:rsidR="001F0D98" w:rsidRPr="00A8248C">
              <w:rPr>
                <w:rFonts w:ascii="Arial Narrow" w:hAnsi="Arial Narrow"/>
                <w:i/>
                <w:sz w:val="20"/>
              </w:rPr>
              <w:t>1</w:t>
            </w:r>
            <w:r w:rsidR="001F0D98">
              <w:rPr>
                <w:rFonts w:ascii="Arial Narrow" w:hAnsi="Arial Narrow"/>
                <w:sz w:val="20"/>
              </w:rPr>
              <w:t xml:space="preserve"> or </w:t>
            </w:r>
            <w:r w:rsidR="00A8248C" w:rsidRPr="00A8248C">
              <w:rPr>
                <w:rFonts w:ascii="Arial Narrow" w:hAnsi="Arial Narrow"/>
                <w:i/>
                <w:sz w:val="20"/>
              </w:rPr>
              <w:t>BRCA</w:t>
            </w:r>
            <w:r w:rsidR="001F0D98" w:rsidRPr="00A8248C">
              <w:rPr>
                <w:rFonts w:ascii="Arial Narrow" w:hAnsi="Arial Narrow"/>
                <w:i/>
                <w:sz w:val="20"/>
              </w:rPr>
              <w:t>2</w:t>
            </w:r>
            <w:r w:rsidR="001F0D98">
              <w:rPr>
                <w:rFonts w:ascii="Arial Narrow" w:hAnsi="Arial Narrow"/>
                <w:sz w:val="20"/>
              </w:rPr>
              <w:t xml:space="preserve"> mutation positive.</w:t>
            </w:r>
          </w:p>
          <w:p w14:paraId="6BB97849" w14:textId="77777777" w:rsidR="00AD3739" w:rsidRPr="007743A8" w:rsidRDefault="00AD3739" w:rsidP="00DF497D">
            <w:pPr>
              <w:rPr>
                <w:rFonts w:ascii="Arial Narrow" w:hAnsi="Arial Narrow"/>
                <w:sz w:val="20"/>
                <w:u w:val="single"/>
              </w:rPr>
            </w:pPr>
            <w:r w:rsidRPr="007743A8">
              <w:rPr>
                <w:rFonts w:ascii="Arial Narrow" w:hAnsi="Arial Narrow"/>
                <w:sz w:val="20"/>
                <w:u w:val="single"/>
              </w:rPr>
              <w:t>Family members</w:t>
            </w:r>
          </w:p>
          <w:p w14:paraId="45488799" w14:textId="77777777" w:rsidR="00AD3739" w:rsidRPr="007743A8" w:rsidRDefault="00AD3739" w:rsidP="00DF497D">
            <w:pPr>
              <w:rPr>
                <w:rFonts w:ascii="Arial Narrow" w:hAnsi="Arial Narrow"/>
                <w:sz w:val="20"/>
              </w:rPr>
            </w:pPr>
            <w:r w:rsidRPr="007743A8">
              <w:rPr>
                <w:rFonts w:ascii="Arial Narrow" w:hAnsi="Arial Narrow"/>
                <w:sz w:val="20"/>
              </w:rPr>
              <w:t>Population risk of breast cancer was derived from AI</w:t>
            </w:r>
            <w:r w:rsidR="001F0D98">
              <w:rPr>
                <w:rFonts w:ascii="Arial Narrow" w:hAnsi="Arial Narrow"/>
                <w:sz w:val="20"/>
              </w:rPr>
              <w:t>HW publications.</w:t>
            </w:r>
          </w:p>
          <w:p w14:paraId="0A86D4D3" w14:textId="77777777" w:rsidR="00AD3739" w:rsidRPr="007743A8" w:rsidRDefault="00AD3739" w:rsidP="00A8248C">
            <w:pPr>
              <w:rPr>
                <w:rFonts w:ascii="Arial Narrow" w:hAnsi="Arial Narrow"/>
                <w:sz w:val="20"/>
                <w:u w:val="single"/>
              </w:rPr>
            </w:pPr>
            <w:r w:rsidRPr="007743A8">
              <w:rPr>
                <w:rFonts w:ascii="Arial Narrow" w:hAnsi="Arial Narrow"/>
                <w:sz w:val="20"/>
              </w:rPr>
              <w:t xml:space="preserve">A higher risk (relative risk = 6.4; 60%/9.3% cumulative lifetime risk of female breast cancer) was applied to individuals who were considered to be </w:t>
            </w:r>
            <w:r w:rsidRPr="00A8248C">
              <w:rPr>
                <w:rFonts w:ascii="Arial Narrow" w:hAnsi="Arial Narrow"/>
                <w:i/>
                <w:sz w:val="20"/>
              </w:rPr>
              <w:t>BRCA1</w:t>
            </w:r>
            <w:r w:rsidRPr="007743A8">
              <w:rPr>
                <w:rFonts w:ascii="Arial Narrow" w:hAnsi="Arial Narrow"/>
                <w:sz w:val="20"/>
              </w:rPr>
              <w:t xml:space="preserve"> or</w:t>
            </w:r>
            <w:r w:rsidR="00A8248C">
              <w:rPr>
                <w:rFonts w:ascii="Arial Narrow" w:hAnsi="Arial Narrow"/>
                <w:sz w:val="20"/>
              </w:rPr>
              <w:t xml:space="preserve"> </w:t>
            </w:r>
            <w:r w:rsidR="00A8248C" w:rsidRPr="00A8248C">
              <w:rPr>
                <w:rFonts w:ascii="Arial Narrow" w:hAnsi="Arial Narrow"/>
                <w:i/>
                <w:sz w:val="20"/>
              </w:rPr>
              <w:t>BRCA</w:t>
            </w:r>
            <w:r w:rsidRPr="00A8248C">
              <w:rPr>
                <w:rFonts w:ascii="Arial Narrow" w:hAnsi="Arial Narrow"/>
                <w:i/>
                <w:sz w:val="20"/>
              </w:rPr>
              <w:t>2</w:t>
            </w:r>
            <w:r w:rsidRPr="007743A8">
              <w:rPr>
                <w:rFonts w:ascii="Arial Narrow" w:hAnsi="Arial Narrow"/>
                <w:sz w:val="20"/>
              </w:rPr>
              <w:t xml:space="preserve"> mutation positive.</w:t>
            </w:r>
          </w:p>
        </w:tc>
      </w:tr>
      <w:tr w:rsidR="00AD3739" w:rsidRPr="007743A8" w14:paraId="6EAD588C" w14:textId="77777777" w:rsidTr="00E71C9F">
        <w:trPr>
          <w:trHeight w:val="225"/>
        </w:trPr>
        <w:tc>
          <w:tcPr>
            <w:tcW w:w="1446" w:type="dxa"/>
            <w:shd w:val="clear" w:color="auto" w:fill="auto"/>
          </w:tcPr>
          <w:p w14:paraId="066ABC2D" w14:textId="77777777" w:rsidR="00AD3739" w:rsidRPr="007743A8" w:rsidRDefault="00AD3739" w:rsidP="00DF497D">
            <w:pPr>
              <w:rPr>
                <w:rFonts w:ascii="Arial Narrow" w:hAnsi="Arial Narrow"/>
                <w:sz w:val="20"/>
              </w:rPr>
            </w:pPr>
            <w:r w:rsidRPr="007743A8">
              <w:rPr>
                <w:rFonts w:ascii="Arial Narrow" w:hAnsi="Arial Narrow"/>
                <w:sz w:val="20"/>
              </w:rPr>
              <w:t>Cycle length</w:t>
            </w:r>
          </w:p>
        </w:tc>
        <w:tc>
          <w:tcPr>
            <w:tcW w:w="7796" w:type="dxa"/>
            <w:shd w:val="clear" w:color="auto" w:fill="auto"/>
          </w:tcPr>
          <w:p w14:paraId="47C1BE46" w14:textId="77777777" w:rsidR="00AD3739" w:rsidRPr="007743A8" w:rsidRDefault="00AD3739" w:rsidP="00DF497D">
            <w:pPr>
              <w:rPr>
                <w:rFonts w:ascii="Arial Narrow" w:hAnsi="Arial Narrow"/>
                <w:sz w:val="20"/>
              </w:rPr>
            </w:pPr>
            <w:r w:rsidRPr="007743A8">
              <w:rPr>
                <w:rFonts w:ascii="Arial Narrow" w:hAnsi="Arial Narrow"/>
                <w:sz w:val="20"/>
              </w:rPr>
              <w:t>Annual cycles</w:t>
            </w:r>
          </w:p>
        </w:tc>
      </w:tr>
      <w:tr w:rsidR="00AD3739" w:rsidRPr="007743A8" w14:paraId="63C574A3" w14:textId="77777777" w:rsidTr="00E71C9F">
        <w:trPr>
          <w:trHeight w:val="1736"/>
        </w:trPr>
        <w:tc>
          <w:tcPr>
            <w:tcW w:w="1446" w:type="dxa"/>
            <w:shd w:val="clear" w:color="auto" w:fill="auto"/>
          </w:tcPr>
          <w:p w14:paraId="0B2AD9E4" w14:textId="77777777" w:rsidR="00AD3739" w:rsidRPr="007743A8" w:rsidRDefault="00C15564" w:rsidP="00C15564">
            <w:pPr>
              <w:rPr>
                <w:rFonts w:ascii="Arial Narrow" w:hAnsi="Arial Narrow"/>
                <w:sz w:val="20"/>
              </w:rPr>
            </w:pPr>
            <w:r>
              <w:rPr>
                <w:rFonts w:ascii="Arial Narrow" w:hAnsi="Arial Narrow"/>
                <w:sz w:val="20"/>
              </w:rPr>
              <w:t>P</w:t>
            </w:r>
            <w:r w:rsidR="00AD3739" w:rsidRPr="007743A8">
              <w:rPr>
                <w:rFonts w:ascii="Arial Narrow" w:hAnsi="Arial Narrow"/>
                <w:sz w:val="20"/>
              </w:rPr>
              <w:t>robabilities</w:t>
            </w:r>
            <w:r>
              <w:rPr>
                <w:rFonts w:ascii="Arial Narrow" w:hAnsi="Arial Narrow"/>
                <w:sz w:val="20"/>
              </w:rPr>
              <w:t xml:space="preserve"> of preventative actions taken</w:t>
            </w:r>
          </w:p>
        </w:tc>
        <w:tc>
          <w:tcPr>
            <w:tcW w:w="7796" w:type="dxa"/>
            <w:shd w:val="clear" w:color="auto" w:fill="auto"/>
            <w:vAlign w:val="center"/>
          </w:tcPr>
          <w:tbl>
            <w:tblPr>
              <w:tblStyle w:val="TableGrid"/>
              <w:tblW w:w="0" w:type="auto"/>
              <w:tblInd w:w="250" w:type="dxa"/>
              <w:tblCellMar>
                <w:left w:w="57" w:type="dxa"/>
                <w:right w:w="57" w:type="dxa"/>
              </w:tblCellMar>
              <w:tblLook w:val="04A0" w:firstRow="1" w:lastRow="0" w:firstColumn="1" w:lastColumn="0" w:noHBand="0" w:noVBand="1"/>
              <w:tblCaption w:val="Preventative Actions Table"/>
              <w:tblDescription w:val="This table lists the preventative actionsand probabilities"/>
            </w:tblPr>
            <w:tblGrid>
              <w:gridCol w:w="5528"/>
              <w:gridCol w:w="1418"/>
            </w:tblGrid>
            <w:tr w:rsidR="00AD3739" w:rsidRPr="007743A8" w14:paraId="4C35A0AC" w14:textId="77777777" w:rsidTr="00E2413C">
              <w:trPr>
                <w:tblHeader/>
              </w:trPr>
              <w:tc>
                <w:tcPr>
                  <w:tcW w:w="5528" w:type="dxa"/>
                </w:tcPr>
                <w:p w14:paraId="05F5AA04" w14:textId="77777777" w:rsidR="00AD3739" w:rsidRPr="007743A8" w:rsidRDefault="00AD3739" w:rsidP="00DF497D">
                  <w:pPr>
                    <w:rPr>
                      <w:rFonts w:ascii="Arial Narrow" w:hAnsi="Arial Narrow" w:cs="Times New Roman"/>
                      <w:b/>
                      <w:bCs/>
                      <w:sz w:val="20"/>
                    </w:rPr>
                  </w:pPr>
                  <w:r w:rsidRPr="007743A8">
                    <w:rPr>
                      <w:rFonts w:ascii="Arial Narrow" w:hAnsi="Arial Narrow" w:cs="Times New Roman"/>
                      <w:b/>
                      <w:bCs/>
                      <w:sz w:val="20"/>
                    </w:rPr>
                    <w:t>Preventative action</w:t>
                  </w:r>
                </w:p>
              </w:tc>
              <w:tc>
                <w:tcPr>
                  <w:tcW w:w="1418" w:type="dxa"/>
                  <w:vAlign w:val="center"/>
                </w:tcPr>
                <w:p w14:paraId="3C88190B" w14:textId="77777777" w:rsidR="00AD3739" w:rsidRPr="007743A8" w:rsidRDefault="00AD3739" w:rsidP="00DF497D">
                  <w:pPr>
                    <w:jc w:val="center"/>
                    <w:rPr>
                      <w:rFonts w:ascii="Arial Narrow" w:hAnsi="Arial Narrow" w:cs="Times New Roman"/>
                      <w:b/>
                      <w:bCs/>
                      <w:sz w:val="20"/>
                    </w:rPr>
                  </w:pPr>
                  <w:r w:rsidRPr="007743A8">
                    <w:rPr>
                      <w:rFonts w:ascii="Arial Narrow" w:hAnsi="Arial Narrow" w:cs="Times New Roman"/>
                      <w:b/>
                      <w:bCs/>
                      <w:sz w:val="20"/>
                    </w:rPr>
                    <w:t>Probability</w:t>
                  </w:r>
                </w:p>
              </w:tc>
            </w:tr>
            <w:tr w:rsidR="00AD3739" w:rsidRPr="007743A8" w14:paraId="6CFBD3D1" w14:textId="77777777" w:rsidTr="00C15564">
              <w:tc>
                <w:tcPr>
                  <w:tcW w:w="5528" w:type="dxa"/>
                </w:tcPr>
                <w:p w14:paraId="4061D2FB" w14:textId="77777777" w:rsidR="00AD3739" w:rsidRPr="007743A8" w:rsidRDefault="00AD3739" w:rsidP="00DF497D">
                  <w:pPr>
                    <w:rPr>
                      <w:rFonts w:ascii="Arial Narrow" w:hAnsi="Arial Narrow" w:cs="Times New Roman"/>
                      <w:sz w:val="20"/>
                    </w:rPr>
                  </w:pPr>
                  <w:r w:rsidRPr="007743A8">
                    <w:rPr>
                      <w:rFonts w:ascii="Arial Narrow" w:hAnsi="Arial Narrow" w:cs="Times New Roman"/>
                      <w:sz w:val="20"/>
                    </w:rPr>
                    <w:t xml:space="preserve">Bilateral </w:t>
                  </w:r>
                  <w:proofErr w:type="spellStart"/>
                  <w:r w:rsidRPr="007743A8">
                    <w:rPr>
                      <w:rFonts w:ascii="Arial Narrow" w:hAnsi="Arial Narrow" w:cs="Times New Roman"/>
                      <w:sz w:val="20"/>
                    </w:rPr>
                    <w:t>salpingo</w:t>
                  </w:r>
                  <w:proofErr w:type="spellEnd"/>
                  <w:r w:rsidRPr="007743A8">
                    <w:rPr>
                      <w:rFonts w:ascii="Arial Narrow" w:hAnsi="Arial Narrow" w:cs="Times New Roman"/>
                      <w:sz w:val="20"/>
                    </w:rPr>
                    <w:t xml:space="preserve"> oophorectomy only (BSO only)</w:t>
                  </w:r>
                </w:p>
              </w:tc>
              <w:tc>
                <w:tcPr>
                  <w:tcW w:w="1418" w:type="dxa"/>
                  <w:vAlign w:val="center"/>
                </w:tcPr>
                <w:p w14:paraId="03E7C1A0" w14:textId="77777777" w:rsidR="00AD3739" w:rsidRPr="007743A8" w:rsidRDefault="00AD3739" w:rsidP="00DF497D">
                  <w:pPr>
                    <w:jc w:val="center"/>
                    <w:rPr>
                      <w:rFonts w:ascii="Arial Narrow" w:hAnsi="Arial Narrow" w:cs="Times New Roman"/>
                      <w:sz w:val="20"/>
                    </w:rPr>
                  </w:pPr>
                  <w:r w:rsidRPr="007743A8">
                    <w:rPr>
                      <w:rFonts w:ascii="Arial Narrow" w:hAnsi="Arial Narrow" w:cs="Times New Roman"/>
                      <w:sz w:val="20"/>
                    </w:rPr>
                    <w:t>40%</w:t>
                  </w:r>
                </w:p>
              </w:tc>
            </w:tr>
            <w:tr w:rsidR="00AD3739" w:rsidRPr="007743A8" w14:paraId="163690B4" w14:textId="77777777" w:rsidTr="00C15564">
              <w:tc>
                <w:tcPr>
                  <w:tcW w:w="5528" w:type="dxa"/>
                </w:tcPr>
                <w:p w14:paraId="13F9D7B7" w14:textId="77777777" w:rsidR="00AD3739" w:rsidRPr="007743A8" w:rsidRDefault="00AD3739" w:rsidP="00DF497D">
                  <w:pPr>
                    <w:rPr>
                      <w:rFonts w:ascii="Arial Narrow" w:hAnsi="Arial Narrow" w:cs="Times New Roman"/>
                      <w:sz w:val="20"/>
                    </w:rPr>
                  </w:pPr>
                  <w:r w:rsidRPr="007743A8">
                    <w:rPr>
                      <w:rFonts w:ascii="Arial Narrow" w:hAnsi="Arial Narrow" w:cs="Times New Roman"/>
                      <w:sz w:val="20"/>
                    </w:rPr>
                    <w:t>Affected individuals: BSO + contralateral mastectomy (CM)</w:t>
                  </w:r>
                </w:p>
                <w:p w14:paraId="72D53269" w14:textId="77777777" w:rsidR="00AD3739" w:rsidRPr="007743A8" w:rsidRDefault="00AD3739" w:rsidP="00DF497D">
                  <w:pPr>
                    <w:rPr>
                      <w:rFonts w:ascii="Arial Narrow" w:hAnsi="Arial Narrow" w:cs="Times New Roman"/>
                      <w:sz w:val="20"/>
                    </w:rPr>
                  </w:pPr>
                  <w:r w:rsidRPr="007743A8">
                    <w:rPr>
                      <w:rFonts w:ascii="Arial Narrow" w:hAnsi="Arial Narrow" w:cs="Times New Roman"/>
                      <w:sz w:val="20"/>
                    </w:rPr>
                    <w:t>Family members: BSO + bilateral mastectomy (BM)</w:t>
                  </w:r>
                </w:p>
              </w:tc>
              <w:tc>
                <w:tcPr>
                  <w:tcW w:w="1418" w:type="dxa"/>
                  <w:vAlign w:val="center"/>
                </w:tcPr>
                <w:p w14:paraId="77FBE96A" w14:textId="77777777" w:rsidR="00AD3739" w:rsidRPr="007743A8" w:rsidRDefault="00AD3739" w:rsidP="00DF497D">
                  <w:pPr>
                    <w:jc w:val="center"/>
                    <w:rPr>
                      <w:rFonts w:ascii="Arial Narrow" w:hAnsi="Arial Narrow" w:cs="Times New Roman"/>
                      <w:sz w:val="20"/>
                    </w:rPr>
                  </w:pPr>
                  <w:r w:rsidRPr="007743A8">
                    <w:rPr>
                      <w:rFonts w:ascii="Arial Narrow" w:hAnsi="Arial Narrow" w:cs="Times New Roman"/>
                      <w:sz w:val="20"/>
                    </w:rPr>
                    <w:t>40%</w:t>
                  </w:r>
                </w:p>
              </w:tc>
            </w:tr>
            <w:tr w:rsidR="00AD3739" w:rsidRPr="007743A8" w14:paraId="3C521461" w14:textId="77777777" w:rsidTr="00C15564">
              <w:tc>
                <w:tcPr>
                  <w:tcW w:w="5528" w:type="dxa"/>
                </w:tcPr>
                <w:p w14:paraId="465A1358" w14:textId="77777777" w:rsidR="00AD3739" w:rsidRPr="007743A8" w:rsidRDefault="00AD3739" w:rsidP="00DF497D">
                  <w:pPr>
                    <w:rPr>
                      <w:rFonts w:ascii="Arial Narrow" w:hAnsi="Arial Narrow" w:cs="Times New Roman"/>
                      <w:sz w:val="20"/>
                    </w:rPr>
                  </w:pPr>
                  <w:r w:rsidRPr="007743A8">
                    <w:rPr>
                      <w:rFonts w:ascii="Arial Narrow" w:hAnsi="Arial Narrow" w:cs="Times New Roman"/>
                      <w:sz w:val="20"/>
                    </w:rPr>
                    <w:t>Surveillance only</w:t>
                  </w:r>
                </w:p>
              </w:tc>
              <w:tc>
                <w:tcPr>
                  <w:tcW w:w="1418" w:type="dxa"/>
                  <w:vAlign w:val="center"/>
                </w:tcPr>
                <w:p w14:paraId="08A4FB87" w14:textId="77777777" w:rsidR="00AD3739" w:rsidRPr="007743A8" w:rsidRDefault="00AD3739" w:rsidP="00DF497D">
                  <w:pPr>
                    <w:jc w:val="center"/>
                    <w:rPr>
                      <w:rFonts w:ascii="Arial Narrow" w:hAnsi="Arial Narrow" w:cs="Times New Roman"/>
                      <w:sz w:val="20"/>
                    </w:rPr>
                  </w:pPr>
                  <w:r w:rsidRPr="007743A8">
                    <w:rPr>
                      <w:rFonts w:ascii="Arial Narrow" w:hAnsi="Arial Narrow" w:cs="Times New Roman"/>
                      <w:sz w:val="20"/>
                    </w:rPr>
                    <w:t>20%</w:t>
                  </w:r>
                </w:p>
              </w:tc>
            </w:tr>
          </w:tbl>
          <w:p w14:paraId="33E498C4" w14:textId="77777777" w:rsidR="00AD3739" w:rsidRPr="007743A8" w:rsidRDefault="00AD3739" w:rsidP="00DF497D">
            <w:pPr>
              <w:rPr>
                <w:rFonts w:ascii="Arial Narrow" w:hAnsi="Arial Narrow"/>
                <w:sz w:val="20"/>
              </w:rPr>
            </w:pPr>
          </w:p>
        </w:tc>
      </w:tr>
      <w:tr w:rsidR="00AD3739" w:rsidRPr="007743A8" w14:paraId="57B9128C" w14:textId="77777777" w:rsidTr="00E71C9F">
        <w:trPr>
          <w:trHeight w:val="240"/>
        </w:trPr>
        <w:tc>
          <w:tcPr>
            <w:tcW w:w="1446" w:type="dxa"/>
            <w:shd w:val="clear" w:color="auto" w:fill="auto"/>
          </w:tcPr>
          <w:p w14:paraId="29187E76" w14:textId="77777777" w:rsidR="00AD3739" w:rsidRPr="007743A8" w:rsidRDefault="00AD3739" w:rsidP="00DF497D">
            <w:pPr>
              <w:rPr>
                <w:rFonts w:ascii="Arial Narrow" w:hAnsi="Arial Narrow"/>
                <w:sz w:val="20"/>
              </w:rPr>
            </w:pPr>
            <w:r w:rsidRPr="007743A8">
              <w:rPr>
                <w:rFonts w:ascii="Arial Narrow" w:hAnsi="Arial Narrow"/>
                <w:sz w:val="20"/>
              </w:rPr>
              <w:t>Discount rate</w:t>
            </w:r>
          </w:p>
        </w:tc>
        <w:tc>
          <w:tcPr>
            <w:tcW w:w="7796" w:type="dxa"/>
            <w:shd w:val="clear" w:color="auto" w:fill="auto"/>
          </w:tcPr>
          <w:p w14:paraId="2BB84844" w14:textId="77777777" w:rsidR="00AD3739" w:rsidRPr="007743A8" w:rsidRDefault="00AD3739" w:rsidP="00DF497D">
            <w:pPr>
              <w:rPr>
                <w:rFonts w:ascii="Arial Narrow" w:hAnsi="Arial Narrow"/>
                <w:sz w:val="20"/>
              </w:rPr>
            </w:pPr>
            <w:r w:rsidRPr="007743A8">
              <w:rPr>
                <w:rFonts w:ascii="Arial Narrow" w:hAnsi="Arial Narrow"/>
                <w:sz w:val="20"/>
              </w:rPr>
              <w:t>5% for costs and QALYs. The incidence of new early breast cancer was not discounted.</w:t>
            </w:r>
          </w:p>
        </w:tc>
      </w:tr>
    </w:tbl>
    <w:p w14:paraId="72096763" w14:textId="77777777" w:rsidR="00AD3739" w:rsidRDefault="00AD3739" w:rsidP="007748B7">
      <w:pPr>
        <w:widowControl w:val="0"/>
        <w:rPr>
          <w:szCs w:val="24"/>
        </w:rPr>
      </w:pPr>
    </w:p>
    <w:p w14:paraId="6DD03BB2" w14:textId="77777777" w:rsidR="00AD3739" w:rsidRDefault="00AD3739" w:rsidP="007748B7">
      <w:pPr>
        <w:widowControl w:val="0"/>
        <w:rPr>
          <w:szCs w:val="24"/>
        </w:rPr>
      </w:pPr>
      <w:r w:rsidRPr="000473F9">
        <w:rPr>
          <w:szCs w:val="24"/>
        </w:rPr>
        <w:t xml:space="preserve">Section 6 of the CUC provided a summary of the models’ variables including input costs. The </w:t>
      </w:r>
      <w:r w:rsidR="00C15564">
        <w:rPr>
          <w:szCs w:val="24"/>
        </w:rPr>
        <w:t>CUC</w:t>
      </w:r>
      <w:r w:rsidRPr="000473F9">
        <w:rPr>
          <w:szCs w:val="24"/>
        </w:rPr>
        <w:t xml:space="preserve"> noted that costs applied to those undergoing contralateral or bilateral mastectomies </w:t>
      </w:r>
      <w:r>
        <w:rPr>
          <w:szCs w:val="24"/>
        </w:rPr>
        <w:t>and</w:t>
      </w:r>
      <w:r w:rsidRPr="000473F9">
        <w:rPr>
          <w:szCs w:val="24"/>
        </w:rPr>
        <w:t xml:space="preserve"> BSO may be overestimated</w:t>
      </w:r>
      <w:r w:rsidR="00F543D7">
        <w:rPr>
          <w:szCs w:val="24"/>
        </w:rPr>
        <w:t>.</w:t>
      </w:r>
      <w:r w:rsidR="00F543D7" w:rsidRPr="00F543D7">
        <w:rPr>
          <w:szCs w:val="24"/>
        </w:rPr>
        <w:t xml:space="preserve"> </w:t>
      </w:r>
      <w:r w:rsidR="00F543D7" w:rsidRPr="000473F9">
        <w:rPr>
          <w:szCs w:val="24"/>
        </w:rPr>
        <w:t>It considered that</w:t>
      </w:r>
      <w:r w:rsidR="00C15564">
        <w:rPr>
          <w:szCs w:val="24"/>
        </w:rPr>
        <w:t>, p</w:t>
      </w:r>
      <w:r w:rsidRPr="000473F9">
        <w:rPr>
          <w:szCs w:val="24"/>
        </w:rPr>
        <w:t>articularly for family memb</w:t>
      </w:r>
      <w:r w:rsidR="00F543D7">
        <w:rPr>
          <w:szCs w:val="24"/>
        </w:rPr>
        <w:t>ers undergoing these procedures,</w:t>
      </w:r>
      <w:r w:rsidRPr="000473F9">
        <w:rPr>
          <w:szCs w:val="24"/>
        </w:rPr>
        <w:t xml:space="preserve"> the surgeries may be conducted at the same time and be associated with a decreased cost</w:t>
      </w:r>
      <w:r w:rsidR="00C15564">
        <w:rPr>
          <w:szCs w:val="24"/>
        </w:rPr>
        <w:t xml:space="preserve"> compared with the sum of both.</w:t>
      </w:r>
    </w:p>
    <w:p w14:paraId="688F09E2" w14:textId="77777777" w:rsidR="00C15564" w:rsidRPr="000473F9" w:rsidRDefault="00C15564" w:rsidP="007748B7">
      <w:pPr>
        <w:widowControl w:val="0"/>
        <w:rPr>
          <w:szCs w:val="24"/>
        </w:rPr>
      </w:pPr>
    </w:p>
    <w:p w14:paraId="527B046F" w14:textId="77777777" w:rsidR="00AD3739" w:rsidRPr="00C15564" w:rsidRDefault="00AD3739" w:rsidP="00C15564">
      <w:pPr>
        <w:rPr>
          <w:u w:val="single"/>
        </w:rPr>
      </w:pPr>
      <w:r w:rsidRPr="00C15564">
        <w:rPr>
          <w:u w:val="single"/>
        </w:rPr>
        <w:t>Results of the economic evaluation</w:t>
      </w:r>
    </w:p>
    <w:p w14:paraId="5465EE4A" w14:textId="77777777" w:rsidR="00AD3739" w:rsidRPr="000473F9" w:rsidRDefault="00AD3739" w:rsidP="00AD3739">
      <w:pPr>
        <w:rPr>
          <w:szCs w:val="24"/>
        </w:rPr>
      </w:pPr>
      <w:r w:rsidRPr="000473F9">
        <w:rPr>
          <w:szCs w:val="24"/>
        </w:rPr>
        <w:t>Section 6 of the CUC include</w:t>
      </w:r>
      <w:r w:rsidR="00C15564">
        <w:rPr>
          <w:szCs w:val="24"/>
        </w:rPr>
        <w:t>d</w:t>
      </w:r>
      <w:r w:rsidRPr="000473F9">
        <w:rPr>
          <w:szCs w:val="24"/>
        </w:rPr>
        <w:t xml:space="preserve"> a comprehensive presentation of the results of the economic evaluation.</w:t>
      </w:r>
    </w:p>
    <w:p w14:paraId="65737029" w14:textId="77777777" w:rsidR="00AD3739" w:rsidRPr="000473F9" w:rsidRDefault="00AD3739" w:rsidP="00AD3739">
      <w:pPr>
        <w:rPr>
          <w:szCs w:val="24"/>
        </w:rPr>
      </w:pPr>
    </w:p>
    <w:p w14:paraId="18A2C896" w14:textId="77777777" w:rsidR="00AD3739" w:rsidRDefault="00AD3739" w:rsidP="00AD3739">
      <w:pPr>
        <w:rPr>
          <w:szCs w:val="24"/>
        </w:rPr>
      </w:pPr>
      <w:r w:rsidRPr="000473F9">
        <w:rPr>
          <w:szCs w:val="24"/>
        </w:rPr>
        <w:t xml:space="preserve">Analysis of the incremental costs and effectiveness indicated an incremental cost of $3,129.71 to achieve an incremental QALY gain of 0.21 for affected individuals resulting in an ICER of $151,837.18 and an incremental cost of </w:t>
      </w:r>
      <w:r w:rsidR="00C15564">
        <w:rPr>
          <w:szCs w:val="24"/>
        </w:rPr>
        <w:t>cancer avoided of $101,779.19.</w:t>
      </w:r>
    </w:p>
    <w:p w14:paraId="37F5E75A" w14:textId="77777777" w:rsidR="00C15564" w:rsidRPr="000473F9" w:rsidRDefault="00C15564" w:rsidP="00AD3739">
      <w:pPr>
        <w:rPr>
          <w:szCs w:val="24"/>
        </w:rPr>
      </w:pPr>
    </w:p>
    <w:p w14:paraId="6FB93EC2" w14:textId="77777777" w:rsidR="00AD3739" w:rsidRPr="00C15564" w:rsidRDefault="00C15564" w:rsidP="00AD3739">
      <w:pPr>
        <w:rPr>
          <w:rStyle w:val="CommentReference"/>
          <w:rFonts w:ascii="Arial Narrow" w:hAnsi="Arial Narrow"/>
          <w:b/>
          <w:sz w:val="20"/>
          <w:szCs w:val="20"/>
        </w:rPr>
      </w:pPr>
      <w:r w:rsidRPr="00C15564">
        <w:rPr>
          <w:rStyle w:val="CommentReference"/>
          <w:rFonts w:ascii="Arial Narrow" w:hAnsi="Arial Narrow"/>
          <w:b/>
          <w:sz w:val="20"/>
          <w:szCs w:val="20"/>
        </w:rPr>
        <w:t xml:space="preserve">Table 2: </w:t>
      </w:r>
      <w:r w:rsidR="00AD3739" w:rsidRPr="00C15564">
        <w:rPr>
          <w:rStyle w:val="CommentReference"/>
          <w:rFonts w:ascii="Arial Narrow" w:hAnsi="Arial Narrow"/>
          <w:b/>
          <w:sz w:val="20"/>
          <w:szCs w:val="20"/>
        </w:rPr>
        <w:t>Results of the economic evaluation (</w:t>
      </w:r>
      <w:r>
        <w:rPr>
          <w:rStyle w:val="CommentReference"/>
          <w:rFonts w:ascii="Arial Narrow" w:hAnsi="Arial Narrow"/>
          <w:b/>
          <w:sz w:val="20"/>
          <w:szCs w:val="20"/>
        </w:rPr>
        <w:t xml:space="preserve">incremental </w:t>
      </w:r>
      <w:r w:rsidR="00AD3739" w:rsidRPr="00C15564">
        <w:rPr>
          <w:rStyle w:val="CommentReference"/>
          <w:rFonts w:ascii="Arial Narrow" w:hAnsi="Arial Narrow"/>
          <w:b/>
          <w:sz w:val="20"/>
          <w:szCs w:val="20"/>
        </w:rPr>
        <w:t xml:space="preserve">cost per </w:t>
      </w:r>
      <w:r>
        <w:rPr>
          <w:rStyle w:val="CommentReference"/>
          <w:rFonts w:ascii="Arial Narrow" w:hAnsi="Arial Narrow"/>
          <w:b/>
          <w:sz w:val="20"/>
          <w:szCs w:val="20"/>
        </w:rPr>
        <w:t xml:space="preserve">extra </w:t>
      </w:r>
      <w:r w:rsidR="00AD3739" w:rsidRPr="00C15564">
        <w:rPr>
          <w:rStyle w:val="CommentReference"/>
          <w:rFonts w:ascii="Arial Narrow" w:hAnsi="Arial Narrow"/>
          <w:b/>
          <w:sz w:val="20"/>
          <w:szCs w:val="20"/>
        </w:rPr>
        <w:t>QALY gain</w:t>
      </w:r>
      <w:r>
        <w:rPr>
          <w:rStyle w:val="CommentReference"/>
          <w:rFonts w:ascii="Arial Narrow" w:hAnsi="Arial Narrow"/>
          <w:b/>
          <w:sz w:val="20"/>
          <w:szCs w:val="20"/>
        </w:rPr>
        <w:t>ed</w:t>
      </w:r>
      <w:r w:rsidR="00AD3739" w:rsidRPr="00C15564">
        <w:rPr>
          <w:rStyle w:val="CommentReference"/>
          <w:rFonts w:ascii="Arial Narrow" w:hAnsi="Arial Narrow"/>
          <w:b/>
          <w:sz w:val="20"/>
          <w:szCs w:val="20"/>
        </w:rPr>
        <w:t>) in affected individuals</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71"/>
        <w:gridCol w:w="2379"/>
        <w:gridCol w:w="2379"/>
        <w:gridCol w:w="2213"/>
      </w:tblGrid>
      <w:tr w:rsidR="00AD3739" w:rsidRPr="007743A8" w14:paraId="38A0E180" w14:textId="77777777" w:rsidTr="00E71C9F">
        <w:tc>
          <w:tcPr>
            <w:tcW w:w="1229" w:type="pct"/>
          </w:tcPr>
          <w:p w14:paraId="30A99B3A" w14:textId="77777777" w:rsidR="00AD3739" w:rsidRPr="007743A8" w:rsidRDefault="00AD3739" w:rsidP="00DF497D">
            <w:pPr>
              <w:rPr>
                <w:rFonts w:ascii="Arial Narrow" w:hAnsi="Arial Narrow"/>
                <w:b/>
                <w:sz w:val="20"/>
              </w:rPr>
            </w:pPr>
            <w:r w:rsidRPr="007743A8">
              <w:rPr>
                <w:rFonts w:ascii="Arial Narrow" w:hAnsi="Arial Narrow"/>
                <w:b/>
                <w:sz w:val="20"/>
              </w:rPr>
              <w:t>Component</w:t>
            </w:r>
          </w:p>
        </w:tc>
        <w:tc>
          <w:tcPr>
            <w:tcW w:w="1287" w:type="pct"/>
          </w:tcPr>
          <w:p w14:paraId="75B4D88F" w14:textId="77777777" w:rsidR="00AD3739" w:rsidRPr="007743A8" w:rsidRDefault="00AD3739" w:rsidP="00DF497D">
            <w:pPr>
              <w:jc w:val="center"/>
              <w:rPr>
                <w:rFonts w:ascii="Arial Narrow" w:hAnsi="Arial Narrow"/>
                <w:b/>
                <w:sz w:val="20"/>
              </w:rPr>
            </w:pPr>
            <w:r w:rsidRPr="007743A8">
              <w:rPr>
                <w:rFonts w:ascii="Arial Narrow" w:hAnsi="Arial Narrow"/>
                <w:b/>
                <w:sz w:val="20"/>
              </w:rPr>
              <w:t>Genetic testing</w:t>
            </w:r>
          </w:p>
        </w:tc>
        <w:tc>
          <w:tcPr>
            <w:tcW w:w="1287" w:type="pct"/>
          </w:tcPr>
          <w:p w14:paraId="35E4D3A5" w14:textId="77777777" w:rsidR="00AD3739" w:rsidRPr="007743A8" w:rsidRDefault="00AD3739" w:rsidP="00DF497D">
            <w:pPr>
              <w:jc w:val="center"/>
              <w:rPr>
                <w:rFonts w:ascii="Arial Narrow" w:hAnsi="Arial Narrow"/>
                <w:b/>
                <w:sz w:val="20"/>
              </w:rPr>
            </w:pPr>
            <w:r w:rsidRPr="007743A8">
              <w:rPr>
                <w:rFonts w:ascii="Arial Narrow" w:hAnsi="Arial Narrow"/>
                <w:b/>
                <w:sz w:val="20"/>
              </w:rPr>
              <w:t>Usual care</w:t>
            </w:r>
          </w:p>
        </w:tc>
        <w:tc>
          <w:tcPr>
            <w:tcW w:w="1197" w:type="pct"/>
          </w:tcPr>
          <w:p w14:paraId="269837C9" w14:textId="77777777" w:rsidR="00AD3739" w:rsidRPr="007743A8" w:rsidRDefault="00AD3739" w:rsidP="00DF497D">
            <w:pPr>
              <w:jc w:val="center"/>
              <w:rPr>
                <w:rFonts w:ascii="Arial Narrow" w:hAnsi="Arial Narrow"/>
                <w:b/>
                <w:sz w:val="20"/>
              </w:rPr>
            </w:pPr>
            <w:r w:rsidRPr="007743A8">
              <w:rPr>
                <w:rFonts w:ascii="Arial Narrow" w:hAnsi="Arial Narrow"/>
                <w:b/>
                <w:sz w:val="20"/>
              </w:rPr>
              <w:t>Increment</w:t>
            </w:r>
          </w:p>
        </w:tc>
      </w:tr>
      <w:tr w:rsidR="00AD3739" w:rsidRPr="007743A8" w14:paraId="4F1D3F99" w14:textId="77777777" w:rsidTr="00E71C9F">
        <w:tc>
          <w:tcPr>
            <w:tcW w:w="1229" w:type="pct"/>
          </w:tcPr>
          <w:p w14:paraId="0EF7D048" w14:textId="77777777" w:rsidR="00AD3739" w:rsidRPr="007743A8" w:rsidRDefault="00AD3739" w:rsidP="00DF497D">
            <w:pPr>
              <w:rPr>
                <w:rFonts w:ascii="Arial Narrow" w:hAnsi="Arial Narrow"/>
                <w:sz w:val="20"/>
              </w:rPr>
            </w:pPr>
            <w:r w:rsidRPr="007743A8">
              <w:rPr>
                <w:rFonts w:ascii="Arial Narrow" w:hAnsi="Arial Narrow"/>
                <w:sz w:val="20"/>
              </w:rPr>
              <w:t>Costs</w:t>
            </w:r>
          </w:p>
        </w:tc>
        <w:tc>
          <w:tcPr>
            <w:tcW w:w="1287" w:type="pct"/>
          </w:tcPr>
          <w:p w14:paraId="53FE1965" w14:textId="77777777" w:rsidR="00AD3739" w:rsidRPr="007743A8" w:rsidRDefault="00AD3739" w:rsidP="00DF497D">
            <w:pPr>
              <w:jc w:val="center"/>
              <w:rPr>
                <w:rFonts w:ascii="Arial Narrow" w:hAnsi="Arial Narrow"/>
                <w:sz w:val="20"/>
              </w:rPr>
            </w:pPr>
            <w:r w:rsidRPr="007743A8">
              <w:rPr>
                <w:rFonts w:ascii="Arial Narrow" w:hAnsi="Arial Narrow"/>
                <w:sz w:val="20"/>
              </w:rPr>
              <w:t>$4,402.15</w:t>
            </w:r>
          </w:p>
        </w:tc>
        <w:tc>
          <w:tcPr>
            <w:tcW w:w="1287" w:type="pct"/>
          </w:tcPr>
          <w:p w14:paraId="56211D38" w14:textId="77777777" w:rsidR="00AD3739" w:rsidRPr="007743A8" w:rsidRDefault="00AD3739" w:rsidP="00DF497D">
            <w:pPr>
              <w:jc w:val="center"/>
              <w:rPr>
                <w:rFonts w:ascii="Arial Narrow" w:hAnsi="Arial Narrow"/>
                <w:sz w:val="20"/>
              </w:rPr>
            </w:pPr>
            <w:r w:rsidRPr="007743A8">
              <w:rPr>
                <w:rFonts w:ascii="Arial Narrow" w:hAnsi="Arial Narrow"/>
                <w:sz w:val="20"/>
              </w:rPr>
              <w:t>$1,272.43</w:t>
            </w:r>
          </w:p>
        </w:tc>
        <w:tc>
          <w:tcPr>
            <w:tcW w:w="1197" w:type="pct"/>
          </w:tcPr>
          <w:p w14:paraId="4F6ACBE7" w14:textId="77777777" w:rsidR="00AD3739" w:rsidRPr="007743A8" w:rsidRDefault="00AD3739" w:rsidP="00DF497D">
            <w:pPr>
              <w:jc w:val="center"/>
              <w:rPr>
                <w:rFonts w:ascii="Arial Narrow" w:hAnsi="Arial Narrow"/>
                <w:sz w:val="20"/>
              </w:rPr>
            </w:pPr>
            <w:r w:rsidRPr="007743A8">
              <w:rPr>
                <w:rFonts w:ascii="Arial Narrow" w:hAnsi="Arial Narrow"/>
                <w:sz w:val="20"/>
              </w:rPr>
              <w:t>$3,129.71</w:t>
            </w:r>
          </w:p>
        </w:tc>
      </w:tr>
      <w:tr w:rsidR="00AD3739" w:rsidRPr="007743A8" w14:paraId="68A2B561" w14:textId="77777777" w:rsidTr="00E71C9F">
        <w:tc>
          <w:tcPr>
            <w:tcW w:w="1229" w:type="pct"/>
          </w:tcPr>
          <w:p w14:paraId="301DB2E4" w14:textId="77777777" w:rsidR="00AD3739" w:rsidRPr="007743A8" w:rsidRDefault="00AD3739" w:rsidP="00DF497D">
            <w:pPr>
              <w:rPr>
                <w:rFonts w:ascii="Arial Narrow" w:hAnsi="Arial Narrow"/>
                <w:sz w:val="20"/>
              </w:rPr>
            </w:pPr>
            <w:r w:rsidRPr="007743A8">
              <w:rPr>
                <w:rFonts w:ascii="Arial Narrow" w:hAnsi="Arial Narrow"/>
                <w:sz w:val="20"/>
              </w:rPr>
              <w:t>QALY</w:t>
            </w:r>
          </w:p>
        </w:tc>
        <w:tc>
          <w:tcPr>
            <w:tcW w:w="1287" w:type="pct"/>
          </w:tcPr>
          <w:p w14:paraId="7E64944A" w14:textId="77777777" w:rsidR="00AD3739" w:rsidRPr="007743A8" w:rsidRDefault="00AD3739" w:rsidP="00DF497D">
            <w:pPr>
              <w:jc w:val="center"/>
              <w:rPr>
                <w:rFonts w:ascii="Arial Narrow" w:hAnsi="Arial Narrow"/>
                <w:sz w:val="20"/>
              </w:rPr>
            </w:pPr>
            <w:r w:rsidRPr="007743A8">
              <w:rPr>
                <w:rFonts w:ascii="Arial Narrow" w:hAnsi="Arial Narrow"/>
                <w:sz w:val="20"/>
              </w:rPr>
              <w:t>17.932</w:t>
            </w:r>
          </w:p>
        </w:tc>
        <w:tc>
          <w:tcPr>
            <w:tcW w:w="1287" w:type="pct"/>
          </w:tcPr>
          <w:p w14:paraId="7399D550" w14:textId="77777777" w:rsidR="00AD3739" w:rsidRPr="007743A8" w:rsidRDefault="00AD3739" w:rsidP="00DF497D">
            <w:pPr>
              <w:jc w:val="center"/>
              <w:rPr>
                <w:rFonts w:ascii="Arial Narrow" w:hAnsi="Arial Narrow"/>
                <w:sz w:val="20"/>
              </w:rPr>
            </w:pPr>
            <w:r w:rsidRPr="007743A8">
              <w:rPr>
                <w:rFonts w:ascii="Arial Narrow" w:hAnsi="Arial Narrow"/>
                <w:sz w:val="20"/>
              </w:rPr>
              <w:t>17.911</w:t>
            </w:r>
          </w:p>
        </w:tc>
        <w:tc>
          <w:tcPr>
            <w:tcW w:w="1197" w:type="pct"/>
          </w:tcPr>
          <w:p w14:paraId="6F9956C5" w14:textId="77777777" w:rsidR="00AD3739" w:rsidRPr="007743A8" w:rsidRDefault="00AD3739" w:rsidP="00DF497D">
            <w:pPr>
              <w:jc w:val="center"/>
              <w:rPr>
                <w:rFonts w:ascii="Arial Narrow" w:hAnsi="Arial Narrow"/>
                <w:sz w:val="20"/>
              </w:rPr>
            </w:pPr>
            <w:r w:rsidRPr="007743A8">
              <w:rPr>
                <w:rFonts w:ascii="Arial Narrow" w:hAnsi="Arial Narrow"/>
                <w:sz w:val="20"/>
              </w:rPr>
              <w:t>0.021</w:t>
            </w:r>
          </w:p>
        </w:tc>
      </w:tr>
      <w:tr w:rsidR="00AD3739" w:rsidRPr="007743A8" w14:paraId="16B63969" w14:textId="77777777" w:rsidTr="00E71C9F">
        <w:tc>
          <w:tcPr>
            <w:tcW w:w="3803" w:type="pct"/>
            <w:gridSpan w:val="3"/>
          </w:tcPr>
          <w:p w14:paraId="45154725" w14:textId="77777777" w:rsidR="00AD3739" w:rsidRPr="007743A8" w:rsidRDefault="00AD3739" w:rsidP="00DF497D">
            <w:pPr>
              <w:rPr>
                <w:rFonts w:ascii="Arial Narrow" w:hAnsi="Arial Narrow"/>
                <w:b/>
                <w:sz w:val="20"/>
              </w:rPr>
            </w:pPr>
            <w:r w:rsidRPr="007743A8">
              <w:rPr>
                <w:rFonts w:ascii="Arial Narrow" w:hAnsi="Arial Narrow"/>
                <w:b/>
                <w:sz w:val="20"/>
              </w:rPr>
              <w:t>Incremental cost/extra QALY gained</w:t>
            </w:r>
          </w:p>
        </w:tc>
        <w:tc>
          <w:tcPr>
            <w:tcW w:w="1197" w:type="pct"/>
          </w:tcPr>
          <w:p w14:paraId="5C572869" w14:textId="77777777" w:rsidR="00AD3739" w:rsidRPr="007743A8" w:rsidRDefault="00AD3739" w:rsidP="00DF497D">
            <w:pPr>
              <w:jc w:val="center"/>
              <w:rPr>
                <w:rFonts w:ascii="Arial Narrow" w:hAnsi="Arial Narrow"/>
                <w:b/>
                <w:sz w:val="20"/>
              </w:rPr>
            </w:pPr>
            <w:r w:rsidRPr="007743A8">
              <w:rPr>
                <w:rFonts w:ascii="Arial Narrow" w:hAnsi="Arial Narrow"/>
                <w:b/>
                <w:sz w:val="20"/>
              </w:rPr>
              <w:t>$151,837.18</w:t>
            </w:r>
          </w:p>
        </w:tc>
      </w:tr>
    </w:tbl>
    <w:p w14:paraId="6B23DA3F" w14:textId="77777777" w:rsidR="00E323A3" w:rsidRDefault="00E323A3" w:rsidP="00AD3739">
      <w:pPr>
        <w:rPr>
          <w:rStyle w:val="CommentReference"/>
          <w:rFonts w:ascii="Arial Narrow" w:hAnsi="Arial Narrow"/>
          <w:b/>
          <w:sz w:val="20"/>
          <w:szCs w:val="20"/>
        </w:rPr>
      </w:pPr>
    </w:p>
    <w:p w14:paraId="12A487B8" w14:textId="77777777" w:rsidR="00AD3739" w:rsidRPr="00C15564" w:rsidRDefault="00C15564" w:rsidP="00AD3739">
      <w:pPr>
        <w:rPr>
          <w:rStyle w:val="CommentReference"/>
          <w:rFonts w:ascii="Arial Narrow" w:hAnsi="Arial Narrow"/>
          <w:b/>
          <w:sz w:val="20"/>
          <w:szCs w:val="20"/>
        </w:rPr>
      </w:pPr>
      <w:r w:rsidRPr="00C15564">
        <w:rPr>
          <w:rStyle w:val="CommentReference"/>
          <w:rFonts w:ascii="Arial Narrow" w:hAnsi="Arial Narrow"/>
          <w:b/>
          <w:sz w:val="20"/>
          <w:szCs w:val="20"/>
        </w:rPr>
        <w:lastRenderedPageBreak/>
        <w:t xml:space="preserve">Table 3: </w:t>
      </w:r>
      <w:r w:rsidR="00AD3739" w:rsidRPr="00C15564">
        <w:rPr>
          <w:rStyle w:val="CommentReference"/>
          <w:rFonts w:ascii="Arial Narrow" w:hAnsi="Arial Narrow"/>
          <w:b/>
          <w:sz w:val="20"/>
          <w:szCs w:val="20"/>
        </w:rPr>
        <w:t>Results of the economic evaluation (</w:t>
      </w:r>
      <w:r>
        <w:rPr>
          <w:rStyle w:val="CommentReference"/>
          <w:rFonts w:ascii="Arial Narrow" w:hAnsi="Arial Narrow"/>
          <w:b/>
          <w:sz w:val="20"/>
          <w:szCs w:val="20"/>
        </w:rPr>
        <w:t xml:space="preserve">incremental </w:t>
      </w:r>
      <w:r w:rsidR="00AD3739" w:rsidRPr="00C15564">
        <w:rPr>
          <w:rStyle w:val="CommentReference"/>
          <w:rFonts w:ascii="Arial Narrow" w:hAnsi="Arial Narrow"/>
          <w:b/>
          <w:sz w:val="20"/>
          <w:szCs w:val="20"/>
        </w:rPr>
        <w:t xml:space="preserve">cost per </w:t>
      </w:r>
      <w:r>
        <w:rPr>
          <w:rStyle w:val="CommentReference"/>
          <w:rFonts w:ascii="Arial Narrow" w:hAnsi="Arial Narrow"/>
          <w:b/>
          <w:sz w:val="20"/>
          <w:szCs w:val="20"/>
        </w:rPr>
        <w:t xml:space="preserve">extra </w:t>
      </w:r>
      <w:r w:rsidR="00AD3739" w:rsidRPr="00C15564">
        <w:rPr>
          <w:rStyle w:val="CommentReference"/>
          <w:rFonts w:ascii="Arial Narrow" w:hAnsi="Arial Narrow"/>
          <w:b/>
          <w:sz w:val="20"/>
          <w:szCs w:val="20"/>
        </w:rPr>
        <w:t>cancer avoided) in affected individuals</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71"/>
        <w:gridCol w:w="2379"/>
        <w:gridCol w:w="2379"/>
        <w:gridCol w:w="2213"/>
      </w:tblGrid>
      <w:tr w:rsidR="00AD3739" w:rsidRPr="007743A8" w14:paraId="148AA0F0" w14:textId="77777777" w:rsidTr="00E71C9F">
        <w:tc>
          <w:tcPr>
            <w:tcW w:w="1229" w:type="pct"/>
          </w:tcPr>
          <w:p w14:paraId="4CF75BBC" w14:textId="77777777" w:rsidR="00AD3739" w:rsidRPr="007743A8" w:rsidRDefault="00AD3739" w:rsidP="00DF497D">
            <w:pPr>
              <w:rPr>
                <w:rFonts w:ascii="Arial Narrow" w:hAnsi="Arial Narrow"/>
                <w:b/>
                <w:sz w:val="20"/>
              </w:rPr>
            </w:pPr>
            <w:r w:rsidRPr="007743A8">
              <w:rPr>
                <w:rFonts w:ascii="Arial Narrow" w:hAnsi="Arial Narrow"/>
                <w:b/>
                <w:sz w:val="20"/>
              </w:rPr>
              <w:t>Component</w:t>
            </w:r>
          </w:p>
        </w:tc>
        <w:tc>
          <w:tcPr>
            <w:tcW w:w="1287" w:type="pct"/>
          </w:tcPr>
          <w:p w14:paraId="4887167C" w14:textId="77777777" w:rsidR="00AD3739" w:rsidRPr="007743A8" w:rsidRDefault="00AD3739" w:rsidP="00DF497D">
            <w:pPr>
              <w:jc w:val="center"/>
              <w:rPr>
                <w:rFonts w:ascii="Arial Narrow" w:hAnsi="Arial Narrow"/>
                <w:b/>
                <w:sz w:val="20"/>
              </w:rPr>
            </w:pPr>
            <w:r w:rsidRPr="007743A8">
              <w:rPr>
                <w:rFonts w:ascii="Arial Narrow" w:hAnsi="Arial Narrow"/>
                <w:b/>
                <w:sz w:val="20"/>
              </w:rPr>
              <w:t>Genetic testing</w:t>
            </w:r>
          </w:p>
        </w:tc>
        <w:tc>
          <w:tcPr>
            <w:tcW w:w="1287" w:type="pct"/>
          </w:tcPr>
          <w:p w14:paraId="01766F10" w14:textId="77777777" w:rsidR="00AD3739" w:rsidRPr="007743A8" w:rsidRDefault="00AD3739" w:rsidP="00DF497D">
            <w:pPr>
              <w:jc w:val="center"/>
              <w:rPr>
                <w:rFonts w:ascii="Arial Narrow" w:hAnsi="Arial Narrow"/>
                <w:b/>
                <w:sz w:val="20"/>
              </w:rPr>
            </w:pPr>
            <w:r w:rsidRPr="007743A8">
              <w:rPr>
                <w:rFonts w:ascii="Arial Narrow" w:hAnsi="Arial Narrow"/>
                <w:b/>
                <w:sz w:val="20"/>
              </w:rPr>
              <w:t>Usual care</w:t>
            </w:r>
          </w:p>
        </w:tc>
        <w:tc>
          <w:tcPr>
            <w:tcW w:w="1197" w:type="pct"/>
          </w:tcPr>
          <w:p w14:paraId="378F6E63" w14:textId="77777777" w:rsidR="00AD3739" w:rsidRPr="007743A8" w:rsidRDefault="00AD3739" w:rsidP="00DF497D">
            <w:pPr>
              <w:jc w:val="center"/>
              <w:rPr>
                <w:rFonts w:ascii="Arial Narrow" w:hAnsi="Arial Narrow"/>
                <w:b/>
                <w:sz w:val="20"/>
              </w:rPr>
            </w:pPr>
            <w:r w:rsidRPr="007743A8">
              <w:rPr>
                <w:rFonts w:ascii="Arial Narrow" w:hAnsi="Arial Narrow"/>
                <w:b/>
                <w:sz w:val="20"/>
              </w:rPr>
              <w:t>Increment</w:t>
            </w:r>
          </w:p>
        </w:tc>
      </w:tr>
      <w:tr w:rsidR="00AD3739" w:rsidRPr="007743A8" w14:paraId="47A87754" w14:textId="77777777" w:rsidTr="00E71C9F">
        <w:tc>
          <w:tcPr>
            <w:tcW w:w="1229" w:type="pct"/>
          </w:tcPr>
          <w:p w14:paraId="254CD561" w14:textId="77777777" w:rsidR="00AD3739" w:rsidRPr="007743A8" w:rsidRDefault="00AD3739" w:rsidP="00DF497D">
            <w:pPr>
              <w:rPr>
                <w:rFonts w:ascii="Arial Narrow" w:hAnsi="Arial Narrow"/>
                <w:sz w:val="20"/>
              </w:rPr>
            </w:pPr>
            <w:r w:rsidRPr="007743A8">
              <w:rPr>
                <w:rFonts w:ascii="Arial Narrow" w:hAnsi="Arial Narrow"/>
                <w:sz w:val="20"/>
              </w:rPr>
              <w:t>Costs</w:t>
            </w:r>
          </w:p>
        </w:tc>
        <w:tc>
          <w:tcPr>
            <w:tcW w:w="1287" w:type="pct"/>
          </w:tcPr>
          <w:p w14:paraId="0FA2BAF0" w14:textId="77777777" w:rsidR="00AD3739" w:rsidRPr="007743A8" w:rsidRDefault="00AD3739" w:rsidP="00DF497D">
            <w:pPr>
              <w:jc w:val="center"/>
              <w:rPr>
                <w:rFonts w:ascii="Arial Narrow" w:hAnsi="Arial Narrow"/>
                <w:sz w:val="20"/>
              </w:rPr>
            </w:pPr>
            <w:r w:rsidRPr="007743A8">
              <w:rPr>
                <w:rFonts w:ascii="Arial Narrow" w:hAnsi="Arial Narrow"/>
                <w:sz w:val="20"/>
              </w:rPr>
              <w:t>$4,401.43</w:t>
            </w:r>
          </w:p>
        </w:tc>
        <w:tc>
          <w:tcPr>
            <w:tcW w:w="1287" w:type="pct"/>
          </w:tcPr>
          <w:p w14:paraId="70EA54B6" w14:textId="77777777" w:rsidR="00AD3739" w:rsidRPr="007743A8" w:rsidRDefault="00AD3739" w:rsidP="00DF497D">
            <w:pPr>
              <w:jc w:val="center"/>
              <w:rPr>
                <w:rFonts w:ascii="Arial Narrow" w:hAnsi="Arial Narrow"/>
                <w:sz w:val="20"/>
              </w:rPr>
            </w:pPr>
            <w:r w:rsidRPr="007743A8">
              <w:rPr>
                <w:rFonts w:ascii="Arial Narrow" w:hAnsi="Arial Narrow"/>
                <w:sz w:val="20"/>
              </w:rPr>
              <w:t>$1,270.34</w:t>
            </w:r>
          </w:p>
        </w:tc>
        <w:tc>
          <w:tcPr>
            <w:tcW w:w="1197" w:type="pct"/>
          </w:tcPr>
          <w:p w14:paraId="68C0CDEA" w14:textId="77777777" w:rsidR="00AD3739" w:rsidRPr="007743A8" w:rsidRDefault="00AD3739" w:rsidP="00DF497D">
            <w:pPr>
              <w:jc w:val="center"/>
              <w:rPr>
                <w:rFonts w:ascii="Arial Narrow" w:hAnsi="Arial Narrow"/>
                <w:sz w:val="20"/>
              </w:rPr>
            </w:pPr>
            <w:r w:rsidRPr="007743A8">
              <w:rPr>
                <w:rFonts w:ascii="Arial Narrow" w:hAnsi="Arial Narrow"/>
                <w:sz w:val="20"/>
              </w:rPr>
              <w:t>$3,131.09</w:t>
            </w:r>
          </w:p>
        </w:tc>
      </w:tr>
      <w:tr w:rsidR="00AD3739" w:rsidRPr="007743A8" w14:paraId="5BEDB493" w14:textId="77777777" w:rsidTr="00E71C9F">
        <w:tc>
          <w:tcPr>
            <w:tcW w:w="1229" w:type="pct"/>
          </w:tcPr>
          <w:p w14:paraId="24F6ABE2" w14:textId="77777777" w:rsidR="00AD3739" w:rsidRPr="007743A8" w:rsidRDefault="00AD3739" w:rsidP="00DF497D">
            <w:pPr>
              <w:rPr>
                <w:rFonts w:ascii="Arial Narrow" w:hAnsi="Arial Narrow"/>
                <w:sz w:val="20"/>
              </w:rPr>
            </w:pPr>
            <w:r w:rsidRPr="007743A8">
              <w:rPr>
                <w:rFonts w:ascii="Arial Narrow" w:hAnsi="Arial Narrow"/>
                <w:sz w:val="20"/>
              </w:rPr>
              <w:t>Cancer incidence rate</w:t>
            </w:r>
          </w:p>
        </w:tc>
        <w:tc>
          <w:tcPr>
            <w:tcW w:w="1287" w:type="pct"/>
          </w:tcPr>
          <w:p w14:paraId="262CB2D4" w14:textId="77777777" w:rsidR="00AD3739" w:rsidRPr="007743A8" w:rsidRDefault="00AD3739" w:rsidP="00DF497D">
            <w:pPr>
              <w:jc w:val="center"/>
              <w:rPr>
                <w:rFonts w:ascii="Arial Narrow" w:hAnsi="Arial Narrow"/>
                <w:sz w:val="20"/>
              </w:rPr>
            </w:pPr>
            <w:r w:rsidRPr="007743A8">
              <w:rPr>
                <w:rFonts w:ascii="Arial Narrow" w:hAnsi="Arial Narrow"/>
                <w:sz w:val="20"/>
              </w:rPr>
              <w:t>0.12064</w:t>
            </w:r>
          </w:p>
        </w:tc>
        <w:tc>
          <w:tcPr>
            <w:tcW w:w="1287" w:type="pct"/>
          </w:tcPr>
          <w:p w14:paraId="1BD52B8F" w14:textId="77777777" w:rsidR="00AD3739" w:rsidRPr="007743A8" w:rsidRDefault="00AD3739" w:rsidP="00DF497D">
            <w:pPr>
              <w:jc w:val="center"/>
              <w:rPr>
                <w:rFonts w:ascii="Arial Narrow" w:hAnsi="Arial Narrow"/>
                <w:sz w:val="20"/>
              </w:rPr>
            </w:pPr>
            <w:r w:rsidRPr="007743A8">
              <w:rPr>
                <w:rFonts w:ascii="Arial Narrow" w:hAnsi="Arial Narrow"/>
                <w:sz w:val="20"/>
              </w:rPr>
              <w:t>0.15139</w:t>
            </w:r>
          </w:p>
        </w:tc>
        <w:tc>
          <w:tcPr>
            <w:tcW w:w="1197" w:type="pct"/>
          </w:tcPr>
          <w:p w14:paraId="5BF4DDCC" w14:textId="77777777" w:rsidR="00AD3739" w:rsidRPr="007743A8" w:rsidRDefault="00AD3739" w:rsidP="00DF497D">
            <w:pPr>
              <w:jc w:val="center"/>
              <w:rPr>
                <w:rFonts w:ascii="Arial Narrow" w:hAnsi="Arial Narrow"/>
                <w:sz w:val="20"/>
              </w:rPr>
            </w:pPr>
            <w:r w:rsidRPr="007743A8">
              <w:rPr>
                <w:rFonts w:ascii="Arial Narrow" w:hAnsi="Arial Narrow"/>
                <w:sz w:val="20"/>
              </w:rPr>
              <w:t>0.03075</w:t>
            </w:r>
          </w:p>
        </w:tc>
      </w:tr>
      <w:tr w:rsidR="00AD3739" w:rsidRPr="007743A8" w14:paraId="4EFB0B55" w14:textId="77777777" w:rsidTr="00E71C9F">
        <w:tc>
          <w:tcPr>
            <w:tcW w:w="3803" w:type="pct"/>
            <w:gridSpan w:val="3"/>
          </w:tcPr>
          <w:p w14:paraId="49354098" w14:textId="77777777" w:rsidR="00AD3739" w:rsidRPr="007743A8" w:rsidRDefault="00AD3739" w:rsidP="00DF497D">
            <w:pPr>
              <w:rPr>
                <w:rFonts w:ascii="Arial Narrow" w:hAnsi="Arial Narrow"/>
                <w:b/>
                <w:sz w:val="20"/>
              </w:rPr>
            </w:pPr>
            <w:r w:rsidRPr="007743A8">
              <w:rPr>
                <w:rFonts w:ascii="Arial Narrow" w:hAnsi="Arial Narrow"/>
                <w:b/>
                <w:sz w:val="20"/>
              </w:rPr>
              <w:t>Incremental cost/extra cancer avoided</w:t>
            </w:r>
          </w:p>
        </w:tc>
        <w:tc>
          <w:tcPr>
            <w:tcW w:w="1197" w:type="pct"/>
          </w:tcPr>
          <w:p w14:paraId="1AFBF537" w14:textId="77777777" w:rsidR="00AD3739" w:rsidRPr="007743A8" w:rsidRDefault="00AD3739" w:rsidP="00DF497D">
            <w:pPr>
              <w:jc w:val="center"/>
              <w:rPr>
                <w:rFonts w:ascii="Arial Narrow" w:hAnsi="Arial Narrow"/>
                <w:b/>
                <w:sz w:val="20"/>
              </w:rPr>
            </w:pPr>
            <w:r w:rsidRPr="007743A8">
              <w:rPr>
                <w:rFonts w:ascii="Arial Narrow" w:hAnsi="Arial Narrow"/>
                <w:b/>
                <w:sz w:val="20"/>
              </w:rPr>
              <w:t>$101,779.19</w:t>
            </w:r>
          </w:p>
        </w:tc>
      </w:tr>
    </w:tbl>
    <w:p w14:paraId="0FEE993E" w14:textId="77777777" w:rsidR="00C15564" w:rsidRDefault="00C15564" w:rsidP="00AD3739">
      <w:pPr>
        <w:rPr>
          <w:szCs w:val="24"/>
        </w:rPr>
      </w:pPr>
    </w:p>
    <w:p w14:paraId="4F799F70" w14:textId="77777777" w:rsidR="00AD3739" w:rsidRPr="000473F9" w:rsidRDefault="00AD3739" w:rsidP="00AD3739">
      <w:pPr>
        <w:rPr>
          <w:szCs w:val="24"/>
        </w:rPr>
      </w:pPr>
      <w:r w:rsidRPr="000473F9">
        <w:rPr>
          <w:szCs w:val="24"/>
        </w:rPr>
        <w:t>The CUC note</w:t>
      </w:r>
      <w:r w:rsidR="00C15564">
        <w:rPr>
          <w:szCs w:val="24"/>
        </w:rPr>
        <w:t>d</w:t>
      </w:r>
      <w:r w:rsidRPr="000473F9">
        <w:rPr>
          <w:szCs w:val="24"/>
        </w:rPr>
        <w:t xml:space="preserve"> that QALY gains from genetic testing are small and may be clinically insignificant (0.021 over 50 years). Section 6 of the CUC note</w:t>
      </w:r>
      <w:r w:rsidR="00C15564">
        <w:rPr>
          <w:szCs w:val="24"/>
        </w:rPr>
        <w:t>d</w:t>
      </w:r>
      <w:r w:rsidRPr="000473F9">
        <w:rPr>
          <w:szCs w:val="24"/>
        </w:rPr>
        <w:t xml:space="preserve"> that the low QALY gains may be due to:</w:t>
      </w:r>
    </w:p>
    <w:p w14:paraId="07E66335" w14:textId="77777777" w:rsidR="00AD3739" w:rsidRPr="000473F9" w:rsidRDefault="00AD3739" w:rsidP="007748B7">
      <w:pPr>
        <w:pStyle w:val="ListParagraph"/>
        <w:widowControl w:val="0"/>
        <w:numPr>
          <w:ilvl w:val="0"/>
          <w:numId w:val="28"/>
        </w:numPr>
        <w:ind w:left="284" w:hanging="284"/>
        <w:rPr>
          <w:szCs w:val="24"/>
        </w:rPr>
      </w:pPr>
      <w:r w:rsidRPr="000473F9">
        <w:rPr>
          <w:szCs w:val="24"/>
        </w:rPr>
        <w:t>Low mortality from early breast cancer (2.2% annually), although higher than age-related mortality.</w:t>
      </w:r>
    </w:p>
    <w:p w14:paraId="2C78A1BA" w14:textId="77777777" w:rsidR="00AD3739" w:rsidRPr="000473F9" w:rsidRDefault="00AD3739" w:rsidP="007748B7">
      <w:pPr>
        <w:pStyle w:val="ListParagraph"/>
        <w:widowControl w:val="0"/>
        <w:numPr>
          <w:ilvl w:val="0"/>
          <w:numId w:val="28"/>
        </w:numPr>
        <w:ind w:left="284" w:hanging="284"/>
        <w:rPr>
          <w:szCs w:val="24"/>
        </w:rPr>
      </w:pPr>
      <w:r w:rsidRPr="000473F9">
        <w:rPr>
          <w:szCs w:val="24"/>
        </w:rPr>
        <w:t>Reasonably high utility value associated w</w:t>
      </w:r>
      <w:r w:rsidR="00C15564">
        <w:rPr>
          <w:szCs w:val="24"/>
        </w:rPr>
        <w:t xml:space="preserve">ith early breast cancer (0.8). </w:t>
      </w:r>
      <w:r w:rsidRPr="000473F9">
        <w:rPr>
          <w:szCs w:val="24"/>
        </w:rPr>
        <w:t>Assuming that an individual survives all 5 years of breast cancer at a utility of 0.8, an individual in full health would have gained an additional 1 QALY over the 5 years.</w:t>
      </w:r>
    </w:p>
    <w:p w14:paraId="2AE11C43" w14:textId="77777777" w:rsidR="00AD3739" w:rsidRPr="000473F9" w:rsidRDefault="00AD3739" w:rsidP="007748B7">
      <w:pPr>
        <w:pStyle w:val="ListParagraph"/>
        <w:widowControl w:val="0"/>
        <w:numPr>
          <w:ilvl w:val="0"/>
          <w:numId w:val="28"/>
        </w:numPr>
        <w:ind w:left="284" w:hanging="284"/>
        <w:rPr>
          <w:szCs w:val="24"/>
        </w:rPr>
      </w:pPr>
      <w:r w:rsidRPr="000473F9">
        <w:rPr>
          <w:szCs w:val="24"/>
        </w:rPr>
        <w:t>Diluting the benefits of the number of cancers avoided (3,075) amongst a total of 100,000 individuals resulting in a gain of 0.03075 QALY per individual.</w:t>
      </w:r>
    </w:p>
    <w:p w14:paraId="1905F8F4" w14:textId="77777777" w:rsidR="00AD3739" w:rsidRPr="000473F9" w:rsidRDefault="00AD3739" w:rsidP="007748B7">
      <w:pPr>
        <w:pStyle w:val="ListParagraph"/>
        <w:widowControl w:val="0"/>
        <w:numPr>
          <w:ilvl w:val="0"/>
          <w:numId w:val="28"/>
        </w:numPr>
        <w:ind w:left="284" w:hanging="284"/>
        <w:rPr>
          <w:szCs w:val="24"/>
        </w:rPr>
      </w:pPr>
      <w:r w:rsidRPr="000473F9">
        <w:rPr>
          <w:szCs w:val="24"/>
        </w:rPr>
        <w:t>Discounting would have reduced the effect of any QALY gains on a population level, as the highest incidence of breast cancer occurs when individuals are around 60 years of age, which is between 10 to 30 cycles into the model.</w:t>
      </w:r>
    </w:p>
    <w:p w14:paraId="152C6E7A" w14:textId="77777777" w:rsidR="00AD3739" w:rsidRPr="000473F9" w:rsidRDefault="00AD3739" w:rsidP="00AD3739">
      <w:pPr>
        <w:rPr>
          <w:szCs w:val="24"/>
        </w:rPr>
      </w:pPr>
    </w:p>
    <w:p w14:paraId="6496FCE2" w14:textId="77777777" w:rsidR="00AD3739" w:rsidRPr="000473F9" w:rsidRDefault="00AD3739" w:rsidP="00AD3739">
      <w:pPr>
        <w:rPr>
          <w:szCs w:val="24"/>
        </w:rPr>
      </w:pPr>
      <w:r w:rsidRPr="000473F9">
        <w:rPr>
          <w:szCs w:val="24"/>
        </w:rPr>
        <w:t>There w</w:t>
      </w:r>
      <w:r w:rsidR="00C15564">
        <w:rPr>
          <w:szCs w:val="24"/>
        </w:rPr>
        <w:t>ere</w:t>
      </w:r>
      <w:r w:rsidRPr="000473F9">
        <w:rPr>
          <w:szCs w:val="24"/>
        </w:rPr>
        <w:t xml:space="preserve"> also variations in the ICER calculated given the randomised starting age and low incidence. Nonetheless, the CUC indicate</w:t>
      </w:r>
      <w:r w:rsidR="00C15564">
        <w:rPr>
          <w:szCs w:val="24"/>
        </w:rPr>
        <w:t>d</w:t>
      </w:r>
      <w:r w:rsidRPr="000473F9">
        <w:rPr>
          <w:szCs w:val="24"/>
        </w:rPr>
        <w:t xml:space="preserve"> that the base case appears to sit around $150,000/QALY gain ± 10%.</w:t>
      </w:r>
    </w:p>
    <w:p w14:paraId="0F705DA5" w14:textId="77777777" w:rsidR="00AD3739" w:rsidRPr="000473F9" w:rsidRDefault="00AD3739" w:rsidP="00AD3739">
      <w:pPr>
        <w:rPr>
          <w:szCs w:val="24"/>
        </w:rPr>
      </w:pPr>
    </w:p>
    <w:p w14:paraId="64C539DD" w14:textId="77777777" w:rsidR="00AD3739" w:rsidRDefault="00AD3739" w:rsidP="00AD3739">
      <w:pPr>
        <w:rPr>
          <w:szCs w:val="24"/>
        </w:rPr>
      </w:pPr>
      <w:r w:rsidRPr="000473F9">
        <w:rPr>
          <w:szCs w:val="24"/>
        </w:rPr>
        <w:t>For family members, the analysis indicated an incremental cost of $6</w:t>
      </w:r>
      <w:r w:rsidR="009A631D">
        <w:rPr>
          <w:szCs w:val="24"/>
        </w:rPr>
        <w:t>,</w:t>
      </w:r>
      <w:r w:rsidRPr="000473F9">
        <w:rPr>
          <w:szCs w:val="24"/>
        </w:rPr>
        <w:t>336.91 for an incremental QALY gain of 0.074 resulting in an ICER</w:t>
      </w:r>
      <w:r w:rsidR="00C15564">
        <w:rPr>
          <w:szCs w:val="24"/>
        </w:rPr>
        <w:t>/QALY</w:t>
      </w:r>
      <w:r w:rsidRPr="000473F9">
        <w:rPr>
          <w:szCs w:val="24"/>
        </w:rPr>
        <w:t xml:space="preserve"> of $85,598.66 and a</w:t>
      </w:r>
      <w:r w:rsidR="00C15564">
        <w:rPr>
          <w:szCs w:val="24"/>
        </w:rPr>
        <w:t>n incremental</w:t>
      </w:r>
      <w:r w:rsidRPr="000473F9">
        <w:rPr>
          <w:szCs w:val="24"/>
        </w:rPr>
        <w:t xml:space="preserve"> cost per </w:t>
      </w:r>
      <w:r w:rsidR="00C15564">
        <w:rPr>
          <w:szCs w:val="24"/>
        </w:rPr>
        <w:t xml:space="preserve">extra </w:t>
      </w:r>
      <w:r w:rsidRPr="000473F9">
        <w:rPr>
          <w:szCs w:val="24"/>
        </w:rPr>
        <w:t>cancer avoided of $38,224.82</w:t>
      </w:r>
      <w:r w:rsidR="00C15564">
        <w:rPr>
          <w:szCs w:val="24"/>
        </w:rPr>
        <w:t>.</w:t>
      </w:r>
    </w:p>
    <w:p w14:paraId="7D49B297" w14:textId="77777777" w:rsidR="00C15564" w:rsidRPr="000473F9" w:rsidRDefault="00C15564" w:rsidP="00AD3739">
      <w:pPr>
        <w:rPr>
          <w:rStyle w:val="CommentReference"/>
          <w:sz w:val="24"/>
          <w:szCs w:val="24"/>
        </w:rPr>
      </w:pPr>
    </w:p>
    <w:p w14:paraId="0F554CDC" w14:textId="77777777" w:rsidR="00AD3739" w:rsidRDefault="00AD3739" w:rsidP="00AD3739">
      <w:pPr>
        <w:pStyle w:val="Caption"/>
        <w:spacing w:before="0" w:after="0"/>
        <w:ind w:left="0" w:firstLine="0"/>
      </w:pPr>
      <w:r>
        <w:t>Table</w:t>
      </w:r>
      <w:r w:rsidR="00C15564">
        <w:t xml:space="preserve"> 4</w:t>
      </w:r>
      <w:r>
        <w:t xml:space="preserve">: </w:t>
      </w:r>
      <w:r w:rsidRPr="00BF1AC7">
        <w:t>Results of the economic evaluation (</w:t>
      </w:r>
      <w:r w:rsidR="00C15564">
        <w:t xml:space="preserve">incremental </w:t>
      </w:r>
      <w:r w:rsidRPr="00BF1AC7">
        <w:t xml:space="preserve">cost per </w:t>
      </w:r>
      <w:r w:rsidR="00C15564">
        <w:t xml:space="preserve">extra </w:t>
      </w:r>
      <w:r w:rsidRPr="00BF1AC7">
        <w:t>QALY gain</w:t>
      </w:r>
      <w:r w:rsidR="00C15564">
        <w:t>ed</w:t>
      </w:r>
      <w:r w:rsidRPr="00BF1AC7">
        <w:t>) in family members</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69"/>
        <w:gridCol w:w="2379"/>
        <w:gridCol w:w="2381"/>
        <w:gridCol w:w="2213"/>
      </w:tblGrid>
      <w:tr w:rsidR="00AD3739" w:rsidRPr="007743A8" w14:paraId="55DD72E2" w14:textId="77777777" w:rsidTr="00E71C9F">
        <w:tc>
          <w:tcPr>
            <w:tcW w:w="1228" w:type="pct"/>
          </w:tcPr>
          <w:p w14:paraId="56724D17" w14:textId="77777777" w:rsidR="00AD3739" w:rsidRPr="007743A8" w:rsidRDefault="00AD3739" w:rsidP="00DF497D">
            <w:pPr>
              <w:rPr>
                <w:rFonts w:ascii="Arial Narrow" w:hAnsi="Arial Narrow"/>
                <w:b/>
                <w:sz w:val="20"/>
              </w:rPr>
            </w:pPr>
            <w:r w:rsidRPr="007743A8">
              <w:rPr>
                <w:rFonts w:ascii="Arial Narrow" w:hAnsi="Arial Narrow"/>
                <w:b/>
                <w:sz w:val="20"/>
              </w:rPr>
              <w:t>Component</w:t>
            </w:r>
          </w:p>
        </w:tc>
        <w:tc>
          <w:tcPr>
            <w:tcW w:w="1287" w:type="pct"/>
          </w:tcPr>
          <w:p w14:paraId="7A045BE5" w14:textId="77777777" w:rsidR="00AD3739" w:rsidRPr="007743A8" w:rsidRDefault="00AD3739" w:rsidP="00DF497D">
            <w:pPr>
              <w:jc w:val="center"/>
              <w:rPr>
                <w:rFonts w:ascii="Arial Narrow" w:hAnsi="Arial Narrow"/>
                <w:b/>
                <w:sz w:val="20"/>
              </w:rPr>
            </w:pPr>
            <w:r w:rsidRPr="007743A8">
              <w:rPr>
                <w:rFonts w:ascii="Arial Narrow" w:hAnsi="Arial Narrow"/>
                <w:b/>
                <w:sz w:val="20"/>
              </w:rPr>
              <w:t>Genetic testing</w:t>
            </w:r>
          </w:p>
        </w:tc>
        <w:tc>
          <w:tcPr>
            <w:tcW w:w="1288" w:type="pct"/>
          </w:tcPr>
          <w:p w14:paraId="144659A7" w14:textId="77777777" w:rsidR="00AD3739" w:rsidRPr="007743A8" w:rsidRDefault="00AD3739" w:rsidP="00DF497D">
            <w:pPr>
              <w:jc w:val="center"/>
              <w:rPr>
                <w:rFonts w:ascii="Arial Narrow" w:hAnsi="Arial Narrow"/>
                <w:b/>
                <w:sz w:val="20"/>
              </w:rPr>
            </w:pPr>
            <w:r w:rsidRPr="007743A8">
              <w:rPr>
                <w:rFonts w:ascii="Arial Narrow" w:hAnsi="Arial Narrow"/>
                <w:b/>
                <w:sz w:val="20"/>
              </w:rPr>
              <w:t>Usual care</w:t>
            </w:r>
          </w:p>
        </w:tc>
        <w:tc>
          <w:tcPr>
            <w:tcW w:w="1197" w:type="pct"/>
          </w:tcPr>
          <w:p w14:paraId="69EA2013" w14:textId="77777777" w:rsidR="00AD3739" w:rsidRPr="007743A8" w:rsidRDefault="00AD3739" w:rsidP="00DF497D">
            <w:pPr>
              <w:jc w:val="center"/>
              <w:rPr>
                <w:rFonts w:ascii="Arial Narrow" w:hAnsi="Arial Narrow"/>
                <w:b/>
                <w:sz w:val="20"/>
              </w:rPr>
            </w:pPr>
            <w:r w:rsidRPr="007743A8">
              <w:rPr>
                <w:rFonts w:ascii="Arial Narrow" w:hAnsi="Arial Narrow"/>
                <w:b/>
                <w:sz w:val="20"/>
              </w:rPr>
              <w:t>Increment</w:t>
            </w:r>
          </w:p>
        </w:tc>
      </w:tr>
      <w:tr w:rsidR="00AD3739" w:rsidRPr="007743A8" w14:paraId="328735C4" w14:textId="77777777" w:rsidTr="00E71C9F">
        <w:tc>
          <w:tcPr>
            <w:tcW w:w="1228" w:type="pct"/>
          </w:tcPr>
          <w:p w14:paraId="2B8D3D37" w14:textId="77777777" w:rsidR="00AD3739" w:rsidRPr="007743A8" w:rsidRDefault="00AD3739" w:rsidP="00DF497D">
            <w:pPr>
              <w:rPr>
                <w:rFonts w:ascii="Arial Narrow" w:hAnsi="Arial Narrow"/>
                <w:sz w:val="20"/>
              </w:rPr>
            </w:pPr>
            <w:r w:rsidRPr="007743A8">
              <w:rPr>
                <w:rFonts w:ascii="Arial Narrow" w:hAnsi="Arial Narrow"/>
                <w:sz w:val="20"/>
              </w:rPr>
              <w:t>Costs</w:t>
            </w:r>
          </w:p>
        </w:tc>
        <w:tc>
          <w:tcPr>
            <w:tcW w:w="1287" w:type="pct"/>
          </w:tcPr>
          <w:p w14:paraId="64723D25" w14:textId="77777777" w:rsidR="00AD3739" w:rsidRPr="007743A8" w:rsidRDefault="00AD3739" w:rsidP="00DF497D">
            <w:pPr>
              <w:jc w:val="center"/>
              <w:rPr>
                <w:rFonts w:ascii="Arial Narrow" w:hAnsi="Arial Narrow"/>
                <w:sz w:val="20"/>
              </w:rPr>
            </w:pPr>
            <w:r w:rsidRPr="007743A8">
              <w:rPr>
                <w:rFonts w:ascii="Arial Narrow" w:hAnsi="Arial Narrow"/>
                <w:sz w:val="20"/>
              </w:rPr>
              <w:t>$8,598.25</w:t>
            </w:r>
          </w:p>
        </w:tc>
        <w:tc>
          <w:tcPr>
            <w:tcW w:w="1288" w:type="pct"/>
          </w:tcPr>
          <w:p w14:paraId="0DA0B04D" w14:textId="77777777" w:rsidR="00AD3739" w:rsidRPr="007743A8" w:rsidRDefault="00AD3739" w:rsidP="00DF497D">
            <w:pPr>
              <w:jc w:val="center"/>
              <w:rPr>
                <w:rFonts w:ascii="Arial Narrow" w:hAnsi="Arial Narrow"/>
                <w:sz w:val="20"/>
              </w:rPr>
            </w:pPr>
            <w:r w:rsidRPr="007743A8">
              <w:rPr>
                <w:rFonts w:ascii="Arial Narrow" w:hAnsi="Arial Narrow"/>
                <w:sz w:val="20"/>
              </w:rPr>
              <w:t>$2,261.34</w:t>
            </w:r>
          </w:p>
        </w:tc>
        <w:tc>
          <w:tcPr>
            <w:tcW w:w="1197" w:type="pct"/>
          </w:tcPr>
          <w:p w14:paraId="6898371D" w14:textId="77777777" w:rsidR="00AD3739" w:rsidRPr="007743A8" w:rsidRDefault="00AD3739" w:rsidP="00DF497D">
            <w:pPr>
              <w:jc w:val="center"/>
              <w:rPr>
                <w:rFonts w:ascii="Arial Narrow" w:hAnsi="Arial Narrow"/>
                <w:sz w:val="20"/>
              </w:rPr>
            </w:pPr>
            <w:r w:rsidRPr="007743A8">
              <w:rPr>
                <w:rFonts w:ascii="Arial Narrow" w:hAnsi="Arial Narrow"/>
                <w:sz w:val="20"/>
              </w:rPr>
              <w:t>$6,336.91</w:t>
            </w:r>
          </w:p>
        </w:tc>
      </w:tr>
      <w:tr w:rsidR="00AD3739" w:rsidRPr="007743A8" w14:paraId="4DD0BC67" w14:textId="77777777" w:rsidTr="00E71C9F">
        <w:tc>
          <w:tcPr>
            <w:tcW w:w="1228" w:type="pct"/>
          </w:tcPr>
          <w:p w14:paraId="08267F11" w14:textId="77777777" w:rsidR="00AD3739" w:rsidRPr="007743A8" w:rsidRDefault="00AD3739" w:rsidP="00DF497D">
            <w:pPr>
              <w:rPr>
                <w:rFonts w:ascii="Arial Narrow" w:hAnsi="Arial Narrow"/>
                <w:sz w:val="20"/>
              </w:rPr>
            </w:pPr>
            <w:r w:rsidRPr="007743A8">
              <w:rPr>
                <w:rFonts w:ascii="Arial Narrow" w:hAnsi="Arial Narrow"/>
                <w:sz w:val="20"/>
              </w:rPr>
              <w:t>QALY</w:t>
            </w:r>
          </w:p>
        </w:tc>
        <w:tc>
          <w:tcPr>
            <w:tcW w:w="1287" w:type="pct"/>
          </w:tcPr>
          <w:p w14:paraId="47E56101" w14:textId="77777777" w:rsidR="00AD3739" w:rsidRPr="007743A8" w:rsidRDefault="00AD3739" w:rsidP="00DF497D">
            <w:pPr>
              <w:jc w:val="center"/>
              <w:rPr>
                <w:rFonts w:ascii="Arial Narrow" w:hAnsi="Arial Narrow"/>
                <w:sz w:val="20"/>
              </w:rPr>
            </w:pPr>
            <w:r w:rsidRPr="007743A8">
              <w:rPr>
                <w:rFonts w:ascii="Arial Narrow" w:hAnsi="Arial Narrow"/>
                <w:sz w:val="20"/>
              </w:rPr>
              <w:t>17.088</w:t>
            </w:r>
          </w:p>
        </w:tc>
        <w:tc>
          <w:tcPr>
            <w:tcW w:w="1288" w:type="pct"/>
          </w:tcPr>
          <w:p w14:paraId="45C7352F" w14:textId="77777777" w:rsidR="00AD3739" w:rsidRPr="007743A8" w:rsidRDefault="00AD3739" w:rsidP="00DF497D">
            <w:pPr>
              <w:jc w:val="center"/>
              <w:rPr>
                <w:rFonts w:ascii="Arial Narrow" w:hAnsi="Arial Narrow"/>
                <w:sz w:val="20"/>
              </w:rPr>
            </w:pPr>
            <w:r w:rsidRPr="007743A8">
              <w:rPr>
                <w:rFonts w:ascii="Arial Narrow" w:hAnsi="Arial Narrow"/>
                <w:sz w:val="20"/>
              </w:rPr>
              <w:t>17.014</w:t>
            </w:r>
          </w:p>
        </w:tc>
        <w:tc>
          <w:tcPr>
            <w:tcW w:w="1197" w:type="pct"/>
          </w:tcPr>
          <w:p w14:paraId="06503367" w14:textId="77777777" w:rsidR="00AD3739" w:rsidRPr="007743A8" w:rsidRDefault="00AD3739" w:rsidP="00DF497D">
            <w:pPr>
              <w:jc w:val="center"/>
              <w:rPr>
                <w:rFonts w:ascii="Arial Narrow" w:hAnsi="Arial Narrow"/>
                <w:sz w:val="20"/>
              </w:rPr>
            </w:pPr>
            <w:r w:rsidRPr="007743A8">
              <w:rPr>
                <w:rFonts w:ascii="Arial Narrow" w:hAnsi="Arial Narrow"/>
                <w:sz w:val="20"/>
              </w:rPr>
              <w:t>0.074</w:t>
            </w:r>
          </w:p>
        </w:tc>
      </w:tr>
      <w:tr w:rsidR="00AD3739" w:rsidRPr="007743A8" w14:paraId="525BD728" w14:textId="77777777" w:rsidTr="00E71C9F">
        <w:tc>
          <w:tcPr>
            <w:tcW w:w="3803" w:type="pct"/>
            <w:gridSpan w:val="3"/>
          </w:tcPr>
          <w:p w14:paraId="5BD887EB" w14:textId="77777777" w:rsidR="00AD3739" w:rsidRPr="007743A8" w:rsidRDefault="00AD3739" w:rsidP="00DF497D">
            <w:pPr>
              <w:rPr>
                <w:rFonts w:ascii="Arial Narrow" w:hAnsi="Arial Narrow"/>
                <w:b/>
                <w:sz w:val="20"/>
              </w:rPr>
            </w:pPr>
            <w:r w:rsidRPr="007743A8">
              <w:rPr>
                <w:rFonts w:ascii="Arial Narrow" w:hAnsi="Arial Narrow"/>
                <w:b/>
                <w:sz w:val="20"/>
              </w:rPr>
              <w:t>Incremental cost/extra QALY gained</w:t>
            </w:r>
          </w:p>
        </w:tc>
        <w:tc>
          <w:tcPr>
            <w:tcW w:w="1197" w:type="pct"/>
          </w:tcPr>
          <w:p w14:paraId="1CE32DAC" w14:textId="77777777" w:rsidR="00AD3739" w:rsidRPr="007743A8" w:rsidRDefault="00AD3739" w:rsidP="00DF497D">
            <w:pPr>
              <w:jc w:val="center"/>
              <w:rPr>
                <w:rFonts w:ascii="Arial Narrow" w:hAnsi="Arial Narrow"/>
                <w:b/>
                <w:sz w:val="20"/>
              </w:rPr>
            </w:pPr>
            <w:r w:rsidRPr="007743A8">
              <w:rPr>
                <w:rFonts w:ascii="Arial Narrow" w:hAnsi="Arial Narrow"/>
                <w:b/>
                <w:sz w:val="20"/>
              </w:rPr>
              <w:t>$85,598.66</w:t>
            </w:r>
          </w:p>
        </w:tc>
      </w:tr>
    </w:tbl>
    <w:p w14:paraId="2859F1CC" w14:textId="77777777" w:rsidR="00AD3739" w:rsidRPr="00C15564" w:rsidRDefault="00AD3739" w:rsidP="00AD3739">
      <w:pPr>
        <w:rPr>
          <w:rStyle w:val="CommentReference"/>
          <w:sz w:val="24"/>
          <w:szCs w:val="24"/>
        </w:rPr>
      </w:pPr>
    </w:p>
    <w:p w14:paraId="1D9DF7E7" w14:textId="77777777" w:rsidR="00AD3739" w:rsidRPr="007743A8" w:rsidRDefault="00AD3739" w:rsidP="00AD3739">
      <w:pPr>
        <w:pStyle w:val="Caption"/>
        <w:spacing w:before="0" w:after="0"/>
        <w:ind w:left="0" w:firstLine="0"/>
        <w:rPr>
          <w:szCs w:val="20"/>
        </w:rPr>
      </w:pPr>
      <w:r w:rsidRPr="007743A8">
        <w:rPr>
          <w:szCs w:val="20"/>
        </w:rPr>
        <w:t>Table</w:t>
      </w:r>
      <w:r w:rsidR="00C15564">
        <w:rPr>
          <w:szCs w:val="20"/>
        </w:rPr>
        <w:t xml:space="preserve"> 5</w:t>
      </w:r>
      <w:r w:rsidRPr="007743A8">
        <w:rPr>
          <w:szCs w:val="20"/>
        </w:rPr>
        <w:t>: Results of the economic evaluation (</w:t>
      </w:r>
      <w:r w:rsidR="00C15564">
        <w:rPr>
          <w:szCs w:val="20"/>
        </w:rPr>
        <w:t xml:space="preserve">incremental </w:t>
      </w:r>
      <w:r w:rsidRPr="007743A8">
        <w:rPr>
          <w:szCs w:val="20"/>
        </w:rPr>
        <w:t xml:space="preserve">cost per </w:t>
      </w:r>
      <w:r w:rsidR="00C15564">
        <w:rPr>
          <w:szCs w:val="20"/>
        </w:rPr>
        <w:t xml:space="preserve">extra </w:t>
      </w:r>
      <w:r w:rsidRPr="007743A8">
        <w:rPr>
          <w:szCs w:val="20"/>
        </w:rPr>
        <w:t>cancer avoided) in family members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69"/>
        <w:gridCol w:w="2379"/>
        <w:gridCol w:w="2381"/>
        <w:gridCol w:w="2053"/>
      </w:tblGrid>
      <w:tr w:rsidR="00AD3739" w:rsidRPr="007743A8" w14:paraId="3E003948" w14:textId="77777777" w:rsidTr="00DF497D">
        <w:tc>
          <w:tcPr>
            <w:tcW w:w="1249" w:type="pct"/>
          </w:tcPr>
          <w:p w14:paraId="503C15C2" w14:textId="77777777" w:rsidR="00AD3739" w:rsidRPr="007743A8" w:rsidRDefault="00AD3739" w:rsidP="00DF497D">
            <w:pPr>
              <w:rPr>
                <w:rFonts w:ascii="Arial Narrow" w:hAnsi="Arial Narrow"/>
                <w:b/>
                <w:sz w:val="20"/>
              </w:rPr>
            </w:pPr>
            <w:r w:rsidRPr="007743A8">
              <w:rPr>
                <w:rFonts w:ascii="Arial Narrow" w:hAnsi="Arial Narrow"/>
                <w:b/>
                <w:sz w:val="20"/>
              </w:rPr>
              <w:t>Component</w:t>
            </w:r>
          </w:p>
        </w:tc>
        <w:tc>
          <w:tcPr>
            <w:tcW w:w="1310" w:type="pct"/>
          </w:tcPr>
          <w:p w14:paraId="2C1BA033" w14:textId="77777777" w:rsidR="00AD3739" w:rsidRPr="007743A8" w:rsidRDefault="00AD3739" w:rsidP="00DF497D">
            <w:pPr>
              <w:jc w:val="center"/>
              <w:rPr>
                <w:rFonts w:ascii="Arial Narrow" w:hAnsi="Arial Narrow"/>
                <w:b/>
                <w:sz w:val="20"/>
              </w:rPr>
            </w:pPr>
            <w:r w:rsidRPr="007743A8">
              <w:rPr>
                <w:rFonts w:ascii="Arial Narrow" w:hAnsi="Arial Narrow"/>
                <w:b/>
                <w:sz w:val="20"/>
              </w:rPr>
              <w:t>Genetic testing</w:t>
            </w:r>
          </w:p>
        </w:tc>
        <w:tc>
          <w:tcPr>
            <w:tcW w:w="1310" w:type="pct"/>
          </w:tcPr>
          <w:p w14:paraId="3ADD8D82" w14:textId="77777777" w:rsidR="00AD3739" w:rsidRPr="007743A8" w:rsidRDefault="00AD3739" w:rsidP="00DF497D">
            <w:pPr>
              <w:jc w:val="center"/>
              <w:rPr>
                <w:rFonts w:ascii="Arial Narrow" w:hAnsi="Arial Narrow"/>
                <w:b/>
                <w:sz w:val="20"/>
              </w:rPr>
            </w:pPr>
            <w:r w:rsidRPr="007743A8">
              <w:rPr>
                <w:rFonts w:ascii="Arial Narrow" w:hAnsi="Arial Narrow"/>
                <w:b/>
                <w:sz w:val="20"/>
              </w:rPr>
              <w:t>Usual care</w:t>
            </w:r>
          </w:p>
        </w:tc>
        <w:tc>
          <w:tcPr>
            <w:tcW w:w="1130" w:type="pct"/>
          </w:tcPr>
          <w:p w14:paraId="608A8AEB" w14:textId="77777777" w:rsidR="00AD3739" w:rsidRPr="007743A8" w:rsidRDefault="00AD3739" w:rsidP="00DF497D">
            <w:pPr>
              <w:jc w:val="center"/>
              <w:rPr>
                <w:rFonts w:ascii="Arial Narrow" w:hAnsi="Arial Narrow"/>
                <w:b/>
                <w:sz w:val="20"/>
              </w:rPr>
            </w:pPr>
            <w:r w:rsidRPr="007743A8">
              <w:rPr>
                <w:rFonts w:ascii="Arial Narrow" w:hAnsi="Arial Narrow"/>
                <w:b/>
                <w:sz w:val="20"/>
              </w:rPr>
              <w:t>Increment</w:t>
            </w:r>
          </w:p>
        </w:tc>
      </w:tr>
      <w:tr w:rsidR="00AD3739" w:rsidRPr="007743A8" w14:paraId="5636316B" w14:textId="77777777" w:rsidTr="00DF497D">
        <w:tc>
          <w:tcPr>
            <w:tcW w:w="1249" w:type="pct"/>
          </w:tcPr>
          <w:p w14:paraId="29A245D1" w14:textId="77777777" w:rsidR="00AD3739" w:rsidRPr="007743A8" w:rsidRDefault="00AD3739" w:rsidP="00DF497D">
            <w:pPr>
              <w:rPr>
                <w:rFonts w:ascii="Arial Narrow" w:hAnsi="Arial Narrow"/>
                <w:sz w:val="20"/>
              </w:rPr>
            </w:pPr>
            <w:r w:rsidRPr="007743A8">
              <w:rPr>
                <w:rFonts w:ascii="Arial Narrow" w:hAnsi="Arial Narrow"/>
                <w:sz w:val="20"/>
              </w:rPr>
              <w:t>Costs</w:t>
            </w:r>
          </w:p>
        </w:tc>
        <w:tc>
          <w:tcPr>
            <w:tcW w:w="1310" w:type="pct"/>
          </w:tcPr>
          <w:p w14:paraId="515D216A" w14:textId="77777777" w:rsidR="00AD3739" w:rsidRPr="007743A8" w:rsidRDefault="00AD3739" w:rsidP="00DF497D">
            <w:pPr>
              <w:jc w:val="center"/>
              <w:rPr>
                <w:rFonts w:ascii="Arial Narrow" w:hAnsi="Arial Narrow"/>
                <w:sz w:val="20"/>
              </w:rPr>
            </w:pPr>
            <w:r w:rsidRPr="007743A8">
              <w:rPr>
                <w:rFonts w:ascii="Arial Narrow" w:hAnsi="Arial Narrow"/>
                <w:sz w:val="20"/>
              </w:rPr>
              <w:t>$8,598.25</w:t>
            </w:r>
          </w:p>
        </w:tc>
        <w:tc>
          <w:tcPr>
            <w:tcW w:w="1310" w:type="pct"/>
          </w:tcPr>
          <w:p w14:paraId="7CD7CC13" w14:textId="77777777" w:rsidR="00AD3739" w:rsidRPr="007743A8" w:rsidRDefault="00AD3739" w:rsidP="00DF497D">
            <w:pPr>
              <w:jc w:val="center"/>
              <w:rPr>
                <w:rFonts w:ascii="Arial Narrow" w:hAnsi="Arial Narrow"/>
                <w:sz w:val="20"/>
              </w:rPr>
            </w:pPr>
            <w:r w:rsidRPr="007743A8">
              <w:rPr>
                <w:rFonts w:ascii="Arial Narrow" w:hAnsi="Arial Narrow"/>
                <w:sz w:val="20"/>
              </w:rPr>
              <w:t>$2,261.34</w:t>
            </w:r>
          </w:p>
        </w:tc>
        <w:tc>
          <w:tcPr>
            <w:tcW w:w="1130" w:type="pct"/>
          </w:tcPr>
          <w:p w14:paraId="7DBCFCAB" w14:textId="77777777" w:rsidR="00AD3739" w:rsidRPr="007743A8" w:rsidRDefault="00AD3739" w:rsidP="00DF497D">
            <w:pPr>
              <w:jc w:val="center"/>
              <w:rPr>
                <w:rFonts w:ascii="Arial Narrow" w:hAnsi="Arial Narrow"/>
                <w:sz w:val="20"/>
              </w:rPr>
            </w:pPr>
            <w:r w:rsidRPr="007743A8">
              <w:rPr>
                <w:rFonts w:ascii="Arial Narrow" w:hAnsi="Arial Narrow"/>
                <w:sz w:val="20"/>
              </w:rPr>
              <w:t>$6,336.91</w:t>
            </w:r>
          </w:p>
        </w:tc>
      </w:tr>
      <w:tr w:rsidR="00AD3739" w:rsidRPr="007743A8" w14:paraId="47D16E22" w14:textId="77777777" w:rsidTr="00DF497D">
        <w:tc>
          <w:tcPr>
            <w:tcW w:w="1249" w:type="pct"/>
          </w:tcPr>
          <w:p w14:paraId="7812B51A" w14:textId="77777777" w:rsidR="00AD3739" w:rsidRPr="007743A8" w:rsidRDefault="00AD3739" w:rsidP="00DF497D">
            <w:pPr>
              <w:rPr>
                <w:rFonts w:ascii="Arial Narrow" w:hAnsi="Arial Narrow"/>
                <w:sz w:val="20"/>
              </w:rPr>
            </w:pPr>
            <w:r w:rsidRPr="007743A8">
              <w:rPr>
                <w:rFonts w:ascii="Arial Narrow" w:hAnsi="Arial Narrow"/>
                <w:sz w:val="20"/>
              </w:rPr>
              <w:t>Cancer incidence rate</w:t>
            </w:r>
          </w:p>
        </w:tc>
        <w:tc>
          <w:tcPr>
            <w:tcW w:w="1310" w:type="pct"/>
          </w:tcPr>
          <w:p w14:paraId="00BAA17B" w14:textId="77777777" w:rsidR="00AD3739" w:rsidRPr="007743A8" w:rsidRDefault="00AD3739" w:rsidP="00DF497D">
            <w:pPr>
              <w:jc w:val="center"/>
              <w:rPr>
                <w:rFonts w:ascii="Arial Narrow" w:hAnsi="Arial Narrow"/>
                <w:sz w:val="20"/>
              </w:rPr>
            </w:pPr>
            <w:r w:rsidRPr="007743A8">
              <w:rPr>
                <w:rFonts w:ascii="Arial Narrow" w:hAnsi="Arial Narrow"/>
                <w:sz w:val="20"/>
              </w:rPr>
              <w:t>0.18808</w:t>
            </w:r>
          </w:p>
        </w:tc>
        <w:tc>
          <w:tcPr>
            <w:tcW w:w="1310" w:type="pct"/>
          </w:tcPr>
          <w:p w14:paraId="12D1A90E" w14:textId="77777777" w:rsidR="00AD3739" w:rsidRPr="007743A8" w:rsidRDefault="00AD3739" w:rsidP="00DF497D">
            <w:pPr>
              <w:jc w:val="center"/>
              <w:rPr>
                <w:rFonts w:ascii="Arial Narrow" w:hAnsi="Arial Narrow"/>
                <w:sz w:val="20"/>
              </w:rPr>
            </w:pPr>
            <w:r w:rsidRPr="007743A8">
              <w:rPr>
                <w:rFonts w:ascii="Arial Narrow" w:hAnsi="Arial Narrow"/>
                <w:sz w:val="20"/>
              </w:rPr>
              <w:t>0.35386</w:t>
            </w:r>
          </w:p>
        </w:tc>
        <w:tc>
          <w:tcPr>
            <w:tcW w:w="1130" w:type="pct"/>
          </w:tcPr>
          <w:p w14:paraId="104F2880" w14:textId="77777777" w:rsidR="00AD3739" w:rsidRPr="007743A8" w:rsidRDefault="00AD3739" w:rsidP="00DF497D">
            <w:pPr>
              <w:jc w:val="center"/>
              <w:rPr>
                <w:rFonts w:ascii="Arial Narrow" w:hAnsi="Arial Narrow"/>
                <w:sz w:val="20"/>
              </w:rPr>
            </w:pPr>
            <w:r w:rsidRPr="007743A8">
              <w:rPr>
                <w:rFonts w:ascii="Arial Narrow" w:hAnsi="Arial Narrow"/>
                <w:sz w:val="20"/>
              </w:rPr>
              <w:t>0.16578</w:t>
            </w:r>
          </w:p>
        </w:tc>
      </w:tr>
      <w:tr w:rsidR="00AD3739" w:rsidRPr="007743A8" w14:paraId="602790CD" w14:textId="77777777" w:rsidTr="00DF497D">
        <w:tc>
          <w:tcPr>
            <w:tcW w:w="3870" w:type="pct"/>
            <w:gridSpan w:val="3"/>
          </w:tcPr>
          <w:p w14:paraId="487AF650" w14:textId="77777777" w:rsidR="00AD3739" w:rsidRPr="007743A8" w:rsidRDefault="00AD3739" w:rsidP="00DF497D">
            <w:pPr>
              <w:rPr>
                <w:rFonts w:ascii="Arial Narrow" w:hAnsi="Arial Narrow"/>
                <w:b/>
                <w:sz w:val="20"/>
              </w:rPr>
            </w:pPr>
            <w:r w:rsidRPr="007743A8">
              <w:rPr>
                <w:rFonts w:ascii="Arial Narrow" w:hAnsi="Arial Narrow"/>
                <w:b/>
                <w:sz w:val="20"/>
              </w:rPr>
              <w:t>Incremental cost/cancer avoided</w:t>
            </w:r>
          </w:p>
        </w:tc>
        <w:tc>
          <w:tcPr>
            <w:tcW w:w="1130" w:type="pct"/>
          </w:tcPr>
          <w:p w14:paraId="3048490F" w14:textId="77777777" w:rsidR="00AD3739" w:rsidRPr="007743A8" w:rsidRDefault="00AD3739" w:rsidP="00DF497D">
            <w:pPr>
              <w:jc w:val="center"/>
              <w:rPr>
                <w:rFonts w:ascii="Arial Narrow" w:hAnsi="Arial Narrow"/>
                <w:b/>
                <w:sz w:val="20"/>
              </w:rPr>
            </w:pPr>
            <w:r w:rsidRPr="007743A8">
              <w:rPr>
                <w:rFonts w:ascii="Arial Narrow" w:hAnsi="Arial Narrow"/>
                <w:b/>
                <w:sz w:val="20"/>
              </w:rPr>
              <w:t>$38,224.82</w:t>
            </w:r>
          </w:p>
        </w:tc>
      </w:tr>
    </w:tbl>
    <w:p w14:paraId="68EAE5D5" w14:textId="77777777" w:rsidR="00C15564" w:rsidRDefault="00C15564" w:rsidP="00AD3739">
      <w:pPr>
        <w:rPr>
          <w:szCs w:val="24"/>
        </w:rPr>
      </w:pPr>
    </w:p>
    <w:p w14:paraId="168002A9" w14:textId="77777777" w:rsidR="00AD3739" w:rsidRPr="000473F9" w:rsidRDefault="00AD3739" w:rsidP="00AD3739">
      <w:pPr>
        <w:rPr>
          <w:szCs w:val="24"/>
        </w:rPr>
      </w:pPr>
      <w:r w:rsidRPr="000473F9">
        <w:rPr>
          <w:szCs w:val="24"/>
        </w:rPr>
        <w:t>The QALY gain was also small for family me</w:t>
      </w:r>
      <w:r w:rsidR="00C15564">
        <w:rPr>
          <w:szCs w:val="24"/>
        </w:rPr>
        <w:t xml:space="preserve">mbers of affected individuals. </w:t>
      </w:r>
      <w:r w:rsidRPr="000473F9">
        <w:rPr>
          <w:szCs w:val="24"/>
        </w:rPr>
        <w:t xml:space="preserve">Genetic testing appeared more cost effective in family members due to lower cost of </w:t>
      </w:r>
      <w:r w:rsidRPr="00A8248C">
        <w:rPr>
          <w:i/>
          <w:szCs w:val="24"/>
        </w:rPr>
        <w:t>BRCA</w:t>
      </w:r>
      <w:r w:rsidRPr="000473F9">
        <w:rPr>
          <w:szCs w:val="24"/>
        </w:rPr>
        <w:t xml:space="preserve"> test and a higher proportion of patients being </w:t>
      </w:r>
      <w:r w:rsidRPr="00A8248C">
        <w:rPr>
          <w:i/>
          <w:szCs w:val="24"/>
        </w:rPr>
        <w:t>BRCA</w:t>
      </w:r>
      <w:r w:rsidRPr="000473F9">
        <w:rPr>
          <w:szCs w:val="24"/>
        </w:rPr>
        <w:t xml:space="preserve"> positive, therefore more cancer cases are avoided. The greater cost in the genetic testing arm (despite the lower cost for the actual genetic test) comes from an increased number of individuals undergoing preventative surgery, and the assumption that a bilateral mastectomy would have a higher cost t</w:t>
      </w:r>
      <w:r w:rsidR="00C15564">
        <w:rPr>
          <w:szCs w:val="24"/>
        </w:rPr>
        <w:t>han a contralateral mastectomy.</w:t>
      </w:r>
    </w:p>
    <w:p w14:paraId="47F2BE8C" w14:textId="77777777" w:rsidR="00AD3739" w:rsidRPr="000473F9" w:rsidRDefault="00AD3739" w:rsidP="00AD3739">
      <w:pPr>
        <w:rPr>
          <w:szCs w:val="24"/>
        </w:rPr>
      </w:pPr>
    </w:p>
    <w:p w14:paraId="4684E0B1" w14:textId="77777777" w:rsidR="00AD3739" w:rsidRDefault="00AD3739" w:rsidP="00AD3739">
      <w:pPr>
        <w:rPr>
          <w:szCs w:val="24"/>
        </w:rPr>
      </w:pPr>
      <w:r w:rsidRPr="000473F9">
        <w:rPr>
          <w:szCs w:val="24"/>
        </w:rPr>
        <w:t xml:space="preserve">The economic analysis derived overall ICERs for the whole population through a weighted average of affected individuals and family members based on two scenarios, assuming a ratio of 1 </w:t>
      </w:r>
      <w:proofErr w:type="spellStart"/>
      <w:r w:rsidRPr="000473F9">
        <w:rPr>
          <w:szCs w:val="24"/>
        </w:rPr>
        <w:t>proband</w:t>
      </w:r>
      <w:proofErr w:type="spellEnd"/>
      <w:r w:rsidRPr="000473F9">
        <w:rPr>
          <w:szCs w:val="24"/>
        </w:rPr>
        <w:t xml:space="preserve"> to 6 family members (1:6) and 1 </w:t>
      </w:r>
      <w:proofErr w:type="spellStart"/>
      <w:r w:rsidRPr="000473F9">
        <w:rPr>
          <w:szCs w:val="24"/>
        </w:rPr>
        <w:t>prob</w:t>
      </w:r>
      <w:r w:rsidR="00C15564">
        <w:rPr>
          <w:szCs w:val="24"/>
        </w:rPr>
        <w:t>and</w:t>
      </w:r>
      <w:proofErr w:type="spellEnd"/>
      <w:r w:rsidR="00C15564">
        <w:rPr>
          <w:szCs w:val="24"/>
        </w:rPr>
        <w:t xml:space="preserve"> to 3 family members (1:3). </w:t>
      </w:r>
      <w:r w:rsidRPr="000473F9">
        <w:rPr>
          <w:szCs w:val="24"/>
        </w:rPr>
        <w:t>Two methods of weightin</w:t>
      </w:r>
      <w:r w:rsidR="00C15564">
        <w:rPr>
          <w:szCs w:val="24"/>
        </w:rPr>
        <w:t xml:space="preserve">g the ICER were also provided: </w:t>
      </w:r>
      <w:r w:rsidRPr="000473F9">
        <w:rPr>
          <w:szCs w:val="24"/>
        </w:rPr>
        <w:t xml:space="preserve">weighting by the assumed number of family members per </w:t>
      </w:r>
      <w:proofErr w:type="spellStart"/>
      <w:r w:rsidRPr="000473F9">
        <w:rPr>
          <w:szCs w:val="24"/>
        </w:rPr>
        <w:t>proband</w:t>
      </w:r>
      <w:proofErr w:type="spellEnd"/>
      <w:r w:rsidR="009A631D">
        <w:rPr>
          <w:szCs w:val="24"/>
        </w:rPr>
        <w:t>,</w:t>
      </w:r>
      <w:r w:rsidRPr="000473F9">
        <w:rPr>
          <w:szCs w:val="24"/>
        </w:rPr>
        <w:t xml:space="preserve"> and using the proportion of affected individuals and the </w:t>
      </w:r>
      <w:r w:rsidRPr="000473F9">
        <w:rPr>
          <w:szCs w:val="24"/>
        </w:rPr>
        <w:lastRenderedPageBreak/>
        <w:t xml:space="preserve">proportion of family members of </w:t>
      </w:r>
      <w:proofErr w:type="spellStart"/>
      <w:r w:rsidRPr="000473F9">
        <w:rPr>
          <w:szCs w:val="24"/>
        </w:rPr>
        <w:t>probands</w:t>
      </w:r>
      <w:proofErr w:type="spellEnd"/>
      <w:r w:rsidRPr="000473F9">
        <w:rPr>
          <w:szCs w:val="24"/>
        </w:rPr>
        <w:t xml:space="preserve"> compared to total number of individuals who are estimated to be tested in the first year of listing as weights</w:t>
      </w:r>
      <w:r w:rsidR="00C15564">
        <w:rPr>
          <w:szCs w:val="24"/>
        </w:rPr>
        <w:t>.</w:t>
      </w:r>
    </w:p>
    <w:p w14:paraId="72ACCC5A" w14:textId="77777777" w:rsidR="00C15564" w:rsidRPr="000473F9" w:rsidRDefault="00C15564" w:rsidP="00AD3739">
      <w:pPr>
        <w:rPr>
          <w:szCs w:val="24"/>
        </w:rPr>
      </w:pPr>
    </w:p>
    <w:p w14:paraId="6A2881AB" w14:textId="77777777" w:rsidR="00AD3739" w:rsidRDefault="00AD3739" w:rsidP="00AD3739">
      <w:pPr>
        <w:pStyle w:val="Caption"/>
        <w:spacing w:before="0" w:after="0"/>
        <w:ind w:left="0" w:firstLine="0"/>
      </w:pPr>
      <w:r>
        <w:t>Table</w:t>
      </w:r>
      <w:r w:rsidR="00C15564">
        <w:t xml:space="preserve"> 6</w:t>
      </w:r>
      <w:r>
        <w:t xml:space="preserve">: </w:t>
      </w:r>
      <w:r w:rsidRPr="007F5C94">
        <w:t>Weighted incremental cost</w:t>
      </w:r>
      <w:r w:rsidR="00C15564">
        <w:t xml:space="preserve"> per </w:t>
      </w:r>
      <w:r w:rsidRPr="007F5C94">
        <w:t>extra QALY gained</w:t>
      </w:r>
    </w:p>
    <w:tbl>
      <w:tblPr>
        <w:tblStyle w:val="TableGrid"/>
        <w:tblW w:w="9214" w:type="dxa"/>
        <w:tblInd w:w="108" w:type="dxa"/>
        <w:tblLook w:val="04A0" w:firstRow="1" w:lastRow="0" w:firstColumn="1" w:lastColumn="0" w:noHBand="0" w:noVBand="1"/>
        <w:tblCaption w:val="Table 6: Weighted incremental cost per extra QALY gained"/>
        <w:tblDescription w:val="As described in the paragraph above"/>
      </w:tblPr>
      <w:tblGrid>
        <w:gridCol w:w="1956"/>
        <w:gridCol w:w="3875"/>
        <w:gridCol w:w="1432"/>
        <w:gridCol w:w="1951"/>
      </w:tblGrid>
      <w:tr w:rsidR="00AD3739" w:rsidRPr="007743A8" w14:paraId="225A3C4F" w14:textId="77777777" w:rsidTr="00E2413C">
        <w:trPr>
          <w:tblHeader/>
        </w:trPr>
        <w:tc>
          <w:tcPr>
            <w:tcW w:w="1956" w:type="dxa"/>
          </w:tcPr>
          <w:p w14:paraId="2F036965" w14:textId="77777777" w:rsidR="00AD3739" w:rsidRPr="007743A8" w:rsidRDefault="00AD3739" w:rsidP="00DF497D">
            <w:pPr>
              <w:rPr>
                <w:rFonts w:ascii="Arial Narrow" w:hAnsi="Arial Narrow"/>
                <w:sz w:val="20"/>
              </w:rPr>
            </w:pPr>
          </w:p>
        </w:tc>
        <w:tc>
          <w:tcPr>
            <w:tcW w:w="3875" w:type="dxa"/>
          </w:tcPr>
          <w:p w14:paraId="30EF0D3A" w14:textId="77777777" w:rsidR="00AD3739" w:rsidRPr="007743A8" w:rsidRDefault="00AD3739" w:rsidP="00DF497D">
            <w:pPr>
              <w:jc w:val="center"/>
              <w:rPr>
                <w:rFonts w:ascii="Arial Narrow" w:hAnsi="Arial Narrow"/>
                <w:b/>
                <w:sz w:val="20"/>
                <w:vertAlign w:val="superscript"/>
              </w:rPr>
            </w:pPr>
            <w:r w:rsidRPr="007743A8">
              <w:rPr>
                <w:rFonts w:ascii="Arial Narrow" w:hAnsi="Arial Narrow"/>
                <w:b/>
                <w:sz w:val="20"/>
              </w:rPr>
              <w:t>Weighting</w:t>
            </w:r>
          </w:p>
        </w:tc>
        <w:tc>
          <w:tcPr>
            <w:tcW w:w="1432" w:type="dxa"/>
          </w:tcPr>
          <w:p w14:paraId="5DDB3320" w14:textId="77777777" w:rsidR="00AD3739" w:rsidRPr="007743A8" w:rsidRDefault="00AD3739" w:rsidP="00DF497D">
            <w:pPr>
              <w:jc w:val="center"/>
              <w:rPr>
                <w:rFonts w:ascii="Arial Narrow" w:hAnsi="Arial Narrow"/>
                <w:b/>
                <w:sz w:val="20"/>
              </w:rPr>
            </w:pPr>
            <w:r w:rsidRPr="007743A8">
              <w:rPr>
                <w:rFonts w:ascii="Arial Narrow" w:hAnsi="Arial Narrow"/>
                <w:b/>
                <w:sz w:val="20"/>
              </w:rPr>
              <w:t>ICER</w:t>
            </w:r>
          </w:p>
        </w:tc>
        <w:tc>
          <w:tcPr>
            <w:tcW w:w="1951" w:type="dxa"/>
          </w:tcPr>
          <w:p w14:paraId="3D453049" w14:textId="77777777" w:rsidR="00AD3739" w:rsidRPr="007743A8" w:rsidRDefault="00AD3739" w:rsidP="00DF497D">
            <w:pPr>
              <w:jc w:val="center"/>
              <w:rPr>
                <w:rFonts w:ascii="Arial Narrow" w:hAnsi="Arial Narrow"/>
                <w:b/>
                <w:sz w:val="20"/>
              </w:rPr>
            </w:pPr>
            <w:r w:rsidRPr="007743A8">
              <w:rPr>
                <w:rFonts w:ascii="Arial Narrow" w:hAnsi="Arial Narrow"/>
                <w:b/>
                <w:sz w:val="20"/>
              </w:rPr>
              <w:t>Weighted ICER</w:t>
            </w:r>
          </w:p>
        </w:tc>
      </w:tr>
      <w:tr w:rsidR="00AD3739" w:rsidRPr="007743A8" w14:paraId="758D0C43" w14:textId="77777777" w:rsidTr="00E71C9F">
        <w:tc>
          <w:tcPr>
            <w:tcW w:w="9214" w:type="dxa"/>
            <w:gridSpan w:val="4"/>
          </w:tcPr>
          <w:p w14:paraId="7AC869BA" w14:textId="77777777" w:rsidR="00AD3739" w:rsidRPr="007743A8" w:rsidRDefault="00AD3739" w:rsidP="00DF497D">
            <w:pPr>
              <w:rPr>
                <w:rFonts w:ascii="Arial Narrow" w:hAnsi="Arial Narrow"/>
                <w:sz w:val="20"/>
              </w:rPr>
            </w:pPr>
            <w:r w:rsidRPr="007743A8">
              <w:rPr>
                <w:rFonts w:ascii="Arial Narrow" w:hAnsi="Arial Narrow"/>
                <w:sz w:val="20"/>
              </w:rPr>
              <w:t>Assume 6 family m</w:t>
            </w:r>
            <w:r w:rsidR="00E71C9F">
              <w:rPr>
                <w:rFonts w:ascii="Arial Narrow" w:hAnsi="Arial Narrow"/>
                <w:sz w:val="20"/>
              </w:rPr>
              <w:t>embers to 1 affected individual</w:t>
            </w:r>
          </w:p>
        </w:tc>
      </w:tr>
      <w:tr w:rsidR="00AD3739" w:rsidRPr="007743A8" w14:paraId="16DE1287" w14:textId="77777777" w:rsidTr="00E71C9F">
        <w:tc>
          <w:tcPr>
            <w:tcW w:w="1956" w:type="dxa"/>
            <w:vAlign w:val="center"/>
          </w:tcPr>
          <w:p w14:paraId="3F1C64BF" w14:textId="77777777" w:rsidR="00AD3739" w:rsidRPr="007743A8" w:rsidRDefault="00AD3739" w:rsidP="00DF497D">
            <w:pPr>
              <w:rPr>
                <w:rFonts w:ascii="Arial Narrow" w:hAnsi="Arial Narrow"/>
                <w:sz w:val="20"/>
              </w:rPr>
            </w:pPr>
            <w:r w:rsidRPr="007743A8">
              <w:rPr>
                <w:rFonts w:ascii="Arial Narrow" w:hAnsi="Arial Narrow"/>
                <w:sz w:val="20"/>
              </w:rPr>
              <w:t>Affected individual</w:t>
            </w:r>
          </w:p>
        </w:tc>
        <w:tc>
          <w:tcPr>
            <w:tcW w:w="3875" w:type="dxa"/>
            <w:vAlign w:val="center"/>
          </w:tcPr>
          <w:p w14:paraId="3F51B759" w14:textId="77777777" w:rsidR="00AD3739" w:rsidRPr="007743A8" w:rsidRDefault="00AD3739" w:rsidP="00DF497D">
            <w:pPr>
              <w:jc w:val="center"/>
              <w:rPr>
                <w:rFonts w:ascii="Arial Narrow" w:hAnsi="Arial Narrow"/>
                <w:sz w:val="20"/>
              </w:rPr>
            </w:pPr>
            <w:r w:rsidRPr="007743A8">
              <w:rPr>
                <w:rFonts w:ascii="Arial Narrow" w:hAnsi="Arial Narrow"/>
                <w:sz w:val="20"/>
              </w:rPr>
              <w:t>14.3% (1/7)</w:t>
            </w:r>
          </w:p>
        </w:tc>
        <w:tc>
          <w:tcPr>
            <w:tcW w:w="1432" w:type="dxa"/>
            <w:vAlign w:val="center"/>
          </w:tcPr>
          <w:p w14:paraId="3CF3A181" w14:textId="77777777" w:rsidR="00AD3739" w:rsidRPr="007743A8" w:rsidRDefault="00AD3739" w:rsidP="00DF497D">
            <w:pPr>
              <w:jc w:val="center"/>
              <w:rPr>
                <w:rFonts w:ascii="Arial Narrow" w:hAnsi="Arial Narrow"/>
                <w:bCs/>
                <w:sz w:val="20"/>
              </w:rPr>
            </w:pPr>
            <w:r w:rsidRPr="007743A8">
              <w:rPr>
                <w:rFonts w:ascii="Arial Narrow" w:hAnsi="Arial Narrow"/>
                <w:bCs/>
                <w:sz w:val="20"/>
              </w:rPr>
              <w:t>$151,837.18</w:t>
            </w:r>
          </w:p>
        </w:tc>
        <w:tc>
          <w:tcPr>
            <w:tcW w:w="1951" w:type="dxa"/>
            <w:vMerge w:val="restart"/>
            <w:vAlign w:val="center"/>
          </w:tcPr>
          <w:p w14:paraId="6987B956" w14:textId="77777777" w:rsidR="00AD3739" w:rsidRPr="007743A8" w:rsidRDefault="00AD3739" w:rsidP="00DF497D">
            <w:pPr>
              <w:jc w:val="center"/>
              <w:rPr>
                <w:rFonts w:ascii="Arial Narrow" w:hAnsi="Arial Narrow"/>
                <w:sz w:val="20"/>
              </w:rPr>
            </w:pPr>
            <w:r w:rsidRPr="007743A8">
              <w:rPr>
                <w:rFonts w:ascii="Arial Narrow" w:hAnsi="Arial Narrow"/>
                <w:sz w:val="20"/>
              </w:rPr>
              <w:t>$95,061.31</w:t>
            </w:r>
          </w:p>
        </w:tc>
      </w:tr>
      <w:tr w:rsidR="00AD3739" w:rsidRPr="007743A8" w14:paraId="5AD9A8EF" w14:textId="77777777" w:rsidTr="00E71C9F">
        <w:tc>
          <w:tcPr>
            <w:tcW w:w="1956" w:type="dxa"/>
            <w:vAlign w:val="center"/>
          </w:tcPr>
          <w:p w14:paraId="6079894D" w14:textId="77777777" w:rsidR="00AD3739" w:rsidRPr="007743A8" w:rsidRDefault="00AD3739" w:rsidP="00DF497D">
            <w:pPr>
              <w:rPr>
                <w:rFonts w:ascii="Arial Narrow" w:hAnsi="Arial Narrow"/>
                <w:sz w:val="20"/>
              </w:rPr>
            </w:pPr>
            <w:r w:rsidRPr="007743A8">
              <w:rPr>
                <w:rFonts w:ascii="Arial Narrow" w:hAnsi="Arial Narrow"/>
                <w:sz w:val="20"/>
              </w:rPr>
              <w:t>Family members</w:t>
            </w:r>
          </w:p>
        </w:tc>
        <w:tc>
          <w:tcPr>
            <w:tcW w:w="3875" w:type="dxa"/>
            <w:vAlign w:val="center"/>
          </w:tcPr>
          <w:p w14:paraId="31953B05" w14:textId="77777777" w:rsidR="00AD3739" w:rsidRPr="007743A8" w:rsidRDefault="00AD3739" w:rsidP="00DF497D">
            <w:pPr>
              <w:jc w:val="center"/>
              <w:rPr>
                <w:rFonts w:ascii="Arial Narrow" w:hAnsi="Arial Narrow"/>
                <w:sz w:val="20"/>
              </w:rPr>
            </w:pPr>
            <w:r w:rsidRPr="007743A8">
              <w:rPr>
                <w:rFonts w:ascii="Arial Narrow" w:hAnsi="Arial Narrow"/>
                <w:sz w:val="20"/>
              </w:rPr>
              <w:t>85.7% (6/7)</w:t>
            </w:r>
          </w:p>
        </w:tc>
        <w:tc>
          <w:tcPr>
            <w:tcW w:w="1432" w:type="dxa"/>
            <w:vAlign w:val="center"/>
          </w:tcPr>
          <w:p w14:paraId="450605CF" w14:textId="77777777" w:rsidR="00AD3739" w:rsidRPr="007743A8" w:rsidRDefault="00AD3739" w:rsidP="00DF497D">
            <w:pPr>
              <w:jc w:val="center"/>
              <w:rPr>
                <w:rFonts w:ascii="Arial Narrow" w:hAnsi="Arial Narrow"/>
                <w:bCs/>
                <w:sz w:val="20"/>
              </w:rPr>
            </w:pPr>
            <w:r w:rsidRPr="007743A8">
              <w:rPr>
                <w:rFonts w:ascii="Arial Narrow" w:hAnsi="Arial Narrow"/>
                <w:bCs/>
                <w:sz w:val="20"/>
              </w:rPr>
              <w:t>$85,598.66</w:t>
            </w:r>
          </w:p>
        </w:tc>
        <w:tc>
          <w:tcPr>
            <w:tcW w:w="1951" w:type="dxa"/>
            <w:vMerge/>
            <w:vAlign w:val="center"/>
          </w:tcPr>
          <w:p w14:paraId="1319AB9F" w14:textId="77777777" w:rsidR="00AD3739" w:rsidRPr="007743A8" w:rsidRDefault="00AD3739" w:rsidP="00DF497D">
            <w:pPr>
              <w:jc w:val="center"/>
              <w:rPr>
                <w:rFonts w:ascii="Arial Narrow" w:hAnsi="Arial Narrow"/>
                <w:sz w:val="20"/>
              </w:rPr>
            </w:pPr>
          </w:p>
        </w:tc>
      </w:tr>
      <w:tr w:rsidR="00AD3739" w:rsidRPr="007743A8" w14:paraId="14DCFFD6" w14:textId="77777777" w:rsidTr="00E71C9F">
        <w:tc>
          <w:tcPr>
            <w:tcW w:w="9214" w:type="dxa"/>
            <w:gridSpan w:val="4"/>
          </w:tcPr>
          <w:p w14:paraId="6B32BF2D" w14:textId="77777777" w:rsidR="00AD3739" w:rsidRPr="007743A8" w:rsidRDefault="00AD3739" w:rsidP="00E71C9F">
            <w:pPr>
              <w:ind w:right="-108"/>
              <w:rPr>
                <w:rFonts w:ascii="Arial Narrow" w:hAnsi="Arial Narrow"/>
                <w:sz w:val="20"/>
              </w:rPr>
            </w:pPr>
            <w:r w:rsidRPr="007743A8">
              <w:rPr>
                <w:rFonts w:ascii="Arial Narrow" w:hAnsi="Arial Narrow"/>
                <w:sz w:val="20"/>
              </w:rPr>
              <w:t>Assume 6 family members to 1 affected individual, based on number of women tested in each year in the financial estimates</w:t>
            </w:r>
          </w:p>
        </w:tc>
      </w:tr>
      <w:tr w:rsidR="00AD3739" w:rsidRPr="007743A8" w14:paraId="706CCC02" w14:textId="77777777" w:rsidTr="00E71C9F">
        <w:tc>
          <w:tcPr>
            <w:tcW w:w="1956" w:type="dxa"/>
            <w:vAlign w:val="center"/>
          </w:tcPr>
          <w:p w14:paraId="7D4F6A2A" w14:textId="77777777" w:rsidR="00AD3739" w:rsidRPr="007743A8" w:rsidRDefault="00AD3739" w:rsidP="00DF497D">
            <w:pPr>
              <w:rPr>
                <w:rFonts w:ascii="Arial Narrow" w:hAnsi="Arial Narrow"/>
                <w:sz w:val="20"/>
              </w:rPr>
            </w:pPr>
            <w:r w:rsidRPr="007743A8">
              <w:rPr>
                <w:rFonts w:ascii="Arial Narrow" w:hAnsi="Arial Narrow"/>
                <w:sz w:val="20"/>
              </w:rPr>
              <w:t>Affected individual</w:t>
            </w:r>
          </w:p>
        </w:tc>
        <w:tc>
          <w:tcPr>
            <w:tcW w:w="3875" w:type="dxa"/>
            <w:vAlign w:val="center"/>
          </w:tcPr>
          <w:p w14:paraId="6AA8BAA7" w14:textId="77777777" w:rsidR="00AD3739" w:rsidRPr="007743A8" w:rsidRDefault="00AD3739" w:rsidP="00DF497D">
            <w:pPr>
              <w:jc w:val="center"/>
              <w:rPr>
                <w:rFonts w:ascii="Arial Narrow" w:hAnsi="Arial Narrow"/>
                <w:sz w:val="20"/>
              </w:rPr>
            </w:pPr>
            <w:r w:rsidRPr="007743A8">
              <w:rPr>
                <w:rFonts w:ascii="Arial Narrow" w:hAnsi="Arial Narrow"/>
                <w:sz w:val="20"/>
              </w:rPr>
              <w:t>52.6% (1115/2119 tested in first year)</w:t>
            </w:r>
          </w:p>
        </w:tc>
        <w:tc>
          <w:tcPr>
            <w:tcW w:w="1432" w:type="dxa"/>
            <w:vAlign w:val="center"/>
          </w:tcPr>
          <w:p w14:paraId="660D79FF" w14:textId="77777777" w:rsidR="00AD3739" w:rsidRPr="007743A8" w:rsidRDefault="00AD3739" w:rsidP="00DF497D">
            <w:pPr>
              <w:jc w:val="center"/>
              <w:rPr>
                <w:rFonts w:ascii="Arial Narrow" w:hAnsi="Arial Narrow"/>
                <w:bCs/>
                <w:sz w:val="20"/>
              </w:rPr>
            </w:pPr>
            <w:r w:rsidRPr="007743A8">
              <w:rPr>
                <w:rFonts w:ascii="Arial Narrow" w:hAnsi="Arial Narrow"/>
                <w:bCs/>
                <w:sz w:val="20"/>
              </w:rPr>
              <w:t>$151,837.18</w:t>
            </w:r>
          </w:p>
        </w:tc>
        <w:tc>
          <w:tcPr>
            <w:tcW w:w="1951" w:type="dxa"/>
            <w:vMerge w:val="restart"/>
            <w:vAlign w:val="center"/>
          </w:tcPr>
          <w:p w14:paraId="2E0E29F8" w14:textId="77777777" w:rsidR="00AD3739" w:rsidRPr="007743A8" w:rsidRDefault="00AD3739" w:rsidP="00DF497D">
            <w:pPr>
              <w:jc w:val="center"/>
              <w:rPr>
                <w:rFonts w:ascii="Arial Narrow" w:hAnsi="Arial Narrow"/>
                <w:sz w:val="20"/>
              </w:rPr>
            </w:pPr>
            <w:r w:rsidRPr="007743A8">
              <w:rPr>
                <w:rFonts w:ascii="Arial Narrow" w:hAnsi="Arial Narrow"/>
                <w:sz w:val="20"/>
              </w:rPr>
              <w:t>$120,452.81</w:t>
            </w:r>
          </w:p>
        </w:tc>
      </w:tr>
      <w:tr w:rsidR="00AD3739" w:rsidRPr="007743A8" w14:paraId="44803C61" w14:textId="77777777" w:rsidTr="00E71C9F">
        <w:tc>
          <w:tcPr>
            <w:tcW w:w="1956" w:type="dxa"/>
            <w:vAlign w:val="center"/>
          </w:tcPr>
          <w:p w14:paraId="18DB5C6B" w14:textId="77777777" w:rsidR="00AD3739" w:rsidRPr="007743A8" w:rsidRDefault="00AD3739" w:rsidP="00DF497D">
            <w:pPr>
              <w:rPr>
                <w:rFonts w:ascii="Arial Narrow" w:hAnsi="Arial Narrow"/>
                <w:sz w:val="20"/>
              </w:rPr>
            </w:pPr>
            <w:r w:rsidRPr="007743A8">
              <w:rPr>
                <w:rFonts w:ascii="Arial Narrow" w:hAnsi="Arial Narrow"/>
                <w:sz w:val="20"/>
              </w:rPr>
              <w:t>Family members</w:t>
            </w:r>
          </w:p>
        </w:tc>
        <w:tc>
          <w:tcPr>
            <w:tcW w:w="3875" w:type="dxa"/>
            <w:vAlign w:val="center"/>
          </w:tcPr>
          <w:p w14:paraId="327539BB" w14:textId="77777777" w:rsidR="00AD3739" w:rsidRPr="007743A8" w:rsidRDefault="00AD3739" w:rsidP="00DF497D">
            <w:pPr>
              <w:jc w:val="center"/>
              <w:rPr>
                <w:rFonts w:ascii="Arial Narrow" w:hAnsi="Arial Narrow"/>
                <w:sz w:val="20"/>
              </w:rPr>
            </w:pPr>
            <w:r w:rsidRPr="007743A8">
              <w:rPr>
                <w:rFonts w:ascii="Arial Narrow" w:hAnsi="Arial Narrow"/>
                <w:sz w:val="20"/>
              </w:rPr>
              <w:t>47.4% (1004/2119 tested in first year)</w:t>
            </w:r>
          </w:p>
        </w:tc>
        <w:tc>
          <w:tcPr>
            <w:tcW w:w="1432" w:type="dxa"/>
            <w:vAlign w:val="center"/>
          </w:tcPr>
          <w:p w14:paraId="56349200" w14:textId="77777777" w:rsidR="00AD3739" w:rsidRPr="007743A8" w:rsidRDefault="00AD3739" w:rsidP="00DF497D">
            <w:pPr>
              <w:jc w:val="center"/>
              <w:rPr>
                <w:rFonts w:ascii="Arial Narrow" w:hAnsi="Arial Narrow"/>
                <w:bCs/>
                <w:sz w:val="20"/>
              </w:rPr>
            </w:pPr>
            <w:r w:rsidRPr="007743A8">
              <w:rPr>
                <w:rFonts w:ascii="Arial Narrow" w:hAnsi="Arial Narrow"/>
                <w:bCs/>
                <w:sz w:val="20"/>
              </w:rPr>
              <w:t>$85,598.66</w:t>
            </w:r>
          </w:p>
        </w:tc>
        <w:tc>
          <w:tcPr>
            <w:tcW w:w="1951" w:type="dxa"/>
            <w:vMerge/>
            <w:vAlign w:val="center"/>
          </w:tcPr>
          <w:p w14:paraId="39D1E663" w14:textId="77777777" w:rsidR="00AD3739" w:rsidRPr="007743A8" w:rsidRDefault="00AD3739" w:rsidP="00DF497D">
            <w:pPr>
              <w:jc w:val="center"/>
              <w:rPr>
                <w:rFonts w:ascii="Arial Narrow" w:hAnsi="Arial Narrow"/>
                <w:sz w:val="20"/>
              </w:rPr>
            </w:pPr>
          </w:p>
        </w:tc>
      </w:tr>
      <w:tr w:rsidR="00AD3739" w:rsidRPr="007743A8" w14:paraId="3F9E4DB2" w14:textId="77777777" w:rsidTr="00E71C9F">
        <w:tc>
          <w:tcPr>
            <w:tcW w:w="9214" w:type="dxa"/>
            <w:gridSpan w:val="4"/>
          </w:tcPr>
          <w:p w14:paraId="06993BF8" w14:textId="77777777" w:rsidR="00AD3739" w:rsidRPr="007743A8" w:rsidRDefault="00AD3739" w:rsidP="00DF497D">
            <w:pPr>
              <w:rPr>
                <w:rFonts w:ascii="Arial Narrow" w:hAnsi="Arial Narrow"/>
                <w:sz w:val="20"/>
              </w:rPr>
            </w:pPr>
            <w:r w:rsidRPr="007743A8">
              <w:rPr>
                <w:rFonts w:ascii="Arial Narrow" w:hAnsi="Arial Narrow"/>
                <w:sz w:val="20"/>
              </w:rPr>
              <w:t>Assume 3 family members to 1 affected individual</w:t>
            </w:r>
          </w:p>
        </w:tc>
      </w:tr>
      <w:tr w:rsidR="00AD3739" w:rsidRPr="007743A8" w14:paraId="5E5DFBC4" w14:textId="77777777" w:rsidTr="00E71C9F">
        <w:tc>
          <w:tcPr>
            <w:tcW w:w="1956" w:type="dxa"/>
            <w:vAlign w:val="center"/>
          </w:tcPr>
          <w:p w14:paraId="37176CC6" w14:textId="77777777" w:rsidR="00AD3739" w:rsidRPr="007743A8" w:rsidRDefault="00AD3739" w:rsidP="00DF497D">
            <w:pPr>
              <w:rPr>
                <w:rFonts w:ascii="Arial Narrow" w:hAnsi="Arial Narrow"/>
                <w:sz w:val="20"/>
              </w:rPr>
            </w:pPr>
            <w:r w:rsidRPr="007743A8">
              <w:rPr>
                <w:rFonts w:ascii="Arial Narrow" w:hAnsi="Arial Narrow"/>
                <w:sz w:val="20"/>
              </w:rPr>
              <w:t>Affected individual</w:t>
            </w:r>
          </w:p>
        </w:tc>
        <w:tc>
          <w:tcPr>
            <w:tcW w:w="3875" w:type="dxa"/>
            <w:vAlign w:val="center"/>
          </w:tcPr>
          <w:p w14:paraId="18B4A9DF" w14:textId="77777777" w:rsidR="00AD3739" w:rsidRPr="007743A8" w:rsidRDefault="00AD3739" w:rsidP="00DF497D">
            <w:pPr>
              <w:jc w:val="center"/>
              <w:rPr>
                <w:rFonts w:ascii="Arial Narrow" w:hAnsi="Arial Narrow"/>
                <w:sz w:val="20"/>
              </w:rPr>
            </w:pPr>
            <w:r w:rsidRPr="007743A8">
              <w:rPr>
                <w:rFonts w:ascii="Arial Narrow" w:hAnsi="Arial Narrow"/>
                <w:sz w:val="20"/>
              </w:rPr>
              <w:t>25.0% (1/4)</w:t>
            </w:r>
          </w:p>
        </w:tc>
        <w:tc>
          <w:tcPr>
            <w:tcW w:w="1432" w:type="dxa"/>
            <w:vAlign w:val="center"/>
          </w:tcPr>
          <w:p w14:paraId="65E57D7E" w14:textId="77777777" w:rsidR="00AD3739" w:rsidRPr="007743A8" w:rsidRDefault="00AD3739" w:rsidP="00DF497D">
            <w:pPr>
              <w:jc w:val="center"/>
              <w:rPr>
                <w:rFonts w:ascii="Arial Narrow" w:hAnsi="Arial Narrow"/>
                <w:bCs/>
                <w:sz w:val="20"/>
              </w:rPr>
            </w:pPr>
            <w:r w:rsidRPr="007743A8">
              <w:rPr>
                <w:rFonts w:ascii="Arial Narrow" w:hAnsi="Arial Narrow"/>
                <w:bCs/>
                <w:sz w:val="20"/>
              </w:rPr>
              <w:t>$151,837.18</w:t>
            </w:r>
          </w:p>
        </w:tc>
        <w:tc>
          <w:tcPr>
            <w:tcW w:w="1951" w:type="dxa"/>
            <w:vMerge w:val="restart"/>
            <w:vAlign w:val="center"/>
          </w:tcPr>
          <w:p w14:paraId="300C2E6E" w14:textId="77777777" w:rsidR="00AD3739" w:rsidRPr="007743A8" w:rsidRDefault="00AD3739" w:rsidP="00DF497D">
            <w:pPr>
              <w:jc w:val="center"/>
              <w:rPr>
                <w:rFonts w:ascii="Arial Narrow" w:hAnsi="Arial Narrow"/>
                <w:sz w:val="20"/>
              </w:rPr>
            </w:pPr>
            <w:r w:rsidRPr="007743A8">
              <w:rPr>
                <w:rFonts w:ascii="Arial Narrow" w:hAnsi="Arial Narrow"/>
                <w:sz w:val="20"/>
              </w:rPr>
              <w:t>$102,158.30</w:t>
            </w:r>
          </w:p>
        </w:tc>
      </w:tr>
      <w:tr w:rsidR="00AD3739" w:rsidRPr="007743A8" w14:paraId="57F73F8D" w14:textId="77777777" w:rsidTr="00E71C9F">
        <w:tc>
          <w:tcPr>
            <w:tcW w:w="1956" w:type="dxa"/>
            <w:vAlign w:val="center"/>
          </w:tcPr>
          <w:p w14:paraId="569064D2" w14:textId="77777777" w:rsidR="00AD3739" w:rsidRPr="007743A8" w:rsidRDefault="00AD3739" w:rsidP="00DF497D">
            <w:pPr>
              <w:rPr>
                <w:rFonts w:ascii="Arial Narrow" w:hAnsi="Arial Narrow"/>
                <w:sz w:val="20"/>
              </w:rPr>
            </w:pPr>
            <w:r w:rsidRPr="007743A8">
              <w:rPr>
                <w:rFonts w:ascii="Arial Narrow" w:hAnsi="Arial Narrow"/>
                <w:sz w:val="20"/>
              </w:rPr>
              <w:t>Family members</w:t>
            </w:r>
          </w:p>
        </w:tc>
        <w:tc>
          <w:tcPr>
            <w:tcW w:w="3875" w:type="dxa"/>
            <w:vAlign w:val="center"/>
          </w:tcPr>
          <w:p w14:paraId="7C78A53A" w14:textId="77777777" w:rsidR="00AD3739" w:rsidRPr="007743A8" w:rsidRDefault="00AD3739" w:rsidP="00DF497D">
            <w:pPr>
              <w:jc w:val="center"/>
              <w:rPr>
                <w:rFonts w:ascii="Arial Narrow" w:hAnsi="Arial Narrow"/>
                <w:sz w:val="20"/>
              </w:rPr>
            </w:pPr>
            <w:r w:rsidRPr="007743A8">
              <w:rPr>
                <w:rFonts w:ascii="Arial Narrow" w:hAnsi="Arial Narrow"/>
                <w:sz w:val="20"/>
              </w:rPr>
              <w:t>75.0% (3/4)</w:t>
            </w:r>
          </w:p>
        </w:tc>
        <w:tc>
          <w:tcPr>
            <w:tcW w:w="1432" w:type="dxa"/>
            <w:vAlign w:val="center"/>
          </w:tcPr>
          <w:p w14:paraId="3B679336" w14:textId="77777777" w:rsidR="00AD3739" w:rsidRPr="007743A8" w:rsidRDefault="00AD3739" w:rsidP="00DF497D">
            <w:pPr>
              <w:jc w:val="center"/>
              <w:rPr>
                <w:rFonts w:ascii="Arial Narrow" w:hAnsi="Arial Narrow"/>
                <w:bCs/>
                <w:sz w:val="20"/>
              </w:rPr>
            </w:pPr>
            <w:r w:rsidRPr="007743A8">
              <w:rPr>
                <w:rFonts w:ascii="Arial Narrow" w:hAnsi="Arial Narrow"/>
                <w:bCs/>
                <w:sz w:val="20"/>
              </w:rPr>
              <w:t>$85,598.66</w:t>
            </w:r>
          </w:p>
        </w:tc>
        <w:tc>
          <w:tcPr>
            <w:tcW w:w="1951" w:type="dxa"/>
            <w:vMerge/>
            <w:vAlign w:val="center"/>
          </w:tcPr>
          <w:p w14:paraId="0F876340" w14:textId="77777777" w:rsidR="00AD3739" w:rsidRPr="007743A8" w:rsidRDefault="00AD3739" w:rsidP="00DF497D">
            <w:pPr>
              <w:jc w:val="center"/>
              <w:rPr>
                <w:rFonts w:ascii="Arial Narrow" w:hAnsi="Arial Narrow"/>
                <w:sz w:val="20"/>
              </w:rPr>
            </w:pPr>
          </w:p>
        </w:tc>
      </w:tr>
      <w:tr w:rsidR="00AD3739" w:rsidRPr="007743A8" w14:paraId="20497B16" w14:textId="77777777" w:rsidTr="00E71C9F">
        <w:tc>
          <w:tcPr>
            <w:tcW w:w="9214" w:type="dxa"/>
            <w:gridSpan w:val="4"/>
          </w:tcPr>
          <w:p w14:paraId="434DF1FE" w14:textId="77777777" w:rsidR="00AD3739" w:rsidRPr="007743A8" w:rsidRDefault="00AD3739" w:rsidP="00E71C9F">
            <w:pPr>
              <w:ind w:right="-108"/>
              <w:rPr>
                <w:rFonts w:ascii="Arial Narrow" w:hAnsi="Arial Narrow"/>
                <w:sz w:val="20"/>
              </w:rPr>
            </w:pPr>
            <w:r w:rsidRPr="007743A8">
              <w:rPr>
                <w:rFonts w:ascii="Arial Narrow" w:hAnsi="Arial Narrow"/>
                <w:sz w:val="20"/>
              </w:rPr>
              <w:t>Assume 3 family members to 1 affected individual, based on number of women tested in each year in the financial estimates</w:t>
            </w:r>
          </w:p>
        </w:tc>
      </w:tr>
      <w:tr w:rsidR="00AD3739" w:rsidRPr="007743A8" w14:paraId="04BA60E6" w14:textId="77777777" w:rsidTr="00E71C9F">
        <w:tc>
          <w:tcPr>
            <w:tcW w:w="1956" w:type="dxa"/>
            <w:vAlign w:val="center"/>
          </w:tcPr>
          <w:p w14:paraId="3E03BE5A" w14:textId="77777777" w:rsidR="00AD3739" w:rsidRPr="007743A8" w:rsidRDefault="00AD3739" w:rsidP="00DF497D">
            <w:pPr>
              <w:rPr>
                <w:rFonts w:ascii="Arial Narrow" w:hAnsi="Arial Narrow"/>
                <w:sz w:val="20"/>
              </w:rPr>
            </w:pPr>
            <w:r w:rsidRPr="007743A8">
              <w:rPr>
                <w:rFonts w:ascii="Arial Narrow" w:hAnsi="Arial Narrow"/>
                <w:sz w:val="20"/>
              </w:rPr>
              <w:t>Affected individual</w:t>
            </w:r>
          </w:p>
        </w:tc>
        <w:tc>
          <w:tcPr>
            <w:tcW w:w="3875" w:type="dxa"/>
            <w:vAlign w:val="center"/>
          </w:tcPr>
          <w:p w14:paraId="30AA67DA" w14:textId="77777777" w:rsidR="00AD3739" w:rsidRPr="007743A8" w:rsidRDefault="00AD3739" w:rsidP="00DF497D">
            <w:pPr>
              <w:jc w:val="center"/>
              <w:rPr>
                <w:rFonts w:ascii="Arial Narrow" w:hAnsi="Arial Narrow"/>
                <w:sz w:val="20"/>
              </w:rPr>
            </w:pPr>
            <w:r w:rsidRPr="007743A8">
              <w:rPr>
                <w:rFonts w:ascii="Arial Narrow" w:hAnsi="Arial Narrow"/>
                <w:sz w:val="20"/>
              </w:rPr>
              <w:t>68.9% (1115/1617 tested in first year)</w:t>
            </w:r>
          </w:p>
        </w:tc>
        <w:tc>
          <w:tcPr>
            <w:tcW w:w="1432" w:type="dxa"/>
            <w:vAlign w:val="center"/>
          </w:tcPr>
          <w:p w14:paraId="145ED1EB" w14:textId="77777777" w:rsidR="00AD3739" w:rsidRPr="007743A8" w:rsidRDefault="00AD3739" w:rsidP="00DF497D">
            <w:pPr>
              <w:jc w:val="center"/>
              <w:rPr>
                <w:rFonts w:ascii="Arial Narrow" w:hAnsi="Arial Narrow"/>
                <w:sz w:val="20"/>
              </w:rPr>
            </w:pPr>
            <w:r w:rsidRPr="007743A8">
              <w:rPr>
                <w:rFonts w:ascii="Arial Narrow" w:hAnsi="Arial Narrow"/>
                <w:bCs/>
                <w:sz w:val="20"/>
              </w:rPr>
              <w:t>$151,837.18</w:t>
            </w:r>
          </w:p>
        </w:tc>
        <w:tc>
          <w:tcPr>
            <w:tcW w:w="1951" w:type="dxa"/>
            <w:vMerge w:val="restart"/>
            <w:vAlign w:val="center"/>
          </w:tcPr>
          <w:p w14:paraId="14A7CEEF" w14:textId="77777777" w:rsidR="00AD3739" w:rsidRPr="007743A8" w:rsidRDefault="00AD3739" w:rsidP="00DF497D">
            <w:pPr>
              <w:jc w:val="center"/>
              <w:rPr>
                <w:rFonts w:ascii="Arial Narrow" w:hAnsi="Arial Narrow"/>
                <w:sz w:val="20"/>
              </w:rPr>
            </w:pPr>
            <w:r w:rsidRPr="007743A8">
              <w:rPr>
                <w:rFonts w:ascii="Arial Narrow" w:hAnsi="Arial Narrow"/>
                <w:sz w:val="20"/>
              </w:rPr>
              <w:t>$131,280.40</w:t>
            </w:r>
          </w:p>
        </w:tc>
      </w:tr>
      <w:tr w:rsidR="00AD3739" w:rsidRPr="007743A8" w14:paraId="56F583F2" w14:textId="77777777" w:rsidTr="00E71C9F">
        <w:tc>
          <w:tcPr>
            <w:tcW w:w="1956" w:type="dxa"/>
            <w:vAlign w:val="center"/>
          </w:tcPr>
          <w:p w14:paraId="7D240243" w14:textId="77777777" w:rsidR="00AD3739" w:rsidRPr="007743A8" w:rsidRDefault="00AD3739" w:rsidP="00DF497D">
            <w:pPr>
              <w:rPr>
                <w:rFonts w:ascii="Arial Narrow" w:hAnsi="Arial Narrow"/>
                <w:sz w:val="20"/>
              </w:rPr>
            </w:pPr>
            <w:r w:rsidRPr="007743A8">
              <w:rPr>
                <w:rFonts w:ascii="Arial Narrow" w:hAnsi="Arial Narrow"/>
                <w:sz w:val="20"/>
              </w:rPr>
              <w:t>Family members</w:t>
            </w:r>
          </w:p>
        </w:tc>
        <w:tc>
          <w:tcPr>
            <w:tcW w:w="3875" w:type="dxa"/>
            <w:vAlign w:val="center"/>
          </w:tcPr>
          <w:p w14:paraId="6977B2B5" w14:textId="77777777" w:rsidR="00AD3739" w:rsidRPr="007743A8" w:rsidRDefault="00AD3739" w:rsidP="00DF497D">
            <w:pPr>
              <w:jc w:val="center"/>
              <w:rPr>
                <w:rFonts w:ascii="Arial Narrow" w:hAnsi="Arial Narrow"/>
                <w:sz w:val="20"/>
              </w:rPr>
            </w:pPr>
            <w:r w:rsidRPr="007743A8">
              <w:rPr>
                <w:rFonts w:ascii="Arial Narrow" w:hAnsi="Arial Narrow"/>
                <w:sz w:val="20"/>
              </w:rPr>
              <w:t>31.1% (502/1617 tested in first year)</w:t>
            </w:r>
          </w:p>
        </w:tc>
        <w:tc>
          <w:tcPr>
            <w:tcW w:w="1432" w:type="dxa"/>
            <w:vAlign w:val="center"/>
          </w:tcPr>
          <w:p w14:paraId="300FB906" w14:textId="77777777" w:rsidR="00AD3739" w:rsidRPr="007743A8" w:rsidRDefault="00AD3739" w:rsidP="00DF497D">
            <w:pPr>
              <w:jc w:val="center"/>
              <w:rPr>
                <w:rFonts w:ascii="Arial Narrow" w:hAnsi="Arial Narrow"/>
                <w:sz w:val="20"/>
              </w:rPr>
            </w:pPr>
            <w:r w:rsidRPr="007743A8">
              <w:rPr>
                <w:rFonts w:ascii="Arial Narrow" w:hAnsi="Arial Narrow"/>
                <w:bCs/>
                <w:sz w:val="20"/>
              </w:rPr>
              <w:t>$85,598.66</w:t>
            </w:r>
          </w:p>
        </w:tc>
        <w:tc>
          <w:tcPr>
            <w:tcW w:w="1951" w:type="dxa"/>
            <w:vMerge/>
          </w:tcPr>
          <w:p w14:paraId="6639EAE7" w14:textId="77777777" w:rsidR="00AD3739" w:rsidRPr="007743A8" w:rsidRDefault="00AD3739" w:rsidP="00DF497D">
            <w:pPr>
              <w:rPr>
                <w:rFonts w:ascii="Arial Narrow" w:hAnsi="Arial Narrow"/>
                <w:sz w:val="20"/>
              </w:rPr>
            </w:pPr>
          </w:p>
        </w:tc>
      </w:tr>
    </w:tbl>
    <w:p w14:paraId="23D3C790" w14:textId="77777777" w:rsidR="00AD3739" w:rsidRPr="007743A8" w:rsidRDefault="00AD3739" w:rsidP="00C15564">
      <w:bookmarkStart w:id="0" w:name="_Toc318453371"/>
      <w:bookmarkStart w:id="1" w:name="_Toc341702082"/>
      <w:bookmarkStart w:id="2" w:name="_Toc392858235"/>
    </w:p>
    <w:p w14:paraId="0E9BA154" w14:textId="77777777" w:rsidR="00AD3739" w:rsidRPr="00C15564" w:rsidRDefault="00AD3739" w:rsidP="00C15564">
      <w:pPr>
        <w:rPr>
          <w:szCs w:val="24"/>
          <w:u w:val="single"/>
        </w:rPr>
      </w:pPr>
      <w:r w:rsidRPr="00C15564">
        <w:rPr>
          <w:szCs w:val="24"/>
          <w:u w:val="single"/>
        </w:rPr>
        <w:t>Sensitivity analyses</w:t>
      </w:r>
      <w:bookmarkEnd w:id="0"/>
      <w:bookmarkEnd w:id="1"/>
      <w:bookmarkEnd w:id="2"/>
    </w:p>
    <w:p w14:paraId="0388C7F8" w14:textId="77777777" w:rsidR="00AD3739" w:rsidRPr="000473F9" w:rsidRDefault="00AD3739" w:rsidP="00AD3739">
      <w:pPr>
        <w:rPr>
          <w:szCs w:val="24"/>
        </w:rPr>
      </w:pPr>
      <w:r w:rsidRPr="000473F9">
        <w:rPr>
          <w:szCs w:val="24"/>
        </w:rPr>
        <w:t xml:space="preserve">Sensitivity analyses indicated that the model was most sensitive to the number of </w:t>
      </w:r>
      <w:r w:rsidRPr="00A8248C">
        <w:rPr>
          <w:i/>
          <w:szCs w:val="24"/>
        </w:rPr>
        <w:t>BRCA</w:t>
      </w:r>
      <w:r w:rsidRPr="000473F9">
        <w:rPr>
          <w:szCs w:val="24"/>
        </w:rPr>
        <w:t xml:space="preserve"> mutation positive individuals in the tested population as well as w</w:t>
      </w:r>
      <w:r w:rsidR="00A8248C">
        <w:rPr>
          <w:szCs w:val="24"/>
        </w:rPr>
        <w:t>hether discounting was applied.</w:t>
      </w:r>
    </w:p>
    <w:p w14:paraId="316C2E44" w14:textId="77777777" w:rsidR="00AD3739" w:rsidRPr="00B30E24" w:rsidRDefault="00AD3739" w:rsidP="00AD3739">
      <w:pPr>
        <w:rPr>
          <w:rStyle w:val="CommentReference"/>
          <w:rFonts w:asciiTheme="minorHAnsi" w:hAnsiTheme="minorHAnsi"/>
          <w:sz w:val="24"/>
          <w:szCs w:val="24"/>
        </w:rPr>
      </w:pPr>
    </w:p>
    <w:p w14:paraId="1E37B0E2" w14:textId="77777777" w:rsidR="00AD3739" w:rsidRDefault="00AD3739" w:rsidP="00AD3739">
      <w:pPr>
        <w:pStyle w:val="Caption"/>
        <w:spacing w:before="0" w:after="0"/>
        <w:ind w:left="0" w:firstLine="0"/>
      </w:pPr>
      <w:r>
        <w:t>Table</w:t>
      </w:r>
      <w:r w:rsidR="00864787">
        <w:t xml:space="preserve"> 7</w:t>
      </w:r>
      <w:r>
        <w:t xml:space="preserve">: </w:t>
      </w:r>
      <w:r w:rsidRPr="001E0545">
        <w:t xml:space="preserve">Results of univariate sensitivity analyses for affected </w:t>
      </w:r>
      <w:r w:rsidR="00A8248C">
        <w:t>individuals</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138"/>
        <w:gridCol w:w="1420"/>
        <w:gridCol w:w="1418"/>
        <w:gridCol w:w="2266"/>
      </w:tblGrid>
      <w:tr w:rsidR="00AD3739" w:rsidRPr="007743A8" w14:paraId="565CAA3E" w14:textId="77777777" w:rsidTr="00E71C9F">
        <w:trPr>
          <w:tblHeader/>
        </w:trPr>
        <w:tc>
          <w:tcPr>
            <w:tcW w:w="2239" w:type="pct"/>
            <w:tcBorders>
              <w:top w:val="single" w:sz="4" w:space="0" w:color="auto"/>
              <w:left w:val="single" w:sz="4" w:space="0" w:color="auto"/>
              <w:bottom w:val="single" w:sz="4" w:space="0" w:color="auto"/>
              <w:right w:val="single" w:sz="4" w:space="0" w:color="auto"/>
            </w:tcBorders>
            <w:vAlign w:val="center"/>
          </w:tcPr>
          <w:p w14:paraId="5989A132" w14:textId="77777777" w:rsidR="00AD3739" w:rsidRPr="007743A8" w:rsidRDefault="00AD3739" w:rsidP="00DF497D">
            <w:pPr>
              <w:rPr>
                <w:rFonts w:ascii="Arial Narrow" w:hAnsi="Arial Narrow"/>
                <w:sz w:val="20"/>
              </w:rPr>
            </w:pPr>
            <w:r w:rsidRPr="007743A8">
              <w:rPr>
                <w:rFonts w:ascii="Arial Narrow" w:hAnsi="Arial Narrow"/>
                <w:b/>
                <w:sz w:val="20"/>
              </w:rPr>
              <w:t>Univariate analyses</w:t>
            </w:r>
          </w:p>
        </w:tc>
        <w:tc>
          <w:tcPr>
            <w:tcW w:w="768" w:type="pct"/>
            <w:tcBorders>
              <w:top w:val="single" w:sz="4" w:space="0" w:color="auto"/>
              <w:left w:val="single" w:sz="4" w:space="0" w:color="auto"/>
              <w:bottom w:val="single" w:sz="4" w:space="0" w:color="auto"/>
              <w:right w:val="single" w:sz="4" w:space="0" w:color="auto"/>
            </w:tcBorders>
            <w:vAlign w:val="center"/>
          </w:tcPr>
          <w:p w14:paraId="0FF9E5DD" w14:textId="77777777" w:rsidR="00AD3739" w:rsidRPr="007743A8" w:rsidRDefault="00AD3739" w:rsidP="00DF497D">
            <w:pPr>
              <w:jc w:val="center"/>
              <w:rPr>
                <w:rFonts w:ascii="Arial Narrow" w:hAnsi="Arial Narrow"/>
                <w:sz w:val="20"/>
              </w:rPr>
            </w:pPr>
            <w:r w:rsidRPr="007743A8">
              <w:rPr>
                <w:rFonts w:ascii="Arial Narrow" w:hAnsi="Arial Narrow"/>
                <w:b/>
                <w:sz w:val="20"/>
              </w:rPr>
              <w:t>Incremental costs</w:t>
            </w:r>
          </w:p>
        </w:tc>
        <w:tc>
          <w:tcPr>
            <w:tcW w:w="767" w:type="pct"/>
            <w:tcBorders>
              <w:top w:val="single" w:sz="4" w:space="0" w:color="auto"/>
              <w:left w:val="single" w:sz="4" w:space="0" w:color="auto"/>
              <w:bottom w:val="single" w:sz="4" w:space="0" w:color="auto"/>
              <w:right w:val="single" w:sz="4" w:space="0" w:color="auto"/>
            </w:tcBorders>
            <w:vAlign w:val="center"/>
          </w:tcPr>
          <w:p w14:paraId="00F41BF1" w14:textId="77777777" w:rsidR="00AD3739" w:rsidRPr="007743A8" w:rsidRDefault="00AD3739" w:rsidP="00A8248C">
            <w:pPr>
              <w:jc w:val="center"/>
              <w:rPr>
                <w:rFonts w:ascii="Arial Narrow" w:hAnsi="Arial Narrow"/>
                <w:sz w:val="20"/>
              </w:rPr>
            </w:pPr>
            <w:r w:rsidRPr="007743A8">
              <w:rPr>
                <w:rFonts w:ascii="Arial Narrow" w:hAnsi="Arial Narrow"/>
                <w:b/>
                <w:sz w:val="20"/>
              </w:rPr>
              <w:t>Incremental QALY gained</w:t>
            </w:r>
          </w:p>
        </w:tc>
        <w:tc>
          <w:tcPr>
            <w:tcW w:w="1226" w:type="pct"/>
            <w:tcBorders>
              <w:top w:val="single" w:sz="4" w:space="0" w:color="auto"/>
              <w:left w:val="single" w:sz="4" w:space="0" w:color="auto"/>
              <w:bottom w:val="single" w:sz="4" w:space="0" w:color="auto"/>
              <w:right w:val="single" w:sz="4" w:space="0" w:color="auto"/>
            </w:tcBorders>
            <w:vAlign w:val="center"/>
          </w:tcPr>
          <w:p w14:paraId="2FE0990F" w14:textId="77777777" w:rsidR="00AD3739" w:rsidRPr="007743A8" w:rsidRDefault="00AD3739" w:rsidP="00DF497D">
            <w:pPr>
              <w:jc w:val="center"/>
              <w:rPr>
                <w:rFonts w:ascii="Arial Narrow" w:hAnsi="Arial Narrow"/>
                <w:sz w:val="20"/>
              </w:rPr>
            </w:pPr>
            <w:r w:rsidRPr="007743A8">
              <w:rPr>
                <w:rFonts w:ascii="Arial Narrow" w:hAnsi="Arial Narrow"/>
                <w:b/>
                <w:sz w:val="20"/>
              </w:rPr>
              <w:t>Incremental cost/QALY gained</w:t>
            </w:r>
          </w:p>
        </w:tc>
      </w:tr>
      <w:tr w:rsidR="00AD3739" w:rsidRPr="007743A8" w14:paraId="13AC859B" w14:textId="77777777" w:rsidTr="00E71C9F">
        <w:tc>
          <w:tcPr>
            <w:tcW w:w="2239" w:type="pct"/>
            <w:tcBorders>
              <w:top w:val="single" w:sz="4" w:space="0" w:color="auto"/>
              <w:left w:val="single" w:sz="4" w:space="0" w:color="auto"/>
              <w:bottom w:val="single" w:sz="4" w:space="0" w:color="auto"/>
              <w:right w:val="single" w:sz="4" w:space="0" w:color="auto"/>
            </w:tcBorders>
            <w:vAlign w:val="center"/>
          </w:tcPr>
          <w:p w14:paraId="3BFBF10A" w14:textId="77777777" w:rsidR="00AD3739" w:rsidRPr="007743A8" w:rsidRDefault="00AD3739" w:rsidP="00DF497D">
            <w:pPr>
              <w:rPr>
                <w:rFonts w:ascii="Arial Narrow" w:hAnsi="Arial Narrow"/>
                <w:b/>
                <w:sz w:val="20"/>
              </w:rPr>
            </w:pPr>
            <w:r w:rsidRPr="007743A8">
              <w:rPr>
                <w:rFonts w:ascii="Arial Narrow" w:hAnsi="Arial Narrow"/>
                <w:b/>
                <w:sz w:val="20"/>
              </w:rPr>
              <w:t>Base case</w:t>
            </w:r>
          </w:p>
        </w:tc>
        <w:tc>
          <w:tcPr>
            <w:tcW w:w="768" w:type="pct"/>
            <w:tcBorders>
              <w:top w:val="single" w:sz="4" w:space="0" w:color="auto"/>
              <w:left w:val="single" w:sz="4" w:space="0" w:color="auto"/>
              <w:bottom w:val="single" w:sz="4" w:space="0" w:color="auto"/>
              <w:right w:val="single" w:sz="4" w:space="0" w:color="auto"/>
            </w:tcBorders>
            <w:vAlign w:val="center"/>
          </w:tcPr>
          <w:p w14:paraId="4B5AECFD" w14:textId="77777777" w:rsidR="00AD3739" w:rsidRPr="007743A8" w:rsidRDefault="00AD3739" w:rsidP="00DF497D">
            <w:pPr>
              <w:jc w:val="center"/>
              <w:rPr>
                <w:rFonts w:ascii="Arial Narrow" w:hAnsi="Arial Narrow"/>
                <w:b/>
                <w:bCs/>
                <w:sz w:val="20"/>
              </w:rPr>
            </w:pPr>
            <w:r w:rsidRPr="007743A8">
              <w:rPr>
                <w:rFonts w:ascii="Arial Narrow" w:hAnsi="Arial Narrow"/>
                <w:b/>
                <w:bCs/>
                <w:sz w:val="20"/>
              </w:rPr>
              <w:t>$3,129.71</w:t>
            </w:r>
          </w:p>
        </w:tc>
        <w:tc>
          <w:tcPr>
            <w:tcW w:w="767" w:type="pct"/>
            <w:tcBorders>
              <w:top w:val="single" w:sz="4" w:space="0" w:color="auto"/>
              <w:left w:val="single" w:sz="4" w:space="0" w:color="auto"/>
              <w:bottom w:val="single" w:sz="4" w:space="0" w:color="auto"/>
              <w:right w:val="single" w:sz="4" w:space="0" w:color="auto"/>
            </w:tcBorders>
            <w:vAlign w:val="center"/>
          </w:tcPr>
          <w:p w14:paraId="7A429660" w14:textId="77777777" w:rsidR="00AD3739" w:rsidRPr="007743A8" w:rsidRDefault="00AD3739" w:rsidP="00DF497D">
            <w:pPr>
              <w:jc w:val="center"/>
              <w:rPr>
                <w:rFonts w:ascii="Arial Narrow" w:hAnsi="Arial Narrow"/>
                <w:b/>
                <w:bCs/>
                <w:sz w:val="20"/>
              </w:rPr>
            </w:pPr>
            <w:r w:rsidRPr="007743A8">
              <w:rPr>
                <w:rFonts w:ascii="Arial Narrow" w:hAnsi="Arial Narrow"/>
                <w:b/>
                <w:bCs/>
                <w:sz w:val="20"/>
              </w:rPr>
              <w:t>0.021</w:t>
            </w:r>
          </w:p>
        </w:tc>
        <w:tc>
          <w:tcPr>
            <w:tcW w:w="1226" w:type="pct"/>
            <w:tcBorders>
              <w:top w:val="single" w:sz="4" w:space="0" w:color="auto"/>
              <w:left w:val="single" w:sz="4" w:space="0" w:color="auto"/>
              <w:bottom w:val="single" w:sz="4" w:space="0" w:color="auto"/>
              <w:right w:val="single" w:sz="4" w:space="0" w:color="auto"/>
            </w:tcBorders>
            <w:vAlign w:val="center"/>
          </w:tcPr>
          <w:p w14:paraId="678FD35D" w14:textId="77777777" w:rsidR="00AD3739" w:rsidRPr="007743A8" w:rsidRDefault="00AD3739" w:rsidP="00DF497D">
            <w:pPr>
              <w:jc w:val="center"/>
              <w:rPr>
                <w:rFonts w:ascii="Arial Narrow" w:hAnsi="Arial Narrow"/>
                <w:b/>
                <w:sz w:val="20"/>
              </w:rPr>
            </w:pPr>
            <w:r w:rsidRPr="007743A8">
              <w:rPr>
                <w:rFonts w:ascii="Arial Narrow" w:hAnsi="Arial Narrow"/>
                <w:b/>
                <w:sz w:val="20"/>
              </w:rPr>
              <w:t>$151,837.18</w:t>
            </w:r>
          </w:p>
        </w:tc>
      </w:tr>
      <w:tr w:rsidR="00AD3739" w:rsidRPr="007743A8" w14:paraId="134EE6F0" w14:textId="77777777" w:rsidTr="00E71C9F">
        <w:tc>
          <w:tcPr>
            <w:tcW w:w="2239" w:type="pct"/>
            <w:tcBorders>
              <w:top w:val="single" w:sz="4" w:space="0" w:color="auto"/>
              <w:left w:val="single" w:sz="4" w:space="0" w:color="auto"/>
              <w:bottom w:val="single" w:sz="4" w:space="0" w:color="auto"/>
              <w:right w:val="single" w:sz="4" w:space="0" w:color="auto"/>
            </w:tcBorders>
            <w:vAlign w:val="center"/>
          </w:tcPr>
          <w:p w14:paraId="5C8E5796" w14:textId="77777777" w:rsidR="00AD3739" w:rsidRPr="007743A8" w:rsidRDefault="00AD3739" w:rsidP="00DF497D">
            <w:pPr>
              <w:rPr>
                <w:rFonts w:ascii="Arial Narrow" w:hAnsi="Arial Narrow"/>
                <w:sz w:val="20"/>
              </w:rPr>
            </w:pPr>
            <w:r w:rsidRPr="007743A8">
              <w:rPr>
                <w:rFonts w:ascii="Arial Narrow" w:hAnsi="Arial Narrow"/>
                <w:sz w:val="20"/>
              </w:rPr>
              <w:t xml:space="preserve">10% tested are </w:t>
            </w:r>
            <w:r w:rsidRPr="00A8248C">
              <w:rPr>
                <w:rFonts w:ascii="Arial Narrow" w:hAnsi="Arial Narrow"/>
                <w:i/>
                <w:sz w:val="20"/>
              </w:rPr>
              <w:t>BRCA1</w:t>
            </w:r>
            <w:r w:rsidRPr="007743A8">
              <w:rPr>
                <w:rFonts w:ascii="Arial Narrow" w:hAnsi="Arial Narrow"/>
                <w:sz w:val="20"/>
              </w:rPr>
              <w:t xml:space="preserve"> or </w:t>
            </w:r>
            <w:r w:rsidR="00A8248C" w:rsidRPr="00A8248C">
              <w:rPr>
                <w:rFonts w:ascii="Arial Narrow" w:hAnsi="Arial Narrow"/>
                <w:i/>
                <w:sz w:val="20"/>
              </w:rPr>
              <w:t>BRCA</w:t>
            </w:r>
            <w:r w:rsidRPr="00A8248C">
              <w:rPr>
                <w:rFonts w:ascii="Arial Narrow" w:hAnsi="Arial Narrow"/>
                <w:i/>
                <w:sz w:val="20"/>
              </w:rPr>
              <w:t>2</w:t>
            </w:r>
            <w:r w:rsidRPr="007743A8">
              <w:rPr>
                <w:rFonts w:ascii="Arial Narrow" w:hAnsi="Arial Narrow"/>
                <w:sz w:val="20"/>
              </w:rPr>
              <w:t xml:space="preserve"> positive</w:t>
            </w:r>
          </w:p>
        </w:tc>
        <w:tc>
          <w:tcPr>
            <w:tcW w:w="768" w:type="pct"/>
            <w:tcBorders>
              <w:top w:val="single" w:sz="4" w:space="0" w:color="auto"/>
              <w:left w:val="single" w:sz="4" w:space="0" w:color="auto"/>
              <w:bottom w:val="single" w:sz="4" w:space="0" w:color="auto"/>
              <w:right w:val="single" w:sz="4" w:space="0" w:color="auto"/>
            </w:tcBorders>
            <w:vAlign w:val="center"/>
          </w:tcPr>
          <w:p w14:paraId="5BC2EBE2" w14:textId="77777777" w:rsidR="00AD3739" w:rsidRPr="007743A8" w:rsidRDefault="00AD3739" w:rsidP="00DF497D">
            <w:pPr>
              <w:jc w:val="center"/>
              <w:rPr>
                <w:rFonts w:ascii="Arial Narrow" w:hAnsi="Arial Narrow"/>
                <w:sz w:val="20"/>
              </w:rPr>
            </w:pPr>
            <w:r w:rsidRPr="007743A8">
              <w:rPr>
                <w:rFonts w:ascii="Arial Narrow" w:hAnsi="Arial Narrow"/>
                <w:sz w:val="20"/>
              </w:rPr>
              <w:t>$2,659.95</w:t>
            </w:r>
          </w:p>
        </w:tc>
        <w:tc>
          <w:tcPr>
            <w:tcW w:w="767" w:type="pct"/>
            <w:tcBorders>
              <w:top w:val="single" w:sz="4" w:space="0" w:color="auto"/>
              <w:left w:val="single" w:sz="4" w:space="0" w:color="auto"/>
              <w:bottom w:val="single" w:sz="4" w:space="0" w:color="auto"/>
              <w:right w:val="single" w:sz="4" w:space="0" w:color="auto"/>
            </w:tcBorders>
            <w:vAlign w:val="center"/>
          </w:tcPr>
          <w:p w14:paraId="5FE02780" w14:textId="77777777" w:rsidR="00AD3739" w:rsidRPr="007743A8" w:rsidRDefault="00AD3739" w:rsidP="00DF497D">
            <w:pPr>
              <w:jc w:val="center"/>
              <w:rPr>
                <w:rFonts w:ascii="Arial Narrow" w:hAnsi="Arial Narrow"/>
                <w:sz w:val="20"/>
              </w:rPr>
            </w:pPr>
            <w:r w:rsidRPr="007743A8">
              <w:rPr>
                <w:rFonts w:ascii="Arial Narrow" w:hAnsi="Arial Narrow"/>
                <w:sz w:val="20"/>
              </w:rPr>
              <w:t>0.014</w:t>
            </w:r>
          </w:p>
        </w:tc>
        <w:tc>
          <w:tcPr>
            <w:tcW w:w="1226" w:type="pct"/>
            <w:tcBorders>
              <w:top w:val="single" w:sz="4" w:space="0" w:color="auto"/>
              <w:left w:val="single" w:sz="4" w:space="0" w:color="auto"/>
              <w:bottom w:val="single" w:sz="4" w:space="0" w:color="auto"/>
              <w:right w:val="single" w:sz="4" w:space="0" w:color="auto"/>
            </w:tcBorders>
            <w:vAlign w:val="center"/>
          </w:tcPr>
          <w:p w14:paraId="355830A5" w14:textId="77777777" w:rsidR="00AD3739" w:rsidRPr="007743A8" w:rsidRDefault="00AD3739" w:rsidP="00DF497D">
            <w:pPr>
              <w:jc w:val="center"/>
              <w:rPr>
                <w:rFonts w:ascii="Arial Narrow" w:hAnsi="Arial Narrow"/>
                <w:sz w:val="20"/>
              </w:rPr>
            </w:pPr>
            <w:r w:rsidRPr="007743A8">
              <w:rPr>
                <w:rFonts w:ascii="Arial Narrow" w:hAnsi="Arial Narrow"/>
                <w:sz w:val="20"/>
              </w:rPr>
              <w:t>$191,227.61</w:t>
            </w:r>
          </w:p>
        </w:tc>
      </w:tr>
      <w:tr w:rsidR="00AD3739" w:rsidRPr="007743A8" w14:paraId="3C6EB655" w14:textId="77777777" w:rsidTr="00E71C9F">
        <w:tc>
          <w:tcPr>
            <w:tcW w:w="2239" w:type="pct"/>
            <w:tcBorders>
              <w:top w:val="single" w:sz="4" w:space="0" w:color="auto"/>
              <w:left w:val="single" w:sz="4" w:space="0" w:color="auto"/>
              <w:bottom w:val="single" w:sz="4" w:space="0" w:color="auto"/>
              <w:right w:val="single" w:sz="4" w:space="0" w:color="auto"/>
            </w:tcBorders>
            <w:vAlign w:val="center"/>
          </w:tcPr>
          <w:p w14:paraId="54FE331E" w14:textId="77777777" w:rsidR="00AD3739" w:rsidRPr="007743A8" w:rsidRDefault="00AD3739" w:rsidP="00A8248C">
            <w:pPr>
              <w:rPr>
                <w:rFonts w:ascii="Arial Narrow" w:hAnsi="Arial Narrow"/>
                <w:sz w:val="20"/>
              </w:rPr>
            </w:pPr>
            <w:r w:rsidRPr="007743A8">
              <w:rPr>
                <w:rFonts w:ascii="Arial Narrow" w:hAnsi="Arial Narrow"/>
                <w:sz w:val="20"/>
              </w:rPr>
              <w:t xml:space="preserve">20% tested are </w:t>
            </w:r>
            <w:r w:rsidRPr="00A8248C">
              <w:rPr>
                <w:rFonts w:ascii="Arial Narrow" w:hAnsi="Arial Narrow"/>
                <w:i/>
                <w:sz w:val="20"/>
              </w:rPr>
              <w:t>BRCA1</w:t>
            </w:r>
            <w:r w:rsidRPr="007743A8">
              <w:rPr>
                <w:rFonts w:ascii="Arial Narrow" w:hAnsi="Arial Narrow"/>
                <w:sz w:val="20"/>
              </w:rPr>
              <w:t xml:space="preserve"> or </w:t>
            </w:r>
            <w:r w:rsidR="00A8248C" w:rsidRPr="00A8248C">
              <w:rPr>
                <w:rFonts w:ascii="Arial Narrow" w:hAnsi="Arial Narrow"/>
                <w:i/>
                <w:sz w:val="20"/>
              </w:rPr>
              <w:t>BRCA</w:t>
            </w:r>
            <w:r w:rsidRPr="00A8248C">
              <w:rPr>
                <w:rFonts w:ascii="Arial Narrow" w:hAnsi="Arial Narrow"/>
                <w:i/>
                <w:sz w:val="20"/>
              </w:rPr>
              <w:t>2</w:t>
            </w:r>
            <w:r w:rsidRPr="007743A8">
              <w:rPr>
                <w:rFonts w:ascii="Arial Narrow" w:hAnsi="Arial Narrow"/>
                <w:sz w:val="20"/>
              </w:rPr>
              <w:t xml:space="preserve"> positive</w:t>
            </w:r>
          </w:p>
        </w:tc>
        <w:tc>
          <w:tcPr>
            <w:tcW w:w="768" w:type="pct"/>
            <w:tcBorders>
              <w:top w:val="single" w:sz="4" w:space="0" w:color="auto"/>
              <w:left w:val="single" w:sz="4" w:space="0" w:color="auto"/>
              <w:bottom w:val="single" w:sz="4" w:space="0" w:color="auto"/>
              <w:right w:val="single" w:sz="4" w:space="0" w:color="auto"/>
            </w:tcBorders>
            <w:vAlign w:val="center"/>
          </w:tcPr>
          <w:p w14:paraId="36FBED00" w14:textId="77777777" w:rsidR="00AD3739" w:rsidRPr="007743A8" w:rsidRDefault="00AD3739" w:rsidP="00DF497D">
            <w:pPr>
              <w:jc w:val="center"/>
              <w:rPr>
                <w:rFonts w:ascii="Arial Narrow" w:hAnsi="Arial Narrow"/>
                <w:sz w:val="20"/>
              </w:rPr>
            </w:pPr>
            <w:r w:rsidRPr="007743A8">
              <w:rPr>
                <w:rFonts w:ascii="Arial Narrow" w:hAnsi="Arial Narrow"/>
                <w:sz w:val="20"/>
              </w:rPr>
              <w:t>$3,568.03</w:t>
            </w:r>
          </w:p>
        </w:tc>
        <w:tc>
          <w:tcPr>
            <w:tcW w:w="767" w:type="pct"/>
            <w:tcBorders>
              <w:top w:val="single" w:sz="4" w:space="0" w:color="auto"/>
              <w:left w:val="single" w:sz="4" w:space="0" w:color="auto"/>
              <w:bottom w:val="single" w:sz="4" w:space="0" w:color="auto"/>
              <w:right w:val="single" w:sz="4" w:space="0" w:color="auto"/>
            </w:tcBorders>
            <w:vAlign w:val="center"/>
          </w:tcPr>
          <w:p w14:paraId="79BFF070" w14:textId="77777777" w:rsidR="00AD3739" w:rsidRPr="007743A8" w:rsidRDefault="00AD3739" w:rsidP="00DF497D">
            <w:pPr>
              <w:jc w:val="center"/>
              <w:rPr>
                <w:rFonts w:ascii="Arial Narrow" w:hAnsi="Arial Narrow"/>
                <w:sz w:val="20"/>
              </w:rPr>
            </w:pPr>
            <w:r w:rsidRPr="007743A8">
              <w:rPr>
                <w:rFonts w:ascii="Arial Narrow" w:hAnsi="Arial Narrow"/>
                <w:sz w:val="20"/>
              </w:rPr>
              <w:t>0.027</w:t>
            </w:r>
          </w:p>
        </w:tc>
        <w:tc>
          <w:tcPr>
            <w:tcW w:w="1226" w:type="pct"/>
            <w:tcBorders>
              <w:top w:val="single" w:sz="4" w:space="0" w:color="auto"/>
              <w:left w:val="single" w:sz="4" w:space="0" w:color="auto"/>
              <w:bottom w:val="single" w:sz="4" w:space="0" w:color="auto"/>
              <w:right w:val="single" w:sz="4" w:space="0" w:color="auto"/>
            </w:tcBorders>
            <w:vAlign w:val="center"/>
          </w:tcPr>
          <w:p w14:paraId="5377F7EA" w14:textId="77777777" w:rsidR="00AD3739" w:rsidRPr="007743A8" w:rsidRDefault="00AD3739" w:rsidP="00DF497D">
            <w:pPr>
              <w:jc w:val="center"/>
              <w:rPr>
                <w:rFonts w:ascii="Arial Narrow" w:hAnsi="Arial Narrow"/>
                <w:sz w:val="20"/>
              </w:rPr>
            </w:pPr>
            <w:r w:rsidRPr="007743A8">
              <w:rPr>
                <w:rFonts w:ascii="Arial Narrow" w:hAnsi="Arial Narrow"/>
                <w:sz w:val="20"/>
              </w:rPr>
              <w:t>$133,366.43</w:t>
            </w:r>
          </w:p>
        </w:tc>
      </w:tr>
      <w:tr w:rsidR="00AD3739" w:rsidRPr="007743A8" w14:paraId="0A3CC436" w14:textId="77777777" w:rsidTr="00E71C9F">
        <w:tc>
          <w:tcPr>
            <w:tcW w:w="2239" w:type="pct"/>
            <w:tcBorders>
              <w:top w:val="single" w:sz="4" w:space="0" w:color="auto"/>
              <w:left w:val="single" w:sz="4" w:space="0" w:color="auto"/>
              <w:bottom w:val="single" w:sz="4" w:space="0" w:color="auto"/>
              <w:right w:val="single" w:sz="4" w:space="0" w:color="auto"/>
            </w:tcBorders>
            <w:vAlign w:val="center"/>
          </w:tcPr>
          <w:p w14:paraId="7E55AB0C" w14:textId="77777777" w:rsidR="00AD3739" w:rsidRPr="007743A8" w:rsidRDefault="00AD3739" w:rsidP="00A8248C">
            <w:pPr>
              <w:rPr>
                <w:rFonts w:ascii="Arial Narrow" w:hAnsi="Arial Narrow"/>
                <w:sz w:val="20"/>
              </w:rPr>
            </w:pPr>
            <w:r w:rsidRPr="007743A8">
              <w:rPr>
                <w:rFonts w:ascii="Arial Narrow" w:hAnsi="Arial Narrow"/>
                <w:sz w:val="20"/>
              </w:rPr>
              <w:t xml:space="preserve">50% tested are </w:t>
            </w:r>
            <w:r w:rsidRPr="00A8248C">
              <w:rPr>
                <w:rFonts w:ascii="Arial Narrow" w:hAnsi="Arial Narrow"/>
                <w:i/>
                <w:sz w:val="20"/>
              </w:rPr>
              <w:t>BRCA1</w:t>
            </w:r>
            <w:r w:rsidRPr="007743A8">
              <w:rPr>
                <w:rFonts w:ascii="Arial Narrow" w:hAnsi="Arial Narrow"/>
                <w:sz w:val="20"/>
              </w:rPr>
              <w:t xml:space="preserve"> or </w:t>
            </w:r>
            <w:r w:rsidR="00A8248C" w:rsidRPr="00A8248C">
              <w:rPr>
                <w:rFonts w:ascii="Arial Narrow" w:hAnsi="Arial Narrow"/>
                <w:i/>
                <w:sz w:val="20"/>
              </w:rPr>
              <w:t>BRCA</w:t>
            </w:r>
            <w:r w:rsidRPr="00A8248C">
              <w:rPr>
                <w:rFonts w:ascii="Arial Narrow" w:hAnsi="Arial Narrow"/>
                <w:i/>
                <w:sz w:val="20"/>
              </w:rPr>
              <w:t>2</w:t>
            </w:r>
            <w:r w:rsidRPr="007743A8">
              <w:rPr>
                <w:rFonts w:ascii="Arial Narrow" w:hAnsi="Arial Narrow"/>
                <w:sz w:val="20"/>
              </w:rPr>
              <w:t xml:space="preserve"> positive</w:t>
            </w:r>
          </w:p>
        </w:tc>
        <w:tc>
          <w:tcPr>
            <w:tcW w:w="768" w:type="pct"/>
            <w:tcBorders>
              <w:top w:val="single" w:sz="4" w:space="0" w:color="auto"/>
              <w:left w:val="single" w:sz="4" w:space="0" w:color="auto"/>
              <w:bottom w:val="single" w:sz="4" w:space="0" w:color="auto"/>
              <w:right w:val="single" w:sz="4" w:space="0" w:color="auto"/>
            </w:tcBorders>
            <w:vAlign w:val="center"/>
          </w:tcPr>
          <w:p w14:paraId="378FF933" w14:textId="77777777" w:rsidR="00AD3739" w:rsidRPr="007743A8" w:rsidRDefault="00AD3739" w:rsidP="00DF497D">
            <w:pPr>
              <w:jc w:val="center"/>
              <w:rPr>
                <w:rFonts w:ascii="Arial Narrow" w:hAnsi="Arial Narrow"/>
                <w:sz w:val="20"/>
              </w:rPr>
            </w:pPr>
            <w:r w:rsidRPr="007743A8">
              <w:rPr>
                <w:rFonts w:ascii="Arial Narrow" w:hAnsi="Arial Narrow"/>
                <w:sz w:val="20"/>
              </w:rPr>
              <w:t>$6,396.58</w:t>
            </w:r>
          </w:p>
        </w:tc>
        <w:tc>
          <w:tcPr>
            <w:tcW w:w="767" w:type="pct"/>
            <w:tcBorders>
              <w:top w:val="single" w:sz="4" w:space="0" w:color="auto"/>
              <w:left w:val="single" w:sz="4" w:space="0" w:color="auto"/>
              <w:bottom w:val="single" w:sz="4" w:space="0" w:color="auto"/>
              <w:right w:val="single" w:sz="4" w:space="0" w:color="auto"/>
            </w:tcBorders>
            <w:vAlign w:val="center"/>
          </w:tcPr>
          <w:p w14:paraId="2957ED86" w14:textId="77777777" w:rsidR="00AD3739" w:rsidRPr="007743A8" w:rsidRDefault="00AD3739" w:rsidP="00DF497D">
            <w:pPr>
              <w:jc w:val="center"/>
              <w:rPr>
                <w:rFonts w:ascii="Arial Narrow" w:hAnsi="Arial Narrow"/>
                <w:sz w:val="20"/>
              </w:rPr>
            </w:pPr>
            <w:r w:rsidRPr="007743A8">
              <w:rPr>
                <w:rFonts w:ascii="Arial Narrow" w:hAnsi="Arial Narrow"/>
                <w:sz w:val="20"/>
              </w:rPr>
              <w:t>0.0697</w:t>
            </w:r>
          </w:p>
        </w:tc>
        <w:tc>
          <w:tcPr>
            <w:tcW w:w="1226" w:type="pct"/>
            <w:tcBorders>
              <w:top w:val="single" w:sz="4" w:space="0" w:color="auto"/>
              <w:left w:val="single" w:sz="4" w:space="0" w:color="auto"/>
              <w:bottom w:val="single" w:sz="4" w:space="0" w:color="auto"/>
              <w:right w:val="single" w:sz="4" w:space="0" w:color="auto"/>
            </w:tcBorders>
            <w:vAlign w:val="center"/>
          </w:tcPr>
          <w:p w14:paraId="2D3FF8E9" w14:textId="77777777" w:rsidR="00AD3739" w:rsidRPr="007743A8" w:rsidRDefault="00AD3739" w:rsidP="00DF497D">
            <w:pPr>
              <w:jc w:val="center"/>
              <w:rPr>
                <w:rFonts w:ascii="Arial Narrow" w:hAnsi="Arial Narrow"/>
                <w:sz w:val="20"/>
              </w:rPr>
            </w:pPr>
            <w:r w:rsidRPr="007743A8">
              <w:rPr>
                <w:rFonts w:ascii="Arial Narrow" w:hAnsi="Arial Narrow"/>
                <w:sz w:val="20"/>
              </w:rPr>
              <w:t>$91,818.79</w:t>
            </w:r>
          </w:p>
        </w:tc>
      </w:tr>
      <w:tr w:rsidR="00AD3739" w:rsidRPr="007743A8" w14:paraId="407A7631" w14:textId="77777777" w:rsidTr="00E71C9F">
        <w:tc>
          <w:tcPr>
            <w:tcW w:w="2239" w:type="pct"/>
            <w:tcBorders>
              <w:top w:val="single" w:sz="4" w:space="0" w:color="auto"/>
              <w:left w:val="single" w:sz="4" w:space="0" w:color="auto"/>
              <w:bottom w:val="single" w:sz="4" w:space="0" w:color="auto"/>
              <w:right w:val="single" w:sz="4" w:space="0" w:color="auto"/>
            </w:tcBorders>
            <w:vAlign w:val="center"/>
          </w:tcPr>
          <w:p w14:paraId="583FFC9F" w14:textId="77777777" w:rsidR="00AD3739" w:rsidRPr="007743A8" w:rsidRDefault="00AD3739" w:rsidP="00DF497D">
            <w:pPr>
              <w:rPr>
                <w:rFonts w:ascii="Arial Narrow" w:hAnsi="Arial Narrow"/>
                <w:sz w:val="20"/>
              </w:rPr>
            </w:pPr>
            <w:r w:rsidRPr="007743A8">
              <w:rPr>
                <w:rFonts w:ascii="Arial Narrow" w:hAnsi="Arial Narrow"/>
                <w:sz w:val="20"/>
              </w:rPr>
              <w:t>10% profit margin (lower cost) for genetic test</w:t>
            </w:r>
          </w:p>
        </w:tc>
        <w:tc>
          <w:tcPr>
            <w:tcW w:w="768" w:type="pct"/>
            <w:tcBorders>
              <w:top w:val="single" w:sz="4" w:space="0" w:color="auto"/>
              <w:left w:val="single" w:sz="4" w:space="0" w:color="auto"/>
              <w:bottom w:val="single" w:sz="4" w:space="0" w:color="auto"/>
              <w:right w:val="single" w:sz="4" w:space="0" w:color="auto"/>
            </w:tcBorders>
            <w:vAlign w:val="center"/>
          </w:tcPr>
          <w:p w14:paraId="29CB31A9" w14:textId="77777777" w:rsidR="00AD3739" w:rsidRPr="007743A8" w:rsidRDefault="00AD3739" w:rsidP="00DF497D">
            <w:pPr>
              <w:jc w:val="center"/>
              <w:rPr>
                <w:rFonts w:ascii="Arial Narrow" w:hAnsi="Arial Narrow"/>
                <w:sz w:val="20"/>
              </w:rPr>
            </w:pPr>
            <w:r w:rsidRPr="007743A8">
              <w:rPr>
                <w:rFonts w:ascii="Arial Narrow" w:hAnsi="Arial Narrow"/>
                <w:sz w:val="20"/>
              </w:rPr>
              <w:t>$3,014.23</w:t>
            </w:r>
          </w:p>
        </w:tc>
        <w:tc>
          <w:tcPr>
            <w:tcW w:w="767" w:type="pct"/>
            <w:tcBorders>
              <w:top w:val="single" w:sz="4" w:space="0" w:color="auto"/>
              <w:left w:val="single" w:sz="4" w:space="0" w:color="auto"/>
              <w:bottom w:val="single" w:sz="4" w:space="0" w:color="auto"/>
              <w:right w:val="single" w:sz="4" w:space="0" w:color="auto"/>
            </w:tcBorders>
            <w:vAlign w:val="center"/>
          </w:tcPr>
          <w:p w14:paraId="733CE853" w14:textId="77777777" w:rsidR="00AD3739" w:rsidRPr="007743A8" w:rsidRDefault="00AD3739" w:rsidP="00DF497D">
            <w:pPr>
              <w:jc w:val="center"/>
              <w:rPr>
                <w:rFonts w:ascii="Arial Narrow" w:hAnsi="Arial Narrow"/>
                <w:sz w:val="20"/>
              </w:rPr>
            </w:pPr>
            <w:r w:rsidRPr="007743A8">
              <w:rPr>
                <w:rFonts w:ascii="Arial Narrow" w:hAnsi="Arial Narrow"/>
                <w:sz w:val="20"/>
              </w:rPr>
              <w:t>0.0195</w:t>
            </w:r>
          </w:p>
        </w:tc>
        <w:tc>
          <w:tcPr>
            <w:tcW w:w="1226" w:type="pct"/>
            <w:tcBorders>
              <w:top w:val="single" w:sz="4" w:space="0" w:color="auto"/>
              <w:left w:val="single" w:sz="4" w:space="0" w:color="auto"/>
              <w:bottom w:val="single" w:sz="4" w:space="0" w:color="auto"/>
              <w:right w:val="single" w:sz="4" w:space="0" w:color="auto"/>
            </w:tcBorders>
            <w:vAlign w:val="center"/>
          </w:tcPr>
          <w:p w14:paraId="02A9A062" w14:textId="77777777" w:rsidR="00AD3739" w:rsidRPr="007743A8" w:rsidRDefault="00AD3739" w:rsidP="00DF497D">
            <w:pPr>
              <w:jc w:val="center"/>
              <w:rPr>
                <w:rFonts w:ascii="Arial Narrow" w:hAnsi="Arial Narrow"/>
                <w:sz w:val="20"/>
              </w:rPr>
            </w:pPr>
            <w:r w:rsidRPr="007743A8">
              <w:rPr>
                <w:rFonts w:ascii="Arial Narrow" w:hAnsi="Arial Narrow"/>
                <w:sz w:val="20"/>
              </w:rPr>
              <w:t>$154,924.46</w:t>
            </w:r>
          </w:p>
        </w:tc>
      </w:tr>
      <w:tr w:rsidR="00AD3739" w:rsidRPr="007743A8" w14:paraId="0271445E" w14:textId="77777777" w:rsidTr="00E71C9F">
        <w:tc>
          <w:tcPr>
            <w:tcW w:w="2239" w:type="pct"/>
            <w:tcBorders>
              <w:top w:val="single" w:sz="4" w:space="0" w:color="auto"/>
              <w:left w:val="single" w:sz="4" w:space="0" w:color="auto"/>
              <w:bottom w:val="single" w:sz="4" w:space="0" w:color="auto"/>
              <w:right w:val="single" w:sz="4" w:space="0" w:color="auto"/>
            </w:tcBorders>
            <w:vAlign w:val="center"/>
          </w:tcPr>
          <w:p w14:paraId="3514FE2F" w14:textId="77777777" w:rsidR="00AD3739" w:rsidRPr="007743A8" w:rsidRDefault="00AD3739" w:rsidP="00DF497D">
            <w:pPr>
              <w:rPr>
                <w:rFonts w:ascii="Arial Narrow" w:hAnsi="Arial Narrow"/>
                <w:sz w:val="20"/>
              </w:rPr>
            </w:pPr>
            <w:r w:rsidRPr="007743A8">
              <w:rPr>
                <w:rFonts w:ascii="Arial Narrow" w:hAnsi="Arial Narrow"/>
                <w:sz w:val="20"/>
              </w:rPr>
              <w:t xml:space="preserve">No discounting applied </w:t>
            </w:r>
          </w:p>
        </w:tc>
        <w:tc>
          <w:tcPr>
            <w:tcW w:w="768" w:type="pct"/>
            <w:tcBorders>
              <w:top w:val="single" w:sz="4" w:space="0" w:color="auto"/>
              <w:left w:val="single" w:sz="4" w:space="0" w:color="auto"/>
              <w:bottom w:val="single" w:sz="4" w:space="0" w:color="auto"/>
              <w:right w:val="single" w:sz="4" w:space="0" w:color="auto"/>
            </w:tcBorders>
            <w:vAlign w:val="center"/>
          </w:tcPr>
          <w:p w14:paraId="01682D64" w14:textId="77777777" w:rsidR="00AD3739" w:rsidRPr="007743A8" w:rsidRDefault="00AD3739" w:rsidP="00DF497D">
            <w:pPr>
              <w:jc w:val="center"/>
              <w:rPr>
                <w:rFonts w:ascii="Arial Narrow" w:hAnsi="Arial Narrow"/>
                <w:sz w:val="20"/>
              </w:rPr>
            </w:pPr>
            <w:r w:rsidRPr="007743A8">
              <w:rPr>
                <w:rFonts w:ascii="Arial Narrow" w:hAnsi="Arial Narrow"/>
                <w:sz w:val="20"/>
              </w:rPr>
              <w:t>$2,664.54</w:t>
            </w:r>
          </w:p>
        </w:tc>
        <w:tc>
          <w:tcPr>
            <w:tcW w:w="767" w:type="pct"/>
            <w:tcBorders>
              <w:top w:val="single" w:sz="4" w:space="0" w:color="auto"/>
              <w:left w:val="single" w:sz="4" w:space="0" w:color="auto"/>
              <w:bottom w:val="single" w:sz="4" w:space="0" w:color="auto"/>
              <w:right w:val="single" w:sz="4" w:space="0" w:color="auto"/>
            </w:tcBorders>
            <w:vAlign w:val="center"/>
          </w:tcPr>
          <w:p w14:paraId="14A2006A" w14:textId="77777777" w:rsidR="00AD3739" w:rsidRPr="007743A8" w:rsidRDefault="00AD3739" w:rsidP="00DF497D">
            <w:pPr>
              <w:jc w:val="center"/>
              <w:rPr>
                <w:rFonts w:ascii="Arial Narrow" w:hAnsi="Arial Narrow"/>
                <w:sz w:val="20"/>
              </w:rPr>
            </w:pPr>
            <w:r w:rsidRPr="007743A8">
              <w:rPr>
                <w:rFonts w:ascii="Arial Narrow" w:hAnsi="Arial Narrow"/>
                <w:sz w:val="20"/>
              </w:rPr>
              <w:t>0.0658</w:t>
            </w:r>
          </w:p>
        </w:tc>
        <w:tc>
          <w:tcPr>
            <w:tcW w:w="1226" w:type="pct"/>
            <w:tcBorders>
              <w:top w:val="single" w:sz="4" w:space="0" w:color="auto"/>
              <w:left w:val="single" w:sz="4" w:space="0" w:color="auto"/>
              <w:bottom w:val="single" w:sz="4" w:space="0" w:color="auto"/>
              <w:right w:val="single" w:sz="4" w:space="0" w:color="auto"/>
            </w:tcBorders>
            <w:vAlign w:val="center"/>
          </w:tcPr>
          <w:p w14:paraId="25F6A6FF" w14:textId="77777777" w:rsidR="00AD3739" w:rsidRPr="007743A8" w:rsidRDefault="00AD3739" w:rsidP="00DF497D">
            <w:pPr>
              <w:jc w:val="center"/>
              <w:rPr>
                <w:rFonts w:ascii="Arial Narrow" w:hAnsi="Arial Narrow"/>
                <w:sz w:val="20"/>
              </w:rPr>
            </w:pPr>
            <w:r w:rsidRPr="007743A8">
              <w:rPr>
                <w:rFonts w:ascii="Arial Narrow" w:hAnsi="Arial Narrow"/>
                <w:sz w:val="20"/>
              </w:rPr>
              <w:t>$40,522.93</w:t>
            </w:r>
          </w:p>
        </w:tc>
      </w:tr>
      <w:tr w:rsidR="00AD3739" w:rsidRPr="007743A8" w14:paraId="0AB5B68C" w14:textId="77777777" w:rsidTr="00E71C9F">
        <w:tc>
          <w:tcPr>
            <w:tcW w:w="2239" w:type="pct"/>
            <w:tcBorders>
              <w:top w:val="single" w:sz="4" w:space="0" w:color="auto"/>
              <w:left w:val="single" w:sz="4" w:space="0" w:color="auto"/>
              <w:bottom w:val="single" w:sz="4" w:space="0" w:color="auto"/>
              <w:right w:val="single" w:sz="4" w:space="0" w:color="auto"/>
            </w:tcBorders>
            <w:vAlign w:val="center"/>
          </w:tcPr>
          <w:p w14:paraId="4E587D10" w14:textId="77777777" w:rsidR="00AD3739" w:rsidRPr="007743A8" w:rsidRDefault="00E71C9F" w:rsidP="00DF497D">
            <w:pPr>
              <w:rPr>
                <w:rFonts w:ascii="Arial Narrow" w:hAnsi="Arial Narrow"/>
                <w:sz w:val="20"/>
                <w:vertAlign w:val="superscript"/>
              </w:rPr>
            </w:pPr>
            <w:r>
              <w:rPr>
                <w:rFonts w:ascii="Arial Narrow" w:hAnsi="Arial Narrow"/>
                <w:sz w:val="20"/>
              </w:rPr>
              <w:t>Age-</w:t>
            </w:r>
            <w:r w:rsidR="00AD3739" w:rsidRPr="007743A8">
              <w:rPr>
                <w:rFonts w:ascii="Arial Narrow" w:hAnsi="Arial Narrow"/>
                <w:sz w:val="20"/>
              </w:rPr>
              <w:t>dependent relative risk</w:t>
            </w:r>
            <w:r w:rsidR="00AD3739" w:rsidRPr="007743A8">
              <w:rPr>
                <w:rFonts w:ascii="Arial Narrow" w:hAnsi="Arial Narrow"/>
                <w:sz w:val="20"/>
                <w:vertAlign w:val="superscript"/>
              </w:rPr>
              <w:t>1</w:t>
            </w:r>
          </w:p>
        </w:tc>
        <w:tc>
          <w:tcPr>
            <w:tcW w:w="768" w:type="pct"/>
            <w:tcBorders>
              <w:top w:val="single" w:sz="4" w:space="0" w:color="auto"/>
              <w:left w:val="single" w:sz="4" w:space="0" w:color="auto"/>
              <w:bottom w:val="single" w:sz="4" w:space="0" w:color="auto"/>
              <w:right w:val="single" w:sz="4" w:space="0" w:color="auto"/>
            </w:tcBorders>
            <w:vAlign w:val="center"/>
          </w:tcPr>
          <w:p w14:paraId="33C2A5C5" w14:textId="77777777" w:rsidR="00AD3739" w:rsidRPr="007743A8" w:rsidRDefault="00AD3739" w:rsidP="00DF497D">
            <w:pPr>
              <w:jc w:val="center"/>
              <w:rPr>
                <w:rFonts w:ascii="Arial Narrow" w:hAnsi="Arial Narrow"/>
                <w:sz w:val="20"/>
              </w:rPr>
            </w:pPr>
            <w:r w:rsidRPr="007743A8">
              <w:rPr>
                <w:rFonts w:ascii="Arial Narrow" w:hAnsi="Arial Narrow"/>
                <w:sz w:val="20"/>
              </w:rPr>
              <w:t>$3,185.46</w:t>
            </w:r>
          </w:p>
        </w:tc>
        <w:tc>
          <w:tcPr>
            <w:tcW w:w="767" w:type="pct"/>
            <w:tcBorders>
              <w:top w:val="single" w:sz="4" w:space="0" w:color="auto"/>
              <w:left w:val="single" w:sz="4" w:space="0" w:color="auto"/>
              <w:bottom w:val="single" w:sz="4" w:space="0" w:color="auto"/>
              <w:right w:val="single" w:sz="4" w:space="0" w:color="auto"/>
            </w:tcBorders>
            <w:vAlign w:val="center"/>
          </w:tcPr>
          <w:p w14:paraId="4D5E4C49" w14:textId="77777777" w:rsidR="00AD3739" w:rsidRPr="007743A8" w:rsidRDefault="00AD3739" w:rsidP="00DF497D">
            <w:pPr>
              <w:jc w:val="center"/>
              <w:rPr>
                <w:rFonts w:ascii="Arial Narrow" w:hAnsi="Arial Narrow"/>
                <w:sz w:val="20"/>
              </w:rPr>
            </w:pPr>
            <w:r w:rsidRPr="007743A8">
              <w:rPr>
                <w:rFonts w:ascii="Arial Narrow" w:hAnsi="Arial Narrow"/>
                <w:sz w:val="20"/>
              </w:rPr>
              <w:t>0.0142</w:t>
            </w:r>
          </w:p>
        </w:tc>
        <w:tc>
          <w:tcPr>
            <w:tcW w:w="1226" w:type="pct"/>
            <w:tcBorders>
              <w:top w:val="single" w:sz="4" w:space="0" w:color="auto"/>
              <w:left w:val="single" w:sz="4" w:space="0" w:color="auto"/>
              <w:bottom w:val="single" w:sz="4" w:space="0" w:color="auto"/>
              <w:right w:val="single" w:sz="4" w:space="0" w:color="auto"/>
            </w:tcBorders>
            <w:vAlign w:val="center"/>
          </w:tcPr>
          <w:p w14:paraId="35A15E91" w14:textId="77777777" w:rsidR="00AD3739" w:rsidRPr="007743A8" w:rsidRDefault="00AD3739" w:rsidP="00DF497D">
            <w:pPr>
              <w:jc w:val="center"/>
              <w:rPr>
                <w:rFonts w:ascii="Arial Narrow" w:hAnsi="Arial Narrow"/>
                <w:sz w:val="20"/>
              </w:rPr>
            </w:pPr>
            <w:r w:rsidRPr="007743A8">
              <w:rPr>
                <w:rFonts w:ascii="Arial Narrow" w:hAnsi="Arial Narrow"/>
                <w:sz w:val="20"/>
              </w:rPr>
              <w:t>$223,860.68</w:t>
            </w:r>
          </w:p>
        </w:tc>
      </w:tr>
      <w:tr w:rsidR="00AD3739" w:rsidRPr="007743A8" w14:paraId="091EB72C" w14:textId="77777777" w:rsidTr="00E71C9F">
        <w:tc>
          <w:tcPr>
            <w:tcW w:w="2239" w:type="pct"/>
            <w:tcBorders>
              <w:top w:val="single" w:sz="4" w:space="0" w:color="auto"/>
              <w:left w:val="single" w:sz="4" w:space="0" w:color="auto"/>
              <w:bottom w:val="single" w:sz="4" w:space="0" w:color="auto"/>
              <w:right w:val="single" w:sz="4" w:space="0" w:color="auto"/>
            </w:tcBorders>
            <w:vAlign w:val="center"/>
          </w:tcPr>
          <w:p w14:paraId="7828D27A" w14:textId="77777777" w:rsidR="00AD3739" w:rsidRPr="007743A8" w:rsidRDefault="00A8248C" w:rsidP="00DF497D">
            <w:pPr>
              <w:rPr>
                <w:rFonts w:ascii="Arial Narrow" w:hAnsi="Arial Narrow"/>
                <w:sz w:val="20"/>
              </w:rPr>
            </w:pPr>
            <w:r>
              <w:rPr>
                <w:rFonts w:ascii="Arial Narrow" w:hAnsi="Arial Narrow"/>
                <w:sz w:val="20"/>
              </w:rPr>
              <w:t>Starting age = 30</w:t>
            </w:r>
          </w:p>
        </w:tc>
        <w:tc>
          <w:tcPr>
            <w:tcW w:w="768" w:type="pct"/>
            <w:tcBorders>
              <w:top w:val="single" w:sz="4" w:space="0" w:color="auto"/>
              <w:left w:val="single" w:sz="4" w:space="0" w:color="auto"/>
              <w:bottom w:val="single" w:sz="4" w:space="0" w:color="auto"/>
              <w:right w:val="single" w:sz="4" w:space="0" w:color="auto"/>
            </w:tcBorders>
            <w:vAlign w:val="center"/>
          </w:tcPr>
          <w:p w14:paraId="511F864F" w14:textId="77777777" w:rsidR="00AD3739" w:rsidRPr="007743A8" w:rsidRDefault="00AD3739" w:rsidP="00DF497D">
            <w:pPr>
              <w:jc w:val="center"/>
              <w:rPr>
                <w:rFonts w:ascii="Arial Narrow" w:hAnsi="Arial Narrow"/>
                <w:sz w:val="20"/>
              </w:rPr>
            </w:pPr>
            <w:r w:rsidRPr="007743A8">
              <w:rPr>
                <w:rFonts w:ascii="Arial Narrow" w:hAnsi="Arial Narrow"/>
                <w:sz w:val="20"/>
              </w:rPr>
              <w:t>$3,172.51</w:t>
            </w:r>
          </w:p>
        </w:tc>
        <w:tc>
          <w:tcPr>
            <w:tcW w:w="767" w:type="pct"/>
            <w:tcBorders>
              <w:top w:val="single" w:sz="4" w:space="0" w:color="auto"/>
              <w:left w:val="single" w:sz="4" w:space="0" w:color="auto"/>
              <w:bottom w:val="single" w:sz="4" w:space="0" w:color="auto"/>
              <w:right w:val="single" w:sz="4" w:space="0" w:color="auto"/>
            </w:tcBorders>
            <w:vAlign w:val="center"/>
          </w:tcPr>
          <w:p w14:paraId="4170656F" w14:textId="77777777" w:rsidR="00AD3739" w:rsidRPr="007743A8" w:rsidRDefault="00AD3739" w:rsidP="00DF497D">
            <w:pPr>
              <w:jc w:val="center"/>
              <w:rPr>
                <w:rFonts w:ascii="Arial Narrow" w:hAnsi="Arial Narrow"/>
                <w:sz w:val="20"/>
              </w:rPr>
            </w:pPr>
            <w:r w:rsidRPr="007743A8">
              <w:rPr>
                <w:rFonts w:ascii="Arial Narrow" w:hAnsi="Arial Narrow"/>
                <w:sz w:val="20"/>
              </w:rPr>
              <w:t>0.0153</w:t>
            </w:r>
          </w:p>
        </w:tc>
        <w:tc>
          <w:tcPr>
            <w:tcW w:w="1226" w:type="pct"/>
            <w:tcBorders>
              <w:top w:val="single" w:sz="4" w:space="0" w:color="auto"/>
              <w:left w:val="single" w:sz="4" w:space="0" w:color="auto"/>
              <w:bottom w:val="single" w:sz="4" w:space="0" w:color="auto"/>
              <w:right w:val="single" w:sz="4" w:space="0" w:color="auto"/>
            </w:tcBorders>
            <w:vAlign w:val="center"/>
          </w:tcPr>
          <w:p w14:paraId="0FF019E9" w14:textId="77777777" w:rsidR="00AD3739" w:rsidRPr="007743A8" w:rsidRDefault="00AD3739" w:rsidP="00DF497D">
            <w:pPr>
              <w:jc w:val="center"/>
              <w:rPr>
                <w:rFonts w:ascii="Arial Narrow" w:hAnsi="Arial Narrow"/>
                <w:sz w:val="20"/>
              </w:rPr>
            </w:pPr>
            <w:r w:rsidRPr="007743A8">
              <w:rPr>
                <w:rFonts w:ascii="Arial Narrow" w:hAnsi="Arial Narrow"/>
                <w:sz w:val="20"/>
              </w:rPr>
              <w:t>$207,790.04</w:t>
            </w:r>
          </w:p>
        </w:tc>
      </w:tr>
      <w:tr w:rsidR="00AD3739" w:rsidRPr="007743A8" w14:paraId="2C3D138B" w14:textId="77777777" w:rsidTr="00E71C9F">
        <w:tc>
          <w:tcPr>
            <w:tcW w:w="2239" w:type="pct"/>
            <w:tcBorders>
              <w:top w:val="single" w:sz="4" w:space="0" w:color="auto"/>
              <w:left w:val="single" w:sz="4" w:space="0" w:color="auto"/>
              <w:bottom w:val="single" w:sz="4" w:space="0" w:color="auto"/>
              <w:right w:val="single" w:sz="4" w:space="0" w:color="auto"/>
            </w:tcBorders>
            <w:vAlign w:val="center"/>
          </w:tcPr>
          <w:p w14:paraId="7A65B6F2" w14:textId="77777777" w:rsidR="00AD3739" w:rsidRPr="007743A8" w:rsidRDefault="00AD3739" w:rsidP="00A8248C">
            <w:pPr>
              <w:rPr>
                <w:rFonts w:ascii="Arial Narrow" w:hAnsi="Arial Narrow"/>
                <w:sz w:val="20"/>
              </w:rPr>
            </w:pPr>
            <w:r w:rsidRPr="007743A8">
              <w:rPr>
                <w:rFonts w:ascii="Arial Narrow" w:hAnsi="Arial Narrow"/>
                <w:sz w:val="20"/>
              </w:rPr>
              <w:t>Starting age = 40</w:t>
            </w:r>
          </w:p>
        </w:tc>
        <w:tc>
          <w:tcPr>
            <w:tcW w:w="768" w:type="pct"/>
            <w:tcBorders>
              <w:top w:val="single" w:sz="4" w:space="0" w:color="auto"/>
              <w:left w:val="single" w:sz="4" w:space="0" w:color="auto"/>
              <w:bottom w:val="single" w:sz="4" w:space="0" w:color="auto"/>
              <w:right w:val="single" w:sz="4" w:space="0" w:color="auto"/>
            </w:tcBorders>
            <w:vAlign w:val="center"/>
          </w:tcPr>
          <w:p w14:paraId="2B286950" w14:textId="77777777" w:rsidR="00AD3739" w:rsidRPr="007743A8" w:rsidRDefault="00AD3739" w:rsidP="00DF497D">
            <w:pPr>
              <w:jc w:val="center"/>
              <w:rPr>
                <w:rFonts w:ascii="Arial Narrow" w:hAnsi="Arial Narrow"/>
                <w:sz w:val="20"/>
              </w:rPr>
            </w:pPr>
            <w:r w:rsidRPr="007743A8">
              <w:rPr>
                <w:rFonts w:ascii="Arial Narrow" w:hAnsi="Arial Narrow"/>
                <w:sz w:val="20"/>
              </w:rPr>
              <w:t>$3,111.32</w:t>
            </w:r>
          </w:p>
        </w:tc>
        <w:tc>
          <w:tcPr>
            <w:tcW w:w="767" w:type="pct"/>
            <w:tcBorders>
              <w:top w:val="single" w:sz="4" w:space="0" w:color="auto"/>
              <w:left w:val="single" w:sz="4" w:space="0" w:color="auto"/>
              <w:bottom w:val="single" w:sz="4" w:space="0" w:color="auto"/>
              <w:right w:val="single" w:sz="4" w:space="0" w:color="auto"/>
            </w:tcBorders>
            <w:vAlign w:val="center"/>
          </w:tcPr>
          <w:p w14:paraId="485CDE3B" w14:textId="77777777" w:rsidR="00AD3739" w:rsidRPr="007743A8" w:rsidRDefault="00AD3739" w:rsidP="00DF497D">
            <w:pPr>
              <w:jc w:val="center"/>
              <w:rPr>
                <w:rFonts w:ascii="Arial Narrow" w:hAnsi="Arial Narrow"/>
                <w:sz w:val="20"/>
              </w:rPr>
            </w:pPr>
            <w:r w:rsidRPr="007743A8">
              <w:rPr>
                <w:rFonts w:ascii="Arial Narrow" w:hAnsi="Arial Narrow"/>
                <w:sz w:val="20"/>
              </w:rPr>
              <w:t>0.0221</w:t>
            </w:r>
          </w:p>
        </w:tc>
        <w:tc>
          <w:tcPr>
            <w:tcW w:w="1226" w:type="pct"/>
            <w:tcBorders>
              <w:top w:val="single" w:sz="4" w:space="0" w:color="auto"/>
              <w:left w:val="single" w:sz="4" w:space="0" w:color="auto"/>
              <w:bottom w:val="single" w:sz="4" w:space="0" w:color="auto"/>
              <w:right w:val="single" w:sz="4" w:space="0" w:color="auto"/>
            </w:tcBorders>
            <w:vAlign w:val="center"/>
          </w:tcPr>
          <w:p w14:paraId="2DC651CE" w14:textId="77777777" w:rsidR="00AD3739" w:rsidRPr="007743A8" w:rsidRDefault="00AD3739" w:rsidP="00DF497D">
            <w:pPr>
              <w:jc w:val="center"/>
              <w:rPr>
                <w:rFonts w:ascii="Arial Narrow" w:hAnsi="Arial Narrow"/>
                <w:sz w:val="20"/>
              </w:rPr>
            </w:pPr>
            <w:r w:rsidRPr="007743A8">
              <w:rPr>
                <w:rFonts w:ascii="Arial Narrow" w:hAnsi="Arial Narrow"/>
                <w:sz w:val="20"/>
              </w:rPr>
              <w:t>$140,569.41</w:t>
            </w:r>
          </w:p>
        </w:tc>
      </w:tr>
      <w:tr w:rsidR="00AD3739" w:rsidRPr="007743A8" w14:paraId="5193628C" w14:textId="77777777" w:rsidTr="00E71C9F">
        <w:tc>
          <w:tcPr>
            <w:tcW w:w="2239" w:type="pct"/>
            <w:tcBorders>
              <w:top w:val="single" w:sz="4" w:space="0" w:color="auto"/>
              <w:left w:val="single" w:sz="4" w:space="0" w:color="auto"/>
              <w:bottom w:val="single" w:sz="4" w:space="0" w:color="auto"/>
              <w:right w:val="single" w:sz="4" w:space="0" w:color="auto"/>
            </w:tcBorders>
            <w:vAlign w:val="center"/>
          </w:tcPr>
          <w:p w14:paraId="3E238ED1" w14:textId="77777777" w:rsidR="00AD3739" w:rsidRPr="007743A8" w:rsidRDefault="00AD3739" w:rsidP="00A8248C">
            <w:pPr>
              <w:rPr>
                <w:rFonts w:ascii="Arial Narrow" w:hAnsi="Arial Narrow"/>
                <w:sz w:val="20"/>
              </w:rPr>
            </w:pPr>
            <w:r w:rsidRPr="007743A8">
              <w:rPr>
                <w:rFonts w:ascii="Arial Narrow" w:hAnsi="Arial Narrow"/>
                <w:sz w:val="20"/>
              </w:rPr>
              <w:t>Starting age = 50</w:t>
            </w:r>
          </w:p>
        </w:tc>
        <w:tc>
          <w:tcPr>
            <w:tcW w:w="768" w:type="pct"/>
            <w:tcBorders>
              <w:top w:val="single" w:sz="4" w:space="0" w:color="auto"/>
              <w:left w:val="single" w:sz="4" w:space="0" w:color="auto"/>
              <w:bottom w:val="single" w:sz="4" w:space="0" w:color="auto"/>
              <w:right w:val="single" w:sz="4" w:space="0" w:color="auto"/>
            </w:tcBorders>
            <w:vAlign w:val="center"/>
          </w:tcPr>
          <w:p w14:paraId="752AC12A" w14:textId="77777777" w:rsidR="00AD3739" w:rsidRPr="007743A8" w:rsidRDefault="00AD3739" w:rsidP="00DF497D">
            <w:pPr>
              <w:jc w:val="center"/>
              <w:rPr>
                <w:rFonts w:ascii="Arial Narrow" w:hAnsi="Arial Narrow"/>
                <w:sz w:val="20"/>
              </w:rPr>
            </w:pPr>
            <w:r w:rsidRPr="007743A8">
              <w:rPr>
                <w:rFonts w:ascii="Arial Narrow" w:hAnsi="Arial Narrow"/>
                <w:sz w:val="20"/>
              </w:rPr>
              <w:t>$3,048.39</w:t>
            </w:r>
          </w:p>
        </w:tc>
        <w:tc>
          <w:tcPr>
            <w:tcW w:w="767" w:type="pct"/>
            <w:tcBorders>
              <w:top w:val="single" w:sz="4" w:space="0" w:color="auto"/>
              <w:left w:val="single" w:sz="4" w:space="0" w:color="auto"/>
              <w:bottom w:val="single" w:sz="4" w:space="0" w:color="auto"/>
              <w:right w:val="single" w:sz="4" w:space="0" w:color="auto"/>
            </w:tcBorders>
            <w:vAlign w:val="center"/>
          </w:tcPr>
          <w:p w14:paraId="04414EEA" w14:textId="77777777" w:rsidR="00AD3739" w:rsidRPr="007743A8" w:rsidRDefault="00AD3739" w:rsidP="00DF497D">
            <w:pPr>
              <w:jc w:val="center"/>
              <w:rPr>
                <w:rFonts w:ascii="Arial Narrow" w:hAnsi="Arial Narrow"/>
                <w:sz w:val="20"/>
              </w:rPr>
            </w:pPr>
            <w:r w:rsidRPr="007743A8">
              <w:rPr>
                <w:rFonts w:ascii="Arial Narrow" w:hAnsi="Arial Narrow"/>
                <w:sz w:val="20"/>
              </w:rPr>
              <w:t>0.0243</w:t>
            </w:r>
          </w:p>
        </w:tc>
        <w:tc>
          <w:tcPr>
            <w:tcW w:w="1226" w:type="pct"/>
            <w:tcBorders>
              <w:top w:val="single" w:sz="4" w:space="0" w:color="auto"/>
              <w:left w:val="single" w:sz="4" w:space="0" w:color="auto"/>
              <w:bottom w:val="single" w:sz="4" w:space="0" w:color="auto"/>
              <w:right w:val="single" w:sz="4" w:space="0" w:color="auto"/>
            </w:tcBorders>
            <w:vAlign w:val="center"/>
          </w:tcPr>
          <w:p w14:paraId="587D14CA" w14:textId="77777777" w:rsidR="00AD3739" w:rsidRPr="007743A8" w:rsidRDefault="00AD3739" w:rsidP="00DF497D">
            <w:pPr>
              <w:jc w:val="center"/>
              <w:rPr>
                <w:rFonts w:ascii="Arial Narrow" w:hAnsi="Arial Narrow"/>
                <w:sz w:val="20"/>
              </w:rPr>
            </w:pPr>
            <w:r w:rsidRPr="007743A8">
              <w:rPr>
                <w:rFonts w:ascii="Arial Narrow" w:hAnsi="Arial Narrow"/>
                <w:sz w:val="20"/>
              </w:rPr>
              <w:t>$125,557.83</w:t>
            </w:r>
          </w:p>
        </w:tc>
      </w:tr>
      <w:tr w:rsidR="00AD3739" w:rsidRPr="007743A8" w14:paraId="7DD5327C" w14:textId="77777777" w:rsidTr="00E71C9F">
        <w:tc>
          <w:tcPr>
            <w:tcW w:w="2239" w:type="pct"/>
            <w:tcBorders>
              <w:top w:val="single" w:sz="4" w:space="0" w:color="auto"/>
              <w:left w:val="single" w:sz="4" w:space="0" w:color="auto"/>
              <w:bottom w:val="single" w:sz="4" w:space="0" w:color="auto"/>
              <w:right w:val="single" w:sz="4" w:space="0" w:color="auto"/>
            </w:tcBorders>
            <w:vAlign w:val="center"/>
          </w:tcPr>
          <w:p w14:paraId="1E38748C" w14:textId="77777777" w:rsidR="00AD3739" w:rsidRPr="007743A8" w:rsidRDefault="00AD3739" w:rsidP="00DF497D">
            <w:pPr>
              <w:rPr>
                <w:rFonts w:ascii="Arial Narrow" w:hAnsi="Arial Narrow"/>
                <w:sz w:val="20"/>
              </w:rPr>
            </w:pPr>
            <w:r w:rsidRPr="007743A8">
              <w:rPr>
                <w:rFonts w:ascii="Arial Narrow" w:hAnsi="Arial Narrow"/>
                <w:sz w:val="20"/>
              </w:rPr>
              <w:t>Starting age = 30, Lifetime RR = 4.8</w:t>
            </w:r>
            <w:r w:rsidRPr="007743A8">
              <w:rPr>
                <w:rFonts w:ascii="Arial Narrow" w:hAnsi="Arial Narrow"/>
                <w:sz w:val="20"/>
                <w:vertAlign w:val="superscript"/>
              </w:rPr>
              <w:t>1</w:t>
            </w:r>
          </w:p>
        </w:tc>
        <w:tc>
          <w:tcPr>
            <w:tcW w:w="768" w:type="pct"/>
            <w:tcBorders>
              <w:top w:val="single" w:sz="4" w:space="0" w:color="auto"/>
              <w:left w:val="single" w:sz="4" w:space="0" w:color="auto"/>
              <w:bottom w:val="single" w:sz="4" w:space="0" w:color="auto"/>
              <w:right w:val="single" w:sz="4" w:space="0" w:color="auto"/>
            </w:tcBorders>
            <w:vAlign w:val="center"/>
          </w:tcPr>
          <w:p w14:paraId="76DBD09C" w14:textId="77777777" w:rsidR="00AD3739" w:rsidRPr="007743A8" w:rsidRDefault="00AD3739" w:rsidP="00DF497D">
            <w:pPr>
              <w:jc w:val="center"/>
              <w:rPr>
                <w:rFonts w:ascii="Arial Narrow" w:hAnsi="Arial Narrow"/>
                <w:sz w:val="20"/>
              </w:rPr>
            </w:pPr>
            <w:r w:rsidRPr="007743A8">
              <w:rPr>
                <w:rFonts w:ascii="Arial Narrow" w:hAnsi="Arial Narrow"/>
                <w:sz w:val="20"/>
              </w:rPr>
              <w:t>$3,136.17</w:t>
            </w:r>
          </w:p>
        </w:tc>
        <w:tc>
          <w:tcPr>
            <w:tcW w:w="767" w:type="pct"/>
            <w:tcBorders>
              <w:top w:val="single" w:sz="4" w:space="0" w:color="auto"/>
              <w:left w:val="single" w:sz="4" w:space="0" w:color="auto"/>
              <w:bottom w:val="single" w:sz="4" w:space="0" w:color="auto"/>
              <w:right w:val="single" w:sz="4" w:space="0" w:color="auto"/>
            </w:tcBorders>
            <w:vAlign w:val="center"/>
          </w:tcPr>
          <w:p w14:paraId="69DEE1E3" w14:textId="77777777" w:rsidR="00AD3739" w:rsidRPr="007743A8" w:rsidRDefault="00AD3739" w:rsidP="00DF497D">
            <w:pPr>
              <w:jc w:val="center"/>
              <w:rPr>
                <w:rFonts w:ascii="Arial Narrow" w:hAnsi="Arial Narrow"/>
                <w:sz w:val="20"/>
              </w:rPr>
            </w:pPr>
            <w:r w:rsidRPr="007743A8">
              <w:rPr>
                <w:rFonts w:ascii="Arial Narrow" w:hAnsi="Arial Narrow"/>
                <w:sz w:val="20"/>
              </w:rPr>
              <w:t>0.0216</w:t>
            </w:r>
          </w:p>
        </w:tc>
        <w:tc>
          <w:tcPr>
            <w:tcW w:w="1226" w:type="pct"/>
            <w:tcBorders>
              <w:top w:val="single" w:sz="4" w:space="0" w:color="auto"/>
              <w:left w:val="single" w:sz="4" w:space="0" w:color="auto"/>
              <w:bottom w:val="single" w:sz="4" w:space="0" w:color="auto"/>
              <w:right w:val="single" w:sz="4" w:space="0" w:color="auto"/>
            </w:tcBorders>
            <w:vAlign w:val="center"/>
          </w:tcPr>
          <w:p w14:paraId="268CACFD" w14:textId="77777777" w:rsidR="00AD3739" w:rsidRPr="007743A8" w:rsidRDefault="00AD3739" w:rsidP="00DF497D">
            <w:pPr>
              <w:jc w:val="center"/>
              <w:rPr>
                <w:rFonts w:ascii="Arial Narrow" w:hAnsi="Arial Narrow"/>
                <w:sz w:val="20"/>
              </w:rPr>
            </w:pPr>
            <w:r w:rsidRPr="007743A8">
              <w:rPr>
                <w:rFonts w:ascii="Arial Narrow" w:hAnsi="Arial Narrow"/>
                <w:sz w:val="20"/>
              </w:rPr>
              <w:t>$145,415.62</w:t>
            </w:r>
          </w:p>
        </w:tc>
      </w:tr>
      <w:tr w:rsidR="00AD3739" w:rsidRPr="007743A8" w14:paraId="6DF77168" w14:textId="77777777" w:rsidTr="00E71C9F">
        <w:tc>
          <w:tcPr>
            <w:tcW w:w="2239" w:type="pct"/>
            <w:tcBorders>
              <w:top w:val="single" w:sz="4" w:space="0" w:color="auto"/>
              <w:left w:val="single" w:sz="4" w:space="0" w:color="auto"/>
              <w:bottom w:val="single" w:sz="4" w:space="0" w:color="auto"/>
              <w:right w:val="single" w:sz="4" w:space="0" w:color="auto"/>
            </w:tcBorders>
            <w:vAlign w:val="center"/>
          </w:tcPr>
          <w:p w14:paraId="76FEB14F" w14:textId="77777777" w:rsidR="00AD3739" w:rsidRPr="007743A8" w:rsidRDefault="00AD3739" w:rsidP="00DF497D">
            <w:pPr>
              <w:rPr>
                <w:rFonts w:ascii="Arial Narrow" w:hAnsi="Arial Narrow"/>
                <w:sz w:val="20"/>
              </w:rPr>
            </w:pPr>
            <w:r w:rsidRPr="007743A8">
              <w:rPr>
                <w:rFonts w:ascii="Arial Narrow" w:hAnsi="Arial Narrow"/>
                <w:sz w:val="20"/>
              </w:rPr>
              <w:t>Starting age = 40, Lifetime RR = 2.7</w:t>
            </w:r>
            <w:r w:rsidRPr="007743A8">
              <w:rPr>
                <w:rFonts w:ascii="Arial Narrow" w:hAnsi="Arial Narrow"/>
                <w:sz w:val="20"/>
                <w:vertAlign w:val="superscript"/>
              </w:rPr>
              <w:t>1</w:t>
            </w:r>
          </w:p>
        </w:tc>
        <w:tc>
          <w:tcPr>
            <w:tcW w:w="768" w:type="pct"/>
            <w:tcBorders>
              <w:top w:val="single" w:sz="4" w:space="0" w:color="auto"/>
              <w:left w:val="single" w:sz="4" w:space="0" w:color="auto"/>
              <w:bottom w:val="single" w:sz="4" w:space="0" w:color="auto"/>
              <w:right w:val="single" w:sz="4" w:space="0" w:color="auto"/>
            </w:tcBorders>
            <w:vAlign w:val="center"/>
          </w:tcPr>
          <w:p w14:paraId="23E5240E" w14:textId="77777777" w:rsidR="00AD3739" w:rsidRPr="007743A8" w:rsidRDefault="00AD3739" w:rsidP="00DF497D">
            <w:pPr>
              <w:jc w:val="center"/>
              <w:rPr>
                <w:rFonts w:ascii="Arial Narrow" w:hAnsi="Arial Narrow"/>
                <w:sz w:val="20"/>
              </w:rPr>
            </w:pPr>
            <w:r w:rsidRPr="007743A8">
              <w:rPr>
                <w:rFonts w:ascii="Arial Narrow" w:hAnsi="Arial Narrow"/>
                <w:sz w:val="20"/>
              </w:rPr>
              <w:t>$3,147.14</w:t>
            </w:r>
          </w:p>
        </w:tc>
        <w:tc>
          <w:tcPr>
            <w:tcW w:w="767" w:type="pct"/>
            <w:tcBorders>
              <w:top w:val="single" w:sz="4" w:space="0" w:color="auto"/>
              <w:left w:val="single" w:sz="4" w:space="0" w:color="auto"/>
              <w:bottom w:val="single" w:sz="4" w:space="0" w:color="auto"/>
              <w:right w:val="single" w:sz="4" w:space="0" w:color="auto"/>
            </w:tcBorders>
            <w:vAlign w:val="center"/>
          </w:tcPr>
          <w:p w14:paraId="28A4E668" w14:textId="77777777" w:rsidR="00AD3739" w:rsidRPr="007743A8" w:rsidRDefault="00AD3739" w:rsidP="00DF497D">
            <w:pPr>
              <w:jc w:val="center"/>
              <w:rPr>
                <w:rFonts w:ascii="Arial Narrow" w:hAnsi="Arial Narrow"/>
                <w:sz w:val="20"/>
              </w:rPr>
            </w:pPr>
            <w:r w:rsidRPr="007743A8">
              <w:rPr>
                <w:rFonts w:ascii="Arial Narrow" w:hAnsi="Arial Narrow"/>
                <w:sz w:val="20"/>
              </w:rPr>
              <w:t>0.0197</w:t>
            </w:r>
          </w:p>
        </w:tc>
        <w:tc>
          <w:tcPr>
            <w:tcW w:w="1226" w:type="pct"/>
            <w:tcBorders>
              <w:top w:val="single" w:sz="4" w:space="0" w:color="auto"/>
              <w:left w:val="single" w:sz="4" w:space="0" w:color="auto"/>
              <w:bottom w:val="single" w:sz="4" w:space="0" w:color="auto"/>
              <w:right w:val="single" w:sz="4" w:space="0" w:color="auto"/>
            </w:tcBorders>
            <w:vAlign w:val="center"/>
          </w:tcPr>
          <w:p w14:paraId="5927FBE5" w14:textId="77777777" w:rsidR="00AD3739" w:rsidRPr="007743A8" w:rsidRDefault="00AD3739" w:rsidP="00DF497D">
            <w:pPr>
              <w:jc w:val="center"/>
              <w:rPr>
                <w:rFonts w:ascii="Arial Narrow" w:hAnsi="Arial Narrow"/>
                <w:sz w:val="20"/>
              </w:rPr>
            </w:pPr>
            <w:r w:rsidRPr="007743A8">
              <w:rPr>
                <w:rFonts w:ascii="Arial Narrow" w:hAnsi="Arial Narrow"/>
                <w:sz w:val="20"/>
              </w:rPr>
              <w:t>$159,804.58</w:t>
            </w:r>
          </w:p>
        </w:tc>
      </w:tr>
      <w:tr w:rsidR="00AD3739" w:rsidRPr="007743A8" w14:paraId="4E2259A0" w14:textId="77777777" w:rsidTr="00E71C9F">
        <w:tc>
          <w:tcPr>
            <w:tcW w:w="2239" w:type="pct"/>
            <w:tcBorders>
              <w:top w:val="single" w:sz="4" w:space="0" w:color="auto"/>
              <w:left w:val="single" w:sz="4" w:space="0" w:color="auto"/>
              <w:bottom w:val="single" w:sz="4" w:space="0" w:color="auto"/>
              <w:right w:val="single" w:sz="4" w:space="0" w:color="auto"/>
            </w:tcBorders>
            <w:vAlign w:val="center"/>
          </w:tcPr>
          <w:p w14:paraId="48C68E3A" w14:textId="77777777" w:rsidR="00AD3739" w:rsidRPr="007743A8" w:rsidRDefault="00AD3739" w:rsidP="00DF497D">
            <w:pPr>
              <w:rPr>
                <w:rFonts w:ascii="Arial Narrow" w:hAnsi="Arial Narrow"/>
                <w:sz w:val="20"/>
              </w:rPr>
            </w:pPr>
            <w:r w:rsidRPr="007743A8">
              <w:rPr>
                <w:rFonts w:ascii="Arial Narrow" w:hAnsi="Arial Narrow"/>
                <w:sz w:val="20"/>
              </w:rPr>
              <w:t>Starting age = 50, Lifetime RR = 2.2</w:t>
            </w:r>
            <w:r w:rsidRPr="007743A8">
              <w:rPr>
                <w:rFonts w:ascii="Arial Narrow" w:hAnsi="Arial Narrow"/>
                <w:sz w:val="20"/>
                <w:vertAlign w:val="superscript"/>
              </w:rPr>
              <w:t>1</w:t>
            </w:r>
          </w:p>
        </w:tc>
        <w:tc>
          <w:tcPr>
            <w:tcW w:w="768" w:type="pct"/>
            <w:tcBorders>
              <w:top w:val="single" w:sz="4" w:space="0" w:color="auto"/>
              <w:left w:val="single" w:sz="4" w:space="0" w:color="auto"/>
              <w:bottom w:val="single" w:sz="4" w:space="0" w:color="auto"/>
              <w:right w:val="single" w:sz="4" w:space="0" w:color="auto"/>
            </w:tcBorders>
            <w:vAlign w:val="center"/>
          </w:tcPr>
          <w:p w14:paraId="044B3332" w14:textId="77777777" w:rsidR="00AD3739" w:rsidRPr="007743A8" w:rsidRDefault="00AD3739" w:rsidP="00DF497D">
            <w:pPr>
              <w:jc w:val="center"/>
              <w:rPr>
                <w:rFonts w:ascii="Arial Narrow" w:hAnsi="Arial Narrow"/>
                <w:sz w:val="20"/>
              </w:rPr>
            </w:pPr>
            <w:r w:rsidRPr="007743A8">
              <w:rPr>
                <w:rFonts w:ascii="Arial Narrow" w:hAnsi="Arial Narrow"/>
                <w:sz w:val="20"/>
              </w:rPr>
              <w:t>$3,173.26</w:t>
            </w:r>
          </w:p>
        </w:tc>
        <w:tc>
          <w:tcPr>
            <w:tcW w:w="767" w:type="pct"/>
            <w:tcBorders>
              <w:top w:val="single" w:sz="4" w:space="0" w:color="auto"/>
              <w:left w:val="single" w:sz="4" w:space="0" w:color="auto"/>
              <w:bottom w:val="single" w:sz="4" w:space="0" w:color="auto"/>
              <w:right w:val="single" w:sz="4" w:space="0" w:color="auto"/>
            </w:tcBorders>
            <w:vAlign w:val="center"/>
          </w:tcPr>
          <w:p w14:paraId="53F7BCC3" w14:textId="77777777" w:rsidR="00AD3739" w:rsidRPr="007743A8" w:rsidRDefault="00AD3739" w:rsidP="00DF497D">
            <w:pPr>
              <w:jc w:val="center"/>
              <w:rPr>
                <w:rFonts w:ascii="Arial Narrow" w:hAnsi="Arial Narrow"/>
                <w:sz w:val="20"/>
              </w:rPr>
            </w:pPr>
            <w:r w:rsidRPr="007743A8">
              <w:rPr>
                <w:rFonts w:ascii="Arial Narrow" w:hAnsi="Arial Narrow"/>
                <w:sz w:val="20"/>
              </w:rPr>
              <w:t>0.0152</w:t>
            </w:r>
          </w:p>
        </w:tc>
        <w:tc>
          <w:tcPr>
            <w:tcW w:w="1226" w:type="pct"/>
            <w:tcBorders>
              <w:top w:val="single" w:sz="4" w:space="0" w:color="auto"/>
              <w:left w:val="single" w:sz="4" w:space="0" w:color="auto"/>
              <w:bottom w:val="single" w:sz="4" w:space="0" w:color="auto"/>
              <w:right w:val="single" w:sz="4" w:space="0" w:color="auto"/>
            </w:tcBorders>
            <w:vAlign w:val="center"/>
          </w:tcPr>
          <w:p w14:paraId="62115623" w14:textId="77777777" w:rsidR="00AD3739" w:rsidRPr="007743A8" w:rsidRDefault="00AD3739" w:rsidP="00DF497D">
            <w:pPr>
              <w:jc w:val="center"/>
              <w:rPr>
                <w:rFonts w:ascii="Arial Narrow" w:hAnsi="Arial Narrow"/>
                <w:sz w:val="20"/>
              </w:rPr>
            </w:pPr>
            <w:r w:rsidRPr="007743A8">
              <w:rPr>
                <w:rFonts w:ascii="Arial Narrow" w:hAnsi="Arial Narrow"/>
                <w:sz w:val="20"/>
              </w:rPr>
              <w:t>$208,644.91</w:t>
            </w:r>
          </w:p>
        </w:tc>
      </w:tr>
      <w:tr w:rsidR="00AD3739" w:rsidRPr="007743A8" w14:paraId="659B15A1" w14:textId="77777777" w:rsidTr="00E71C9F">
        <w:tc>
          <w:tcPr>
            <w:tcW w:w="2239" w:type="pct"/>
            <w:tcBorders>
              <w:top w:val="single" w:sz="4" w:space="0" w:color="auto"/>
              <w:left w:val="single" w:sz="4" w:space="0" w:color="auto"/>
              <w:bottom w:val="single" w:sz="4" w:space="0" w:color="auto"/>
              <w:right w:val="single" w:sz="4" w:space="0" w:color="auto"/>
            </w:tcBorders>
            <w:vAlign w:val="center"/>
          </w:tcPr>
          <w:p w14:paraId="16D531F5" w14:textId="77777777" w:rsidR="00AD3739" w:rsidRPr="007743A8" w:rsidRDefault="00AD3739" w:rsidP="00DF497D">
            <w:pPr>
              <w:rPr>
                <w:rFonts w:ascii="Arial Narrow" w:hAnsi="Arial Narrow"/>
                <w:sz w:val="20"/>
              </w:rPr>
            </w:pPr>
            <w:r w:rsidRPr="007743A8">
              <w:rPr>
                <w:rFonts w:ascii="Arial Narrow" w:hAnsi="Arial Narrow"/>
                <w:sz w:val="20"/>
              </w:rPr>
              <w:t>Cost of genetic counselling (MBS 133)</w:t>
            </w:r>
          </w:p>
        </w:tc>
        <w:tc>
          <w:tcPr>
            <w:tcW w:w="768" w:type="pct"/>
            <w:tcBorders>
              <w:top w:val="single" w:sz="4" w:space="0" w:color="auto"/>
              <w:left w:val="single" w:sz="4" w:space="0" w:color="auto"/>
              <w:bottom w:val="single" w:sz="4" w:space="0" w:color="auto"/>
              <w:right w:val="single" w:sz="4" w:space="0" w:color="auto"/>
            </w:tcBorders>
            <w:vAlign w:val="center"/>
          </w:tcPr>
          <w:p w14:paraId="0BEA4DE3" w14:textId="77777777" w:rsidR="00AD3739" w:rsidRPr="007743A8" w:rsidRDefault="00AD3739" w:rsidP="00DF497D">
            <w:pPr>
              <w:jc w:val="center"/>
              <w:rPr>
                <w:rFonts w:ascii="Arial Narrow" w:hAnsi="Arial Narrow"/>
                <w:sz w:val="20"/>
              </w:rPr>
            </w:pPr>
            <w:r w:rsidRPr="007743A8">
              <w:rPr>
                <w:rFonts w:ascii="Arial Narrow" w:hAnsi="Arial Narrow"/>
                <w:sz w:val="20"/>
              </w:rPr>
              <w:t>$3,112.90</w:t>
            </w:r>
          </w:p>
        </w:tc>
        <w:tc>
          <w:tcPr>
            <w:tcW w:w="767" w:type="pct"/>
            <w:tcBorders>
              <w:top w:val="single" w:sz="4" w:space="0" w:color="auto"/>
              <w:left w:val="single" w:sz="4" w:space="0" w:color="auto"/>
              <w:bottom w:val="single" w:sz="4" w:space="0" w:color="auto"/>
              <w:right w:val="single" w:sz="4" w:space="0" w:color="auto"/>
            </w:tcBorders>
            <w:vAlign w:val="center"/>
          </w:tcPr>
          <w:p w14:paraId="36BAB4B0" w14:textId="77777777" w:rsidR="00AD3739" w:rsidRPr="007743A8" w:rsidRDefault="00AD3739" w:rsidP="00DF497D">
            <w:pPr>
              <w:jc w:val="center"/>
              <w:rPr>
                <w:rFonts w:ascii="Arial Narrow" w:hAnsi="Arial Narrow"/>
                <w:sz w:val="20"/>
              </w:rPr>
            </w:pPr>
            <w:r w:rsidRPr="007743A8">
              <w:rPr>
                <w:rFonts w:ascii="Arial Narrow" w:hAnsi="Arial Narrow"/>
                <w:sz w:val="20"/>
              </w:rPr>
              <w:t>0.021</w:t>
            </w:r>
          </w:p>
        </w:tc>
        <w:tc>
          <w:tcPr>
            <w:tcW w:w="1226" w:type="pct"/>
            <w:tcBorders>
              <w:top w:val="single" w:sz="4" w:space="0" w:color="auto"/>
              <w:left w:val="single" w:sz="4" w:space="0" w:color="auto"/>
              <w:bottom w:val="single" w:sz="4" w:space="0" w:color="auto"/>
              <w:right w:val="single" w:sz="4" w:space="0" w:color="auto"/>
            </w:tcBorders>
            <w:vAlign w:val="center"/>
          </w:tcPr>
          <w:p w14:paraId="33B298C2" w14:textId="77777777" w:rsidR="00AD3739" w:rsidRPr="007743A8" w:rsidRDefault="00AD3739" w:rsidP="00DF497D">
            <w:pPr>
              <w:jc w:val="center"/>
              <w:rPr>
                <w:rFonts w:ascii="Arial Narrow" w:hAnsi="Arial Narrow"/>
                <w:sz w:val="20"/>
              </w:rPr>
            </w:pPr>
            <w:r w:rsidRPr="007743A8">
              <w:rPr>
                <w:rFonts w:ascii="Arial Narrow" w:hAnsi="Arial Narrow"/>
                <w:sz w:val="20"/>
              </w:rPr>
              <w:t>$157,898.59</w:t>
            </w:r>
          </w:p>
        </w:tc>
      </w:tr>
      <w:tr w:rsidR="00AD3739" w:rsidRPr="007743A8" w14:paraId="2E6AD655" w14:textId="77777777" w:rsidTr="00E71C9F">
        <w:tc>
          <w:tcPr>
            <w:tcW w:w="2239" w:type="pct"/>
            <w:tcBorders>
              <w:top w:val="single" w:sz="4" w:space="0" w:color="auto"/>
              <w:left w:val="single" w:sz="4" w:space="0" w:color="auto"/>
              <w:bottom w:val="single" w:sz="4" w:space="0" w:color="auto"/>
              <w:right w:val="single" w:sz="4" w:space="0" w:color="auto"/>
            </w:tcBorders>
            <w:vAlign w:val="center"/>
          </w:tcPr>
          <w:p w14:paraId="0999A273" w14:textId="77777777" w:rsidR="00AD3739" w:rsidRPr="007743A8" w:rsidRDefault="00AD3739" w:rsidP="00DF497D">
            <w:pPr>
              <w:rPr>
                <w:rFonts w:ascii="Arial Narrow" w:hAnsi="Arial Narrow"/>
                <w:sz w:val="20"/>
              </w:rPr>
            </w:pPr>
            <w:r w:rsidRPr="007743A8">
              <w:rPr>
                <w:rFonts w:ascii="Arial Narrow" w:hAnsi="Arial Narrow"/>
                <w:sz w:val="20"/>
              </w:rPr>
              <w:t>Annual cost for surveillance = $89.46, applied to BSO only and Surveillance only</w:t>
            </w:r>
          </w:p>
        </w:tc>
        <w:tc>
          <w:tcPr>
            <w:tcW w:w="768" w:type="pct"/>
            <w:tcBorders>
              <w:top w:val="single" w:sz="4" w:space="0" w:color="auto"/>
              <w:left w:val="single" w:sz="4" w:space="0" w:color="auto"/>
              <w:bottom w:val="single" w:sz="4" w:space="0" w:color="auto"/>
              <w:right w:val="single" w:sz="4" w:space="0" w:color="auto"/>
            </w:tcBorders>
            <w:vAlign w:val="center"/>
          </w:tcPr>
          <w:p w14:paraId="65F9CAE6" w14:textId="77777777" w:rsidR="00AD3739" w:rsidRPr="007743A8" w:rsidRDefault="00AD3739" w:rsidP="00DF497D">
            <w:pPr>
              <w:jc w:val="center"/>
              <w:rPr>
                <w:rFonts w:ascii="Arial Narrow" w:hAnsi="Arial Narrow"/>
                <w:sz w:val="20"/>
              </w:rPr>
            </w:pPr>
            <w:r w:rsidRPr="007743A8">
              <w:rPr>
                <w:rFonts w:ascii="Arial Narrow" w:hAnsi="Arial Narrow"/>
                <w:sz w:val="20"/>
              </w:rPr>
              <w:t>$3,043.10</w:t>
            </w:r>
          </w:p>
        </w:tc>
        <w:tc>
          <w:tcPr>
            <w:tcW w:w="767" w:type="pct"/>
            <w:tcBorders>
              <w:top w:val="single" w:sz="4" w:space="0" w:color="auto"/>
              <w:left w:val="single" w:sz="4" w:space="0" w:color="auto"/>
              <w:bottom w:val="single" w:sz="4" w:space="0" w:color="auto"/>
              <w:right w:val="single" w:sz="4" w:space="0" w:color="auto"/>
            </w:tcBorders>
            <w:vAlign w:val="center"/>
          </w:tcPr>
          <w:p w14:paraId="3AE9D171" w14:textId="77777777" w:rsidR="00AD3739" w:rsidRPr="007743A8" w:rsidRDefault="00AD3739" w:rsidP="00DF497D">
            <w:pPr>
              <w:jc w:val="center"/>
              <w:rPr>
                <w:rFonts w:ascii="Arial Narrow" w:hAnsi="Arial Narrow"/>
                <w:sz w:val="20"/>
              </w:rPr>
            </w:pPr>
            <w:r w:rsidRPr="007743A8">
              <w:rPr>
                <w:rFonts w:ascii="Arial Narrow" w:hAnsi="Arial Narrow"/>
                <w:sz w:val="20"/>
              </w:rPr>
              <w:t>0.0198</w:t>
            </w:r>
          </w:p>
        </w:tc>
        <w:tc>
          <w:tcPr>
            <w:tcW w:w="1226" w:type="pct"/>
            <w:tcBorders>
              <w:top w:val="single" w:sz="4" w:space="0" w:color="auto"/>
              <w:left w:val="single" w:sz="4" w:space="0" w:color="auto"/>
              <w:bottom w:val="single" w:sz="4" w:space="0" w:color="auto"/>
              <w:right w:val="single" w:sz="4" w:space="0" w:color="auto"/>
            </w:tcBorders>
            <w:vAlign w:val="center"/>
          </w:tcPr>
          <w:p w14:paraId="3714A781" w14:textId="77777777" w:rsidR="00AD3739" w:rsidRPr="007743A8" w:rsidRDefault="00AD3739" w:rsidP="00DF497D">
            <w:pPr>
              <w:jc w:val="center"/>
              <w:rPr>
                <w:rFonts w:ascii="Arial Narrow" w:hAnsi="Arial Narrow"/>
                <w:sz w:val="20"/>
              </w:rPr>
            </w:pPr>
            <w:r w:rsidRPr="007743A8">
              <w:rPr>
                <w:rFonts w:ascii="Arial Narrow" w:hAnsi="Arial Narrow"/>
                <w:sz w:val="20"/>
              </w:rPr>
              <w:t>$154,039.12</w:t>
            </w:r>
          </w:p>
        </w:tc>
      </w:tr>
      <w:tr w:rsidR="00AD3739" w:rsidRPr="007743A8" w14:paraId="4085EDDC" w14:textId="77777777" w:rsidTr="00E71C9F">
        <w:tc>
          <w:tcPr>
            <w:tcW w:w="2239" w:type="pct"/>
            <w:tcBorders>
              <w:top w:val="single" w:sz="4" w:space="0" w:color="auto"/>
              <w:left w:val="single" w:sz="4" w:space="0" w:color="auto"/>
              <w:bottom w:val="single" w:sz="4" w:space="0" w:color="auto"/>
              <w:right w:val="single" w:sz="4" w:space="0" w:color="auto"/>
            </w:tcBorders>
            <w:vAlign w:val="center"/>
          </w:tcPr>
          <w:p w14:paraId="53AD45E2" w14:textId="77777777" w:rsidR="00AD3739" w:rsidRPr="007743A8" w:rsidRDefault="00AD3739" w:rsidP="00DF497D">
            <w:pPr>
              <w:rPr>
                <w:rFonts w:ascii="Arial Narrow" w:hAnsi="Arial Narrow"/>
                <w:sz w:val="20"/>
              </w:rPr>
            </w:pPr>
            <w:r w:rsidRPr="007743A8">
              <w:rPr>
                <w:rFonts w:ascii="Arial Narrow" w:hAnsi="Arial Narrow"/>
                <w:sz w:val="20"/>
              </w:rPr>
              <w:t>Cost of CM and BSO reduced by 50% from base case</w:t>
            </w:r>
          </w:p>
        </w:tc>
        <w:tc>
          <w:tcPr>
            <w:tcW w:w="768" w:type="pct"/>
            <w:tcBorders>
              <w:top w:val="single" w:sz="4" w:space="0" w:color="auto"/>
              <w:left w:val="single" w:sz="4" w:space="0" w:color="auto"/>
              <w:bottom w:val="single" w:sz="4" w:space="0" w:color="auto"/>
              <w:right w:val="single" w:sz="4" w:space="0" w:color="auto"/>
            </w:tcBorders>
            <w:vAlign w:val="center"/>
          </w:tcPr>
          <w:p w14:paraId="395EC21F" w14:textId="77777777" w:rsidR="00AD3739" w:rsidRPr="007743A8" w:rsidRDefault="00AD3739" w:rsidP="00DF497D">
            <w:pPr>
              <w:jc w:val="center"/>
              <w:rPr>
                <w:rFonts w:ascii="Arial Narrow" w:hAnsi="Arial Narrow"/>
                <w:sz w:val="20"/>
              </w:rPr>
            </w:pPr>
            <w:r w:rsidRPr="007743A8">
              <w:rPr>
                <w:rFonts w:ascii="Arial Narrow" w:hAnsi="Arial Narrow"/>
                <w:sz w:val="20"/>
              </w:rPr>
              <w:t>$2,346.34</w:t>
            </w:r>
          </w:p>
        </w:tc>
        <w:tc>
          <w:tcPr>
            <w:tcW w:w="767" w:type="pct"/>
            <w:tcBorders>
              <w:top w:val="single" w:sz="4" w:space="0" w:color="auto"/>
              <w:left w:val="single" w:sz="4" w:space="0" w:color="auto"/>
              <w:bottom w:val="single" w:sz="4" w:space="0" w:color="auto"/>
              <w:right w:val="single" w:sz="4" w:space="0" w:color="auto"/>
            </w:tcBorders>
            <w:vAlign w:val="center"/>
          </w:tcPr>
          <w:p w14:paraId="034A02FF" w14:textId="77777777" w:rsidR="00AD3739" w:rsidRPr="007743A8" w:rsidRDefault="00AD3739" w:rsidP="00DF497D">
            <w:pPr>
              <w:jc w:val="center"/>
              <w:rPr>
                <w:rFonts w:ascii="Arial Narrow" w:hAnsi="Arial Narrow"/>
                <w:sz w:val="20"/>
              </w:rPr>
            </w:pPr>
            <w:r w:rsidRPr="007743A8">
              <w:rPr>
                <w:rFonts w:ascii="Arial Narrow" w:hAnsi="Arial Narrow"/>
                <w:sz w:val="20"/>
              </w:rPr>
              <w:t>0.0223</w:t>
            </w:r>
          </w:p>
        </w:tc>
        <w:tc>
          <w:tcPr>
            <w:tcW w:w="1226" w:type="pct"/>
            <w:tcBorders>
              <w:top w:val="single" w:sz="4" w:space="0" w:color="auto"/>
              <w:left w:val="single" w:sz="4" w:space="0" w:color="auto"/>
              <w:bottom w:val="single" w:sz="4" w:space="0" w:color="auto"/>
              <w:right w:val="single" w:sz="4" w:space="0" w:color="auto"/>
            </w:tcBorders>
            <w:vAlign w:val="center"/>
          </w:tcPr>
          <w:p w14:paraId="49619B0C" w14:textId="77777777" w:rsidR="00AD3739" w:rsidRPr="007743A8" w:rsidRDefault="00AD3739" w:rsidP="00DF497D">
            <w:pPr>
              <w:jc w:val="center"/>
              <w:rPr>
                <w:rFonts w:ascii="Arial Narrow" w:hAnsi="Arial Narrow"/>
                <w:sz w:val="20"/>
              </w:rPr>
            </w:pPr>
            <w:r w:rsidRPr="007743A8">
              <w:rPr>
                <w:rFonts w:ascii="Arial Narrow" w:hAnsi="Arial Narrow"/>
                <w:sz w:val="20"/>
              </w:rPr>
              <w:t>$105,391.52</w:t>
            </w:r>
          </w:p>
        </w:tc>
      </w:tr>
      <w:tr w:rsidR="00AD3739" w:rsidRPr="007743A8" w14:paraId="2D64E674" w14:textId="77777777" w:rsidTr="00E71C9F">
        <w:tc>
          <w:tcPr>
            <w:tcW w:w="2239" w:type="pct"/>
            <w:tcBorders>
              <w:top w:val="single" w:sz="4" w:space="0" w:color="auto"/>
              <w:left w:val="single" w:sz="4" w:space="0" w:color="auto"/>
              <w:bottom w:val="single" w:sz="4" w:space="0" w:color="auto"/>
              <w:right w:val="single" w:sz="4" w:space="0" w:color="auto"/>
            </w:tcBorders>
            <w:vAlign w:val="center"/>
          </w:tcPr>
          <w:p w14:paraId="6D02DAE0" w14:textId="77777777" w:rsidR="00AD3739" w:rsidRPr="007743A8" w:rsidRDefault="00AD3739" w:rsidP="00DF497D">
            <w:pPr>
              <w:rPr>
                <w:rFonts w:ascii="Arial Narrow" w:hAnsi="Arial Narrow"/>
                <w:sz w:val="20"/>
              </w:rPr>
            </w:pPr>
            <w:r w:rsidRPr="007743A8">
              <w:rPr>
                <w:rFonts w:ascii="Arial Narrow" w:hAnsi="Arial Narrow"/>
                <w:sz w:val="20"/>
              </w:rPr>
              <w:t>Utility for breast cancer = 0.70</w:t>
            </w:r>
          </w:p>
        </w:tc>
        <w:tc>
          <w:tcPr>
            <w:tcW w:w="768" w:type="pct"/>
            <w:tcBorders>
              <w:top w:val="single" w:sz="4" w:space="0" w:color="auto"/>
              <w:left w:val="single" w:sz="4" w:space="0" w:color="auto"/>
              <w:bottom w:val="single" w:sz="4" w:space="0" w:color="auto"/>
              <w:right w:val="single" w:sz="4" w:space="0" w:color="auto"/>
            </w:tcBorders>
            <w:vAlign w:val="center"/>
          </w:tcPr>
          <w:p w14:paraId="2193A7EE" w14:textId="77777777" w:rsidR="00AD3739" w:rsidRPr="007743A8" w:rsidRDefault="00AD3739" w:rsidP="00DF497D">
            <w:pPr>
              <w:jc w:val="center"/>
              <w:rPr>
                <w:rFonts w:ascii="Arial Narrow" w:hAnsi="Arial Narrow"/>
                <w:sz w:val="20"/>
              </w:rPr>
            </w:pPr>
            <w:r w:rsidRPr="007743A8">
              <w:rPr>
                <w:rFonts w:ascii="Arial Narrow" w:hAnsi="Arial Narrow"/>
                <w:sz w:val="20"/>
              </w:rPr>
              <w:t>$3,109.15</w:t>
            </w:r>
          </w:p>
        </w:tc>
        <w:tc>
          <w:tcPr>
            <w:tcW w:w="767" w:type="pct"/>
            <w:tcBorders>
              <w:top w:val="single" w:sz="4" w:space="0" w:color="auto"/>
              <w:left w:val="single" w:sz="4" w:space="0" w:color="auto"/>
              <w:bottom w:val="single" w:sz="4" w:space="0" w:color="auto"/>
              <w:right w:val="single" w:sz="4" w:space="0" w:color="auto"/>
            </w:tcBorders>
            <w:vAlign w:val="center"/>
          </w:tcPr>
          <w:p w14:paraId="389E264F" w14:textId="77777777" w:rsidR="00AD3739" w:rsidRPr="007743A8" w:rsidRDefault="00AD3739" w:rsidP="00DF497D">
            <w:pPr>
              <w:jc w:val="center"/>
              <w:rPr>
                <w:rFonts w:ascii="Arial Narrow" w:hAnsi="Arial Narrow"/>
                <w:sz w:val="20"/>
              </w:rPr>
            </w:pPr>
            <w:r w:rsidRPr="007743A8">
              <w:rPr>
                <w:rFonts w:ascii="Arial Narrow" w:hAnsi="Arial Narrow"/>
                <w:sz w:val="20"/>
              </w:rPr>
              <w:t>0.025</w:t>
            </w:r>
          </w:p>
        </w:tc>
        <w:tc>
          <w:tcPr>
            <w:tcW w:w="1226" w:type="pct"/>
            <w:tcBorders>
              <w:top w:val="single" w:sz="4" w:space="0" w:color="auto"/>
              <w:left w:val="single" w:sz="4" w:space="0" w:color="auto"/>
              <w:bottom w:val="single" w:sz="4" w:space="0" w:color="auto"/>
              <w:right w:val="single" w:sz="4" w:space="0" w:color="auto"/>
            </w:tcBorders>
            <w:vAlign w:val="center"/>
          </w:tcPr>
          <w:p w14:paraId="26307E2A" w14:textId="77777777" w:rsidR="00AD3739" w:rsidRPr="007743A8" w:rsidRDefault="00AD3739" w:rsidP="00DF497D">
            <w:pPr>
              <w:jc w:val="center"/>
              <w:rPr>
                <w:rFonts w:ascii="Arial Narrow" w:hAnsi="Arial Narrow"/>
                <w:sz w:val="20"/>
              </w:rPr>
            </w:pPr>
            <w:r w:rsidRPr="007743A8">
              <w:rPr>
                <w:rFonts w:ascii="Arial Narrow" w:hAnsi="Arial Narrow"/>
                <w:sz w:val="20"/>
              </w:rPr>
              <w:t>$124,955.38</w:t>
            </w:r>
          </w:p>
        </w:tc>
      </w:tr>
      <w:tr w:rsidR="00AD3739" w:rsidRPr="007743A8" w14:paraId="1BA9C2F4" w14:textId="77777777" w:rsidTr="00E71C9F">
        <w:tc>
          <w:tcPr>
            <w:tcW w:w="2239" w:type="pct"/>
            <w:tcBorders>
              <w:top w:val="single" w:sz="4" w:space="0" w:color="auto"/>
              <w:left w:val="single" w:sz="4" w:space="0" w:color="auto"/>
              <w:bottom w:val="single" w:sz="4" w:space="0" w:color="auto"/>
              <w:right w:val="single" w:sz="4" w:space="0" w:color="auto"/>
            </w:tcBorders>
            <w:vAlign w:val="center"/>
          </w:tcPr>
          <w:p w14:paraId="12E9B7C6" w14:textId="77777777" w:rsidR="00AD3739" w:rsidRPr="007743A8" w:rsidRDefault="00AD3739" w:rsidP="00DF497D">
            <w:pPr>
              <w:rPr>
                <w:rFonts w:ascii="Arial Narrow" w:hAnsi="Arial Narrow"/>
                <w:sz w:val="20"/>
              </w:rPr>
            </w:pPr>
            <w:r w:rsidRPr="007743A8">
              <w:rPr>
                <w:rFonts w:ascii="Arial Narrow" w:hAnsi="Arial Narrow"/>
                <w:sz w:val="20"/>
              </w:rPr>
              <w:t>Utility for breast cancer = 0.90</w:t>
            </w:r>
          </w:p>
        </w:tc>
        <w:tc>
          <w:tcPr>
            <w:tcW w:w="768" w:type="pct"/>
            <w:tcBorders>
              <w:top w:val="single" w:sz="4" w:space="0" w:color="auto"/>
              <w:left w:val="single" w:sz="4" w:space="0" w:color="auto"/>
              <w:bottom w:val="single" w:sz="4" w:space="0" w:color="auto"/>
              <w:right w:val="single" w:sz="4" w:space="0" w:color="auto"/>
            </w:tcBorders>
            <w:vAlign w:val="center"/>
          </w:tcPr>
          <w:p w14:paraId="2B3BF349" w14:textId="77777777" w:rsidR="00AD3739" w:rsidRPr="007743A8" w:rsidRDefault="00AD3739" w:rsidP="00DF497D">
            <w:pPr>
              <w:jc w:val="center"/>
              <w:rPr>
                <w:rFonts w:ascii="Arial Narrow" w:hAnsi="Arial Narrow"/>
                <w:sz w:val="20"/>
              </w:rPr>
            </w:pPr>
            <w:r w:rsidRPr="007743A8">
              <w:rPr>
                <w:rFonts w:ascii="Arial Narrow" w:hAnsi="Arial Narrow"/>
                <w:sz w:val="20"/>
              </w:rPr>
              <w:t>$3,126.83</w:t>
            </w:r>
          </w:p>
        </w:tc>
        <w:tc>
          <w:tcPr>
            <w:tcW w:w="767" w:type="pct"/>
            <w:tcBorders>
              <w:top w:val="single" w:sz="4" w:space="0" w:color="auto"/>
              <w:left w:val="single" w:sz="4" w:space="0" w:color="auto"/>
              <w:bottom w:val="single" w:sz="4" w:space="0" w:color="auto"/>
              <w:right w:val="single" w:sz="4" w:space="0" w:color="auto"/>
            </w:tcBorders>
            <w:vAlign w:val="center"/>
          </w:tcPr>
          <w:p w14:paraId="35F0EE85" w14:textId="77777777" w:rsidR="00AD3739" w:rsidRPr="007743A8" w:rsidRDefault="00AD3739" w:rsidP="00DF497D">
            <w:pPr>
              <w:jc w:val="center"/>
              <w:rPr>
                <w:rFonts w:ascii="Arial Narrow" w:hAnsi="Arial Narrow"/>
                <w:sz w:val="20"/>
              </w:rPr>
            </w:pPr>
            <w:r w:rsidRPr="007743A8">
              <w:rPr>
                <w:rFonts w:ascii="Arial Narrow" w:hAnsi="Arial Narrow"/>
                <w:sz w:val="20"/>
              </w:rPr>
              <w:t>0.0162</w:t>
            </w:r>
          </w:p>
        </w:tc>
        <w:tc>
          <w:tcPr>
            <w:tcW w:w="1226" w:type="pct"/>
            <w:tcBorders>
              <w:top w:val="single" w:sz="4" w:space="0" w:color="auto"/>
              <w:left w:val="single" w:sz="4" w:space="0" w:color="auto"/>
              <w:bottom w:val="single" w:sz="4" w:space="0" w:color="auto"/>
              <w:right w:val="single" w:sz="4" w:space="0" w:color="auto"/>
            </w:tcBorders>
            <w:vAlign w:val="center"/>
          </w:tcPr>
          <w:p w14:paraId="76FB243A" w14:textId="77777777" w:rsidR="00AD3739" w:rsidRPr="007743A8" w:rsidRDefault="00AD3739" w:rsidP="00DF497D">
            <w:pPr>
              <w:jc w:val="center"/>
              <w:rPr>
                <w:rFonts w:ascii="Arial Narrow" w:hAnsi="Arial Narrow"/>
                <w:sz w:val="20"/>
              </w:rPr>
            </w:pPr>
            <w:r w:rsidRPr="007743A8">
              <w:rPr>
                <w:rFonts w:ascii="Arial Narrow" w:hAnsi="Arial Narrow"/>
                <w:sz w:val="20"/>
              </w:rPr>
              <w:t>$192,848.71</w:t>
            </w:r>
          </w:p>
        </w:tc>
      </w:tr>
    </w:tbl>
    <w:p w14:paraId="5AA8C41C" w14:textId="77777777" w:rsidR="00AD3739" w:rsidRPr="00E859A1" w:rsidRDefault="00AD3739" w:rsidP="00AD3739">
      <w:pPr>
        <w:tabs>
          <w:tab w:val="left" w:pos="284"/>
        </w:tabs>
        <w:rPr>
          <w:rFonts w:ascii="Arial Narrow" w:hAnsi="Arial Narrow"/>
          <w:sz w:val="20"/>
        </w:rPr>
      </w:pPr>
      <w:r w:rsidRPr="00E859A1">
        <w:rPr>
          <w:rFonts w:ascii="Arial Narrow" w:hAnsi="Arial Narrow"/>
          <w:sz w:val="20"/>
          <w:vertAlign w:val="superscript"/>
        </w:rPr>
        <w:t>1</w:t>
      </w:r>
      <w:r w:rsidRPr="00E859A1">
        <w:rPr>
          <w:rFonts w:ascii="Arial Narrow" w:hAnsi="Arial Narrow"/>
          <w:sz w:val="20"/>
          <w:vertAlign w:val="superscript"/>
        </w:rPr>
        <w:tab/>
      </w:r>
      <w:r w:rsidRPr="00E859A1">
        <w:rPr>
          <w:rFonts w:ascii="Arial Narrow" w:hAnsi="Arial Narrow"/>
          <w:sz w:val="20"/>
        </w:rPr>
        <w:t>Based on data p</w:t>
      </w:r>
      <w:r w:rsidR="00A8248C" w:rsidRPr="00E859A1">
        <w:rPr>
          <w:rFonts w:ascii="Arial Narrow" w:hAnsi="Arial Narrow"/>
          <w:sz w:val="20"/>
        </w:rPr>
        <w:t>rovided in Section 2.2.2 of CUC</w:t>
      </w:r>
    </w:p>
    <w:p w14:paraId="17784C3A" w14:textId="77777777" w:rsidR="00A8248C" w:rsidRDefault="00A8248C" w:rsidP="00AD3739">
      <w:pPr>
        <w:rPr>
          <w:szCs w:val="24"/>
        </w:rPr>
      </w:pPr>
    </w:p>
    <w:p w14:paraId="7D110FAE" w14:textId="77777777" w:rsidR="00AD3739" w:rsidRPr="000473F9" w:rsidRDefault="00AD3739" w:rsidP="00AD3739">
      <w:pPr>
        <w:rPr>
          <w:szCs w:val="24"/>
        </w:rPr>
      </w:pPr>
      <w:r w:rsidRPr="000473F9">
        <w:rPr>
          <w:szCs w:val="24"/>
        </w:rPr>
        <w:t>The ICER was most sensitive to the proportion of wom</w:t>
      </w:r>
      <w:r w:rsidR="00A8248C">
        <w:rPr>
          <w:szCs w:val="24"/>
        </w:rPr>
        <w:t xml:space="preserve">en who tested positive for </w:t>
      </w:r>
      <w:r w:rsidR="00A8248C" w:rsidRPr="00A8248C">
        <w:rPr>
          <w:i/>
          <w:szCs w:val="24"/>
        </w:rPr>
        <w:t>BRCA</w:t>
      </w:r>
      <w:r w:rsidRPr="00A8248C">
        <w:rPr>
          <w:i/>
          <w:szCs w:val="24"/>
        </w:rPr>
        <w:t>1</w:t>
      </w:r>
      <w:r w:rsidRPr="000473F9">
        <w:rPr>
          <w:szCs w:val="24"/>
        </w:rPr>
        <w:t xml:space="preserve"> or </w:t>
      </w:r>
      <w:r w:rsidR="00A8248C" w:rsidRPr="00A8248C">
        <w:rPr>
          <w:i/>
          <w:szCs w:val="24"/>
        </w:rPr>
        <w:t>BRCA</w:t>
      </w:r>
      <w:r w:rsidRPr="00A8248C">
        <w:rPr>
          <w:i/>
          <w:szCs w:val="24"/>
        </w:rPr>
        <w:t>2</w:t>
      </w:r>
      <w:r w:rsidRPr="000473F9">
        <w:rPr>
          <w:szCs w:val="24"/>
        </w:rPr>
        <w:t xml:space="preserve"> mutations, the assumed utility for early breast cancer, the relative risk of breast cancer among those who are positive for </w:t>
      </w:r>
      <w:r w:rsidRPr="00A8248C">
        <w:rPr>
          <w:i/>
          <w:szCs w:val="24"/>
        </w:rPr>
        <w:t>BRCA1</w:t>
      </w:r>
      <w:r w:rsidRPr="000473F9">
        <w:rPr>
          <w:szCs w:val="24"/>
        </w:rPr>
        <w:t xml:space="preserve"> or </w:t>
      </w:r>
      <w:r w:rsidR="00A8248C" w:rsidRPr="00A8248C">
        <w:rPr>
          <w:i/>
          <w:szCs w:val="24"/>
        </w:rPr>
        <w:t>BRCA</w:t>
      </w:r>
      <w:r w:rsidRPr="00A8248C">
        <w:rPr>
          <w:i/>
          <w:szCs w:val="24"/>
        </w:rPr>
        <w:t>2</w:t>
      </w:r>
      <w:r w:rsidRPr="000473F9">
        <w:rPr>
          <w:szCs w:val="24"/>
        </w:rPr>
        <w:t xml:space="preserve"> mutations, the costs assumed for CM and BSO and the removal of discounting of c</w:t>
      </w:r>
      <w:r w:rsidR="00A8248C">
        <w:rPr>
          <w:szCs w:val="24"/>
        </w:rPr>
        <w:t>osts and effects in the model.</w:t>
      </w:r>
    </w:p>
    <w:p w14:paraId="12937269" w14:textId="77777777" w:rsidR="00AD3739" w:rsidRPr="000473F9" w:rsidRDefault="00AD3739" w:rsidP="00AD3739">
      <w:pPr>
        <w:rPr>
          <w:szCs w:val="24"/>
        </w:rPr>
      </w:pPr>
    </w:p>
    <w:p w14:paraId="3D98E4B6" w14:textId="4EA1B318" w:rsidR="00AD3739" w:rsidRDefault="00AD3739" w:rsidP="00AD3739">
      <w:pPr>
        <w:rPr>
          <w:szCs w:val="24"/>
        </w:rPr>
      </w:pPr>
      <w:r w:rsidRPr="000473F9">
        <w:rPr>
          <w:szCs w:val="24"/>
        </w:rPr>
        <w:t>The CUC noted that</w:t>
      </w:r>
      <w:r w:rsidR="00A8248C">
        <w:rPr>
          <w:szCs w:val="24"/>
        </w:rPr>
        <w:t>,</w:t>
      </w:r>
      <w:r w:rsidRPr="000473F9">
        <w:rPr>
          <w:szCs w:val="24"/>
        </w:rPr>
        <w:t xml:space="preserve"> while the relative risk fo</w:t>
      </w:r>
      <w:r w:rsidR="00A8248C">
        <w:rPr>
          <w:szCs w:val="24"/>
        </w:rPr>
        <w:t>r those aged &lt;40 years (RR=4.8)</w:t>
      </w:r>
      <w:r w:rsidRPr="000473F9">
        <w:rPr>
          <w:szCs w:val="24"/>
        </w:rPr>
        <w:t xml:space="preserve"> was greater than that applied in the base case (RR=3.4), the relative risks for those aged 40-49 and ≥50</w:t>
      </w:r>
      <w:r w:rsidR="00F401CD">
        <w:rPr>
          <w:szCs w:val="24"/>
        </w:rPr>
        <w:t> </w:t>
      </w:r>
      <w:r w:rsidRPr="000473F9">
        <w:rPr>
          <w:szCs w:val="24"/>
        </w:rPr>
        <w:t>years were 2.7 and 2.2, respectively, both less than the base case. Only a proportion of patients would begin the model aged &lt;40 years, but most would spend the majority of time in the model in age brackets &gt;40 years, leading to a much higher ICER.</w:t>
      </w:r>
    </w:p>
    <w:p w14:paraId="44D80588" w14:textId="77777777" w:rsidR="00AD3739" w:rsidRDefault="00AD3739" w:rsidP="00AD3739">
      <w:pPr>
        <w:pStyle w:val="Caption"/>
        <w:spacing w:before="0" w:after="0"/>
        <w:ind w:left="0" w:firstLine="0"/>
      </w:pPr>
      <w:r>
        <w:lastRenderedPageBreak/>
        <w:t>Table</w:t>
      </w:r>
      <w:r w:rsidR="00864787">
        <w:t xml:space="preserve"> 8</w:t>
      </w:r>
      <w:r>
        <w:t xml:space="preserve">: </w:t>
      </w:r>
      <w:r w:rsidRPr="00CF0715">
        <w:t>Results of univariate sensitivity analyses for family members</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138"/>
        <w:gridCol w:w="1418"/>
        <w:gridCol w:w="1429"/>
        <w:gridCol w:w="2257"/>
      </w:tblGrid>
      <w:tr w:rsidR="00AD3739" w:rsidRPr="007743A8" w14:paraId="3E321112" w14:textId="77777777" w:rsidTr="00E71C9F">
        <w:trPr>
          <w:tblHeader/>
        </w:trPr>
        <w:tc>
          <w:tcPr>
            <w:tcW w:w="2239" w:type="pct"/>
            <w:tcBorders>
              <w:top w:val="single" w:sz="4" w:space="0" w:color="auto"/>
              <w:left w:val="single" w:sz="4" w:space="0" w:color="auto"/>
              <w:bottom w:val="single" w:sz="4" w:space="0" w:color="auto"/>
              <w:right w:val="single" w:sz="4" w:space="0" w:color="auto"/>
            </w:tcBorders>
            <w:vAlign w:val="center"/>
          </w:tcPr>
          <w:p w14:paraId="2E5911B7" w14:textId="77777777" w:rsidR="00AD3739" w:rsidRPr="007743A8" w:rsidRDefault="00AD3739" w:rsidP="00DF497D">
            <w:pPr>
              <w:rPr>
                <w:rFonts w:ascii="Arial Narrow" w:hAnsi="Arial Narrow"/>
                <w:sz w:val="20"/>
              </w:rPr>
            </w:pPr>
            <w:r w:rsidRPr="007743A8">
              <w:rPr>
                <w:rFonts w:ascii="Arial Narrow" w:hAnsi="Arial Narrow"/>
                <w:b/>
                <w:sz w:val="20"/>
              </w:rPr>
              <w:t>Univariate analyses</w:t>
            </w:r>
          </w:p>
        </w:tc>
        <w:tc>
          <w:tcPr>
            <w:tcW w:w="767" w:type="pct"/>
            <w:tcBorders>
              <w:top w:val="single" w:sz="4" w:space="0" w:color="auto"/>
              <w:left w:val="single" w:sz="4" w:space="0" w:color="auto"/>
              <w:bottom w:val="single" w:sz="4" w:space="0" w:color="auto"/>
              <w:right w:val="single" w:sz="4" w:space="0" w:color="auto"/>
            </w:tcBorders>
            <w:vAlign w:val="center"/>
          </w:tcPr>
          <w:p w14:paraId="2A09751F" w14:textId="77777777" w:rsidR="00AD3739" w:rsidRPr="007743A8" w:rsidRDefault="00AD3739" w:rsidP="00DF497D">
            <w:pPr>
              <w:jc w:val="center"/>
              <w:rPr>
                <w:rFonts w:ascii="Arial Narrow" w:hAnsi="Arial Narrow"/>
                <w:sz w:val="20"/>
              </w:rPr>
            </w:pPr>
            <w:r w:rsidRPr="007743A8">
              <w:rPr>
                <w:rFonts w:ascii="Arial Narrow" w:hAnsi="Arial Narrow"/>
                <w:b/>
                <w:sz w:val="20"/>
              </w:rPr>
              <w:t>Incremental costs</w:t>
            </w:r>
          </w:p>
        </w:tc>
        <w:tc>
          <w:tcPr>
            <w:tcW w:w="773" w:type="pct"/>
            <w:tcBorders>
              <w:top w:val="single" w:sz="4" w:space="0" w:color="auto"/>
              <w:left w:val="single" w:sz="4" w:space="0" w:color="auto"/>
              <w:bottom w:val="single" w:sz="4" w:space="0" w:color="auto"/>
              <w:right w:val="single" w:sz="4" w:space="0" w:color="auto"/>
            </w:tcBorders>
            <w:vAlign w:val="center"/>
          </w:tcPr>
          <w:p w14:paraId="47DEDF5B" w14:textId="77777777" w:rsidR="00AD3739" w:rsidRPr="007743A8" w:rsidRDefault="00AD3739" w:rsidP="00DF497D">
            <w:pPr>
              <w:jc w:val="center"/>
              <w:rPr>
                <w:rFonts w:ascii="Arial Narrow" w:hAnsi="Arial Narrow"/>
                <w:sz w:val="20"/>
              </w:rPr>
            </w:pPr>
            <w:r w:rsidRPr="007743A8">
              <w:rPr>
                <w:rFonts w:ascii="Arial Narrow" w:hAnsi="Arial Narrow"/>
                <w:b/>
                <w:sz w:val="20"/>
              </w:rPr>
              <w:t xml:space="preserve">Incremental QALY gained </w:t>
            </w:r>
          </w:p>
        </w:tc>
        <w:tc>
          <w:tcPr>
            <w:tcW w:w="1222" w:type="pct"/>
            <w:tcBorders>
              <w:top w:val="single" w:sz="4" w:space="0" w:color="auto"/>
              <w:left w:val="single" w:sz="4" w:space="0" w:color="auto"/>
              <w:bottom w:val="single" w:sz="4" w:space="0" w:color="auto"/>
              <w:right w:val="single" w:sz="4" w:space="0" w:color="auto"/>
            </w:tcBorders>
            <w:vAlign w:val="center"/>
          </w:tcPr>
          <w:p w14:paraId="4C2B8FA2" w14:textId="77777777" w:rsidR="00AD3739" w:rsidRPr="007743A8" w:rsidRDefault="00AD3739" w:rsidP="00DF497D">
            <w:pPr>
              <w:jc w:val="center"/>
              <w:rPr>
                <w:rFonts w:ascii="Arial Narrow" w:hAnsi="Arial Narrow"/>
                <w:sz w:val="20"/>
              </w:rPr>
            </w:pPr>
            <w:r w:rsidRPr="007743A8">
              <w:rPr>
                <w:rFonts w:ascii="Arial Narrow" w:hAnsi="Arial Narrow"/>
                <w:b/>
                <w:sz w:val="20"/>
              </w:rPr>
              <w:t>Incremental cost/QALY gained</w:t>
            </w:r>
          </w:p>
        </w:tc>
      </w:tr>
      <w:tr w:rsidR="00AD3739" w:rsidRPr="007743A8" w14:paraId="25810625" w14:textId="77777777" w:rsidTr="00E71C9F">
        <w:tc>
          <w:tcPr>
            <w:tcW w:w="2239" w:type="pct"/>
            <w:tcBorders>
              <w:top w:val="single" w:sz="4" w:space="0" w:color="auto"/>
              <w:left w:val="single" w:sz="4" w:space="0" w:color="auto"/>
              <w:bottom w:val="single" w:sz="4" w:space="0" w:color="auto"/>
              <w:right w:val="single" w:sz="4" w:space="0" w:color="auto"/>
            </w:tcBorders>
            <w:vAlign w:val="center"/>
          </w:tcPr>
          <w:p w14:paraId="21C5A380" w14:textId="77777777" w:rsidR="00AD3739" w:rsidRPr="007743A8" w:rsidRDefault="00AD3739" w:rsidP="00DF497D">
            <w:pPr>
              <w:rPr>
                <w:rFonts w:ascii="Arial Narrow" w:hAnsi="Arial Narrow"/>
                <w:b/>
                <w:sz w:val="20"/>
              </w:rPr>
            </w:pPr>
            <w:r w:rsidRPr="007743A8">
              <w:rPr>
                <w:rFonts w:ascii="Arial Narrow" w:hAnsi="Arial Narrow"/>
                <w:b/>
                <w:sz w:val="20"/>
              </w:rPr>
              <w:t>Base case</w:t>
            </w:r>
          </w:p>
        </w:tc>
        <w:tc>
          <w:tcPr>
            <w:tcW w:w="767" w:type="pct"/>
            <w:tcBorders>
              <w:top w:val="single" w:sz="4" w:space="0" w:color="auto"/>
              <w:left w:val="single" w:sz="4" w:space="0" w:color="auto"/>
              <w:bottom w:val="single" w:sz="4" w:space="0" w:color="auto"/>
              <w:right w:val="single" w:sz="4" w:space="0" w:color="auto"/>
            </w:tcBorders>
            <w:vAlign w:val="center"/>
          </w:tcPr>
          <w:p w14:paraId="361E35AD" w14:textId="77777777" w:rsidR="00AD3739" w:rsidRPr="007743A8" w:rsidRDefault="00AD3739" w:rsidP="00DF497D">
            <w:pPr>
              <w:jc w:val="center"/>
              <w:rPr>
                <w:rFonts w:ascii="Arial Narrow" w:hAnsi="Arial Narrow"/>
                <w:b/>
                <w:bCs/>
                <w:sz w:val="20"/>
              </w:rPr>
            </w:pPr>
            <w:r w:rsidRPr="007743A8">
              <w:rPr>
                <w:rFonts w:ascii="Arial Narrow" w:hAnsi="Arial Narrow"/>
                <w:b/>
                <w:bCs/>
                <w:sz w:val="20"/>
              </w:rPr>
              <w:t>$6,336.91</w:t>
            </w:r>
          </w:p>
        </w:tc>
        <w:tc>
          <w:tcPr>
            <w:tcW w:w="773" w:type="pct"/>
            <w:tcBorders>
              <w:top w:val="single" w:sz="4" w:space="0" w:color="auto"/>
              <w:left w:val="single" w:sz="4" w:space="0" w:color="auto"/>
              <w:bottom w:val="single" w:sz="4" w:space="0" w:color="auto"/>
              <w:right w:val="single" w:sz="4" w:space="0" w:color="auto"/>
            </w:tcBorders>
            <w:vAlign w:val="center"/>
          </w:tcPr>
          <w:p w14:paraId="3FFDEEF6" w14:textId="77777777" w:rsidR="00AD3739" w:rsidRPr="007743A8" w:rsidRDefault="00AD3739" w:rsidP="00DF497D">
            <w:pPr>
              <w:jc w:val="center"/>
              <w:rPr>
                <w:rFonts w:ascii="Arial Narrow" w:hAnsi="Arial Narrow"/>
                <w:b/>
                <w:bCs/>
                <w:sz w:val="20"/>
              </w:rPr>
            </w:pPr>
            <w:r w:rsidRPr="007743A8">
              <w:rPr>
                <w:rFonts w:ascii="Arial Narrow" w:hAnsi="Arial Narrow"/>
                <w:b/>
                <w:bCs/>
                <w:sz w:val="20"/>
              </w:rPr>
              <w:t>0.074</w:t>
            </w:r>
          </w:p>
        </w:tc>
        <w:tc>
          <w:tcPr>
            <w:tcW w:w="1222" w:type="pct"/>
            <w:tcBorders>
              <w:top w:val="single" w:sz="4" w:space="0" w:color="auto"/>
              <w:left w:val="single" w:sz="4" w:space="0" w:color="auto"/>
              <w:bottom w:val="single" w:sz="4" w:space="0" w:color="auto"/>
              <w:right w:val="single" w:sz="4" w:space="0" w:color="auto"/>
            </w:tcBorders>
            <w:vAlign w:val="center"/>
          </w:tcPr>
          <w:p w14:paraId="0BC5274A" w14:textId="77777777" w:rsidR="00AD3739" w:rsidRPr="007743A8" w:rsidRDefault="00AD3739" w:rsidP="00DF497D">
            <w:pPr>
              <w:jc w:val="center"/>
              <w:rPr>
                <w:rFonts w:ascii="Arial Narrow" w:hAnsi="Arial Narrow"/>
                <w:b/>
                <w:bCs/>
                <w:sz w:val="20"/>
              </w:rPr>
            </w:pPr>
            <w:r w:rsidRPr="007743A8">
              <w:rPr>
                <w:rFonts w:ascii="Arial Narrow" w:hAnsi="Arial Narrow"/>
                <w:b/>
                <w:bCs/>
                <w:sz w:val="20"/>
              </w:rPr>
              <w:t>$85,598.66</w:t>
            </w:r>
          </w:p>
        </w:tc>
      </w:tr>
      <w:tr w:rsidR="00AD3739" w:rsidRPr="007743A8" w14:paraId="43F13638" w14:textId="77777777" w:rsidTr="00E71C9F">
        <w:tc>
          <w:tcPr>
            <w:tcW w:w="2239" w:type="pct"/>
            <w:tcBorders>
              <w:top w:val="single" w:sz="4" w:space="0" w:color="auto"/>
              <w:left w:val="single" w:sz="4" w:space="0" w:color="auto"/>
              <w:bottom w:val="single" w:sz="4" w:space="0" w:color="auto"/>
              <w:right w:val="single" w:sz="4" w:space="0" w:color="auto"/>
            </w:tcBorders>
            <w:vAlign w:val="center"/>
          </w:tcPr>
          <w:p w14:paraId="61D57F1F" w14:textId="77777777" w:rsidR="00AD3739" w:rsidRPr="007743A8" w:rsidRDefault="00AD3739" w:rsidP="00DF497D">
            <w:pPr>
              <w:rPr>
                <w:rFonts w:ascii="Arial Narrow" w:hAnsi="Arial Narrow"/>
                <w:sz w:val="20"/>
              </w:rPr>
            </w:pPr>
            <w:r w:rsidRPr="007743A8">
              <w:rPr>
                <w:rFonts w:ascii="Arial Narrow" w:hAnsi="Arial Narrow"/>
                <w:sz w:val="20"/>
              </w:rPr>
              <w:t xml:space="preserve">No discounting applied </w:t>
            </w:r>
          </w:p>
        </w:tc>
        <w:tc>
          <w:tcPr>
            <w:tcW w:w="767" w:type="pct"/>
            <w:tcBorders>
              <w:top w:val="single" w:sz="4" w:space="0" w:color="auto"/>
              <w:left w:val="single" w:sz="4" w:space="0" w:color="auto"/>
              <w:bottom w:val="single" w:sz="4" w:space="0" w:color="auto"/>
              <w:right w:val="single" w:sz="4" w:space="0" w:color="auto"/>
            </w:tcBorders>
            <w:vAlign w:val="center"/>
          </w:tcPr>
          <w:p w14:paraId="567AC59E" w14:textId="77777777" w:rsidR="00AD3739" w:rsidRPr="007743A8" w:rsidRDefault="00AD3739" w:rsidP="00DF497D">
            <w:pPr>
              <w:jc w:val="center"/>
              <w:rPr>
                <w:rFonts w:ascii="Arial Narrow" w:hAnsi="Arial Narrow"/>
                <w:sz w:val="20"/>
              </w:rPr>
            </w:pPr>
            <w:r w:rsidRPr="007743A8">
              <w:rPr>
                <w:rFonts w:ascii="Arial Narrow" w:hAnsi="Arial Narrow"/>
                <w:sz w:val="20"/>
              </w:rPr>
              <w:t>$3,314.05</w:t>
            </w:r>
          </w:p>
        </w:tc>
        <w:tc>
          <w:tcPr>
            <w:tcW w:w="773" w:type="pct"/>
            <w:tcBorders>
              <w:top w:val="single" w:sz="4" w:space="0" w:color="auto"/>
              <w:left w:val="single" w:sz="4" w:space="0" w:color="auto"/>
              <w:bottom w:val="single" w:sz="4" w:space="0" w:color="auto"/>
              <w:right w:val="single" w:sz="4" w:space="0" w:color="auto"/>
            </w:tcBorders>
            <w:vAlign w:val="center"/>
          </w:tcPr>
          <w:p w14:paraId="3EFC13D1" w14:textId="77777777" w:rsidR="00AD3739" w:rsidRPr="007743A8" w:rsidRDefault="00AD3739" w:rsidP="00DF497D">
            <w:pPr>
              <w:jc w:val="center"/>
              <w:rPr>
                <w:rFonts w:ascii="Arial Narrow" w:hAnsi="Arial Narrow"/>
                <w:sz w:val="20"/>
              </w:rPr>
            </w:pPr>
            <w:r w:rsidRPr="007743A8">
              <w:rPr>
                <w:rFonts w:ascii="Arial Narrow" w:hAnsi="Arial Narrow"/>
                <w:sz w:val="20"/>
              </w:rPr>
              <w:t>0.3718</w:t>
            </w:r>
          </w:p>
        </w:tc>
        <w:tc>
          <w:tcPr>
            <w:tcW w:w="1222" w:type="pct"/>
            <w:tcBorders>
              <w:top w:val="single" w:sz="4" w:space="0" w:color="auto"/>
              <w:left w:val="single" w:sz="4" w:space="0" w:color="auto"/>
              <w:bottom w:val="single" w:sz="4" w:space="0" w:color="auto"/>
              <w:right w:val="single" w:sz="4" w:space="0" w:color="auto"/>
            </w:tcBorders>
            <w:vAlign w:val="center"/>
          </w:tcPr>
          <w:p w14:paraId="67911576" w14:textId="77777777" w:rsidR="00AD3739" w:rsidRPr="007743A8" w:rsidRDefault="00AD3739" w:rsidP="00DF497D">
            <w:pPr>
              <w:jc w:val="center"/>
              <w:rPr>
                <w:rFonts w:ascii="Arial Narrow" w:hAnsi="Arial Narrow"/>
                <w:sz w:val="20"/>
              </w:rPr>
            </w:pPr>
            <w:r w:rsidRPr="007743A8">
              <w:rPr>
                <w:rFonts w:ascii="Arial Narrow" w:hAnsi="Arial Narrow"/>
                <w:sz w:val="20"/>
              </w:rPr>
              <w:t>$8,913.20</w:t>
            </w:r>
          </w:p>
        </w:tc>
      </w:tr>
      <w:tr w:rsidR="00AD3739" w:rsidRPr="007743A8" w14:paraId="66FC22F2" w14:textId="77777777" w:rsidTr="00E71C9F">
        <w:tc>
          <w:tcPr>
            <w:tcW w:w="2239" w:type="pct"/>
            <w:tcBorders>
              <w:top w:val="single" w:sz="4" w:space="0" w:color="auto"/>
              <w:left w:val="single" w:sz="4" w:space="0" w:color="auto"/>
              <w:bottom w:val="single" w:sz="4" w:space="0" w:color="auto"/>
              <w:right w:val="single" w:sz="4" w:space="0" w:color="auto"/>
            </w:tcBorders>
            <w:vAlign w:val="center"/>
          </w:tcPr>
          <w:p w14:paraId="17B9E0D5" w14:textId="77777777" w:rsidR="00AD3739" w:rsidRPr="007743A8" w:rsidRDefault="00E71C9F" w:rsidP="00DF497D">
            <w:pPr>
              <w:rPr>
                <w:rFonts w:ascii="Arial Narrow" w:hAnsi="Arial Narrow"/>
                <w:sz w:val="20"/>
                <w:vertAlign w:val="superscript"/>
              </w:rPr>
            </w:pPr>
            <w:r>
              <w:rPr>
                <w:rFonts w:ascii="Arial Narrow" w:hAnsi="Arial Narrow"/>
                <w:sz w:val="20"/>
              </w:rPr>
              <w:t>Age-</w:t>
            </w:r>
            <w:r w:rsidR="00AD3739" w:rsidRPr="007743A8">
              <w:rPr>
                <w:rFonts w:ascii="Arial Narrow" w:hAnsi="Arial Narrow"/>
                <w:sz w:val="20"/>
              </w:rPr>
              <w:t>dependent relative risk</w:t>
            </w:r>
            <w:r w:rsidR="00AD3739" w:rsidRPr="007743A8">
              <w:rPr>
                <w:rFonts w:ascii="Arial Narrow" w:hAnsi="Arial Narrow"/>
                <w:sz w:val="20"/>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14:paraId="50F300BA" w14:textId="77777777" w:rsidR="00AD3739" w:rsidRPr="007743A8" w:rsidRDefault="00AD3739" w:rsidP="00DF497D">
            <w:pPr>
              <w:jc w:val="center"/>
              <w:rPr>
                <w:rFonts w:ascii="Arial Narrow" w:hAnsi="Arial Narrow"/>
                <w:sz w:val="20"/>
              </w:rPr>
            </w:pPr>
            <w:r w:rsidRPr="007743A8">
              <w:rPr>
                <w:rFonts w:ascii="Arial Narrow" w:hAnsi="Arial Narrow"/>
                <w:sz w:val="20"/>
              </w:rPr>
              <w:t>$4,241.85</w:t>
            </w:r>
          </w:p>
        </w:tc>
        <w:tc>
          <w:tcPr>
            <w:tcW w:w="773" w:type="pct"/>
            <w:tcBorders>
              <w:top w:val="single" w:sz="4" w:space="0" w:color="auto"/>
              <w:left w:val="single" w:sz="4" w:space="0" w:color="auto"/>
              <w:bottom w:val="single" w:sz="4" w:space="0" w:color="auto"/>
              <w:right w:val="single" w:sz="4" w:space="0" w:color="auto"/>
            </w:tcBorders>
            <w:vAlign w:val="center"/>
          </w:tcPr>
          <w:p w14:paraId="156FC600" w14:textId="77777777" w:rsidR="00AD3739" w:rsidRPr="007743A8" w:rsidRDefault="00AD3739" w:rsidP="00DF497D">
            <w:pPr>
              <w:jc w:val="center"/>
              <w:rPr>
                <w:rFonts w:ascii="Arial Narrow" w:hAnsi="Arial Narrow"/>
                <w:sz w:val="20"/>
              </w:rPr>
            </w:pPr>
            <w:r w:rsidRPr="007743A8">
              <w:rPr>
                <w:rFonts w:ascii="Arial Narrow" w:hAnsi="Arial Narrow"/>
                <w:sz w:val="20"/>
              </w:rPr>
              <w:t>0.2460</w:t>
            </w:r>
          </w:p>
        </w:tc>
        <w:tc>
          <w:tcPr>
            <w:tcW w:w="1222" w:type="pct"/>
            <w:tcBorders>
              <w:top w:val="single" w:sz="4" w:space="0" w:color="auto"/>
              <w:left w:val="single" w:sz="4" w:space="0" w:color="auto"/>
              <w:bottom w:val="single" w:sz="4" w:space="0" w:color="auto"/>
              <w:right w:val="single" w:sz="4" w:space="0" w:color="auto"/>
            </w:tcBorders>
            <w:vAlign w:val="center"/>
          </w:tcPr>
          <w:p w14:paraId="7C0BAD16" w14:textId="77777777" w:rsidR="00AD3739" w:rsidRPr="007743A8" w:rsidRDefault="00AD3739" w:rsidP="00DF497D">
            <w:pPr>
              <w:jc w:val="center"/>
              <w:rPr>
                <w:rFonts w:ascii="Arial Narrow" w:hAnsi="Arial Narrow"/>
                <w:sz w:val="20"/>
              </w:rPr>
            </w:pPr>
            <w:r w:rsidRPr="007743A8">
              <w:rPr>
                <w:rFonts w:ascii="Arial Narrow" w:hAnsi="Arial Narrow"/>
                <w:sz w:val="20"/>
              </w:rPr>
              <w:t>$17,241.45</w:t>
            </w:r>
          </w:p>
        </w:tc>
      </w:tr>
      <w:tr w:rsidR="00AD3739" w:rsidRPr="007743A8" w14:paraId="64BC1C78" w14:textId="77777777" w:rsidTr="00E71C9F">
        <w:tc>
          <w:tcPr>
            <w:tcW w:w="2239" w:type="pct"/>
            <w:tcBorders>
              <w:top w:val="single" w:sz="4" w:space="0" w:color="auto"/>
              <w:left w:val="single" w:sz="4" w:space="0" w:color="auto"/>
              <w:bottom w:val="single" w:sz="4" w:space="0" w:color="auto"/>
              <w:right w:val="single" w:sz="4" w:space="0" w:color="auto"/>
            </w:tcBorders>
            <w:vAlign w:val="center"/>
          </w:tcPr>
          <w:p w14:paraId="71D584CA" w14:textId="77777777" w:rsidR="00AD3739" w:rsidRPr="007743A8" w:rsidRDefault="00AD3739" w:rsidP="00DF497D">
            <w:pPr>
              <w:rPr>
                <w:rFonts w:ascii="Arial Narrow" w:hAnsi="Arial Narrow"/>
                <w:sz w:val="20"/>
              </w:rPr>
            </w:pPr>
            <w:r w:rsidRPr="007743A8">
              <w:rPr>
                <w:rFonts w:ascii="Arial Narrow" w:hAnsi="Arial Narrow"/>
                <w:sz w:val="20"/>
              </w:rPr>
              <w:t>Cost of genetic counselling (MBS 133)</w:t>
            </w:r>
          </w:p>
        </w:tc>
        <w:tc>
          <w:tcPr>
            <w:tcW w:w="767" w:type="pct"/>
            <w:tcBorders>
              <w:top w:val="single" w:sz="4" w:space="0" w:color="auto"/>
              <w:left w:val="single" w:sz="4" w:space="0" w:color="auto"/>
              <w:bottom w:val="single" w:sz="4" w:space="0" w:color="auto"/>
              <w:right w:val="single" w:sz="4" w:space="0" w:color="auto"/>
            </w:tcBorders>
            <w:vAlign w:val="center"/>
          </w:tcPr>
          <w:p w14:paraId="27542249" w14:textId="77777777" w:rsidR="00AD3739" w:rsidRPr="007743A8" w:rsidRDefault="00AD3739" w:rsidP="00DF497D">
            <w:pPr>
              <w:jc w:val="center"/>
              <w:rPr>
                <w:rFonts w:ascii="Arial Narrow" w:hAnsi="Arial Narrow"/>
                <w:sz w:val="20"/>
              </w:rPr>
            </w:pPr>
            <w:r w:rsidRPr="007743A8">
              <w:rPr>
                <w:rFonts w:ascii="Arial Narrow" w:hAnsi="Arial Narrow"/>
                <w:sz w:val="20"/>
              </w:rPr>
              <w:t>$6,089.16</w:t>
            </w:r>
          </w:p>
        </w:tc>
        <w:tc>
          <w:tcPr>
            <w:tcW w:w="773" w:type="pct"/>
            <w:tcBorders>
              <w:top w:val="single" w:sz="4" w:space="0" w:color="auto"/>
              <w:left w:val="single" w:sz="4" w:space="0" w:color="auto"/>
              <w:bottom w:val="single" w:sz="4" w:space="0" w:color="auto"/>
              <w:right w:val="single" w:sz="4" w:space="0" w:color="auto"/>
            </w:tcBorders>
            <w:vAlign w:val="center"/>
          </w:tcPr>
          <w:p w14:paraId="61B40962" w14:textId="77777777" w:rsidR="00AD3739" w:rsidRPr="007743A8" w:rsidRDefault="00AD3739" w:rsidP="00DF497D">
            <w:pPr>
              <w:jc w:val="center"/>
              <w:rPr>
                <w:rFonts w:ascii="Arial Narrow" w:hAnsi="Arial Narrow"/>
                <w:sz w:val="20"/>
              </w:rPr>
            </w:pPr>
            <w:r w:rsidRPr="007743A8">
              <w:rPr>
                <w:rFonts w:ascii="Arial Narrow" w:hAnsi="Arial Narrow"/>
                <w:sz w:val="20"/>
              </w:rPr>
              <w:t>0.0752</w:t>
            </w:r>
          </w:p>
        </w:tc>
        <w:tc>
          <w:tcPr>
            <w:tcW w:w="1222" w:type="pct"/>
            <w:tcBorders>
              <w:top w:val="single" w:sz="4" w:space="0" w:color="auto"/>
              <w:left w:val="single" w:sz="4" w:space="0" w:color="auto"/>
              <w:bottom w:val="single" w:sz="4" w:space="0" w:color="auto"/>
              <w:right w:val="single" w:sz="4" w:space="0" w:color="auto"/>
            </w:tcBorders>
            <w:vAlign w:val="center"/>
          </w:tcPr>
          <w:p w14:paraId="52D8DDA6" w14:textId="77777777" w:rsidR="00AD3739" w:rsidRPr="007743A8" w:rsidRDefault="00AD3739" w:rsidP="00DF497D">
            <w:pPr>
              <w:jc w:val="center"/>
              <w:rPr>
                <w:rFonts w:ascii="Arial Narrow" w:hAnsi="Arial Narrow"/>
                <w:sz w:val="20"/>
              </w:rPr>
            </w:pPr>
            <w:r w:rsidRPr="007743A8">
              <w:rPr>
                <w:rFonts w:ascii="Arial Narrow" w:hAnsi="Arial Narrow"/>
                <w:sz w:val="20"/>
              </w:rPr>
              <w:t>$81,021.46</w:t>
            </w:r>
          </w:p>
        </w:tc>
      </w:tr>
      <w:tr w:rsidR="00AD3739" w:rsidRPr="007743A8" w14:paraId="50E460A3" w14:textId="77777777" w:rsidTr="00E71C9F">
        <w:tc>
          <w:tcPr>
            <w:tcW w:w="2239" w:type="pct"/>
            <w:tcBorders>
              <w:top w:val="single" w:sz="4" w:space="0" w:color="auto"/>
              <w:left w:val="single" w:sz="4" w:space="0" w:color="auto"/>
              <w:bottom w:val="single" w:sz="4" w:space="0" w:color="auto"/>
              <w:right w:val="single" w:sz="4" w:space="0" w:color="auto"/>
            </w:tcBorders>
            <w:vAlign w:val="center"/>
          </w:tcPr>
          <w:p w14:paraId="1F9D0867" w14:textId="77777777" w:rsidR="00AD3739" w:rsidRPr="007743A8" w:rsidRDefault="00AD3739" w:rsidP="00DF497D">
            <w:pPr>
              <w:rPr>
                <w:rFonts w:ascii="Arial Narrow" w:hAnsi="Arial Narrow"/>
                <w:sz w:val="20"/>
              </w:rPr>
            </w:pPr>
            <w:r w:rsidRPr="007743A8">
              <w:rPr>
                <w:rFonts w:ascii="Arial Narrow" w:hAnsi="Arial Narrow"/>
                <w:sz w:val="20"/>
              </w:rPr>
              <w:t>Annual cost for surveillance = $89.46, applied to BSO only and Surveillance only</w:t>
            </w:r>
          </w:p>
        </w:tc>
        <w:tc>
          <w:tcPr>
            <w:tcW w:w="767" w:type="pct"/>
            <w:tcBorders>
              <w:top w:val="single" w:sz="4" w:space="0" w:color="auto"/>
              <w:left w:val="single" w:sz="4" w:space="0" w:color="auto"/>
              <w:bottom w:val="single" w:sz="4" w:space="0" w:color="auto"/>
              <w:right w:val="single" w:sz="4" w:space="0" w:color="auto"/>
            </w:tcBorders>
            <w:vAlign w:val="center"/>
          </w:tcPr>
          <w:p w14:paraId="665824F7" w14:textId="77777777" w:rsidR="00AD3739" w:rsidRPr="007743A8" w:rsidRDefault="00AD3739" w:rsidP="00DF497D">
            <w:pPr>
              <w:jc w:val="center"/>
              <w:rPr>
                <w:rFonts w:ascii="Arial Narrow" w:hAnsi="Arial Narrow"/>
                <w:sz w:val="20"/>
              </w:rPr>
            </w:pPr>
            <w:r w:rsidRPr="007743A8">
              <w:rPr>
                <w:rFonts w:ascii="Arial Narrow" w:hAnsi="Arial Narrow"/>
                <w:sz w:val="20"/>
              </w:rPr>
              <w:t>$5,921.27</w:t>
            </w:r>
          </w:p>
        </w:tc>
        <w:tc>
          <w:tcPr>
            <w:tcW w:w="773" w:type="pct"/>
            <w:tcBorders>
              <w:top w:val="single" w:sz="4" w:space="0" w:color="auto"/>
              <w:left w:val="single" w:sz="4" w:space="0" w:color="auto"/>
              <w:bottom w:val="single" w:sz="4" w:space="0" w:color="auto"/>
              <w:right w:val="single" w:sz="4" w:space="0" w:color="auto"/>
            </w:tcBorders>
            <w:vAlign w:val="center"/>
          </w:tcPr>
          <w:p w14:paraId="5E8F17DB" w14:textId="77777777" w:rsidR="00AD3739" w:rsidRPr="007743A8" w:rsidRDefault="00AD3739" w:rsidP="00DF497D">
            <w:pPr>
              <w:jc w:val="center"/>
              <w:rPr>
                <w:rFonts w:ascii="Arial Narrow" w:hAnsi="Arial Narrow"/>
                <w:sz w:val="20"/>
              </w:rPr>
            </w:pPr>
            <w:r w:rsidRPr="007743A8">
              <w:rPr>
                <w:rFonts w:ascii="Arial Narrow" w:hAnsi="Arial Narrow"/>
                <w:sz w:val="20"/>
              </w:rPr>
              <w:t>0.0793</w:t>
            </w:r>
          </w:p>
        </w:tc>
        <w:tc>
          <w:tcPr>
            <w:tcW w:w="1222" w:type="pct"/>
            <w:tcBorders>
              <w:top w:val="single" w:sz="4" w:space="0" w:color="auto"/>
              <w:left w:val="single" w:sz="4" w:space="0" w:color="auto"/>
              <w:bottom w:val="single" w:sz="4" w:space="0" w:color="auto"/>
              <w:right w:val="single" w:sz="4" w:space="0" w:color="auto"/>
            </w:tcBorders>
            <w:vAlign w:val="center"/>
          </w:tcPr>
          <w:p w14:paraId="32931DA0" w14:textId="77777777" w:rsidR="00AD3739" w:rsidRPr="007743A8" w:rsidRDefault="00AD3739" w:rsidP="00DF497D">
            <w:pPr>
              <w:jc w:val="center"/>
              <w:rPr>
                <w:rFonts w:ascii="Arial Narrow" w:hAnsi="Arial Narrow"/>
                <w:sz w:val="20"/>
              </w:rPr>
            </w:pPr>
            <w:r w:rsidRPr="007743A8">
              <w:rPr>
                <w:rFonts w:ascii="Arial Narrow" w:hAnsi="Arial Narrow"/>
                <w:sz w:val="20"/>
              </w:rPr>
              <w:t>$74,667.23</w:t>
            </w:r>
          </w:p>
        </w:tc>
      </w:tr>
      <w:tr w:rsidR="00AD3739" w:rsidRPr="007743A8" w14:paraId="37803817" w14:textId="77777777" w:rsidTr="00E71C9F">
        <w:tc>
          <w:tcPr>
            <w:tcW w:w="2239" w:type="pct"/>
            <w:tcBorders>
              <w:top w:val="single" w:sz="4" w:space="0" w:color="auto"/>
              <w:left w:val="single" w:sz="4" w:space="0" w:color="auto"/>
              <w:bottom w:val="single" w:sz="4" w:space="0" w:color="auto"/>
              <w:right w:val="single" w:sz="4" w:space="0" w:color="auto"/>
            </w:tcBorders>
            <w:vAlign w:val="center"/>
          </w:tcPr>
          <w:p w14:paraId="645C1B10" w14:textId="77777777" w:rsidR="00AD3739" w:rsidRPr="007743A8" w:rsidRDefault="00AD3739" w:rsidP="00DF497D">
            <w:pPr>
              <w:rPr>
                <w:rFonts w:ascii="Arial Narrow" w:hAnsi="Arial Narrow"/>
                <w:sz w:val="20"/>
              </w:rPr>
            </w:pPr>
            <w:r w:rsidRPr="007743A8">
              <w:rPr>
                <w:rFonts w:ascii="Arial Narrow" w:hAnsi="Arial Narrow"/>
                <w:sz w:val="20"/>
              </w:rPr>
              <w:t>Cost of CM and BSO reduced by 50% from base case</w:t>
            </w:r>
          </w:p>
        </w:tc>
        <w:tc>
          <w:tcPr>
            <w:tcW w:w="767" w:type="pct"/>
            <w:tcBorders>
              <w:top w:val="single" w:sz="4" w:space="0" w:color="auto"/>
              <w:left w:val="single" w:sz="4" w:space="0" w:color="auto"/>
              <w:bottom w:val="single" w:sz="4" w:space="0" w:color="auto"/>
              <w:right w:val="single" w:sz="4" w:space="0" w:color="auto"/>
            </w:tcBorders>
            <w:vAlign w:val="center"/>
          </w:tcPr>
          <w:p w14:paraId="3C872A73" w14:textId="77777777" w:rsidR="00AD3739" w:rsidRPr="007743A8" w:rsidRDefault="00AD3739" w:rsidP="00DF497D">
            <w:pPr>
              <w:jc w:val="center"/>
              <w:rPr>
                <w:rFonts w:ascii="Arial Narrow" w:hAnsi="Arial Narrow"/>
                <w:sz w:val="20"/>
              </w:rPr>
            </w:pPr>
            <w:r w:rsidRPr="007743A8">
              <w:rPr>
                <w:rFonts w:ascii="Arial Narrow" w:hAnsi="Arial Narrow"/>
                <w:sz w:val="20"/>
              </w:rPr>
              <w:t>$2,984.86</w:t>
            </w:r>
          </w:p>
        </w:tc>
        <w:tc>
          <w:tcPr>
            <w:tcW w:w="773" w:type="pct"/>
            <w:tcBorders>
              <w:top w:val="single" w:sz="4" w:space="0" w:color="auto"/>
              <w:left w:val="single" w:sz="4" w:space="0" w:color="auto"/>
              <w:bottom w:val="single" w:sz="4" w:space="0" w:color="auto"/>
              <w:right w:val="single" w:sz="4" w:space="0" w:color="auto"/>
            </w:tcBorders>
            <w:vAlign w:val="center"/>
          </w:tcPr>
          <w:p w14:paraId="28745E5D" w14:textId="77777777" w:rsidR="00AD3739" w:rsidRPr="007743A8" w:rsidRDefault="00AD3739" w:rsidP="00DF497D">
            <w:pPr>
              <w:jc w:val="center"/>
              <w:rPr>
                <w:rFonts w:ascii="Arial Narrow" w:hAnsi="Arial Narrow"/>
                <w:sz w:val="20"/>
              </w:rPr>
            </w:pPr>
            <w:r w:rsidRPr="007743A8">
              <w:rPr>
                <w:rFonts w:ascii="Arial Narrow" w:hAnsi="Arial Narrow"/>
                <w:sz w:val="20"/>
              </w:rPr>
              <w:t>0.0794</w:t>
            </w:r>
          </w:p>
        </w:tc>
        <w:tc>
          <w:tcPr>
            <w:tcW w:w="1222" w:type="pct"/>
            <w:tcBorders>
              <w:top w:val="single" w:sz="4" w:space="0" w:color="auto"/>
              <w:left w:val="single" w:sz="4" w:space="0" w:color="auto"/>
              <w:bottom w:val="single" w:sz="4" w:space="0" w:color="auto"/>
              <w:right w:val="single" w:sz="4" w:space="0" w:color="auto"/>
            </w:tcBorders>
            <w:vAlign w:val="center"/>
          </w:tcPr>
          <w:p w14:paraId="1354CE6F" w14:textId="77777777" w:rsidR="00AD3739" w:rsidRPr="007743A8" w:rsidRDefault="00AD3739" w:rsidP="00DF497D">
            <w:pPr>
              <w:jc w:val="center"/>
              <w:rPr>
                <w:rFonts w:ascii="Arial Narrow" w:hAnsi="Arial Narrow"/>
                <w:sz w:val="20"/>
              </w:rPr>
            </w:pPr>
            <w:r w:rsidRPr="007743A8">
              <w:rPr>
                <w:rFonts w:ascii="Arial Narrow" w:hAnsi="Arial Narrow"/>
                <w:sz w:val="20"/>
              </w:rPr>
              <w:t>$37,605.12</w:t>
            </w:r>
          </w:p>
        </w:tc>
      </w:tr>
      <w:tr w:rsidR="00AD3739" w:rsidRPr="007743A8" w14:paraId="1307EA73" w14:textId="77777777" w:rsidTr="00E71C9F">
        <w:tc>
          <w:tcPr>
            <w:tcW w:w="2239" w:type="pct"/>
            <w:tcBorders>
              <w:top w:val="single" w:sz="4" w:space="0" w:color="auto"/>
              <w:left w:val="single" w:sz="4" w:space="0" w:color="auto"/>
              <w:bottom w:val="single" w:sz="4" w:space="0" w:color="auto"/>
              <w:right w:val="single" w:sz="4" w:space="0" w:color="auto"/>
            </w:tcBorders>
            <w:vAlign w:val="center"/>
          </w:tcPr>
          <w:p w14:paraId="4CF493EF" w14:textId="77777777" w:rsidR="00AD3739" w:rsidRPr="007743A8" w:rsidRDefault="00AD3739" w:rsidP="00DF497D">
            <w:pPr>
              <w:rPr>
                <w:rFonts w:ascii="Arial Narrow" w:hAnsi="Arial Narrow"/>
                <w:sz w:val="20"/>
              </w:rPr>
            </w:pPr>
            <w:r w:rsidRPr="007743A8">
              <w:rPr>
                <w:rFonts w:ascii="Arial Narrow" w:hAnsi="Arial Narrow"/>
                <w:sz w:val="20"/>
              </w:rPr>
              <w:t>Utility for breast cancer = 0.70</w:t>
            </w:r>
          </w:p>
        </w:tc>
        <w:tc>
          <w:tcPr>
            <w:tcW w:w="767" w:type="pct"/>
            <w:tcBorders>
              <w:top w:val="single" w:sz="4" w:space="0" w:color="auto"/>
              <w:left w:val="single" w:sz="4" w:space="0" w:color="auto"/>
              <w:bottom w:val="single" w:sz="4" w:space="0" w:color="auto"/>
              <w:right w:val="single" w:sz="4" w:space="0" w:color="auto"/>
            </w:tcBorders>
            <w:vAlign w:val="center"/>
          </w:tcPr>
          <w:p w14:paraId="5DDC1FE6" w14:textId="77777777" w:rsidR="00AD3739" w:rsidRPr="007743A8" w:rsidRDefault="00AD3739" w:rsidP="00DF497D">
            <w:pPr>
              <w:jc w:val="center"/>
              <w:rPr>
                <w:rFonts w:ascii="Arial Narrow" w:hAnsi="Arial Narrow"/>
                <w:sz w:val="20"/>
              </w:rPr>
            </w:pPr>
            <w:r w:rsidRPr="007743A8">
              <w:rPr>
                <w:rFonts w:ascii="Arial Narrow" w:hAnsi="Arial Narrow"/>
                <w:sz w:val="20"/>
              </w:rPr>
              <w:t>$6,314.49</w:t>
            </w:r>
          </w:p>
        </w:tc>
        <w:tc>
          <w:tcPr>
            <w:tcW w:w="773" w:type="pct"/>
            <w:tcBorders>
              <w:top w:val="single" w:sz="4" w:space="0" w:color="auto"/>
              <w:left w:val="single" w:sz="4" w:space="0" w:color="auto"/>
              <w:bottom w:val="single" w:sz="4" w:space="0" w:color="auto"/>
              <w:right w:val="single" w:sz="4" w:space="0" w:color="auto"/>
            </w:tcBorders>
            <w:vAlign w:val="center"/>
          </w:tcPr>
          <w:p w14:paraId="60C09FDB" w14:textId="77777777" w:rsidR="00AD3739" w:rsidRPr="007743A8" w:rsidRDefault="00AD3739" w:rsidP="00DF497D">
            <w:pPr>
              <w:jc w:val="center"/>
              <w:rPr>
                <w:rFonts w:ascii="Arial Narrow" w:hAnsi="Arial Narrow"/>
                <w:sz w:val="20"/>
              </w:rPr>
            </w:pPr>
            <w:r w:rsidRPr="007743A8">
              <w:rPr>
                <w:rFonts w:ascii="Arial Narrow" w:hAnsi="Arial Narrow"/>
                <w:sz w:val="20"/>
              </w:rPr>
              <w:t>0.0953</w:t>
            </w:r>
          </w:p>
        </w:tc>
        <w:tc>
          <w:tcPr>
            <w:tcW w:w="1222" w:type="pct"/>
            <w:tcBorders>
              <w:top w:val="single" w:sz="4" w:space="0" w:color="auto"/>
              <w:left w:val="single" w:sz="4" w:space="0" w:color="auto"/>
              <w:bottom w:val="single" w:sz="4" w:space="0" w:color="auto"/>
              <w:right w:val="single" w:sz="4" w:space="0" w:color="auto"/>
            </w:tcBorders>
            <w:vAlign w:val="center"/>
          </w:tcPr>
          <w:p w14:paraId="58C18493" w14:textId="77777777" w:rsidR="00AD3739" w:rsidRPr="007743A8" w:rsidRDefault="00AD3739" w:rsidP="00DF497D">
            <w:pPr>
              <w:jc w:val="center"/>
              <w:rPr>
                <w:rFonts w:ascii="Arial Narrow" w:hAnsi="Arial Narrow"/>
                <w:sz w:val="20"/>
              </w:rPr>
            </w:pPr>
            <w:r w:rsidRPr="007743A8">
              <w:rPr>
                <w:rFonts w:ascii="Arial Narrow" w:hAnsi="Arial Narrow"/>
                <w:sz w:val="20"/>
              </w:rPr>
              <w:t>$66,233.05</w:t>
            </w:r>
          </w:p>
        </w:tc>
      </w:tr>
      <w:tr w:rsidR="00AD3739" w:rsidRPr="007743A8" w14:paraId="7365DDEC" w14:textId="77777777" w:rsidTr="00E71C9F">
        <w:tc>
          <w:tcPr>
            <w:tcW w:w="2239" w:type="pct"/>
            <w:tcBorders>
              <w:top w:val="single" w:sz="4" w:space="0" w:color="auto"/>
              <w:left w:val="single" w:sz="4" w:space="0" w:color="auto"/>
              <w:bottom w:val="single" w:sz="4" w:space="0" w:color="auto"/>
              <w:right w:val="single" w:sz="4" w:space="0" w:color="auto"/>
            </w:tcBorders>
            <w:vAlign w:val="center"/>
          </w:tcPr>
          <w:p w14:paraId="31B9F899" w14:textId="77777777" w:rsidR="00AD3739" w:rsidRPr="007743A8" w:rsidRDefault="00AD3739" w:rsidP="00DF497D">
            <w:pPr>
              <w:rPr>
                <w:rFonts w:ascii="Arial Narrow" w:hAnsi="Arial Narrow"/>
                <w:sz w:val="20"/>
              </w:rPr>
            </w:pPr>
            <w:r w:rsidRPr="007743A8">
              <w:rPr>
                <w:rFonts w:ascii="Arial Narrow" w:hAnsi="Arial Narrow"/>
                <w:sz w:val="20"/>
              </w:rPr>
              <w:t>Utility for breast cancer = 0.90</w:t>
            </w:r>
          </w:p>
        </w:tc>
        <w:tc>
          <w:tcPr>
            <w:tcW w:w="767" w:type="pct"/>
            <w:tcBorders>
              <w:top w:val="single" w:sz="4" w:space="0" w:color="auto"/>
              <w:left w:val="single" w:sz="4" w:space="0" w:color="auto"/>
              <w:bottom w:val="single" w:sz="4" w:space="0" w:color="auto"/>
              <w:right w:val="single" w:sz="4" w:space="0" w:color="auto"/>
            </w:tcBorders>
            <w:vAlign w:val="center"/>
          </w:tcPr>
          <w:p w14:paraId="4682CF9C" w14:textId="77777777" w:rsidR="00AD3739" w:rsidRPr="007743A8" w:rsidRDefault="00AD3739" w:rsidP="00DF497D">
            <w:pPr>
              <w:jc w:val="center"/>
              <w:rPr>
                <w:rFonts w:ascii="Arial Narrow" w:hAnsi="Arial Narrow"/>
                <w:sz w:val="20"/>
              </w:rPr>
            </w:pPr>
            <w:r w:rsidRPr="007743A8">
              <w:rPr>
                <w:rFonts w:ascii="Arial Narrow" w:hAnsi="Arial Narrow"/>
                <w:sz w:val="20"/>
              </w:rPr>
              <w:t>$6,301.31</w:t>
            </w:r>
          </w:p>
        </w:tc>
        <w:tc>
          <w:tcPr>
            <w:tcW w:w="773" w:type="pct"/>
            <w:tcBorders>
              <w:top w:val="single" w:sz="4" w:space="0" w:color="auto"/>
              <w:left w:val="single" w:sz="4" w:space="0" w:color="auto"/>
              <w:bottom w:val="single" w:sz="4" w:space="0" w:color="auto"/>
              <w:right w:val="single" w:sz="4" w:space="0" w:color="auto"/>
            </w:tcBorders>
            <w:vAlign w:val="center"/>
          </w:tcPr>
          <w:p w14:paraId="23637F32" w14:textId="77777777" w:rsidR="00AD3739" w:rsidRPr="007743A8" w:rsidRDefault="00AD3739" w:rsidP="00DF497D">
            <w:pPr>
              <w:jc w:val="center"/>
              <w:rPr>
                <w:rFonts w:ascii="Arial Narrow" w:hAnsi="Arial Narrow"/>
                <w:sz w:val="20"/>
              </w:rPr>
            </w:pPr>
            <w:r w:rsidRPr="007743A8">
              <w:rPr>
                <w:rFonts w:ascii="Arial Narrow" w:hAnsi="Arial Narrow"/>
                <w:sz w:val="20"/>
              </w:rPr>
              <w:t>0.0555</w:t>
            </w:r>
          </w:p>
        </w:tc>
        <w:tc>
          <w:tcPr>
            <w:tcW w:w="1222" w:type="pct"/>
            <w:tcBorders>
              <w:top w:val="single" w:sz="4" w:space="0" w:color="auto"/>
              <w:left w:val="single" w:sz="4" w:space="0" w:color="auto"/>
              <w:bottom w:val="single" w:sz="4" w:space="0" w:color="auto"/>
              <w:right w:val="single" w:sz="4" w:space="0" w:color="auto"/>
            </w:tcBorders>
            <w:vAlign w:val="center"/>
          </w:tcPr>
          <w:p w14:paraId="3B136DBE" w14:textId="77777777" w:rsidR="00AD3739" w:rsidRPr="007743A8" w:rsidRDefault="00AD3739" w:rsidP="00DF497D">
            <w:pPr>
              <w:jc w:val="center"/>
              <w:rPr>
                <w:rFonts w:ascii="Arial Narrow" w:hAnsi="Arial Narrow"/>
                <w:sz w:val="20"/>
              </w:rPr>
            </w:pPr>
            <w:r w:rsidRPr="007743A8">
              <w:rPr>
                <w:rFonts w:ascii="Arial Narrow" w:hAnsi="Arial Narrow"/>
                <w:sz w:val="20"/>
              </w:rPr>
              <w:t>$113,589.18</w:t>
            </w:r>
          </w:p>
        </w:tc>
      </w:tr>
    </w:tbl>
    <w:p w14:paraId="25FFA703" w14:textId="77777777" w:rsidR="00AD3739" w:rsidRPr="00E859A1" w:rsidRDefault="00AD3739" w:rsidP="00AD3739">
      <w:pPr>
        <w:tabs>
          <w:tab w:val="left" w:pos="284"/>
        </w:tabs>
        <w:ind w:left="284" w:hanging="284"/>
        <w:rPr>
          <w:rFonts w:ascii="Arial Narrow" w:hAnsi="Arial Narrow"/>
          <w:sz w:val="20"/>
        </w:rPr>
      </w:pPr>
      <w:r w:rsidRPr="00E859A1">
        <w:rPr>
          <w:rFonts w:ascii="Arial Narrow" w:hAnsi="Arial Narrow"/>
          <w:sz w:val="20"/>
          <w:vertAlign w:val="superscript"/>
        </w:rPr>
        <w:t>1</w:t>
      </w:r>
      <w:r w:rsidRPr="00E859A1">
        <w:rPr>
          <w:rFonts w:ascii="Arial Narrow" w:hAnsi="Arial Narrow"/>
          <w:sz w:val="20"/>
          <w:vertAlign w:val="superscript"/>
        </w:rPr>
        <w:tab/>
      </w:r>
      <w:r w:rsidRPr="00E859A1">
        <w:rPr>
          <w:rFonts w:ascii="Arial Narrow" w:hAnsi="Arial Narrow"/>
          <w:sz w:val="20"/>
        </w:rPr>
        <w:t>Based on Based on data provided in Table 6.4.1 of CUC (Antoniou et al Am J Hum Genet 2002 72:1117-30)</w:t>
      </w:r>
    </w:p>
    <w:p w14:paraId="5BB6F6BB" w14:textId="77777777" w:rsidR="00A8248C" w:rsidRDefault="00A8248C" w:rsidP="00AD3739">
      <w:pPr>
        <w:rPr>
          <w:szCs w:val="24"/>
        </w:rPr>
      </w:pPr>
    </w:p>
    <w:p w14:paraId="15243934" w14:textId="77777777" w:rsidR="00AD3739" w:rsidRPr="00075AF0" w:rsidRDefault="00AD3739" w:rsidP="00AD3739">
      <w:pPr>
        <w:rPr>
          <w:szCs w:val="24"/>
        </w:rPr>
      </w:pPr>
      <w:r w:rsidRPr="00075AF0">
        <w:rPr>
          <w:szCs w:val="24"/>
        </w:rPr>
        <w:t xml:space="preserve">The ICER derived for family members </w:t>
      </w:r>
      <w:r w:rsidR="00A8248C">
        <w:rPr>
          <w:szCs w:val="24"/>
        </w:rPr>
        <w:t>wa</w:t>
      </w:r>
      <w:r w:rsidRPr="00075AF0">
        <w:rPr>
          <w:szCs w:val="24"/>
        </w:rPr>
        <w:t xml:space="preserve">s most sensitive to the assumed utility for early breast cancer, the relative risk of breast cancer among those who are positive for </w:t>
      </w:r>
      <w:r w:rsidRPr="00A8248C">
        <w:rPr>
          <w:i/>
          <w:szCs w:val="24"/>
        </w:rPr>
        <w:t>BRCA1</w:t>
      </w:r>
      <w:r w:rsidRPr="00075AF0">
        <w:rPr>
          <w:szCs w:val="24"/>
        </w:rPr>
        <w:t xml:space="preserve"> or </w:t>
      </w:r>
      <w:r w:rsidR="00A8248C" w:rsidRPr="00A8248C">
        <w:rPr>
          <w:i/>
          <w:szCs w:val="24"/>
        </w:rPr>
        <w:t>BRCA</w:t>
      </w:r>
      <w:r w:rsidRPr="00A8248C">
        <w:rPr>
          <w:i/>
          <w:szCs w:val="24"/>
        </w:rPr>
        <w:t>2</w:t>
      </w:r>
      <w:r w:rsidRPr="00075AF0">
        <w:rPr>
          <w:szCs w:val="24"/>
        </w:rPr>
        <w:t xml:space="preserve"> mutations, the costs assumed for BM and BSO and the removal of discounting of c</w:t>
      </w:r>
      <w:r w:rsidR="00A8248C">
        <w:rPr>
          <w:szCs w:val="24"/>
        </w:rPr>
        <w:t>osts and effects in the model.</w:t>
      </w:r>
    </w:p>
    <w:p w14:paraId="29B34E7E" w14:textId="77777777" w:rsidR="00AD3739" w:rsidRPr="00075AF0" w:rsidRDefault="00AD3739" w:rsidP="00AD3739">
      <w:pPr>
        <w:rPr>
          <w:szCs w:val="24"/>
        </w:rPr>
      </w:pPr>
    </w:p>
    <w:p w14:paraId="5ED70001" w14:textId="77777777" w:rsidR="00AD3739" w:rsidRPr="00075AF0" w:rsidRDefault="00AD3739" w:rsidP="00AD3739">
      <w:pPr>
        <w:rPr>
          <w:szCs w:val="24"/>
        </w:rPr>
      </w:pPr>
      <w:r w:rsidRPr="00075AF0">
        <w:rPr>
          <w:szCs w:val="24"/>
        </w:rPr>
        <w:t>Section 6 of the CUC noted that the age-dependent relative risks reported in Antoniou et al (2003) were greater than the risk in the base case (RR = 6.4)</w:t>
      </w:r>
      <w:r w:rsidR="00E51E67">
        <w:rPr>
          <w:szCs w:val="24"/>
        </w:rPr>
        <w:t>,</w:t>
      </w:r>
      <w:r w:rsidRPr="00075AF0">
        <w:rPr>
          <w:szCs w:val="24"/>
        </w:rPr>
        <w:t xml:space="preserve"> which already represent</w:t>
      </w:r>
      <w:r w:rsidR="00E51E67">
        <w:rPr>
          <w:szCs w:val="24"/>
        </w:rPr>
        <w:t>ed</w:t>
      </w:r>
      <w:r w:rsidRPr="00075AF0">
        <w:rPr>
          <w:szCs w:val="24"/>
        </w:rPr>
        <w:t xml:space="preserve"> a 60% life time risk of breast cancer, compared to a baseline lifetime risk in individuals with no </w:t>
      </w:r>
      <w:r w:rsidRPr="00A8248C">
        <w:rPr>
          <w:i/>
          <w:szCs w:val="24"/>
        </w:rPr>
        <w:t>BRCA</w:t>
      </w:r>
      <w:r w:rsidRPr="00075AF0">
        <w:rPr>
          <w:szCs w:val="24"/>
        </w:rPr>
        <w:t xml:space="preserve"> mutation of 9.3%. The CUC considered </w:t>
      </w:r>
      <w:r w:rsidR="00E859A1">
        <w:rPr>
          <w:szCs w:val="24"/>
        </w:rPr>
        <w:t xml:space="preserve">that </w:t>
      </w:r>
      <w:r w:rsidRPr="00075AF0">
        <w:rPr>
          <w:szCs w:val="24"/>
        </w:rPr>
        <w:t>it was unclear how the age-dependent rates reported in Antoniou et al (2002) reconciled wi</w:t>
      </w:r>
      <w:r w:rsidR="00E859A1">
        <w:rPr>
          <w:szCs w:val="24"/>
        </w:rPr>
        <w:t>th the reported lifetime risk.</w:t>
      </w:r>
    </w:p>
    <w:p w14:paraId="79280418" w14:textId="77777777" w:rsidR="00AD3739" w:rsidRPr="00075AF0" w:rsidRDefault="00AD3739" w:rsidP="00AD3739">
      <w:pPr>
        <w:rPr>
          <w:szCs w:val="24"/>
        </w:rPr>
      </w:pPr>
    </w:p>
    <w:p w14:paraId="0F3215D7" w14:textId="77777777" w:rsidR="00AD3739" w:rsidRDefault="00AD3739" w:rsidP="00AD3739">
      <w:pPr>
        <w:rPr>
          <w:szCs w:val="24"/>
        </w:rPr>
      </w:pPr>
      <w:r w:rsidRPr="00075AF0">
        <w:rPr>
          <w:szCs w:val="24"/>
        </w:rPr>
        <w:t>The CUC also noted two significant limitations to the model:</w:t>
      </w:r>
    </w:p>
    <w:p w14:paraId="0F7C9C2B" w14:textId="77777777" w:rsidR="00AD3739" w:rsidRPr="00075AF0" w:rsidRDefault="00AD3739" w:rsidP="00AD3739">
      <w:pPr>
        <w:rPr>
          <w:szCs w:val="24"/>
        </w:rPr>
      </w:pPr>
    </w:p>
    <w:p w14:paraId="3A7FE6E7" w14:textId="77777777" w:rsidR="00AD3739" w:rsidRPr="00075AF0" w:rsidRDefault="00AD3739" w:rsidP="007748B7">
      <w:pPr>
        <w:pStyle w:val="ListParagraph"/>
        <w:widowControl w:val="0"/>
        <w:numPr>
          <w:ilvl w:val="0"/>
          <w:numId w:val="29"/>
        </w:numPr>
        <w:tabs>
          <w:tab w:val="left" w:pos="284"/>
        </w:tabs>
        <w:ind w:left="284" w:hanging="284"/>
        <w:rPr>
          <w:szCs w:val="24"/>
        </w:rPr>
      </w:pPr>
      <w:r w:rsidRPr="00A8248C">
        <w:rPr>
          <w:i/>
          <w:szCs w:val="24"/>
        </w:rPr>
        <w:t>BRCA</w:t>
      </w:r>
      <w:r w:rsidRPr="00075AF0">
        <w:rPr>
          <w:szCs w:val="24"/>
        </w:rPr>
        <w:t xml:space="preserve"> mutation is likely to increase the risk of breast cancer at an earlier age compa</w:t>
      </w:r>
      <w:r w:rsidR="00E859A1">
        <w:rPr>
          <w:szCs w:val="24"/>
        </w:rPr>
        <w:t xml:space="preserve">red to the general population. </w:t>
      </w:r>
      <w:r w:rsidRPr="00075AF0">
        <w:rPr>
          <w:szCs w:val="24"/>
        </w:rPr>
        <w:t xml:space="preserve">However, because the model applies a fixed relative risk to the population incidence, the number of breast cancers in younger individuals who have a </w:t>
      </w:r>
      <w:r w:rsidRPr="00A8248C">
        <w:rPr>
          <w:i/>
          <w:szCs w:val="24"/>
        </w:rPr>
        <w:t>BRCA</w:t>
      </w:r>
      <w:r w:rsidRPr="00075AF0">
        <w:rPr>
          <w:szCs w:val="24"/>
        </w:rPr>
        <w:t xml:space="preserve"> mutation may be underestimated, which may lead to an underestimation in the QALY gain from genetic testing as the risk of mortality a</w:t>
      </w:r>
      <w:r w:rsidR="00E859A1">
        <w:rPr>
          <w:szCs w:val="24"/>
        </w:rPr>
        <w:t>t the early age may be higher.</w:t>
      </w:r>
    </w:p>
    <w:p w14:paraId="57C9F81E" w14:textId="77777777" w:rsidR="00AD3739" w:rsidRPr="00075AF0" w:rsidRDefault="00AD3739" w:rsidP="00AD3739">
      <w:pPr>
        <w:pStyle w:val="ListParagraph"/>
        <w:tabs>
          <w:tab w:val="left" w:pos="284"/>
        </w:tabs>
        <w:ind w:left="284" w:hanging="284"/>
        <w:rPr>
          <w:szCs w:val="24"/>
        </w:rPr>
      </w:pPr>
    </w:p>
    <w:p w14:paraId="7A408CAF" w14:textId="77777777" w:rsidR="00B460F2" w:rsidRPr="00075AF0" w:rsidRDefault="00AD3739" w:rsidP="00AD3739">
      <w:pPr>
        <w:pStyle w:val="ListParagraph"/>
        <w:tabs>
          <w:tab w:val="left" w:pos="284"/>
        </w:tabs>
        <w:ind w:left="284"/>
        <w:rPr>
          <w:szCs w:val="24"/>
        </w:rPr>
      </w:pPr>
      <w:r w:rsidRPr="00075AF0">
        <w:rPr>
          <w:szCs w:val="24"/>
        </w:rPr>
        <w:t xml:space="preserve">The CUC suggested there was insufficient data to construct a </w:t>
      </w:r>
      <w:r w:rsidRPr="00A8248C">
        <w:rPr>
          <w:i/>
          <w:szCs w:val="24"/>
        </w:rPr>
        <w:t>BRCA</w:t>
      </w:r>
      <w:r w:rsidRPr="00075AF0">
        <w:rPr>
          <w:szCs w:val="24"/>
        </w:rPr>
        <w:t xml:space="preserve"> </w:t>
      </w:r>
      <w:r w:rsidR="00B460F2">
        <w:rPr>
          <w:szCs w:val="24"/>
        </w:rPr>
        <w:t xml:space="preserve">gene </w:t>
      </w:r>
      <w:r w:rsidR="00E71C9F">
        <w:rPr>
          <w:szCs w:val="24"/>
        </w:rPr>
        <w:t>specific, age-</w:t>
      </w:r>
      <w:r w:rsidRPr="00075AF0">
        <w:rPr>
          <w:szCs w:val="24"/>
        </w:rPr>
        <w:t>dependent breast cancer risk curve in Australian individua</w:t>
      </w:r>
      <w:r w:rsidR="00E859A1">
        <w:rPr>
          <w:szCs w:val="24"/>
        </w:rPr>
        <w:t xml:space="preserve">ls to inform the model. </w:t>
      </w:r>
      <w:r w:rsidRPr="00075AF0">
        <w:rPr>
          <w:szCs w:val="24"/>
        </w:rPr>
        <w:t>Even though A</w:t>
      </w:r>
      <w:r w:rsidR="00E71C9F">
        <w:rPr>
          <w:szCs w:val="24"/>
        </w:rPr>
        <w:t>ntoniou et al 2003 reported age-</w:t>
      </w:r>
      <w:r w:rsidRPr="00075AF0">
        <w:rPr>
          <w:szCs w:val="24"/>
        </w:rPr>
        <w:t xml:space="preserve">specific relative risk for breast cancer in </w:t>
      </w:r>
      <w:r w:rsidRPr="00A8248C">
        <w:rPr>
          <w:i/>
          <w:szCs w:val="24"/>
        </w:rPr>
        <w:t>BRCA</w:t>
      </w:r>
      <w:r w:rsidRPr="00075AF0">
        <w:rPr>
          <w:szCs w:val="24"/>
        </w:rPr>
        <w:t xml:space="preserve"> mutation positive carriers (</w:t>
      </w:r>
      <w:proofErr w:type="spellStart"/>
      <w:r w:rsidRPr="00075AF0">
        <w:rPr>
          <w:szCs w:val="24"/>
        </w:rPr>
        <w:t>ie</w:t>
      </w:r>
      <w:proofErr w:type="spellEnd"/>
      <w:r w:rsidRPr="00075AF0">
        <w:rPr>
          <w:szCs w:val="24"/>
        </w:rPr>
        <w:t>. family members), the baseline rate (incidence in England and Wales from 1973-1977) may not be appropriate for comparison with the current Australian population, and the relative risks reported, once applied to the AIHW Australian data, exceed the estimates from the Antoniou study.</w:t>
      </w:r>
    </w:p>
    <w:p w14:paraId="19620419" w14:textId="77777777" w:rsidR="00AD3739" w:rsidRPr="00E859A1" w:rsidRDefault="00AD3739" w:rsidP="00E859A1">
      <w:pPr>
        <w:rPr>
          <w:szCs w:val="24"/>
        </w:rPr>
      </w:pPr>
    </w:p>
    <w:p w14:paraId="6043E38F" w14:textId="77777777" w:rsidR="00AD3739" w:rsidRPr="00075AF0" w:rsidRDefault="00AD3739" w:rsidP="006B3FCB">
      <w:pPr>
        <w:pStyle w:val="Caption"/>
        <w:spacing w:before="0" w:after="0"/>
        <w:ind w:left="284" w:firstLine="0"/>
      </w:pPr>
      <w:r w:rsidRPr="00075AF0">
        <w:t>Table</w:t>
      </w:r>
      <w:r w:rsidR="00161E42">
        <w:t xml:space="preserve"> 9</w:t>
      </w:r>
      <w:r w:rsidRPr="00075AF0">
        <w:t>: Actual age</w:t>
      </w:r>
      <w:r w:rsidR="00E71C9F">
        <w:t>-</w:t>
      </w:r>
      <w:r w:rsidRPr="00075AF0">
        <w:t>specific incidence in Antoniou et al. compared to applying RR reported in Antoniou et al. to AIHW incidence rates</w:t>
      </w:r>
    </w:p>
    <w:tbl>
      <w:tblPr>
        <w:tblStyle w:val="TableGrid"/>
        <w:tblW w:w="8930" w:type="dxa"/>
        <w:tblInd w:w="392" w:type="dxa"/>
        <w:tblLook w:val="04A0" w:firstRow="1" w:lastRow="0" w:firstColumn="1" w:lastColumn="0" w:noHBand="0" w:noVBand="1"/>
        <w:tblCaption w:val="Table 9: Actual age-specific incidence in Antoniou et al. compared to applying RR reported in Antoniou et al. to AIHW incidence rates"/>
      </w:tblPr>
      <w:tblGrid>
        <w:gridCol w:w="1701"/>
        <w:gridCol w:w="1984"/>
        <w:gridCol w:w="2268"/>
        <w:gridCol w:w="2977"/>
      </w:tblGrid>
      <w:tr w:rsidR="00AD3739" w:rsidRPr="007743A8" w14:paraId="0DC0F736" w14:textId="77777777" w:rsidTr="00E2413C">
        <w:trPr>
          <w:tblHeader/>
        </w:trPr>
        <w:tc>
          <w:tcPr>
            <w:tcW w:w="1701" w:type="dxa"/>
            <w:vAlign w:val="center"/>
          </w:tcPr>
          <w:p w14:paraId="277DD2CC" w14:textId="77777777" w:rsidR="00AD3739" w:rsidRPr="00E859A1" w:rsidRDefault="00AD3739" w:rsidP="00E859A1">
            <w:pPr>
              <w:pStyle w:val="ListParagraph"/>
              <w:ind w:left="0"/>
              <w:jc w:val="center"/>
              <w:rPr>
                <w:rFonts w:ascii="Arial Narrow" w:hAnsi="Arial Narrow" w:cs="Times New Roman"/>
                <w:b/>
                <w:sz w:val="20"/>
              </w:rPr>
            </w:pPr>
            <w:r w:rsidRPr="00E859A1">
              <w:rPr>
                <w:rFonts w:ascii="Arial Narrow" w:hAnsi="Arial Narrow" w:cs="Times New Roman"/>
                <w:b/>
                <w:sz w:val="20"/>
              </w:rPr>
              <w:t>Age</w:t>
            </w:r>
          </w:p>
        </w:tc>
        <w:tc>
          <w:tcPr>
            <w:tcW w:w="1984" w:type="dxa"/>
            <w:vAlign w:val="center"/>
          </w:tcPr>
          <w:p w14:paraId="210C9A87" w14:textId="77777777" w:rsidR="00AD3739" w:rsidRPr="00E859A1" w:rsidRDefault="00AD3739" w:rsidP="00DF497D">
            <w:pPr>
              <w:pStyle w:val="ListParagraph"/>
              <w:ind w:left="0"/>
              <w:jc w:val="center"/>
              <w:rPr>
                <w:rFonts w:ascii="Arial Narrow" w:hAnsi="Arial Narrow" w:cs="Times New Roman"/>
                <w:b/>
                <w:sz w:val="20"/>
              </w:rPr>
            </w:pPr>
            <w:r w:rsidRPr="00E859A1">
              <w:rPr>
                <w:rFonts w:ascii="Arial Narrow" w:hAnsi="Arial Narrow" w:cs="Times New Roman"/>
                <w:b/>
                <w:sz w:val="20"/>
              </w:rPr>
              <w:t>RR reported by Antoniou et al.</w:t>
            </w:r>
          </w:p>
        </w:tc>
        <w:tc>
          <w:tcPr>
            <w:tcW w:w="2268" w:type="dxa"/>
            <w:vAlign w:val="center"/>
          </w:tcPr>
          <w:p w14:paraId="7B90EC47" w14:textId="77777777" w:rsidR="00AD3739" w:rsidRPr="00E859A1" w:rsidRDefault="00AD3739" w:rsidP="00DF497D">
            <w:pPr>
              <w:pStyle w:val="ListParagraph"/>
              <w:ind w:left="0"/>
              <w:jc w:val="center"/>
              <w:rPr>
                <w:rFonts w:ascii="Arial Narrow" w:hAnsi="Arial Narrow" w:cs="Times New Roman"/>
                <w:b/>
                <w:sz w:val="20"/>
              </w:rPr>
            </w:pPr>
            <w:r w:rsidRPr="00E859A1">
              <w:rPr>
                <w:rFonts w:ascii="Arial Narrow" w:hAnsi="Arial Narrow" w:cs="Times New Roman"/>
                <w:b/>
                <w:sz w:val="20"/>
              </w:rPr>
              <w:t>Actual reported in Antoniou et al.</w:t>
            </w:r>
            <w:r w:rsidR="00E859A1">
              <w:rPr>
                <w:rFonts w:ascii="Arial Narrow" w:hAnsi="Arial Narrow" w:cs="Times New Roman"/>
                <w:b/>
                <w:sz w:val="20"/>
              </w:rPr>
              <w:t xml:space="preserve"> </w:t>
            </w:r>
            <w:r w:rsidRPr="00E859A1">
              <w:rPr>
                <w:rFonts w:ascii="Arial Narrow" w:hAnsi="Arial Narrow" w:cs="Times New Roman"/>
                <w:b/>
                <w:sz w:val="20"/>
              </w:rPr>
              <w:t>(%)</w:t>
            </w:r>
          </w:p>
        </w:tc>
        <w:tc>
          <w:tcPr>
            <w:tcW w:w="2977" w:type="dxa"/>
            <w:vAlign w:val="center"/>
          </w:tcPr>
          <w:p w14:paraId="01C56BB0" w14:textId="77777777" w:rsidR="00AD3739" w:rsidRPr="00E859A1" w:rsidRDefault="00AD3739" w:rsidP="00DF497D">
            <w:pPr>
              <w:pStyle w:val="ListParagraph"/>
              <w:ind w:left="0"/>
              <w:jc w:val="center"/>
              <w:rPr>
                <w:rFonts w:ascii="Arial Narrow" w:hAnsi="Arial Narrow" w:cs="Times New Roman"/>
                <w:b/>
                <w:sz w:val="20"/>
              </w:rPr>
            </w:pPr>
            <w:r w:rsidRPr="00E859A1">
              <w:rPr>
                <w:rFonts w:ascii="Arial Narrow" w:hAnsi="Arial Narrow" w:cs="Times New Roman"/>
                <w:b/>
                <w:sz w:val="20"/>
              </w:rPr>
              <w:t>Estimates of applying RR in Antoniou et al. to AIHW data</w:t>
            </w:r>
            <w:r w:rsidRPr="00E859A1">
              <w:rPr>
                <w:rFonts w:ascii="Arial Narrow" w:hAnsi="Arial Narrow" w:cs="Times New Roman"/>
                <w:b/>
                <w:sz w:val="20"/>
                <w:vertAlign w:val="superscript"/>
              </w:rPr>
              <w:t>1</w:t>
            </w:r>
            <w:r w:rsidRPr="00E859A1">
              <w:rPr>
                <w:rFonts w:ascii="Arial Narrow" w:hAnsi="Arial Narrow" w:cs="Times New Roman"/>
                <w:b/>
                <w:sz w:val="20"/>
              </w:rPr>
              <w:t xml:space="preserve"> (%)</w:t>
            </w:r>
          </w:p>
        </w:tc>
      </w:tr>
      <w:tr w:rsidR="00AD3739" w:rsidRPr="007743A8" w14:paraId="0723218D" w14:textId="77777777" w:rsidTr="006B3FCB">
        <w:tc>
          <w:tcPr>
            <w:tcW w:w="1701" w:type="dxa"/>
          </w:tcPr>
          <w:p w14:paraId="3ED895E8" w14:textId="77777777" w:rsidR="00AD3739" w:rsidRPr="007743A8" w:rsidRDefault="00AD3739" w:rsidP="00E859A1">
            <w:pPr>
              <w:pStyle w:val="ListParagraph"/>
              <w:ind w:left="0"/>
              <w:jc w:val="center"/>
              <w:rPr>
                <w:rFonts w:ascii="Arial Narrow" w:hAnsi="Arial Narrow" w:cs="Times New Roman"/>
                <w:sz w:val="20"/>
              </w:rPr>
            </w:pPr>
            <w:r w:rsidRPr="007743A8">
              <w:rPr>
                <w:rFonts w:ascii="Arial Narrow" w:hAnsi="Arial Narrow" w:cs="Times New Roman"/>
                <w:sz w:val="20"/>
              </w:rPr>
              <w:t>30-34</w:t>
            </w:r>
          </w:p>
        </w:tc>
        <w:tc>
          <w:tcPr>
            <w:tcW w:w="1984" w:type="dxa"/>
            <w:vMerge w:val="restart"/>
            <w:vAlign w:val="center"/>
          </w:tcPr>
          <w:p w14:paraId="15FBB41C" w14:textId="77777777" w:rsidR="00AD3739" w:rsidRPr="007743A8" w:rsidRDefault="00AD3739" w:rsidP="00DF497D">
            <w:pPr>
              <w:pStyle w:val="ListParagraph"/>
              <w:ind w:left="0"/>
              <w:jc w:val="center"/>
              <w:rPr>
                <w:rFonts w:ascii="Arial Narrow" w:hAnsi="Arial Narrow" w:cs="Times New Roman"/>
                <w:sz w:val="20"/>
              </w:rPr>
            </w:pPr>
            <w:r w:rsidRPr="007743A8">
              <w:rPr>
                <w:rFonts w:ascii="Arial Narrow" w:hAnsi="Arial Narrow" w:cs="Times New Roman"/>
                <w:sz w:val="20"/>
              </w:rPr>
              <w:t>33</w:t>
            </w:r>
          </w:p>
        </w:tc>
        <w:tc>
          <w:tcPr>
            <w:tcW w:w="2268" w:type="dxa"/>
            <w:vAlign w:val="center"/>
          </w:tcPr>
          <w:p w14:paraId="74394CF1" w14:textId="77777777" w:rsidR="00AD3739" w:rsidRPr="007743A8" w:rsidRDefault="00AD3739" w:rsidP="00DF497D">
            <w:pPr>
              <w:pStyle w:val="ListParagraph"/>
              <w:ind w:left="0"/>
              <w:jc w:val="center"/>
              <w:rPr>
                <w:rFonts w:ascii="Arial Narrow" w:hAnsi="Arial Narrow" w:cs="Times New Roman"/>
                <w:sz w:val="20"/>
              </w:rPr>
            </w:pPr>
            <w:r w:rsidRPr="007743A8">
              <w:rPr>
                <w:rFonts w:ascii="Arial Narrow" w:hAnsi="Arial Narrow" w:cs="Times New Roman"/>
                <w:sz w:val="20"/>
              </w:rPr>
              <w:t>0.74</w:t>
            </w:r>
          </w:p>
        </w:tc>
        <w:tc>
          <w:tcPr>
            <w:tcW w:w="2977" w:type="dxa"/>
            <w:vAlign w:val="center"/>
          </w:tcPr>
          <w:p w14:paraId="5549B149" w14:textId="77777777" w:rsidR="00AD3739" w:rsidRPr="007743A8" w:rsidRDefault="00AD3739" w:rsidP="00DF497D">
            <w:pPr>
              <w:pStyle w:val="ListParagraph"/>
              <w:ind w:left="0"/>
              <w:jc w:val="center"/>
              <w:rPr>
                <w:rFonts w:ascii="Arial Narrow" w:hAnsi="Arial Narrow" w:cs="Times New Roman"/>
                <w:sz w:val="20"/>
              </w:rPr>
            </w:pPr>
            <w:r w:rsidRPr="007743A8">
              <w:rPr>
                <w:rFonts w:ascii="Arial Narrow" w:hAnsi="Arial Narrow" w:cs="Times New Roman"/>
                <w:sz w:val="20"/>
              </w:rPr>
              <w:t>4.44</w:t>
            </w:r>
          </w:p>
        </w:tc>
      </w:tr>
      <w:tr w:rsidR="00AD3739" w:rsidRPr="007743A8" w14:paraId="70DBB073" w14:textId="77777777" w:rsidTr="006B3FCB">
        <w:tc>
          <w:tcPr>
            <w:tcW w:w="1701" w:type="dxa"/>
          </w:tcPr>
          <w:p w14:paraId="69CAE481" w14:textId="77777777" w:rsidR="00AD3739" w:rsidRPr="007743A8" w:rsidRDefault="00AD3739" w:rsidP="00E859A1">
            <w:pPr>
              <w:pStyle w:val="ListParagraph"/>
              <w:ind w:left="0"/>
              <w:jc w:val="center"/>
              <w:rPr>
                <w:rFonts w:ascii="Arial Narrow" w:hAnsi="Arial Narrow" w:cs="Times New Roman"/>
                <w:sz w:val="20"/>
              </w:rPr>
            </w:pPr>
            <w:r w:rsidRPr="007743A8">
              <w:rPr>
                <w:rFonts w:ascii="Arial Narrow" w:hAnsi="Arial Narrow" w:cs="Times New Roman"/>
                <w:sz w:val="20"/>
              </w:rPr>
              <w:t>35-39</w:t>
            </w:r>
          </w:p>
        </w:tc>
        <w:tc>
          <w:tcPr>
            <w:tcW w:w="1984" w:type="dxa"/>
            <w:vMerge/>
            <w:vAlign w:val="center"/>
          </w:tcPr>
          <w:p w14:paraId="27AD113D" w14:textId="77777777" w:rsidR="00AD3739" w:rsidRPr="007743A8" w:rsidRDefault="00AD3739" w:rsidP="00DF497D">
            <w:pPr>
              <w:pStyle w:val="ListParagraph"/>
              <w:ind w:left="0"/>
              <w:jc w:val="center"/>
              <w:rPr>
                <w:rFonts w:ascii="Arial Narrow" w:hAnsi="Arial Narrow" w:cs="Times New Roman"/>
                <w:sz w:val="20"/>
              </w:rPr>
            </w:pPr>
          </w:p>
        </w:tc>
        <w:tc>
          <w:tcPr>
            <w:tcW w:w="2268" w:type="dxa"/>
            <w:vAlign w:val="center"/>
          </w:tcPr>
          <w:p w14:paraId="357B2BF9" w14:textId="77777777" w:rsidR="00AD3739" w:rsidRPr="007743A8" w:rsidRDefault="00AD3739" w:rsidP="00DF497D">
            <w:pPr>
              <w:pStyle w:val="ListParagraph"/>
              <w:ind w:left="0"/>
              <w:jc w:val="center"/>
              <w:rPr>
                <w:rFonts w:ascii="Arial Narrow" w:hAnsi="Arial Narrow" w:cs="Times New Roman"/>
                <w:sz w:val="20"/>
              </w:rPr>
            </w:pPr>
            <w:r w:rsidRPr="007743A8">
              <w:rPr>
                <w:rFonts w:ascii="Arial Narrow" w:hAnsi="Arial Narrow" w:cs="Times New Roman"/>
                <w:sz w:val="20"/>
              </w:rPr>
              <w:t>1.59</w:t>
            </w:r>
          </w:p>
        </w:tc>
        <w:tc>
          <w:tcPr>
            <w:tcW w:w="2977" w:type="dxa"/>
            <w:vAlign w:val="center"/>
          </w:tcPr>
          <w:p w14:paraId="5152CEFD" w14:textId="77777777" w:rsidR="00AD3739" w:rsidRPr="007743A8" w:rsidRDefault="00AD3739" w:rsidP="00DF497D">
            <w:pPr>
              <w:pStyle w:val="ListParagraph"/>
              <w:ind w:left="0"/>
              <w:jc w:val="center"/>
              <w:rPr>
                <w:rFonts w:ascii="Arial Narrow" w:hAnsi="Arial Narrow" w:cs="Times New Roman"/>
                <w:sz w:val="20"/>
              </w:rPr>
            </w:pPr>
            <w:r w:rsidRPr="007743A8">
              <w:rPr>
                <w:rFonts w:ascii="Arial Narrow" w:hAnsi="Arial Narrow" w:cs="Times New Roman"/>
                <w:sz w:val="20"/>
              </w:rPr>
              <w:t>9.59</w:t>
            </w:r>
          </w:p>
        </w:tc>
      </w:tr>
      <w:tr w:rsidR="00AD3739" w:rsidRPr="007743A8" w14:paraId="1267CC9D" w14:textId="77777777" w:rsidTr="006B3FCB">
        <w:tc>
          <w:tcPr>
            <w:tcW w:w="1701" w:type="dxa"/>
          </w:tcPr>
          <w:p w14:paraId="370D253D" w14:textId="77777777" w:rsidR="00AD3739" w:rsidRPr="007743A8" w:rsidRDefault="00AD3739" w:rsidP="00E859A1">
            <w:pPr>
              <w:pStyle w:val="ListParagraph"/>
              <w:ind w:left="0"/>
              <w:jc w:val="center"/>
              <w:rPr>
                <w:rFonts w:ascii="Arial Narrow" w:hAnsi="Arial Narrow" w:cs="Times New Roman"/>
                <w:sz w:val="20"/>
              </w:rPr>
            </w:pPr>
            <w:r w:rsidRPr="007743A8">
              <w:rPr>
                <w:rFonts w:ascii="Arial Narrow" w:hAnsi="Arial Narrow" w:cs="Times New Roman"/>
                <w:sz w:val="20"/>
              </w:rPr>
              <w:t>40-44</w:t>
            </w:r>
          </w:p>
        </w:tc>
        <w:tc>
          <w:tcPr>
            <w:tcW w:w="1984" w:type="dxa"/>
            <w:vMerge w:val="restart"/>
            <w:vAlign w:val="center"/>
          </w:tcPr>
          <w:p w14:paraId="0E5A5993" w14:textId="77777777" w:rsidR="00AD3739" w:rsidRPr="007743A8" w:rsidRDefault="00AD3739" w:rsidP="00DF497D">
            <w:pPr>
              <w:pStyle w:val="ListParagraph"/>
              <w:ind w:left="0"/>
              <w:jc w:val="center"/>
              <w:rPr>
                <w:rFonts w:ascii="Arial Narrow" w:hAnsi="Arial Narrow" w:cs="Times New Roman"/>
                <w:sz w:val="20"/>
              </w:rPr>
            </w:pPr>
            <w:r w:rsidRPr="007743A8">
              <w:rPr>
                <w:rFonts w:ascii="Arial Narrow" w:hAnsi="Arial Narrow" w:cs="Times New Roman"/>
                <w:sz w:val="20"/>
              </w:rPr>
              <w:t>32</w:t>
            </w:r>
          </w:p>
        </w:tc>
        <w:tc>
          <w:tcPr>
            <w:tcW w:w="2268" w:type="dxa"/>
            <w:vAlign w:val="center"/>
          </w:tcPr>
          <w:p w14:paraId="3B2B09A9" w14:textId="77777777" w:rsidR="00AD3739" w:rsidRPr="007743A8" w:rsidRDefault="00AD3739" w:rsidP="00DF497D">
            <w:pPr>
              <w:pStyle w:val="ListParagraph"/>
              <w:ind w:left="0"/>
              <w:jc w:val="center"/>
              <w:rPr>
                <w:rFonts w:ascii="Arial Narrow" w:hAnsi="Arial Narrow" w:cs="Times New Roman"/>
                <w:sz w:val="20"/>
              </w:rPr>
            </w:pPr>
            <w:r w:rsidRPr="007743A8">
              <w:rPr>
                <w:rFonts w:ascii="Arial Narrow" w:hAnsi="Arial Narrow" w:cs="Times New Roman"/>
                <w:sz w:val="20"/>
              </w:rPr>
              <w:t>2.92</w:t>
            </w:r>
          </w:p>
        </w:tc>
        <w:tc>
          <w:tcPr>
            <w:tcW w:w="2977" w:type="dxa"/>
            <w:vAlign w:val="center"/>
          </w:tcPr>
          <w:p w14:paraId="7D1E6724" w14:textId="77777777" w:rsidR="00AD3739" w:rsidRPr="007743A8" w:rsidRDefault="00AD3739" w:rsidP="00DF497D">
            <w:pPr>
              <w:pStyle w:val="ListParagraph"/>
              <w:ind w:left="0"/>
              <w:jc w:val="center"/>
              <w:rPr>
                <w:rFonts w:ascii="Arial Narrow" w:hAnsi="Arial Narrow" w:cs="Times New Roman"/>
                <w:sz w:val="20"/>
              </w:rPr>
            </w:pPr>
            <w:r w:rsidRPr="007743A8">
              <w:rPr>
                <w:rFonts w:ascii="Arial Narrow" w:hAnsi="Arial Narrow" w:cs="Times New Roman"/>
                <w:sz w:val="20"/>
              </w:rPr>
              <w:t>18.18</w:t>
            </w:r>
          </w:p>
        </w:tc>
      </w:tr>
      <w:tr w:rsidR="00AD3739" w:rsidRPr="007743A8" w14:paraId="2F0B87FC" w14:textId="77777777" w:rsidTr="006B3FCB">
        <w:tc>
          <w:tcPr>
            <w:tcW w:w="1701" w:type="dxa"/>
          </w:tcPr>
          <w:p w14:paraId="33215251" w14:textId="77777777" w:rsidR="00AD3739" w:rsidRPr="007743A8" w:rsidRDefault="00AD3739" w:rsidP="00E859A1">
            <w:pPr>
              <w:pStyle w:val="ListParagraph"/>
              <w:ind w:left="0"/>
              <w:jc w:val="center"/>
              <w:rPr>
                <w:rFonts w:ascii="Arial Narrow" w:hAnsi="Arial Narrow" w:cs="Times New Roman"/>
                <w:sz w:val="20"/>
              </w:rPr>
            </w:pPr>
            <w:r w:rsidRPr="007743A8">
              <w:rPr>
                <w:rFonts w:ascii="Arial Narrow" w:hAnsi="Arial Narrow" w:cs="Times New Roman"/>
                <w:sz w:val="20"/>
              </w:rPr>
              <w:t>45-49</w:t>
            </w:r>
          </w:p>
        </w:tc>
        <w:tc>
          <w:tcPr>
            <w:tcW w:w="1984" w:type="dxa"/>
            <w:vMerge/>
            <w:vAlign w:val="center"/>
          </w:tcPr>
          <w:p w14:paraId="205FB882" w14:textId="77777777" w:rsidR="00AD3739" w:rsidRPr="007743A8" w:rsidRDefault="00AD3739" w:rsidP="00DF497D">
            <w:pPr>
              <w:pStyle w:val="ListParagraph"/>
              <w:ind w:left="0"/>
              <w:jc w:val="center"/>
              <w:rPr>
                <w:rFonts w:ascii="Arial Narrow" w:hAnsi="Arial Narrow" w:cs="Times New Roman"/>
                <w:sz w:val="20"/>
              </w:rPr>
            </w:pPr>
          </w:p>
        </w:tc>
        <w:tc>
          <w:tcPr>
            <w:tcW w:w="2268" w:type="dxa"/>
            <w:vAlign w:val="center"/>
          </w:tcPr>
          <w:p w14:paraId="133606DB" w14:textId="77777777" w:rsidR="00AD3739" w:rsidRPr="007743A8" w:rsidRDefault="00AD3739" w:rsidP="00DF497D">
            <w:pPr>
              <w:pStyle w:val="ListParagraph"/>
              <w:ind w:left="0"/>
              <w:jc w:val="center"/>
              <w:rPr>
                <w:rFonts w:ascii="Arial Narrow" w:hAnsi="Arial Narrow" w:cs="Times New Roman"/>
                <w:sz w:val="20"/>
              </w:rPr>
            </w:pPr>
            <w:r w:rsidRPr="007743A8">
              <w:rPr>
                <w:rFonts w:ascii="Arial Narrow" w:hAnsi="Arial Narrow" w:cs="Times New Roman"/>
                <w:sz w:val="20"/>
              </w:rPr>
              <w:t>4.28</w:t>
            </w:r>
          </w:p>
        </w:tc>
        <w:tc>
          <w:tcPr>
            <w:tcW w:w="2977" w:type="dxa"/>
            <w:vAlign w:val="center"/>
          </w:tcPr>
          <w:p w14:paraId="1AB1B8CE" w14:textId="77777777" w:rsidR="00AD3739" w:rsidRPr="007743A8" w:rsidRDefault="00AD3739" w:rsidP="00DF497D">
            <w:pPr>
              <w:pStyle w:val="ListParagraph"/>
              <w:ind w:left="0"/>
              <w:jc w:val="center"/>
              <w:rPr>
                <w:rFonts w:ascii="Arial Narrow" w:hAnsi="Arial Narrow" w:cs="Times New Roman"/>
                <w:sz w:val="20"/>
              </w:rPr>
            </w:pPr>
            <w:r w:rsidRPr="007743A8">
              <w:rPr>
                <w:rFonts w:ascii="Arial Narrow" w:hAnsi="Arial Narrow" w:cs="Times New Roman"/>
                <w:sz w:val="20"/>
              </w:rPr>
              <w:t>28.02</w:t>
            </w:r>
          </w:p>
        </w:tc>
      </w:tr>
      <w:tr w:rsidR="00AD3739" w:rsidRPr="007743A8" w14:paraId="5D8FA004" w14:textId="77777777" w:rsidTr="006B3FCB">
        <w:tc>
          <w:tcPr>
            <w:tcW w:w="1701" w:type="dxa"/>
          </w:tcPr>
          <w:p w14:paraId="686C9D85" w14:textId="77777777" w:rsidR="00AD3739" w:rsidRPr="007743A8" w:rsidRDefault="00AD3739" w:rsidP="00E859A1">
            <w:pPr>
              <w:pStyle w:val="ListParagraph"/>
              <w:ind w:left="0"/>
              <w:jc w:val="center"/>
              <w:rPr>
                <w:rFonts w:ascii="Arial Narrow" w:hAnsi="Arial Narrow" w:cs="Times New Roman"/>
                <w:sz w:val="20"/>
              </w:rPr>
            </w:pPr>
            <w:r w:rsidRPr="007743A8">
              <w:rPr>
                <w:rFonts w:ascii="Arial Narrow" w:hAnsi="Arial Narrow" w:cs="Times New Roman"/>
                <w:sz w:val="20"/>
              </w:rPr>
              <w:t>50-54</w:t>
            </w:r>
          </w:p>
        </w:tc>
        <w:tc>
          <w:tcPr>
            <w:tcW w:w="1984" w:type="dxa"/>
            <w:vMerge w:val="restart"/>
            <w:vAlign w:val="center"/>
          </w:tcPr>
          <w:p w14:paraId="29E3E264" w14:textId="77777777" w:rsidR="00AD3739" w:rsidRPr="007743A8" w:rsidRDefault="00AD3739" w:rsidP="00DF497D">
            <w:pPr>
              <w:pStyle w:val="ListParagraph"/>
              <w:ind w:left="0"/>
              <w:jc w:val="center"/>
              <w:rPr>
                <w:rFonts w:ascii="Arial Narrow" w:hAnsi="Arial Narrow" w:cs="Times New Roman"/>
                <w:sz w:val="20"/>
              </w:rPr>
            </w:pPr>
            <w:r w:rsidRPr="007743A8">
              <w:rPr>
                <w:rFonts w:ascii="Arial Narrow" w:hAnsi="Arial Narrow" w:cs="Times New Roman"/>
                <w:sz w:val="20"/>
              </w:rPr>
              <w:t>18</w:t>
            </w:r>
          </w:p>
        </w:tc>
        <w:tc>
          <w:tcPr>
            <w:tcW w:w="2268" w:type="dxa"/>
            <w:vAlign w:val="center"/>
          </w:tcPr>
          <w:p w14:paraId="2670DF76" w14:textId="77777777" w:rsidR="00AD3739" w:rsidRPr="007743A8" w:rsidRDefault="00AD3739" w:rsidP="00DF497D">
            <w:pPr>
              <w:pStyle w:val="ListParagraph"/>
              <w:ind w:left="0"/>
              <w:jc w:val="center"/>
              <w:rPr>
                <w:rFonts w:ascii="Arial Narrow" w:hAnsi="Arial Narrow" w:cs="Times New Roman"/>
                <w:sz w:val="20"/>
              </w:rPr>
            </w:pPr>
            <w:r w:rsidRPr="007743A8">
              <w:rPr>
                <w:rFonts w:ascii="Arial Narrow" w:hAnsi="Arial Narrow" w:cs="Times New Roman"/>
                <w:sz w:val="20"/>
              </w:rPr>
              <w:t>2.65</w:t>
            </w:r>
          </w:p>
        </w:tc>
        <w:tc>
          <w:tcPr>
            <w:tcW w:w="2977" w:type="dxa"/>
            <w:vAlign w:val="center"/>
          </w:tcPr>
          <w:p w14:paraId="53397022" w14:textId="77777777" w:rsidR="00AD3739" w:rsidRPr="007743A8" w:rsidRDefault="00AD3739" w:rsidP="00DF497D">
            <w:pPr>
              <w:pStyle w:val="ListParagraph"/>
              <w:ind w:left="0"/>
              <w:jc w:val="center"/>
              <w:rPr>
                <w:rFonts w:ascii="Arial Narrow" w:hAnsi="Arial Narrow" w:cs="Times New Roman"/>
                <w:sz w:val="20"/>
              </w:rPr>
            </w:pPr>
            <w:r w:rsidRPr="007743A8">
              <w:rPr>
                <w:rFonts w:ascii="Arial Narrow" w:hAnsi="Arial Narrow" w:cs="Times New Roman"/>
                <w:sz w:val="20"/>
              </w:rPr>
              <w:t>20.03</w:t>
            </w:r>
          </w:p>
        </w:tc>
      </w:tr>
      <w:tr w:rsidR="00AD3739" w:rsidRPr="007743A8" w14:paraId="7129843A" w14:textId="77777777" w:rsidTr="006B3FCB">
        <w:tc>
          <w:tcPr>
            <w:tcW w:w="1701" w:type="dxa"/>
          </w:tcPr>
          <w:p w14:paraId="69FAA739" w14:textId="77777777" w:rsidR="00AD3739" w:rsidRPr="007743A8" w:rsidRDefault="00AD3739" w:rsidP="00E859A1">
            <w:pPr>
              <w:pStyle w:val="ListParagraph"/>
              <w:ind w:left="0"/>
              <w:jc w:val="center"/>
              <w:rPr>
                <w:rFonts w:ascii="Arial Narrow" w:hAnsi="Arial Narrow" w:cs="Times New Roman"/>
                <w:sz w:val="20"/>
              </w:rPr>
            </w:pPr>
            <w:r w:rsidRPr="007743A8">
              <w:rPr>
                <w:rFonts w:ascii="Arial Narrow" w:hAnsi="Arial Narrow" w:cs="Times New Roman"/>
                <w:sz w:val="20"/>
              </w:rPr>
              <w:t>55-59</w:t>
            </w:r>
          </w:p>
        </w:tc>
        <w:tc>
          <w:tcPr>
            <w:tcW w:w="1984" w:type="dxa"/>
            <w:vMerge/>
            <w:vAlign w:val="center"/>
          </w:tcPr>
          <w:p w14:paraId="4FEE1384" w14:textId="77777777" w:rsidR="00AD3739" w:rsidRPr="007743A8" w:rsidRDefault="00AD3739" w:rsidP="00DF497D">
            <w:pPr>
              <w:pStyle w:val="ListParagraph"/>
              <w:ind w:left="0"/>
              <w:jc w:val="center"/>
              <w:rPr>
                <w:rFonts w:ascii="Arial Narrow" w:hAnsi="Arial Narrow" w:cs="Times New Roman"/>
                <w:sz w:val="20"/>
              </w:rPr>
            </w:pPr>
          </w:p>
        </w:tc>
        <w:tc>
          <w:tcPr>
            <w:tcW w:w="2268" w:type="dxa"/>
            <w:vAlign w:val="center"/>
          </w:tcPr>
          <w:p w14:paraId="7B6F98AC" w14:textId="77777777" w:rsidR="00AD3739" w:rsidRPr="007743A8" w:rsidRDefault="00AD3739" w:rsidP="00DF497D">
            <w:pPr>
              <w:pStyle w:val="ListParagraph"/>
              <w:ind w:left="0"/>
              <w:jc w:val="center"/>
              <w:rPr>
                <w:rFonts w:ascii="Arial Narrow" w:hAnsi="Arial Narrow" w:cs="Times New Roman"/>
                <w:sz w:val="20"/>
              </w:rPr>
            </w:pPr>
            <w:r w:rsidRPr="007743A8">
              <w:rPr>
                <w:rFonts w:ascii="Arial Narrow" w:hAnsi="Arial Narrow" w:cs="Times New Roman"/>
                <w:sz w:val="20"/>
              </w:rPr>
              <w:t>3.01</w:t>
            </w:r>
          </w:p>
        </w:tc>
        <w:tc>
          <w:tcPr>
            <w:tcW w:w="2977" w:type="dxa"/>
            <w:vAlign w:val="center"/>
          </w:tcPr>
          <w:p w14:paraId="03410A01" w14:textId="77777777" w:rsidR="00AD3739" w:rsidRPr="007743A8" w:rsidRDefault="00AD3739" w:rsidP="00DF497D">
            <w:pPr>
              <w:pStyle w:val="ListParagraph"/>
              <w:ind w:left="0"/>
              <w:jc w:val="center"/>
              <w:rPr>
                <w:rFonts w:ascii="Arial Narrow" w:hAnsi="Arial Narrow" w:cs="Times New Roman"/>
                <w:sz w:val="20"/>
              </w:rPr>
            </w:pPr>
            <w:r w:rsidRPr="007743A8">
              <w:rPr>
                <w:rFonts w:ascii="Arial Narrow" w:hAnsi="Arial Narrow" w:cs="Times New Roman"/>
                <w:sz w:val="20"/>
              </w:rPr>
              <w:t>21.46</w:t>
            </w:r>
          </w:p>
        </w:tc>
      </w:tr>
      <w:tr w:rsidR="00AD3739" w:rsidRPr="007743A8" w14:paraId="7F654304" w14:textId="77777777" w:rsidTr="006B3FCB">
        <w:tc>
          <w:tcPr>
            <w:tcW w:w="1701" w:type="dxa"/>
          </w:tcPr>
          <w:p w14:paraId="60C2AA4B" w14:textId="77777777" w:rsidR="00AD3739" w:rsidRPr="007743A8" w:rsidRDefault="00AD3739" w:rsidP="00E859A1">
            <w:pPr>
              <w:pStyle w:val="ListParagraph"/>
              <w:ind w:left="0"/>
              <w:jc w:val="center"/>
              <w:rPr>
                <w:rFonts w:ascii="Arial Narrow" w:hAnsi="Arial Narrow" w:cs="Times New Roman"/>
                <w:sz w:val="20"/>
              </w:rPr>
            </w:pPr>
            <w:r w:rsidRPr="007743A8">
              <w:rPr>
                <w:rFonts w:ascii="Arial Narrow" w:hAnsi="Arial Narrow" w:cs="Times New Roman"/>
                <w:sz w:val="20"/>
              </w:rPr>
              <w:t>60-64</w:t>
            </w:r>
          </w:p>
        </w:tc>
        <w:tc>
          <w:tcPr>
            <w:tcW w:w="1984" w:type="dxa"/>
            <w:vMerge w:val="restart"/>
            <w:vAlign w:val="center"/>
          </w:tcPr>
          <w:p w14:paraId="270BEE84" w14:textId="77777777" w:rsidR="00AD3739" w:rsidRPr="007743A8" w:rsidRDefault="00AD3739" w:rsidP="00DF497D">
            <w:pPr>
              <w:pStyle w:val="ListParagraph"/>
              <w:ind w:left="0"/>
              <w:jc w:val="center"/>
              <w:rPr>
                <w:rFonts w:ascii="Arial Narrow" w:hAnsi="Arial Narrow" w:cs="Times New Roman"/>
                <w:sz w:val="20"/>
              </w:rPr>
            </w:pPr>
            <w:r w:rsidRPr="007743A8">
              <w:rPr>
                <w:rFonts w:ascii="Arial Narrow" w:hAnsi="Arial Narrow" w:cs="Times New Roman"/>
                <w:sz w:val="20"/>
              </w:rPr>
              <w:t>14</w:t>
            </w:r>
          </w:p>
        </w:tc>
        <w:tc>
          <w:tcPr>
            <w:tcW w:w="2268" w:type="dxa"/>
            <w:vAlign w:val="center"/>
          </w:tcPr>
          <w:p w14:paraId="0FCA0DAE" w14:textId="77777777" w:rsidR="00AD3739" w:rsidRPr="007743A8" w:rsidRDefault="00AD3739" w:rsidP="00DF497D">
            <w:pPr>
              <w:pStyle w:val="ListParagraph"/>
              <w:ind w:left="0"/>
              <w:jc w:val="center"/>
              <w:rPr>
                <w:rFonts w:ascii="Arial Narrow" w:hAnsi="Arial Narrow" w:cs="Times New Roman"/>
                <w:sz w:val="20"/>
              </w:rPr>
            </w:pPr>
            <w:r w:rsidRPr="007743A8">
              <w:rPr>
                <w:rFonts w:ascii="Arial Narrow" w:hAnsi="Arial Narrow" w:cs="Times New Roman"/>
                <w:sz w:val="20"/>
              </w:rPr>
              <w:t>2.70</w:t>
            </w:r>
          </w:p>
        </w:tc>
        <w:tc>
          <w:tcPr>
            <w:tcW w:w="2977" w:type="dxa"/>
            <w:vAlign w:val="center"/>
          </w:tcPr>
          <w:p w14:paraId="557B89E0" w14:textId="77777777" w:rsidR="00AD3739" w:rsidRPr="007743A8" w:rsidRDefault="00AD3739" w:rsidP="00DF497D">
            <w:pPr>
              <w:pStyle w:val="ListParagraph"/>
              <w:ind w:left="0"/>
              <w:jc w:val="center"/>
              <w:rPr>
                <w:rFonts w:ascii="Arial Narrow" w:hAnsi="Arial Narrow" w:cs="Times New Roman"/>
                <w:sz w:val="20"/>
              </w:rPr>
            </w:pPr>
            <w:r w:rsidRPr="007743A8">
              <w:rPr>
                <w:rFonts w:ascii="Arial Narrow" w:hAnsi="Arial Narrow" w:cs="Times New Roman"/>
                <w:sz w:val="20"/>
              </w:rPr>
              <w:t>21.96</w:t>
            </w:r>
          </w:p>
        </w:tc>
      </w:tr>
      <w:tr w:rsidR="00AD3739" w:rsidRPr="007743A8" w14:paraId="47AA4F88" w14:textId="77777777" w:rsidTr="006B3FCB">
        <w:tc>
          <w:tcPr>
            <w:tcW w:w="1701" w:type="dxa"/>
          </w:tcPr>
          <w:p w14:paraId="6AC8FF30" w14:textId="77777777" w:rsidR="00AD3739" w:rsidRPr="007743A8" w:rsidRDefault="00AD3739" w:rsidP="00E859A1">
            <w:pPr>
              <w:pStyle w:val="ListParagraph"/>
              <w:ind w:left="0"/>
              <w:jc w:val="center"/>
              <w:rPr>
                <w:rFonts w:ascii="Arial Narrow" w:hAnsi="Arial Narrow" w:cs="Times New Roman"/>
                <w:sz w:val="20"/>
              </w:rPr>
            </w:pPr>
            <w:r w:rsidRPr="007743A8">
              <w:rPr>
                <w:rFonts w:ascii="Arial Narrow" w:hAnsi="Arial Narrow" w:cs="Times New Roman"/>
                <w:sz w:val="20"/>
              </w:rPr>
              <w:t>65-69</w:t>
            </w:r>
          </w:p>
        </w:tc>
        <w:tc>
          <w:tcPr>
            <w:tcW w:w="1984" w:type="dxa"/>
            <w:vMerge/>
          </w:tcPr>
          <w:p w14:paraId="3BF2D5B0" w14:textId="77777777" w:rsidR="00AD3739" w:rsidRPr="007743A8" w:rsidRDefault="00AD3739" w:rsidP="00DF497D">
            <w:pPr>
              <w:pStyle w:val="ListParagraph"/>
              <w:ind w:left="0"/>
              <w:rPr>
                <w:rFonts w:ascii="Arial Narrow" w:hAnsi="Arial Narrow" w:cs="Times New Roman"/>
                <w:sz w:val="20"/>
              </w:rPr>
            </w:pPr>
          </w:p>
        </w:tc>
        <w:tc>
          <w:tcPr>
            <w:tcW w:w="2268" w:type="dxa"/>
            <w:vAlign w:val="center"/>
          </w:tcPr>
          <w:p w14:paraId="6DFCA783" w14:textId="77777777" w:rsidR="00AD3739" w:rsidRPr="007743A8" w:rsidRDefault="00AD3739" w:rsidP="00DF497D">
            <w:pPr>
              <w:pStyle w:val="ListParagraph"/>
              <w:ind w:left="0"/>
              <w:jc w:val="center"/>
              <w:rPr>
                <w:rFonts w:ascii="Arial Narrow" w:hAnsi="Arial Narrow" w:cs="Times New Roman"/>
                <w:sz w:val="20"/>
              </w:rPr>
            </w:pPr>
            <w:r w:rsidRPr="007743A8">
              <w:rPr>
                <w:rFonts w:ascii="Arial Narrow" w:hAnsi="Arial Narrow" w:cs="Times New Roman"/>
                <w:sz w:val="20"/>
              </w:rPr>
              <w:t>2.49</w:t>
            </w:r>
          </w:p>
        </w:tc>
        <w:tc>
          <w:tcPr>
            <w:tcW w:w="2977" w:type="dxa"/>
            <w:vAlign w:val="center"/>
          </w:tcPr>
          <w:p w14:paraId="10B33FFC" w14:textId="77777777" w:rsidR="00AD3739" w:rsidRPr="007743A8" w:rsidRDefault="00AD3739" w:rsidP="00DF497D">
            <w:pPr>
              <w:pStyle w:val="ListParagraph"/>
              <w:ind w:left="0"/>
              <w:jc w:val="center"/>
              <w:rPr>
                <w:rFonts w:ascii="Arial Narrow" w:hAnsi="Arial Narrow" w:cs="Times New Roman"/>
                <w:sz w:val="20"/>
              </w:rPr>
            </w:pPr>
            <w:r w:rsidRPr="007743A8">
              <w:rPr>
                <w:rFonts w:ascii="Arial Narrow" w:hAnsi="Arial Narrow" w:cs="Times New Roman"/>
                <w:sz w:val="20"/>
              </w:rPr>
              <w:t>23.35</w:t>
            </w:r>
          </w:p>
        </w:tc>
      </w:tr>
    </w:tbl>
    <w:p w14:paraId="6BB9FBF4" w14:textId="77777777" w:rsidR="00AD3739" w:rsidRPr="00075AF0" w:rsidRDefault="00AD3739" w:rsidP="006B3FCB">
      <w:pPr>
        <w:pStyle w:val="ListParagraph"/>
        <w:ind w:left="567" w:hanging="284"/>
        <w:rPr>
          <w:sz w:val="20"/>
        </w:rPr>
      </w:pPr>
      <w:r w:rsidRPr="00075AF0">
        <w:rPr>
          <w:sz w:val="20"/>
          <w:vertAlign w:val="superscript"/>
        </w:rPr>
        <w:t>1</w:t>
      </w:r>
      <w:r w:rsidRPr="00075AF0">
        <w:rPr>
          <w:sz w:val="20"/>
          <w:vertAlign w:val="superscript"/>
        </w:rPr>
        <w:tab/>
      </w:r>
      <w:r w:rsidRPr="000473F9">
        <w:rPr>
          <w:rFonts w:ascii="Arial Narrow" w:hAnsi="Arial Narrow"/>
          <w:sz w:val="20"/>
        </w:rPr>
        <w:t>Calculated as 1 – (probability of having no breast cancer) over the age period specified, given an annual risk of breast cancer e</w:t>
      </w:r>
      <w:r w:rsidR="00E71C9F">
        <w:rPr>
          <w:rFonts w:ascii="Arial Narrow" w:hAnsi="Arial Narrow"/>
          <w:sz w:val="20"/>
        </w:rPr>
        <w:t>stimated by multiplying the age-</w:t>
      </w:r>
      <w:r w:rsidRPr="000473F9">
        <w:rPr>
          <w:rFonts w:ascii="Arial Narrow" w:hAnsi="Arial Narrow"/>
          <w:sz w:val="20"/>
        </w:rPr>
        <w:t>specific incidence of cancer in Australians reported by the AIHW with the relative risks reported in Antoniou et al.</w:t>
      </w:r>
      <w:r w:rsidRPr="00075AF0">
        <w:rPr>
          <w:sz w:val="20"/>
        </w:rPr>
        <w:t xml:space="preserve"> </w:t>
      </w:r>
    </w:p>
    <w:p w14:paraId="000BD169" w14:textId="77777777" w:rsidR="00AD3739" w:rsidRPr="00075AF0" w:rsidRDefault="00AD3739" w:rsidP="00AD3739">
      <w:pPr>
        <w:pStyle w:val="ListParagraph"/>
        <w:ind w:left="284"/>
        <w:rPr>
          <w:szCs w:val="24"/>
        </w:rPr>
      </w:pPr>
      <w:r w:rsidRPr="00075AF0">
        <w:rPr>
          <w:szCs w:val="24"/>
        </w:rPr>
        <w:lastRenderedPageBreak/>
        <w:t xml:space="preserve">The CUC applied a fixed relative risk which was more conservative but likely underestimated the effect of early surgical intervention which may have occurred as a result of genetic testing detecting true </w:t>
      </w:r>
      <w:r w:rsidRPr="00A8248C">
        <w:rPr>
          <w:i/>
          <w:szCs w:val="24"/>
        </w:rPr>
        <w:t>BRCA</w:t>
      </w:r>
      <w:r w:rsidR="00E71C9F">
        <w:rPr>
          <w:szCs w:val="24"/>
        </w:rPr>
        <w:t xml:space="preserve"> mutation positive carriers.</w:t>
      </w:r>
    </w:p>
    <w:p w14:paraId="606D4FCE" w14:textId="77777777" w:rsidR="00AD3739" w:rsidRPr="006B3FCB" w:rsidRDefault="00AD3739" w:rsidP="006B3FCB">
      <w:pPr>
        <w:rPr>
          <w:szCs w:val="24"/>
        </w:rPr>
      </w:pPr>
    </w:p>
    <w:p w14:paraId="5C9B878C" w14:textId="77777777" w:rsidR="00AD3739" w:rsidRPr="00B30E24" w:rsidRDefault="00AD3739" w:rsidP="007748B7">
      <w:pPr>
        <w:pStyle w:val="ListParagraph"/>
        <w:widowControl w:val="0"/>
        <w:numPr>
          <w:ilvl w:val="0"/>
          <w:numId w:val="29"/>
        </w:numPr>
        <w:tabs>
          <w:tab w:val="left" w:pos="284"/>
        </w:tabs>
        <w:ind w:left="284" w:hanging="284"/>
        <w:rPr>
          <w:szCs w:val="24"/>
        </w:rPr>
      </w:pPr>
      <w:r w:rsidRPr="00B30E24">
        <w:rPr>
          <w:szCs w:val="24"/>
        </w:rPr>
        <w:t xml:space="preserve">Preventative measures were assumed to be undertaken straight after any </w:t>
      </w:r>
      <w:r w:rsidRPr="00A8248C">
        <w:rPr>
          <w:i/>
          <w:szCs w:val="24"/>
        </w:rPr>
        <w:t>BRCA</w:t>
      </w:r>
      <w:r w:rsidRPr="00B30E24">
        <w:rPr>
          <w:szCs w:val="24"/>
        </w:rPr>
        <w:t xml:space="preserve"> mutation being detected, with no option to have surgery at a later time. The CUC suggest</w:t>
      </w:r>
      <w:r w:rsidR="006B3FCB">
        <w:rPr>
          <w:szCs w:val="24"/>
        </w:rPr>
        <w:t>ed</w:t>
      </w:r>
      <w:r w:rsidRPr="00B30E24">
        <w:rPr>
          <w:szCs w:val="24"/>
        </w:rPr>
        <w:t xml:space="preserve"> the decision to remove breasts and</w:t>
      </w:r>
      <w:r w:rsidR="00E71C9F">
        <w:rPr>
          <w:szCs w:val="24"/>
        </w:rPr>
        <w:t>/or ovaries is likely to be age-</w:t>
      </w:r>
      <w:r w:rsidRPr="00B30E24">
        <w:rPr>
          <w:szCs w:val="24"/>
        </w:rPr>
        <w:t xml:space="preserve">dependent </w:t>
      </w:r>
      <w:r w:rsidR="007748B7">
        <w:rPr>
          <w:szCs w:val="24"/>
        </w:rPr>
        <w:t>because (</w:t>
      </w:r>
      <w:proofErr w:type="spellStart"/>
      <w:r w:rsidR="007748B7">
        <w:rPr>
          <w:szCs w:val="24"/>
        </w:rPr>
        <w:t>i</w:t>
      </w:r>
      <w:proofErr w:type="spellEnd"/>
      <w:r w:rsidR="007748B7">
        <w:rPr>
          <w:szCs w:val="24"/>
        </w:rPr>
        <w:t>)</w:t>
      </w:r>
      <w:r w:rsidRPr="00B30E24">
        <w:rPr>
          <w:szCs w:val="24"/>
        </w:rPr>
        <w:t xml:space="preserve"> it w</w:t>
      </w:r>
      <w:r w:rsidR="006B3FCB">
        <w:rPr>
          <w:szCs w:val="24"/>
        </w:rPr>
        <w:t>ould</w:t>
      </w:r>
      <w:r w:rsidRPr="00B30E24">
        <w:rPr>
          <w:szCs w:val="24"/>
        </w:rPr>
        <w:t xml:space="preserve"> affect the fertility of the woman and the ability to breast feed, and </w:t>
      </w:r>
      <w:r w:rsidR="007748B7">
        <w:rPr>
          <w:szCs w:val="24"/>
        </w:rPr>
        <w:t>(ii)</w:t>
      </w:r>
      <w:r w:rsidRPr="00B30E24">
        <w:rPr>
          <w:szCs w:val="24"/>
        </w:rPr>
        <w:t xml:space="preserve"> women who have not completed their families could choose to delay surgery.  This would </w:t>
      </w:r>
      <w:r w:rsidR="007748B7">
        <w:rPr>
          <w:szCs w:val="24"/>
        </w:rPr>
        <w:t>affect</w:t>
      </w:r>
      <w:r w:rsidRPr="00B30E24">
        <w:rPr>
          <w:szCs w:val="24"/>
        </w:rPr>
        <w:t xml:space="preserve"> the ICER as the cost of surgeries in the current model </w:t>
      </w:r>
      <w:r w:rsidR="007748B7">
        <w:rPr>
          <w:szCs w:val="24"/>
        </w:rPr>
        <w:t>was</w:t>
      </w:r>
      <w:r w:rsidRPr="00B30E24">
        <w:rPr>
          <w:szCs w:val="24"/>
        </w:rPr>
        <w:t xml:space="preserve"> undiscounted. If surgeries were delayed</w:t>
      </w:r>
      <w:r w:rsidR="007748B7">
        <w:rPr>
          <w:szCs w:val="24"/>
        </w:rPr>
        <w:t>,</w:t>
      </w:r>
      <w:r w:rsidRPr="00B30E24">
        <w:rPr>
          <w:szCs w:val="24"/>
        </w:rPr>
        <w:t xml:space="preserve"> then the cost of surgeries w</w:t>
      </w:r>
      <w:r w:rsidR="007748B7">
        <w:rPr>
          <w:szCs w:val="24"/>
        </w:rPr>
        <w:t>ould</w:t>
      </w:r>
      <w:r w:rsidRPr="00B30E24">
        <w:rPr>
          <w:szCs w:val="24"/>
        </w:rPr>
        <w:t xml:space="preserve"> be lower due to discounting</w:t>
      </w:r>
      <w:r w:rsidR="007748B7">
        <w:rPr>
          <w:szCs w:val="24"/>
        </w:rPr>
        <w:t xml:space="preserve"> and the effect on health outcomes would be less confidently predicted.</w:t>
      </w:r>
    </w:p>
    <w:p w14:paraId="55ABFB0C" w14:textId="77777777" w:rsidR="00BC1364" w:rsidRPr="0075468E" w:rsidRDefault="00BC1364" w:rsidP="00DD2858">
      <w:pPr>
        <w:rPr>
          <w:szCs w:val="24"/>
        </w:rPr>
      </w:pPr>
    </w:p>
    <w:p w14:paraId="41CAD87F" w14:textId="77777777" w:rsidR="00BC1364" w:rsidRDefault="00BC1364" w:rsidP="007B32D1">
      <w:pPr>
        <w:pStyle w:val="Heading1"/>
        <w:numPr>
          <w:ilvl w:val="0"/>
          <w:numId w:val="23"/>
        </w:numPr>
        <w:ind w:hanging="720"/>
      </w:pPr>
      <w:r w:rsidRPr="008D5885">
        <w:t>Financial/budgetary impacts</w:t>
      </w:r>
    </w:p>
    <w:p w14:paraId="1DE05183" w14:textId="77777777" w:rsidR="00BC1364" w:rsidRDefault="00BC1364" w:rsidP="00D340DE">
      <w:pPr>
        <w:pStyle w:val="Default"/>
      </w:pPr>
    </w:p>
    <w:p w14:paraId="41A3CC1B" w14:textId="77777777" w:rsidR="00AD3739" w:rsidRDefault="00AD3739" w:rsidP="00AD3739">
      <w:pPr>
        <w:rPr>
          <w:szCs w:val="24"/>
        </w:rPr>
      </w:pPr>
      <w:r>
        <w:rPr>
          <w:szCs w:val="24"/>
        </w:rPr>
        <w:t>Section 7 of the CUC present</w:t>
      </w:r>
      <w:r w:rsidR="007748B7">
        <w:rPr>
          <w:szCs w:val="24"/>
        </w:rPr>
        <w:t>ed</w:t>
      </w:r>
      <w:r>
        <w:rPr>
          <w:szCs w:val="24"/>
        </w:rPr>
        <w:t xml:space="preserve"> a comprehensive analysis of the costs to the MBS and patients of genetic testing and associated preven</w:t>
      </w:r>
      <w:r w:rsidR="007748B7">
        <w:rPr>
          <w:szCs w:val="24"/>
        </w:rPr>
        <w:t>tive surgeries over five years.</w:t>
      </w:r>
    </w:p>
    <w:p w14:paraId="43DA0685" w14:textId="77777777" w:rsidR="00AD3739" w:rsidRDefault="00AD3739" w:rsidP="00AD3739">
      <w:pPr>
        <w:rPr>
          <w:szCs w:val="24"/>
        </w:rPr>
      </w:pPr>
    </w:p>
    <w:p w14:paraId="1E38E693" w14:textId="40D3BB40" w:rsidR="00AD3739" w:rsidRDefault="00AD3739" w:rsidP="00AD3739">
      <w:pPr>
        <w:rPr>
          <w:szCs w:val="24"/>
        </w:rPr>
      </w:pPr>
      <w:r>
        <w:rPr>
          <w:szCs w:val="24"/>
        </w:rPr>
        <w:t xml:space="preserve">The cost to the MBS of genetic testing and genetic counselling </w:t>
      </w:r>
      <w:r w:rsidR="007748B7">
        <w:rPr>
          <w:szCs w:val="24"/>
        </w:rPr>
        <w:t xml:space="preserve">would </w:t>
      </w:r>
      <w:r>
        <w:rPr>
          <w:szCs w:val="24"/>
        </w:rPr>
        <w:t>increase from $2.27</w:t>
      </w:r>
      <w:r w:rsidR="00E323A3">
        <w:rPr>
          <w:szCs w:val="24"/>
        </w:rPr>
        <w:t> </w:t>
      </w:r>
      <w:r>
        <w:rPr>
          <w:szCs w:val="24"/>
        </w:rPr>
        <w:t xml:space="preserve">million to </w:t>
      </w:r>
      <w:r w:rsidR="00864787">
        <w:rPr>
          <w:szCs w:val="24"/>
        </w:rPr>
        <w:t>$</w:t>
      </w:r>
      <w:r>
        <w:rPr>
          <w:szCs w:val="24"/>
        </w:rPr>
        <w:t xml:space="preserve">3.15 million over the forecast period and the total cost to the MBS of preventive surgeries </w:t>
      </w:r>
      <w:r w:rsidR="00864787">
        <w:rPr>
          <w:szCs w:val="24"/>
        </w:rPr>
        <w:t>would be</w:t>
      </w:r>
      <w:r>
        <w:rPr>
          <w:szCs w:val="24"/>
        </w:rPr>
        <w:t xml:space="preserve"> around $8.3 million in year one and around $11.5 million in year five. The MBS cost of all items </w:t>
      </w:r>
      <w:r w:rsidR="00864787">
        <w:rPr>
          <w:szCs w:val="24"/>
        </w:rPr>
        <w:t>wa</w:t>
      </w:r>
      <w:r>
        <w:rPr>
          <w:szCs w:val="24"/>
        </w:rPr>
        <w:t>s estimated to increase from $10.9 million to $15.2</w:t>
      </w:r>
      <w:r w:rsidR="00E323A3">
        <w:rPr>
          <w:szCs w:val="24"/>
        </w:rPr>
        <w:t> </w:t>
      </w:r>
      <w:r>
        <w:rPr>
          <w:szCs w:val="24"/>
        </w:rPr>
        <w:t>million over the period.</w:t>
      </w:r>
    </w:p>
    <w:p w14:paraId="07F2491B" w14:textId="77777777" w:rsidR="00864787" w:rsidRDefault="00864787" w:rsidP="00AD3739">
      <w:pPr>
        <w:rPr>
          <w:szCs w:val="24"/>
        </w:rPr>
      </w:pPr>
    </w:p>
    <w:p w14:paraId="74EB5105" w14:textId="77777777" w:rsidR="00AD3739" w:rsidRDefault="00AD3739" w:rsidP="00AD3739">
      <w:pPr>
        <w:pStyle w:val="Caption"/>
        <w:spacing w:before="0" w:after="0"/>
        <w:ind w:left="709" w:hanging="709"/>
      </w:pPr>
      <w:r>
        <w:t>Table</w:t>
      </w:r>
      <w:r w:rsidR="00161E42">
        <w:t xml:space="preserve"> 10</w:t>
      </w:r>
      <w:r>
        <w:t xml:space="preserve">: </w:t>
      </w:r>
      <w:r w:rsidRPr="00E52242">
        <w:t>Estimated number of affected individuals tested and cost of testing</w:t>
      </w:r>
    </w:p>
    <w:tbl>
      <w:tblPr>
        <w:tblStyle w:val="TableGrid"/>
        <w:tblW w:w="9271" w:type="dxa"/>
        <w:tblLayout w:type="fixed"/>
        <w:tblCellMar>
          <w:left w:w="57" w:type="dxa"/>
          <w:right w:w="57" w:type="dxa"/>
        </w:tblCellMar>
        <w:tblLook w:val="04A0" w:firstRow="1" w:lastRow="0" w:firstColumn="1" w:lastColumn="0" w:noHBand="0" w:noVBand="1"/>
        <w:tblCaption w:val="Table 10: Estimated number of affected individuals tested and cost of testing"/>
      </w:tblPr>
      <w:tblGrid>
        <w:gridCol w:w="4310"/>
        <w:gridCol w:w="992"/>
        <w:gridCol w:w="992"/>
        <w:gridCol w:w="993"/>
        <w:gridCol w:w="992"/>
        <w:gridCol w:w="992"/>
      </w:tblGrid>
      <w:tr w:rsidR="00AD3739" w:rsidRPr="00AD3739" w14:paraId="3108A1DA" w14:textId="77777777" w:rsidTr="00E2413C">
        <w:trPr>
          <w:tblHeader/>
        </w:trPr>
        <w:tc>
          <w:tcPr>
            <w:tcW w:w="4310" w:type="dxa"/>
          </w:tcPr>
          <w:p w14:paraId="02902036" w14:textId="77777777" w:rsidR="00AD3739" w:rsidRPr="00AD3739" w:rsidRDefault="00AD3739" w:rsidP="00DF497D">
            <w:pPr>
              <w:rPr>
                <w:rFonts w:ascii="Arial Narrow" w:hAnsi="Arial Narrow"/>
                <w:sz w:val="20"/>
              </w:rPr>
            </w:pPr>
          </w:p>
        </w:tc>
        <w:tc>
          <w:tcPr>
            <w:tcW w:w="992" w:type="dxa"/>
            <w:vAlign w:val="center"/>
          </w:tcPr>
          <w:p w14:paraId="6E30609A" w14:textId="77777777" w:rsidR="00AD3739" w:rsidRPr="00AD3739" w:rsidRDefault="00AD3739" w:rsidP="00DF497D">
            <w:pPr>
              <w:jc w:val="center"/>
              <w:rPr>
                <w:rFonts w:ascii="Arial Narrow" w:hAnsi="Arial Narrow"/>
                <w:b/>
                <w:sz w:val="20"/>
              </w:rPr>
            </w:pPr>
            <w:r w:rsidRPr="00AD3739">
              <w:rPr>
                <w:rFonts w:ascii="Arial Narrow" w:hAnsi="Arial Narrow"/>
                <w:b/>
                <w:sz w:val="20"/>
              </w:rPr>
              <w:t>2016</w:t>
            </w:r>
          </w:p>
        </w:tc>
        <w:tc>
          <w:tcPr>
            <w:tcW w:w="992" w:type="dxa"/>
            <w:vAlign w:val="center"/>
          </w:tcPr>
          <w:p w14:paraId="50F6DB7F" w14:textId="77777777" w:rsidR="00AD3739" w:rsidRPr="00AD3739" w:rsidRDefault="00AD3739" w:rsidP="00DF497D">
            <w:pPr>
              <w:jc w:val="center"/>
              <w:rPr>
                <w:rFonts w:ascii="Arial Narrow" w:hAnsi="Arial Narrow"/>
                <w:b/>
                <w:sz w:val="20"/>
              </w:rPr>
            </w:pPr>
            <w:r w:rsidRPr="00AD3739">
              <w:rPr>
                <w:rFonts w:ascii="Arial Narrow" w:hAnsi="Arial Narrow"/>
                <w:b/>
                <w:sz w:val="20"/>
              </w:rPr>
              <w:t>2017</w:t>
            </w:r>
          </w:p>
        </w:tc>
        <w:tc>
          <w:tcPr>
            <w:tcW w:w="993" w:type="dxa"/>
            <w:vAlign w:val="center"/>
          </w:tcPr>
          <w:p w14:paraId="294F891B" w14:textId="77777777" w:rsidR="00AD3739" w:rsidRPr="00AD3739" w:rsidRDefault="00AD3739" w:rsidP="00DF497D">
            <w:pPr>
              <w:jc w:val="center"/>
              <w:rPr>
                <w:rFonts w:ascii="Arial Narrow" w:hAnsi="Arial Narrow"/>
                <w:b/>
                <w:sz w:val="20"/>
              </w:rPr>
            </w:pPr>
            <w:r w:rsidRPr="00AD3739">
              <w:rPr>
                <w:rFonts w:ascii="Arial Narrow" w:hAnsi="Arial Narrow"/>
                <w:b/>
                <w:sz w:val="20"/>
              </w:rPr>
              <w:t>2018</w:t>
            </w:r>
          </w:p>
        </w:tc>
        <w:tc>
          <w:tcPr>
            <w:tcW w:w="992" w:type="dxa"/>
            <w:vAlign w:val="center"/>
          </w:tcPr>
          <w:p w14:paraId="6B4B8ED9" w14:textId="77777777" w:rsidR="00AD3739" w:rsidRPr="00AD3739" w:rsidRDefault="00AD3739" w:rsidP="00DF497D">
            <w:pPr>
              <w:jc w:val="center"/>
              <w:rPr>
                <w:rFonts w:ascii="Arial Narrow" w:hAnsi="Arial Narrow"/>
                <w:b/>
                <w:sz w:val="20"/>
              </w:rPr>
            </w:pPr>
            <w:r w:rsidRPr="00AD3739">
              <w:rPr>
                <w:rFonts w:ascii="Arial Narrow" w:hAnsi="Arial Narrow"/>
                <w:b/>
                <w:sz w:val="20"/>
              </w:rPr>
              <w:t>2019</w:t>
            </w:r>
          </w:p>
        </w:tc>
        <w:tc>
          <w:tcPr>
            <w:tcW w:w="992" w:type="dxa"/>
            <w:vAlign w:val="center"/>
          </w:tcPr>
          <w:p w14:paraId="4CB403F5" w14:textId="77777777" w:rsidR="00AD3739" w:rsidRPr="00AD3739" w:rsidRDefault="00AD3739" w:rsidP="00DF497D">
            <w:pPr>
              <w:jc w:val="center"/>
              <w:rPr>
                <w:rFonts w:ascii="Arial Narrow" w:hAnsi="Arial Narrow"/>
                <w:b/>
                <w:sz w:val="20"/>
              </w:rPr>
            </w:pPr>
            <w:r w:rsidRPr="00AD3739">
              <w:rPr>
                <w:rFonts w:ascii="Arial Narrow" w:hAnsi="Arial Narrow"/>
                <w:b/>
                <w:sz w:val="20"/>
              </w:rPr>
              <w:t>2020</w:t>
            </w:r>
          </w:p>
        </w:tc>
      </w:tr>
      <w:tr w:rsidR="00AD3739" w:rsidRPr="00AD3739" w14:paraId="08D1FA2C" w14:textId="77777777" w:rsidTr="00864787">
        <w:tc>
          <w:tcPr>
            <w:tcW w:w="4310" w:type="dxa"/>
            <w:vAlign w:val="center"/>
          </w:tcPr>
          <w:p w14:paraId="3335E57D" w14:textId="77777777" w:rsidR="00AD3739" w:rsidRPr="00AD3739" w:rsidRDefault="00AD3739" w:rsidP="00DF497D">
            <w:pPr>
              <w:rPr>
                <w:rFonts w:ascii="Arial Narrow" w:hAnsi="Arial Narrow"/>
                <w:sz w:val="20"/>
              </w:rPr>
            </w:pPr>
            <w:r w:rsidRPr="00AD3739">
              <w:rPr>
                <w:rFonts w:ascii="Arial Narrow" w:hAnsi="Arial Narrow"/>
                <w:sz w:val="20"/>
              </w:rPr>
              <w:t>Patients eligible for testing (10% of incident cases)</w:t>
            </w:r>
          </w:p>
        </w:tc>
        <w:tc>
          <w:tcPr>
            <w:tcW w:w="992" w:type="dxa"/>
            <w:vAlign w:val="center"/>
          </w:tcPr>
          <w:p w14:paraId="35B1B637" w14:textId="77777777" w:rsidR="00AD3739" w:rsidRPr="00AD3739" w:rsidRDefault="00AD3739" w:rsidP="00DF497D">
            <w:pPr>
              <w:jc w:val="center"/>
              <w:rPr>
                <w:rFonts w:ascii="Arial Narrow" w:hAnsi="Arial Narrow"/>
                <w:sz w:val="20"/>
              </w:rPr>
            </w:pPr>
            <w:r w:rsidRPr="00AD3739">
              <w:rPr>
                <w:rFonts w:ascii="Arial Narrow" w:hAnsi="Arial Narrow"/>
                <w:sz w:val="20"/>
              </w:rPr>
              <w:t>1,593</w:t>
            </w:r>
          </w:p>
        </w:tc>
        <w:tc>
          <w:tcPr>
            <w:tcW w:w="992" w:type="dxa"/>
            <w:vAlign w:val="center"/>
          </w:tcPr>
          <w:p w14:paraId="7DA83298" w14:textId="77777777" w:rsidR="00AD3739" w:rsidRPr="00AD3739" w:rsidRDefault="00AD3739" w:rsidP="00DF497D">
            <w:pPr>
              <w:jc w:val="center"/>
              <w:rPr>
                <w:rFonts w:ascii="Arial Narrow" w:hAnsi="Arial Narrow"/>
                <w:sz w:val="20"/>
              </w:rPr>
            </w:pPr>
            <w:r w:rsidRPr="00AD3739">
              <w:rPr>
                <w:rFonts w:ascii="Arial Narrow" w:hAnsi="Arial Narrow"/>
                <w:sz w:val="20"/>
              </w:rPr>
              <w:t>1,625</w:t>
            </w:r>
          </w:p>
        </w:tc>
        <w:tc>
          <w:tcPr>
            <w:tcW w:w="993" w:type="dxa"/>
            <w:vAlign w:val="center"/>
          </w:tcPr>
          <w:p w14:paraId="38A9F086" w14:textId="77777777" w:rsidR="00AD3739" w:rsidRPr="00AD3739" w:rsidRDefault="00AD3739" w:rsidP="00DF497D">
            <w:pPr>
              <w:jc w:val="center"/>
              <w:rPr>
                <w:rFonts w:ascii="Arial Narrow" w:hAnsi="Arial Narrow"/>
                <w:sz w:val="20"/>
              </w:rPr>
            </w:pPr>
            <w:r w:rsidRPr="00AD3739">
              <w:rPr>
                <w:rFonts w:ascii="Arial Narrow" w:hAnsi="Arial Narrow"/>
                <w:sz w:val="20"/>
              </w:rPr>
              <w:t>1,657</w:t>
            </w:r>
          </w:p>
        </w:tc>
        <w:tc>
          <w:tcPr>
            <w:tcW w:w="992" w:type="dxa"/>
            <w:vAlign w:val="center"/>
          </w:tcPr>
          <w:p w14:paraId="6A7D0F88" w14:textId="77777777" w:rsidR="00AD3739" w:rsidRPr="00AD3739" w:rsidRDefault="00AD3739" w:rsidP="00DF497D">
            <w:pPr>
              <w:jc w:val="center"/>
              <w:rPr>
                <w:rFonts w:ascii="Arial Narrow" w:hAnsi="Arial Narrow"/>
                <w:sz w:val="20"/>
              </w:rPr>
            </w:pPr>
            <w:r w:rsidRPr="00AD3739">
              <w:rPr>
                <w:rFonts w:ascii="Arial Narrow" w:hAnsi="Arial Narrow"/>
                <w:sz w:val="20"/>
              </w:rPr>
              <w:t>1,689</w:t>
            </w:r>
          </w:p>
        </w:tc>
        <w:tc>
          <w:tcPr>
            <w:tcW w:w="992" w:type="dxa"/>
            <w:vAlign w:val="center"/>
          </w:tcPr>
          <w:p w14:paraId="5AC9BFDA" w14:textId="77777777" w:rsidR="00AD3739" w:rsidRPr="00AD3739" w:rsidRDefault="00AD3739" w:rsidP="00DF497D">
            <w:pPr>
              <w:jc w:val="center"/>
              <w:rPr>
                <w:rFonts w:ascii="Arial Narrow" w:hAnsi="Arial Narrow"/>
                <w:sz w:val="20"/>
              </w:rPr>
            </w:pPr>
            <w:r w:rsidRPr="00AD3739">
              <w:rPr>
                <w:rFonts w:ascii="Arial Narrow" w:hAnsi="Arial Narrow"/>
                <w:sz w:val="20"/>
              </w:rPr>
              <w:t>1,721</w:t>
            </w:r>
          </w:p>
        </w:tc>
      </w:tr>
      <w:tr w:rsidR="00AD3739" w:rsidRPr="00AD3739" w14:paraId="4AB54BE7" w14:textId="77777777" w:rsidTr="00864787">
        <w:tc>
          <w:tcPr>
            <w:tcW w:w="4310" w:type="dxa"/>
          </w:tcPr>
          <w:p w14:paraId="7A7713A4" w14:textId="77777777" w:rsidR="00AD3739" w:rsidRPr="00AD3739" w:rsidRDefault="00AD3739" w:rsidP="00DF497D">
            <w:pPr>
              <w:rPr>
                <w:rFonts w:ascii="Arial Narrow" w:hAnsi="Arial Narrow"/>
                <w:sz w:val="20"/>
              </w:rPr>
            </w:pPr>
            <w:r w:rsidRPr="00AD3739">
              <w:rPr>
                <w:rFonts w:ascii="Arial Narrow" w:hAnsi="Arial Narrow"/>
                <w:sz w:val="20"/>
              </w:rPr>
              <w:t>Uptake rate</w:t>
            </w:r>
          </w:p>
        </w:tc>
        <w:tc>
          <w:tcPr>
            <w:tcW w:w="992" w:type="dxa"/>
            <w:vAlign w:val="center"/>
          </w:tcPr>
          <w:p w14:paraId="45397A7B" w14:textId="77777777" w:rsidR="00AD3739" w:rsidRPr="00AD3739" w:rsidRDefault="00AD3739" w:rsidP="00DF497D">
            <w:pPr>
              <w:jc w:val="center"/>
              <w:rPr>
                <w:rFonts w:ascii="Arial Narrow" w:hAnsi="Arial Narrow"/>
                <w:sz w:val="20"/>
              </w:rPr>
            </w:pPr>
            <w:r w:rsidRPr="00AD3739">
              <w:rPr>
                <w:rFonts w:ascii="Arial Narrow" w:hAnsi="Arial Narrow"/>
                <w:sz w:val="20"/>
              </w:rPr>
              <w:t>70%</w:t>
            </w:r>
          </w:p>
        </w:tc>
        <w:tc>
          <w:tcPr>
            <w:tcW w:w="992" w:type="dxa"/>
            <w:vAlign w:val="center"/>
          </w:tcPr>
          <w:p w14:paraId="491C9CEC" w14:textId="77777777" w:rsidR="00AD3739" w:rsidRPr="00AD3739" w:rsidRDefault="00AD3739" w:rsidP="00DF497D">
            <w:pPr>
              <w:jc w:val="center"/>
              <w:rPr>
                <w:rFonts w:ascii="Arial Narrow" w:hAnsi="Arial Narrow"/>
                <w:sz w:val="20"/>
              </w:rPr>
            </w:pPr>
            <w:r w:rsidRPr="00AD3739">
              <w:rPr>
                <w:rFonts w:ascii="Arial Narrow" w:hAnsi="Arial Narrow"/>
                <w:sz w:val="20"/>
              </w:rPr>
              <w:t>70%</w:t>
            </w:r>
          </w:p>
        </w:tc>
        <w:tc>
          <w:tcPr>
            <w:tcW w:w="993" w:type="dxa"/>
            <w:vAlign w:val="center"/>
          </w:tcPr>
          <w:p w14:paraId="69BCD436" w14:textId="77777777" w:rsidR="00AD3739" w:rsidRPr="00AD3739" w:rsidRDefault="00AD3739" w:rsidP="00DF497D">
            <w:pPr>
              <w:jc w:val="center"/>
              <w:rPr>
                <w:rFonts w:ascii="Arial Narrow" w:hAnsi="Arial Narrow"/>
                <w:sz w:val="20"/>
              </w:rPr>
            </w:pPr>
            <w:r w:rsidRPr="00AD3739">
              <w:rPr>
                <w:rFonts w:ascii="Arial Narrow" w:hAnsi="Arial Narrow"/>
                <w:sz w:val="20"/>
              </w:rPr>
              <w:t>80%</w:t>
            </w:r>
          </w:p>
        </w:tc>
        <w:tc>
          <w:tcPr>
            <w:tcW w:w="992" w:type="dxa"/>
            <w:vAlign w:val="center"/>
          </w:tcPr>
          <w:p w14:paraId="0C260A97" w14:textId="77777777" w:rsidR="00AD3739" w:rsidRPr="00AD3739" w:rsidRDefault="00AD3739" w:rsidP="00DF497D">
            <w:pPr>
              <w:jc w:val="center"/>
              <w:rPr>
                <w:rFonts w:ascii="Arial Narrow" w:hAnsi="Arial Narrow"/>
                <w:sz w:val="20"/>
              </w:rPr>
            </w:pPr>
            <w:r w:rsidRPr="00AD3739">
              <w:rPr>
                <w:rFonts w:ascii="Arial Narrow" w:hAnsi="Arial Narrow"/>
                <w:sz w:val="20"/>
              </w:rPr>
              <w:t>90%</w:t>
            </w:r>
          </w:p>
        </w:tc>
        <w:tc>
          <w:tcPr>
            <w:tcW w:w="992" w:type="dxa"/>
            <w:vAlign w:val="center"/>
          </w:tcPr>
          <w:p w14:paraId="2A70F6B5" w14:textId="77777777" w:rsidR="00AD3739" w:rsidRPr="00AD3739" w:rsidRDefault="00AD3739" w:rsidP="00DF497D">
            <w:pPr>
              <w:jc w:val="center"/>
              <w:rPr>
                <w:rFonts w:ascii="Arial Narrow" w:hAnsi="Arial Narrow"/>
                <w:sz w:val="20"/>
              </w:rPr>
            </w:pPr>
            <w:r w:rsidRPr="00AD3739">
              <w:rPr>
                <w:rFonts w:ascii="Arial Narrow" w:hAnsi="Arial Narrow"/>
                <w:sz w:val="20"/>
              </w:rPr>
              <w:t>90%</w:t>
            </w:r>
          </w:p>
        </w:tc>
      </w:tr>
      <w:tr w:rsidR="00AD3739" w:rsidRPr="00AD3739" w14:paraId="574AE4DF" w14:textId="77777777" w:rsidTr="00864787">
        <w:tc>
          <w:tcPr>
            <w:tcW w:w="4310" w:type="dxa"/>
          </w:tcPr>
          <w:p w14:paraId="282DC811" w14:textId="77777777" w:rsidR="00AD3739" w:rsidRPr="00AD3739" w:rsidRDefault="00AD3739" w:rsidP="00DF497D">
            <w:pPr>
              <w:rPr>
                <w:rFonts w:ascii="Arial Narrow" w:hAnsi="Arial Narrow"/>
                <w:sz w:val="20"/>
              </w:rPr>
            </w:pPr>
            <w:r w:rsidRPr="00AD3739">
              <w:rPr>
                <w:rFonts w:ascii="Arial Narrow" w:hAnsi="Arial Narrow"/>
                <w:sz w:val="20"/>
              </w:rPr>
              <w:t>Number tested (initial</w:t>
            </w:r>
            <w:r w:rsidR="00161E42">
              <w:rPr>
                <w:rFonts w:ascii="Arial Narrow" w:hAnsi="Arial Narrow"/>
                <w:sz w:val="20"/>
              </w:rPr>
              <w:t>)</w:t>
            </w:r>
          </w:p>
        </w:tc>
        <w:tc>
          <w:tcPr>
            <w:tcW w:w="992" w:type="dxa"/>
          </w:tcPr>
          <w:p w14:paraId="7F610445" w14:textId="77777777" w:rsidR="00AD3739" w:rsidRPr="00AD3739" w:rsidRDefault="00AD3739" w:rsidP="00DF497D">
            <w:pPr>
              <w:jc w:val="center"/>
              <w:rPr>
                <w:rFonts w:ascii="Arial Narrow" w:hAnsi="Arial Narrow"/>
                <w:sz w:val="20"/>
              </w:rPr>
            </w:pPr>
            <w:r w:rsidRPr="00AD3739">
              <w:rPr>
                <w:rFonts w:ascii="Arial Narrow" w:hAnsi="Arial Narrow"/>
                <w:sz w:val="20"/>
              </w:rPr>
              <w:t xml:space="preserve">1,115 </w:t>
            </w:r>
          </w:p>
        </w:tc>
        <w:tc>
          <w:tcPr>
            <w:tcW w:w="992" w:type="dxa"/>
          </w:tcPr>
          <w:p w14:paraId="47EDD1F0" w14:textId="77777777" w:rsidR="00AD3739" w:rsidRPr="00AD3739" w:rsidRDefault="00AD3739" w:rsidP="00DF497D">
            <w:pPr>
              <w:jc w:val="center"/>
              <w:rPr>
                <w:rFonts w:ascii="Arial Narrow" w:hAnsi="Arial Narrow"/>
                <w:sz w:val="20"/>
              </w:rPr>
            </w:pPr>
            <w:r w:rsidRPr="00AD3739">
              <w:rPr>
                <w:rFonts w:ascii="Arial Narrow" w:hAnsi="Arial Narrow"/>
                <w:sz w:val="20"/>
              </w:rPr>
              <w:t xml:space="preserve">1,138 </w:t>
            </w:r>
          </w:p>
        </w:tc>
        <w:tc>
          <w:tcPr>
            <w:tcW w:w="993" w:type="dxa"/>
          </w:tcPr>
          <w:p w14:paraId="099BBC3B" w14:textId="77777777" w:rsidR="00AD3739" w:rsidRPr="00AD3739" w:rsidRDefault="00AD3739" w:rsidP="00DF497D">
            <w:pPr>
              <w:jc w:val="center"/>
              <w:rPr>
                <w:rFonts w:ascii="Arial Narrow" w:hAnsi="Arial Narrow"/>
                <w:sz w:val="20"/>
              </w:rPr>
            </w:pPr>
            <w:r w:rsidRPr="00AD3739">
              <w:rPr>
                <w:rFonts w:ascii="Arial Narrow" w:hAnsi="Arial Narrow"/>
                <w:sz w:val="20"/>
              </w:rPr>
              <w:t xml:space="preserve">1,326 </w:t>
            </w:r>
          </w:p>
        </w:tc>
        <w:tc>
          <w:tcPr>
            <w:tcW w:w="992" w:type="dxa"/>
          </w:tcPr>
          <w:p w14:paraId="3690E752" w14:textId="77777777" w:rsidR="00AD3739" w:rsidRPr="00AD3739" w:rsidRDefault="00AD3739" w:rsidP="00DF497D">
            <w:pPr>
              <w:jc w:val="center"/>
              <w:rPr>
                <w:rFonts w:ascii="Arial Narrow" w:hAnsi="Arial Narrow"/>
                <w:sz w:val="20"/>
              </w:rPr>
            </w:pPr>
            <w:r w:rsidRPr="00AD3739">
              <w:rPr>
                <w:rFonts w:ascii="Arial Narrow" w:hAnsi="Arial Narrow"/>
                <w:sz w:val="20"/>
              </w:rPr>
              <w:t xml:space="preserve">1,520 </w:t>
            </w:r>
          </w:p>
        </w:tc>
        <w:tc>
          <w:tcPr>
            <w:tcW w:w="992" w:type="dxa"/>
          </w:tcPr>
          <w:p w14:paraId="7006FDFE" w14:textId="77777777" w:rsidR="00AD3739" w:rsidRPr="00AD3739" w:rsidRDefault="00AD3739" w:rsidP="00DF497D">
            <w:pPr>
              <w:jc w:val="center"/>
              <w:rPr>
                <w:rFonts w:ascii="Arial Narrow" w:hAnsi="Arial Narrow"/>
                <w:sz w:val="20"/>
              </w:rPr>
            </w:pPr>
            <w:r w:rsidRPr="00AD3739">
              <w:rPr>
                <w:rFonts w:ascii="Arial Narrow" w:hAnsi="Arial Narrow"/>
                <w:sz w:val="20"/>
              </w:rPr>
              <w:t xml:space="preserve">1,549 </w:t>
            </w:r>
          </w:p>
        </w:tc>
      </w:tr>
      <w:tr w:rsidR="00AD3739" w:rsidRPr="00AD3739" w14:paraId="587E374C" w14:textId="77777777" w:rsidTr="00161E42">
        <w:tc>
          <w:tcPr>
            <w:tcW w:w="4310" w:type="dxa"/>
            <w:shd w:val="clear" w:color="auto" w:fill="auto"/>
          </w:tcPr>
          <w:p w14:paraId="6F3B128E" w14:textId="77777777" w:rsidR="00AD3739" w:rsidRPr="00AD3739" w:rsidRDefault="00AD3739" w:rsidP="00DF497D">
            <w:pPr>
              <w:rPr>
                <w:rFonts w:ascii="Arial Narrow" w:hAnsi="Arial Narrow"/>
                <w:sz w:val="20"/>
              </w:rPr>
            </w:pPr>
            <w:r w:rsidRPr="00AD3739">
              <w:rPr>
                <w:rFonts w:ascii="Arial Narrow" w:hAnsi="Arial Narrow"/>
                <w:sz w:val="20"/>
              </w:rPr>
              <w:t>Cost to Government of initial testing (</w:t>
            </w:r>
            <w:r w:rsidR="00161E42" w:rsidRPr="00AD3739">
              <w:rPr>
                <w:rFonts w:ascii="Arial Narrow" w:hAnsi="Arial Narrow"/>
                <w:sz w:val="20"/>
              </w:rPr>
              <w:t>r</w:t>
            </w:r>
            <w:r w:rsidRPr="00AD3739">
              <w:rPr>
                <w:rFonts w:ascii="Arial Narrow" w:hAnsi="Arial Narrow"/>
                <w:sz w:val="20"/>
              </w:rPr>
              <w:t>ebate of $1,647 per test)</w:t>
            </w:r>
          </w:p>
        </w:tc>
        <w:tc>
          <w:tcPr>
            <w:tcW w:w="992" w:type="dxa"/>
            <w:shd w:val="clear" w:color="auto" w:fill="auto"/>
            <w:vAlign w:val="center"/>
          </w:tcPr>
          <w:p w14:paraId="4843BFBB" w14:textId="77777777" w:rsidR="00AD3739" w:rsidRPr="00AD3739" w:rsidRDefault="00AD3739" w:rsidP="00DF497D">
            <w:pPr>
              <w:jc w:val="right"/>
              <w:rPr>
                <w:rFonts w:ascii="Arial Narrow" w:hAnsi="Arial Narrow"/>
                <w:sz w:val="20"/>
              </w:rPr>
            </w:pPr>
            <w:r w:rsidRPr="00AD3739">
              <w:rPr>
                <w:rFonts w:ascii="Arial Narrow" w:hAnsi="Arial Narrow"/>
                <w:sz w:val="20"/>
              </w:rPr>
              <w:t>$1,836,124</w:t>
            </w:r>
          </w:p>
        </w:tc>
        <w:tc>
          <w:tcPr>
            <w:tcW w:w="992" w:type="dxa"/>
            <w:shd w:val="clear" w:color="auto" w:fill="auto"/>
            <w:vAlign w:val="center"/>
          </w:tcPr>
          <w:p w14:paraId="6A1F435F" w14:textId="77777777" w:rsidR="00AD3739" w:rsidRPr="00AD3739" w:rsidRDefault="00AD3739" w:rsidP="00DF497D">
            <w:pPr>
              <w:jc w:val="right"/>
              <w:rPr>
                <w:rFonts w:ascii="Arial Narrow" w:hAnsi="Arial Narrow"/>
                <w:sz w:val="20"/>
              </w:rPr>
            </w:pPr>
            <w:r w:rsidRPr="00AD3739">
              <w:rPr>
                <w:rFonts w:ascii="Arial Narrow" w:hAnsi="Arial Narrow"/>
                <w:sz w:val="20"/>
              </w:rPr>
              <w:t>$1,873,008</w:t>
            </w:r>
          </w:p>
        </w:tc>
        <w:tc>
          <w:tcPr>
            <w:tcW w:w="993" w:type="dxa"/>
            <w:shd w:val="clear" w:color="auto" w:fill="auto"/>
            <w:vAlign w:val="center"/>
          </w:tcPr>
          <w:p w14:paraId="4C687691" w14:textId="77777777" w:rsidR="00AD3739" w:rsidRPr="00AD3739" w:rsidRDefault="00AD3739" w:rsidP="00DF497D">
            <w:pPr>
              <w:jc w:val="right"/>
              <w:rPr>
                <w:rFonts w:ascii="Arial Narrow" w:hAnsi="Arial Narrow"/>
                <w:sz w:val="20"/>
              </w:rPr>
            </w:pPr>
            <w:r w:rsidRPr="00AD3739">
              <w:rPr>
                <w:rFonts w:ascii="Arial Narrow" w:hAnsi="Arial Narrow"/>
                <w:sz w:val="20"/>
              </w:rPr>
              <w:t>$2,182,733</w:t>
            </w:r>
          </w:p>
        </w:tc>
        <w:tc>
          <w:tcPr>
            <w:tcW w:w="992" w:type="dxa"/>
            <w:shd w:val="clear" w:color="auto" w:fill="auto"/>
            <w:vAlign w:val="center"/>
          </w:tcPr>
          <w:p w14:paraId="5E997775" w14:textId="77777777" w:rsidR="00AD3739" w:rsidRPr="00AD3739" w:rsidRDefault="00AD3739" w:rsidP="00DF497D">
            <w:pPr>
              <w:jc w:val="right"/>
              <w:rPr>
                <w:rFonts w:ascii="Arial Narrow" w:hAnsi="Arial Narrow"/>
                <w:sz w:val="20"/>
              </w:rPr>
            </w:pPr>
            <w:r w:rsidRPr="00AD3739">
              <w:rPr>
                <w:rFonts w:ascii="Arial Narrow" w:hAnsi="Arial Narrow"/>
                <w:sz w:val="20"/>
              </w:rPr>
              <w:t>$2,502,997</w:t>
            </w:r>
          </w:p>
        </w:tc>
        <w:tc>
          <w:tcPr>
            <w:tcW w:w="992" w:type="dxa"/>
            <w:shd w:val="clear" w:color="auto" w:fill="auto"/>
            <w:vAlign w:val="center"/>
          </w:tcPr>
          <w:p w14:paraId="4088BB17" w14:textId="77777777" w:rsidR="00AD3739" w:rsidRPr="00AD3739" w:rsidRDefault="00AD3739" w:rsidP="00DF497D">
            <w:pPr>
              <w:jc w:val="right"/>
              <w:rPr>
                <w:rFonts w:ascii="Arial Narrow" w:hAnsi="Arial Narrow"/>
                <w:sz w:val="20"/>
              </w:rPr>
            </w:pPr>
            <w:r w:rsidRPr="00AD3739">
              <w:rPr>
                <w:rFonts w:ascii="Arial Narrow" w:hAnsi="Arial Narrow"/>
                <w:sz w:val="20"/>
              </w:rPr>
              <w:t>$2,550,419</w:t>
            </w:r>
          </w:p>
        </w:tc>
      </w:tr>
      <w:tr w:rsidR="00AD3739" w:rsidRPr="00AD3739" w14:paraId="73040DBE" w14:textId="77777777" w:rsidTr="00864787">
        <w:tc>
          <w:tcPr>
            <w:tcW w:w="4310" w:type="dxa"/>
          </w:tcPr>
          <w:p w14:paraId="7D1C458F" w14:textId="77777777" w:rsidR="00AD3739" w:rsidRPr="00AD3739" w:rsidRDefault="00AD3739" w:rsidP="00A8248C">
            <w:pPr>
              <w:rPr>
                <w:rFonts w:ascii="Arial Narrow" w:hAnsi="Arial Narrow"/>
                <w:sz w:val="20"/>
              </w:rPr>
            </w:pPr>
            <w:r w:rsidRPr="00AD3739">
              <w:rPr>
                <w:rFonts w:ascii="Arial Narrow" w:hAnsi="Arial Narrow"/>
                <w:sz w:val="20"/>
              </w:rPr>
              <w:t xml:space="preserve">Number of patients positive for </w:t>
            </w:r>
            <w:r w:rsidRPr="00A8248C">
              <w:rPr>
                <w:rFonts w:ascii="Arial Narrow" w:hAnsi="Arial Narrow"/>
                <w:i/>
                <w:sz w:val="20"/>
              </w:rPr>
              <w:t>BRCA1</w:t>
            </w:r>
            <w:r w:rsidRPr="00AD3739">
              <w:rPr>
                <w:rFonts w:ascii="Arial Narrow" w:hAnsi="Arial Narrow"/>
                <w:sz w:val="20"/>
              </w:rPr>
              <w:t xml:space="preserve"> or </w:t>
            </w:r>
            <w:r w:rsidR="00A8248C" w:rsidRPr="00A8248C">
              <w:rPr>
                <w:rFonts w:ascii="Arial Narrow" w:hAnsi="Arial Narrow"/>
                <w:i/>
                <w:sz w:val="20"/>
              </w:rPr>
              <w:t>BRCA</w:t>
            </w:r>
            <w:r w:rsidRPr="00A8248C">
              <w:rPr>
                <w:rFonts w:ascii="Arial Narrow" w:hAnsi="Arial Narrow"/>
                <w:i/>
                <w:sz w:val="20"/>
              </w:rPr>
              <w:t>2</w:t>
            </w:r>
            <w:r w:rsidRPr="00AD3739">
              <w:rPr>
                <w:rFonts w:ascii="Arial Narrow" w:hAnsi="Arial Narrow"/>
                <w:sz w:val="20"/>
              </w:rPr>
              <w:t xml:space="preserve"> mutation (15% of tested)</w:t>
            </w:r>
          </w:p>
        </w:tc>
        <w:tc>
          <w:tcPr>
            <w:tcW w:w="992" w:type="dxa"/>
            <w:vAlign w:val="center"/>
          </w:tcPr>
          <w:p w14:paraId="40A56ED1" w14:textId="77777777" w:rsidR="00AD3739" w:rsidRPr="00AD3739" w:rsidRDefault="00AD3739" w:rsidP="00DF497D">
            <w:pPr>
              <w:jc w:val="center"/>
              <w:rPr>
                <w:rFonts w:ascii="Arial Narrow" w:hAnsi="Arial Narrow"/>
                <w:sz w:val="20"/>
              </w:rPr>
            </w:pPr>
            <w:r w:rsidRPr="00AD3739">
              <w:rPr>
                <w:rFonts w:ascii="Arial Narrow" w:hAnsi="Arial Narrow"/>
                <w:sz w:val="20"/>
              </w:rPr>
              <w:t>167</w:t>
            </w:r>
          </w:p>
        </w:tc>
        <w:tc>
          <w:tcPr>
            <w:tcW w:w="992" w:type="dxa"/>
            <w:vAlign w:val="center"/>
          </w:tcPr>
          <w:p w14:paraId="2599291C" w14:textId="77777777" w:rsidR="00AD3739" w:rsidRPr="00AD3739" w:rsidRDefault="00AD3739" w:rsidP="00DF497D">
            <w:pPr>
              <w:jc w:val="center"/>
              <w:rPr>
                <w:rFonts w:ascii="Arial Narrow" w:hAnsi="Arial Narrow"/>
                <w:sz w:val="20"/>
              </w:rPr>
            </w:pPr>
            <w:r w:rsidRPr="00AD3739">
              <w:rPr>
                <w:rFonts w:ascii="Arial Narrow" w:hAnsi="Arial Narrow"/>
                <w:sz w:val="20"/>
              </w:rPr>
              <w:t>171</w:t>
            </w:r>
          </w:p>
        </w:tc>
        <w:tc>
          <w:tcPr>
            <w:tcW w:w="993" w:type="dxa"/>
            <w:vAlign w:val="center"/>
          </w:tcPr>
          <w:p w14:paraId="7FCAE133" w14:textId="77777777" w:rsidR="00AD3739" w:rsidRPr="00AD3739" w:rsidRDefault="00AD3739" w:rsidP="00DF497D">
            <w:pPr>
              <w:jc w:val="center"/>
              <w:rPr>
                <w:rFonts w:ascii="Arial Narrow" w:hAnsi="Arial Narrow"/>
                <w:sz w:val="20"/>
              </w:rPr>
            </w:pPr>
            <w:r w:rsidRPr="00AD3739">
              <w:rPr>
                <w:rFonts w:ascii="Arial Narrow" w:hAnsi="Arial Narrow"/>
                <w:sz w:val="20"/>
              </w:rPr>
              <w:t>199</w:t>
            </w:r>
          </w:p>
        </w:tc>
        <w:tc>
          <w:tcPr>
            <w:tcW w:w="992" w:type="dxa"/>
            <w:vAlign w:val="center"/>
          </w:tcPr>
          <w:p w14:paraId="252E4D0D" w14:textId="77777777" w:rsidR="00AD3739" w:rsidRPr="00AD3739" w:rsidRDefault="00AD3739" w:rsidP="00DF497D">
            <w:pPr>
              <w:jc w:val="center"/>
              <w:rPr>
                <w:rFonts w:ascii="Arial Narrow" w:hAnsi="Arial Narrow"/>
                <w:sz w:val="20"/>
              </w:rPr>
            </w:pPr>
            <w:r w:rsidRPr="00AD3739">
              <w:rPr>
                <w:rFonts w:ascii="Arial Narrow" w:hAnsi="Arial Narrow"/>
                <w:sz w:val="20"/>
              </w:rPr>
              <w:t>228</w:t>
            </w:r>
          </w:p>
        </w:tc>
        <w:tc>
          <w:tcPr>
            <w:tcW w:w="992" w:type="dxa"/>
            <w:vAlign w:val="center"/>
          </w:tcPr>
          <w:p w14:paraId="7C4EB85F" w14:textId="77777777" w:rsidR="00AD3739" w:rsidRPr="00AD3739" w:rsidRDefault="00AD3739" w:rsidP="00DF497D">
            <w:pPr>
              <w:jc w:val="center"/>
              <w:rPr>
                <w:rFonts w:ascii="Arial Narrow" w:hAnsi="Arial Narrow"/>
                <w:sz w:val="20"/>
              </w:rPr>
            </w:pPr>
            <w:r w:rsidRPr="00AD3739">
              <w:rPr>
                <w:rFonts w:ascii="Arial Narrow" w:hAnsi="Arial Narrow"/>
                <w:sz w:val="20"/>
              </w:rPr>
              <w:t>232</w:t>
            </w:r>
          </w:p>
        </w:tc>
      </w:tr>
      <w:tr w:rsidR="00AD3739" w:rsidRPr="00AD3739" w14:paraId="36A92227" w14:textId="77777777" w:rsidTr="00161E42">
        <w:tc>
          <w:tcPr>
            <w:tcW w:w="4310" w:type="dxa"/>
            <w:shd w:val="clear" w:color="auto" w:fill="auto"/>
          </w:tcPr>
          <w:p w14:paraId="7D902E53" w14:textId="77777777" w:rsidR="00AD3739" w:rsidRPr="00AD3739" w:rsidRDefault="00AD3739" w:rsidP="00DF497D">
            <w:pPr>
              <w:rPr>
                <w:rFonts w:ascii="Arial Narrow" w:hAnsi="Arial Narrow"/>
                <w:sz w:val="20"/>
              </w:rPr>
            </w:pPr>
            <w:r w:rsidRPr="00AD3739">
              <w:rPr>
                <w:rFonts w:ascii="Arial Narrow" w:hAnsi="Arial Narrow"/>
                <w:sz w:val="20"/>
              </w:rPr>
              <w:t>Cost to Gover</w:t>
            </w:r>
            <w:r w:rsidR="00161E42">
              <w:rPr>
                <w:rFonts w:ascii="Arial Narrow" w:hAnsi="Arial Narrow"/>
                <w:sz w:val="20"/>
              </w:rPr>
              <w:t>nment of confirmatory testing (r</w:t>
            </w:r>
            <w:r w:rsidRPr="00AD3739">
              <w:rPr>
                <w:rFonts w:ascii="Arial Narrow" w:hAnsi="Arial Narrow"/>
                <w:sz w:val="20"/>
              </w:rPr>
              <w:t>ebate of $342.13 per test)</w:t>
            </w:r>
          </w:p>
        </w:tc>
        <w:tc>
          <w:tcPr>
            <w:tcW w:w="992" w:type="dxa"/>
            <w:shd w:val="clear" w:color="auto" w:fill="auto"/>
            <w:vAlign w:val="center"/>
          </w:tcPr>
          <w:p w14:paraId="1F4E338B" w14:textId="77777777" w:rsidR="00AD3739" w:rsidRPr="00AD3739" w:rsidRDefault="00AD3739" w:rsidP="00DF497D">
            <w:pPr>
              <w:jc w:val="right"/>
              <w:rPr>
                <w:rFonts w:ascii="Arial Narrow" w:hAnsi="Arial Narrow"/>
                <w:sz w:val="20"/>
              </w:rPr>
            </w:pPr>
            <w:r w:rsidRPr="00AD3739">
              <w:rPr>
                <w:rFonts w:ascii="Arial Narrow" w:hAnsi="Arial Narrow"/>
                <w:sz w:val="20"/>
              </w:rPr>
              <w:t>$57,226</w:t>
            </w:r>
          </w:p>
        </w:tc>
        <w:tc>
          <w:tcPr>
            <w:tcW w:w="992" w:type="dxa"/>
            <w:shd w:val="clear" w:color="auto" w:fill="auto"/>
            <w:vAlign w:val="center"/>
          </w:tcPr>
          <w:p w14:paraId="161C2C0C" w14:textId="77777777" w:rsidR="00AD3739" w:rsidRPr="00AD3739" w:rsidRDefault="00AD3739" w:rsidP="00DF497D">
            <w:pPr>
              <w:jc w:val="right"/>
              <w:rPr>
                <w:rFonts w:ascii="Arial Narrow" w:hAnsi="Arial Narrow"/>
                <w:sz w:val="20"/>
              </w:rPr>
            </w:pPr>
            <w:r w:rsidRPr="00AD3739">
              <w:rPr>
                <w:rFonts w:ascii="Arial Narrow" w:hAnsi="Arial Narrow"/>
                <w:sz w:val="20"/>
              </w:rPr>
              <w:t>$58,375</w:t>
            </w:r>
          </w:p>
        </w:tc>
        <w:tc>
          <w:tcPr>
            <w:tcW w:w="993" w:type="dxa"/>
            <w:shd w:val="clear" w:color="auto" w:fill="auto"/>
            <w:vAlign w:val="center"/>
          </w:tcPr>
          <w:p w14:paraId="51D285F3" w14:textId="77777777" w:rsidR="00AD3739" w:rsidRPr="00AD3739" w:rsidRDefault="00AD3739" w:rsidP="00DF497D">
            <w:pPr>
              <w:jc w:val="right"/>
              <w:rPr>
                <w:rFonts w:ascii="Arial Narrow" w:hAnsi="Arial Narrow"/>
                <w:sz w:val="20"/>
              </w:rPr>
            </w:pPr>
            <w:r w:rsidRPr="00AD3739">
              <w:rPr>
                <w:rFonts w:ascii="Arial Narrow" w:hAnsi="Arial Narrow"/>
                <w:sz w:val="20"/>
              </w:rPr>
              <w:t>$68,028</w:t>
            </w:r>
          </w:p>
        </w:tc>
        <w:tc>
          <w:tcPr>
            <w:tcW w:w="992" w:type="dxa"/>
            <w:shd w:val="clear" w:color="auto" w:fill="auto"/>
            <w:vAlign w:val="center"/>
          </w:tcPr>
          <w:p w14:paraId="1469A0F5" w14:textId="77777777" w:rsidR="00AD3739" w:rsidRPr="00AD3739" w:rsidRDefault="00AD3739" w:rsidP="00DF497D">
            <w:pPr>
              <w:jc w:val="right"/>
              <w:rPr>
                <w:rFonts w:ascii="Arial Narrow" w:hAnsi="Arial Narrow"/>
                <w:sz w:val="20"/>
              </w:rPr>
            </w:pPr>
            <w:r w:rsidRPr="00AD3739">
              <w:rPr>
                <w:rFonts w:ascii="Arial Narrow" w:hAnsi="Arial Narrow"/>
                <w:sz w:val="20"/>
              </w:rPr>
              <w:t>$78,010</w:t>
            </w:r>
          </w:p>
        </w:tc>
        <w:tc>
          <w:tcPr>
            <w:tcW w:w="992" w:type="dxa"/>
            <w:shd w:val="clear" w:color="auto" w:fill="auto"/>
            <w:vAlign w:val="center"/>
          </w:tcPr>
          <w:p w14:paraId="33509D23" w14:textId="77777777" w:rsidR="00AD3739" w:rsidRPr="00AD3739" w:rsidRDefault="00AD3739" w:rsidP="00DF497D">
            <w:pPr>
              <w:jc w:val="right"/>
              <w:rPr>
                <w:rFonts w:ascii="Arial Narrow" w:hAnsi="Arial Narrow"/>
                <w:sz w:val="20"/>
              </w:rPr>
            </w:pPr>
            <w:r w:rsidRPr="00AD3739">
              <w:rPr>
                <w:rFonts w:ascii="Arial Narrow" w:hAnsi="Arial Narrow"/>
                <w:sz w:val="20"/>
              </w:rPr>
              <w:t>$79,488</w:t>
            </w:r>
          </w:p>
        </w:tc>
      </w:tr>
      <w:tr w:rsidR="00AD3739" w:rsidRPr="00AD3739" w14:paraId="52EE9154" w14:textId="77777777" w:rsidTr="00161E42">
        <w:tc>
          <w:tcPr>
            <w:tcW w:w="4310" w:type="dxa"/>
            <w:shd w:val="clear" w:color="auto" w:fill="auto"/>
            <w:vAlign w:val="center"/>
          </w:tcPr>
          <w:p w14:paraId="1190153A" w14:textId="77777777" w:rsidR="00AD3739" w:rsidRPr="00AD3739" w:rsidRDefault="00161E42" w:rsidP="00DF497D">
            <w:pPr>
              <w:rPr>
                <w:rFonts w:ascii="Arial Narrow" w:hAnsi="Arial Narrow"/>
                <w:sz w:val="20"/>
              </w:rPr>
            </w:pPr>
            <w:r>
              <w:rPr>
                <w:rFonts w:ascii="Arial Narrow" w:hAnsi="Arial Narrow"/>
                <w:sz w:val="20"/>
              </w:rPr>
              <w:t>Total c</w:t>
            </w:r>
            <w:r w:rsidR="00AD3739" w:rsidRPr="00AD3739">
              <w:rPr>
                <w:rFonts w:ascii="Arial Narrow" w:hAnsi="Arial Narrow"/>
                <w:sz w:val="20"/>
              </w:rPr>
              <w:t>ost to Government of initial and confirmatory testing</w:t>
            </w:r>
          </w:p>
        </w:tc>
        <w:tc>
          <w:tcPr>
            <w:tcW w:w="992" w:type="dxa"/>
            <w:shd w:val="clear" w:color="auto" w:fill="auto"/>
            <w:vAlign w:val="center"/>
          </w:tcPr>
          <w:p w14:paraId="5F8B0A7D" w14:textId="77777777" w:rsidR="00AD3739" w:rsidRPr="00AD3739" w:rsidRDefault="00AD3739" w:rsidP="00DF497D">
            <w:pPr>
              <w:jc w:val="right"/>
              <w:rPr>
                <w:rFonts w:ascii="Arial Narrow" w:hAnsi="Arial Narrow"/>
                <w:sz w:val="20"/>
              </w:rPr>
            </w:pPr>
            <w:r w:rsidRPr="00AD3739">
              <w:rPr>
                <w:rFonts w:ascii="Arial Narrow" w:hAnsi="Arial Narrow"/>
                <w:sz w:val="20"/>
              </w:rPr>
              <w:t>$1,893,349</w:t>
            </w:r>
          </w:p>
        </w:tc>
        <w:tc>
          <w:tcPr>
            <w:tcW w:w="992" w:type="dxa"/>
            <w:shd w:val="clear" w:color="auto" w:fill="auto"/>
            <w:vAlign w:val="center"/>
          </w:tcPr>
          <w:p w14:paraId="741E54FE" w14:textId="77777777" w:rsidR="00AD3739" w:rsidRPr="00AD3739" w:rsidRDefault="00AD3739" w:rsidP="00DF497D">
            <w:pPr>
              <w:jc w:val="right"/>
              <w:rPr>
                <w:rFonts w:ascii="Arial Narrow" w:hAnsi="Arial Narrow"/>
                <w:sz w:val="20"/>
              </w:rPr>
            </w:pPr>
            <w:r w:rsidRPr="00AD3739">
              <w:rPr>
                <w:rFonts w:ascii="Arial Narrow" w:hAnsi="Arial Narrow"/>
                <w:sz w:val="20"/>
              </w:rPr>
              <w:t>$1,931,383</w:t>
            </w:r>
          </w:p>
        </w:tc>
        <w:tc>
          <w:tcPr>
            <w:tcW w:w="993" w:type="dxa"/>
            <w:shd w:val="clear" w:color="auto" w:fill="auto"/>
            <w:vAlign w:val="center"/>
          </w:tcPr>
          <w:p w14:paraId="4AAF9094" w14:textId="77777777" w:rsidR="00AD3739" w:rsidRPr="00AD3739" w:rsidRDefault="00AD3739" w:rsidP="00DF497D">
            <w:pPr>
              <w:jc w:val="right"/>
              <w:rPr>
                <w:rFonts w:ascii="Arial Narrow" w:hAnsi="Arial Narrow"/>
                <w:sz w:val="20"/>
              </w:rPr>
            </w:pPr>
            <w:r w:rsidRPr="00AD3739">
              <w:rPr>
                <w:rFonts w:ascii="Arial Narrow" w:hAnsi="Arial Narrow"/>
                <w:sz w:val="20"/>
              </w:rPr>
              <w:t>$2,250,761</w:t>
            </w:r>
          </w:p>
        </w:tc>
        <w:tc>
          <w:tcPr>
            <w:tcW w:w="992" w:type="dxa"/>
            <w:shd w:val="clear" w:color="auto" w:fill="auto"/>
            <w:vAlign w:val="center"/>
          </w:tcPr>
          <w:p w14:paraId="4C4A64CB" w14:textId="77777777" w:rsidR="00AD3739" w:rsidRPr="00AD3739" w:rsidRDefault="00AD3739" w:rsidP="00DF497D">
            <w:pPr>
              <w:jc w:val="right"/>
              <w:rPr>
                <w:rFonts w:ascii="Arial Narrow" w:hAnsi="Arial Narrow"/>
                <w:sz w:val="20"/>
              </w:rPr>
            </w:pPr>
            <w:r w:rsidRPr="00AD3739">
              <w:rPr>
                <w:rFonts w:ascii="Arial Narrow" w:hAnsi="Arial Narrow"/>
                <w:sz w:val="20"/>
              </w:rPr>
              <w:t>$2,581,006</w:t>
            </w:r>
          </w:p>
        </w:tc>
        <w:tc>
          <w:tcPr>
            <w:tcW w:w="992" w:type="dxa"/>
            <w:shd w:val="clear" w:color="auto" w:fill="auto"/>
            <w:vAlign w:val="center"/>
          </w:tcPr>
          <w:p w14:paraId="5D099038" w14:textId="77777777" w:rsidR="00AD3739" w:rsidRPr="00AD3739" w:rsidRDefault="00AD3739" w:rsidP="00DF497D">
            <w:pPr>
              <w:jc w:val="right"/>
              <w:rPr>
                <w:rFonts w:ascii="Arial Narrow" w:hAnsi="Arial Narrow"/>
                <w:sz w:val="20"/>
              </w:rPr>
            </w:pPr>
            <w:r w:rsidRPr="00AD3739">
              <w:rPr>
                <w:rFonts w:ascii="Arial Narrow" w:hAnsi="Arial Narrow"/>
                <w:sz w:val="20"/>
              </w:rPr>
              <w:t>$2,629,906</w:t>
            </w:r>
          </w:p>
        </w:tc>
      </w:tr>
      <w:tr w:rsidR="00AD3739" w:rsidRPr="00AD3739" w14:paraId="3474B708" w14:textId="77777777" w:rsidTr="00161E42">
        <w:tc>
          <w:tcPr>
            <w:tcW w:w="4310" w:type="dxa"/>
            <w:shd w:val="clear" w:color="auto" w:fill="auto"/>
            <w:vAlign w:val="center"/>
          </w:tcPr>
          <w:p w14:paraId="254A2D51" w14:textId="77777777" w:rsidR="00AD3739" w:rsidRPr="00AD3739" w:rsidRDefault="00AD3739" w:rsidP="00161E42">
            <w:pPr>
              <w:rPr>
                <w:rFonts w:ascii="Arial Narrow" w:hAnsi="Arial Narrow"/>
                <w:sz w:val="20"/>
              </w:rPr>
            </w:pPr>
            <w:r w:rsidRPr="00AD3739">
              <w:rPr>
                <w:rFonts w:ascii="Arial Narrow" w:hAnsi="Arial Narrow"/>
                <w:sz w:val="20"/>
              </w:rPr>
              <w:t xml:space="preserve">Cost to Government of </w:t>
            </w:r>
            <w:r w:rsidR="00161E42">
              <w:rPr>
                <w:rFonts w:ascii="Arial Narrow" w:hAnsi="Arial Narrow"/>
                <w:sz w:val="20"/>
              </w:rPr>
              <w:t>g</w:t>
            </w:r>
            <w:r w:rsidRPr="00AD3739">
              <w:rPr>
                <w:rFonts w:ascii="Arial Narrow" w:hAnsi="Arial Narrow"/>
                <w:sz w:val="20"/>
              </w:rPr>
              <w:t xml:space="preserve">enetic </w:t>
            </w:r>
            <w:r w:rsidR="00161E42">
              <w:rPr>
                <w:rFonts w:ascii="Arial Narrow" w:hAnsi="Arial Narrow"/>
                <w:sz w:val="20"/>
              </w:rPr>
              <w:t>c</w:t>
            </w:r>
            <w:r w:rsidRPr="00AD3739">
              <w:rPr>
                <w:rFonts w:ascii="Arial Narrow" w:hAnsi="Arial Narrow"/>
                <w:sz w:val="20"/>
              </w:rPr>
              <w:t>ounselling (</w:t>
            </w:r>
            <w:r w:rsidR="00161E42">
              <w:rPr>
                <w:rFonts w:ascii="Arial Narrow" w:hAnsi="Arial Narrow"/>
                <w:sz w:val="20"/>
              </w:rPr>
              <w:t>r</w:t>
            </w:r>
            <w:r w:rsidRPr="00AD3739">
              <w:rPr>
                <w:rFonts w:ascii="Arial Narrow" w:hAnsi="Arial Narrow"/>
                <w:sz w:val="20"/>
              </w:rPr>
              <w:t>ebate of $224.35)</w:t>
            </w:r>
          </w:p>
        </w:tc>
        <w:tc>
          <w:tcPr>
            <w:tcW w:w="992" w:type="dxa"/>
            <w:shd w:val="clear" w:color="auto" w:fill="auto"/>
            <w:vAlign w:val="center"/>
          </w:tcPr>
          <w:p w14:paraId="29B94230" w14:textId="77777777" w:rsidR="00AD3739" w:rsidRPr="00AD3739" w:rsidRDefault="00AD3739" w:rsidP="00DF497D">
            <w:pPr>
              <w:jc w:val="right"/>
              <w:rPr>
                <w:rFonts w:ascii="Arial Narrow" w:hAnsi="Arial Narrow"/>
                <w:sz w:val="20"/>
              </w:rPr>
            </w:pPr>
            <w:r w:rsidRPr="00AD3739">
              <w:rPr>
                <w:rFonts w:ascii="Arial Narrow" w:hAnsi="Arial Narrow"/>
                <w:sz w:val="20"/>
              </w:rPr>
              <w:t>$37,526</w:t>
            </w:r>
          </w:p>
        </w:tc>
        <w:tc>
          <w:tcPr>
            <w:tcW w:w="992" w:type="dxa"/>
            <w:shd w:val="clear" w:color="auto" w:fill="auto"/>
            <w:vAlign w:val="center"/>
          </w:tcPr>
          <w:p w14:paraId="432CE309" w14:textId="77777777" w:rsidR="00AD3739" w:rsidRPr="00AD3739" w:rsidRDefault="00AD3739" w:rsidP="00DF497D">
            <w:pPr>
              <w:jc w:val="right"/>
              <w:rPr>
                <w:rFonts w:ascii="Arial Narrow" w:hAnsi="Arial Narrow"/>
                <w:sz w:val="20"/>
              </w:rPr>
            </w:pPr>
            <w:r w:rsidRPr="00AD3739">
              <w:rPr>
                <w:rFonts w:ascii="Arial Narrow" w:hAnsi="Arial Narrow"/>
                <w:sz w:val="20"/>
              </w:rPr>
              <w:t>$38,280</w:t>
            </w:r>
          </w:p>
        </w:tc>
        <w:tc>
          <w:tcPr>
            <w:tcW w:w="993" w:type="dxa"/>
            <w:shd w:val="clear" w:color="auto" w:fill="auto"/>
            <w:vAlign w:val="center"/>
          </w:tcPr>
          <w:p w14:paraId="2C0EA191" w14:textId="77777777" w:rsidR="00AD3739" w:rsidRPr="00AD3739" w:rsidRDefault="00AD3739" w:rsidP="00DF497D">
            <w:pPr>
              <w:jc w:val="right"/>
              <w:rPr>
                <w:rFonts w:ascii="Arial Narrow" w:hAnsi="Arial Narrow"/>
                <w:sz w:val="20"/>
              </w:rPr>
            </w:pPr>
            <w:r w:rsidRPr="00AD3739">
              <w:rPr>
                <w:rFonts w:ascii="Arial Narrow" w:hAnsi="Arial Narrow"/>
                <w:sz w:val="20"/>
              </w:rPr>
              <w:t>$44,610</w:t>
            </w:r>
          </w:p>
        </w:tc>
        <w:tc>
          <w:tcPr>
            <w:tcW w:w="992" w:type="dxa"/>
            <w:shd w:val="clear" w:color="auto" w:fill="auto"/>
            <w:vAlign w:val="center"/>
          </w:tcPr>
          <w:p w14:paraId="48591496" w14:textId="77777777" w:rsidR="00AD3739" w:rsidRPr="00AD3739" w:rsidRDefault="00AD3739" w:rsidP="00DF497D">
            <w:pPr>
              <w:jc w:val="right"/>
              <w:rPr>
                <w:rFonts w:ascii="Arial Narrow" w:hAnsi="Arial Narrow"/>
                <w:sz w:val="20"/>
              </w:rPr>
            </w:pPr>
            <w:r w:rsidRPr="00AD3739">
              <w:rPr>
                <w:rFonts w:ascii="Arial Narrow" w:hAnsi="Arial Narrow"/>
                <w:sz w:val="20"/>
              </w:rPr>
              <w:t>$51,155</w:t>
            </w:r>
          </w:p>
        </w:tc>
        <w:tc>
          <w:tcPr>
            <w:tcW w:w="992" w:type="dxa"/>
            <w:shd w:val="clear" w:color="auto" w:fill="auto"/>
            <w:vAlign w:val="center"/>
          </w:tcPr>
          <w:p w14:paraId="1C77A153" w14:textId="77777777" w:rsidR="00AD3739" w:rsidRPr="00AD3739" w:rsidRDefault="00AD3739" w:rsidP="00DF497D">
            <w:pPr>
              <w:jc w:val="right"/>
              <w:rPr>
                <w:rFonts w:ascii="Arial Narrow" w:hAnsi="Arial Narrow"/>
                <w:sz w:val="20"/>
              </w:rPr>
            </w:pPr>
            <w:r w:rsidRPr="00AD3739">
              <w:rPr>
                <w:rFonts w:ascii="Arial Narrow" w:hAnsi="Arial Narrow"/>
                <w:sz w:val="20"/>
              </w:rPr>
              <w:t>$52,124</w:t>
            </w:r>
          </w:p>
        </w:tc>
      </w:tr>
      <w:tr w:rsidR="00AD3739" w:rsidRPr="00AD3739" w14:paraId="69E2019E" w14:textId="77777777" w:rsidTr="00161E42">
        <w:tc>
          <w:tcPr>
            <w:tcW w:w="4310" w:type="dxa"/>
            <w:shd w:val="clear" w:color="auto" w:fill="auto"/>
            <w:vAlign w:val="center"/>
          </w:tcPr>
          <w:p w14:paraId="7C9E8B7D" w14:textId="77777777" w:rsidR="00AD3739" w:rsidRPr="00AD3739" w:rsidRDefault="00AD3739" w:rsidP="00DF497D">
            <w:pPr>
              <w:rPr>
                <w:rFonts w:ascii="Arial Narrow" w:hAnsi="Arial Narrow"/>
                <w:sz w:val="20"/>
              </w:rPr>
            </w:pPr>
            <w:r w:rsidRPr="00AD3739">
              <w:rPr>
                <w:rFonts w:ascii="Arial Narrow" w:hAnsi="Arial Narrow"/>
                <w:sz w:val="20"/>
              </w:rPr>
              <w:t>Total cost (net co-pay) of testing and genetic counselling</w:t>
            </w:r>
          </w:p>
        </w:tc>
        <w:tc>
          <w:tcPr>
            <w:tcW w:w="992" w:type="dxa"/>
            <w:shd w:val="clear" w:color="auto" w:fill="auto"/>
            <w:vAlign w:val="center"/>
          </w:tcPr>
          <w:p w14:paraId="695A3597" w14:textId="77777777" w:rsidR="00AD3739" w:rsidRPr="00AD3739" w:rsidRDefault="00AD3739" w:rsidP="00DF497D">
            <w:pPr>
              <w:jc w:val="right"/>
              <w:rPr>
                <w:rFonts w:ascii="Arial Narrow" w:hAnsi="Arial Narrow"/>
                <w:sz w:val="20"/>
              </w:rPr>
            </w:pPr>
            <w:r w:rsidRPr="00AD3739">
              <w:rPr>
                <w:rFonts w:ascii="Arial Narrow" w:hAnsi="Arial Narrow"/>
                <w:sz w:val="20"/>
              </w:rPr>
              <w:t>$1,930,875</w:t>
            </w:r>
          </w:p>
        </w:tc>
        <w:tc>
          <w:tcPr>
            <w:tcW w:w="992" w:type="dxa"/>
            <w:shd w:val="clear" w:color="auto" w:fill="auto"/>
            <w:vAlign w:val="center"/>
          </w:tcPr>
          <w:p w14:paraId="44C6D35F" w14:textId="77777777" w:rsidR="00AD3739" w:rsidRPr="00AD3739" w:rsidRDefault="00AD3739" w:rsidP="00DF497D">
            <w:pPr>
              <w:jc w:val="right"/>
              <w:rPr>
                <w:rFonts w:ascii="Arial Narrow" w:hAnsi="Arial Narrow"/>
                <w:sz w:val="20"/>
              </w:rPr>
            </w:pPr>
            <w:r w:rsidRPr="00AD3739">
              <w:rPr>
                <w:rFonts w:ascii="Arial Narrow" w:hAnsi="Arial Narrow"/>
                <w:sz w:val="20"/>
              </w:rPr>
              <w:t>$1,969,662</w:t>
            </w:r>
          </w:p>
        </w:tc>
        <w:tc>
          <w:tcPr>
            <w:tcW w:w="993" w:type="dxa"/>
            <w:shd w:val="clear" w:color="auto" w:fill="auto"/>
            <w:vAlign w:val="center"/>
          </w:tcPr>
          <w:p w14:paraId="1AA7C479" w14:textId="77777777" w:rsidR="00AD3739" w:rsidRPr="00AD3739" w:rsidRDefault="00AD3739" w:rsidP="00DF497D">
            <w:pPr>
              <w:jc w:val="right"/>
              <w:rPr>
                <w:rFonts w:ascii="Arial Narrow" w:hAnsi="Arial Narrow"/>
                <w:sz w:val="20"/>
              </w:rPr>
            </w:pPr>
            <w:r w:rsidRPr="00AD3739">
              <w:rPr>
                <w:rFonts w:ascii="Arial Narrow" w:hAnsi="Arial Narrow"/>
                <w:sz w:val="20"/>
              </w:rPr>
              <w:t>$2,295,371</w:t>
            </w:r>
          </w:p>
        </w:tc>
        <w:tc>
          <w:tcPr>
            <w:tcW w:w="992" w:type="dxa"/>
            <w:shd w:val="clear" w:color="auto" w:fill="auto"/>
            <w:vAlign w:val="center"/>
          </w:tcPr>
          <w:p w14:paraId="31290B15" w14:textId="77777777" w:rsidR="00AD3739" w:rsidRPr="00AD3739" w:rsidRDefault="00AD3739" w:rsidP="00DF497D">
            <w:pPr>
              <w:jc w:val="right"/>
              <w:rPr>
                <w:rFonts w:ascii="Arial Narrow" w:hAnsi="Arial Narrow"/>
                <w:sz w:val="20"/>
              </w:rPr>
            </w:pPr>
            <w:r w:rsidRPr="00AD3739">
              <w:rPr>
                <w:rFonts w:ascii="Arial Narrow" w:hAnsi="Arial Narrow"/>
                <w:sz w:val="20"/>
              </w:rPr>
              <w:t>$2,632,161</w:t>
            </w:r>
          </w:p>
        </w:tc>
        <w:tc>
          <w:tcPr>
            <w:tcW w:w="992" w:type="dxa"/>
            <w:shd w:val="clear" w:color="auto" w:fill="auto"/>
            <w:vAlign w:val="center"/>
          </w:tcPr>
          <w:p w14:paraId="0E9AF627" w14:textId="77777777" w:rsidR="00AD3739" w:rsidRPr="00AD3739" w:rsidRDefault="00AD3739" w:rsidP="00DF497D">
            <w:pPr>
              <w:jc w:val="right"/>
              <w:rPr>
                <w:rFonts w:ascii="Arial Narrow" w:hAnsi="Arial Narrow"/>
                <w:sz w:val="20"/>
              </w:rPr>
            </w:pPr>
            <w:r w:rsidRPr="00AD3739">
              <w:rPr>
                <w:rFonts w:ascii="Arial Narrow" w:hAnsi="Arial Narrow"/>
                <w:sz w:val="20"/>
              </w:rPr>
              <w:t>$2,682,031</w:t>
            </w:r>
          </w:p>
        </w:tc>
      </w:tr>
    </w:tbl>
    <w:p w14:paraId="1E65073B" w14:textId="77777777" w:rsidR="00AD3739" w:rsidRPr="00161E42" w:rsidRDefault="00AD3739" w:rsidP="00AD3739">
      <w:pPr>
        <w:rPr>
          <w:rFonts w:eastAsiaTheme="minorHAnsi"/>
          <w:iCs/>
          <w:szCs w:val="24"/>
          <w:lang w:eastAsia="en-US"/>
        </w:rPr>
      </w:pPr>
    </w:p>
    <w:p w14:paraId="24D32D70" w14:textId="77777777" w:rsidR="00AD3739" w:rsidRPr="00AD3739" w:rsidRDefault="00AD3739" w:rsidP="00161E42">
      <w:pPr>
        <w:pStyle w:val="Caption"/>
        <w:spacing w:before="0" w:after="0"/>
        <w:ind w:left="0" w:firstLine="0"/>
        <w:rPr>
          <w:szCs w:val="20"/>
        </w:rPr>
      </w:pPr>
      <w:r w:rsidRPr="00AD3739">
        <w:rPr>
          <w:szCs w:val="20"/>
        </w:rPr>
        <w:t>Table</w:t>
      </w:r>
      <w:r w:rsidR="00161E42">
        <w:rPr>
          <w:szCs w:val="20"/>
        </w:rPr>
        <w:t xml:space="preserve"> 11</w:t>
      </w:r>
      <w:r w:rsidRPr="00AD3739">
        <w:rPr>
          <w:szCs w:val="20"/>
        </w:rPr>
        <w:t>: Estimated number of family members tested and cost of testing</w:t>
      </w:r>
    </w:p>
    <w:tbl>
      <w:tblPr>
        <w:tblStyle w:val="TableGrid"/>
        <w:tblW w:w="9322" w:type="dxa"/>
        <w:tblLayout w:type="fixed"/>
        <w:tblCellMar>
          <w:left w:w="57" w:type="dxa"/>
          <w:right w:w="57" w:type="dxa"/>
        </w:tblCellMar>
        <w:tblLook w:val="04A0" w:firstRow="1" w:lastRow="0" w:firstColumn="1" w:lastColumn="0" w:noHBand="0" w:noVBand="1"/>
        <w:tblCaption w:val="Table 11: Estimated number of family members tested and cost of testing"/>
      </w:tblPr>
      <w:tblGrid>
        <w:gridCol w:w="5019"/>
        <w:gridCol w:w="850"/>
        <w:gridCol w:w="851"/>
        <w:gridCol w:w="850"/>
        <w:gridCol w:w="851"/>
        <w:gridCol w:w="901"/>
      </w:tblGrid>
      <w:tr w:rsidR="00AD3739" w:rsidRPr="00AD3739" w14:paraId="48046444" w14:textId="77777777" w:rsidTr="00E2413C">
        <w:trPr>
          <w:tblHeader/>
        </w:trPr>
        <w:tc>
          <w:tcPr>
            <w:tcW w:w="5019" w:type="dxa"/>
          </w:tcPr>
          <w:p w14:paraId="5482F4B5" w14:textId="77777777" w:rsidR="00AD3739" w:rsidRPr="00AD3739" w:rsidRDefault="00AD3739" w:rsidP="00DF497D">
            <w:pPr>
              <w:rPr>
                <w:rFonts w:ascii="Arial Narrow" w:hAnsi="Arial Narrow"/>
                <w:sz w:val="20"/>
              </w:rPr>
            </w:pPr>
          </w:p>
        </w:tc>
        <w:tc>
          <w:tcPr>
            <w:tcW w:w="850" w:type="dxa"/>
            <w:vAlign w:val="center"/>
          </w:tcPr>
          <w:p w14:paraId="3EF2A77C" w14:textId="77777777" w:rsidR="00AD3739" w:rsidRPr="00AD3739" w:rsidRDefault="00AD3739" w:rsidP="00DF497D">
            <w:pPr>
              <w:jc w:val="center"/>
              <w:rPr>
                <w:rFonts w:ascii="Arial Narrow" w:hAnsi="Arial Narrow"/>
                <w:b/>
                <w:sz w:val="20"/>
              </w:rPr>
            </w:pPr>
            <w:r w:rsidRPr="00AD3739">
              <w:rPr>
                <w:rFonts w:ascii="Arial Narrow" w:hAnsi="Arial Narrow"/>
                <w:b/>
                <w:sz w:val="20"/>
              </w:rPr>
              <w:t>2016</w:t>
            </w:r>
          </w:p>
        </w:tc>
        <w:tc>
          <w:tcPr>
            <w:tcW w:w="851" w:type="dxa"/>
            <w:vAlign w:val="center"/>
          </w:tcPr>
          <w:p w14:paraId="7E1010D1" w14:textId="77777777" w:rsidR="00AD3739" w:rsidRPr="00AD3739" w:rsidRDefault="00AD3739" w:rsidP="00DF497D">
            <w:pPr>
              <w:jc w:val="center"/>
              <w:rPr>
                <w:rFonts w:ascii="Arial Narrow" w:hAnsi="Arial Narrow"/>
                <w:b/>
                <w:sz w:val="20"/>
              </w:rPr>
            </w:pPr>
            <w:r w:rsidRPr="00AD3739">
              <w:rPr>
                <w:rFonts w:ascii="Arial Narrow" w:hAnsi="Arial Narrow"/>
                <w:b/>
                <w:sz w:val="20"/>
              </w:rPr>
              <w:t>2017</w:t>
            </w:r>
          </w:p>
        </w:tc>
        <w:tc>
          <w:tcPr>
            <w:tcW w:w="850" w:type="dxa"/>
            <w:vAlign w:val="center"/>
          </w:tcPr>
          <w:p w14:paraId="49621AC9" w14:textId="77777777" w:rsidR="00AD3739" w:rsidRPr="00AD3739" w:rsidRDefault="00AD3739" w:rsidP="00DF497D">
            <w:pPr>
              <w:jc w:val="center"/>
              <w:rPr>
                <w:rFonts w:ascii="Arial Narrow" w:hAnsi="Arial Narrow"/>
                <w:b/>
                <w:sz w:val="20"/>
              </w:rPr>
            </w:pPr>
            <w:r w:rsidRPr="00AD3739">
              <w:rPr>
                <w:rFonts w:ascii="Arial Narrow" w:hAnsi="Arial Narrow"/>
                <w:b/>
                <w:sz w:val="20"/>
              </w:rPr>
              <w:t>2018</w:t>
            </w:r>
          </w:p>
        </w:tc>
        <w:tc>
          <w:tcPr>
            <w:tcW w:w="851" w:type="dxa"/>
            <w:vAlign w:val="center"/>
          </w:tcPr>
          <w:p w14:paraId="53AA6A68" w14:textId="77777777" w:rsidR="00AD3739" w:rsidRPr="00AD3739" w:rsidRDefault="00AD3739" w:rsidP="00DF497D">
            <w:pPr>
              <w:jc w:val="center"/>
              <w:rPr>
                <w:rFonts w:ascii="Arial Narrow" w:hAnsi="Arial Narrow"/>
                <w:b/>
                <w:sz w:val="20"/>
              </w:rPr>
            </w:pPr>
            <w:r w:rsidRPr="00AD3739">
              <w:rPr>
                <w:rFonts w:ascii="Arial Narrow" w:hAnsi="Arial Narrow"/>
                <w:b/>
                <w:sz w:val="20"/>
              </w:rPr>
              <w:t>2019</w:t>
            </w:r>
          </w:p>
        </w:tc>
        <w:tc>
          <w:tcPr>
            <w:tcW w:w="901" w:type="dxa"/>
            <w:vAlign w:val="center"/>
          </w:tcPr>
          <w:p w14:paraId="4BC10C5F" w14:textId="77777777" w:rsidR="00AD3739" w:rsidRPr="00AD3739" w:rsidRDefault="00AD3739" w:rsidP="00DF497D">
            <w:pPr>
              <w:jc w:val="center"/>
              <w:rPr>
                <w:rFonts w:ascii="Arial Narrow" w:hAnsi="Arial Narrow"/>
                <w:b/>
                <w:sz w:val="20"/>
              </w:rPr>
            </w:pPr>
            <w:r w:rsidRPr="00AD3739">
              <w:rPr>
                <w:rFonts w:ascii="Arial Narrow" w:hAnsi="Arial Narrow"/>
                <w:b/>
                <w:sz w:val="20"/>
              </w:rPr>
              <w:t>2020</w:t>
            </w:r>
          </w:p>
        </w:tc>
      </w:tr>
      <w:tr w:rsidR="00AD3739" w:rsidRPr="00AD3739" w14:paraId="1FB52E9E" w14:textId="77777777" w:rsidTr="00161E42">
        <w:tc>
          <w:tcPr>
            <w:tcW w:w="5019" w:type="dxa"/>
          </w:tcPr>
          <w:p w14:paraId="6B8750AE" w14:textId="77777777" w:rsidR="00AD3739" w:rsidRPr="00AD3739" w:rsidRDefault="00AD3739" w:rsidP="00A8248C">
            <w:pPr>
              <w:rPr>
                <w:rFonts w:ascii="Arial Narrow" w:hAnsi="Arial Narrow"/>
                <w:sz w:val="20"/>
              </w:rPr>
            </w:pPr>
            <w:r w:rsidRPr="00AD3739">
              <w:rPr>
                <w:rFonts w:ascii="Arial Narrow" w:hAnsi="Arial Narrow"/>
                <w:sz w:val="20"/>
              </w:rPr>
              <w:t xml:space="preserve">Number of affected women positive for </w:t>
            </w:r>
            <w:r w:rsidRPr="00A8248C">
              <w:rPr>
                <w:rFonts w:ascii="Arial Narrow" w:hAnsi="Arial Narrow"/>
                <w:i/>
                <w:sz w:val="20"/>
              </w:rPr>
              <w:t>BRCA1</w:t>
            </w:r>
            <w:r w:rsidRPr="00AD3739">
              <w:rPr>
                <w:rFonts w:ascii="Arial Narrow" w:hAnsi="Arial Narrow"/>
                <w:sz w:val="20"/>
              </w:rPr>
              <w:t xml:space="preserve"> or </w:t>
            </w:r>
            <w:r w:rsidR="00A8248C" w:rsidRPr="00A8248C">
              <w:rPr>
                <w:rFonts w:ascii="Arial Narrow" w:hAnsi="Arial Narrow"/>
                <w:i/>
                <w:sz w:val="20"/>
              </w:rPr>
              <w:t>BRCA</w:t>
            </w:r>
            <w:r w:rsidRPr="00A8248C">
              <w:rPr>
                <w:rFonts w:ascii="Arial Narrow" w:hAnsi="Arial Narrow"/>
                <w:i/>
                <w:sz w:val="20"/>
              </w:rPr>
              <w:t>2</w:t>
            </w:r>
            <w:r w:rsidRPr="00AD3739">
              <w:rPr>
                <w:rFonts w:ascii="Arial Narrow" w:hAnsi="Arial Narrow"/>
                <w:sz w:val="20"/>
              </w:rPr>
              <w:t xml:space="preserve"> mutation</w:t>
            </w:r>
          </w:p>
        </w:tc>
        <w:tc>
          <w:tcPr>
            <w:tcW w:w="850" w:type="dxa"/>
            <w:vAlign w:val="center"/>
          </w:tcPr>
          <w:p w14:paraId="412F0418" w14:textId="77777777" w:rsidR="00AD3739" w:rsidRPr="00AD3739" w:rsidRDefault="00AD3739" w:rsidP="00DF497D">
            <w:pPr>
              <w:jc w:val="center"/>
              <w:rPr>
                <w:rFonts w:ascii="Arial Narrow" w:hAnsi="Arial Narrow"/>
                <w:sz w:val="20"/>
              </w:rPr>
            </w:pPr>
            <w:r w:rsidRPr="00AD3739">
              <w:rPr>
                <w:rFonts w:ascii="Arial Narrow" w:hAnsi="Arial Narrow"/>
                <w:sz w:val="20"/>
              </w:rPr>
              <w:t>167</w:t>
            </w:r>
          </w:p>
        </w:tc>
        <w:tc>
          <w:tcPr>
            <w:tcW w:w="851" w:type="dxa"/>
            <w:vAlign w:val="center"/>
          </w:tcPr>
          <w:p w14:paraId="43BCE150" w14:textId="77777777" w:rsidR="00AD3739" w:rsidRPr="00AD3739" w:rsidRDefault="00AD3739" w:rsidP="00DF497D">
            <w:pPr>
              <w:jc w:val="center"/>
              <w:rPr>
                <w:rFonts w:ascii="Arial Narrow" w:hAnsi="Arial Narrow"/>
                <w:sz w:val="20"/>
              </w:rPr>
            </w:pPr>
            <w:r w:rsidRPr="00AD3739">
              <w:rPr>
                <w:rFonts w:ascii="Arial Narrow" w:hAnsi="Arial Narrow"/>
                <w:sz w:val="20"/>
              </w:rPr>
              <w:t>171</w:t>
            </w:r>
          </w:p>
        </w:tc>
        <w:tc>
          <w:tcPr>
            <w:tcW w:w="850" w:type="dxa"/>
            <w:vAlign w:val="center"/>
          </w:tcPr>
          <w:p w14:paraId="401C96AD" w14:textId="77777777" w:rsidR="00AD3739" w:rsidRPr="00AD3739" w:rsidRDefault="00AD3739" w:rsidP="00DF497D">
            <w:pPr>
              <w:jc w:val="center"/>
              <w:rPr>
                <w:rFonts w:ascii="Arial Narrow" w:hAnsi="Arial Narrow"/>
                <w:sz w:val="20"/>
              </w:rPr>
            </w:pPr>
            <w:r w:rsidRPr="00AD3739">
              <w:rPr>
                <w:rFonts w:ascii="Arial Narrow" w:hAnsi="Arial Narrow"/>
                <w:sz w:val="20"/>
              </w:rPr>
              <w:t>199</w:t>
            </w:r>
          </w:p>
        </w:tc>
        <w:tc>
          <w:tcPr>
            <w:tcW w:w="851" w:type="dxa"/>
            <w:vAlign w:val="center"/>
          </w:tcPr>
          <w:p w14:paraId="23CD31CF" w14:textId="77777777" w:rsidR="00AD3739" w:rsidRPr="00AD3739" w:rsidRDefault="00AD3739" w:rsidP="00DF497D">
            <w:pPr>
              <w:jc w:val="center"/>
              <w:rPr>
                <w:rFonts w:ascii="Arial Narrow" w:hAnsi="Arial Narrow"/>
                <w:sz w:val="20"/>
              </w:rPr>
            </w:pPr>
            <w:r w:rsidRPr="00AD3739">
              <w:rPr>
                <w:rFonts w:ascii="Arial Narrow" w:hAnsi="Arial Narrow"/>
                <w:sz w:val="20"/>
              </w:rPr>
              <w:t>228</w:t>
            </w:r>
          </w:p>
        </w:tc>
        <w:tc>
          <w:tcPr>
            <w:tcW w:w="901" w:type="dxa"/>
            <w:vAlign w:val="center"/>
          </w:tcPr>
          <w:p w14:paraId="11FC8634" w14:textId="77777777" w:rsidR="00AD3739" w:rsidRPr="00AD3739" w:rsidRDefault="00AD3739" w:rsidP="00DF497D">
            <w:pPr>
              <w:jc w:val="center"/>
              <w:rPr>
                <w:rFonts w:ascii="Arial Narrow" w:hAnsi="Arial Narrow"/>
                <w:sz w:val="20"/>
              </w:rPr>
            </w:pPr>
            <w:r w:rsidRPr="00AD3739">
              <w:rPr>
                <w:rFonts w:ascii="Arial Narrow" w:hAnsi="Arial Narrow"/>
                <w:sz w:val="20"/>
              </w:rPr>
              <w:t>232</w:t>
            </w:r>
          </w:p>
        </w:tc>
      </w:tr>
      <w:tr w:rsidR="00AD3739" w:rsidRPr="00AD3739" w14:paraId="655416CF" w14:textId="77777777" w:rsidTr="00161E42">
        <w:tc>
          <w:tcPr>
            <w:tcW w:w="5019" w:type="dxa"/>
          </w:tcPr>
          <w:p w14:paraId="04CA1FF2" w14:textId="77777777" w:rsidR="00AD3739" w:rsidRPr="00AD3739" w:rsidRDefault="00AD3739" w:rsidP="00161E42">
            <w:pPr>
              <w:rPr>
                <w:rFonts w:ascii="Arial Narrow" w:hAnsi="Arial Narrow"/>
                <w:sz w:val="20"/>
              </w:rPr>
            </w:pPr>
            <w:r w:rsidRPr="00AD3739">
              <w:rPr>
                <w:rFonts w:ascii="Arial Narrow" w:hAnsi="Arial Narrow"/>
                <w:sz w:val="20"/>
              </w:rPr>
              <w:t xml:space="preserve">Number tested (average of 6 family members per </w:t>
            </w:r>
            <w:proofErr w:type="spellStart"/>
            <w:r w:rsidR="00161E42">
              <w:rPr>
                <w:rFonts w:ascii="Arial Narrow" w:hAnsi="Arial Narrow"/>
                <w:sz w:val="20"/>
              </w:rPr>
              <w:t>p</w:t>
            </w:r>
            <w:r w:rsidRPr="00AD3739">
              <w:rPr>
                <w:rFonts w:ascii="Arial Narrow" w:hAnsi="Arial Narrow"/>
                <w:sz w:val="20"/>
              </w:rPr>
              <w:t>roband</w:t>
            </w:r>
            <w:proofErr w:type="spellEnd"/>
            <w:r w:rsidRPr="00AD3739">
              <w:rPr>
                <w:rFonts w:ascii="Arial Narrow" w:hAnsi="Arial Narrow"/>
                <w:sz w:val="20"/>
              </w:rPr>
              <w:t>)</w:t>
            </w:r>
          </w:p>
        </w:tc>
        <w:tc>
          <w:tcPr>
            <w:tcW w:w="850" w:type="dxa"/>
            <w:vAlign w:val="center"/>
          </w:tcPr>
          <w:p w14:paraId="59383166" w14:textId="77777777" w:rsidR="00AD3739" w:rsidRPr="00AD3739" w:rsidRDefault="00AD3739" w:rsidP="00DF497D">
            <w:pPr>
              <w:jc w:val="center"/>
              <w:rPr>
                <w:rFonts w:ascii="Arial Narrow" w:hAnsi="Arial Narrow"/>
                <w:sz w:val="20"/>
              </w:rPr>
            </w:pPr>
            <w:r w:rsidRPr="00AD3739">
              <w:rPr>
                <w:rFonts w:ascii="Arial Narrow" w:hAnsi="Arial Narrow"/>
                <w:sz w:val="20"/>
              </w:rPr>
              <w:t>1,004</w:t>
            </w:r>
          </w:p>
        </w:tc>
        <w:tc>
          <w:tcPr>
            <w:tcW w:w="851" w:type="dxa"/>
            <w:vAlign w:val="center"/>
          </w:tcPr>
          <w:p w14:paraId="5BCBEF85" w14:textId="77777777" w:rsidR="00AD3739" w:rsidRPr="00AD3739" w:rsidRDefault="00AD3739" w:rsidP="00DF497D">
            <w:pPr>
              <w:jc w:val="center"/>
              <w:rPr>
                <w:rFonts w:ascii="Arial Narrow" w:hAnsi="Arial Narrow"/>
                <w:sz w:val="20"/>
              </w:rPr>
            </w:pPr>
            <w:r w:rsidRPr="00AD3739">
              <w:rPr>
                <w:rFonts w:ascii="Arial Narrow" w:hAnsi="Arial Narrow"/>
                <w:sz w:val="20"/>
              </w:rPr>
              <w:t>1,024</w:t>
            </w:r>
          </w:p>
        </w:tc>
        <w:tc>
          <w:tcPr>
            <w:tcW w:w="850" w:type="dxa"/>
            <w:vAlign w:val="center"/>
          </w:tcPr>
          <w:p w14:paraId="39B09683" w14:textId="77777777" w:rsidR="00AD3739" w:rsidRPr="00AD3739" w:rsidRDefault="00AD3739" w:rsidP="00DF497D">
            <w:pPr>
              <w:jc w:val="center"/>
              <w:rPr>
                <w:rFonts w:ascii="Arial Narrow" w:hAnsi="Arial Narrow"/>
                <w:sz w:val="20"/>
              </w:rPr>
            </w:pPr>
            <w:r w:rsidRPr="00AD3739">
              <w:rPr>
                <w:rFonts w:ascii="Arial Narrow" w:hAnsi="Arial Narrow"/>
                <w:sz w:val="20"/>
              </w:rPr>
              <w:t>1,193</w:t>
            </w:r>
          </w:p>
        </w:tc>
        <w:tc>
          <w:tcPr>
            <w:tcW w:w="851" w:type="dxa"/>
            <w:vAlign w:val="center"/>
          </w:tcPr>
          <w:p w14:paraId="468AE739" w14:textId="77777777" w:rsidR="00AD3739" w:rsidRPr="00AD3739" w:rsidRDefault="00AD3739" w:rsidP="00DF497D">
            <w:pPr>
              <w:jc w:val="center"/>
              <w:rPr>
                <w:rFonts w:ascii="Arial Narrow" w:hAnsi="Arial Narrow"/>
                <w:sz w:val="20"/>
              </w:rPr>
            </w:pPr>
            <w:r w:rsidRPr="00AD3739">
              <w:rPr>
                <w:rFonts w:ascii="Arial Narrow" w:hAnsi="Arial Narrow"/>
                <w:sz w:val="20"/>
              </w:rPr>
              <w:t>1,368</w:t>
            </w:r>
          </w:p>
        </w:tc>
        <w:tc>
          <w:tcPr>
            <w:tcW w:w="901" w:type="dxa"/>
            <w:vAlign w:val="center"/>
          </w:tcPr>
          <w:p w14:paraId="59D5420F" w14:textId="77777777" w:rsidR="00AD3739" w:rsidRPr="00AD3739" w:rsidRDefault="00AD3739" w:rsidP="00DF497D">
            <w:pPr>
              <w:jc w:val="center"/>
              <w:rPr>
                <w:rFonts w:ascii="Arial Narrow" w:hAnsi="Arial Narrow"/>
                <w:sz w:val="20"/>
              </w:rPr>
            </w:pPr>
            <w:r w:rsidRPr="00AD3739">
              <w:rPr>
                <w:rFonts w:ascii="Arial Narrow" w:hAnsi="Arial Narrow"/>
                <w:sz w:val="20"/>
              </w:rPr>
              <w:t>1,394</w:t>
            </w:r>
          </w:p>
        </w:tc>
      </w:tr>
      <w:tr w:rsidR="00AD3739" w:rsidRPr="00AD3739" w14:paraId="3F372BA5" w14:textId="77777777" w:rsidTr="00161E42">
        <w:tc>
          <w:tcPr>
            <w:tcW w:w="5019" w:type="dxa"/>
            <w:shd w:val="clear" w:color="auto" w:fill="auto"/>
          </w:tcPr>
          <w:p w14:paraId="65FBE979" w14:textId="77777777" w:rsidR="00AD3739" w:rsidRPr="00AD3739" w:rsidRDefault="00AD3739" w:rsidP="00DF497D">
            <w:pPr>
              <w:rPr>
                <w:rFonts w:ascii="Arial Narrow" w:hAnsi="Arial Narrow"/>
                <w:sz w:val="20"/>
              </w:rPr>
            </w:pPr>
            <w:r w:rsidRPr="00AD3739">
              <w:rPr>
                <w:rFonts w:ascii="Arial Narrow" w:hAnsi="Arial Narrow"/>
                <w:sz w:val="20"/>
              </w:rPr>
              <w:t>Cost to Gover</w:t>
            </w:r>
            <w:r w:rsidR="00161E42">
              <w:rPr>
                <w:rFonts w:ascii="Arial Narrow" w:hAnsi="Arial Narrow"/>
                <w:sz w:val="20"/>
              </w:rPr>
              <w:t>nment of confirmatory testing (r</w:t>
            </w:r>
            <w:r w:rsidRPr="00AD3739">
              <w:rPr>
                <w:rFonts w:ascii="Arial Narrow" w:hAnsi="Arial Narrow"/>
                <w:sz w:val="20"/>
              </w:rPr>
              <w:t>ebate of $342.13 per test)</w:t>
            </w:r>
          </w:p>
        </w:tc>
        <w:tc>
          <w:tcPr>
            <w:tcW w:w="850" w:type="dxa"/>
            <w:shd w:val="clear" w:color="auto" w:fill="auto"/>
            <w:vAlign w:val="center"/>
          </w:tcPr>
          <w:p w14:paraId="0C38C4D7" w14:textId="77777777" w:rsidR="00AD3739" w:rsidRPr="00AD3739" w:rsidRDefault="00AD3739" w:rsidP="00DF497D">
            <w:pPr>
              <w:jc w:val="right"/>
              <w:rPr>
                <w:rFonts w:ascii="Arial Narrow" w:hAnsi="Arial Narrow"/>
                <w:sz w:val="20"/>
              </w:rPr>
            </w:pPr>
            <w:r w:rsidRPr="00AD3739">
              <w:rPr>
                <w:rFonts w:ascii="Arial Narrow" w:hAnsi="Arial Narrow"/>
                <w:sz w:val="20"/>
              </w:rPr>
              <w:t>$343,353</w:t>
            </w:r>
          </w:p>
        </w:tc>
        <w:tc>
          <w:tcPr>
            <w:tcW w:w="851" w:type="dxa"/>
            <w:shd w:val="clear" w:color="auto" w:fill="auto"/>
            <w:vAlign w:val="center"/>
          </w:tcPr>
          <w:p w14:paraId="78E42593" w14:textId="77777777" w:rsidR="00AD3739" w:rsidRPr="00AD3739" w:rsidRDefault="00AD3739" w:rsidP="00DF497D">
            <w:pPr>
              <w:jc w:val="right"/>
              <w:rPr>
                <w:rFonts w:ascii="Arial Narrow" w:hAnsi="Arial Narrow"/>
                <w:sz w:val="20"/>
              </w:rPr>
            </w:pPr>
            <w:r w:rsidRPr="00AD3739">
              <w:rPr>
                <w:rFonts w:ascii="Arial Narrow" w:hAnsi="Arial Narrow"/>
                <w:sz w:val="20"/>
              </w:rPr>
              <w:t>$350,250</w:t>
            </w:r>
          </w:p>
        </w:tc>
        <w:tc>
          <w:tcPr>
            <w:tcW w:w="850" w:type="dxa"/>
            <w:shd w:val="clear" w:color="auto" w:fill="auto"/>
            <w:vAlign w:val="center"/>
          </w:tcPr>
          <w:p w14:paraId="63825E74" w14:textId="77777777" w:rsidR="00AD3739" w:rsidRPr="00AD3739" w:rsidRDefault="00AD3739" w:rsidP="00DF497D">
            <w:pPr>
              <w:jc w:val="right"/>
              <w:rPr>
                <w:rFonts w:ascii="Arial Narrow" w:hAnsi="Arial Narrow"/>
                <w:sz w:val="20"/>
              </w:rPr>
            </w:pPr>
            <w:r w:rsidRPr="00AD3739">
              <w:rPr>
                <w:rFonts w:ascii="Arial Narrow" w:hAnsi="Arial Narrow"/>
                <w:sz w:val="20"/>
              </w:rPr>
              <w:t>$408,169</w:t>
            </w:r>
          </w:p>
        </w:tc>
        <w:tc>
          <w:tcPr>
            <w:tcW w:w="851" w:type="dxa"/>
            <w:shd w:val="clear" w:color="auto" w:fill="auto"/>
            <w:vAlign w:val="center"/>
          </w:tcPr>
          <w:p w14:paraId="1B6E7144" w14:textId="77777777" w:rsidR="00AD3739" w:rsidRPr="00AD3739" w:rsidRDefault="00AD3739" w:rsidP="00DF497D">
            <w:pPr>
              <w:jc w:val="right"/>
              <w:rPr>
                <w:rFonts w:ascii="Arial Narrow" w:hAnsi="Arial Narrow"/>
                <w:sz w:val="20"/>
              </w:rPr>
            </w:pPr>
            <w:r w:rsidRPr="00AD3739">
              <w:rPr>
                <w:rFonts w:ascii="Arial Narrow" w:hAnsi="Arial Narrow"/>
                <w:sz w:val="20"/>
              </w:rPr>
              <w:t>$468,058</w:t>
            </w:r>
          </w:p>
        </w:tc>
        <w:tc>
          <w:tcPr>
            <w:tcW w:w="901" w:type="dxa"/>
            <w:shd w:val="clear" w:color="auto" w:fill="auto"/>
            <w:vAlign w:val="center"/>
          </w:tcPr>
          <w:p w14:paraId="76FC1178" w14:textId="77777777" w:rsidR="00AD3739" w:rsidRPr="00AD3739" w:rsidRDefault="00AD3739" w:rsidP="00DF497D">
            <w:pPr>
              <w:jc w:val="right"/>
              <w:rPr>
                <w:rFonts w:ascii="Arial Narrow" w:hAnsi="Arial Narrow"/>
                <w:sz w:val="20"/>
              </w:rPr>
            </w:pPr>
            <w:r w:rsidRPr="00AD3739">
              <w:rPr>
                <w:rFonts w:ascii="Arial Narrow" w:hAnsi="Arial Narrow"/>
                <w:sz w:val="20"/>
              </w:rPr>
              <w:t>$476,926</w:t>
            </w:r>
          </w:p>
        </w:tc>
      </w:tr>
      <w:tr w:rsidR="00AD3739" w:rsidRPr="00AD3739" w14:paraId="43C23593" w14:textId="77777777" w:rsidTr="00161E42">
        <w:tc>
          <w:tcPr>
            <w:tcW w:w="5019" w:type="dxa"/>
            <w:shd w:val="clear" w:color="auto" w:fill="auto"/>
          </w:tcPr>
          <w:p w14:paraId="429226F1" w14:textId="77777777" w:rsidR="00AD3739" w:rsidRPr="00AD3739" w:rsidRDefault="00AD3739" w:rsidP="00A8248C">
            <w:pPr>
              <w:rPr>
                <w:rFonts w:ascii="Arial Narrow" w:hAnsi="Arial Narrow"/>
                <w:sz w:val="20"/>
              </w:rPr>
            </w:pPr>
            <w:r w:rsidRPr="00AD3739">
              <w:rPr>
                <w:rFonts w:ascii="Arial Narrow" w:hAnsi="Arial Narrow"/>
                <w:sz w:val="20"/>
              </w:rPr>
              <w:t xml:space="preserve">Proportion of women positive for </w:t>
            </w:r>
            <w:r w:rsidRPr="00A8248C">
              <w:rPr>
                <w:rFonts w:ascii="Arial Narrow" w:hAnsi="Arial Narrow"/>
                <w:i/>
                <w:sz w:val="20"/>
              </w:rPr>
              <w:t>BRCA1</w:t>
            </w:r>
            <w:r w:rsidRPr="00AD3739">
              <w:rPr>
                <w:rFonts w:ascii="Arial Narrow" w:hAnsi="Arial Narrow"/>
                <w:sz w:val="20"/>
              </w:rPr>
              <w:t xml:space="preserve"> or </w:t>
            </w:r>
            <w:r w:rsidR="00A8248C" w:rsidRPr="00A8248C">
              <w:rPr>
                <w:rFonts w:ascii="Arial Narrow" w:hAnsi="Arial Narrow"/>
                <w:i/>
                <w:sz w:val="20"/>
              </w:rPr>
              <w:t>BRCA</w:t>
            </w:r>
            <w:r w:rsidRPr="00A8248C">
              <w:rPr>
                <w:rFonts w:ascii="Arial Narrow" w:hAnsi="Arial Narrow"/>
                <w:i/>
                <w:sz w:val="20"/>
              </w:rPr>
              <w:t>2</w:t>
            </w:r>
            <w:r w:rsidRPr="00AD3739">
              <w:rPr>
                <w:rFonts w:ascii="Arial Narrow" w:hAnsi="Arial Narrow"/>
                <w:sz w:val="20"/>
              </w:rPr>
              <w:t xml:space="preserve"> mutation</w:t>
            </w:r>
          </w:p>
        </w:tc>
        <w:tc>
          <w:tcPr>
            <w:tcW w:w="850" w:type="dxa"/>
            <w:shd w:val="clear" w:color="auto" w:fill="auto"/>
            <w:vAlign w:val="center"/>
          </w:tcPr>
          <w:p w14:paraId="7BECC8C2" w14:textId="77777777" w:rsidR="00AD3739" w:rsidRPr="00AD3739" w:rsidRDefault="00AD3739" w:rsidP="00DF497D">
            <w:pPr>
              <w:jc w:val="center"/>
              <w:rPr>
                <w:rFonts w:ascii="Arial Narrow" w:hAnsi="Arial Narrow"/>
                <w:sz w:val="20"/>
              </w:rPr>
            </w:pPr>
            <w:r w:rsidRPr="00AD3739">
              <w:rPr>
                <w:rFonts w:ascii="Arial Narrow" w:hAnsi="Arial Narrow"/>
                <w:sz w:val="20"/>
              </w:rPr>
              <w:t>50%</w:t>
            </w:r>
          </w:p>
        </w:tc>
        <w:tc>
          <w:tcPr>
            <w:tcW w:w="851" w:type="dxa"/>
            <w:shd w:val="clear" w:color="auto" w:fill="auto"/>
            <w:vAlign w:val="center"/>
          </w:tcPr>
          <w:p w14:paraId="45DEB92E" w14:textId="77777777" w:rsidR="00AD3739" w:rsidRPr="00AD3739" w:rsidRDefault="00AD3739" w:rsidP="00DF497D">
            <w:pPr>
              <w:jc w:val="center"/>
              <w:rPr>
                <w:rFonts w:ascii="Arial Narrow" w:hAnsi="Arial Narrow"/>
                <w:sz w:val="20"/>
              </w:rPr>
            </w:pPr>
            <w:r w:rsidRPr="00AD3739">
              <w:rPr>
                <w:rFonts w:ascii="Arial Narrow" w:hAnsi="Arial Narrow"/>
                <w:sz w:val="20"/>
              </w:rPr>
              <w:t>50%</w:t>
            </w:r>
          </w:p>
        </w:tc>
        <w:tc>
          <w:tcPr>
            <w:tcW w:w="850" w:type="dxa"/>
            <w:shd w:val="clear" w:color="auto" w:fill="auto"/>
            <w:vAlign w:val="center"/>
          </w:tcPr>
          <w:p w14:paraId="0C72F98C" w14:textId="77777777" w:rsidR="00AD3739" w:rsidRPr="00AD3739" w:rsidRDefault="00AD3739" w:rsidP="00DF497D">
            <w:pPr>
              <w:jc w:val="center"/>
              <w:rPr>
                <w:rFonts w:ascii="Arial Narrow" w:hAnsi="Arial Narrow"/>
                <w:sz w:val="20"/>
              </w:rPr>
            </w:pPr>
            <w:r w:rsidRPr="00AD3739">
              <w:rPr>
                <w:rFonts w:ascii="Arial Narrow" w:hAnsi="Arial Narrow"/>
                <w:sz w:val="20"/>
              </w:rPr>
              <w:t>50%</w:t>
            </w:r>
          </w:p>
        </w:tc>
        <w:tc>
          <w:tcPr>
            <w:tcW w:w="851" w:type="dxa"/>
            <w:shd w:val="clear" w:color="auto" w:fill="auto"/>
            <w:vAlign w:val="center"/>
          </w:tcPr>
          <w:p w14:paraId="31DC2F8D" w14:textId="77777777" w:rsidR="00AD3739" w:rsidRPr="00AD3739" w:rsidRDefault="00AD3739" w:rsidP="00DF497D">
            <w:pPr>
              <w:jc w:val="center"/>
              <w:rPr>
                <w:rFonts w:ascii="Arial Narrow" w:hAnsi="Arial Narrow"/>
                <w:sz w:val="20"/>
              </w:rPr>
            </w:pPr>
            <w:r w:rsidRPr="00AD3739">
              <w:rPr>
                <w:rFonts w:ascii="Arial Narrow" w:hAnsi="Arial Narrow"/>
                <w:sz w:val="20"/>
              </w:rPr>
              <w:t>50%</w:t>
            </w:r>
          </w:p>
        </w:tc>
        <w:tc>
          <w:tcPr>
            <w:tcW w:w="901" w:type="dxa"/>
            <w:shd w:val="clear" w:color="auto" w:fill="auto"/>
            <w:vAlign w:val="center"/>
          </w:tcPr>
          <w:p w14:paraId="6718F6D5" w14:textId="77777777" w:rsidR="00AD3739" w:rsidRPr="00AD3739" w:rsidRDefault="00AD3739" w:rsidP="00DF497D">
            <w:pPr>
              <w:jc w:val="center"/>
              <w:rPr>
                <w:rFonts w:ascii="Arial Narrow" w:hAnsi="Arial Narrow"/>
                <w:sz w:val="20"/>
              </w:rPr>
            </w:pPr>
            <w:r w:rsidRPr="00AD3739">
              <w:rPr>
                <w:rFonts w:ascii="Arial Narrow" w:hAnsi="Arial Narrow"/>
                <w:sz w:val="20"/>
              </w:rPr>
              <w:t>50%</w:t>
            </w:r>
          </w:p>
        </w:tc>
      </w:tr>
      <w:tr w:rsidR="00AD3739" w:rsidRPr="00AD3739" w14:paraId="3BBBD729" w14:textId="77777777" w:rsidTr="00161E42">
        <w:tc>
          <w:tcPr>
            <w:tcW w:w="5019" w:type="dxa"/>
            <w:shd w:val="clear" w:color="auto" w:fill="auto"/>
          </w:tcPr>
          <w:p w14:paraId="0C8E2D56" w14:textId="77777777" w:rsidR="00AD3739" w:rsidRPr="00AD3739" w:rsidRDefault="00AD3739" w:rsidP="00A8248C">
            <w:pPr>
              <w:rPr>
                <w:rFonts w:ascii="Arial Narrow" w:hAnsi="Arial Narrow"/>
                <w:sz w:val="20"/>
              </w:rPr>
            </w:pPr>
            <w:r w:rsidRPr="00AD3739">
              <w:rPr>
                <w:rFonts w:ascii="Arial Narrow" w:hAnsi="Arial Narrow"/>
                <w:sz w:val="20"/>
              </w:rPr>
              <w:t xml:space="preserve">Number of women positive for </w:t>
            </w:r>
            <w:r w:rsidRPr="00A8248C">
              <w:rPr>
                <w:rFonts w:ascii="Arial Narrow" w:hAnsi="Arial Narrow"/>
                <w:i/>
                <w:sz w:val="20"/>
              </w:rPr>
              <w:t>BRCA1</w:t>
            </w:r>
            <w:r w:rsidRPr="00AD3739">
              <w:rPr>
                <w:rFonts w:ascii="Arial Narrow" w:hAnsi="Arial Narrow"/>
                <w:sz w:val="20"/>
              </w:rPr>
              <w:t xml:space="preserve"> or </w:t>
            </w:r>
            <w:r w:rsidR="00A8248C" w:rsidRPr="00A8248C">
              <w:rPr>
                <w:rFonts w:ascii="Arial Narrow" w:hAnsi="Arial Narrow"/>
                <w:i/>
                <w:sz w:val="20"/>
              </w:rPr>
              <w:t>BRCA</w:t>
            </w:r>
            <w:r w:rsidRPr="00A8248C">
              <w:rPr>
                <w:rFonts w:ascii="Arial Narrow" w:hAnsi="Arial Narrow"/>
                <w:i/>
                <w:sz w:val="20"/>
              </w:rPr>
              <w:t>2</w:t>
            </w:r>
            <w:r w:rsidRPr="00AD3739">
              <w:rPr>
                <w:rFonts w:ascii="Arial Narrow" w:hAnsi="Arial Narrow"/>
                <w:sz w:val="20"/>
              </w:rPr>
              <w:t xml:space="preserve"> mutation</w:t>
            </w:r>
          </w:p>
        </w:tc>
        <w:tc>
          <w:tcPr>
            <w:tcW w:w="850" w:type="dxa"/>
            <w:shd w:val="clear" w:color="auto" w:fill="auto"/>
            <w:vAlign w:val="center"/>
          </w:tcPr>
          <w:p w14:paraId="456DE30E" w14:textId="77777777" w:rsidR="00AD3739" w:rsidRPr="00AD3739" w:rsidRDefault="00AD3739" w:rsidP="00DF497D">
            <w:pPr>
              <w:jc w:val="center"/>
              <w:rPr>
                <w:rFonts w:ascii="Arial Narrow" w:hAnsi="Arial Narrow"/>
                <w:sz w:val="20"/>
              </w:rPr>
            </w:pPr>
            <w:r w:rsidRPr="00AD3739">
              <w:rPr>
                <w:rFonts w:ascii="Arial Narrow" w:hAnsi="Arial Narrow"/>
                <w:sz w:val="20"/>
              </w:rPr>
              <w:t>502</w:t>
            </w:r>
          </w:p>
        </w:tc>
        <w:tc>
          <w:tcPr>
            <w:tcW w:w="851" w:type="dxa"/>
            <w:shd w:val="clear" w:color="auto" w:fill="auto"/>
            <w:vAlign w:val="center"/>
          </w:tcPr>
          <w:p w14:paraId="23AC6D60" w14:textId="77777777" w:rsidR="00AD3739" w:rsidRPr="00AD3739" w:rsidRDefault="00AD3739" w:rsidP="00DF497D">
            <w:pPr>
              <w:jc w:val="center"/>
              <w:rPr>
                <w:rFonts w:ascii="Arial Narrow" w:hAnsi="Arial Narrow"/>
                <w:sz w:val="20"/>
              </w:rPr>
            </w:pPr>
            <w:r w:rsidRPr="00AD3739">
              <w:rPr>
                <w:rFonts w:ascii="Arial Narrow" w:hAnsi="Arial Narrow"/>
                <w:sz w:val="20"/>
              </w:rPr>
              <w:t>512</w:t>
            </w:r>
          </w:p>
        </w:tc>
        <w:tc>
          <w:tcPr>
            <w:tcW w:w="850" w:type="dxa"/>
            <w:shd w:val="clear" w:color="auto" w:fill="auto"/>
            <w:vAlign w:val="center"/>
          </w:tcPr>
          <w:p w14:paraId="28ECB4D2" w14:textId="77777777" w:rsidR="00AD3739" w:rsidRPr="00AD3739" w:rsidRDefault="00AD3739" w:rsidP="00DF497D">
            <w:pPr>
              <w:jc w:val="center"/>
              <w:rPr>
                <w:rFonts w:ascii="Arial Narrow" w:hAnsi="Arial Narrow"/>
                <w:sz w:val="20"/>
              </w:rPr>
            </w:pPr>
            <w:r w:rsidRPr="00AD3739">
              <w:rPr>
                <w:rFonts w:ascii="Arial Narrow" w:hAnsi="Arial Narrow"/>
                <w:sz w:val="20"/>
              </w:rPr>
              <w:t>597</w:t>
            </w:r>
          </w:p>
        </w:tc>
        <w:tc>
          <w:tcPr>
            <w:tcW w:w="851" w:type="dxa"/>
            <w:shd w:val="clear" w:color="auto" w:fill="auto"/>
            <w:vAlign w:val="center"/>
          </w:tcPr>
          <w:p w14:paraId="1BE1B7EE" w14:textId="77777777" w:rsidR="00AD3739" w:rsidRPr="00AD3739" w:rsidRDefault="00AD3739" w:rsidP="00DF497D">
            <w:pPr>
              <w:jc w:val="center"/>
              <w:rPr>
                <w:rFonts w:ascii="Arial Narrow" w:hAnsi="Arial Narrow"/>
                <w:sz w:val="20"/>
              </w:rPr>
            </w:pPr>
            <w:r w:rsidRPr="00AD3739">
              <w:rPr>
                <w:rFonts w:ascii="Arial Narrow" w:hAnsi="Arial Narrow"/>
                <w:sz w:val="20"/>
              </w:rPr>
              <w:t>684</w:t>
            </w:r>
          </w:p>
        </w:tc>
        <w:tc>
          <w:tcPr>
            <w:tcW w:w="901" w:type="dxa"/>
            <w:shd w:val="clear" w:color="auto" w:fill="auto"/>
            <w:vAlign w:val="center"/>
          </w:tcPr>
          <w:p w14:paraId="3D59DE8F" w14:textId="77777777" w:rsidR="00AD3739" w:rsidRPr="00AD3739" w:rsidRDefault="00AD3739" w:rsidP="00DF497D">
            <w:pPr>
              <w:jc w:val="center"/>
              <w:rPr>
                <w:rFonts w:ascii="Arial Narrow" w:hAnsi="Arial Narrow"/>
                <w:sz w:val="20"/>
              </w:rPr>
            </w:pPr>
            <w:r w:rsidRPr="00AD3739">
              <w:rPr>
                <w:rFonts w:ascii="Arial Narrow" w:hAnsi="Arial Narrow"/>
                <w:sz w:val="20"/>
              </w:rPr>
              <w:t>697</w:t>
            </w:r>
          </w:p>
        </w:tc>
      </w:tr>
      <w:tr w:rsidR="00AD3739" w:rsidRPr="00AD3739" w14:paraId="713E0632" w14:textId="77777777" w:rsidTr="00161E42">
        <w:tc>
          <w:tcPr>
            <w:tcW w:w="5019" w:type="dxa"/>
            <w:shd w:val="clear" w:color="auto" w:fill="auto"/>
            <w:vAlign w:val="center"/>
          </w:tcPr>
          <w:p w14:paraId="303A171D" w14:textId="77777777" w:rsidR="00AD3739" w:rsidRPr="00AD3739" w:rsidRDefault="00AD3739" w:rsidP="00DF497D">
            <w:pPr>
              <w:rPr>
                <w:rFonts w:ascii="Arial Narrow" w:hAnsi="Arial Narrow"/>
                <w:sz w:val="20"/>
              </w:rPr>
            </w:pPr>
            <w:r w:rsidRPr="00AD3739">
              <w:rPr>
                <w:rFonts w:ascii="Arial Narrow" w:hAnsi="Arial Narrow"/>
                <w:sz w:val="20"/>
              </w:rPr>
              <w:t xml:space="preserve">Cost to Government of </w:t>
            </w:r>
            <w:r w:rsidR="00161E42" w:rsidRPr="00AD3739">
              <w:rPr>
                <w:rFonts w:ascii="Arial Narrow" w:hAnsi="Arial Narrow"/>
                <w:sz w:val="20"/>
              </w:rPr>
              <w:t>genetic c</w:t>
            </w:r>
            <w:r w:rsidRPr="00AD3739">
              <w:rPr>
                <w:rFonts w:ascii="Arial Narrow" w:hAnsi="Arial Narrow"/>
                <w:sz w:val="20"/>
              </w:rPr>
              <w:t>ounselling (pre-test for all family members - rebate of $224.35)</w:t>
            </w:r>
          </w:p>
        </w:tc>
        <w:tc>
          <w:tcPr>
            <w:tcW w:w="850" w:type="dxa"/>
            <w:shd w:val="clear" w:color="auto" w:fill="auto"/>
            <w:vAlign w:val="center"/>
          </w:tcPr>
          <w:p w14:paraId="3F95777F" w14:textId="77777777" w:rsidR="00AD3739" w:rsidRPr="00AD3739" w:rsidRDefault="00AD3739" w:rsidP="00DF497D">
            <w:pPr>
              <w:jc w:val="right"/>
              <w:rPr>
                <w:rFonts w:ascii="Arial Narrow" w:hAnsi="Arial Narrow"/>
                <w:sz w:val="20"/>
              </w:rPr>
            </w:pPr>
            <w:r w:rsidRPr="00AD3739">
              <w:rPr>
                <w:rFonts w:ascii="Arial Narrow" w:hAnsi="Arial Narrow"/>
                <w:sz w:val="20"/>
              </w:rPr>
              <w:t>$225,155</w:t>
            </w:r>
          </w:p>
        </w:tc>
        <w:tc>
          <w:tcPr>
            <w:tcW w:w="851" w:type="dxa"/>
            <w:shd w:val="clear" w:color="auto" w:fill="auto"/>
            <w:vAlign w:val="center"/>
          </w:tcPr>
          <w:p w14:paraId="6416134F" w14:textId="77777777" w:rsidR="00AD3739" w:rsidRPr="00AD3739" w:rsidRDefault="00AD3739" w:rsidP="00DF497D">
            <w:pPr>
              <w:jc w:val="right"/>
              <w:rPr>
                <w:rFonts w:ascii="Arial Narrow" w:hAnsi="Arial Narrow"/>
                <w:sz w:val="20"/>
              </w:rPr>
            </w:pPr>
            <w:r w:rsidRPr="00AD3739">
              <w:rPr>
                <w:rFonts w:ascii="Arial Narrow" w:hAnsi="Arial Narrow"/>
                <w:sz w:val="20"/>
              </w:rPr>
              <w:t>$229,678</w:t>
            </w:r>
          </w:p>
        </w:tc>
        <w:tc>
          <w:tcPr>
            <w:tcW w:w="850" w:type="dxa"/>
            <w:shd w:val="clear" w:color="auto" w:fill="auto"/>
            <w:vAlign w:val="center"/>
          </w:tcPr>
          <w:p w14:paraId="3DEFA52D" w14:textId="77777777" w:rsidR="00AD3739" w:rsidRPr="00AD3739" w:rsidRDefault="00AD3739" w:rsidP="00DF497D">
            <w:pPr>
              <w:jc w:val="right"/>
              <w:rPr>
                <w:rFonts w:ascii="Arial Narrow" w:hAnsi="Arial Narrow"/>
                <w:sz w:val="20"/>
              </w:rPr>
            </w:pPr>
            <w:r w:rsidRPr="00AD3739">
              <w:rPr>
                <w:rFonts w:ascii="Arial Narrow" w:hAnsi="Arial Narrow"/>
                <w:sz w:val="20"/>
              </w:rPr>
              <w:t>$267,659</w:t>
            </w:r>
          </w:p>
        </w:tc>
        <w:tc>
          <w:tcPr>
            <w:tcW w:w="851" w:type="dxa"/>
            <w:shd w:val="clear" w:color="auto" w:fill="auto"/>
            <w:vAlign w:val="center"/>
          </w:tcPr>
          <w:p w14:paraId="2DA08345" w14:textId="77777777" w:rsidR="00AD3739" w:rsidRPr="00AD3739" w:rsidRDefault="00AD3739" w:rsidP="00DF497D">
            <w:pPr>
              <w:jc w:val="right"/>
              <w:rPr>
                <w:rFonts w:ascii="Arial Narrow" w:hAnsi="Arial Narrow"/>
                <w:sz w:val="20"/>
              </w:rPr>
            </w:pPr>
            <w:r w:rsidRPr="00AD3739">
              <w:rPr>
                <w:rFonts w:ascii="Arial Narrow" w:hAnsi="Arial Narrow"/>
                <w:sz w:val="20"/>
              </w:rPr>
              <w:t>$306,931</w:t>
            </w:r>
          </w:p>
        </w:tc>
        <w:tc>
          <w:tcPr>
            <w:tcW w:w="901" w:type="dxa"/>
            <w:shd w:val="clear" w:color="auto" w:fill="auto"/>
            <w:vAlign w:val="center"/>
          </w:tcPr>
          <w:p w14:paraId="01D8B255" w14:textId="77777777" w:rsidR="00AD3739" w:rsidRPr="00AD3739" w:rsidRDefault="00AD3739" w:rsidP="00DF497D">
            <w:pPr>
              <w:jc w:val="right"/>
              <w:rPr>
                <w:rFonts w:ascii="Arial Narrow" w:hAnsi="Arial Narrow"/>
                <w:sz w:val="20"/>
              </w:rPr>
            </w:pPr>
            <w:r w:rsidRPr="00AD3739">
              <w:rPr>
                <w:rFonts w:ascii="Arial Narrow" w:hAnsi="Arial Narrow"/>
                <w:sz w:val="20"/>
              </w:rPr>
              <w:t>$312,746</w:t>
            </w:r>
          </w:p>
        </w:tc>
      </w:tr>
      <w:tr w:rsidR="00AD3739" w:rsidRPr="00AD3739" w14:paraId="0874CB35" w14:textId="77777777" w:rsidTr="00161E42">
        <w:tc>
          <w:tcPr>
            <w:tcW w:w="5019" w:type="dxa"/>
            <w:shd w:val="clear" w:color="auto" w:fill="auto"/>
            <w:vAlign w:val="center"/>
          </w:tcPr>
          <w:p w14:paraId="7380A985" w14:textId="77777777" w:rsidR="00AD3739" w:rsidRPr="00AD3739" w:rsidRDefault="00AD3739" w:rsidP="00DF497D">
            <w:pPr>
              <w:rPr>
                <w:rFonts w:ascii="Arial Narrow" w:hAnsi="Arial Narrow"/>
                <w:sz w:val="20"/>
              </w:rPr>
            </w:pPr>
            <w:r w:rsidRPr="00AD3739">
              <w:rPr>
                <w:rFonts w:ascii="Arial Narrow" w:hAnsi="Arial Narrow"/>
                <w:sz w:val="20"/>
              </w:rPr>
              <w:t xml:space="preserve">Cost to Government of </w:t>
            </w:r>
            <w:r w:rsidR="00161E42" w:rsidRPr="00AD3739">
              <w:rPr>
                <w:rFonts w:ascii="Arial Narrow" w:hAnsi="Arial Narrow"/>
                <w:sz w:val="20"/>
              </w:rPr>
              <w:t>genetic co</w:t>
            </w:r>
            <w:r w:rsidRPr="00AD3739">
              <w:rPr>
                <w:rFonts w:ascii="Arial Narrow" w:hAnsi="Arial Narrow"/>
                <w:sz w:val="20"/>
              </w:rPr>
              <w:t>unselling (post-test for all positive women - rebate of $224.35)</w:t>
            </w:r>
          </w:p>
        </w:tc>
        <w:tc>
          <w:tcPr>
            <w:tcW w:w="850" w:type="dxa"/>
            <w:shd w:val="clear" w:color="auto" w:fill="auto"/>
            <w:vAlign w:val="center"/>
          </w:tcPr>
          <w:p w14:paraId="29F43FBD" w14:textId="77777777" w:rsidR="00AD3739" w:rsidRPr="00AD3739" w:rsidRDefault="00AD3739" w:rsidP="00DF497D">
            <w:pPr>
              <w:jc w:val="right"/>
              <w:rPr>
                <w:rFonts w:ascii="Arial Narrow" w:hAnsi="Arial Narrow"/>
                <w:sz w:val="20"/>
              </w:rPr>
            </w:pPr>
            <w:r w:rsidRPr="00AD3739">
              <w:rPr>
                <w:rFonts w:ascii="Arial Narrow" w:hAnsi="Arial Narrow"/>
                <w:sz w:val="20"/>
              </w:rPr>
              <w:t>$112,578</w:t>
            </w:r>
          </w:p>
        </w:tc>
        <w:tc>
          <w:tcPr>
            <w:tcW w:w="851" w:type="dxa"/>
            <w:shd w:val="clear" w:color="auto" w:fill="auto"/>
            <w:vAlign w:val="center"/>
          </w:tcPr>
          <w:p w14:paraId="1A3E0935" w14:textId="77777777" w:rsidR="00AD3739" w:rsidRPr="00AD3739" w:rsidRDefault="00AD3739" w:rsidP="00DF497D">
            <w:pPr>
              <w:jc w:val="right"/>
              <w:rPr>
                <w:rFonts w:ascii="Arial Narrow" w:hAnsi="Arial Narrow"/>
                <w:sz w:val="20"/>
              </w:rPr>
            </w:pPr>
            <w:r w:rsidRPr="00AD3739">
              <w:rPr>
                <w:rFonts w:ascii="Arial Narrow" w:hAnsi="Arial Narrow"/>
                <w:sz w:val="20"/>
              </w:rPr>
              <w:t>$114,839</w:t>
            </w:r>
          </w:p>
        </w:tc>
        <w:tc>
          <w:tcPr>
            <w:tcW w:w="850" w:type="dxa"/>
            <w:shd w:val="clear" w:color="auto" w:fill="auto"/>
            <w:vAlign w:val="center"/>
          </w:tcPr>
          <w:p w14:paraId="58F3FE09" w14:textId="77777777" w:rsidR="00AD3739" w:rsidRPr="00AD3739" w:rsidRDefault="00AD3739" w:rsidP="00DF497D">
            <w:pPr>
              <w:jc w:val="right"/>
              <w:rPr>
                <w:rFonts w:ascii="Arial Narrow" w:hAnsi="Arial Narrow"/>
                <w:sz w:val="20"/>
              </w:rPr>
            </w:pPr>
            <w:r w:rsidRPr="00AD3739">
              <w:rPr>
                <w:rFonts w:ascii="Arial Narrow" w:hAnsi="Arial Narrow"/>
                <w:sz w:val="20"/>
              </w:rPr>
              <w:t>$133,829</w:t>
            </w:r>
          </w:p>
        </w:tc>
        <w:tc>
          <w:tcPr>
            <w:tcW w:w="851" w:type="dxa"/>
            <w:shd w:val="clear" w:color="auto" w:fill="auto"/>
            <w:vAlign w:val="center"/>
          </w:tcPr>
          <w:p w14:paraId="2365798F" w14:textId="77777777" w:rsidR="00AD3739" w:rsidRPr="00AD3739" w:rsidRDefault="00AD3739" w:rsidP="00DF497D">
            <w:pPr>
              <w:jc w:val="right"/>
              <w:rPr>
                <w:rFonts w:ascii="Arial Narrow" w:hAnsi="Arial Narrow"/>
                <w:sz w:val="20"/>
              </w:rPr>
            </w:pPr>
            <w:r w:rsidRPr="00AD3739">
              <w:rPr>
                <w:rFonts w:ascii="Arial Narrow" w:hAnsi="Arial Narrow"/>
                <w:sz w:val="20"/>
              </w:rPr>
              <w:t>$153,465</w:t>
            </w:r>
          </w:p>
        </w:tc>
        <w:tc>
          <w:tcPr>
            <w:tcW w:w="901" w:type="dxa"/>
            <w:shd w:val="clear" w:color="auto" w:fill="auto"/>
            <w:vAlign w:val="center"/>
          </w:tcPr>
          <w:p w14:paraId="06F53812" w14:textId="77777777" w:rsidR="00AD3739" w:rsidRPr="00AD3739" w:rsidRDefault="00AD3739" w:rsidP="00DF497D">
            <w:pPr>
              <w:jc w:val="right"/>
              <w:rPr>
                <w:rFonts w:ascii="Arial Narrow" w:hAnsi="Arial Narrow"/>
                <w:sz w:val="20"/>
              </w:rPr>
            </w:pPr>
            <w:r w:rsidRPr="00AD3739">
              <w:rPr>
                <w:rFonts w:ascii="Arial Narrow" w:hAnsi="Arial Narrow"/>
                <w:sz w:val="20"/>
              </w:rPr>
              <w:t>$156,373</w:t>
            </w:r>
          </w:p>
        </w:tc>
      </w:tr>
      <w:tr w:rsidR="00AD3739" w:rsidRPr="00AD3739" w14:paraId="52EDE233" w14:textId="77777777" w:rsidTr="00161E42">
        <w:tc>
          <w:tcPr>
            <w:tcW w:w="5019" w:type="dxa"/>
            <w:shd w:val="clear" w:color="auto" w:fill="auto"/>
            <w:vAlign w:val="center"/>
          </w:tcPr>
          <w:p w14:paraId="03A45A5E" w14:textId="77777777" w:rsidR="00AD3739" w:rsidRPr="00AD3739" w:rsidRDefault="00161E42" w:rsidP="00161E42">
            <w:pPr>
              <w:rPr>
                <w:rFonts w:ascii="Arial Narrow" w:hAnsi="Arial Narrow"/>
                <w:sz w:val="20"/>
              </w:rPr>
            </w:pPr>
            <w:r>
              <w:rPr>
                <w:rFonts w:ascii="Arial Narrow" w:hAnsi="Arial Narrow"/>
                <w:sz w:val="20"/>
              </w:rPr>
              <w:t>Total cost to Government of g</w:t>
            </w:r>
            <w:r w:rsidR="00AD3739" w:rsidRPr="00AD3739">
              <w:rPr>
                <w:rFonts w:ascii="Arial Narrow" w:hAnsi="Arial Narrow"/>
                <w:sz w:val="20"/>
              </w:rPr>
              <w:t xml:space="preserve">enetic </w:t>
            </w:r>
            <w:r>
              <w:rPr>
                <w:rFonts w:ascii="Arial Narrow" w:hAnsi="Arial Narrow"/>
                <w:sz w:val="20"/>
              </w:rPr>
              <w:t>c</w:t>
            </w:r>
            <w:r w:rsidR="00AD3739" w:rsidRPr="00AD3739">
              <w:rPr>
                <w:rFonts w:ascii="Arial Narrow" w:hAnsi="Arial Narrow"/>
                <w:sz w:val="20"/>
              </w:rPr>
              <w:t>ounselling (pre</w:t>
            </w:r>
            <w:r>
              <w:rPr>
                <w:rFonts w:ascii="Arial Narrow" w:hAnsi="Arial Narrow"/>
                <w:sz w:val="20"/>
              </w:rPr>
              <w:t>- and post-</w:t>
            </w:r>
            <w:r w:rsidR="00AD3739" w:rsidRPr="00AD3739">
              <w:rPr>
                <w:rFonts w:ascii="Arial Narrow" w:hAnsi="Arial Narrow"/>
                <w:sz w:val="20"/>
              </w:rPr>
              <w:t>test)</w:t>
            </w:r>
          </w:p>
        </w:tc>
        <w:tc>
          <w:tcPr>
            <w:tcW w:w="850" w:type="dxa"/>
            <w:shd w:val="clear" w:color="auto" w:fill="auto"/>
            <w:vAlign w:val="center"/>
          </w:tcPr>
          <w:p w14:paraId="532B7EC5" w14:textId="77777777" w:rsidR="00AD3739" w:rsidRPr="00AD3739" w:rsidRDefault="00AD3739" w:rsidP="00DF497D">
            <w:pPr>
              <w:jc w:val="right"/>
              <w:rPr>
                <w:rFonts w:ascii="Arial Narrow" w:hAnsi="Arial Narrow"/>
                <w:sz w:val="20"/>
              </w:rPr>
            </w:pPr>
            <w:r w:rsidRPr="00AD3739">
              <w:rPr>
                <w:rFonts w:ascii="Arial Narrow" w:hAnsi="Arial Narrow"/>
                <w:sz w:val="20"/>
              </w:rPr>
              <w:t>$337,733</w:t>
            </w:r>
          </w:p>
        </w:tc>
        <w:tc>
          <w:tcPr>
            <w:tcW w:w="851" w:type="dxa"/>
            <w:shd w:val="clear" w:color="auto" w:fill="auto"/>
            <w:vAlign w:val="center"/>
          </w:tcPr>
          <w:p w14:paraId="46AB355D" w14:textId="77777777" w:rsidR="00AD3739" w:rsidRPr="00AD3739" w:rsidRDefault="00AD3739" w:rsidP="00DF497D">
            <w:pPr>
              <w:jc w:val="right"/>
              <w:rPr>
                <w:rFonts w:ascii="Arial Narrow" w:hAnsi="Arial Narrow"/>
                <w:sz w:val="20"/>
              </w:rPr>
            </w:pPr>
            <w:r w:rsidRPr="00AD3739">
              <w:rPr>
                <w:rFonts w:ascii="Arial Narrow" w:hAnsi="Arial Narrow"/>
                <w:sz w:val="20"/>
              </w:rPr>
              <w:t>$344,517</w:t>
            </w:r>
          </w:p>
        </w:tc>
        <w:tc>
          <w:tcPr>
            <w:tcW w:w="850" w:type="dxa"/>
            <w:shd w:val="clear" w:color="auto" w:fill="auto"/>
            <w:vAlign w:val="center"/>
          </w:tcPr>
          <w:p w14:paraId="312B1CE8" w14:textId="77777777" w:rsidR="00AD3739" w:rsidRPr="00AD3739" w:rsidRDefault="00AD3739" w:rsidP="00DF497D">
            <w:pPr>
              <w:jc w:val="right"/>
              <w:rPr>
                <w:rFonts w:ascii="Arial Narrow" w:hAnsi="Arial Narrow"/>
                <w:sz w:val="20"/>
              </w:rPr>
            </w:pPr>
            <w:r w:rsidRPr="00AD3739">
              <w:rPr>
                <w:rFonts w:ascii="Arial Narrow" w:hAnsi="Arial Narrow"/>
                <w:sz w:val="20"/>
              </w:rPr>
              <w:t>$401,488</w:t>
            </w:r>
          </w:p>
        </w:tc>
        <w:tc>
          <w:tcPr>
            <w:tcW w:w="851" w:type="dxa"/>
            <w:shd w:val="clear" w:color="auto" w:fill="auto"/>
            <w:vAlign w:val="center"/>
          </w:tcPr>
          <w:p w14:paraId="5E00CE3D" w14:textId="77777777" w:rsidR="00AD3739" w:rsidRPr="00AD3739" w:rsidRDefault="00AD3739" w:rsidP="00DF497D">
            <w:pPr>
              <w:jc w:val="right"/>
              <w:rPr>
                <w:rFonts w:ascii="Arial Narrow" w:hAnsi="Arial Narrow"/>
                <w:sz w:val="20"/>
              </w:rPr>
            </w:pPr>
            <w:r w:rsidRPr="00AD3739">
              <w:rPr>
                <w:rFonts w:ascii="Arial Narrow" w:hAnsi="Arial Narrow"/>
                <w:sz w:val="20"/>
              </w:rPr>
              <w:t>$460,396</w:t>
            </w:r>
          </w:p>
        </w:tc>
        <w:tc>
          <w:tcPr>
            <w:tcW w:w="901" w:type="dxa"/>
            <w:shd w:val="clear" w:color="auto" w:fill="auto"/>
            <w:vAlign w:val="center"/>
          </w:tcPr>
          <w:p w14:paraId="5FF4F1D2" w14:textId="77777777" w:rsidR="00AD3739" w:rsidRPr="00AD3739" w:rsidRDefault="00AD3739" w:rsidP="00DF497D">
            <w:pPr>
              <w:jc w:val="right"/>
              <w:rPr>
                <w:rFonts w:ascii="Arial Narrow" w:hAnsi="Arial Narrow"/>
                <w:sz w:val="20"/>
              </w:rPr>
            </w:pPr>
            <w:r w:rsidRPr="00AD3739">
              <w:rPr>
                <w:rFonts w:ascii="Arial Narrow" w:hAnsi="Arial Narrow"/>
                <w:sz w:val="20"/>
              </w:rPr>
              <w:t>$469,119</w:t>
            </w:r>
          </w:p>
        </w:tc>
      </w:tr>
      <w:tr w:rsidR="00AD3739" w:rsidRPr="00AD3739" w14:paraId="6E515C1C" w14:textId="77777777" w:rsidTr="00161E42">
        <w:tc>
          <w:tcPr>
            <w:tcW w:w="5019" w:type="dxa"/>
            <w:shd w:val="clear" w:color="auto" w:fill="auto"/>
            <w:vAlign w:val="center"/>
          </w:tcPr>
          <w:p w14:paraId="0B0BA15C" w14:textId="77777777" w:rsidR="00AD3739" w:rsidRPr="00AD3739" w:rsidRDefault="00AD3739" w:rsidP="00DF497D">
            <w:pPr>
              <w:rPr>
                <w:rFonts w:ascii="Arial Narrow" w:hAnsi="Arial Narrow"/>
                <w:sz w:val="20"/>
              </w:rPr>
            </w:pPr>
            <w:r w:rsidRPr="00AD3739">
              <w:rPr>
                <w:rFonts w:ascii="Arial Narrow" w:hAnsi="Arial Narrow"/>
                <w:sz w:val="20"/>
              </w:rPr>
              <w:t>Total cost (net co-pay) of testing and genetic counselling</w:t>
            </w:r>
          </w:p>
        </w:tc>
        <w:tc>
          <w:tcPr>
            <w:tcW w:w="850" w:type="dxa"/>
            <w:shd w:val="clear" w:color="auto" w:fill="auto"/>
            <w:vAlign w:val="center"/>
          </w:tcPr>
          <w:p w14:paraId="583A104D" w14:textId="77777777" w:rsidR="00AD3739" w:rsidRPr="00AD3739" w:rsidRDefault="00AD3739" w:rsidP="00DF497D">
            <w:pPr>
              <w:jc w:val="right"/>
              <w:rPr>
                <w:rFonts w:ascii="Arial Narrow" w:hAnsi="Arial Narrow"/>
                <w:sz w:val="20"/>
              </w:rPr>
            </w:pPr>
            <w:r w:rsidRPr="00AD3739">
              <w:rPr>
                <w:rFonts w:ascii="Arial Narrow" w:hAnsi="Arial Narrow"/>
                <w:sz w:val="20"/>
              </w:rPr>
              <w:t>$681,086</w:t>
            </w:r>
          </w:p>
        </w:tc>
        <w:tc>
          <w:tcPr>
            <w:tcW w:w="851" w:type="dxa"/>
            <w:shd w:val="clear" w:color="auto" w:fill="auto"/>
            <w:vAlign w:val="center"/>
          </w:tcPr>
          <w:p w14:paraId="4690378F" w14:textId="77777777" w:rsidR="00AD3739" w:rsidRPr="00AD3739" w:rsidRDefault="00AD3739" w:rsidP="00DF497D">
            <w:pPr>
              <w:jc w:val="right"/>
              <w:rPr>
                <w:rFonts w:ascii="Arial Narrow" w:hAnsi="Arial Narrow"/>
                <w:sz w:val="20"/>
              </w:rPr>
            </w:pPr>
            <w:r w:rsidRPr="00AD3739">
              <w:rPr>
                <w:rFonts w:ascii="Arial Narrow" w:hAnsi="Arial Narrow"/>
                <w:sz w:val="20"/>
              </w:rPr>
              <w:t>$694,768</w:t>
            </w:r>
          </w:p>
        </w:tc>
        <w:tc>
          <w:tcPr>
            <w:tcW w:w="850" w:type="dxa"/>
            <w:shd w:val="clear" w:color="auto" w:fill="auto"/>
            <w:vAlign w:val="center"/>
          </w:tcPr>
          <w:p w14:paraId="25B03DC5" w14:textId="77777777" w:rsidR="00AD3739" w:rsidRPr="00AD3739" w:rsidRDefault="00AD3739" w:rsidP="00DF497D">
            <w:pPr>
              <w:jc w:val="right"/>
              <w:rPr>
                <w:rFonts w:ascii="Arial Narrow" w:hAnsi="Arial Narrow"/>
                <w:sz w:val="20"/>
              </w:rPr>
            </w:pPr>
            <w:r w:rsidRPr="00AD3739">
              <w:rPr>
                <w:rFonts w:ascii="Arial Narrow" w:hAnsi="Arial Narrow"/>
                <w:sz w:val="20"/>
              </w:rPr>
              <w:t>$809,657</w:t>
            </w:r>
          </w:p>
        </w:tc>
        <w:tc>
          <w:tcPr>
            <w:tcW w:w="851" w:type="dxa"/>
            <w:shd w:val="clear" w:color="auto" w:fill="auto"/>
            <w:vAlign w:val="center"/>
          </w:tcPr>
          <w:p w14:paraId="753E79B7" w14:textId="77777777" w:rsidR="00AD3739" w:rsidRPr="00AD3739" w:rsidRDefault="00AD3739" w:rsidP="00DF497D">
            <w:pPr>
              <w:jc w:val="right"/>
              <w:rPr>
                <w:rFonts w:ascii="Arial Narrow" w:hAnsi="Arial Narrow"/>
                <w:sz w:val="20"/>
              </w:rPr>
            </w:pPr>
            <w:r w:rsidRPr="00AD3739">
              <w:rPr>
                <w:rFonts w:ascii="Arial Narrow" w:hAnsi="Arial Narrow"/>
                <w:sz w:val="20"/>
              </w:rPr>
              <w:t>$928,454</w:t>
            </w:r>
          </w:p>
        </w:tc>
        <w:tc>
          <w:tcPr>
            <w:tcW w:w="901" w:type="dxa"/>
            <w:shd w:val="clear" w:color="auto" w:fill="auto"/>
            <w:vAlign w:val="center"/>
          </w:tcPr>
          <w:p w14:paraId="78D068CC" w14:textId="77777777" w:rsidR="00AD3739" w:rsidRPr="00AD3739" w:rsidRDefault="00AD3739" w:rsidP="00DF497D">
            <w:pPr>
              <w:jc w:val="right"/>
              <w:rPr>
                <w:rFonts w:ascii="Arial Narrow" w:hAnsi="Arial Narrow"/>
                <w:sz w:val="20"/>
              </w:rPr>
            </w:pPr>
            <w:r w:rsidRPr="00AD3739">
              <w:rPr>
                <w:rFonts w:ascii="Arial Narrow" w:hAnsi="Arial Narrow"/>
                <w:sz w:val="20"/>
              </w:rPr>
              <w:t>$946,045</w:t>
            </w:r>
          </w:p>
        </w:tc>
      </w:tr>
    </w:tbl>
    <w:p w14:paraId="4BAE5302" w14:textId="77777777" w:rsidR="00AD3739" w:rsidRDefault="00AD3739" w:rsidP="00AD3739">
      <w:pPr>
        <w:pStyle w:val="Caption"/>
        <w:spacing w:before="0" w:after="0"/>
        <w:ind w:left="709" w:hanging="709"/>
      </w:pPr>
      <w:r>
        <w:lastRenderedPageBreak/>
        <w:t>Table</w:t>
      </w:r>
      <w:r w:rsidR="00161E42">
        <w:t xml:space="preserve"> 12</w:t>
      </w:r>
      <w:r>
        <w:t xml:space="preserve">: </w:t>
      </w:r>
      <w:r w:rsidRPr="00D563D0">
        <w:t xml:space="preserve">Estimated costs for </w:t>
      </w:r>
      <w:bookmarkStart w:id="3" w:name="_GoBack"/>
      <w:bookmarkEnd w:id="3"/>
      <w:r w:rsidRPr="00D563D0">
        <w:t>testing affected individuals and family members</w:t>
      </w:r>
    </w:p>
    <w:tbl>
      <w:tblPr>
        <w:tblStyle w:val="TableGrid"/>
        <w:tblW w:w="9271" w:type="dxa"/>
        <w:tblLayout w:type="fixed"/>
        <w:tblCellMar>
          <w:left w:w="57" w:type="dxa"/>
          <w:right w:w="57" w:type="dxa"/>
        </w:tblCellMar>
        <w:tblLook w:val="04A0" w:firstRow="1" w:lastRow="0" w:firstColumn="1" w:lastColumn="0" w:noHBand="0" w:noVBand="1"/>
        <w:tblCaption w:val="Table 12: Estimated costs for testing affected individuals and family members"/>
      </w:tblPr>
      <w:tblGrid>
        <w:gridCol w:w="4310"/>
        <w:gridCol w:w="992"/>
        <w:gridCol w:w="992"/>
        <w:gridCol w:w="993"/>
        <w:gridCol w:w="992"/>
        <w:gridCol w:w="992"/>
      </w:tblGrid>
      <w:tr w:rsidR="00AD3739" w:rsidRPr="00AD3739" w14:paraId="10DBD372" w14:textId="77777777" w:rsidTr="00E2413C">
        <w:trPr>
          <w:tblHeader/>
        </w:trPr>
        <w:tc>
          <w:tcPr>
            <w:tcW w:w="4310" w:type="dxa"/>
          </w:tcPr>
          <w:p w14:paraId="79B34DCA" w14:textId="77777777" w:rsidR="00AD3739" w:rsidRPr="00AD3739" w:rsidRDefault="00AD3739" w:rsidP="00DF497D">
            <w:pPr>
              <w:rPr>
                <w:rFonts w:ascii="Arial Narrow" w:hAnsi="Arial Narrow"/>
                <w:sz w:val="20"/>
              </w:rPr>
            </w:pPr>
          </w:p>
        </w:tc>
        <w:tc>
          <w:tcPr>
            <w:tcW w:w="992" w:type="dxa"/>
            <w:vAlign w:val="center"/>
          </w:tcPr>
          <w:p w14:paraId="6EBC24F5" w14:textId="77777777" w:rsidR="00AD3739" w:rsidRPr="00AD3739" w:rsidRDefault="00AD3739" w:rsidP="00DF497D">
            <w:pPr>
              <w:jc w:val="center"/>
              <w:rPr>
                <w:rFonts w:ascii="Arial Narrow" w:hAnsi="Arial Narrow"/>
                <w:b/>
                <w:sz w:val="20"/>
              </w:rPr>
            </w:pPr>
            <w:r w:rsidRPr="00AD3739">
              <w:rPr>
                <w:rFonts w:ascii="Arial Narrow" w:hAnsi="Arial Narrow"/>
                <w:b/>
                <w:sz w:val="20"/>
              </w:rPr>
              <w:t>2016</w:t>
            </w:r>
          </w:p>
        </w:tc>
        <w:tc>
          <w:tcPr>
            <w:tcW w:w="992" w:type="dxa"/>
            <w:vAlign w:val="center"/>
          </w:tcPr>
          <w:p w14:paraId="42E2BE78" w14:textId="77777777" w:rsidR="00AD3739" w:rsidRPr="00AD3739" w:rsidRDefault="00AD3739" w:rsidP="00DF497D">
            <w:pPr>
              <w:jc w:val="center"/>
              <w:rPr>
                <w:rFonts w:ascii="Arial Narrow" w:hAnsi="Arial Narrow"/>
                <w:b/>
                <w:sz w:val="20"/>
              </w:rPr>
            </w:pPr>
            <w:r w:rsidRPr="00AD3739">
              <w:rPr>
                <w:rFonts w:ascii="Arial Narrow" w:hAnsi="Arial Narrow"/>
                <w:b/>
                <w:sz w:val="20"/>
              </w:rPr>
              <w:t>2017</w:t>
            </w:r>
          </w:p>
        </w:tc>
        <w:tc>
          <w:tcPr>
            <w:tcW w:w="993" w:type="dxa"/>
            <w:vAlign w:val="center"/>
          </w:tcPr>
          <w:p w14:paraId="0FB1D7FD" w14:textId="77777777" w:rsidR="00AD3739" w:rsidRPr="00AD3739" w:rsidRDefault="00AD3739" w:rsidP="00DF497D">
            <w:pPr>
              <w:jc w:val="center"/>
              <w:rPr>
                <w:rFonts w:ascii="Arial Narrow" w:hAnsi="Arial Narrow"/>
                <w:b/>
                <w:sz w:val="20"/>
              </w:rPr>
            </w:pPr>
            <w:r w:rsidRPr="00AD3739">
              <w:rPr>
                <w:rFonts w:ascii="Arial Narrow" w:hAnsi="Arial Narrow"/>
                <w:b/>
                <w:sz w:val="20"/>
              </w:rPr>
              <w:t>2018</w:t>
            </w:r>
          </w:p>
        </w:tc>
        <w:tc>
          <w:tcPr>
            <w:tcW w:w="992" w:type="dxa"/>
            <w:vAlign w:val="center"/>
          </w:tcPr>
          <w:p w14:paraId="34B7C8F2" w14:textId="77777777" w:rsidR="00AD3739" w:rsidRPr="00AD3739" w:rsidRDefault="00AD3739" w:rsidP="00DF497D">
            <w:pPr>
              <w:jc w:val="center"/>
              <w:rPr>
                <w:rFonts w:ascii="Arial Narrow" w:hAnsi="Arial Narrow"/>
                <w:b/>
                <w:sz w:val="20"/>
              </w:rPr>
            </w:pPr>
            <w:r w:rsidRPr="00AD3739">
              <w:rPr>
                <w:rFonts w:ascii="Arial Narrow" w:hAnsi="Arial Narrow"/>
                <w:b/>
                <w:sz w:val="20"/>
              </w:rPr>
              <w:t>2019</w:t>
            </w:r>
          </w:p>
        </w:tc>
        <w:tc>
          <w:tcPr>
            <w:tcW w:w="992" w:type="dxa"/>
            <w:vAlign w:val="center"/>
          </w:tcPr>
          <w:p w14:paraId="09A4C30F" w14:textId="77777777" w:rsidR="00AD3739" w:rsidRPr="00AD3739" w:rsidRDefault="00AD3739" w:rsidP="00DF497D">
            <w:pPr>
              <w:jc w:val="center"/>
              <w:rPr>
                <w:rFonts w:ascii="Arial Narrow" w:hAnsi="Arial Narrow"/>
                <w:b/>
                <w:sz w:val="20"/>
              </w:rPr>
            </w:pPr>
            <w:r w:rsidRPr="00AD3739">
              <w:rPr>
                <w:rFonts w:ascii="Arial Narrow" w:hAnsi="Arial Narrow"/>
                <w:b/>
                <w:sz w:val="20"/>
              </w:rPr>
              <w:t>2020</w:t>
            </w:r>
          </w:p>
        </w:tc>
      </w:tr>
      <w:tr w:rsidR="00AD3739" w:rsidRPr="00AD3739" w14:paraId="378EAA15" w14:textId="77777777" w:rsidTr="00897494">
        <w:tc>
          <w:tcPr>
            <w:tcW w:w="4310" w:type="dxa"/>
          </w:tcPr>
          <w:p w14:paraId="5C4B6A58" w14:textId="77777777" w:rsidR="00AD3739" w:rsidRPr="00AD3739" w:rsidRDefault="00AD3739" w:rsidP="00DF497D">
            <w:pPr>
              <w:rPr>
                <w:rFonts w:ascii="Arial Narrow" w:hAnsi="Arial Narrow"/>
                <w:sz w:val="20"/>
              </w:rPr>
            </w:pPr>
            <w:r w:rsidRPr="00AD3739">
              <w:rPr>
                <w:rFonts w:ascii="Arial Narrow" w:hAnsi="Arial Narrow"/>
                <w:sz w:val="20"/>
              </w:rPr>
              <w:t>Cost of testing</w:t>
            </w:r>
          </w:p>
        </w:tc>
        <w:tc>
          <w:tcPr>
            <w:tcW w:w="992" w:type="dxa"/>
            <w:vAlign w:val="center"/>
          </w:tcPr>
          <w:p w14:paraId="543B9912" w14:textId="77777777" w:rsidR="00AD3739" w:rsidRPr="00AD3739" w:rsidRDefault="00AD3739" w:rsidP="00DF497D">
            <w:pPr>
              <w:jc w:val="right"/>
              <w:rPr>
                <w:rFonts w:ascii="Arial Narrow" w:hAnsi="Arial Narrow"/>
                <w:sz w:val="20"/>
              </w:rPr>
            </w:pPr>
            <w:r w:rsidRPr="00AD3739">
              <w:rPr>
                <w:rFonts w:ascii="Arial Narrow" w:hAnsi="Arial Narrow"/>
                <w:sz w:val="20"/>
              </w:rPr>
              <w:t>$2,065,026</w:t>
            </w:r>
          </w:p>
        </w:tc>
        <w:tc>
          <w:tcPr>
            <w:tcW w:w="992" w:type="dxa"/>
            <w:vAlign w:val="center"/>
          </w:tcPr>
          <w:p w14:paraId="0D6C1EFC" w14:textId="77777777" w:rsidR="00AD3739" w:rsidRPr="00AD3739" w:rsidRDefault="00AD3739" w:rsidP="00DF497D">
            <w:pPr>
              <w:jc w:val="right"/>
              <w:rPr>
                <w:rFonts w:ascii="Arial Narrow" w:hAnsi="Arial Narrow"/>
                <w:sz w:val="20"/>
              </w:rPr>
            </w:pPr>
            <w:r w:rsidRPr="00AD3739">
              <w:rPr>
                <w:rFonts w:ascii="Arial Narrow" w:hAnsi="Arial Narrow"/>
                <w:sz w:val="20"/>
              </w:rPr>
              <w:t>$2,106,508</w:t>
            </w:r>
          </w:p>
        </w:tc>
        <w:tc>
          <w:tcPr>
            <w:tcW w:w="993" w:type="dxa"/>
            <w:vAlign w:val="center"/>
          </w:tcPr>
          <w:p w14:paraId="07ED5C0D" w14:textId="77777777" w:rsidR="00AD3739" w:rsidRPr="00AD3739" w:rsidRDefault="00AD3739" w:rsidP="00DF497D">
            <w:pPr>
              <w:jc w:val="right"/>
              <w:rPr>
                <w:rFonts w:ascii="Arial Narrow" w:hAnsi="Arial Narrow"/>
                <w:sz w:val="20"/>
              </w:rPr>
            </w:pPr>
            <w:r w:rsidRPr="00AD3739">
              <w:rPr>
                <w:rFonts w:ascii="Arial Narrow" w:hAnsi="Arial Narrow"/>
                <w:sz w:val="20"/>
              </w:rPr>
              <w:t>$2,454,846</w:t>
            </w:r>
          </w:p>
        </w:tc>
        <w:tc>
          <w:tcPr>
            <w:tcW w:w="992" w:type="dxa"/>
            <w:vAlign w:val="center"/>
          </w:tcPr>
          <w:p w14:paraId="37F12289" w14:textId="77777777" w:rsidR="00AD3739" w:rsidRPr="00AD3739" w:rsidRDefault="00AD3739" w:rsidP="00DF497D">
            <w:pPr>
              <w:jc w:val="right"/>
              <w:rPr>
                <w:rFonts w:ascii="Arial Narrow" w:hAnsi="Arial Narrow"/>
                <w:sz w:val="20"/>
              </w:rPr>
            </w:pPr>
            <w:r w:rsidRPr="00AD3739">
              <w:rPr>
                <w:rFonts w:ascii="Arial Narrow" w:hAnsi="Arial Narrow"/>
                <w:sz w:val="20"/>
              </w:rPr>
              <w:t>$2,815,035</w:t>
            </w:r>
          </w:p>
        </w:tc>
        <w:tc>
          <w:tcPr>
            <w:tcW w:w="992" w:type="dxa"/>
            <w:vAlign w:val="center"/>
          </w:tcPr>
          <w:p w14:paraId="38C6A402" w14:textId="77777777" w:rsidR="00AD3739" w:rsidRPr="00AD3739" w:rsidRDefault="00AD3739" w:rsidP="00DF497D">
            <w:pPr>
              <w:jc w:val="right"/>
              <w:rPr>
                <w:rFonts w:ascii="Arial Narrow" w:hAnsi="Arial Narrow"/>
                <w:sz w:val="20"/>
              </w:rPr>
            </w:pPr>
            <w:r w:rsidRPr="00AD3739">
              <w:rPr>
                <w:rFonts w:ascii="Arial Narrow" w:hAnsi="Arial Narrow"/>
                <w:sz w:val="20"/>
              </w:rPr>
              <w:t>$2,868,369</w:t>
            </w:r>
          </w:p>
        </w:tc>
      </w:tr>
      <w:tr w:rsidR="00AD3739" w:rsidRPr="00AD3739" w14:paraId="7AE076BC" w14:textId="77777777" w:rsidTr="00897494">
        <w:tc>
          <w:tcPr>
            <w:tcW w:w="4310" w:type="dxa"/>
            <w:vAlign w:val="center"/>
          </w:tcPr>
          <w:p w14:paraId="771FBACC" w14:textId="77777777" w:rsidR="00AD3739" w:rsidRPr="00AD3739" w:rsidRDefault="00AD3739" w:rsidP="00DF497D">
            <w:pPr>
              <w:rPr>
                <w:rFonts w:ascii="Arial Narrow" w:hAnsi="Arial Narrow"/>
                <w:sz w:val="20"/>
              </w:rPr>
            </w:pPr>
            <w:r w:rsidRPr="00AD3739">
              <w:rPr>
                <w:rFonts w:ascii="Arial Narrow" w:hAnsi="Arial Narrow"/>
                <w:sz w:val="20"/>
              </w:rPr>
              <w:t>Cost of genetic counselling</w:t>
            </w:r>
          </w:p>
        </w:tc>
        <w:tc>
          <w:tcPr>
            <w:tcW w:w="992" w:type="dxa"/>
            <w:vAlign w:val="center"/>
          </w:tcPr>
          <w:p w14:paraId="174E15C7" w14:textId="77777777" w:rsidR="00AD3739" w:rsidRPr="00AD3739" w:rsidRDefault="00AD3739" w:rsidP="00DF497D">
            <w:pPr>
              <w:jc w:val="right"/>
              <w:rPr>
                <w:rFonts w:ascii="Arial Narrow" w:hAnsi="Arial Narrow"/>
                <w:sz w:val="20"/>
              </w:rPr>
            </w:pPr>
            <w:r w:rsidRPr="00AD3739">
              <w:rPr>
                <w:rFonts w:ascii="Arial Narrow" w:hAnsi="Arial Narrow"/>
                <w:sz w:val="20"/>
              </w:rPr>
              <w:t>$206,392</w:t>
            </w:r>
          </w:p>
        </w:tc>
        <w:tc>
          <w:tcPr>
            <w:tcW w:w="992" w:type="dxa"/>
            <w:vAlign w:val="center"/>
          </w:tcPr>
          <w:p w14:paraId="29A63BE6" w14:textId="77777777" w:rsidR="00AD3739" w:rsidRPr="00AD3739" w:rsidRDefault="00AD3739" w:rsidP="00DF497D">
            <w:pPr>
              <w:jc w:val="right"/>
              <w:rPr>
                <w:rFonts w:ascii="Arial Narrow" w:hAnsi="Arial Narrow"/>
                <w:sz w:val="20"/>
              </w:rPr>
            </w:pPr>
            <w:r w:rsidRPr="00AD3739">
              <w:rPr>
                <w:rFonts w:ascii="Arial Narrow" w:hAnsi="Arial Narrow"/>
                <w:sz w:val="20"/>
              </w:rPr>
              <w:t>$210,538</w:t>
            </w:r>
          </w:p>
        </w:tc>
        <w:tc>
          <w:tcPr>
            <w:tcW w:w="993" w:type="dxa"/>
            <w:vAlign w:val="center"/>
          </w:tcPr>
          <w:p w14:paraId="6954C0C4" w14:textId="77777777" w:rsidR="00AD3739" w:rsidRPr="00AD3739" w:rsidRDefault="00AD3739" w:rsidP="00DF497D">
            <w:pPr>
              <w:jc w:val="right"/>
              <w:rPr>
                <w:rFonts w:ascii="Arial Narrow" w:hAnsi="Arial Narrow"/>
                <w:sz w:val="20"/>
              </w:rPr>
            </w:pPr>
            <w:r w:rsidRPr="00AD3739">
              <w:rPr>
                <w:rFonts w:ascii="Arial Narrow" w:hAnsi="Arial Narrow"/>
                <w:sz w:val="20"/>
              </w:rPr>
              <w:t>$245,354</w:t>
            </w:r>
          </w:p>
        </w:tc>
        <w:tc>
          <w:tcPr>
            <w:tcW w:w="992" w:type="dxa"/>
            <w:vAlign w:val="center"/>
          </w:tcPr>
          <w:p w14:paraId="737413B7" w14:textId="77777777" w:rsidR="00AD3739" w:rsidRPr="00AD3739" w:rsidRDefault="00AD3739" w:rsidP="00DF497D">
            <w:pPr>
              <w:jc w:val="right"/>
              <w:rPr>
                <w:rFonts w:ascii="Arial Narrow" w:hAnsi="Arial Narrow"/>
                <w:sz w:val="20"/>
              </w:rPr>
            </w:pPr>
            <w:r w:rsidRPr="00AD3739">
              <w:rPr>
                <w:rFonts w:ascii="Arial Narrow" w:hAnsi="Arial Narrow"/>
                <w:sz w:val="20"/>
              </w:rPr>
              <w:t>$281,353</w:t>
            </w:r>
          </w:p>
        </w:tc>
        <w:tc>
          <w:tcPr>
            <w:tcW w:w="992" w:type="dxa"/>
            <w:vAlign w:val="center"/>
          </w:tcPr>
          <w:p w14:paraId="47253EA1" w14:textId="77777777" w:rsidR="00AD3739" w:rsidRPr="00AD3739" w:rsidRDefault="00AD3739" w:rsidP="00DF497D">
            <w:pPr>
              <w:jc w:val="right"/>
              <w:rPr>
                <w:rFonts w:ascii="Arial Narrow" w:hAnsi="Arial Narrow"/>
                <w:sz w:val="20"/>
              </w:rPr>
            </w:pPr>
            <w:r w:rsidRPr="00AD3739">
              <w:rPr>
                <w:rFonts w:ascii="Arial Narrow" w:hAnsi="Arial Narrow"/>
                <w:sz w:val="20"/>
              </w:rPr>
              <w:t>$286,684</w:t>
            </w:r>
          </w:p>
        </w:tc>
      </w:tr>
      <w:tr w:rsidR="00AD3739" w:rsidRPr="00AD3739" w14:paraId="5CEAAFF3" w14:textId="77777777" w:rsidTr="00897494">
        <w:tc>
          <w:tcPr>
            <w:tcW w:w="4310" w:type="dxa"/>
            <w:vAlign w:val="center"/>
          </w:tcPr>
          <w:p w14:paraId="1037F8BF" w14:textId="77777777" w:rsidR="00AD3739" w:rsidRPr="00AD3739" w:rsidRDefault="00AD3739" w:rsidP="00DF497D">
            <w:pPr>
              <w:rPr>
                <w:rFonts w:ascii="Arial Narrow" w:hAnsi="Arial Narrow"/>
                <w:sz w:val="20"/>
              </w:rPr>
            </w:pPr>
            <w:r w:rsidRPr="00AD3739">
              <w:rPr>
                <w:rFonts w:ascii="Arial Narrow" w:hAnsi="Arial Narrow"/>
                <w:sz w:val="20"/>
              </w:rPr>
              <w:t>Cost of testing and genetic counselling</w:t>
            </w:r>
          </w:p>
        </w:tc>
        <w:tc>
          <w:tcPr>
            <w:tcW w:w="992" w:type="dxa"/>
            <w:vAlign w:val="center"/>
          </w:tcPr>
          <w:p w14:paraId="4E4E60F9" w14:textId="77777777" w:rsidR="00AD3739" w:rsidRPr="00AD3739" w:rsidRDefault="00AD3739" w:rsidP="00DF497D">
            <w:pPr>
              <w:jc w:val="right"/>
              <w:rPr>
                <w:rFonts w:ascii="Arial Narrow" w:hAnsi="Arial Narrow"/>
                <w:sz w:val="20"/>
              </w:rPr>
            </w:pPr>
            <w:r w:rsidRPr="00AD3739">
              <w:rPr>
                <w:rFonts w:ascii="Arial Narrow" w:hAnsi="Arial Narrow"/>
                <w:sz w:val="20"/>
              </w:rPr>
              <w:t>$2,271,418</w:t>
            </w:r>
          </w:p>
        </w:tc>
        <w:tc>
          <w:tcPr>
            <w:tcW w:w="992" w:type="dxa"/>
            <w:vAlign w:val="center"/>
          </w:tcPr>
          <w:p w14:paraId="2FEB0308" w14:textId="77777777" w:rsidR="00AD3739" w:rsidRPr="00AD3739" w:rsidRDefault="00AD3739" w:rsidP="00DF497D">
            <w:pPr>
              <w:jc w:val="right"/>
              <w:rPr>
                <w:rFonts w:ascii="Arial Narrow" w:hAnsi="Arial Narrow"/>
                <w:sz w:val="20"/>
              </w:rPr>
            </w:pPr>
            <w:r w:rsidRPr="00AD3739">
              <w:rPr>
                <w:rFonts w:ascii="Arial Narrow" w:hAnsi="Arial Narrow"/>
                <w:sz w:val="20"/>
              </w:rPr>
              <w:t>$2,317,046</w:t>
            </w:r>
          </w:p>
        </w:tc>
        <w:tc>
          <w:tcPr>
            <w:tcW w:w="993" w:type="dxa"/>
            <w:vAlign w:val="center"/>
          </w:tcPr>
          <w:p w14:paraId="65E003D3" w14:textId="77777777" w:rsidR="00AD3739" w:rsidRPr="00AD3739" w:rsidRDefault="00AD3739" w:rsidP="00DF497D">
            <w:pPr>
              <w:jc w:val="right"/>
              <w:rPr>
                <w:rFonts w:ascii="Arial Narrow" w:hAnsi="Arial Narrow"/>
                <w:sz w:val="20"/>
              </w:rPr>
            </w:pPr>
            <w:r w:rsidRPr="00AD3739">
              <w:rPr>
                <w:rFonts w:ascii="Arial Narrow" w:hAnsi="Arial Narrow"/>
                <w:sz w:val="20"/>
              </w:rPr>
              <w:t>$2,700,199</w:t>
            </w:r>
          </w:p>
        </w:tc>
        <w:tc>
          <w:tcPr>
            <w:tcW w:w="992" w:type="dxa"/>
            <w:vAlign w:val="center"/>
          </w:tcPr>
          <w:p w14:paraId="5DFF9F26" w14:textId="77777777" w:rsidR="00AD3739" w:rsidRPr="00AD3739" w:rsidRDefault="00AD3739" w:rsidP="00DF497D">
            <w:pPr>
              <w:jc w:val="right"/>
              <w:rPr>
                <w:rFonts w:ascii="Arial Narrow" w:hAnsi="Arial Narrow"/>
                <w:sz w:val="20"/>
              </w:rPr>
            </w:pPr>
            <w:r w:rsidRPr="00AD3739">
              <w:rPr>
                <w:rFonts w:ascii="Arial Narrow" w:hAnsi="Arial Narrow"/>
                <w:sz w:val="20"/>
              </w:rPr>
              <w:t>$3,096,389</w:t>
            </w:r>
          </w:p>
        </w:tc>
        <w:tc>
          <w:tcPr>
            <w:tcW w:w="992" w:type="dxa"/>
            <w:vAlign w:val="center"/>
          </w:tcPr>
          <w:p w14:paraId="32896B6B" w14:textId="77777777" w:rsidR="00AD3739" w:rsidRPr="00AD3739" w:rsidRDefault="00AD3739" w:rsidP="00DF497D">
            <w:pPr>
              <w:jc w:val="right"/>
              <w:rPr>
                <w:rFonts w:ascii="Arial Narrow" w:hAnsi="Arial Narrow"/>
                <w:sz w:val="20"/>
              </w:rPr>
            </w:pPr>
            <w:r w:rsidRPr="00AD3739">
              <w:rPr>
                <w:rFonts w:ascii="Arial Narrow" w:hAnsi="Arial Narrow"/>
                <w:sz w:val="20"/>
              </w:rPr>
              <w:t>$3,155,053</w:t>
            </w:r>
          </w:p>
        </w:tc>
      </w:tr>
    </w:tbl>
    <w:p w14:paraId="326CF371" w14:textId="77777777" w:rsidR="00AD3739" w:rsidRDefault="00AD3739" w:rsidP="00AD3739"/>
    <w:p w14:paraId="18C3FAB0" w14:textId="77777777" w:rsidR="00AD3739" w:rsidRDefault="00AD3739" w:rsidP="00161E42">
      <w:pPr>
        <w:pStyle w:val="Caption"/>
        <w:spacing w:before="0" w:after="0"/>
        <w:ind w:left="142" w:hanging="142"/>
      </w:pPr>
      <w:r>
        <w:t>Table</w:t>
      </w:r>
      <w:r w:rsidR="00161E42">
        <w:t xml:space="preserve"> 13</w:t>
      </w:r>
      <w:r>
        <w:t xml:space="preserve">: </w:t>
      </w:r>
      <w:r w:rsidRPr="00393608">
        <w:t xml:space="preserve">Estimated number of surgeries among women affected with breast cancer and determined to be positive for </w:t>
      </w:r>
      <w:r w:rsidRPr="00A8248C">
        <w:rPr>
          <w:i/>
        </w:rPr>
        <w:t>BRCA1</w:t>
      </w:r>
      <w:r w:rsidRPr="00393608">
        <w:t xml:space="preserve"> or </w:t>
      </w:r>
      <w:r w:rsidR="00A8248C" w:rsidRPr="00A8248C">
        <w:rPr>
          <w:i/>
        </w:rPr>
        <w:t>BRCA</w:t>
      </w:r>
      <w:r w:rsidRPr="00A8248C">
        <w:rPr>
          <w:i/>
        </w:rPr>
        <w:t>2</w:t>
      </w:r>
      <w:r w:rsidRPr="00393608">
        <w:t xml:space="preserve"> mutations</w:t>
      </w:r>
    </w:p>
    <w:tbl>
      <w:tblPr>
        <w:tblStyle w:val="TableGrid"/>
        <w:tblW w:w="9413" w:type="dxa"/>
        <w:tblLayout w:type="fixed"/>
        <w:tblCellMar>
          <w:left w:w="57" w:type="dxa"/>
          <w:right w:w="57" w:type="dxa"/>
        </w:tblCellMar>
        <w:tblLook w:val="04A0" w:firstRow="1" w:lastRow="0" w:firstColumn="1" w:lastColumn="0" w:noHBand="0" w:noVBand="1"/>
        <w:tblCaption w:val="Table 13: Estimated number of surgeries among women affected with breast cancer and determined to be positive for BRCA1 or BRCA2 mutations"/>
      </w:tblPr>
      <w:tblGrid>
        <w:gridCol w:w="4452"/>
        <w:gridCol w:w="992"/>
        <w:gridCol w:w="992"/>
        <w:gridCol w:w="992"/>
        <w:gridCol w:w="993"/>
        <w:gridCol w:w="992"/>
      </w:tblGrid>
      <w:tr w:rsidR="00AD3739" w:rsidRPr="00AD3739" w14:paraId="61E4FE26" w14:textId="77777777" w:rsidTr="00E2413C">
        <w:trPr>
          <w:tblHeader/>
        </w:trPr>
        <w:tc>
          <w:tcPr>
            <w:tcW w:w="4452" w:type="dxa"/>
          </w:tcPr>
          <w:p w14:paraId="3174F41A" w14:textId="77777777" w:rsidR="00AD3739" w:rsidRPr="00AD3739" w:rsidRDefault="00AD3739" w:rsidP="00DF497D">
            <w:pPr>
              <w:rPr>
                <w:rFonts w:ascii="Arial Narrow" w:hAnsi="Arial Narrow"/>
                <w:sz w:val="20"/>
              </w:rPr>
            </w:pPr>
          </w:p>
        </w:tc>
        <w:tc>
          <w:tcPr>
            <w:tcW w:w="992" w:type="dxa"/>
            <w:vAlign w:val="center"/>
          </w:tcPr>
          <w:p w14:paraId="6EC54BD4" w14:textId="77777777" w:rsidR="00AD3739" w:rsidRPr="00AD3739" w:rsidRDefault="00AD3739" w:rsidP="00DF497D">
            <w:pPr>
              <w:jc w:val="center"/>
              <w:rPr>
                <w:rFonts w:ascii="Arial Narrow" w:hAnsi="Arial Narrow"/>
                <w:b/>
                <w:sz w:val="20"/>
              </w:rPr>
            </w:pPr>
            <w:r w:rsidRPr="00AD3739">
              <w:rPr>
                <w:rFonts w:ascii="Arial Narrow" w:hAnsi="Arial Narrow"/>
                <w:b/>
                <w:sz w:val="20"/>
              </w:rPr>
              <w:t>2016</w:t>
            </w:r>
          </w:p>
        </w:tc>
        <w:tc>
          <w:tcPr>
            <w:tcW w:w="992" w:type="dxa"/>
            <w:vAlign w:val="center"/>
          </w:tcPr>
          <w:p w14:paraId="21FB01AC" w14:textId="77777777" w:rsidR="00AD3739" w:rsidRPr="00AD3739" w:rsidRDefault="00AD3739" w:rsidP="00DF497D">
            <w:pPr>
              <w:jc w:val="center"/>
              <w:rPr>
                <w:rFonts w:ascii="Arial Narrow" w:hAnsi="Arial Narrow"/>
                <w:b/>
                <w:sz w:val="20"/>
              </w:rPr>
            </w:pPr>
            <w:r w:rsidRPr="00AD3739">
              <w:rPr>
                <w:rFonts w:ascii="Arial Narrow" w:hAnsi="Arial Narrow"/>
                <w:b/>
                <w:sz w:val="20"/>
              </w:rPr>
              <w:t>2017</w:t>
            </w:r>
          </w:p>
        </w:tc>
        <w:tc>
          <w:tcPr>
            <w:tcW w:w="992" w:type="dxa"/>
            <w:vAlign w:val="center"/>
          </w:tcPr>
          <w:p w14:paraId="357BEE7D" w14:textId="77777777" w:rsidR="00AD3739" w:rsidRPr="00AD3739" w:rsidRDefault="00AD3739" w:rsidP="00DF497D">
            <w:pPr>
              <w:jc w:val="center"/>
              <w:rPr>
                <w:rFonts w:ascii="Arial Narrow" w:hAnsi="Arial Narrow"/>
                <w:b/>
                <w:sz w:val="20"/>
              </w:rPr>
            </w:pPr>
            <w:r w:rsidRPr="00AD3739">
              <w:rPr>
                <w:rFonts w:ascii="Arial Narrow" w:hAnsi="Arial Narrow"/>
                <w:b/>
                <w:sz w:val="20"/>
              </w:rPr>
              <w:t>2018</w:t>
            </w:r>
          </w:p>
        </w:tc>
        <w:tc>
          <w:tcPr>
            <w:tcW w:w="993" w:type="dxa"/>
            <w:vAlign w:val="center"/>
          </w:tcPr>
          <w:p w14:paraId="6E79046E" w14:textId="77777777" w:rsidR="00AD3739" w:rsidRPr="00AD3739" w:rsidRDefault="00AD3739" w:rsidP="00DF497D">
            <w:pPr>
              <w:jc w:val="center"/>
              <w:rPr>
                <w:rFonts w:ascii="Arial Narrow" w:hAnsi="Arial Narrow"/>
                <w:b/>
                <w:sz w:val="20"/>
              </w:rPr>
            </w:pPr>
            <w:r w:rsidRPr="00AD3739">
              <w:rPr>
                <w:rFonts w:ascii="Arial Narrow" w:hAnsi="Arial Narrow"/>
                <w:b/>
                <w:sz w:val="20"/>
              </w:rPr>
              <w:t>2019</w:t>
            </w:r>
          </w:p>
        </w:tc>
        <w:tc>
          <w:tcPr>
            <w:tcW w:w="992" w:type="dxa"/>
            <w:vAlign w:val="center"/>
          </w:tcPr>
          <w:p w14:paraId="33ABD3B1" w14:textId="77777777" w:rsidR="00AD3739" w:rsidRPr="00AD3739" w:rsidRDefault="00AD3739" w:rsidP="00DF497D">
            <w:pPr>
              <w:jc w:val="center"/>
              <w:rPr>
                <w:rFonts w:ascii="Arial Narrow" w:hAnsi="Arial Narrow"/>
                <w:b/>
                <w:sz w:val="20"/>
              </w:rPr>
            </w:pPr>
            <w:r w:rsidRPr="00AD3739">
              <w:rPr>
                <w:rFonts w:ascii="Arial Narrow" w:hAnsi="Arial Narrow"/>
                <w:b/>
                <w:sz w:val="20"/>
              </w:rPr>
              <w:t>2020</w:t>
            </w:r>
          </w:p>
        </w:tc>
      </w:tr>
      <w:tr w:rsidR="00AD3739" w:rsidRPr="00AD3739" w14:paraId="359A9054" w14:textId="77777777" w:rsidTr="00897494">
        <w:tc>
          <w:tcPr>
            <w:tcW w:w="4452" w:type="dxa"/>
          </w:tcPr>
          <w:p w14:paraId="28F6D145" w14:textId="77777777" w:rsidR="00AD3739" w:rsidRPr="00AD3739" w:rsidRDefault="00AD3739" w:rsidP="00A8248C">
            <w:pPr>
              <w:rPr>
                <w:rFonts w:ascii="Arial Narrow" w:hAnsi="Arial Narrow"/>
                <w:sz w:val="20"/>
              </w:rPr>
            </w:pPr>
            <w:r w:rsidRPr="00AD3739">
              <w:rPr>
                <w:rFonts w:ascii="Arial Narrow" w:hAnsi="Arial Narrow"/>
                <w:sz w:val="20"/>
              </w:rPr>
              <w:t xml:space="preserve">Number of women positive for </w:t>
            </w:r>
            <w:r w:rsidRPr="00A8248C">
              <w:rPr>
                <w:rFonts w:ascii="Arial Narrow" w:hAnsi="Arial Narrow"/>
                <w:i/>
                <w:sz w:val="20"/>
              </w:rPr>
              <w:t>BRCA1</w:t>
            </w:r>
            <w:r w:rsidRPr="00AD3739">
              <w:rPr>
                <w:rFonts w:ascii="Arial Narrow" w:hAnsi="Arial Narrow"/>
                <w:sz w:val="20"/>
              </w:rPr>
              <w:t xml:space="preserve"> or </w:t>
            </w:r>
            <w:r w:rsidR="00A8248C" w:rsidRPr="00A8248C">
              <w:rPr>
                <w:rFonts w:ascii="Arial Narrow" w:hAnsi="Arial Narrow"/>
                <w:i/>
                <w:sz w:val="20"/>
              </w:rPr>
              <w:t>BRCA</w:t>
            </w:r>
            <w:r w:rsidRPr="00A8248C">
              <w:rPr>
                <w:rFonts w:ascii="Arial Narrow" w:hAnsi="Arial Narrow"/>
                <w:i/>
                <w:sz w:val="20"/>
              </w:rPr>
              <w:t>2</w:t>
            </w:r>
            <w:r w:rsidRPr="00AD3739">
              <w:rPr>
                <w:rFonts w:ascii="Arial Narrow" w:hAnsi="Arial Narrow"/>
                <w:sz w:val="20"/>
              </w:rPr>
              <w:t xml:space="preserve"> mutation</w:t>
            </w:r>
          </w:p>
        </w:tc>
        <w:tc>
          <w:tcPr>
            <w:tcW w:w="992" w:type="dxa"/>
            <w:vAlign w:val="center"/>
          </w:tcPr>
          <w:p w14:paraId="1FC71943" w14:textId="77777777" w:rsidR="00AD3739" w:rsidRPr="00AD3739" w:rsidRDefault="00AD3739" w:rsidP="00DF497D">
            <w:pPr>
              <w:jc w:val="center"/>
              <w:rPr>
                <w:rFonts w:ascii="Arial Narrow" w:hAnsi="Arial Narrow"/>
                <w:sz w:val="20"/>
              </w:rPr>
            </w:pPr>
            <w:r w:rsidRPr="00AD3739">
              <w:rPr>
                <w:rFonts w:ascii="Arial Narrow" w:hAnsi="Arial Narrow"/>
                <w:sz w:val="20"/>
              </w:rPr>
              <w:t>167</w:t>
            </w:r>
          </w:p>
        </w:tc>
        <w:tc>
          <w:tcPr>
            <w:tcW w:w="992" w:type="dxa"/>
            <w:vAlign w:val="center"/>
          </w:tcPr>
          <w:p w14:paraId="3420E6F9" w14:textId="77777777" w:rsidR="00AD3739" w:rsidRPr="00AD3739" w:rsidRDefault="00AD3739" w:rsidP="00DF497D">
            <w:pPr>
              <w:jc w:val="center"/>
              <w:rPr>
                <w:rFonts w:ascii="Arial Narrow" w:hAnsi="Arial Narrow"/>
                <w:sz w:val="20"/>
              </w:rPr>
            </w:pPr>
            <w:r w:rsidRPr="00AD3739">
              <w:rPr>
                <w:rFonts w:ascii="Arial Narrow" w:hAnsi="Arial Narrow"/>
                <w:sz w:val="20"/>
              </w:rPr>
              <w:t>171</w:t>
            </w:r>
          </w:p>
        </w:tc>
        <w:tc>
          <w:tcPr>
            <w:tcW w:w="992" w:type="dxa"/>
            <w:vAlign w:val="center"/>
          </w:tcPr>
          <w:p w14:paraId="6D49AACE" w14:textId="77777777" w:rsidR="00AD3739" w:rsidRPr="00AD3739" w:rsidRDefault="00AD3739" w:rsidP="00DF497D">
            <w:pPr>
              <w:jc w:val="center"/>
              <w:rPr>
                <w:rFonts w:ascii="Arial Narrow" w:hAnsi="Arial Narrow"/>
                <w:sz w:val="20"/>
              </w:rPr>
            </w:pPr>
            <w:r w:rsidRPr="00AD3739">
              <w:rPr>
                <w:rFonts w:ascii="Arial Narrow" w:hAnsi="Arial Narrow"/>
                <w:sz w:val="20"/>
              </w:rPr>
              <w:t>199</w:t>
            </w:r>
          </w:p>
        </w:tc>
        <w:tc>
          <w:tcPr>
            <w:tcW w:w="993" w:type="dxa"/>
            <w:vAlign w:val="center"/>
          </w:tcPr>
          <w:p w14:paraId="3E2AA48F" w14:textId="77777777" w:rsidR="00AD3739" w:rsidRPr="00AD3739" w:rsidRDefault="00AD3739" w:rsidP="00DF497D">
            <w:pPr>
              <w:jc w:val="center"/>
              <w:rPr>
                <w:rFonts w:ascii="Arial Narrow" w:hAnsi="Arial Narrow"/>
                <w:sz w:val="20"/>
              </w:rPr>
            </w:pPr>
            <w:r w:rsidRPr="00AD3739">
              <w:rPr>
                <w:rFonts w:ascii="Arial Narrow" w:hAnsi="Arial Narrow"/>
                <w:sz w:val="20"/>
              </w:rPr>
              <w:t>228</w:t>
            </w:r>
          </w:p>
        </w:tc>
        <w:tc>
          <w:tcPr>
            <w:tcW w:w="992" w:type="dxa"/>
            <w:vAlign w:val="center"/>
          </w:tcPr>
          <w:p w14:paraId="04F7E861" w14:textId="77777777" w:rsidR="00AD3739" w:rsidRPr="00AD3739" w:rsidRDefault="00AD3739" w:rsidP="00DF497D">
            <w:pPr>
              <w:jc w:val="center"/>
              <w:rPr>
                <w:rFonts w:ascii="Arial Narrow" w:hAnsi="Arial Narrow"/>
                <w:sz w:val="20"/>
              </w:rPr>
            </w:pPr>
            <w:r w:rsidRPr="00AD3739">
              <w:rPr>
                <w:rFonts w:ascii="Arial Narrow" w:hAnsi="Arial Narrow"/>
                <w:sz w:val="20"/>
              </w:rPr>
              <w:t>232</w:t>
            </w:r>
          </w:p>
        </w:tc>
      </w:tr>
      <w:tr w:rsidR="00AD3739" w:rsidRPr="00AD3739" w14:paraId="0B8F3C81" w14:textId="77777777" w:rsidTr="00897494">
        <w:tc>
          <w:tcPr>
            <w:tcW w:w="4452" w:type="dxa"/>
          </w:tcPr>
          <w:p w14:paraId="059FBE1C" w14:textId="77777777" w:rsidR="00AD3739" w:rsidRPr="00AD3739" w:rsidRDefault="00AD3739" w:rsidP="00DF497D">
            <w:pPr>
              <w:rPr>
                <w:rFonts w:ascii="Arial Narrow" w:hAnsi="Arial Narrow"/>
                <w:sz w:val="20"/>
              </w:rPr>
            </w:pPr>
            <w:r w:rsidRPr="00AD3739">
              <w:rPr>
                <w:rFonts w:ascii="Arial Narrow" w:hAnsi="Arial Narrow"/>
                <w:sz w:val="20"/>
              </w:rPr>
              <w:t>Proportion opting for CM+BSO</w:t>
            </w:r>
          </w:p>
        </w:tc>
        <w:tc>
          <w:tcPr>
            <w:tcW w:w="992" w:type="dxa"/>
            <w:vAlign w:val="center"/>
          </w:tcPr>
          <w:p w14:paraId="5C4CF89C" w14:textId="77777777" w:rsidR="00AD3739" w:rsidRPr="00AD3739" w:rsidRDefault="00AD3739" w:rsidP="00DF497D">
            <w:pPr>
              <w:jc w:val="center"/>
              <w:rPr>
                <w:rFonts w:ascii="Arial Narrow" w:hAnsi="Arial Narrow"/>
                <w:sz w:val="20"/>
              </w:rPr>
            </w:pPr>
            <w:r w:rsidRPr="00AD3739">
              <w:rPr>
                <w:rFonts w:ascii="Arial Narrow" w:hAnsi="Arial Narrow"/>
                <w:sz w:val="20"/>
              </w:rPr>
              <w:t>40%</w:t>
            </w:r>
          </w:p>
        </w:tc>
        <w:tc>
          <w:tcPr>
            <w:tcW w:w="992" w:type="dxa"/>
            <w:vAlign w:val="center"/>
          </w:tcPr>
          <w:p w14:paraId="0FEA5A9B" w14:textId="77777777" w:rsidR="00AD3739" w:rsidRPr="00AD3739" w:rsidRDefault="00AD3739" w:rsidP="00DF497D">
            <w:pPr>
              <w:jc w:val="center"/>
              <w:rPr>
                <w:rFonts w:ascii="Arial Narrow" w:hAnsi="Arial Narrow"/>
                <w:sz w:val="20"/>
              </w:rPr>
            </w:pPr>
            <w:r w:rsidRPr="00AD3739">
              <w:rPr>
                <w:rFonts w:ascii="Arial Narrow" w:hAnsi="Arial Narrow"/>
                <w:sz w:val="20"/>
              </w:rPr>
              <w:t>40%</w:t>
            </w:r>
          </w:p>
        </w:tc>
        <w:tc>
          <w:tcPr>
            <w:tcW w:w="992" w:type="dxa"/>
            <w:vAlign w:val="center"/>
          </w:tcPr>
          <w:p w14:paraId="2CA2AF4C" w14:textId="77777777" w:rsidR="00AD3739" w:rsidRPr="00AD3739" w:rsidRDefault="00AD3739" w:rsidP="00DF497D">
            <w:pPr>
              <w:jc w:val="center"/>
              <w:rPr>
                <w:rFonts w:ascii="Arial Narrow" w:hAnsi="Arial Narrow"/>
                <w:sz w:val="20"/>
              </w:rPr>
            </w:pPr>
            <w:r w:rsidRPr="00AD3739">
              <w:rPr>
                <w:rFonts w:ascii="Arial Narrow" w:hAnsi="Arial Narrow"/>
                <w:sz w:val="20"/>
              </w:rPr>
              <w:t>40%</w:t>
            </w:r>
          </w:p>
        </w:tc>
        <w:tc>
          <w:tcPr>
            <w:tcW w:w="993" w:type="dxa"/>
            <w:vAlign w:val="center"/>
          </w:tcPr>
          <w:p w14:paraId="782BB8EB" w14:textId="77777777" w:rsidR="00AD3739" w:rsidRPr="00AD3739" w:rsidRDefault="00AD3739" w:rsidP="00DF497D">
            <w:pPr>
              <w:jc w:val="center"/>
              <w:rPr>
                <w:rFonts w:ascii="Arial Narrow" w:hAnsi="Arial Narrow"/>
                <w:sz w:val="20"/>
              </w:rPr>
            </w:pPr>
            <w:r w:rsidRPr="00AD3739">
              <w:rPr>
                <w:rFonts w:ascii="Arial Narrow" w:hAnsi="Arial Narrow"/>
                <w:sz w:val="20"/>
              </w:rPr>
              <w:t>40%</w:t>
            </w:r>
          </w:p>
        </w:tc>
        <w:tc>
          <w:tcPr>
            <w:tcW w:w="992" w:type="dxa"/>
            <w:vAlign w:val="center"/>
          </w:tcPr>
          <w:p w14:paraId="4062060F" w14:textId="77777777" w:rsidR="00AD3739" w:rsidRPr="00AD3739" w:rsidRDefault="00AD3739" w:rsidP="00DF497D">
            <w:pPr>
              <w:jc w:val="center"/>
              <w:rPr>
                <w:rFonts w:ascii="Arial Narrow" w:hAnsi="Arial Narrow"/>
                <w:sz w:val="20"/>
              </w:rPr>
            </w:pPr>
            <w:r w:rsidRPr="00AD3739">
              <w:rPr>
                <w:rFonts w:ascii="Arial Narrow" w:hAnsi="Arial Narrow"/>
                <w:sz w:val="20"/>
              </w:rPr>
              <w:t>40%</w:t>
            </w:r>
          </w:p>
        </w:tc>
      </w:tr>
      <w:tr w:rsidR="00AD3739" w:rsidRPr="00AD3739" w14:paraId="49E5574A" w14:textId="77777777" w:rsidTr="00897494">
        <w:tc>
          <w:tcPr>
            <w:tcW w:w="4452" w:type="dxa"/>
          </w:tcPr>
          <w:p w14:paraId="1110C62E" w14:textId="77777777" w:rsidR="00AD3739" w:rsidRPr="00AD3739" w:rsidRDefault="00AD3739" w:rsidP="00DF497D">
            <w:pPr>
              <w:rPr>
                <w:rFonts w:ascii="Arial Narrow" w:hAnsi="Arial Narrow"/>
                <w:sz w:val="20"/>
              </w:rPr>
            </w:pPr>
            <w:r w:rsidRPr="00AD3739">
              <w:rPr>
                <w:rFonts w:ascii="Arial Narrow" w:hAnsi="Arial Narrow"/>
                <w:sz w:val="20"/>
              </w:rPr>
              <w:t>Number having CM+BSO</w:t>
            </w:r>
          </w:p>
        </w:tc>
        <w:tc>
          <w:tcPr>
            <w:tcW w:w="992" w:type="dxa"/>
            <w:vAlign w:val="center"/>
          </w:tcPr>
          <w:p w14:paraId="4B8F97B8" w14:textId="77777777" w:rsidR="00AD3739" w:rsidRPr="00AD3739" w:rsidRDefault="00AD3739" w:rsidP="00DF497D">
            <w:pPr>
              <w:jc w:val="center"/>
              <w:rPr>
                <w:rFonts w:ascii="Arial Narrow" w:hAnsi="Arial Narrow"/>
                <w:sz w:val="20"/>
              </w:rPr>
            </w:pPr>
            <w:r w:rsidRPr="00AD3739">
              <w:rPr>
                <w:rFonts w:ascii="Arial Narrow" w:hAnsi="Arial Narrow"/>
                <w:color w:val="000000"/>
                <w:sz w:val="20"/>
              </w:rPr>
              <w:t>67</w:t>
            </w:r>
          </w:p>
        </w:tc>
        <w:tc>
          <w:tcPr>
            <w:tcW w:w="992" w:type="dxa"/>
            <w:vAlign w:val="center"/>
          </w:tcPr>
          <w:p w14:paraId="5EBC52D8" w14:textId="77777777" w:rsidR="00AD3739" w:rsidRPr="00AD3739" w:rsidRDefault="00AD3739" w:rsidP="00DF497D">
            <w:pPr>
              <w:jc w:val="center"/>
              <w:rPr>
                <w:rFonts w:ascii="Arial Narrow" w:hAnsi="Arial Narrow"/>
                <w:sz w:val="20"/>
              </w:rPr>
            </w:pPr>
            <w:r w:rsidRPr="00AD3739">
              <w:rPr>
                <w:rFonts w:ascii="Arial Narrow" w:hAnsi="Arial Narrow"/>
                <w:color w:val="000000"/>
                <w:sz w:val="20"/>
              </w:rPr>
              <w:t>68</w:t>
            </w:r>
          </w:p>
        </w:tc>
        <w:tc>
          <w:tcPr>
            <w:tcW w:w="992" w:type="dxa"/>
            <w:vAlign w:val="center"/>
          </w:tcPr>
          <w:p w14:paraId="79C322F9" w14:textId="77777777" w:rsidR="00AD3739" w:rsidRPr="00AD3739" w:rsidRDefault="00AD3739" w:rsidP="00DF497D">
            <w:pPr>
              <w:jc w:val="center"/>
              <w:rPr>
                <w:rFonts w:ascii="Arial Narrow" w:hAnsi="Arial Narrow"/>
                <w:sz w:val="20"/>
              </w:rPr>
            </w:pPr>
            <w:r w:rsidRPr="00AD3739">
              <w:rPr>
                <w:rFonts w:ascii="Arial Narrow" w:hAnsi="Arial Narrow"/>
                <w:color w:val="000000"/>
                <w:sz w:val="20"/>
              </w:rPr>
              <w:t>80</w:t>
            </w:r>
          </w:p>
        </w:tc>
        <w:tc>
          <w:tcPr>
            <w:tcW w:w="993" w:type="dxa"/>
            <w:vAlign w:val="center"/>
          </w:tcPr>
          <w:p w14:paraId="4E21A9FC" w14:textId="77777777" w:rsidR="00AD3739" w:rsidRPr="00AD3739" w:rsidRDefault="00AD3739" w:rsidP="00DF497D">
            <w:pPr>
              <w:jc w:val="center"/>
              <w:rPr>
                <w:rFonts w:ascii="Arial Narrow" w:hAnsi="Arial Narrow"/>
                <w:sz w:val="20"/>
              </w:rPr>
            </w:pPr>
            <w:r w:rsidRPr="00AD3739">
              <w:rPr>
                <w:rFonts w:ascii="Arial Narrow" w:hAnsi="Arial Narrow"/>
                <w:color w:val="000000"/>
                <w:sz w:val="20"/>
              </w:rPr>
              <w:t>91</w:t>
            </w:r>
          </w:p>
        </w:tc>
        <w:tc>
          <w:tcPr>
            <w:tcW w:w="992" w:type="dxa"/>
            <w:vAlign w:val="center"/>
          </w:tcPr>
          <w:p w14:paraId="7C830860" w14:textId="77777777" w:rsidR="00AD3739" w:rsidRPr="00AD3739" w:rsidRDefault="00AD3739" w:rsidP="00DF497D">
            <w:pPr>
              <w:jc w:val="center"/>
              <w:rPr>
                <w:rFonts w:ascii="Arial Narrow" w:hAnsi="Arial Narrow"/>
                <w:sz w:val="20"/>
              </w:rPr>
            </w:pPr>
            <w:r w:rsidRPr="00AD3739">
              <w:rPr>
                <w:rFonts w:ascii="Arial Narrow" w:hAnsi="Arial Narrow"/>
                <w:color w:val="000000"/>
                <w:sz w:val="20"/>
              </w:rPr>
              <w:t>93</w:t>
            </w:r>
          </w:p>
        </w:tc>
      </w:tr>
      <w:tr w:rsidR="00AD3739" w:rsidRPr="00AD3739" w14:paraId="3850CB8F" w14:textId="77777777" w:rsidTr="00897494">
        <w:tc>
          <w:tcPr>
            <w:tcW w:w="4452" w:type="dxa"/>
          </w:tcPr>
          <w:p w14:paraId="7E529B01" w14:textId="77777777" w:rsidR="00AD3739" w:rsidRPr="00AD3739" w:rsidRDefault="00AD3739" w:rsidP="00DF497D">
            <w:pPr>
              <w:rPr>
                <w:rFonts w:ascii="Arial Narrow" w:hAnsi="Arial Narrow"/>
                <w:sz w:val="20"/>
              </w:rPr>
            </w:pPr>
            <w:r w:rsidRPr="00AD3739">
              <w:rPr>
                <w:rFonts w:ascii="Arial Narrow" w:hAnsi="Arial Narrow"/>
                <w:sz w:val="20"/>
              </w:rPr>
              <w:t>Cost of CM+BSO ($17,008</w:t>
            </w:r>
            <w:r w:rsidRPr="00AD3739">
              <w:rPr>
                <w:rFonts w:ascii="Arial Narrow" w:hAnsi="Arial Narrow"/>
                <w:sz w:val="20"/>
                <w:vertAlign w:val="superscript"/>
              </w:rPr>
              <w:t>a</w:t>
            </w:r>
            <w:r w:rsidRPr="00AD3739">
              <w:rPr>
                <w:rFonts w:ascii="Arial Narrow" w:hAnsi="Arial Narrow"/>
                <w:sz w:val="20"/>
              </w:rPr>
              <w:t>)</w:t>
            </w:r>
          </w:p>
        </w:tc>
        <w:tc>
          <w:tcPr>
            <w:tcW w:w="992" w:type="dxa"/>
            <w:vAlign w:val="center"/>
          </w:tcPr>
          <w:p w14:paraId="42116F7F" w14:textId="77777777" w:rsidR="00AD3739" w:rsidRPr="00AD3739" w:rsidRDefault="00AD3739" w:rsidP="00DF497D">
            <w:pPr>
              <w:jc w:val="right"/>
              <w:rPr>
                <w:rFonts w:ascii="Arial Narrow" w:hAnsi="Arial Narrow"/>
                <w:sz w:val="20"/>
              </w:rPr>
            </w:pPr>
            <w:r w:rsidRPr="00AD3739">
              <w:rPr>
                <w:rFonts w:ascii="Arial Narrow" w:hAnsi="Arial Narrow"/>
                <w:sz w:val="20"/>
              </w:rPr>
              <w:t>$1,137,937</w:t>
            </w:r>
          </w:p>
        </w:tc>
        <w:tc>
          <w:tcPr>
            <w:tcW w:w="992" w:type="dxa"/>
            <w:vAlign w:val="center"/>
          </w:tcPr>
          <w:p w14:paraId="31EF37F9" w14:textId="77777777" w:rsidR="00AD3739" w:rsidRPr="00AD3739" w:rsidRDefault="00AD3739" w:rsidP="00DF497D">
            <w:pPr>
              <w:jc w:val="right"/>
              <w:rPr>
                <w:rFonts w:ascii="Arial Narrow" w:hAnsi="Arial Narrow"/>
                <w:sz w:val="20"/>
              </w:rPr>
            </w:pPr>
            <w:r w:rsidRPr="00AD3739">
              <w:rPr>
                <w:rFonts w:ascii="Arial Narrow" w:hAnsi="Arial Narrow"/>
                <w:sz w:val="20"/>
              </w:rPr>
              <w:t>$1,160,796</w:t>
            </w:r>
          </w:p>
        </w:tc>
        <w:tc>
          <w:tcPr>
            <w:tcW w:w="992" w:type="dxa"/>
            <w:vAlign w:val="center"/>
          </w:tcPr>
          <w:p w14:paraId="41432752" w14:textId="77777777" w:rsidR="00AD3739" w:rsidRPr="00AD3739" w:rsidRDefault="00AD3739" w:rsidP="00DF497D">
            <w:pPr>
              <w:jc w:val="right"/>
              <w:rPr>
                <w:rFonts w:ascii="Arial Narrow" w:hAnsi="Arial Narrow"/>
                <w:sz w:val="20"/>
              </w:rPr>
            </w:pPr>
            <w:r w:rsidRPr="00AD3739">
              <w:rPr>
                <w:rFonts w:ascii="Arial Narrow" w:hAnsi="Arial Narrow"/>
                <w:sz w:val="20"/>
              </w:rPr>
              <w:t>$1,352,748</w:t>
            </w:r>
          </w:p>
        </w:tc>
        <w:tc>
          <w:tcPr>
            <w:tcW w:w="993" w:type="dxa"/>
            <w:vAlign w:val="center"/>
          </w:tcPr>
          <w:p w14:paraId="484842CA" w14:textId="77777777" w:rsidR="00AD3739" w:rsidRPr="00AD3739" w:rsidRDefault="00AD3739" w:rsidP="00DF497D">
            <w:pPr>
              <w:jc w:val="right"/>
              <w:rPr>
                <w:rFonts w:ascii="Arial Narrow" w:hAnsi="Arial Narrow"/>
                <w:sz w:val="20"/>
              </w:rPr>
            </w:pPr>
            <w:r w:rsidRPr="00AD3739">
              <w:rPr>
                <w:rFonts w:ascii="Arial Narrow" w:hAnsi="Arial Narrow"/>
                <w:sz w:val="20"/>
              </w:rPr>
              <w:t>$1,551,232</w:t>
            </w:r>
          </w:p>
        </w:tc>
        <w:tc>
          <w:tcPr>
            <w:tcW w:w="992" w:type="dxa"/>
            <w:vAlign w:val="center"/>
          </w:tcPr>
          <w:p w14:paraId="17371C99" w14:textId="77777777" w:rsidR="00AD3739" w:rsidRPr="00AD3739" w:rsidRDefault="00AD3739" w:rsidP="00DF497D">
            <w:pPr>
              <w:jc w:val="right"/>
              <w:rPr>
                <w:rFonts w:ascii="Arial Narrow" w:hAnsi="Arial Narrow"/>
                <w:sz w:val="20"/>
              </w:rPr>
            </w:pPr>
            <w:r w:rsidRPr="00AD3739">
              <w:rPr>
                <w:rFonts w:ascii="Arial Narrow" w:hAnsi="Arial Narrow"/>
                <w:sz w:val="20"/>
              </w:rPr>
              <w:t>$1,580,621</w:t>
            </w:r>
          </w:p>
        </w:tc>
      </w:tr>
      <w:tr w:rsidR="00AD3739" w:rsidRPr="00AD3739" w14:paraId="791F1E2C" w14:textId="77777777" w:rsidTr="00897494">
        <w:tc>
          <w:tcPr>
            <w:tcW w:w="4452" w:type="dxa"/>
          </w:tcPr>
          <w:p w14:paraId="0E9E0CB6" w14:textId="77777777" w:rsidR="00AD3739" w:rsidRPr="00AD3739" w:rsidRDefault="00AD3739" w:rsidP="00DF497D">
            <w:pPr>
              <w:rPr>
                <w:rFonts w:ascii="Arial Narrow" w:hAnsi="Arial Narrow"/>
                <w:sz w:val="20"/>
              </w:rPr>
            </w:pPr>
            <w:r w:rsidRPr="00AD3739">
              <w:rPr>
                <w:rFonts w:ascii="Arial Narrow" w:hAnsi="Arial Narrow"/>
                <w:sz w:val="20"/>
              </w:rPr>
              <w:t>Proportion opting for BSO</w:t>
            </w:r>
          </w:p>
        </w:tc>
        <w:tc>
          <w:tcPr>
            <w:tcW w:w="992" w:type="dxa"/>
            <w:vAlign w:val="center"/>
          </w:tcPr>
          <w:p w14:paraId="605A5AD6" w14:textId="77777777" w:rsidR="00AD3739" w:rsidRPr="00AD3739" w:rsidRDefault="00AD3739" w:rsidP="00DF497D">
            <w:pPr>
              <w:jc w:val="center"/>
              <w:rPr>
                <w:rFonts w:ascii="Arial Narrow" w:hAnsi="Arial Narrow"/>
                <w:sz w:val="20"/>
              </w:rPr>
            </w:pPr>
            <w:r w:rsidRPr="00AD3739">
              <w:rPr>
                <w:rFonts w:ascii="Arial Narrow" w:hAnsi="Arial Narrow"/>
                <w:sz w:val="20"/>
              </w:rPr>
              <w:t>40%</w:t>
            </w:r>
          </w:p>
        </w:tc>
        <w:tc>
          <w:tcPr>
            <w:tcW w:w="992" w:type="dxa"/>
            <w:vAlign w:val="center"/>
          </w:tcPr>
          <w:p w14:paraId="055BB0D7" w14:textId="77777777" w:rsidR="00AD3739" w:rsidRPr="00AD3739" w:rsidRDefault="00AD3739" w:rsidP="00DF497D">
            <w:pPr>
              <w:jc w:val="center"/>
              <w:rPr>
                <w:rFonts w:ascii="Arial Narrow" w:hAnsi="Arial Narrow"/>
                <w:sz w:val="20"/>
              </w:rPr>
            </w:pPr>
            <w:r w:rsidRPr="00AD3739">
              <w:rPr>
                <w:rFonts w:ascii="Arial Narrow" w:hAnsi="Arial Narrow"/>
                <w:sz w:val="20"/>
              </w:rPr>
              <w:t>40%</w:t>
            </w:r>
          </w:p>
        </w:tc>
        <w:tc>
          <w:tcPr>
            <w:tcW w:w="992" w:type="dxa"/>
            <w:vAlign w:val="center"/>
          </w:tcPr>
          <w:p w14:paraId="299BED91" w14:textId="77777777" w:rsidR="00AD3739" w:rsidRPr="00AD3739" w:rsidRDefault="00AD3739" w:rsidP="00DF497D">
            <w:pPr>
              <w:jc w:val="center"/>
              <w:rPr>
                <w:rFonts w:ascii="Arial Narrow" w:hAnsi="Arial Narrow"/>
                <w:sz w:val="20"/>
              </w:rPr>
            </w:pPr>
            <w:r w:rsidRPr="00AD3739">
              <w:rPr>
                <w:rFonts w:ascii="Arial Narrow" w:hAnsi="Arial Narrow"/>
                <w:sz w:val="20"/>
              </w:rPr>
              <w:t>40%</w:t>
            </w:r>
          </w:p>
        </w:tc>
        <w:tc>
          <w:tcPr>
            <w:tcW w:w="993" w:type="dxa"/>
            <w:vAlign w:val="center"/>
          </w:tcPr>
          <w:p w14:paraId="5DF595C3" w14:textId="77777777" w:rsidR="00AD3739" w:rsidRPr="00AD3739" w:rsidRDefault="00AD3739" w:rsidP="00DF497D">
            <w:pPr>
              <w:jc w:val="center"/>
              <w:rPr>
                <w:rFonts w:ascii="Arial Narrow" w:hAnsi="Arial Narrow"/>
                <w:sz w:val="20"/>
              </w:rPr>
            </w:pPr>
            <w:r w:rsidRPr="00AD3739">
              <w:rPr>
                <w:rFonts w:ascii="Arial Narrow" w:hAnsi="Arial Narrow"/>
                <w:sz w:val="20"/>
              </w:rPr>
              <w:t>40%</w:t>
            </w:r>
          </w:p>
        </w:tc>
        <w:tc>
          <w:tcPr>
            <w:tcW w:w="992" w:type="dxa"/>
            <w:vAlign w:val="center"/>
          </w:tcPr>
          <w:p w14:paraId="317F3B9F" w14:textId="77777777" w:rsidR="00AD3739" w:rsidRPr="00AD3739" w:rsidRDefault="00AD3739" w:rsidP="00DF497D">
            <w:pPr>
              <w:jc w:val="center"/>
              <w:rPr>
                <w:rFonts w:ascii="Arial Narrow" w:hAnsi="Arial Narrow"/>
                <w:sz w:val="20"/>
              </w:rPr>
            </w:pPr>
            <w:r w:rsidRPr="00AD3739">
              <w:rPr>
                <w:rFonts w:ascii="Arial Narrow" w:hAnsi="Arial Narrow"/>
                <w:sz w:val="20"/>
              </w:rPr>
              <w:t>40%</w:t>
            </w:r>
          </w:p>
        </w:tc>
      </w:tr>
      <w:tr w:rsidR="00AD3739" w:rsidRPr="00AD3739" w14:paraId="4B007E54" w14:textId="77777777" w:rsidTr="00897494">
        <w:tc>
          <w:tcPr>
            <w:tcW w:w="4452" w:type="dxa"/>
          </w:tcPr>
          <w:p w14:paraId="39D56EE7" w14:textId="77777777" w:rsidR="00AD3739" w:rsidRPr="00AD3739" w:rsidRDefault="00AD3739" w:rsidP="00DF497D">
            <w:pPr>
              <w:rPr>
                <w:rFonts w:ascii="Arial Narrow" w:hAnsi="Arial Narrow"/>
                <w:sz w:val="20"/>
              </w:rPr>
            </w:pPr>
            <w:r w:rsidRPr="00AD3739">
              <w:rPr>
                <w:rFonts w:ascii="Arial Narrow" w:hAnsi="Arial Narrow"/>
                <w:sz w:val="20"/>
              </w:rPr>
              <w:t>Number having BSO</w:t>
            </w:r>
          </w:p>
        </w:tc>
        <w:tc>
          <w:tcPr>
            <w:tcW w:w="992" w:type="dxa"/>
            <w:vAlign w:val="center"/>
          </w:tcPr>
          <w:p w14:paraId="4C0C6391" w14:textId="77777777" w:rsidR="00AD3739" w:rsidRPr="00AD3739" w:rsidRDefault="00AD3739" w:rsidP="00DF497D">
            <w:pPr>
              <w:jc w:val="center"/>
              <w:rPr>
                <w:rFonts w:ascii="Arial Narrow" w:hAnsi="Arial Narrow"/>
                <w:sz w:val="20"/>
              </w:rPr>
            </w:pPr>
            <w:r w:rsidRPr="00AD3739">
              <w:rPr>
                <w:rFonts w:ascii="Arial Narrow" w:hAnsi="Arial Narrow"/>
                <w:color w:val="000000"/>
                <w:sz w:val="20"/>
              </w:rPr>
              <w:t>67</w:t>
            </w:r>
          </w:p>
        </w:tc>
        <w:tc>
          <w:tcPr>
            <w:tcW w:w="992" w:type="dxa"/>
            <w:vAlign w:val="center"/>
          </w:tcPr>
          <w:p w14:paraId="12548EBD" w14:textId="77777777" w:rsidR="00AD3739" w:rsidRPr="00AD3739" w:rsidRDefault="00AD3739" w:rsidP="00DF497D">
            <w:pPr>
              <w:jc w:val="center"/>
              <w:rPr>
                <w:rFonts w:ascii="Arial Narrow" w:hAnsi="Arial Narrow"/>
                <w:sz w:val="20"/>
              </w:rPr>
            </w:pPr>
            <w:r w:rsidRPr="00AD3739">
              <w:rPr>
                <w:rFonts w:ascii="Arial Narrow" w:hAnsi="Arial Narrow"/>
                <w:color w:val="000000"/>
                <w:sz w:val="20"/>
              </w:rPr>
              <w:t>68</w:t>
            </w:r>
          </w:p>
        </w:tc>
        <w:tc>
          <w:tcPr>
            <w:tcW w:w="992" w:type="dxa"/>
            <w:vAlign w:val="center"/>
          </w:tcPr>
          <w:p w14:paraId="50F4B310" w14:textId="77777777" w:rsidR="00AD3739" w:rsidRPr="00AD3739" w:rsidRDefault="00AD3739" w:rsidP="00DF497D">
            <w:pPr>
              <w:jc w:val="center"/>
              <w:rPr>
                <w:rFonts w:ascii="Arial Narrow" w:hAnsi="Arial Narrow"/>
                <w:sz w:val="20"/>
              </w:rPr>
            </w:pPr>
            <w:r w:rsidRPr="00AD3739">
              <w:rPr>
                <w:rFonts w:ascii="Arial Narrow" w:hAnsi="Arial Narrow"/>
                <w:color w:val="000000"/>
                <w:sz w:val="20"/>
              </w:rPr>
              <w:t>80</w:t>
            </w:r>
          </w:p>
        </w:tc>
        <w:tc>
          <w:tcPr>
            <w:tcW w:w="993" w:type="dxa"/>
            <w:vAlign w:val="center"/>
          </w:tcPr>
          <w:p w14:paraId="568654D0" w14:textId="77777777" w:rsidR="00AD3739" w:rsidRPr="00AD3739" w:rsidRDefault="00AD3739" w:rsidP="00DF497D">
            <w:pPr>
              <w:jc w:val="center"/>
              <w:rPr>
                <w:rFonts w:ascii="Arial Narrow" w:hAnsi="Arial Narrow"/>
                <w:sz w:val="20"/>
              </w:rPr>
            </w:pPr>
            <w:r w:rsidRPr="00AD3739">
              <w:rPr>
                <w:rFonts w:ascii="Arial Narrow" w:hAnsi="Arial Narrow"/>
                <w:color w:val="000000"/>
                <w:sz w:val="20"/>
              </w:rPr>
              <w:t>91</w:t>
            </w:r>
          </w:p>
        </w:tc>
        <w:tc>
          <w:tcPr>
            <w:tcW w:w="992" w:type="dxa"/>
            <w:vAlign w:val="center"/>
          </w:tcPr>
          <w:p w14:paraId="7A708DE5" w14:textId="77777777" w:rsidR="00AD3739" w:rsidRPr="00AD3739" w:rsidRDefault="00AD3739" w:rsidP="00DF497D">
            <w:pPr>
              <w:jc w:val="center"/>
              <w:rPr>
                <w:rFonts w:ascii="Arial Narrow" w:hAnsi="Arial Narrow"/>
                <w:sz w:val="20"/>
              </w:rPr>
            </w:pPr>
            <w:r w:rsidRPr="00AD3739">
              <w:rPr>
                <w:rFonts w:ascii="Arial Narrow" w:hAnsi="Arial Narrow"/>
                <w:color w:val="000000"/>
                <w:sz w:val="20"/>
              </w:rPr>
              <w:t>93</w:t>
            </w:r>
          </w:p>
        </w:tc>
      </w:tr>
      <w:tr w:rsidR="00AD3739" w:rsidRPr="00AD3739" w14:paraId="5D0C7152" w14:textId="77777777" w:rsidTr="00897494">
        <w:tc>
          <w:tcPr>
            <w:tcW w:w="4452" w:type="dxa"/>
          </w:tcPr>
          <w:p w14:paraId="6CFB4B55" w14:textId="77777777" w:rsidR="00AD3739" w:rsidRPr="00AD3739" w:rsidRDefault="00AD3739" w:rsidP="00DF497D">
            <w:pPr>
              <w:rPr>
                <w:rFonts w:ascii="Arial Narrow" w:hAnsi="Arial Narrow"/>
                <w:sz w:val="20"/>
              </w:rPr>
            </w:pPr>
            <w:r w:rsidRPr="00AD3739">
              <w:rPr>
                <w:rFonts w:ascii="Arial Narrow" w:hAnsi="Arial Narrow"/>
                <w:sz w:val="20"/>
              </w:rPr>
              <w:t>Cost of BSO ($8,621</w:t>
            </w:r>
            <w:r w:rsidRPr="00AD3739">
              <w:rPr>
                <w:rFonts w:ascii="Arial Narrow" w:hAnsi="Arial Narrow"/>
                <w:sz w:val="20"/>
                <w:vertAlign w:val="superscript"/>
              </w:rPr>
              <w:t>b</w:t>
            </w:r>
            <w:r w:rsidRPr="00AD3739">
              <w:rPr>
                <w:rFonts w:ascii="Arial Narrow" w:hAnsi="Arial Narrow"/>
                <w:sz w:val="20"/>
              </w:rPr>
              <w:t>)</w:t>
            </w:r>
          </w:p>
        </w:tc>
        <w:tc>
          <w:tcPr>
            <w:tcW w:w="992" w:type="dxa"/>
            <w:vAlign w:val="center"/>
          </w:tcPr>
          <w:p w14:paraId="7F85EE84" w14:textId="77777777" w:rsidR="00AD3739" w:rsidRPr="00AD3739" w:rsidRDefault="00AD3739" w:rsidP="00DF497D">
            <w:pPr>
              <w:jc w:val="right"/>
              <w:rPr>
                <w:rFonts w:ascii="Arial Narrow" w:hAnsi="Arial Narrow"/>
                <w:sz w:val="20"/>
              </w:rPr>
            </w:pPr>
            <w:r w:rsidRPr="00AD3739">
              <w:rPr>
                <w:rFonts w:ascii="Arial Narrow" w:hAnsi="Arial Narrow"/>
                <w:sz w:val="20"/>
              </w:rPr>
              <w:t>$576,797</w:t>
            </w:r>
          </w:p>
        </w:tc>
        <w:tc>
          <w:tcPr>
            <w:tcW w:w="992" w:type="dxa"/>
            <w:vAlign w:val="center"/>
          </w:tcPr>
          <w:p w14:paraId="501C3ADC" w14:textId="77777777" w:rsidR="00AD3739" w:rsidRPr="00AD3739" w:rsidRDefault="00AD3739" w:rsidP="00DF497D">
            <w:pPr>
              <w:jc w:val="right"/>
              <w:rPr>
                <w:rFonts w:ascii="Arial Narrow" w:hAnsi="Arial Narrow"/>
                <w:sz w:val="20"/>
              </w:rPr>
            </w:pPr>
            <w:r w:rsidRPr="00AD3739">
              <w:rPr>
                <w:rFonts w:ascii="Arial Narrow" w:hAnsi="Arial Narrow"/>
                <w:sz w:val="20"/>
              </w:rPr>
              <w:t>$588,383</w:t>
            </w:r>
          </w:p>
        </w:tc>
        <w:tc>
          <w:tcPr>
            <w:tcW w:w="992" w:type="dxa"/>
            <w:vAlign w:val="center"/>
          </w:tcPr>
          <w:p w14:paraId="660ADBF7" w14:textId="77777777" w:rsidR="00AD3739" w:rsidRPr="00AD3739" w:rsidRDefault="00AD3739" w:rsidP="00DF497D">
            <w:pPr>
              <w:jc w:val="right"/>
              <w:rPr>
                <w:rFonts w:ascii="Arial Narrow" w:hAnsi="Arial Narrow"/>
                <w:sz w:val="20"/>
              </w:rPr>
            </w:pPr>
            <w:r w:rsidRPr="00AD3739">
              <w:rPr>
                <w:rFonts w:ascii="Arial Narrow" w:hAnsi="Arial Narrow"/>
                <w:sz w:val="20"/>
              </w:rPr>
              <w:t>$685,680</w:t>
            </w:r>
          </w:p>
        </w:tc>
        <w:tc>
          <w:tcPr>
            <w:tcW w:w="993" w:type="dxa"/>
            <w:vAlign w:val="center"/>
          </w:tcPr>
          <w:p w14:paraId="49A58EF6" w14:textId="77777777" w:rsidR="00AD3739" w:rsidRPr="00AD3739" w:rsidRDefault="00AD3739" w:rsidP="00DF497D">
            <w:pPr>
              <w:jc w:val="right"/>
              <w:rPr>
                <w:rFonts w:ascii="Arial Narrow" w:hAnsi="Arial Narrow"/>
                <w:sz w:val="20"/>
              </w:rPr>
            </w:pPr>
            <w:r w:rsidRPr="00AD3739">
              <w:rPr>
                <w:rFonts w:ascii="Arial Narrow" w:hAnsi="Arial Narrow"/>
                <w:sz w:val="20"/>
              </w:rPr>
              <w:t>$786,287</w:t>
            </w:r>
          </w:p>
        </w:tc>
        <w:tc>
          <w:tcPr>
            <w:tcW w:w="992" w:type="dxa"/>
            <w:vAlign w:val="center"/>
          </w:tcPr>
          <w:p w14:paraId="6F6A5359" w14:textId="77777777" w:rsidR="00AD3739" w:rsidRPr="00AD3739" w:rsidRDefault="00AD3739" w:rsidP="00DF497D">
            <w:pPr>
              <w:jc w:val="right"/>
              <w:rPr>
                <w:rFonts w:ascii="Arial Narrow" w:hAnsi="Arial Narrow"/>
                <w:sz w:val="20"/>
              </w:rPr>
            </w:pPr>
            <w:r w:rsidRPr="00AD3739">
              <w:rPr>
                <w:rFonts w:ascii="Arial Narrow" w:hAnsi="Arial Narrow"/>
                <w:sz w:val="20"/>
              </w:rPr>
              <w:t>$801,184</w:t>
            </w:r>
          </w:p>
        </w:tc>
      </w:tr>
      <w:tr w:rsidR="00AD3739" w:rsidRPr="00AD3739" w14:paraId="4138A62E" w14:textId="77777777" w:rsidTr="00897494">
        <w:tc>
          <w:tcPr>
            <w:tcW w:w="4452" w:type="dxa"/>
            <w:shd w:val="clear" w:color="auto" w:fill="auto"/>
            <w:vAlign w:val="center"/>
          </w:tcPr>
          <w:p w14:paraId="41643786" w14:textId="77777777" w:rsidR="00AD3739" w:rsidRPr="00AD3739" w:rsidRDefault="00AD3739" w:rsidP="00DF497D">
            <w:pPr>
              <w:rPr>
                <w:rFonts w:ascii="Arial Narrow" w:hAnsi="Arial Narrow"/>
                <w:sz w:val="20"/>
              </w:rPr>
            </w:pPr>
            <w:r w:rsidRPr="00AD3739">
              <w:rPr>
                <w:rFonts w:ascii="Arial Narrow" w:hAnsi="Arial Narrow"/>
                <w:sz w:val="20"/>
              </w:rPr>
              <w:t>Total cost for surgery</w:t>
            </w:r>
          </w:p>
        </w:tc>
        <w:tc>
          <w:tcPr>
            <w:tcW w:w="992" w:type="dxa"/>
            <w:shd w:val="clear" w:color="auto" w:fill="auto"/>
          </w:tcPr>
          <w:p w14:paraId="3CB2D643" w14:textId="77777777" w:rsidR="00AD3739" w:rsidRPr="00AD3739" w:rsidRDefault="00AD3739" w:rsidP="00E71C9F">
            <w:pPr>
              <w:jc w:val="right"/>
              <w:rPr>
                <w:rFonts w:ascii="Arial Narrow" w:hAnsi="Arial Narrow"/>
                <w:sz w:val="20"/>
              </w:rPr>
            </w:pPr>
            <w:r w:rsidRPr="00AD3739">
              <w:rPr>
                <w:rFonts w:ascii="Arial Narrow" w:hAnsi="Arial Narrow"/>
                <w:sz w:val="20"/>
              </w:rPr>
              <w:t>$1,714,734</w:t>
            </w:r>
          </w:p>
        </w:tc>
        <w:tc>
          <w:tcPr>
            <w:tcW w:w="992" w:type="dxa"/>
            <w:shd w:val="clear" w:color="auto" w:fill="auto"/>
          </w:tcPr>
          <w:p w14:paraId="33D2A63A" w14:textId="77777777" w:rsidR="00AD3739" w:rsidRPr="00AD3739" w:rsidRDefault="00AD3739" w:rsidP="00E71C9F">
            <w:pPr>
              <w:jc w:val="right"/>
              <w:rPr>
                <w:rFonts w:ascii="Arial Narrow" w:hAnsi="Arial Narrow"/>
                <w:sz w:val="20"/>
              </w:rPr>
            </w:pPr>
            <w:r w:rsidRPr="00AD3739">
              <w:rPr>
                <w:rFonts w:ascii="Arial Narrow" w:hAnsi="Arial Narrow"/>
                <w:sz w:val="20"/>
              </w:rPr>
              <w:t>$1,749,179</w:t>
            </w:r>
          </w:p>
        </w:tc>
        <w:tc>
          <w:tcPr>
            <w:tcW w:w="992" w:type="dxa"/>
            <w:shd w:val="clear" w:color="auto" w:fill="auto"/>
          </w:tcPr>
          <w:p w14:paraId="333FC966" w14:textId="77777777" w:rsidR="00AD3739" w:rsidRPr="00AD3739" w:rsidRDefault="00AD3739" w:rsidP="00E71C9F">
            <w:pPr>
              <w:jc w:val="right"/>
              <w:rPr>
                <w:rFonts w:ascii="Arial Narrow" w:hAnsi="Arial Narrow"/>
                <w:sz w:val="20"/>
              </w:rPr>
            </w:pPr>
            <w:r w:rsidRPr="00AD3739">
              <w:rPr>
                <w:rFonts w:ascii="Arial Narrow" w:hAnsi="Arial Narrow"/>
                <w:sz w:val="20"/>
              </w:rPr>
              <w:t>$2,038,428</w:t>
            </w:r>
          </w:p>
        </w:tc>
        <w:tc>
          <w:tcPr>
            <w:tcW w:w="993" w:type="dxa"/>
            <w:shd w:val="clear" w:color="auto" w:fill="auto"/>
          </w:tcPr>
          <w:p w14:paraId="311E2F17" w14:textId="77777777" w:rsidR="00AD3739" w:rsidRPr="00AD3739" w:rsidRDefault="00AD3739" w:rsidP="00E71C9F">
            <w:pPr>
              <w:jc w:val="right"/>
              <w:rPr>
                <w:rFonts w:ascii="Arial Narrow" w:hAnsi="Arial Narrow"/>
                <w:sz w:val="20"/>
              </w:rPr>
            </w:pPr>
            <w:r w:rsidRPr="00AD3739">
              <w:rPr>
                <w:rFonts w:ascii="Arial Narrow" w:hAnsi="Arial Narrow"/>
                <w:sz w:val="20"/>
              </w:rPr>
              <w:t>$2,337,519</w:t>
            </w:r>
          </w:p>
        </w:tc>
        <w:tc>
          <w:tcPr>
            <w:tcW w:w="992" w:type="dxa"/>
            <w:shd w:val="clear" w:color="auto" w:fill="auto"/>
          </w:tcPr>
          <w:p w14:paraId="6E014172" w14:textId="77777777" w:rsidR="00AD3739" w:rsidRPr="00AD3739" w:rsidRDefault="00AD3739" w:rsidP="00E71C9F">
            <w:pPr>
              <w:jc w:val="right"/>
              <w:rPr>
                <w:rFonts w:ascii="Arial Narrow" w:hAnsi="Arial Narrow"/>
                <w:sz w:val="20"/>
              </w:rPr>
            </w:pPr>
            <w:r w:rsidRPr="00AD3739">
              <w:rPr>
                <w:rFonts w:ascii="Arial Narrow" w:hAnsi="Arial Narrow"/>
                <w:sz w:val="20"/>
              </w:rPr>
              <w:t>$2,381,805</w:t>
            </w:r>
          </w:p>
        </w:tc>
      </w:tr>
    </w:tbl>
    <w:p w14:paraId="354BFE9D" w14:textId="77777777" w:rsidR="00AD3739" w:rsidRDefault="00AD3739" w:rsidP="00AD3739"/>
    <w:p w14:paraId="3F73A6F3" w14:textId="77777777" w:rsidR="00AD3739" w:rsidRPr="00AD3739" w:rsidRDefault="00AD3739" w:rsidP="00AD3739">
      <w:pPr>
        <w:rPr>
          <w:rFonts w:ascii="Arial Narrow" w:eastAsiaTheme="minorHAnsi" w:hAnsi="Arial Narrow" w:cstheme="minorBidi"/>
          <w:b/>
          <w:iCs/>
          <w:sz w:val="20"/>
          <w:szCs w:val="18"/>
          <w:lang w:eastAsia="en-US"/>
        </w:rPr>
      </w:pPr>
      <w:r w:rsidRPr="00AD3739">
        <w:rPr>
          <w:rFonts w:ascii="Arial Narrow" w:eastAsiaTheme="minorHAnsi" w:hAnsi="Arial Narrow" w:cstheme="minorBidi"/>
          <w:b/>
          <w:iCs/>
          <w:sz w:val="20"/>
          <w:szCs w:val="18"/>
          <w:lang w:eastAsia="en-US"/>
        </w:rPr>
        <w:t>Table</w:t>
      </w:r>
      <w:r w:rsidR="00897494">
        <w:rPr>
          <w:rFonts w:ascii="Arial Narrow" w:eastAsiaTheme="minorHAnsi" w:hAnsi="Arial Narrow" w:cstheme="minorBidi"/>
          <w:b/>
          <w:iCs/>
          <w:sz w:val="20"/>
          <w:szCs w:val="18"/>
          <w:lang w:eastAsia="en-US"/>
        </w:rPr>
        <w:t xml:space="preserve"> 14</w:t>
      </w:r>
      <w:r w:rsidRPr="00AD3739">
        <w:rPr>
          <w:rFonts w:ascii="Arial Narrow" w:eastAsiaTheme="minorHAnsi" w:hAnsi="Arial Narrow" w:cstheme="minorBidi"/>
          <w:b/>
          <w:iCs/>
          <w:sz w:val="20"/>
          <w:szCs w:val="18"/>
          <w:lang w:eastAsia="en-US"/>
        </w:rPr>
        <w:t xml:space="preserve">: Estimated number of surgeries among family members of the </w:t>
      </w:r>
      <w:proofErr w:type="spellStart"/>
      <w:r w:rsidRPr="00AD3739">
        <w:rPr>
          <w:rFonts w:ascii="Arial Narrow" w:eastAsiaTheme="minorHAnsi" w:hAnsi="Arial Narrow" w:cstheme="minorBidi"/>
          <w:b/>
          <w:iCs/>
          <w:sz w:val="20"/>
          <w:szCs w:val="18"/>
          <w:lang w:eastAsia="en-US"/>
        </w:rPr>
        <w:t>Proband</w:t>
      </w:r>
      <w:proofErr w:type="spellEnd"/>
      <w:r w:rsidRPr="00AD3739">
        <w:rPr>
          <w:rFonts w:ascii="Arial Narrow" w:eastAsiaTheme="minorHAnsi" w:hAnsi="Arial Narrow" w:cstheme="minorBidi"/>
          <w:b/>
          <w:iCs/>
          <w:sz w:val="20"/>
          <w:szCs w:val="18"/>
          <w:lang w:eastAsia="en-US"/>
        </w:rPr>
        <w:t xml:space="preserve"> determined to be positive for </w:t>
      </w:r>
      <w:r w:rsidRPr="00A8248C">
        <w:rPr>
          <w:rFonts w:ascii="Arial Narrow" w:eastAsiaTheme="minorHAnsi" w:hAnsi="Arial Narrow" w:cstheme="minorBidi"/>
          <w:b/>
          <w:i/>
          <w:iCs/>
          <w:sz w:val="20"/>
          <w:szCs w:val="18"/>
          <w:lang w:eastAsia="en-US"/>
        </w:rPr>
        <w:t>BRCA1</w:t>
      </w:r>
      <w:r w:rsidRPr="00AD3739">
        <w:rPr>
          <w:rFonts w:ascii="Arial Narrow" w:eastAsiaTheme="minorHAnsi" w:hAnsi="Arial Narrow" w:cstheme="minorBidi"/>
          <w:b/>
          <w:iCs/>
          <w:sz w:val="20"/>
          <w:szCs w:val="18"/>
          <w:lang w:eastAsia="en-US"/>
        </w:rPr>
        <w:t xml:space="preserve"> or </w:t>
      </w:r>
      <w:r w:rsidR="00A8248C" w:rsidRPr="00A8248C">
        <w:rPr>
          <w:rFonts w:ascii="Arial Narrow" w:eastAsiaTheme="minorHAnsi" w:hAnsi="Arial Narrow" w:cstheme="minorBidi"/>
          <w:b/>
          <w:i/>
          <w:iCs/>
          <w:sz w:val="20"/>
          <w:szCs w:val="18"/>
          <w:lang w:eastAsia="en-US"/>
        </w:rPr>
        <w:t>BRCA</w:t>
      </w:r>
      <w:r w:rsidRPr="00A8248C">
        <w:rPr>
          <w:rFonts w:ascii="Arial Narrow" w:eastAsiaTheme="minorHAnsi" w:hAnsi="Arial Narrow" w:cstheme="minorBidi"/>
          <w:b/>
          <w:i/>
          <w:iCs/>
          <w:sz w:val="20"/>
          <w:szCs w:val="18"/>
          <w:lang w:eastAsia="en-US"/>
        </w:rPr>
        <w:t>2</w:t>
      </w:r>
      <w:r w:rsidRPr="00AD3739">
        <w:rPr>
          <w:rFonts w:ascii="Arial Narrow" w:eastAsiaTheme="minorHAnsi" w:hAnsi="Arial Narrow" w:cstheme="minorBidi"/>
          <w:b/>
          <w:iCs/>
          <w:sz w:val="20"/>
          <w:szCs w:val="18"/>
          <w:lang w:eastAsia="en-US"/>
        </w:rPr>
        <w:t xml:space="preserve"> mutations</w:t>
      </w:r>
    </w:p>
    <w:tbl>
      <w:tblPr>
        <w:tblStyle w:val="TableGrid"/>
        <w:tblW w:w="9413" w:type="dxa"/>
        <w:tblLayout w:type="fixed"/>
        <w:tblCellMar>
          <w:left w:w="57" w:type="dxa"/>
          <w:right w:w="57" w:type="dxa"/>
        </w:tblCellMar>
        <w:tblLook w:val="04A0" w:firstRow="1" w:lastRow="0" w:firstColumn="1" w:lastColumn="0" w:noHBand="0" w:noVBand="1"/>
        <w:tblCaption w:val="Table 14: Estimated number of surgeries among family members of the Proband determined to be positive for BRCA1 or BRCA2 mutations"/>
      </w:tblPr>
      <w:tblGrid>
        <w:gridCol w:w="4452"/>
        <w:gridCol w:w="992"/>
        <w:gridCol w:w="992"/>
        <w:gridCol w:w="992"/>
        <w:gridCol w:w="993"/>
        <w:gridCol w:w="992"/>
      </w:tblGrid>
      <w:tr w:rsidR="00AD3739" w:rsidRPr="00AD3739" w14:paraId="59FBAAB4" w14:textId="77777777" w:rsidTr="00E2413C">
        <w:trPr>
          <w:tblHeader/>
        </w:trPr>
        <w:tc>
          <w:tcPr>
            <w:tcW w:w="4452" w:type="dxa"/>
          </w:tcPr>
          <w:p w14:paraId="52D890EB" w14:textId="77777777" w:rsidR="00AD3739" w:rsidRPr="00AD3739" w:rsidRDefault="00AD3739" w:rsidP="00DF497D">
            <w:pPr>
              <w:rPr>
                <w:rFonts w:ascii="Arial Narrow" w:hAnsi="Arial Narrow"/>
                <w:sz w:val="20"/>
              </w:rPr>
            </w:pPr>
          </w:p>
        </w:tc>
        <w:tc>
          <w:tcPr>
            <w:tcW w:w="992" w:type="dxa"/>
            <w:vAlign w:val="center"/>
          </w:tcPr>
          <w:p w14:paraId="593C5CA3" w14:textId="77777777" w:rsidR="00AD3739" w:rsidRPr="00AD3739" w:rsidRDefault="00AD3739" w:rsidP="00DF497D">
            <w:pPr>
              <w:jc w:val="center"/>
              <w:rPr>
                <w:rFonts w:ascii="Arial Narrow" w:hAnsi="Arial Narrow"/>
                <w:b/>
                <w:sz w:val="20"/>
              </w:rPr>
            </w:pPr>
            <w:r w:rsidRPr="00AD3739">
              <w:rPr>
                <w:rFonts w:ascii="Arial Narrow" w:hAnsi="Arial Narrow"/>
                <w:b/>
                <w:sz w:val="20"/>
              </w:rPr>
              <w:t>2016</w:t>
            </w:r>
          </w:p>
        </w:tc>
        <w:tc>
          <w:tcPr>
            <w:tcW w:w="992" w:type="dxa"/>
            <w:vAlign w:val="center"/>
          </w:tcPr>
          <w:p w14:paraId="7BBACE2D" w14:textId="77777777" w:rsidR="00AD3739" w:rsidRPr="00AD3739" w:rsidRDefault="00AD3739" w:rsidP="00DF497D">
            <w:pPr>
              <w:jc w:val="center"/>
              <w:rPr>
                <w:rFonts w:ascii="Arial Narrow" w:hAnsi="Arial Narrow"/>
                <w:b/>
                <w:sz w:val="20"/>
              </w:rPr>
            </w:pPr>
            <w:r w:rsidRPr="00AD3739">
              <w:rPr>
                <w:rFonts w:ascii="Arial Narrow" w:hAnsi="Arial Narrow"/>
                <w:b/>
                <w:sz w:val="20"/>
              </w:rPr>
              <w:t>2017</w:t>
            </w:r>
          </w:p>
        </w:tc>
        <w:tc>
          <w:tcPr>
            <w:tcW w:w="992" w:type="dxa"/>
            <w:vAlign w:val="center"/>
          </w:tcPr>
          <w:p w14:paraId="488482F1" w14:textId="77777777" w:rsidR="00AD3739" w:rsidRPr="00AD3739" w:rsidRDefault="00AD3739" w:rsidP="00DF497D">
            <w:pPr>
              <w:jc w:val="center"/>
              <w:rPr>
                <w:rFonts w:ascii="Arial Narrow" w:hAnsi="Arial Narrow"/>
                <w:b/>
                <w:sz w:val="20"/>
              </w:rPr>
            </w:pPr>
            <w:r w:rsidRPr="00AD3739">
              <w:rPr>
                <w:rFonts w:ascii="Arial Narrow" w:hAnsi="Arial Narrow"/>
                <w:b/>
                <w:sz w:val="20"/>
              </w:rPr>
              <w:t>2018</w:t>
            </w:r>
          </w:p>
        </w:tc>
        <w:tc>
          <w:tcPr>
            <w:tcW w:w="993" w:type="dxa"/>
            <w:vAlign w:val="center"/>
          </w:tcPr>
          <w:p w14:paraId="1EA0354A" w14:textId="77777777" w:rsidR="00AD3739" w:rsidRPr="00AD3739" w:rsidRDefault="00AD3739" w:rsidP="00DF497D">
            <w:pPr>
              <w:jc w:val="center"/>
              <w:rPr>
                <w:rFonts w:ascii="Arial Narrow" w:hAnsi="Arial Narrow"/>
                <w:b/>
                <w:sz w:val="20"/>
              </w:rPr>
            </w:pPr>
            <w:r w:rsidRPr="00AD3739">
              <w:rPr>
                <w:rFonts w:ascii="Arial Narrow" w:hAnsi="Arial Narrow"/>
                <w:b/>
                <w:sz w:val="20"/>
              </w:rPr>
              <w:t>2019</w:t>
            </w:r>
          </w:p>
        </w:tc>
        <w:tc>
          <w:tcPr>
            <w:tcW w:w="992" w:type="dxa"/>
            <w:vAlign w:val="center"/>
          </w:tcPr>
          <w:p w14:paraId="03291447" w14:textId="77777777" w:rsidR="00AD3739" w:rsidRPr="00AD3739" w:rsidRDefault="00AD3739" w:rsidP="00DF497D">
            <w:pPr>
              <w:jc w:val="center"/>
              <w:rPr>
                <w:rFonts w:ascii="Arial Narrow" w:hAnsi="Arial Narrow"/>
                <w:b/>
                <w:sz w:val="20"/>
              </w:rPr>
            </w:pPr>
            <w:r w:rsidRPr="00AD3739">
              <w:rPr>
                <w:rFonts w:ascii="Arial Narrow" w:hAnsi="Arial Narrow"/>
                <w:b/>
                <w:sz w:val="20"/>
              </w:rPr>
              <w:t>2020</w:t>
            </w:r>
          </w:p>
        </w:tc>
      </w:tr>
      <w:tr w:rsidR="00AD3739" w:rsidRPr="00AD3739" w14:paraId="493D9781" w14:textId="77777777" w:rsidTr="00897494">
        <w:tc>
          <w:tcPr>
            <w:tcW w:w="4452" w:type="dxa"/>
          </w:tcPr>
          <w:p w14:paraId="26D09D1A" w14:textId="77777777" w:rsidR="00AD3739" w:rsidRPr="00AD3739" w:rsidRDefault="00AD3739" w:rsidP="00A8248C">
            <w:pPr>
              <w:rPr>
                <w:rFonts w:ascii="Arial Narrow" w:hAnsi="Arial Narrow"/>
                <w:sz w:val="20"/>
              </w:rPr>
            </w:pPr>
            <w:r w:rsidRPr="00AD3739">
              <w:rPr>
                <w:rFonts w:ascii="Arial Narrow" w:hAnsi="Arial Narrow"/>
                <w:sz w:val="20"/>
              </w:rPr>
              <w:t xml:space="preserve">Number of women positive for </w:t>
            </w:r>
            <w:r w:rsidRPr="00A8248C">
              <w:rPr>
                <w:rFonts w:ascii="Arial Narrow" w:hAnsi="Arial Narrow"/>
                <w:i/>
                <w:sz w:val="20"/>
              </w:rPr>
              <w:t>BRCA1</w:t>
            </w:r>
            <w:r w:rsidRPr="00AD3739">
              <w:rPr>
                <w:rFonts w:ascii="Arial Narrow" w:hAnsi="Arial Narrow"/>
                <w:sz w:val="20"/>
              </w:rPr>
              <w:t xml:space="preserve"> or </w:t>
            </w:r>
            <w:r w:rsidR="00A8248C" w:rsidRPr="00A8248C">
              <w:rPr>
                <w:rFonts w:ascii="Arial Narrow" w:hAnsi="Arial Narrow"/>
                <w:i/>
                <w:sz w:val="20"/>
              </w:rPr>
              <w:t>BRCA</w:t>
            </w:r>
            <w:r w:rsidRPr="00A8248C">
              <w:rPr>
                <w:rFonts w:ascii="Arial Narrow" w:hAnsi="Arial Narrow"/>
                <w:i/>
                <w:sz w:val="20"/>
              </w:rPr>
              <w:t>2</w:t>
            </w:r>
            <w:r w:rsidRPr="00AD3739">
              <w:rPr>
                <w:rFonts w:ascii="Arial Narrow" w:hAnsi="Arial Narrow"/>
                <w:sz w:val="20"/>
              </w:rPr>
              <w:t xml:space="preserve"> mutation</w:t>
            </w:r>
          </w:p>
        </w:tc>
        <w:tc>
          <w:tcPr>
            <w:tcW w:w="992" w:type="dxa"/>
            <w:vAlign w:val="center"/>
          </w:tcPr>
          <w:p w14:paraId="2C27B388" w14:textId="77777777" w:rsidR="00AD3739" w:rsidRPr="00AD3739" w:rsidRDefault="00AD3739" w:rsidP="00DF497D">
            <w:pPr>
              <w:jc w:val="center"/>
              <w:rPr>
                <w:rFonts w:ascii="Arial Narrow" w:hAnsi="Arial Narrow"/>
                <w:sz w:val="20"/>
              </w:rPr>
            </w:pPr>
            <w:r w:rsidRPr="00AD3739">
              <w:rPr>
                <w:rFonts w:ascii="Arial Narrow" w:hAnsi="Arial Narrow"/>
                <w:sz w:val="20"/>
              </w:rPr>
              <w:t>502</w:t>
            </w:r>
          </w:p>
        </w:tc>
        <w:tc>
          <w:tcPr>
            <w:tcW w:w="992" w:type="dxa"/>
            <w:vAlign w:val="center"/>
          </w:tcPr>
          <w:p w14:paraId="0A1F2E05" w14:textId="77777777" w:rsidR="00AD3739" w:rsidRPr="00AD3739" w:rsidRDefault="00AD3739" w:rsidP="00DF497D">
            <w:pPr>
              <w:jc w:val="center"/>
              <w:rPr>
                <w:rFonts w:ascii="Arial Narrow" w:hAnsi="Arial Narrow"/>
                <w:sz w:val="20"/>
              </w:rPr>
            </w:pPr>
            <w:r w:rsidRPr="00AD3739">
              <w:rPr>
                <w:rFonts w:ascii="Arial Narrow" w:hAnsi="Arial Narrow"/>
                <w:sz w:val="20"/>
              </w:rPr>
              <w:t>512</w:t>
            </w:r>
          </w:p>
        </w:tc>
        <w:tc>
          <w:tcPr>
            <w:tcW w:w="992" w:type="dxa"/>
            <w:vAlign w:val="center"/>
          </w:tcPr>
          <w:p w14:paraId="69351F79" w14:textId="77777777" w:rsidR="00AD3739" w:rsidRPr="00AD3739" w:rsidRDefault="00AD3739" w:rsidP="00DF497D">
            <w:pPr>
              <w:jc w:val="center"/>
              <w:rPr>
                <w:rFonts w:ascii="Arial Narrow" w:hAnsi="Arial Narrow"/>
                <w:sz w:val="20"/>
              </w:rPr>
            </w:pPr>
            <w:r w:rsidRPr="00AD3739">
              <w:rPr>
                <w:rFonts w:ascii="Arial Narrow" w:hAnsi="Arial Narrow"/>
                <w:sz w:val="20"/>
              </w:rPr>
              <w:t>597</w:t>
            </w:r>
          </w:p>
        </w:tc>
        <w:tc>
          <w:tcPr>
            <w:tcW w:w="993" w:type="dxa"/>
            <w:vAlign w:val="center"/>
          </w:tcPr>
          <w:p w14:paraId="360564DC" w14:textId="77777777" w:rsidR="00AD3739" w:rsidRPr="00AD3739" w:rsidRDefault="00AD3739" w:rsidP="00DF497D">
            <w:pPr>
              <w:jc w:val="center"/>
              <w:rPr>
                <w:rFonts w:ascii="Arial Narrow" w:hAnsi="Arial Narrow"/>
                <w:sz w:val="20"/>
              </w:rPr>
            </w:pPr>
            <w:r w:rsidRPr="00AD3739">
              <w:rPr>
                <w:rFonts w:ascii="Arial Narrow" w:hAnsi="Arial Narrow"/>
                <w:sz w:val="20"/>
              </w:rPr>
              <w:t>684</w:t>
            </w:r>
          </w:p>
        </w:tc>
        <w:tc>
          <w:tcPr>
            <w:tcW w:w="992" w:type="dxa"/>
            <w:vAlign w:val="center"/>
          </w:tcPr>
          <w:p w14:paraId="07FB2816" w14:textId="77777777" w:rsidR="00AD3739" w:rsidRPr="00AD3739" w:rsidRDefault="00AD3739" w:rsidP="00DF497D">
            <w:pPr>
              <w:jc w:val="center"/>
              <w:rPr>
                <w:rFonts w:ascii="Arial Narrow" w:hAnsi="Arial Narrow"/>
                <w:sz w:val="20"/>
              </w:rPr>
            </w:pPr>
            <w:r w:rsidRPr="00AD3739">
              <w:rPr>
                <w:rFonts w:ascii="Arial Narrow" w:hAnsi="Arial Narrow"/>
                <w:sz w:val="20"/>
              </w:rPr>
              <w:t>697</w:t>
            </w:r>
          </w:p>
        </w:tc>
      </w:tr>
      <w:tr w:rsidR="00AD3739" w:rsidRPr="00AD3739" w14:paraId="0BE4DFDF" w14:textId="77777777" w:rsidTr="00897494">
        <w:tc>
          <w:tcPr>
            <w:tcW w:w="4452" w:type="dxa"/>
          </w:tcPr>
          <w:p w14:paraId="5AE9FC97" w14:textId="77777777" w:rsidR="00AD3739" w:rsidRPr="00AD3739" w:rsidRDefault="00AD3739" w:rsidP="00DF497D">
            <w:pPr>
              <w:rPr>
                <w:rFonts w:ascii="Arial Narrow" w:hAnsi="Arial Narrow"/>
                <w:sz w:val="20"/>
              </w:rPr>
            </w:pPr>
            <w:r w:rsidRPr="00AD3739">
              <w:rPr>
                <w:rFonts w:ascii="Arial Narrow" w:hAnsi="Arial Narrow"/>
                <w:sz w:val="20"/>
              </w:rPr>
              <w:t>Proportion opting for BM+BSO</w:t>
            </w:r>
          </w:p>
        </w:tc>
        <w:tc>
          <w:tcPr>
            <w:tcW w:w="992" w:type="dxa"/>
            <w:vAlign w:val="center"/>
          </w:tcPr>
          <w:p w14:paraId="5D8C06B1" w14:textId="77777777" w:rsidR="00AD3739" w:rsidRPr="00AD3739" w:rsidRDefault="00AD3739" w:rsidP="00DF497D">
            <w:pPr>
              <w:jc w:val="center"/>
              <w:rPr>
                <w:rFonts w:ascii="Arial Narrow" w:hAnsi="Arial Narrow"/>
                <w:sz w:val="20"/>
              </w:rPr>
            </w:pPr>
            <w:r w:rsidRPr="00AD3739">
              <w:rPr>
                <w:rFonts w:ascii="Arial Narrow" w:hAnsi="Arial Narrow"/>
                <w:sz w:val="20"/>
              </w:rPr>
              <w:t>40%</w:t>
            </w:r>
          </w:p>
        </w:tc>
        <w:tc>
          <w:tcPr>
            <w:tcW w:w="992" w:type="dxa"/>
            <w:vAlign w:val="center"/>
          </w:tcPr>
          <w:p w14:paraId="5FE9AC56" w14:textId="77777777" w:rsidR="00AD3739" w:rsidRPr="00AD3739" w:rsidRDefault="00AD3739" w:rsidP="00DF497D">
            <w:pPr>
              <w:jc w:val="center"/>
              <w:rPr>
                <w:rFonts w:ascii="Arial Narrow" w:hAnsi="Arial Narrow"/>
                <w:sz w:val="20"/>
              </w:rPr>
            </w:pPr>
            <w:r w:rsidRPr="00AD3739">
              <w:rPr>
                <w:rFonts w:ascii="Arial Narrow" w:hAnsi="Arial Narrow"/>
                <w:sz w:val="20"/>
              </w:rPr>
              <w:t>40%</w:t>
            </w:r>
          </w:p>
        </w:tc>
        <w:tc>
          <w:tcPr>
            <w:tcW w:w="992" w:type="dxa"/>
            <w:vAlign w:val="center"/>
          </w:tcPr>
          <w:p w14:paraId="228538A2" w14:textId="77777777" w:rsidR="00AD3739" w:rsidRPr="00AD3739" w:rsidRDefault="00AD3739" w:rsidP="00DF497D">
            <w:pPr>
              <w:jc w:val="center"/>
              <w:rPr>
                <w:rFonts w:ascii="Arial Narrow" w:hAnsi="Arial Narrow"/>
                <w:sz w:val="20"/>
              </w:rPr>
            </w:pPr>
            <w:r w:rsidRPr="00AD3739">
              <w:rPr>
                <w:rFonts w:ascii="Arial Narrow" w:hAnsi="Arial Narrow"/>
                <w:sz w:val="20"/>
              </w:rPr>
              <w:t>40%</w:t>
            </w:r>
          </w:p>
        </w:tc>
        <w:tc>
          <w:tcPr>
            <w:tcW w:w="993" w:type="dxa"/>
            <w:vAlign w:val="center"/>
          </w:tcPr>
          <w:p w14:paraId="6BDA6D13" w14:textId="77777777" w:rsidR="00AD3739" w:rsidRPr="00AD3739" w:rsidRDefault="00AD3739" w:rsidP="00DF497D">
            <w:pPr>
              <w:jc w:val="center"/>
              <w:rPr>
                <w:rFonts w:ascii="Arial Narrow" w:hAnsi="Arial Narrow"/>
                <w:sz w:val="20"/>
              </w:rPr>
            </w:pPr>
            <w:r w:rsidRPr="00AD3739">
              <w:rPr>
                <w:rFonts w:ascii="Arial Narrow" w:hAnsi="Arial Narrow"/>
                <w:sz w:val="20"/>
              </w:rPr>
              <w:t>40%</w:t>
            </w:r>
          </w:p>
        </w:tc>
        <w:tc>
          <w:tcPr>
            <w:tcW w:w="992" w:type="dxa"/>
            <w:vAlign w:val="center"/>
          </w:tcPr>
          <w:p w14:paraId="35976405" w14:textId="77777777" w:rsidR="00AD3739" w:rsidRPr="00AD3739" w:rsidRDefault="00AD3739" w:rsidP="00DF497D">
            <w:pPr>
              <w:jc w:val="center"/>
              <w:rPr>
                <w:rFonts w:ascii="Arial Narrow" w:hAnsi="Arial Narrow"/>
                <w:sz w:val="20"/>
              </w:rPr>
            </w:pPr>
            <w:r w:rsidRPr="00AD3739">
              <w:rPr>
                <w:rFonts w:ascii="Arial Narrow" w:hAnsi="Arial Narrow"/>
                <w:sz w:val="20"/>
              </w:rPr>
              <w:t>40%</w:t>
            </w:r>
          </w:p>
        </w:tc>
      </w:tr>
      <w:tr w:rsidR="00AD3739" w:rsidRPr="00AD3739" w14:paraId="41CFFA14" w14:textId="77777777" w:rsidTr="00897494">
        <w:tc>
          <w:tcPr>
            <w:tcW w:w="4452" w:type="dxa"/>
          </w:tcPr>
          <w:p w14:paraId="666D2F7F" w14:textId="77777777" w:rsidR="00AD3739" w:rsidRPr="00AD3739" w:rsidRDefault="00AD3739" w:rsidP="00DF497D">
            <w:pPr>
              <w:rPr>
                <w:rFonts w:ascii="Arial Narrow" w:hAnsi="Arial Narrow"/>
                <w:sz w:val="20"/>
              </w:rPr>
            </w:pPr>
            <w:r w:rsidRPr="00AD3739">
              <w:rPr>
                <w:rFonts w:ascii="Arial Narrow" w:hAnsi="Arial Narrow"/>
                <w:sz w:val="20"/>
              </w:rPr>
              <w:t>Number having BM+BSO</w:t>
            </w:r>
          </w:p>
        </w:tc>
        <w:tc>
          <w:tcPr>
            <w:tcW w:w="992" w:type="dxa"/>
            <w:vAlign w:val="center"/>
          </w:tcPr>
          <w:p w14:paraId="05C411E7" w14:textId="77777777" w:rsidR="00AD3739" w:rsidRPr="00AD3739" w:rsidRDefault="00AD3739" w:rsidP="00DF497D">
            <w:pPr>
              <w:jc w:val="center"/>
              <w:rPr>
                <w:rFonts w:ascii="Arial Narrow" w:hAnsi="Arial Narrow"/>
                <w:sz w:val="20"/>
              </w:rPr>
            </w:pPr>
            <w:r w:rsidRPr="00AD3739">
              <w:rPr>
                <w:rFonts w:ascii="Arial Narrow" w:hAnsi="Arial Narrow"/>
                <w:sz w:val="20"/>
              </w:rPr>
              <w:t>201</w:t>
            </w:r>
          </w:p>
        </w:tc>
        <w:tc>
          <w:tcPr>
            <w:tcW w:w="992" w:type="dxa"/>
            <w:vAlign w:val="center"/>
          </w:tcPr>
          <w:p w14:paraId="4DEF7A92" w14:textId="77777777" w:rsidR="00AD3739" w:rsidRPr="00AD3739" w:rsidRDefault="00AD3739" w:rsidP="00DF497D">
            <w:pPr>
              <w:jc w:val="center"/>
              <w:rPr>
                <w:rFonts w:ascii="Arial Narrow" w:hAnsi="Arial Narrow"/>
                <w:sz w:val="20"/>
              </w:rPr>
            </w:pPr>
            <w:r w:rsidRPr="00AD3739">
              <w:rPr>
                <w:rFonts w:ascii="Arial Narrow" w:hAnsi="Arial Narrow"/>
                <w:sz w:val="20"/>
              </w:rPr>
              <w:t>205</w:t>
            </w:r>
          </w:p>
        </w:tc>
        <w:tc>
          <w:tcPr>
            <w:tcW w:w="992" w:type="dxa"/>
            <w:vAlign w:val="center"/>
          </w:tcPr>
          <w:p w14:paraId="773E20F5" w14:textId="77777777" w:rsidR="00AD3739" w:rsidRPr="00AD3739" w:rsidRDefault="00AD3739" w:rsidP="00DF497D">
            <w:pPr>
              <w:jc w:val="center"/>
              <w:rPr>
                <w:rFonts w:ascii="Arial Narrow" w:hAnsi="Arial Narrow"/>
                <w:sz w:val="20"/>
              </w:rPr>
            </w:pPr>
            <w:r w:rsidRPr="00AD3739">
              <w:rPr>
                <w:rFonts w:ascii="Arial Narrow" w:hAnsi="Arial Narrow"/>
                <w:sz w:val="20"/>
              </w:rPr>
              <w:t>239</w:t>
            </w:r>
          </w:p>
        </w:tc>
        <w:tc>
          <w:tcPr>
            <w:tcW w:w="993" w:type="dxa"/>
            <w:vAlign w:val="center"/>
          </w:tcPr>
          <w:p w14:paraId="258342C1" w14:textId="77777777" w:rsidR="00AD3739" w:rsidRPr="00AD3739" w:rsidRDefault="00AD3739" w:rsidP="00DF497D">
            <w:pPr>
              <w:jc w:val="center"/>
              <w:rPr>
                <w:rFonts w:ascii="Arial Narrow" w:hAnsi="Arial Narrow"/>
                <w:sz w:val="20"/>
              </w:rPr>
            </w:pPr>
            <w:r w:rsidRPr="00AD3739">
              <w:rPr>
                <w:rFonts w:ascii="Arial Narrow" w:hAnsi="Arial Narrow"/>
                <w:sz w:val="20"/>
              </w:rPr>
              <w:t>274</w:t>
            </w:r>
          </w:p>
        </w:tc>
        <w:tc>
          <w:tcPr>
            <w:tcW w:w="992" w:type="dxa"/>
            <w:vAlign w:val="center"/>
          </w:tcPr>
          <w:p w14:paraId="37A4A162" w14:textId="77777777" w:rsidR="00AD3739" w:rsidRPr="00AD3739" w:rsidRDefault="00AD3739" w:rsidP="00DF497D">
            <w:pPr>
              <w:jc w:val="center"/>
              <w:rPr>
                <w:rFonts w:ascii="Arial Narrow" w:hAnsi="Arial Narrow"/>
                <w:sz w:val="20"/>
              </w:rPr>
            </w:pPr>
            <w:r w:rsidRPr="00AD3739">
              <w:rPr>
                <w:rFonts w:ascii="Arial Narrow" w:hAnsi="Arial Narrow"/>
                <w:sz w:val="20"/>
              </w:rPr>
              <w:t>279</w:t>
            </w:r>
          </w:p>
        </w:tc>
      </w:tr>
      <w:tr w:rsidR="00AD3739" w:rsidRPr="00AD3739" w14:paraId="62631F5D" w14:textId="77777777" w:rsidTr="00897494">
        <w:tc>
          <w:tcPr>
            <w:tcW w:w="4452" w:type="dxa"/>
          </w:tcPr>
          <w:p w14:paraId="62B9A40F" w14:textId="77777777" w:rsidR="00AD3739" w:rsidRPr="00AD3739" w:rsidRDefault="00AD3739" w:rsidP="00DF497D">
            <w:pPr>
              <w:rPr>
                <w:rFonts w:ascii="Arial Narrow" w:hAnsi="Arial Narrow"/>
                <w:sz w:val="20"/>
              </w:rPr>
            </w:pPr>
            <w:r w:rsidRPr="00AD3739">
              <w:rPr>
                <w:rFonts w:ascii="Arial Narrow" w:hAnsi="Arial Narrow"/>
                <w:sz w:val="20"/>
              </w:rPr>
              <w:t>Cost of BM+BSO ($24,207</w:t>
            </w:r>
            <w:r w:rsidRPr="00AD3739">
              <w:rPr>
                <w:rFonts w:ascii="Arial Narrow" w:hAnsi="Arial Narrow"/>
                <w:sz w:val="20"/>
                <w:vertAlign w:val="superscript"/>
              </w:rPr>
              <w:t>a</w:t>
            </w:r>
            <w:r w:rsidRPr="00AD3739">
              <w:rPr>
                <w:rFonts w:ascii="Arial Narrow" w:hAnsi="Arial Narrow"/>
                <w:sz w:val="20"/>
              </w:rPr>
              <w:t>)</w:t>
            </w:r>
          </w:p>
        </w:tc>
        <w:tc>
          <w:tcPr>
            <w:tcW w:w="992" w:type="dxa"/>
            <w:vAlign w:val="center"/>
          </w:tcPr>
          <w:p w14:paraId="06D7C8A4" w14:textId="77777777" w:rsidR="00AD3739" w:rsidRPr="00AD3739" w:rsidRDefault="00AD3739" w:rsidP="00DF497D">
            <w:pPr>
              <w:jc w:val="right"/>
              <w:rPr>
                <w:rFonts w:ascii="Arial Narrow" w:hAnsi="Arial Narrow"/>
                <w:sz w:val="20"/>
              </w:rPr>
            </w:pPr>
            <w:r w:rsidRPr="00AD3739">
              <w:rPr>
                <w:rFonts w:ascii="Arial Narrow" w:hAnsi="Arial Narrow"/>
                <w:sz w:val="20"/>
              </w:rPr>
              <w:t>$4,858,781</w:t>
            </w:r>
          </w:p>
        </w:tc>
        <w:tc>
          <w:tcPr>
            <w:tcW w:w="992" w:type="dxa"/>
            <w:vAlign w:val="center"/>
          </w:tcPr>
          <w:p w14:paraId="1F38F25A" w14:textId="77777777" w:rsidR="00AD3739" w:rsidRPr="00AD3739" w:rsidRDefault="00AD3739" w:rsidP="00DF497D">
            <w:pPr>
              <w:jc w:val="right"/>
              <w:rPr>
                <w:rFonts w:ascii="Arial Narrow" w:hAnsi="Arial Narrow"/>
                <w:sz w:val="20"/>
              </w:rPr>
            </w:pPr>
            <w:r w:rsidRPr="00AD3739">
              <w:rPr>
                <w:rFonts w:ascii="Arial Narrow" w:hAnsi="Arial Narrow"/>
                <w:sz w:val="20"/>
              </w:rPr>
              <w:t>$4,956,383</w:t>
            </w:r>
          </w:p>
        </w:tc>
        <w:tc>
          <w:tcPr>
            <w:tcW w:w="992" w:type="dxa"/>
            <w:vAlign w:val="center"/>
          </w:tcPr>
          <w:p w14:paraId="66B63811" w14:textId="77777777" w:rsidR="00AD3739" w:rsidRPr="00AD3739" w:rsidRDefault="00AD3739" w:rsidP="00DF497D">
            <w:pPr>
              <w:jc w:val="right"/>
              <w:rPr>
                <w:rFonts w:ascii="Arial Narrow" w:hAnsi="Arial Narrow"/>
                <w:sz w:val="20"/>
              </w:rPr>
            </w:pPr>
            <w:r w:rsidRPr="00AD3739">
              <w:rPr>
                <w:rFonts w:ascii="Arial Narrow" w:hAnsi="Arial Narrow"/>
                <w:sz w:val="20"/>
              </w:rPr>
              <w:t>$5,775,984</w:t>
            </w:r>
          </w:p>
        </w:tc>
        <w:tc>
          <w:tcPr>
            <w:tcW w:w="993" w:type="dxa"/>
            <w:vAlign w:val="center"/>
          </w:tcPr>
          <w:p w14:paraId="7791C80D" w14:textId="77777777" w:rsidR="00AD3739" w:rsidRPr="00AD3739" w:rsidRDefault="00AD3739" w:rsidP="00DF497D">
            <w:pPr>
              <w:jc w:val="right"/>
              <w:rPr>
                <w:rFonts w:ascii="Arial Narrow" w:hAnsi="Arial Narrow"/>
                <w:sz w:val="20"/>
              </w:rPr>
            </w:pPr>
            <w:r w:rsidRPr="00AD3739">
              <w:rPr>
                <w:rFonts w:ascii="Arial Narrow" w:hAnsi="Arial Narrow"/>
                <w:sz w:val="20"/>
              </w:rPr>
              <w:t>$6,623,471</w:t>
            </w:r>
          </w:p>
        </w:tc>
        <w:tc>
          <w:tcPr>
            <w:tcW w:w="992" w:type="dxa"/>
            <w:vAlign w:val="center"/>
          </w:tcPr>
          <w:p w14:paraId="2EB49FCC" w14:textId="77777777" w:rsidR="00AD3739" w:rsidRPr="00AD3739" w:rsidRDefault="00AD3739" w:rsidP="00DF497D">
            <w:pPr>
              <w:jc w:val="right"/>
              <w:rPr>
                <w:rFonts w:ascii="Arial Narrow" w:hAnsi="Arial Narrow"/>
                <w:sz w:val="20"/>
              </w:rPr>
            </w:pPr>
            <w:r w:rsidRPr="00AD3739">
              <w:rPr>
                <w:rFonts w:ascii="Arial Narrow" w:hAnsi="Arial Narrow"/>
                <w:sz w:val="20"/>
              </w:rPr>
              <w:t>$6,748,960</w:t>
            </w:r>
          </w:p>
        </w:tc>
      </w:tr>
      <w:tr w:rsidR="00AD3739" w:rsidRPr="00AD3739" w14:paraId="6F538455" w14:textId="77777777" w:rsidTr="00897494">
        <w:tc>
          <w:tcPr>
            <w:tcW w:w="4452" w:type="dxa"/>
          </w:tcPr>
          <w:p w14:paraId="0FB70CDA" w14:textId="77777777" w:rsidR="00AD3739" w:rsidRPr="00AD3739" w:rsidRDefault="00AD3739" w:rsidP="00DF497D">
            <w:pPr>
              <w:rPr>
                <w:rFonts w:ascii="Arial Narrow" w:hAnsi="Arial Narrow"/>
                <w:sz w:val="20"/>
              </w:rPr>
            </w:pPr>
            <w:r w:rsidRPr="00AD3739">
              <w:rPr>
                <w:rFonts w:ascii="Arial Narrow" w:hAnsi="Arial Narrow"/>
                <w:sz w:val="20"/>
              </w:rPr>
              <w:t>Proportion opting for BSO</w:t>
            </w:r>
          </w:p>
        </w:tc>
        <w:tc>
          <w:tcPr>
            <w:tcW w:w="992" w:type="dxa"/>
            <w:vAlign w:val="center"/>
          </w:tcPr>
          <w:p w14:paraId="7C74C768" w14:textId="77777777" w:rsidR="00AD3739" w:rsidRPr="00AD3739" w:rsidRDefault="00AD3739" w:rsidP="00DF497D">
            <w:pPr>
              <w:jc w:val="center"/>
              <w:rPr>
                <w:rFonts w:ascii="Arial Narrow" w:hAnsi="Arial Narrow"/>
                <w:sz w:val="20"/>
              </w:rPr>
            </w:pPr>
            <w:r w:rsidRPr="00AD3739">
              <w:rPr>
                <w:rFonts w:ascii="Arial Narrow" w:hAnsi="Arial Narrow"/>
                <w:sz w:val="20"/>
              </w:rPr>
              <w:t>40%</w:t>
            </w:r>
          </w:p>
        </w:tc>
        <w:tc>
          <w:tcPr>
            <w:tcW w:w="992" w:type="dxa"/>
            <w:vAlign w:val="center"/>
          </w:tcPr>
          <w:p w14:paraId="2712D42C" w14:textId="77777777" w:rsidR="00AD3739" w:rsidRPr="00AD3739" w:rsidRDefault="00AD3739" w:rsidP="00DF497D">
            <w:pPr>
              <w:jc w:val="center"/>
              <w:rPr>
                <w:rFonts w:ascii="Arial Narrow" w:hAnsi="Arial Narrow"/>
                <w:sz w:val="20"/>
              </w:rPr>
            </w:pPr>
            <w:r w:rsidRPr="00AD3739">
              <w:rPr>
                <w:rFonts w:ascii="Arial Narrow" w:hAnsi="Arial Narrow"/>
                <w:sz w:val="20"/>
              </w:rPr>
              <w:t>40%</w:t>
            </w:r>
          </w:p>
        </w:tc>
        <w:tc>
          <w:tcPr>
            <w:tcW w:w="992" w:type="dxa"/>
            <w:vAlign w:val="center"/>
          </w:tcPr>
          <w:p w14:paraId="18626B56" w14:textId="77777777" w:rsidR="00AD3739" w:rsidRPr="00AD3739" w:rsidRDefault="00AD3739" w:rsidP="00DF497D">
            <w:pPr>
              <w:jc w:val="center"/>
              <w:rPr>
                <w:rFonts w:ascii="Arial Narrow" w:hAnsi="Arial Narrow"/>
                <w:sz w:val="20"/>
              </w:rPr>
            </w:pPr>
            <w:r w:rsidRPr="00AD3739">
              <w:rPr>
                <w:rFonts w:ascii="Arial Narrow" w:hAnsi="Arial Narrow"/>
                <w:sz w:val="20"/>
              </w:rPr>
              <w:t>40%</w:t>
            </w:r>
          </w:p>
        </w:tc>
        <w:tc>
          <w:tcPr>
            <w:tcW w:w="993" w:type="dxa"/>
            <w:vAlign w:val="center"/>
          </w:tcPr>
          <w:p w14:paraId="12BC836F" w14:textId="77777777" w:rsidR="00AD3739" w:rsidRPr="00AD3739" w:rsidRDefault="00AD3739" w:rsidP="00DF497D">
            <w:pPr>
              <w:jc w:val="center"/>
              <w:rPr>
                <w:rFonts w:ascii="Arial Narrow" w:hAnsi="Arial Narrow"/>
                <w:sz w:val="20"/>
              </w:rPr>
            </w:pPr>
            <w:r w:rsidRPr="00AD3739">
              <w:rPr>
                <w:rFonts w:ascii="Arial Narrow" w:hAnsi="Arial Narrow"/>
                <w:sz w:val="20"/>
              </w:rPr>
              <w:t>40%</w:t>
            </w:r>
          </w:p>
        </w:tc>
        <w:tc>
          <w:tcPr>
            <w:tcW w:w="992" w:type="dxa"/>
            <w:vAlign w:val="center"/>
          </w:tcPr>
          <w:p w14:paraId="650AEDD9" w14:textId="77777777" w:rsidR="00AD3739" w:rsidRPr="00AD3739" w:rsidRDefault="00AD3739" w:rsidP="00DF497D">
            <w:pPr>
              <w:jc w:val="center"/>
              <w:rPr>
                <w:rFonts w:ascii="Arial Narrow" w:hAnsi="Arial Narrow"/>
                <w:sz w:val="20"/>
              </w:rPr>
            </w:pPr>
            <w:r w:rsidRPr="00AD3739">
              <w:rPr>
                <w:rFonts w:ascii="Arial Narrow" w:hAnsi="Arial Narrow"/>
                <w:sz w:val="20"/>
              </w:rPr>
              <w:t>40%</w:t>
            </w:r>
          </w:p>
        </w:tc>
      </w:tr>
      <w:tr w:rsidR="00AD3739" w:rsidRPr="00AD3739" w14:paraId="7C1754CB" w14:textId="77777777" w:rsidTr="00897494">
        <w:tc>
          <w:tcPr>
            <w:tcW w:w="4452" w:type="dxa"/>
          </w:tcPr>
          <w:p w14:paraId="72089D4C" w14:textId="77777777" w:rsidR="00AD3739" w:rsidRPr="00AD3739" w:rsidRDefault="00AD3739" w:rsidP="00DF497D">
            <w:pPr>
              <w:rPr>
                <w:rFonts w:ascii="Arial Narrow" w:hAnsi="Arial Narrow"/>
                <w:sz w:val="20"/>
              </w:rPr>
            </w:pPr>
            <w:r w:rsidRPr="00AD3739">
              <w:rPr>
                <w:rFonts w:ascii="Arial Narrow" w:hAnsi="Arial Narrow"/>
                <w:sz w:val="20"/>
              </w:rPr>
              <w:t>Number having BSO</w:t>
            </w:r>
          </w:p>
        </w:tc>
        <w:tc>
          <w:tcPr>
            <w:tcW w:w="992" w:type="dxa"/>
            <w:vAlign w:val="center"/>
          </w:tcPr>
          <w:p w14:paraId="4F876684" w14:textId="77777777" w:rsidR="00AD3739" w:rsidRPr="00AD3739" w:rsidRDefault="00AD3739" w:rsidP="00DF497D">
            <w:pPr>
              <w:jc w:val="center"/>
              <w:rPr>
                <w:rFonts w:ascii="Arial Narrow" w:hAnsi="Arial Narrow"/>
                <w:sz w:val="20"/>
              </w:rPr>
            </w:pPr>
            <w:r w:rsidRPr="00AD3739">
              <w:rPr>
                <w:rFonts w:ascii="Arial Narrow" w:hAnsi="Arial Narrow"/>
                <w:sz w:val="20"/>
              </w:rPr>
              <w:t>201</w:t>
            </w:r>
          </w:p>
        </w:tc>
        <w:tc>
          <w:tcPr>
            <w:tcW w:w="992" w:type="dxa"/>
            <w:vAlign w:val="center"/>
          </w:tcPr>
          <w:p w14:paraId="1874C42D" w14:textId="77777777" w:rsidR="00AD3739" w:rsidRPr="00AD3739" w:rsidRDefault="00AD3739" w:rsidP="00DF497D">
            <w:pPr>
              <w:jc w:val="center"/>
              <w:rPr>
                <w:rFonts w:ascii="Arial Narrow" w:hAnsi="Arial Narrow"/>
                <w:sz w:val="20"/>
              </w:rPr>
            </w:pPr>
            <w:r w:rsidRPr="00AD3739">
              <w:rPr>
                <w:rFonts w:ascii="Arial Narrow" w:hAnsi="Arial Narrow"/>
                <w:sz w:val="20"/>
              </w:rPr>
              <w:t>205</w:t>
            </w:r>
          </w:p>
        </w:tc>
        <w:tc>
          <w:tcPr>
            <w:tcW w:w="992" w:type="dxa"/>
            <w:vAlign w:val="center"/>
          </w:tcPr>
          <w:p w14:paraId="5296AD3E" w14:textId="77777777" w:rsidR="00AD3739" w:rsidRPr="00AD3739" w:rsidRDefault="00AD3739" w:rsidP="00DF497D">
            <w:pPr>
              <w:jc w:val="center"/>
              <w:rPr>
                <w:rFonts w:ascii="Arial Narrow" w:hAnsi="Arial Narrow"/>
                <w:sz w:val="20"/>
              </w:rPr>
            </w:pPr>
            <w:r w:rsidRPr="00AD3739">
              <w:rPr>
                <w:rFonts w:ascii="Arial Narrow" w:hAnsi="Arial Narrow"/>
                <w:sz w:val="20"/>
              </w:rPr>
              <w:t>239</w:t>
            </w:r>
          </w:p>
        </w:tc>
        <w:tc>
          <w:tcPr>
            <w:tcW w:w="993" w:type="dxa"/>
            <w:vAlign w:val="center"/>
          </w:tcPr>
          <w:p w14:paraId="7980F485" w14:textId="77777777" w:rsidR="00AD3739" w:rsidRPr="00AD3739" w:rsidRDefault="00AD3739" w:rsidP="00DF497D">
            <w:pPr>
              <w:jc w:val="center"/>
              <w:rPr>
                <w:rFonts w:ascii="Arial Narrow" w:hAnsi="Arial Narrow"/>
                <w:sz w:val="20"/>
              </w:rPr>
            </w:pPr>
            <w:r w:rsidRPr="00AD3739">
              <w:rPr>
                <w:rFonts w:ascii="Arial Narrow" w:hAnsi="Arial Narrow"/>
                <w:sz w:val="20"/>
              </w:rPr>
              <w:t>274</w:t>
            </w:r>
          </w:p>
        </w:tc>
        <w:tc>
          <w:tcPr>
            <w:tcW w:w="992" w:type="dxa"/>
            <w:vAlign w:val="center"/>
          </w:tcPr>
          <w:p w14:paraId="633179B7" w14:textId="77777777" w:rsidR="00AD3739" w:rsidRPr="00AD3739" w:rsidRDefault="00AD3739" w:rsidP="00DF497D">
            <w:pPr>
              <w:jc w:val="center"/>
              <w:rPr>
                <w:rFonts w:ascii="Arial Narrow" w:hAnsi="Arial Narrow"/>
                <w:sz w:val="20"/>
              </w:rPr>
            </w:pPr>
            <w:r w:rsidRPr="00AD3739">
              <w:rPr>
                <w:rFonts w:ascii="Arial Narrow" w:hAnsi="Arial Narrow"/>
                <w:sz w:val="20"/>
              </w:rPr>
              <w:t>279</w:t>
            </w:r>
          </w:p>
        </w:tc>
      </w:tr>
      <w:tr w:rsidR="00AD3739" w:rsidRPr="00AD3739" w14:paraId="3FC488CD" w14:textId="77777777" w:rsidTr="00897494">
        <w:tc>
          <w:tcPr>
            <w:tcW w:w="4452" w:type="dxa"/>
          </w:tcPr>
          <w:p w14:paraId="261CDE7E" w14:textId="77777777" w:rsidR="00AD3739" w:rsidRPr="00AD3739" w:rsidRDefault="00AD3739" w:rsidP="00DF497D">
            <w:pPr>
              <w:rPr>
                <w:rFonts w:ascii="Arial Narrow" w:hAnsi="Arial Narrow"/>
                <w:sz w:val="20"/>
              </w:rPr>
            </w:pPr>
            <w:r w:rsidRPr="00AD3739">
              <w:rPr>
                <w:rFonts w:ascii="Arial Narrow" w:hAnsi="Arial Narrow"/>
                <w:sz w:val="20"/>
              </w:rPr>
              <w:t>Cost of BSO ($8,621</w:t>
            </w:r>
            <w:r w:rsidRPr="00AD3739">
              <w:rPr>
                <w:rFonts w:ascii="Arial Narrow" w:hAnsi="Arial Narrow"/>
                <w:sz w:val="20"/>
                <w:vertAlign w:val="superscript"/>
              </w:rPr>
              <w:t>b</w:t>
            </w:r>
            <w:r w:rsidRPr="00AD3739">
              <w:rPr>
                <w:rFonts w:ascii="Arial Narrow" w:hAnsi="Arial Narrow"/>
                <w:sz w:val="20"/>
              </w:rPr>
              <w:t>)</w:t>
            </w:r>
          </w:p>
        </w:tc>
        <w:tc>
          <w:tcPr>
            <w:tcW w:w="992" w:type="dxa"/>
            <w:vAlign w:val="center"/>
          </w:tcPr>
          <w:p w14:paraId="3C904D3C" w14:textId="77777777" w:rsidR="00AD3739" w:rsidRPr="00AD3739" w:rsidRDefault="00AD3739" w:rsidP="00DF497D">
            <w:pPr>
              <w:jc w:val="right"/>
              <w:rPr>
                <w:rFonts w:ascii="Arial Narrow" w:hAnsi="Arial Narrow"/>
                <w:sz w:val="20"/>
              </w:rPr>
            </w:pPr>
            <w:r w:rsidRPr="00AD3739">
              <w:rPr>
                <w:rFonts w:ascii="Arial Narrow" w:hAnsi="Arial Narrow"/>
                <w:sz w:val="20"/>
              </w:rPr>
              <w:t>$1,730,390</w:t>
            </w:r>
          </w:p>
        </w:tc>
        <w:tc>
          <w:tcPr>
            <w:tcW w:w="992" w:type="dxa"/>
            <w:vAlign w:val="center"/>
          </w:tcPr>
          <w:p w14:paraId="06EFB8E3" w14:textId="77777777" w:rsidR="00AD3739" w:rsidRPr="00AD3739" w:rsidRDefault="00AD3739" w:rsidP="00DF497D">
            <w:pPr>
              <w:jc w:val="right"/>
              <w:rPr>
                <w:rFonts w:ascii="Arial Narrow" w:hAnsi="Arial Narrow"/>
                <w:sz w:val="20"/>
              </w:rPr>
            </w:pPr>
            <w:r w:rsidRPr="00AD3739">
              <w:rPr>
                <w:rFonts w:ascii="Arial Narrow" w:hAnsi="Arial Narrow"/>
                <w:sz w:val="20"/>
              </w:rPr>
              <w:t>$1,765,150</w:t>
            </w:r>
          </w:p>
        </w:tc>
        <w:tc>
          <w:tcPr>
            <w:tcW w:w="992" w:type="dxa"/>
            <w:vAlign w:val="center"/>
          </w:tcPr>
          <w:p w14:paraId="359497E2" w14:textId="77777777" w:rsidR="00AD3739" w:rsidRPr="00AD3739" w:rsidRDefault="00AD3739" w:rsidP="00DF497D">
            <w:pPr>
              <w:jc w:val="right"/>
              <w:rPr>
                <w:rFonts w:ascii="Arial Narrow" w:hAnsi="Arial Narrow"/>
                <w:sz w:val="20"/>
              </w:rPr>
            </w:pPr>
            <w:r w:rsidRPr="00AD3739">
              <w:rPr>
                <w:rFonts w:ascii="Arial Narrow" w:hAnsi="Arial Narrow"/>
                <w:sz w:val="20"/>
              </w:rPr>
              <w:t>$2,057,040</w:t>
            </w:r>
          </w:p>
        </w:tc>
        <w:tc>
          <w:tcPr>
            <w:tcW w:w="993" w:type="dxa"/>
            <w:vAlign w:val="center"/>
          </w:tcPr>
          <w:p w14:paraId="20939484" w14:textId="77777777" w:rsidR="00AD3739" w:rsidRPr="00AD3739" w:rsidRDefault="00AD3739" w:rsidP="00DF497D">
            <w:pPr>
              <w:jc w:val="right"/>
              <w:rPr>
                <w:rFonts w:ascii="Arial Narrow" w:hAnsi="Arial Narrow"/>
                <w:sz w:val="20"/>
              </w:rPr>
            </w:pPr>
            <w:r w:rsidRPr="00AD3739">
              <w:rPr>
                <w:rFonts w:ascii="Arial Narrow" w:hAnsi="Arial Narrow"/>
                <w:sz w:val="20"/>
              </w:rPr>
              <w:t>$2,358,861</w:t>
            </w:r>
          </w:p>
        </w:tc>
        <w:tc>
          <w:tcPr>
            <w:tcW w:w="992" w:type="dxa"/>
            <w:vAlign w:val="center"/>
          </w:tcPr>
          <w:p w14:paraId="58B55681" w14:textId="77777777" w:rsidR="00AD3739" w:rsidRPr="00AD3739" w:rsidRDefault="00AD3739" w:rsidP="00DF497D">
            <w:pPr>
              <w:jc w:val="right"/>
              <w:rPr>
                <w:rFonts w:ascii="Arial Narrow" w:hAnsi="Arial Narrow"/>
                <w:sz w:val="20"/>
              </w:rPr>
            </w:pPr>
            <w:r w:rsidRPr="00AD3739">
              <w:rPr>
                <w:rFonts w:ascii="Arial Narrow" w:hAnsi="Arial Narrow"/>
                <w:sz w:val="20"/>
              </w:rPr>
              <w:t>$2,403,552</w:t>
            </w:r>
          </w:p>
        </w:tc>
      </w:tr>
      <w:tr w:rsidR="00AD3739" w:rsidRPr="00AD3739" w14:paraId="548EF256" w14:textId="77777777" w:rsidTr="00897494">
        <w:tc>
          <w:tcPr>
            <w:tcW w:w="4452" w:type="dxa"/>
            <w:shd w:val="clear" w:color="auto" w:fill="auto"/>
          </w:tcPr>
          <w:p w14:paraId="71C0F690" w14:textId="77777777" w:rsidR="00AD3739" w:rsidRPr="00AD3739" w:rsidRDefault="00AD3739" w:rsidP="00DF497D">
            <w:pPr>
              <w:rPr>
                <w:rFonts w:ascii="Arial Narrow" w:hAnsi="Arial Narrow"/>
                <w:sz w:val="20"/>
              </w:rPr>
            </w:pPr>
            <w:r w:rsidRPr="00AD3739">
              <w:rPr>
                <w:rFonts w:ascii="Arial Narrow" w:hAnsi="Arial Narrow"/>
                <w:sz w:val="20"/>
              </w:rPr>
              <w:t>Total cost for surgery</w:t>
            </w:r>
          </w:p>
        </w:tc>
        <w:tc>
          <w:tcPr>
            <w:tcW w:w="992" w:type="dxa"/>
            <w:shd w:val="clear" w:color="auto" w:fill="auto"/>
            <w:vAlign w:val="center"/>
          </w:tcPr>
          <w:p w14:paraId="12BFE734" w14:textId="77777777" w:rsidR="00AD3739" w:rsidRPr="00AD3739" w:rsidRDefault="00AD3739" w:rsidP="00DF497D">
            <w:pPr>
              <w:jc w:val="right"/>
              <w:rPr>
                <w:rFonts w:ascii="Arial Narrow" w:hAnsi="Arial Narrow"/>
                <w:sz w:val="20"/>
              </w:rPr>
            </w:pPr>
            <w:r w:rsidRPr="00AD3739">
              <w:rPr>
                <w:rFonts w:ascii="Arial Narrow" w:hAnsi="Arial Narrow"/>
                <w:sz w:val="20"/>
              </w:rPr>
              <w:t>$6,589,171</w:t>
            </w:r>
          </w:p>
        </w:tc>
        <w:tc>
          <w:tcPr>
            <w:tcW w:w="992" w:type="dxa"/>
            <w:shd w:val="clear" w:color="auto" w:fill="auto"/>
            <w:vAlign w:val="center"/>
          </w:tcPr>
          <w:p w14:paraId="67157727" w14:textId="77777777" w:rsidR="00AD3739" w:rsidRPr="00AD3739" w:rsidRDefault="00AD3739" w:rsidP="00DF497D">
            <w:pPr>
              <w:jc w:val="right"/>
              <w:rPr>
                <w:rFonts w:ascii="Arial Narrow" w:hAnsi="Arial Narrow"/>
                <w:sz w:val="20"/>
              </w:rPr>
            </w:pPr>
            <w:r w:rsidRPr="00AD3739">
              <w:rPr>
                <w:rFonts w:ascii="Arial Narrow" w:hAnsi="Arial Narrow"/>
                <w:sz w:val="20"/>
              </w:rPr>
              <w:t>$6,721,533</w:t>
            </w:r>
          </w:p>
        </w:tc>
        <w:tc>
          <w:tcPr>
            <w:tcW w:w="992" w:type="dxa"/>
            <w:shd w:val="clear" w:color="auto" w:fill="auto"/>
            <w:vAlign w:val="center"/>
          </w:tcPr>
          <w:p w14:paraId="3D88F506" w14:textId="77777777" w:rsidR="00AD3739" w:rsidRPr="00AD3739" w:rsidRDefault="00AD3739" w:rsidP="00DF497D">
            <w:pPr>
              <w:jc w:val="right"/>
              <w:rPr>
                <w:rFonts w:ascii="Arial Narrow" w:hAnsi="Arial Narrow"/>
                <w:sz w:val="20"/>
              </w:rPr>
            </w:pPr>
            <w:r w:rsidRPr="00AD3739">
              <w:rPr>
                <w:rFonts w:ascii="Arial Narrow" w:hAnsi="Arial Narrow"/>
                <w:sz w:val="20"/>
              </w:rPr>
              <w:t>$7,833,023</w:t>
            </w:r>
          </w:p>
        </w:tc>
        <w:tc>
          <w:tcPr>
            <w:tcW w:w="993" w:type="dxa"/>
            <w:shd w:val="clear" w:color="auto" w:fill="auto"/>
            <w:vAlign w:val="center"/>
          </w:tcPr>
          <w:p w14:paraId="4A2CC98F" w14:textId="77777777" w:rsidR="00AD3739" w:rsidRPr="00AD3739" w:rsidRDefault="00AD3739" w:rsidP="00DF497D">
            <w:pPr>
              <w:jc w:val="right"/>
              <w:rPr>
                <w:rFonts w:ascii="Arial Narrow" w:hAnsi="Arial Narrow"/>
                <w:sz w:val="20"/>
              </w:rPr>
            </w:pPr>
            <w:r w:rsidRPr="00AD3739">
              <w:rPr>
                <w:rFonts w:ascii="Arial Narrow" w:hAnsi="Arial Narrow"/>
                <w:sz w:val="20"/>
              </w:rPr>
              <w:t>$8,982,332</w:t>
            </w:r>
          </w:p>
        </w:tc>
        <w:tc>
          <w:tcPr>
            <w:tcW w:w="992" w:type="dxa"/>
            <w:shd w:val="clear" w:color="auto" w:fill="auto"/>
            <w:vAlign w:val="center"/>
          </w:tcPr>
          <w:p w14:paraId="333D5FBF" w14:textId="77777777" w:rsidR="00AD3739" w:rsidRPr="00AD3739" w:rsidRDefault="00AD3739" w:rsidP="00DF497D">
            <w:pPr>
              <w:jc w:val="right"/>
              <w:rPr>
                <w:rFonts w:ascii="Arial Narrow" w:hAnsi="Arial Narrow"/>
                <w:sz w:val="20"/>
              </w:rPr>
            </w:pPr>
            <w:r w:rsidRPr="00AD3739">
              <w:rPr>
                <w:rFonts w:ascii="Arial Narrow" w:hAnsi="Arial Narrow"/>
                <w:sz w:val="20"/>
              </w:rPr>
              <w:t>$9,152,512</w:t>
            </w:r>
          </w:p>
        </w:tc>
      </w:tr>
    </w:tbl>
    <w:p w14:paraId="0AF39FD1" w14:textId="77777777" w:rsidR="00AD3739" w:rsidRDefault="00AD3739" w:rsidP="00AD3739"/>
    <w:p w14:paraId="3F46CED9" w14:textId="77777777" w:rsidR="00AD3739" w:rsidRPr="000473F9" w:rsidRDefault="00AD3739" w:rsidP="00AD3739">
      <w:pPr>
        <w:rPr>
          <w:rFonts w:ascii="Arial Narrow" w:hAnsi="Arial Narrow"/>
          <w:b/>
          <w:sz w:val="20"/>
        </w:rPr>
      </w:pPr>
      <w:r w:rsidRPr="000473F9">
        <w:rPr>
          <w:rFonts w:ascii="Arial Narrow" w:hAnsi="Arial Narrow"/>
          <w:b/>
          <w:sz w:val="20"/>
        </w:rPr>
        <w:t>Table</w:t>
      </w:r>
      <w:r w:rsidR="00897494">
        <w:rPr>
          <w:rFonts w:ascii="Arial Narrow" w:hAnsi="Arial Narrow"/>
          <w:b/>
          <w:sz w:val="20"/>
        </w:rPr>
        <w:t xml:space="preserve"> 15</w:t>
      </w:r>
      <w:r w:rsidRPr="000473F9">
        <w:rPr>
          <w:rFonts w:ascii="Arial Narrow" w:hAnsi="Arial Narrow"/>
          <w:b/>
          <w:sz w:val="20"/>
        </w:rPr>
        <w:t xml:space="preserve">: Summary of total MBS </w:t>
      </w:r>
      <w:r w:rsidR="00897494">
        <w:rPr>
          <w:rFonts w:ascii="Arial Narrow" w:hAnsi="Arial Narrow"/>
          <w:b/>
          <w:sz w:val="20"/>
        </w:rPr>
        <w:t>c</w:t>
      </w:r>
      <w:r w:rsidRPr="000473F9">
        <w:rPr>
          <w:rFonts w:ascii="Arial Narrow" w:hAnsi="Arial Narrow"/>
          <w:b/>
          <w:sz w:val="20"/>
        </w:rPr>
        <w:t>osts for affected individuals and family members</w:t>
      </w:r>
    </w:p>
    <w:tbl>
      <w:tblPr>
        <w:tblStyle w:val="TableGrid"/>
        <w:tblW w:w="9271" w:type="dxa"/>
        <w:tblCellMar>
          <w:left w:w="57" w:type="dxa"/>
          <w:right w:w="57" w:type="dxa"/>
        </w:tblCellMar>
        <w:tblLook w:val="04A0" w:firstRow="1" w:lastRow="0" w:firstColumn="1" w:lastColumn="0" w:noHBand="0" w:noVBand="1"/>
        <w:tblCaption w:val="Table 15: Summary of total MBS costs for affected individuals and family members"/>
      </w:tblPr>
      <w:tblGrid>
        <w:gridCol w:w="3885"/>
        <w:gridCol w:w="1134"/>
        <w:gridCol w:w="1099"/>
        <w:gridCol w:w="1027"/>
        <w:gridCol w:w="1085"/>
        <w:gridCol w:w="1041"/>
      </w:tblGrid>
      <w:tr w:rsidR="00AD3739" w:rsidRPr="00AD3739" w14:paraId="3AA0E822" w14:textId="77777777" w:rsidTr="00E2413C">
        <w:trPr>
          <w:tblHeader/>
        </w:trPr>
        <w:tc>
          <w:tcPr>
            <w:tcW w:w="3885" w:type="dxa"/>
          </w:tcPr>
          <w:p w14:paraId="1A7A1DF8" w14:textId="77777777" w:rsidR="00AD3739" w:rsidRPr="00AD3739" w:rsidRDefault="00AD3739" w:rsidP="00DF497D">
            <w:pPr>
              <w:rPr>
                <w:rFonts w:ascii="Arial Narrow" w:hAnsi="Arial Narrow" w:cs="Times New Roman"/>
                <w:sz w:val="20"/>
              </w:rPr>
            </w:pPr>
          </w:p>
        </w:tc>
        <w:tc>
          <w:tcPr>
            <w:tcW w:w="1134" w:type="dxa"/>
            <w:vAlign w:val="center"/>
          </w:tcPr>
          <w:p w14:paraId="59DC8357" w14:textId="77777777" w:rsidR="00AD3739" w:rsidRPr="00AD3739" w:rsidRDefault="00AD3739" w:rsidP="00DF497D">
            <w:pPr>
              <w:jc w:val="center"/>
              <w:rPr>
                <w:rFonts w:ascii="Arial Narrow" w:hAnsi="Arial Narrow" w:cs="Times New Roman"/>
                <w:b/>
                <w:sz w:val="20"/>
              </w:rPr>
            </w:pPr>
            <w:r w:rsidRPr="00AD3739">
              <w:rPr>
                <w:rFonts w:ascii="Arial Narrow" w:hAnsi="Arial Narrow" w:cs="Times New Roman"/>
                <w:b/>
                <w:sz w:val="20"/>
              </w:rPr>
              <w:t>2016</w:t>
            </w:r>
          </w:p>
        </w:tc>
        <w:tc>
          <w:tcPr>
            <w:tcW w:w="1099" w:type="dxa"/>
            <w:vAlign w:val="center"/>
          </w:tcPr>
          <w:p w14:paraId="7BA78F0C" w14:textId="77777777" w:rsidR="00AD3739" w:rsidRPr="00AD3739" w:rsidRDefault="00AD3739" w:rsidP="00DF497D">
            <w:pPr>
              <w:jc w:val="center"/>
              <w:rPr>
                <w:rFonts w:ascii="Arial Narrow" w:hAnsi="Arial Narrow" w:cs="Times New Roman"/>
                <w:b/>
                <w:sz w:val="20"/>
              </w:rPr>
            </w:pPr>
            <w:r w:rsidRPr="00AD3739">
              <w:rPr>
                <w:rFonts w:ascii="Arial Narrow" w:hAnsi="Arial Narrow" w:cs="Times New Roman"/>
                <w:b/>
                <w:sz w:val="20"/>
              </w:rPr>
              <w:t>2017</w:t>
            </w:r>
          </w:p>
        </w:tc>
        <w:tc>
          <w:tcPr>
            <w:tcW w:w="1027" w:type="dxa"/>
            <w:vAlign w:val="center"/>
          </w:tcPr>
          <w:p w14:paraId="6627B585" w14:textId="77777777" w:rsidR="00AD3739" w:rsidRPr="00AD3739" w:rsidRDefault="00AD3739" w:rsidP="00DF497D">
            <w:pPr>
              <w:jc w:val="center"/>
              <w:rPr>
                <w:rFonts w:ascii="Arial Narrow" w:hAnsi="Arial Narrow" w:cs="Times New Roman"/>
                <w:b/>
                <w:sz w:val="20"/>
              </w:rPr>
            </w:pPr>
            <w:r w:rsidRPr="00AD3739">
              <w:rPr>
                <w:rFonts w:ascii="Arial Narrow" w:hAnsi="Arial Narrow" w:cs="Times New Roman"/>
                <w:b/>
                <w:sz w:val="20"/>
              </w:rPr>
              <w:t>2018</w:t>
            </w:r>
          </w:p>
        </w:tc>
        <w:tc>
          <w:tcPr>
            <w:tcW w:w="1085" w:type="dxa"/>
            <w:vAlign w:val="center"/>
          </w:tcPr>
          <w:p w14:paraId="1C6B9A64" w14:textId="77777777" w:rsidR="00AD3739" w:rsidRPr="00AD3739" w:rsidRDefault="00AD3739" w:rsidP="00DF497D">
            <w:pPr>
              <w:jc w:val="center"/>
              <w:rPr>
                <w:rFonts w:ascii="Arial Narrow" w:hAnsi="Arial Narrow" w:cs="Times New Roman"/>
                <w:b/>
                <w:sz w:val="20"/>
              </w:rPr>
            </w:pPr>
            <w:r w:rsidRPr="00AD3739">
              <w:rPr>
                <w:rFonts w:ascii="Arial Narrow" w:hAnsi="Arial Narrow" w:cs="Times New Roman"/>
                <w:b/>
                <w:sz w:val="20"/>
              </w:rPr>
              <w:t>2019</w:t>
            </w:r>
          </w:p>
        </w:tc>
        <w:tc>
          <w:tcPr>
            <w:tcW w:w="1041" w:type="dxa"/>
            <w:vAlign w:val="center"/>
          </w:tcPr>
          <w:p w14:paraId="670EB775" w14:textId="77777777" w:rsidR="00AD3739" w:rsidRPr="00AD3739" w:rsidRDefault="00AD3739" w:rsidP="00DF497D">
            <w:pPr>
              <w:jc w:val="center"/>
              <w:rPr>
                <w:rFonts w:ascii="Arial Narrow" w:hAnsi="Arial Narrow" w:cs="Times New Roman"/>
                <w:b/>
                <w:sz w:val="20"/>
              </w:rPr>
            </w:pPr>
            <w:r w:rsidRPr="00AD3739">
              <w:rPr>
                <w:rFonts w:ascii="Arial Narrow" w:hAnsi="Arial Narrow" w:cs="Times New Roman"/>
                <w:b/>
                <w:sz w:val="20"/>
              </w:rPr>
              <w:t>2020</w:t>
            </w:r>
          </w:p>
        </w:tc>
      </w:tr>
      <w:tr w:rsidR="00AD3739" w:rsidRPr="00AD3739" w14:paraId="4A41C28D" w14:textId="77777777" w:rsidTr="00897494">
        <w:tc>
          <w:tcPr>
            <w:tcW w:w="3885" w:type="dxa"/>
            <w:vAlign w:val="center"/>
          </w:tcPr>
          <w:p w14:paraId="49F63804" w14:textId="77777777" w:rsidR="00AD3739" w:rsidRPr="00AD3739" w:rsidRDefault="00AD3739" w:rsidP="00DF497D">
            <w:pPr>
              <w:rPr>
                <w:rFonts w:ascii="Arial Narrow" w:hAnsi="Arial Narrow" w:cs="Times New Roman"/>
                <w:sz w:val="20"/>
              </w:rPr>
            </w:pPr>
            <w:r w:rsidRPr="00AD3739">
              <w:rPr>
                <w:rFonts w:ascii="Arial Narrow" w:hAnsi="Arial Narrow" w:cs="Times New Roman"/>
                <w:sz w:val="20"/>
              </w:rPr>
              <w:t>Initial testing (affected individuals)</w:t>
            </w:r>
          </w:p>
        </w:tc>
        <w:tc>
          <w:tcPr>
            <w:tcW w:w="1134" w:type="dxa"/>
            <w:vAlign w:val="center"/>
          </w:tcPr>
          <w:p w14:paraId="05CFDF3A" w14:textId="77777777" w:rsidR="00AD3739" w:rsidRPr="00AD3739" w:rsidRDefault="00AD3739" w:rsidP="00DF497D">
            <w:pPr>
              <w:jc w:val="right"/>
              <w:rPr>
                <w:rFonts w:ascii="Arial Narrow" w:hAnsi="Arial Narrow" w:cs="Times New Roman"/>
                <w:sz w:val="20"/>
              </w:rPr>
            </w:pPr>
            <w:r w:rsidRPr="00AD3739">
              <w:rPr>
                <w:rFonts w:ascii="Arial Narrow" w:hAnsi="Arial Narrow" w:cs="Times New Roman"/>
                <w:sz w:val="20"/>
              </w:rPr>
              <w:t>$1,836,124</w:t>
            </w:r>
          </w:p>
        </w:tc>
        <w:tc>
          <w:tcPr>
            <w:tcW w:w="1099" w:type="dxa"/>
            <w:vAlign w:val="center"/>
          </w:tcPr>
          <w:p w14:paraId="12B36B85" w14:textId="77777777" w:rsidR="00AD3739" w:rsidRPr="00AD3739" w:rsidRDefault="00AD3739" w:rsidP="00DF497D">
            <w:pPr>
              <w:jc w:val="right"/>
              <w:rPr>
                <w:rFonts w:ascii="Arial Narrow" w:hAnsi="Arial Narrow" w:cs="Times New Roman"/>
                <w:sz w:val="20"/>
              </w:rPr>
            </w:pPr>
            <w:r w:rsidRPr="00AD3739">
              <w:rPr>
                <w:rFonts w:ascii="Arial Narrow" w:hAnsi="Arial Narrow" w:cs="Times New Roman"/>
                <w:sz w:val="20"/>
              </w:rPr>
              <w:t>$1,873,008</w:t>
            </w:r>
          </w:p>
        </w:tc>
        <w:tc>
          <w:tcPr>
            <w:tcW w:w="1027" w:type="dxa"/>
            <w:vAlign w:val="center"/>
          </w:tcPr>
          <w:p w14:paraId="083090AE" w14:textId="77777777" w:rsidR="00AD3739" w:rsidRPr="00AD3739" w:rsidRDefault="00AD3739" w:rsidP="00DF497D">
            <w:pPr>
              <w:jc w:val="right"/>
              <w:rPr>
                <w:rFonts w:ascii="Arial Narrow" w:hAnsi="Arial Narrow" w:cs="Times New Roman"/>
                <w:sz w:val="20"/>
              </w:rPr>
            </w:pPr>
            <w:r w:rsidRPr="00AD3739">
              <w:rPr>
                <w:rFonts w:ascii="Arial Narrow" w:hAnsi="Arial Narrow" w:cs="Times New Roman"/>
                <w:sz w:val="20"/>
              </w:rPr>
              <w:t>$2,182,733</w:t>
            </w:r>
          </w:p>
        </w:tc>
        <w:tc>
          <w:tcPr>
            <w:tcW w:w="1085" w:type="dxa"/>
            <w:vAlign w:val="center"/>
          </w:tcPr>
          <w:p w14:paraId="4A2B2200" w14:textId="77777777" w:rsidR="00AD3739" w:rsidRPr="00AD3739" w:rsidRDefault="00AD3739" w:rsidP="00DF497D">
            <w:pPr>
              <w:jc w:val="right"/>
              <w:rPr>
                <w:rFonts w:ascii="Arial Narrow" w:hAnsi="Arial Narrow" w:cs="Times New Roman"/>
                <w:sz w:val="20"/>
              </w:rPr>
            </w:pPr>
            <w:r w:rsidRPr="00AD3739">
              <w:rPr>
                <w:rFonts w:ascii="Arial Narrow" w:hAnsi="Arial Narrow" w:cs="Times New Roman"/>
                <w:sz w:val="20"/>
              </w:rPr>
              <w:t>$2,502,997</w:t>
            </w:r>
          </w:p>
        </w:tc>
        <w:tc>
          <w:tcPr>
            <w:tcW w:w="1041" w:type="dxa"/>
            <w:vAlign w:val="center"/>
          </w:tcPr>
          <w:p w14:paraId="73C43C14" w14:textId="77777777" w:rsidR="00AD3739" w:rsidRPr="00AD3739" w:rsidRDefault="00AD3739" w:rsidP="00DF497D">
            <w:pPr>
              <w:jc w:val="right"/>
              <w:rPr>
                <w:rFonts w:ascii="Arial Narrow" w:hAnsi="Arial Narrow" w:cs="Times New Roman"/>
                <w:sz w:val="20"/>
              </w:rPr>
            </w:pPr>
            <w:r w:rsidRPr="00AD3739">
              <w:rPr>
                <w:rFonts w:ascii="Arial Narrow" w:hAnsi="Arial Narrow" w:cs="Times New Roman"/>
                <w:sz w:val="20"/>
              </w:rPr>
              <w:t>$2,550,419</w:t>
            </w:r>
          </w:p>
        </w:tc>
      </w:tr>
      <w:tr w:rsidR="00AD3739" w:rsidRPr="00AD3739" w14:paraId="4ED68466" w14:textId="77777777" w:rsidTr="00897494">
        <w:tc>
          <w:tcPr>
            <w:tcW w:w="3885" w:type="dxa"/>
          </w:tcPr>
          <w:p w14:paraId="57D17BA7" w14:textId="77777777" w:rsidR="00AD3739" w:rsidRPr="00AD3739" w:rsidRDefault="00897494" w:rsidP="00897494">
            <w:pPr>
              <w:rPr>
                <w:rFonts w:ascii="Arial Narrow" w:hAnsi="Arial Narrow" w:cs="Times New Roman"/>
                <w:sz w:val="20"/>
              </w:rPr>
            </w:pPr>
            <w:r>
              <w:rPr>
                <w:rFonts w:ascii="Arial Narrow" w:hAnsi="Arial Narrow" w:cs="Times New Roman"/>
                <w:sz w:val="20"/>
              </w:rPr>
              <w:t>C</w:t>
            </w:r>
            <w:r w:rsidR="00AD3739" w:rsidRPr="00AD3739">
              <w:rPr>
                <w:rFonts w:ascii="Arial Narrow" w:hAnsi="Arial Narrow" w:cs="Times New Roman"/>
                <w:sz w:val="20"/>
              </w:rPr>
              <w:t>onfirmatory testing (affected individuals)</w:t>
            </w:r>
          </w:p>
        </w:tc>
        <w:tc>
          <w:tcPr>
            <w:tcW w:w="1134" w:type="dxa"/>
            <w:vAlign w:val="center"/>
          </w:tcPr>
          <w:p w14:paraId="1A81AD1B" w14:textId="77777777" w:rsidR="00AD3739" w:rsidRPr="00AD3739" w:rsidRDefault="00AD3739" w:rsidP="00DF497D">
            <w:pPr>
              <w:jc w:val="right"/>
              <w:rPr>
                <w:rFonts w:ascii="Arial Narrow" w:hAnsi="Arial Narrow" w:cs="Times New Roman"/>
                <w:sz w:val="20"/>
              </w:rPr>
            </w:pPr>
            <w:r w:rsidRPr="00AD3739">
              <w:rPr>
                <w:rFonts w:ascii="Arial Narrow" w:hAnsi="Arial Narrow" w:cs="Times New Roman"/>
                <w:sz w:val="20"/>
              </w:rPr>
              <w:t>$57,226</w:t>
            </w:r>
          </w:p>
        </w:tc>
        <w:tc>
          <w:tcPr>
            <w:tcW w:w="1099" w:type="dxa"/>
            <w:vAlign w:val="center"/>
          </w:tcPr>
          <w:p w14:paraId="7BDAACD0" w14:textId="77777777" w:rsidR="00AD3739" w:rsidRPr="00AD3739" w:rsidRDefault="00AD3739" w:rsidP="00DF497D">
            <w:pPr>
              <w:jc w:val="right"/>
              <w:rPr>
                <w:rFonts w:ascii="Arial Narrow" w:hAnsi="Arial Narrow" w:cs="Times New Roman"/>
                <w:sz w:val="20"/>
              </w:rPr>
            </w:pPr>
            <w:r w:rsidRPr="00AD3739">
              <w:rPr>
                <w:rFonts w:ascii="Arial Narrow" w:hAnsi="Arial Narrow" w:cs="Times New Roman"/>
                <w:sz w:val="20"/>
              </w:rPr>
              <w:t>$58,375</w:t>
            </w:r>
          </w:p>
        </w:tc>
        <w:tc>
          <w:tcPr>
            <w:tcW w:w="1027" w:type="dxa"/>
            <w:vAlign w:val="center"/>
          </w:tcPr>
          <w:p w14:paraId="0F2496C2" w14:textId="77777777" w:rsidR="00AD3739" w:rsidRPr="00AD3739" w:rsidRDefault="00AD3739" w:rsidP="00DF497D">
            <w:pPr>
              <w:jc w:val="right"/>
              <w:rPr>
                <w:rFonts w:ascii="Arial Narrow" w:hAnsi="Arial Narrow" w:cs="Times New Roman"/>
                <w:sz w:val="20"/>
              </w:rPr>
            </w:pPr>
            <w:r w:rsidRPr="00AD3739">
              <w:rPr>
                <w:rFonts w:ascii="Arial Narrow" w:hAnsi="Arial Narrow" w:cs="Times New Roman"/>
                <w:sz w:val="20"/>
              </w:rPr>
              <w:t>$68,028</w:t>
            </w:r>
          </w:p>
        </w:tc>
        <w:tc>
          <w:tcPr>
            <w:tcW w:w="1085" w:type="dxa"/>
            <w:vAlign w:val="center"/>
          </w:tcPr>
          <w:p w14:paraId="09B8593C" w14:textId="77777777" w:rsidR="00AD3739" w:rsidRPr="00AD3739" w:rsidRDefault="00AD3739" w:rsidP="00DF497D">
            <w:pPr>
              <w:jc w:val="right"/>
              <w:rPr>
                <w:rFonts w:ascii="Arial Narrow" w:hAnsi="Arial Narrow" w:cs="Times New Roman"/>
                <w:sz w:val="20"/>
              </w:rPr>
            </w:pPr>
            <w:r w:rsidRPr="00AD3739">
              <w:rPr>
                <w:rFonts w:ascii="Arial Narrow" w:hAnsi="Arial Narrow" w:cs="Times New Roman"/>
                <w:sz w:val="20"/>
              </w:rPr>
              <w:t>$78,010</w:t>
            </w:r>
          </w:p>
        </w:tc>
        <w:tc>
          <w:tcPr>
            <w:tcW w:w="1041" w:type="dxa"/>
            <w:vAlign w:val="center"/>
          </w:tcPr>
          <w:p w14:paraId="00441497" w14:textId="77777777" w:rsidR="00AD3739" w:rsidRPr="00AD3739" w:rsidRDefault="00AD3739" w:rsidP="00DF497D">
            <w:pPr>
              <w:jc w:val="right"/>
              <w:rPr>
                <w:rFonts w:ascii="Arial Narrow" w:hAnsi="Arial Narrow" w:cs="Times New Roman"/>
                <w:sz w:val="20"/>
              </w:rPr>
            </w:pPr>
            <w:r w:rsidRPr="00AD3739">
              <w:rPr>
                <w:rFonts w:ascii="Arial Narrow" w:hAnsi="Arial Narrow" w:cs="Times New Roman"/>
                <w:sz w:val="20"/>
              </w:rPr>
              <w:t>$79,488</w:t>
            </w:r>
          </w:p>
        </w:tc>
      </w:tr>
      <w:tr w:rsidR="00AD3739" w:rsidRPr="00AD3739" w14:paraId="207567DF" w14:textId="77777777" w:rsidTr="00897494">
        <w:tc>
          <w:tcPr>
            <w:tcW w:w="3885" w:type="dxa"/>
          </w:tcPr>
          <w:p w14:paraId="16A228F5" w14:textId="77777777" w:rsidR="00AD3739" w:rsidRPr="00AD3739" w:rsidRDefault="00897494" w:rsidP="00897494">
            <w:pPr>
              <w:rPr>
                <w:rFonts w:ascii="Arial Narrow" w:hAnsi="Arial Narrow" w:cs="Times New Roman"/>
                <w:sz w:val="20"/>
              </w:rPr>
            </w:pPr>
            <w:r>
              <w:rPr>
                <w:rFonts w:ascii="Arial Narrow" w:hAnsi="Arial Narrow" w:cs="Times New Roman"/>
                <w:sz w:val="20"/>
              </w:rPr>
              <w:t>C</w:t>
            </w:r>
            <w:r w:rsidR="00AD3739" w:rsidRPr="00AD3739">
              <w:rPr>
                <w:rFonts w:ascii="Arial Narrow" w:hAnsi="Arial Narrow" w:cs="Times New Roman"/>
                <w:sz w:val="20"/>
              </w:rPr>
              <w:t>onfirmatory testing (family members)</w:t>
            </w:r>
          </w:p>
        </w:tc>
        <w:tc>
          <w:tcPr>
            <w:tcW w:w="1134" w:type="dxa"/>
            <w:vAlign w:val="center"/>
          </w:tcPr>
          <w:p w14:paraId="6609F014" w14:textId="77777777" w:rsidR="00AD3739" w:rsidRPr="00AD3739" w:rsidRDefault="00AD3739" w:rsidP="00DF497D">
            <w:pPr>
              <w:jc w:val="right"/>
              <w:rPr>
                <w:rFonts w:ascii="Arial Narrow" w:hAnsi="Arial Narrow" w:cs="Times New Roman"/>
                <w:sz w:val="20"/>
              </w:rPr>
            </w:pPr>
            <w:r w:rsidRPr="00AD3739">
              <w:rPr>
                <w:rFonts w:ascii="Arial Narrow" w:hAnsi="Arial Narrow" w:cs="Times New Roman"/>
                <w:sz w:val="20"/>
              </w:rPr>
              <w:t>$343,353</w:t>
            </w:r>
          </w:p>
        </w:tc>
        <w:tc>
          <w:tcPr>
            <w:tcW w:w="1099" w:type="dxa"/>
            <w:vAlign w:val="center"/>
          </w:tcPr>
          <w:p w14:paraId="264C2E7F" w14:textId="77777777" w:rsidR="00AD3739" w:rsidRPr="00AD3739" w:rsidRDefault="00AD3739" w:rsidP="00DF497D">
            <w:pPr>
              <w:jc w:val="right"/>
              <w:rPr>
                <w:rFonts w:ascii="Arial Narrow" w:hAnsi="Arial Narrow" w:cs="Times New Roman"/>
                <w:sz w:val="20"/>
              </w:rPr>
            </w:pPr>
            <w:r w:rsidRPr="00AD3739">
              <w:rPr>
                <w:rFonts w:ascii="Arial Narrow" w:hAnsi="Arial Narrow" w:cs="Times New Roman"/>
                <w:sz w:val="20"/>
              </w:rPr>
              <w:t>$350,250</w:t>
            </w:r>
          </w:p>
        </w:tc>
        <w:tc>
          <w:tcPr>
            <w:tcW w:w="1027" w:type="dxa"/>
            <w:vAlign w:val="center"/>
          </w:tcPr>
          <w:p w14:paraId="53A081F2" w14:textId="77777777" w:rsidR="00AD3739" w:rsidRPr="00AD3739" w:rsidRDefault="00AD3739" w:rsidP="00DF497D">
            <w:pPr>
              <w:jc w:val="right"/>
              <w:rPr>
                <w:rFonts w:ascii="Arial Narrow" w:hAnsi="Arial Narrow" w:cs="Times New Roman"/>
                <w:sz w:val="20"/>
              </w:rPr>
            </w:pPr>
            <w:r w:rsidRPr="00AD3739">
              <w:rPr>
                <w:rFonts w:ascii="Arial Narrow" w:hAnsi="Arial Narrow" w:cs="Times New Roman"/>
                <w:sz w:val="20"/>
              </w:rPr>
              <w:t>$408,169</w:t>
            </w:r>
          </w:p>
        </w:tc>
        <w:tc>
          <w:tcPr>
            <w:tcW w:w="1085" w:type="dxa"/>
            <w:vAlign w:val="center"/>
          </w:tcPr>
          <w:p w14:paraId="4FA60983" w14:textId="77777777" w:rsidR="00AD3739" w:rsidRPr="00AD3739" w:rsidRDefault="00AD3739" w:rsidP="00DF497D">
            <w:pPr>
              <w:jc w:val="right"/>
              <w:rPr>
                <w:rFonts w:ascii="Arial Narrow" w:hAnsi="Arial Narrow" w:cs="Times New Roman"/>
                <w:sz w:val="20"/>
              </w:rPr>
            </w:pPr>
            <w:r w:rsidRPr="00AD3739">
              <w:rPr>
                <w:rFonts w:ascii="Arial Narrow" w:hAnsi="Arial Narrow" w:cs="Times New Roman"/>
                <w:sz w:val="20"/>
              </w:rPr>
              <w:t>$468,058</w:t>
            </w:r>
          </w:p>
        </w:tc>
        <w:tc>
          <w:tcPr>
            <w:tcW w:w="1041" w:type="dxa"/>
            <w:vAlign w:val="center"/>
          </w:tcPr>
          <w:p w14:paraId="2FC7D64F" w14:textId="77777777" w:rsidR="00AD3739" w:rsidRPr="00AD3739" w:rsidRDefault="00AD3739" w:rsidP="00DF497D">
            <w:pPr>
              <w:jc w:val="right"/>
              <w:rPr>
                <w:rFonts w:ascii="Arial Narrow" w:hAnsi="Arial Narrow" w:cs="Times New Roman"/>
                <w:sz w:val="20"/>
              </w:rPr>
            </w:pPr>
            <w:r w:rsidRPr="00AD3739">
              <w:rPr>
                <w:rFonts w:ascii="Arial Narrow" w:hAnsi="Arial Narrow" w:cs="Times New Roman"/>
                <w:sz w:val="20"/>
              </w:rPr>
              <w:t>$476,926</w:t>
            </w:r>
          </w:p>
        </w:tc>
      </w:tr>
      <w:tr w:rsidR="00AD3739" w:rsidRPr="00AD3739" w14:paraId="073BB693" w14:textId="77777777" w:rsidTr="00897494">
        <w:tc>
          <w:tcPr>
            <w:tcW w:w="3885" w:type="dxa"/>
          </w:tcPr>
          <w:p w14:paraId="531EA150" w14:textId="77777777" w:rsidR="00AD3739" w:rsidRPr="00AD3739" w:rsidRDefault="00AD3739" w:rsidP="00897494">
            <w:pPr>
              <w:rPr>
                <w:rFonts w:ascii="Arial Narrow" w:hAnsi="Arial Narrow" w:cs="Times New Roman"/>
                <w:sz w:val="20"/>
              </w:rPr>
            </w:pPr>
            <w:r w:rsidRPr="00AD3739">
              <w:rPr>
                <w:rFonts w:ascii="Arial Narrow" w:hAnsi="Arial Narrow" w:cs="Times New Roman"/>
                <w:sz w:val="20"/>
              </w:rPr>
              <w:t xml:space="preserve">Genetic </w:t>
            </w:r>
            <w:r w:rsidR="00897494">
              <w:rPr>
                <w:rFonts w:ascii="Arial Narrow" w:hAnsi="Arial Narrow" w:cs="Times New Roman"/>
                <w:sz w:val="20"/>
              </w:rPr>
              <w:t>c</w:t>
            </w:r>
            <w:r w:rsidRPr="00AD3739">
              <w:rPr>
                <w:rFonts w:ascii="Arial Narrow" w:hAnsi="Arial Narrow" w:cs="Times New Roman"/>
                <w:sz w:val="20"/>
              </w:rPr>
              <w:t>ounselling (affected individuals)</w:t>
            </w:r>
          </w:p>
        </w:tc>
        <w:tc>
          <w:tcPr>
            <w:tcW w:w="1134" w:type="dxa"/>
            <w:vAlign w:val="center"/>
          </w:tcPr>
          <w:p w14:paraId="591F68F5" w14:textId="77777777" w:rsidR="00AD3739" w:rsidRPr="00AD3739" w:rsidRDefault="00AD3739" w:rsidP="00DF497D">
            <w:pPr>
              <w:jc w:val="right"/>
              <w:rPr>
                <w:rFonts w:ascii="Arial Narrow" w:hAnsi="Arial Narrow" w:cs="Times New Roman"/>
                <w:sz w:val="20"/>
              </w:rPr>
            </w:pPr>
            <w:r w:rsidRPr="00AD3739">
              <w:rPr>
                <w:rFonts w:ascii="Arial Narrow" w:hAnsi="Arial Narrow" w:cs="Times New Roman"/>
                <w:sz w:val="20"/>
              </w:rPr>
              <w:t>$37,526</w:t>
            </w:r>
          </w:p>
        </w:tc>
        <w:tc>
          <w:tcPr>
            <w:tcW w:w="1099" w:type="dxa"/>
            <w:vAlign w:val="center"/>
          </w:tcPr>
          <w:p w14:paraId="250A5240" w14:textId="77777777" w:rsidR="00AD3739" w:rsidRPr="00AD3739" w:rsidRDefault="00AD3739" w:rsidP="00DF497D">
            <w:pPr>
              <w:jc w:val="right"/>
              <w:rPr>
                <w:rFonts w:ascii="Arial Narrow" w:hAnsi="Arial Narrow" w:cs="Times New Roman"/>
                <w:sz w:val="20"/>
              </w:rPr>
            </w:pPr>
            <w:r w:rsidRPr="00AD3739">
              <w:rPr>
                <w:rFonts w:ascii="Arial Narrow" w:hAnsi="Arial Narrow" w:cs="Times New Roman"/>
                <w:sz w:val="20"/>
              </w:rPr>
              <w:t>$38,280</w:t>
            </w:r>
          </w:p>
        </w:tc>
        <w:tc>
          <w:tcPr>
            <w:tcW w:w="1027" w:type="dxa"/>
            <w:vAlign w:val="center"/>
          </w:tcPr>
          <w:p w14:paraId="18023386" w14:textId="77777777" w:rsidR="00AD3739" w:rsidRPr="00AD3739" w:rsidRDefault="00AD3739" w:rsidP="00DF497D">
            <w:pPr>
              <w:jc w:val="right"/>
              <w:rPr>
                <w:rFonts w:ascii="Arial Narrow" w:hAnsi="Arial Narrow" w:cs="Times New Roman"/>
                <w:sz w:val="20"/>
              </w:rPr>
            </w:pPr>
            <w:r w:rsidRPr="00AD3739">
              <w:rPr>
                <w:rFonts w:ascii="Arial Narrow" w:hAnsi="Arial Narrow" w:cs="Times New Roman"/>
                <w:sz w:val="20"/>
              </w:rPr>
              <w:t>$44,610</w:t>
            </w:r>
          </w:p>
        </w:tc>
        <w:tc>
          <w:tcPr>
            <w:tcW w:w="1085" w:type="dxa"/>
            <w:vAlign w:val="center"/>
          </w:tcPr>
          <w:p w14:paraId="277F6017" w14:textId="77777777" w:rsidR="00AD3739" w:rsidRPr="00AD3739" w:rsidRDefault="00AD3739" w:rsidP="00DF497D">
            <w:pPr>
              <w:jc w:val="right"/>
              <w:rPr>
                <w:rFonts w:ascii="Arial Narrow" w:hAnsi="Arial Narrow" w:cs="Times New Roman"/>
                <w:sz w:val="20"/>
              </w:rPr>
            </w:pPr>
            <w:r w:rsidRPr="00AD3739">
              <w:rPr>
                <w:rFonts w:ascii="Arial Narrow" w:hAnsi="Arial Narrow" w:cs="Times New Roman"/>
                <w:sz w:val="20"/>
              </w:rPr>
              <w:t>$51,155</w:t>
            </w:r>
          </w:p>
        </w:tc>
        <w:tc>
          <w:tcPr>
            <w:tcW w:w="1041" w:type="dxa"/>
            <w:vAlign w:val="center"/>
          </w:tcPr>
          <w:p w14:paraId="5C9625F9" w14:textId="77777777" w:rsidR="00AD3739" w:rsidRPr="00AD3739" w:rsidRDefault="00AD3739" w:rsidP="00DF497D">
            <w:pPr>
              <w:jc w:val="right"/>
              <w:rPr>
                <w:rFonts w:ascii="Arial Narrow" w:hAnsi="Arial Narrow" w:cs="Times New Roman"/>
                <w:sz w:val="20"/>
              </w:rPr>
            </w:pPr>
            <w:r w:rsidRPr="00AD3739">
              <w:rPr>
                <w:rFonts w:ascii="Arial Narrow" w:hAnsi="Arial Narrow" w:cs="Times New Roman"/>
                <w:sz w:val="20"/>
              </w:rPr>
              <w:t>$52,124</w:t>
            </w:r>
          </w:p>
        </w:tc>
      </w:tr>
      <w:tr w:rsidR="00AD3739" w:rsidRPr="00AD3739" w14:paraId="630A3EA6" w14:textId="77777777" w:rsidTr="00897494">
        <w:tc>
          <w:tcPr>
            <w:tcW w:w="3885" w:type="dxa"/>
          </w:tcPr>
          <w:p w14:paraId="18D7D536" w14:textId="77777777" w:rsidR="00AD3739" w:rsidRPr="00AD3739" w:rsidRDefault="00897494" w:rsidP="00897494">
            <w:pPr>
              <w:rPr>
                <w:rFonts w:ascii="Arial Narrow" w:hAnsi="Arial Narrow" w:cs="Times New Roman"/>
                <w:sz w:val="20"/>
              </w:rPr>
            </w:pPr>
            <w:r>
              <w:rPr>
                <w:rFonts w:ascii="Arial Narrow" w:hAnsi="Arial Narrow" w:cs="Times New Roman"/>
                <w:sz w:val="20"/>
              </w:rPr>
              <w:t>Genetic c</w:t>
            </w:r>
            <w:r w:rsidR="00AD3739" w:rsidRPr="00AD3739">
              <w:rPr>
                <w:rFonts w:ascii="Arial Narrow" w:hAnsi="Arial Narrow" w:cs="Times New Roman"/>
                <w:sz w:val="20"/>
              </w:rPr>
              <w:t>ounselling (family pre</w:t>
            </w:r>
            <w:r>
              <w:rPr>
                <w:rFonts w:ascii="Arial Narrow" w:hAnsi="Arial Narrow" w:cs="Times New Roman"/>
                <w:sz w:val="20"/>
              </w:rPr>
              <w:t>-</w:t>
            </w:r>
            <w:r w:rsidR="00AD3739" w:rsidRPr="00AD3739">
              <w:rPr>
                <w:rFonts w:ascii="Arial Narrow" w:hAnsi="Arial Narrow" w:cs="Times New Roman"/>
                <w:sz w:val="20"/>
              </w:rPr>
              <w:t>test)</w:t>
            </w:r>
          </w:p>
        </w:tc>
        <w:tc>
          <w:tcPr>
            <w:tcW w:w="1134" w:type="dxa"/>
            <w:vAlign w:val="center"/>
          </w:tcPr>
          <w:p w14:paraId="2B1B27C0" w14:textId="77777777" w:rsidR="00AD3739" w:rsidRPr="00AD3739" w:rsidRDefault="00AD3739" w:rsidP="00DF497D">
            <w:pPr>
              <w:jc w:val="right"/>
              <w:rPr>
                <w:rFonts w:ascii="Arial Narrow" w:hAnsi="Arial Narrow" w:cs="Times New Roman"/>
                <w:sz w:val="20"/>
              </w:rPr>
            </w:pPr>
            <w:r w:rsidRPr="00AD3739">
              <w:rPr>
                <w:rFonts w:ascii="Arial Narrow" w:hAnsi="Arial Narrow" w:cs="Times New Roman"/>
                <w:sz w:val="20"/>
              </w:rPr>
              <w:t>$225,155</w:t>
            </w:r>
          </w:p>
        </w:tc>
        <w:tc>
          <w:tcPr>
            <w:tcW w:w="1099" w:type="dxa"/>
            <w:vAlign w:val="center"/>
          </w:tcPr>
          <w:p w14:paraId="4BD0ADE4" w14:textId="77777777" w:rsidR="00AD3739" w:rsidRPr="00AD3739" w:rsidRDefault="00AD3739" w:rsidP="00DF497D">
            <w:pPr>
              <w:jc w:val="right"/>
              <w:rPr>
                <w:rFonts w:ascii="Arial Narrow" w:hAnsi="Arial Narrow" w:cs="Times New Roman"/>
                <w:sz w:val="20"/>
              </w:rPr>
            </w:pPr>
            <w:r w:rsidRPr="00AD3739">
              <w:rPr>
                <w:rFonts w:ascii="Arial Narrow" w:hAnsi="Arial Narrow" w:cs="Times New Roman"/>
                <w:sz w:val="20"/>
              </w:rPr>
              <w:t>$229,678</w:t>
            </w:r>
          </w:p>
        </w:tc>
        <w:tc>
          <w:tcPr>
            <w:tcW w:w="1027" w:type="dxa"/>
            <w:vAlign w:val="center"/>
          </w:tcPr>
          <w:p w14:paraId="1FABE610" w14:textId="77777777" w:rsidR="00AD3739" w:rsidRPr="00AD3739" w:rsidRDefault="00AD3739" w:rsidP="00DF497D">
            <w:pPr>
              <w:jc w:val="right"/>
              <w:rPr>
                <w:rFonts w:ascii="Arial Narrow" w:hAnsi="Arial Narrow" w:cs="Times New Roman"/>
                <w:sz w:val="20"/>
              </w:rPr>
            </w:pPr>
            <w:r w:rsidRPr="00AD3739">
              <w:rPr>
                <w:rFonts w:ascii="Arial Narrow" w:hAnsi="Arial Narrow" w:cs="Times New Roman"/>
                <w:sz w:val="20"/>
              </w:rPr>
              <w:t>$267,659</w:t>
            </w:r>
          </w:p>
        </w:tc>
        <w:tc>
          <w:tcPr>
            <w:tcW w:w="1085" w:type="dxa"/>
            <w:vAlign w:val="center"/>
          </w:tcPr>
          <w:p w14:paraId="20A5AC50" w14:textId="77777777" w:rsidR="00AD3739" w:rsidRPr="00AD3739" w:rsidRDefault="00AD3739" w:rsidP="00DF497D">
            <w:pPr>
              <w:jc w:val="right"/>
              <w:rPr>
                <w:rFonts w:ascii="Arial Narrow" w:hAnsi="Arial Narrow" w:cs="Times New Roman"/>
                <w:sz w:val="20"/>
              </w:rPr>
            </w:pPr>
            <w:r w:rsidRPr="00AD3739">
              <w:rPr>
                <w:rFonts w:ascii="Arial Narrow" w:hAnsi="Arial Narrow" w:cs="Times New Roman"/>
                <w:sz w:val="20"/>
              </w:rPr>
              <w:t>$306,931</w:t>
            </w:r>
          </w:p>
        </w:tc>
        <w:tc>
          <w:tcPr>
            <w:tcW w:w="1041" w:type="dxa"/>
            <w:vAlign w:val="center"/>
          </w:tcPr>
          <w:p w14:paraId="0ED02AE5" w14:textId="77777777" w:rsidR="00AD3739" w:rsidRPr="00AD3739" w:rsidRDefault="00AD3739" w:rsidP="00DF497D">
            <w:pPr>
              <w:jc w:val="right"/>
              <w:rPr>
                <w:rFonts w:ascii="Arial Narrow" w:hAnsi="Arial Narrow" w:cs="Times New Roman"/>
                <w:sz w:val="20"/>
              </w:rPr>
            </w:pPr>
            <w:r w:rsidRPr="00AD3739">
              <w:rPr>
                <w:rFonts w:ascii="Arial Narrow" w:hAnsi="Arial Narrow" w:cs="Times New Roman"/>
                <w:sz w:val="20"/>
              </w:rPr>
              <w:t>$312,746</w:t>
            </w:r>
          </w:p>
        </w:tc>
      </w:tr>
      <w:tr w:rsidR="00AD3739" w:rsidRPr="00AD3739" w14:paraId="7E8977A8" w14:textId="77777777" w:rsidTr="00897494">
        <w:tc>
          <w:tcPr>
            <w:tcW w:w="3885" w:type="dxa"/>
          </w:tcPr>
          <w:p w14:paraId="1B124DA2" w14:textId="77777777" w:rsidR="00AD3739" w:rsidRPr="00AD3739" w:rsidRDefault="00897494" w:rsidP="00897494">
            <w:pPr>
              <w:rPr>
                <w:rFonts w:ascii="Arial Narrow" w:hAnsi="Arial Narrow" w:cs="Times New Roman"/>
                <w:sz w:val="20"/>
              </w:rPr>
            </w:pPr>
            <w:r>
              <w:rPr>
                <w:rFonts w:ascii="Arial Narrow" w:hAnsi="Arial Narrow" w:cs="Times New Roman"/>
                <w:sz w:val="20"/>
              </w:rPr>
              <w:t>Genetic c</w:t>
            </w:r>
            <w:r w:rsidR="00AD3739" w:rsidRPr="00AD3739">
              <w:rPr>
                <w:rFonts w:ascii="Arial Narrow" w:hAnsi="Arial Narrow" w:cs="Times New Roman"/>
                <w:sz w:val="20"/>
              </w:rPr>
              <w:t>ounselling (family members post-test)</w:t>
            </w:r>
          </w:p>
        </w:tc>
        <w:tc>
          <w:tcPr>
            <w:tcW w:w="1134" w:type="dxa"/>
            <w:vAlign w:val="center"/>
          </w:tcPr>
          <w:p w14:paraId="283905D6" w14:textId="77777777" w:rsidR="00AD3739" w:rsidRPr="00AD3739" w:rsidRDefault="00AD3739" w:rsidP="00DF497D">
            <w:pPr>
              <w:jc w:val="right"/>
              <w:rPr>
                <w:rFonts w:ascii="Arial Narrow" w:hAnsi="Arial Narrow" w:cs="Times New Roman"/>
                <w:sz w:val="20"/>
              </w:rPr>
            </w:pPr>
            <w:r w:rsidRPr="00AD3739">
              <w:rPr>
                <w:rFonts w:ascii="Arial Narrow" w:hAnsi="Arial Narrow" w:cs="Times New Roman"/>
                <w:sz w:val="20"/>
              </w:rPr>
              <w:t>$112,578</w:t>
            </w:r>
          </w:p>
        </w:tc>
        <w:tc>
          <w:tcPr>
            <w:tcW w:w="1099" w:type="dxa"/>
            <w:vAlign w:val="center"/>
          </w:tcPr>
          <w:p w14:paraId="2EA1AF3F" w14:textId="77777777" w:rsidR="00AD3739" w:rsidRPr="00AD3739" w:rsidRDefault="00AD3739" w:rsidP="00DF497D">
            <w:pPr>
              <w:jc w:val="right"/>
              <w:rPr>
                <w:rFonts w:ascii="Arial Narrow" w:hAnsi="Arial Narrow" w:cs="Times New Roman"/>
                <w:sz w:val="20"/>
              </w:rPr>
            </w:pPr>
            <w:r w:rsidRPr="00AD3739">
              <w:rPr>
                <w:rFonts w:ascii="Arial Narrow" w:hAnsi="Arial Narrow" w:cs="Times New Roman"/>
                <w:sz w:val="20"/>
              </w:rPr>
              <w:t>$114,839</w:t>
            </w:r>
          </w:p>
        </w:tc>
        <w:tc>
          <w:tcPr>
            <w:tcW w:w="1027" w:type="dxa"/>
            <w:vAlign w:val="center"/>
          </w:tcPr>
          <w:p w14:paraId="0BCCC8D3" w14:textId="77777777" w:rsidR="00AD3739" w:rsidRPr="00AD3739" w:rsidRDefault="00AD3739" w:rsidP="00DF497D">
            <w:pPr>
              <w:jc w:val="right"/>
              <w:rPr>
                <w:rFonts w:ascii="Arial Narrow" w:hAnsi="Arial Narrow" w:cs="Times New Roman"/>
                <w:sz w:val="20"/>
              </w:rPr>
            </w:pPr>
            <w:r w:rsidRPr="00AD3739">
              <w:rPr>
                <w:rFonts w:ascii="Arial Narrow" w:hAnsi="Arial Narrow" w:cs="Times New Roman"/>
                <w:sz w:val="20"/>
              </w:rPr>
              <w:t>$133,829</w:t>
            </w:r>
          </w:p>
        </w:tc>
        <w:tc>
          <w:tcPr>
            <w:tcW w:w="1085" w:type="dxa"/>
            <w:vAlign w:val="center"/>
          </w:tcPr>
          <w:p w14:paraId="4A40FE53" w14:textId="77777777" w:rsidR="00AD3739" w:rsidRPr="00AD3739" w:rsidRDefault="00AD3739" w:rsidP="00DF497D">
            <w:pPr>
              <w:jc w:val="right"/>
              <w:rPr>
                <w:rFonts w:ascii="Arial Narrow" w:hAnsi="Arial Narrow" w:cs="Times New Roman"/>
                <w:sz w:val="20"/>
              </w:rPr>
            </w:pPr>
            <w:r w:rsidRPr="00AD3739">
              <w:rPr>
                <w:rFonts w:ascii="Arial Narrow" w:hAnsi="Arial Narrow" w:cs="Times New Roman"/>
                <w:sz w:val="20"/>
              </w:rPr>
              <w:t>$153,465</w:t>
            </w:r>
          </w:p>
        </w:tc>
        <w:tc>
          <w:tcPr>
            <w:tcW w:w="1041" w:type="dxa"/>
            <w:vAlign w:val="center"/>
          </w:tcPr>
          <w:p w14:paraId="3A698E6B" w14:textId="77777777" w:rsidR="00AD3739" w:rsidRPr="00AD3739" w:rsidRDefault="00AD3739" w:rsidP="00DF497D">
            <w:pPr>
              <w:jc w:val="right"/>
              <w:rPr>
                <w:rFonts w:ascii="Arial Narrow" w:hAnsi="Arial Narrow" w:cs="Times New Roman"/>
                <w:sz w:val="20"/>
              </w:rPr>
            </w:pPr>
            <w:r w:rsidRPr="00AD3739">
              <w:rPr>
                <w:rFonts w:ascii="Arial Narrow" w:hAnsi="Arial Narrow" w:cs="Times New Roman"/>
                <w:sz w:val="20"/>
              </w:rPr>
              <w:t>$156,373</w:t>
            </w:r>
          </w:p>
        </w:tc>
      </w:tr>
      <w:tr w:rsidR="00AD3739" w:rsidRPr="00AD3739" w14:paraId="143CA0C9" w14:textId="77777777" w:rsidTr="00897494">
        <w:tc>
          <w:tcPr>
            <w:tcW w:w="3885" w:type="dxa"/>
          </w:tcPr>
          <w:p w14:paraId="7AC07199" w14:textId="77777777" w:rsidR="00AD3739" w:rsidRPr="00AD3739" w:rsidRDefault="00AD3739" w:rsidP="00897494">
            <w:pPr>
              <w:rPr>
                <w:rFonts w:ascii="Arial Narrow" w:hAnsi="Arial Narrow" w:cs="Times New Roman"/>
                <w:sz w:val="20"/>
              </w:rPr>
            </w:pPr>
            <w:r w:rsidRPr="00AD3739">
              <w:rPr>
                <w:rFonts w:ascii="Arial Narrow" w:hAnsi="Arial Narrow" w:cs="Times New Roman"/>
                <w:sz w:val="20"/>
              </w:rPr>
              <w:t xml:space="preserve">Preventive surgeries (affected </w:t>
            </w:r>
            <w:r w:rsidR="00897494">
              <w:rPr>
                <w:rFonts w:ascii="Arial Narrow" w:hAnsi="Arial Narrow" w:cs="Times New Roman"/>
                <w:sz w:val="20"/>
              </w:rPr>
              <w:t>individuals)</w:t>
            </w:r>
          </w:p>
        </w:tc>
        <w:tc>
          <w:tcPr>
            <w:tcW w:w="1134" w:type="dxa"/>
          </w:tcPr>
          <w:p w14:paraId="43D2E74E" w14:textId="77777777" w:rsidR="00AD3739" w:rsidRPr="00AD3739" w:rsidRDefault="00AD3739" w:rsidP="00E71C9F">
            <w:pPr>
              <w:jc w:val="right"/>
              <w:rPr>
                <w:rFonts w:ascii="Arial Narrow" w:hAnsi="Arial Narrow" w:cs="Times New Roman"/>
                <w:sz w:val="20"/>
              </w:rPr>
            </w:pPr>
            <w:r w:rsidRPr="00AD3739">
              <w:rPr>
                <w:rFonts w:ascii="Arial Narrow" w:hAnsi="Arial Narrow" w:cs="Times New Roman"/>
                <w:sz w:val="20"/>
              </w:rPr>
              <w:t>$1,714,734</w:t>
            </w:r>
          </w:p>
        </w:tc>
        <w:tc>
          <w:tcPr>
            <w:tcW w:w="1099" w:type="dxa"/>
          </w:tcPr>
          <w:p w14:paraId="0D006465" w14:textId="77777777" w:rsidR="00AD3739" w:rsidRPr="00AD3739" w:rsidRDefault="00E71C9F" w:rsidP="00DF497D">
            <w:pPr>
              <w:jc w:val="right"/>
              <w:rPr>
                <w:rFonts w:ascii="Arial Narrow" w:hAnsi="Arial Narrow" w:cs="Times New Roman"/>
                <w:sz w:val="20"/>
              </w:rPr>
            </w:pPr>
            <w:r>
              <w:rPr>
                <w:rFonts w:ascii="Arial Narrow" w:hAnsi="Arial Narrow" w:cs="Times New Roman"/>
                <w:sz w:val="20"/>
              </w:rPr>
              <w:t>$1,749,179</w:t>
            </w:r>
          </w:p>
        </w:tc>
        <w:tc>
          <w:tcPr>
            <w:tcW w:w="1027" w:type="dxa"/>
          </w:tcPr>
          <w:p w14:paraId="63182DFD" w14:textId="77777777" w:rsidR="00AD3739" w:rsidRPr="00AD3739" w:rsidRDefault="00E71C9F" w:rsidP="00DF497D">
            <w:pPr>
              <w:jc w:val="right"/>
              <w:rPr>
                <w:rFonts w:ascii="Arial Narrow" w:hAnsi="Arial Narrow" w:cs="Times New Roman"/>
                <w:sz w:val="20"/>
              </w:rPr>
            </w:pPr>
            <w:r>
              <w:rPr>
                <w:rFonts w:ascii="Arial Narrow" w:hAnsi="Arial Narrow" w:cs="Times New Roman"/>
                <w:sz w:val="20"/>
              </w:rPr>
              <w:t>$2,038,428</w:t>
            </w:r>
          </w:p>
        </w:tc>
        <w:tc>
          <w:tcPr>
            <w:tcW w:w="1085" w:type="dxa"/>
          </w:tcPr>
          <w:p w14:paraId="31A91EB3" w14:textId="77777777" w:rsidR="00AD3739" w:rsidRPr="00AD3739" w:rsidRDefault="00E71C9F" w:rsidP="00DF497D">
            <w:pPr>
              <w:jc w:val="right"/>
              <w:rPr>
                <w:rFonts w:ascii="Arial Narrow" w:hAnsi="Arial Narrow" w:cs="Times New Roman"/>
                <w:sz w:val="20"/>
              </w:rPr>
            </w:pPr>
            <w:r>
              <w:rPr>
                <w:rFonts w:ascii="Arial Narrow" w:hAnsi="Arial Narrow" w:cs="Times New Roman"/>
                <w:sz w:val="20"/>
              </w:rPr>
              <w:t>$2,337,519</w:t>
            </w:r>
          </w:p>
        </w:tc>
        <w:tc>
          <w:tcPr>
            <w:tcW w:w="1041" w:type="dxa"/>
          </w:tcPr>
          <w:p w14:paraId="400B800F" w14:textId="77777777" w:rsidR="00AD3739" w:rsidRPr="00AD3739" w:rsidRDefault="00E71C9F" w:rsidP="00DF497D">
            <w:pPr>
              <w:jc w:val="right"/>
              <w:rPr>
                <w:rFonts w:ascii="Arial Narrow" w:hAnsi="Arial Narrow" w:cs="Times New Roman"/>
                <w:sz w:val="20"/>
              </w:rPr>
            </w:pPr>
            <w:r>
              <w:rPr>
                <w:rFonts w:ascii="Arial Narrow" w:hAnsi="Arial Narrow" w:cs="Times New Roman"/>
                <w:sz w:val="20"/>
              </w:rPr>
              <w:t>$2,381,805</w:t>
            </w:r>
          </w:p>
        </w:tc>
      </w:tr>
      <w:tr w:rsidR="00AD3739" w:rsidRPr="00AD3739" w14:paraId="0DF6FA29" w14:textId="77777777" w:rsidTr="00897494">
        <w:tc>
          <w:tcPr>
            <w:tcW w:w="3885" w:type="dxa"/>
          </w:tcPr>
          <w:p w14:paraId="74F0F09F" w14:textId="77777777" w:rsidR="00AD3739" w:rsidRPr="00AD3739" w:rsidRDefault="00AD3739" w:rsidP="00897494">
            <w:pPr>
              <w:rPr>
                <w:rFonts w:ascii="Arial Narrow" w:hAnsi="Arial Narrow" w:cs="Times New Roman"/>
                <w:sz w:val="20"/>
              </w:rPr>
            </w:pPr>
            <w:r w:rsidRPr="00AD3739">
              <w:rPr>
                <w:rFonts w:ascii="Arial Narrow" w:hAnsi="Arial Narrow" w:cs="Times New Roman"/>
                <w:sz w:val="20"/>
              </w:rPr>
              <w:t>Preventive surgeries (family members)</w:t>
            </w:r>
          </w:p>
        </w:tc>
        <w:tc>
          <w:tcPr>
            <w:tcW w:w="1134" w:type="dxa"/>
            <w:vAlign w:val="center"/>
          </w:tcPr>
          <w:p w14:paraId="5A4BE70A" w14:textId="77777777" w:rsidR="00AD3739" w:rsidRPr="00AD3739" w:rsidRDefault="00AD3739" w:rsidP="00DF497D">
            <w:pPr>
              <w:jc w:val="right"/>
              <w:rPr>
                <w:rFonts w:ascii="Arial Narrow" w:hAnsi="Arial Narrow" w:cs="Times New Roman"/>
                <w:sz w:val="20"/>
              </w:rPr>
            </w:pPr>
            <w:r w:rsidRPr="00AD3739">
              <w:rPr>
                <w:rFonts w:ascii="Arial Narrow" w:hAnsi="Arial Narrow" w:cs="Times New Roman"/>
                <w:sz w:val="20"/>
              </w:rPr>
              <w:t>$6,589,171</w:t>
            </w:r>
          </w:p>
        </w:tc>
        <w:tc>
          <w:tcPr>
            <w:tcW w:w="1099" w:type="dxa"/>
            <w:vAlign w:val="center"/>
          </w:tcPr>
          <w:p w14:paraId="2CEB5E66" w14:textId="77777777" w:rsidR="00AD3739" w:rsidRPr="00AD3739" w:rsidRDefault="00AD3739" w:rsidP="00DF497D">
            <w:pPr>
              <w:jc w:val="right"/>
              <w:rPr>
                <w:rFonts w:ascii="Arial Narrow" w:hAnsi="Arial Narrow" w:cs="Times New Roman"/>
                <w:sz w:val="20"/>
              </w:rPr>
            </w:pPr>
            <w:r w:rsidRPr="00AD3739">
              <w:rPr>
                <w:rFonts w:ascii="Arial Narrow" w:hAnsi="Arial Narrow" w:cs="Times New Roman"/>
                <w:sz w:val="20"/>
              </w:rPr>
              <w:t>$6,721,533</w:t>
            </w:r>
          </w:p>
        </w:tc>
        <w:tc>
          <w:tcPr>
            <w:tcW w:w="1027" w:type="dxa"/>
            <w:vAlign w:val="center"/>
          </w:tcPr>
          <w:p w14:paraId="5C913AE1" w14:textId="77777777" w:rsidR="00AD3739" w:rsidRPr="00AD3739" w:rsidRDefault="00AD3739" w:rsidP="00DF497D">
            <w:pPr>
              <w:jc w:val="right"/>
              <w:rPr>
                <w:rFonts w:ascii="Arial Narrow" w:hAnsi="Arial Narrow" w:cs="Times New Roman"/>
                <w:sz w:val="20"/>
              </w:rPr>
            </w:pPr>
            <w:r w:rsidRPr="00AD3739">
              <w:rPr>
                <w:rFonts w:ascii="Arial Narrow" w:hAnsi="Arial Narrow" w:cs="Times New Roman"/>
                <w:sz w:val="20"/>
              </w:rPr>
              <w:t>$7,833,023</w:t>
            </w:r>
          </w:p>
        </w:tc>
        <w:tc>
          <w:tcPr>
            <w:tcW w:w="1085" w:type="dxa"/>
            <w:vAlign w:val="center"/>
          </w:tcPr>
          <w:p w14:paraId="4A8CC30C" w14:textId="77777777" w:rsidR="00AD3739" w:rsidRPr="00AD3739" w:rsidRDefault="00AD3739" w:rsidP="00DF497D">
            <w:pPr>
              <w:jc w:val="right"/>
              <w:rPr>
                <w:rFonts w:ascii="Arial Narrow" w:hAnsi="Arial Narrow" w:cs="Times New Roman"/>
                <w:sz w:val="20"/>
              </w:rPr>
            </w:pPr>
            <w:r w:rsidRPr="00AD3739">
              <w:rPr>
                <w:rFonts w:ascii="Arial Narrow" w:hAnsi="Arial Narrow" w:cs="Times New Roman"/>
                <w:sz w:val="20"/>
              </w:rPr>
              <w:t>$8,982,332</w:t>
            </w:r>
          </w:p>
        </w:tc>
        <w:tc>
          <w:tcPr>
            <w:tcW w:w="1041" w:type="dxa"/>
            <w:vAlign w:val="center"/>
          </w:tcPr>
          <w:p w14:paraId="15238020" w14:textId="77777777" w:rsidR="00AD3739" w:rsidRPr="00AD3739" w:rsidRDefault="00AD3739" w:rsidP="00DF497D">
            <w:pPr>
              <w:jc w:val="right"/>
              <w:rPr>
                <w:rFonts w:ascii="Arial Narrow" w:hAnsi="Arial Narrow" w:cs="Times New Roman"/>
                <w:sz w:val="20"/>
              </w:rPr>
            </w:pPr>
            <w:r w:rsidRPr="00AD3739">
              <w:rPr>
                <w:rFonts w:ascii="Arial Narrow" w:hAnsi="Arial Narrow" w:cs="Times New Roman"/>
                <w:sz w:val="20"/>
              </w:rPr>
              <w:t>$9,152,512</w:t>
            </w:r>
          </w:p>
        </w:tc>
      </w:tr>
      <w:tr w:rsidR="00AD3739" w:rsidRPr="00AD3739" w14:paraId="14E18B9E" w14:textId="77777777" w:rsidTr="00897494">
        <w:trPr>
          <w:trHeight w:val="92"/>
        </w:trPr>
        <w:tc>
          <w:tcPr>
            <w:tcW w:w="3885" w:type="dxa"/>
            <w:shd w:val="clear" w:color="auto" w:fill="auto"/>
          </w:tcPr>
          <w:p w14:paraId="56E7A2A7" w14:textId="77777777" w:rsidR="00AD3739" w:rsidRPr="00AD3739" w:rsidRDefault="00AD3739" w:rsidP="00DF497D">
            <w:pPr>
              <w:rPr>
                <w:rFonts w:ascii="Arial Narrow" w:hAnsi="Arial Narrow" w:cs="Times New Roman"/>
                <w:sz w:val="20"/>
              </w:rPr>
            </w:pPr>
            <w:r w:rsidRPr="00AD3739">
              <w:rPr>
                <w:rFonts w:ascii="Arial Narrow" w:hAnsi="Arial Narrow" w:cs="Times New Roman"/>
                <w:sz w:val="20"/>
              </w:rPr>
              <w:t>Total cost to the MBS</w:t>
            </w:r>
          </w:p>
        </w:tc>
        <w:tc>
          <w:tcPr>
            <w:tcW w:w="1134" w:type="dxa"/>
            <w:shd w:val="clear" w:color="auto" w:fill="auto"/>
            <w:vAlign w:val="bottom"/>
          </w:tcPr>
          <w:p w14:paraId="0F57BD82" w14:textId="77777777" w:rsidR="00AD3739" w:rsidRPr="00AD3739" w:rsidRDefault="00AD3739" w:rsidP="00DF497D">
            <w:pPr>
              <w:jc w:val="right"/>
              <w:rPr>
                <w:rFonts w:ascii="Arial Narrow" w:hAnsi="Arial Narrow" w:cs="Times New Roman"/>
                <w:sz w:val="20"/>
              </w:rPr>
            </w:pPr>
            <w:r w:rsidRPr="00AD3739">
              <w:rPr>
                <w:rFonts w:ascii="Arial Narrow" w:hAnsi="Arial Narrow" w:cs="Times New Roman"/>
                <w:sz w:val="20"/>
              </w:rPr>
              <w:t>$10,915,867</w:t>
            </w:r>
          </w:p>
        </w:tc>
        <w:tc>
          <w:tcPr>
            <w:tcW w:w="1099" w:type="dxa"/>
            <w:shd w:val="clear" w:color="auto" w:fill="auto"/>
            <w:vAlign w:val="bottom"/>
          </w:tcPr>
          <w:p w14:paraId="340DD9BA" w14:textId="77777777" w:rsidR="00AD3739" w:rsidRPr="00AD3739" w:rsidRDefault="00AD3739" w:rsidP="00DF497D">
            <w:pPr>
              <w:jc w:val="right"/>
              <w:rPr>
                <w:rFonts w:ascii="Arial Narrow" w:hAnsi="Arial Narrow" w:cs="Times New Roman"/>
                <w:sz w:val="20"/>
              </w:rPr>
            </w:pPr>
            <w:r w:rsidRPr="00AD3739">
              <w:rPr>
                <w:rFonts w:ascii="Arial Narrow" w:hAnsi="Arial Narrow" w:cs="Times New Roman"/>
                <w:sz w:val="20"/>
              </w:rPr>
              <w:t>$11,135,142</w:t>
            </w:r>
          </w:p>
        </w:tc>
        <w:tc>
          <w:tcPr>
            <w:tcW w:w="1027" w:type="dxa"/>
            <w:shd w:val="clear" w:color="auto" w:fill="auto"/>
            <w:vAlign w:val="bottom"/>
          </w:tcPr>
          <w:p w14:paraId="12668293" w14:textId="77777777" w:rsidR="00AD3739" w:rsidRPr="00AD3739" w:rsidRDefault="00AD3739" w:rsidP="00DF497D">
            <w:pPr>
              <w:jc w:val="right"/>
              <w:rPr>
                <w:rFonts w:ascii="Arial Narrow" w:hAnsi="Arial Narrow" w:cs="Times New Roman"/>
                <w:sz w:val="20"/>
              </w:rPr>
            </w:pPr>
            <w:r w:rsidRPr="00AD3739">
              <w:rPr>
                <w:rFonts w:ascii="Arial Narrow" w:hAnsi="Arial Narrow" w:cs="Times New Roman"/>
                <w:sz w:val="20"/>
              </w:rPr>
              <w:t>$12,976,479</w:t>
            </w:r>
          </w:p>
        </w:tc>
        <w:tc>
          <w:tcPr>
            <w:tcW w:w="1085" w:type="dxa"/>
            <w:shd w:val="clear" w:color="auto" w:fill="auto"/>
            <w:vAlign w:val="bottom"/>
          </w:tcPr>
          <w:p w14:paraId="01ABF841" w14:textId="77777777" w:rsidR="00AD3739" w:rsidRPr="00AD3739" w:rsidRDefault="00AD3739" w:rsidP="00DF497D">
            <w:pPr>
              <w:jc w:val="right"/>
              <w:rPr>
                <w:rFonts w:ascii="Arial Narrow" w:hAnsi="Arial Narrow" w:cs="Times New Roman"/>
                <w:sz w:val="20"/>
              </w:rPr>
            </w:pPr>
            <w:r w:rsidRPr="00AD3739">
              <w:rPr>
                <w:rFonts w:ascii="Arial Narrow" w:hAnsi="Arial Narrow" w:cs="Times New Roman"/>
                <w:sz w:val="20"/>
              </w:rPr>
              <w:t>$14,880,467</w:t>
            </w:r>
          </w:p>
        </w:tc>
        <w:tc>
          <w:tcPr>
            <w:tcW w:w="1041" w:type="dxa"/>
            <w:shd w:val="clear" w:color="auto" w:fill="auto"/>
            <w:vAlign w:val="bottom"/>
          </w:tcPr>
          <w:p w14:paraId="3D5F8797" w14:textId="77777777" w:rsidR="00AD3739" w:rsidRPr="00AD3739" w:rsidRDefault="00AD3739" w:rsidP="00DF497D">
            <w:pPr>
              <w:jc w:val="right"/>
              <w:rPr>
                <w:rFonts w:ascii="Arial Narrow" w:hAnsi="Arial Narrow" w:cs="Times New Roman"/>
                <w:sz w:val="20"/>
              </w:rPr>
            </w:pPr>
            <w:r w:rsidRPr="00AD3739">
              <w:rPr>
                <w:rFonts w:ascii="Arial Narrow" w:hAnsi="Arial Narrow" w:cs="Times New Roman"/>
                <w:sz w:val="20"/>
              </w:rPr>
              <w:t>$15,162,393</w:t>
            </w:r>
          </w:p>
        </w:tc>
      </w:tr>
    </w:tbl>
    <w:p w14:paraId="2BB5FC20" w14:textId="77777777" w:rsidR="00AD3739" w:rsidRDefault="00AD3739" w:rsidP="00AD3739"/>
    <w:p w14:paraId="7F96154A" w14:textId="77777777" w:rsidR="006A0D97" w:rsidRDefault="006A0D97" w:rsidP="006A0D97">
      <w:pPr>
        <w:pStyle w:val="Heading1"/>
        <w:numPr>
          <w:ilvl w:val="0"/>
          <w:numId w:val="23"/>
        </w:numPr>
        <w:ind w:hanging="720"/>
      </w:pPr>
      <w:r w:rsidRPr="006A0D97">
        <w:t>Key issues from ESC for MSAC</w:t>
      </w:r>
    </w:p>
    <w:p w14:paraId="3BBBA488" w14:textId="77777777" w:rsidR="006A0D97" w:rsidRDefault="006A0D97" w:rsidP="006A0D97"/>
    <w:p w14:paraId="28A3B792" w14:textId="77777777" w:rsidR="00EF5AED" w:rsidRDefault="00EF5AED" w:rsidP="00EF5AED">
      <w:r>
        <w:t>ESC noted that application 1411 was a pilot application which would establish an approach to assessing future applications</w:t>
      </w:r>
      <w:r w:rsidR="00B460F2">
        <w:t xml:space="preserve"> for diagnostic</w:t>
      </w:r>
      <w:r w:rsidR="00E71C9F">
        <w:t xml:space="preserve"> genetic testing</w:t>
      </w:r>
      <w:r w:rsidR="00B460F2">
        <w:t xml:space="preserve"> </w:t>
      </w:r>
      <w:r w:rsidR="00DE0578">
        <w:t xml:space="preserve">and predictive </w:t>
      </w:r>
      <w:r w:rsidR="00B460F2">
        <w:t>genetic testing</w:t>
      </w:r>
      <w:r>
        <w:t>. ESC considered that it was therefore critically important to ensure the optimal approach.</w:t>
      </w:r>
    </w:p>
    <w:p w14:paraId="2BC61E6D" w14:textId="77777777" w:rsidR="004F0344" w:rsidRDefault="004F0344" w:rsidP="00EF5AED"/>
    <w:p w14:paraId="6A8A12E3" w14:textId="77777777" w:rsidR="00EF5AED" w:rsidRDefault="00EF5AED" w:rsidP="00EF5AED">
      <w:r>
        <w:t>ESC viewed the economic evaluation as preliminary and advised that there were a</w:t>
      </w:r>
      <w:r w:rsidR="004F0344">
        <w:t xml:space="preserve"> </w:t>
      </w:r>
      <w:r>
        <w:t>range of methodological issues that needed to be addressed before the analysis was</w:t>
      </w:r>
      <w:r w:rsidR="004F0344">
        <w:t xml:space="preserve"> </w:t>
      </w:r>
      <w:r>
        <w:t>suitable for MSAC consideration, and before the generalizable approach could be</w:t>
      </w:r>
      <w:r w:rsidR="004F0344">
        <w:t xml:space="preserve"> </w:t>
      </w:r>
      <w:r>
        <w:t>finalised. Key issues included:</w:t>
      </w:r>
    </w:p>
    <w:p w14:paraId="4E037FC2" w14:textId="77777777" w:rsidR="004F0344" w:rsidRDefault="00EF5AED" w:rsidP="00EF5AED">
      <w:pPr>
        <w:pStyle w:val="ListParagraph"/>
        <w:numPr>
          <w:ilvl w:val="0"/>
          <w:numId w:val="30"/>
        </w:numPr>
        <w:spacing w:after="120"/>
      </w:pPr>
      <w:r>
        <w:t>The use of a weighted average approach to modelling the ICER for the entire</w:t>
      </w:r>
      <w:r w:rsidR="004F0344">
        <w:t xml:space="preserve"> </w:t>
      </w:r>
      <w:r>
        <w:t>eligible population (including both affected individuals and family members).</w:t>
      </w:r>
      <w:r w:rsidR="004F0344">
        <w:t xml:space="preserve"> </w:t>
      </w:r>
      <w:r>
        <w:t>ESC requested that additional modelling be undertaken based on an integrated</w:t>
      </w:r>
      <w:r w:rsidR="004F0344">
        <w:t xml:space="preserve"> </w:t>
      </w:r>
      <w:r>
        <w:t>model including both populations to derive an alternative ICER;</w:t>
      </w:r>
    </w:p>
    <w:p w14:paraId="77490187" w14:textId="77777777" w:rsidR="004F0344" w:rsidRDefault="00EF5AED" w:rsidP="00EF5AED">
      <w:pPr>
        <w:pStyle w:val="ListParagraph"/>
        <w:numPr>
          <w:ilvl w:val="0"/>
          <w:numId w:val="30"/>
        </w:numPr>
        <w:spacing w:after="120"/>
      </w:pPr>
      <w:r>
        <w:lastRenderedPageBreak/>
        <w:t>Use of expert opinion as the basis of key inputs to the model (e.g. rate of use of</w:t>
      </w:r>
      <w:r w:rsidR="004F0344">
        <w:t xml:space="preserve"> </w:t>
      </w:r>
      <w:r>
        <w:t>different treatment modalities for breast cancer; number of family members</w:t>
      </w:r>
      <w:r w:rsidR="004F0344">
        <w:t xml:space="preserve"> </w:t>
      </w:r>
      <w:r>
        <w:t>tested per affected individual);</w:t>
      </w:r>
    </w:p>
    <w:p w14:paraId="46CC7FE5" w14:textId="77777777" w:rsidR="004F0344" w:rsidRDefault="00EF5AED" w:rsidP="00EF5AED">
      <w:pPr>
        <w:pStyle w:val="ListParagraph"/>
        <w:numPr>
          <w:ilvl w:val="0"/>
          <w:numId w:val="30"/>
        </w:numPr>
        <w:spacing w:after="120"/>
      </w:pPr>
      <w:r>
        <w:t>Whether MSAC should require inputs or justification for proposed fees; and</w:t>
      </w:r>
    </w:p>
    <w:p w14:paraId="2E5344BE" w14:textId="77777777" w:rsidR="00EF5AED" w:rsidRDefault="00EF5AED" w:rsidP="004F0344">
      <w:pPr>
        <w:pStyle w:val="ListParagraph"/>
        <w:numPr>
          <w:ilvl w:val="0"/>
          <w:numId w:val="30"/>
        </w:numPr>
        <w:ind w:left="714" w:hanging="357"/>
      </w:pPr>
      <w:r>
        <w:t>Potential oversimplification which excluded key benefits and behaviours (e</w:t>
      </w:r>
      <w:r w:rsidR="00DE0578">
        <w:t>.</w:t>
      </w:r>
      <w:r>
        <w:t>g.</w:t>
      </w:r>
      <w:r w:rsidR="004F0344">
        <w:t xml:space="preserve"> </w:t>
      </w:r>
      <w:r>
        <w:t>differences in surveillance across arms in the model; the risk/impact of ovarian</w:t>
      </w:r>
      <w:r w:rsidR="004F0344">
        <w:t xml:space="preserve"> </w:t>
      </w:r>
      <w:r>
        <w:t>cancer in individuals affected with breast cancer, and in the family members of</w:t>
      </w:r>
      <w:r w:rsidR="004F0344">
        <w:t xml:space="preserve"> </w:t>
      </w:r>
      <w:proofErr w:type="spellStart"/>
      <w:r>
        <w:t>probands</w:t>
      </w:r>
      <w:proofErr w:type="spellEnd"/>
      <w:r>
        <w:t xml:space="preserve"> identified with ovarian cancer).</w:t>
      </w:r>
    </w:p>
    <w:p w14:paraId="4B80EA9D" w14:textId="77777777" w:rsidR="004F0344" w:rsidRDefault="004F0344" w:rsidP="00EF5AED"/>
    <w:p w14:paraId="2BB56EB7" w14:textId="77777777" w:rsidR="00EF5AED" w:rsidRDefault="00EF5AED" w:rsidP="00EF5AED">
      <w:r>
        <w:t>ESC advised that the economic analysis should be revised to address the full range</w:t>
      </w:r>
      <w:r w:rsidR="004F0344">
        <w:t xml:space="preserve"> </w:t>
      </w:r>
      <w:r>
        <w:t>of issues and that it would be beneficial for ESC to review the revised analysis once</w:t>
      </w:r>
      <w:r w:rsidR="004F0344">
        <w:t xml:space="preserve"> </w:t>
      </w:r>
      <w:r>
        <w:t>completed.</w:t>
      </w:r>
    </w:p>
    <w:p w14:paraId="6A65289C" w14:textId="77777777" w:rsidR="00EF5AED" w:rsidRDefault="00EF5AED" w:rsidP="00EF5AED"/>
    <w:p w14:paraId="45D3E979" w14:textId="77777777" w:rsidR="00EF5AED" w:rsidRDefault="004F0344" w:rsidP="00EF5AED">
      <w:r>
        <w:t>E</w:t>
      </w:r>
      <w:r w:rsidR="00EF5AED">
        <w:t>SC also considered there would be value in the CUC including a summary figure or</w:t>
      </w:r>
      <w:r>
        <w:t xml:space="preserve"> </w:t>
      </w:r>
      <w:r w:rsidR="00EF5AED">
        <w:t>table to illustrate the relationship between the proposed eligible populations and the</w:t>
      </w:r>
      <w:r>
        <w:t xml:space="preserve"> </w:t>
      </w:r>
      <w:r w:rsidR="00EF5AED">
        <w:t>population(s) and aspects of care included in the economic evaluation. This would</w:t>
      </w:r>
      <w:r>
        <w:t xml:space="preserve"> </w:t>
      </w:r>
      <w:r w:rsidR="00EF5AED">
        <w:t xml:space="preserve">allow </w:t>
      </w:r>
      <w:r w:rsidR="00DE0578">
        <w:t xml:space="preserve">MSAC </w:t>
      </w:r>
      <w:r w:rsidR="00EF5AED">
        <w:t>to judge the potential impact on the ICERs of considering only the</w:t>
      </w:r>
      <w:r>
        <w:t xml:space="preserve"> </w:t>
      </w:r>
      <w:r w:rsidR="00EF5AED">
        <w:t>main effects (</w:t>
      </w:r>
      <w:proofErr w:type="spellStart"/>
      <w:r w:rsidR="00EF5AED">
        <w:t>eg</w:t>
      </w:r>
      <w:proofErr w:type="spellEnd"/>
      <w:r w:rsidR="00EF5AED">
        <w:t>. subsequent breast cancer but not ovarian cancer in the pilot case).</w:t>
      </w:r>
    </w:p>
    <w:p w14:paraId="6DB0AA03" w14:textId="77777777" w:rsidR="004F0344" w:rsidRDefault="004F0344" w:rsidP="00EF5AED"/>
    <w:p w14:paraId="2D7713E0" w14:textId="77777777" w:rsidR="00EF5AED" w:rsidRDefault="00EF5AED" w:rsidP="00EF5AED">
      <w:r>
        <w:t>ESC advised that the ICERs derived from the model were highly uncertain and</w:t>
      </w:r>
      <w:r w:rsidR="004F0344">
        <w:t xml:space="preserve"> </w:t>
      </w:r>
      <w:r>
        <w:t>likely overestimated, noting that while the modelled ICERs indicated that testing</w:t>
      </w:r>
      <w:r w:rsidR="004F0344">
        <w:t xml:space="preserve"> </w:t>
      </w:r>
      <w:r>
        <w:t>would not be cost effective in either population, the sensitivity analyses indicated</w:t>
      </w:r>
      <w:r w:rsidR="004F0344">
        <w:t xml:space="preserve"> </w:t>
      </w:r>
      <w:r>
        <w:t>potential for the ICERs and/or the weighted ICER to become cost effective when the</w:t>
      </w:r>
      <w:r w:rsidR="004F0344">
        <w:t xml:space="preserve"> </w:t>
      </w:r>
      <w:r>
        <w:t>modelling was based on age-related relative risk. For example, the use of a relative</w:t>
      </w:r>
      <w:r w:rsidR="004F0344">
        <w:t xml:space="preserve"> </w:t>
      </w:r>
      <w:r>
        <w:t>risk for the lifetime risk of breast cancer for family members instead of age</w:t>
      </w:r>
      <w:r w:rsidR="00DE0578">
        <w:t>-</w:t>
      </w:r>
      <w:r>
        <w:t>related</w:t>
      </w:r>
      <w:r w:rsidR="004F0344">
        <w:t xml:space="preserve"> </w:t>
      </w:r>
      <w:r>
        <w:t>relative risk likely underestimates the effect of surgical intervention at a younger</w:t>
      </w:r>
      <w:r w:rsidR="004F0344">
        <w:t xml:space="preserve"> </w:t>
      </w:r>
      <w:r>
        <w:t>age.</w:t>
      </w:r>
    </w:p>
    <w:p w14:paraId="4C4249AC" w14:textId="77777777" w:rsidR="004F0344" w:rsidRDefault="004F0344" w:rsidP="00EF5AED"/>
    <w:p w14:paraId="26112866" w14:textId="77777777" w:rsidR="00897494" w:rsidRDefault="00EF5AED" w:rsidP="00EF5AED">
      <w:r>
        <w:t>ESC advised that it did not explicitly consider the proposal to list genetic counselling</w:t>
      </w:r>
      <w:r w:rsidR="004F0344">
        <w:t xml:space="preserve"> </w:t>
      </w:r>
      <w:r>
        <w:t>services other than to support the inclusion of counselling services in the economic</w:t>
      </w:r>
      <w:r w:rsidR="004F0344">
        <w:t xml:space="preserve"> </w:t>
      </w:r>
      <w:r>
        <w:t>evaluation.</w:t>
      </w:r>
    </w:p>
    <w:p w14:paraId="7B478D85" w14:textId="77777777" w:rsidR="006A0D97" w:rsidRPr="006A0D97" w:rsidRDefault="006A0D97" w:rsidP="006A0D97"/>
    <w:p w14:paraId="030D1790" w14:textId="77777777" w:rsidR="00BC1364" w:rsidRDefault="00BC1364" w:rsidP="007B32D1">
      <w:pPr>
        <w:pStyle w:val="Heading1"/>
        <w:numPr>
          <w:ilvl w:val="0"/>
          <w:numId w:val="23"/>
        </w:numPr>
        <w:ind w:hanging="720"/>
      </w:pPr>
      <w:r w:rsidRPr="008D5885">
        <w:t>Other significant factors</w:t>
      </w:r>
    </w:p>
    <w:p w14:paraId="284DA6B0" w14:textId="77777777" w:rsidR="00D90A38" w:rsidRDefault="00D90A38" w:rsidP="00DD2858">
      <w:pPr>
        <w:rPr>
          <w:szCs w:val="24"/>
        </w:rPr>
      </w:pPr>
    </w:p>
    <w:p w14:paraId="46006A55" w14:textId="77777777" w:rsidR="00BC1364" w:rsidRPr="00A22E93" w:rsidRDefault="00897494" w:rsidP="00DD2858">
      <w:pPr>
        <w:rPr>
          <w:szCs w:val="24"/>
        </w:rPr>
      </w:pPr>
      <w:r>
        <w:rPr>
          <w:szCs w:val="24"/>
        </w:rPr>
        <w:t>Nil</w:t>
      </w:r>
    </w:p>
    <w:p w14:paraId="18FC18CC" w14:textId="77777777" w:rsidR="00BC1364" w:rsidRPr="00707064" w:rsidRDefault="00BC1364" w:rsidP="00DD2858">
      <w:pPr>
        <w:tabs>
          <w:tab w:val="left" w:pos="720"/>
        </w:tabs>
        <w:ind w:left="709" w:hanging="709"/>
        <w:rPr>
          <w:szCs w:val="24"/>
        </w:rPr>
      </w:pPr>
    </w:p>
    <w:p w14:paraId="1A4FFC64" w14:textId="77777777" w:rsidR="00BC1364" w:rsidRDefault="00BC1364" w:rsidP="007B32D1">
      <w:pPr>
        <w:pStyle w:val="Heading1"/>
        <w:numPr>
          <w:ilvl w:val="0"/>
          <w:numId w:val="23"/>
        </w:numPr>
        <w:ind w:hanging="720"/>
      </w:pPr>
      <w:r w:rsidRPr="008D5885">
        <w:t xml:space="preserve">Applicant’s comments on MSAC’s </w:t>
      </w:r>
      <w:r w:rsidR="00DA56AA">
        <w:t>Public Summary Document</w:t>
      </w:r>
    </w:p>
    <w:p w14:paraId="0992373D" w14:textId="77777777" w:rsidR="00BC1364" w:rsidRDefault="00BC1364" w:rsidP="00230D6B">
      <w:pPr>
        <w:tabs>
          <w:tab w:val="left" w:pos="720"/>
        </w:tabs>
        <w:ind w:left="709" w:hanging="709"/>
        <w:rPr>
          <w:b/>
          <w:szCs w:val="24"/>
        </w:rPr>
      </w:pPr>
    </w:p>
    <w:p w14:paraId="495DC765" w14:textId="39B62766" w:rsidR="000F75DF" w:rsidRPr="00086DA0" w:rsidRDefault="00086DA0" w:rsidP="000F75DF">
      <w:pPr>
        <w:rPr>
          <w:szCs w:val="24"/>
        </w:rPr>
      </w:pPr>
      <w:r w:rsidRPr="00086DA0">
        <w:rPr>
          <w:szCs w:val="24"/>
        </w:rPr>
        <w:t>The applicant had no comments.</w:t>
      </w:r>
    </w:p>
    <w:p w14:paraId="2DB75C49" w14:textId="77777777" w:rsidR="00BC1364" w:rsidRPr="00DF497D" w:rsidRDefault="00BC1364" w:rsidP="00230D6B">
      <w:pPr>
        <w:rPr>
          <w:szCs w:val="24"/>
        </w:rPr>
      </w:pPr>
    </w:p>
    <w:p w14:paraId="6E5C3A41" w14:textId="77777777" w:rsidR="00BC1364" w:rsidRDefault="00271F18" w:rsidP="007B32D1">
      <w:pPr>
        <w:pStyle w:val="Heading1"/>
        <w:numPr>
          <w:ilvl w:val="0"/>
          <w:numId w:val="23"/>
        </w:numPr>
        <w:ind w:hanging="720"/>
      </w:pPr>
      <w:r>
        <w:t>Further information on MSAC</w:t>
      </w:r>
    </w:p>
    <w:p w14:paraId="6333B25E" w14:textId="77777777" w:rsidR="00BC1364" w:rsidRPr="00DF497D" w:rsidRDefault="00BC1364" w:rsidP="00DD2858">
      <w:pPr>
        <w:tabs>
          <w:tab w:val="left" w:pos="720"/>
        </w:tabs>
        <w:ind w:left="709" w:hanging="709"/>
        <w:rPr>
          <w:szCs w:val="24"/>
        </w:rPr>
      </w:pPr>
    </w:p>
    <w:p w14:paraId="514EA992" w14:textId="77777777" w:rsidR="008B3D31" w:rsidRPr="00DD2858" w:rsidRDefault="00271F18" w:rsidP="00E71C9F">
      <w:pPr>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12" w:tooltip="This is a link to the MSAC website" w:history="1">
        <w:r w:rsidR="00BC1364" w:rsidRPr="00DD2858">
          <w:rPr>
            <w:rStyle w:val="Hyperlink"/>
            <w:color w:val="auto"/>
            <w:szCs w:val="24"/>
          </w:rPr>
          <w:t>www.msac.gov.au</w:t>
        </w:r>
      </w:hyperlink>
    </w:p>
    <w:sectPr w:rsidR="008B3D31" w:rsidRPr="00DD2858" w:rsidSect="00271F18">
      <w:footerReference w:type="default" r:id="rId13"/>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77BE55" w15:done="0"/>
  <w15:commentEx w15:paraId="1E624D10" w15:done="0"/>
  <w15:commentEx w15:paraId="3C332E16" w15:done="0"/>
  <w15:commentEx w15:paraId="127BE294" w15:done="0"/>
  <w15:commentEx w15:paraId="7001840A" w15:done="0"/>
  <w15:commentEx w15:paraId="25A21E07" w15:done="0"/>
  <w15:commentEx w15:paraId="4BBA2102" w15:done="0"/>
  <w15:commentEx w15:paraId="031FD230" w15:done="0"/>
  <w15:commentEx w15:paraId="17AE40ED" w15:done="0"/>
  <w15:commentEx w15:paraId="5821872F" w15:done="0"/>
  <w15:commentEx w15:paraId="76722F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29C53" w14:textId="77777777" w:rsidR="00282101" w:rsidRDefault="00282101" w:rsidP="00065623">
      <w:r>
        <w:separator/>
      </w:r>
    </w:p>
  </w:endnote>
  <w:endnote w:type="continuationSeparator" w:id="0">
    <w:p w14:paraId="651C5C46" w14:textId="77777777" w:rsidR="00282101" w:rsidRDefault="00282101"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5A9ED720" w14:textId="77777777" w:rsidR="00FD0F9E" w:rsidRDefault="00FD0F9E">
        <w:pPr>
          <w:pStyle w:val="Footer"/>
          <w:jc w:val="right"/>
        </w:pPr>
        <w:r>
          <w:fldChar w:fldCharType="begin"/>
        </w:r>
        <w:r>
          <w:instrText xml:space="preserve"> PAGE   \* MERGEFORMAT </w:instrText>
        </w:r>
        <w:r>
          <w:fldChar w:fldCharType="separate"/>
        </w:r>
        <w:r w:rsidR="006E64BD">
          <w:rPr>
            <w:noProof/>
          </w:rPr>
          <w:t>12</w:t>
        </w:r>
        <w:r>
          <w:rPr>
            <w:noProof/>
          </w:rPr>
          <w:fldChar w:fldCharType="end"/>
        </w:r>
      </w:p>
    </w:sdtContent>
  </w:sdt>
  <w:p w14:paraId="1AAFC8B5" w14:textId="77777777" w:rsidR="00FD0F9E" w:rsidRDefault="00FD0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19E60" w14:textId="77777777" w:rsidR="00282101" w:rsidRDefault="00282101" w:rsidP="00065623">
      <w:r>
        <w:separator/>
      </w:r>
    </w:p>
  </w:footnote>
  <w:footnote w:type="continuationSeparator" w:id="0">
    <w:p w14:paraId="368E310A" w14:textId="77777777" w:rsidR="00282101" w:rsidRDefault="00282101"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2516"/>
    <w:multiLevelType w:val="hybridMultilevel"/>
    <w:tmpl w:val="6E34618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1B1552C"/>
    <w:multiLevelType w:val="hybridMultilevel"/>
    <w:tmpl w:val="AD8E919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48558BE"/>
    <w:multiLevelType w:val="multilevel"/>
    <w:tmpl w:val="92624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CB784F"/>
    <w:multiLevelType w:val="hybridMultilevel"/>
    <w:tmpl w:val="9A7C0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4B27A70"/>
    <w:multiLevelType w:val="hybridMultilevel"/>
    <w:tmpl w:val="5BD09C8E"/>
    <w:lvl w:ilvl="0" w:tplc="7C0E9A0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CB2970"/>
    <w:multiLevelType w:val="hybridMultilevel"/>
    <w:tmpl w:val="AD6216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2"/>
  </w:num>
  <w:num w:numId="4">
    <w:abstractNumId w:val="20"/>
  </w:num>
  <w:num w:numId="5">
    <w:abstractNumId w:val="13"/>
  </w:num>
  <w:num w:numId="6">
    <w:abstractNumId w:val="19"/>
  </w:num>
  <w:num w:numId="7">
    <w:abstractNumId w:val="23"/>
  </w:num>
  <w:num w:numId="8">
    <w:abstractNumId w:val="14"/>
  </w:num>
  <w:num w:numId="9">
    <w:abstractNumId w:val="30"/>
  </w:num>
  <w:num w:numId="10">
    <w:abstractNumId w:val="1"/>
  </w:num>
  <w:num w:numId="11">
    <w:abstractNumId w:val="22"/>
  </w:num>
  <w:num w:numId="12">
    <w:abstractNumId w:val="24"/>
  </w:num>
  <w:num w:numId="13">
    <w:abstractNumId w:val="7"/>
  </w:num>
  <w:num w:numId="14">
    <w:abstractNumId w:val="29"/>
  </w:num>
  <w:num w:numId="15">
    <w:abstractNumId w:val="21"/>
  </w:num>
  <w:num w:numId="16">
    <w:abstractNumId w:val="25"/>
  </w:num>
  <w:num w:numId="17">
    <w:abstractNumId w:val="15"/>
  </w:num>
  <w:num w:numId="18">
    <w:abstractNumId w:val="16"/>
  </w:num>
  <w:num w:numId="19">
    <w:abstractNumId w:val="27"/>
  </w:num>
  <w:num w:numId="20">
    <w:abstractNumId w:val="26"/>
  </w:num>
  <w:num w:numId="21">
    <w:abstractNumId w:val="4"/>
  </w:num>
  <w:num w:numId="22">
    <w:abstractNumId w:val="12"/>
  </w:num>
  <w:num w:numId="23">
    <w:abstractNumId w:val="3"/>
  </w:num>
  <w:num w:numId="24">
    <w:abstractNumId w:val="11"/>
  </w:num>
  <w:num w:numId="25">
    <w:abstractNumId w:val="8"/>
  </w:num>
  <w:num w:numId="26">
    <w:abstractNumId w:val="6"/>
  </w:num>
  <w:num w:numId="27">
    <w:abstractNumId w:val="18"/>
  </w:num>
  <w:num w:numId="28">
    <w:abstractNumId w:val="0"/>
  </w:num>
  <w:num w:numId="29">
    <w:abstractNumId w:val="5"/>
  </w:num>
  <w:num w:numId="30">
    <w:abstractNumId w:val="9"/>
  </w:num>
  <w:num w:numId="31">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rson w15:author="Graeme Suthers">
    <w15:presenceInfo w15:providerId="None" w15:userId="Graeme Suth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3D9754C-877E-4875-A130-34D32D286C58}"/>
    <w:docVar w:name="dgnword-eventsink" w:val="50182077264"/>
  </w:docVars>
  <w:rsids>
    <w:rsidRoot w:val="00065623"/>
    <w:rsid w:val="00011A36"/>
    <w:rsid w:val="00011EFC"/>
    <w:rsid w:val="00045221"/>
    <w:rsid w:val="000468B6"/>
    <w:rsid w:val="00047606"/>
    <w:rsid w:val="00065623"/>
    <w:rsid w:val="000756B9"/>
    <w:rsid w:val="00086DA0"/>
    <w:rsid w:val="00095DCC"/>
    <w:rsid w:val="00096B67"/>
    <w:rsid w:val="00096DAF"/>
    <w:rsid w:val="000B17FC"/>
    <w:rsid w:val="000C2F47"/>
    <w:rsid w:val="000D6C00"/>
    <w:rsid w:val="000E4E04"/>
    <w:rsid w:val="000F14B4"/>
    <w:rsid w:val="000F75DF"/>
    <w:rsid w:val="00120C1F"/>
    <w:rsid w:val="001266C0"/>
    <w:rsid w:val="001328FA"/>
    <w:rsid w:val="00141932"/>
    <w:rsid w:val="00147AAF"/>
    <w:rsid w:val="00153C1B"/>
    <w:rsid w:val="00153F47"/>
    <w:rsid w:val="001552C0"/>
    <w:rsid w:val="00161E42"/>
    <w:rsid w:val="001640B1"/>
    <w:rsid w:val="00177100"/>
    <w:rsid w:val="0018435E"/>
    <w:rsid w:val="001D0B5F"/>
    <w:rsid w:val="001D3897"/>
    <w:rsid w:val="001E69AC"/>
    <w:rsid w:val="001F0D98"/>
    <w:rsid w:val="001F7C20"/>
    <w:rsid w:val="002041A1"/>
    <w:rsid w:val="002054F0"/>
    <w:rsid w:val="002309DA"/>
    <w:rsid w:val="00230D6B"/>
    <w:rsid w:val="00232068"/>
    <w:rsid w:val="002330F2"/>
    <w:rsid w:val="00243D9E"/>
    <w:rsid w:val="00253B66"/>
    <w:rsid w:val="00261195"/>
    <w:rsid w:val="00261DF1"/>
    <w:rsid w:val="00271F18"/>
    <w:rsid w:val="00273DD3"/>
    <w:rsid w:val="00282101"/>
    <w:rsid w:val="00282779"/>
    <w:rsid w:val="0028334D"/>
    <w:rsid w:val="002A62E0"/>
    <w:rsid w:val="002B3D9A"/>
    <w:rsid w:val="002B48B1"/>
    <w:rsid w:val="002B7FFA"/>
    <w:rsid w:val="002C2BCF"/>
    <w:rsid w:val="002E19D7"/>
    <w:rsid w:val="002F279D"/>
    <w:rsid w:val="002F43B8"/>
    <w:rsid w:val="00341826"/>
    <w:rsid w:val="003452B5"/>
    <w:rsid w:val="0034554D"/>
    <w:rsid w:val="00352224"/>
    <w:rsid w:val="00361608"/>
    <w:rsid w:val="003671E6"/>
    <w:rsid w:val="00373783"/>
    <w:rsid w:val="00384272"/>
    <w:rsid w:val="00386D67"/>
    <w:rsid w:val="003945B8"/>
    <w:rsid w:val="003D7F29"/>
    <w:rsid w:val="003F5026"/>
    <w:rsid w:val="004006F3"/>
    <w:rsid w:val="00405A6B"/>
    <w:rsid w:val="00407B1F"/>
    <w:rsid w:val="00414C57"/>
    <w:rsid w:val="0041758C"/>
    <w:rsid w:val="004209B6"/>
    <w:rsid w:val="00437D98"/>
    <w:rsid w:val="004539DE"/>
    <w:rsid w:val="00455B15"/>
    <w:rsid w:val="004710DC"/>
    <w:rsid w:val="00473D2B"/>
    <w:rsid w:val="00491BF1"/>
    <w:rsid w:val="004A2CF1"/>
    <w:rsid w:val="004A6234"/>
    <w:rsid w:val="004B5937"/>
    <w:rsid w:val="004C2E8A"/>
    <w:rsid w:val="004C3035"/>
    <w:rsid w:val="004C307F"/>
    <w:rsid w:val="004E4BA8"/>
    <w:rsid w:val="004F0344"/>
    <w:rsid w:val="004F340F"/>
    <w:rsid w:val="004F7B7C"/>
    <w:rsid w:val="0052243D"/>
    <w:rsid w:val="00523DA4"/>
    <w:rsid w:val="00532435"/>
    <w:rsid w:val="00545277"/>
    <w:rsid w:val="00550354"/>
    <w:rsid w:val="00553876"/>
    <w:rsid w:val="00571236"/>
    <w:rsid w:val="005819E2"/>
    <w:rsid w:val="005948B5"/>
    <w:rsid w:val="005953A1"/>
    <w:rsid w:val="005C40BC"/>
    <w:rsid w:val="005C7807"/>
    <w:rsid w:val="005D0332"/>
    <w:rsid w:val="005D0D8C"/>
    <w:rsid w:val="005F7F0D"/>
    <w:rsid w:val="006343A2"/>
    <w:rsid w:val="006776AE"/>
    <w:rsid w:val="006A0D97"/>
    <w:rsid w:val="006B1F86"/>
    <w:rsid w:val="006B3FCB"/>
    <w:rsid w:val="006C0A91"/>
    <w:rsid w:val="006E64BD"/>
    <w:rsid w:val="006F3838"/>
    <w:rsid w:val="007054BB"/>
    <w:rsid w:val="00707064"/>
    <w:rsid w:val="007124B5"/>
    <w:rsid w:val="00730683"/>
    <w:rsid w:val="0075261F"/>
    <w:rsid w:val="0075468E"/>
    <w:rsid w:val="007665D8"/>
    <w:rsid w:val="00766E36"/>
    <w:rsid w:val="007748B7"/>
    <w:rsid w:val="007765F4"/>
    <w:rsid w:val="00776633"/>
    <w:rsid w:val="00784D53"/>
    <w:rsid w:val="00797797"/>
    <w:rsid w:val="007A63C9"/>
    <w:rsid w:val="007B32D1"/>
    <w:rsid w:val="007B7095"/>
    <w:rsid w:val="007D0DD2"/>
    <w:rsid w:val="007D24E1"/>
    <w:rsid w:val="007F4CE9"/>
    <w:rsid w:val="007F4E20"/>
    <w:rsid w:val="00822C7E"/>
    <w:rsid w:val="00825D8A"/>
    <w:rsid w:val="00847060"/>
    <w:rsid w:val="00856A33"/>
    <w:rsid w:val="00864787"/>
    <w:rsid w:val="00885301"/>
    <w:rsid w:val="00892620"/>
    <w:rsid w:val="00897494"/>
    <w:rsid w:val="008A643B"/>
    <w:rsid w:val="008B3D31"/>
    <w:rsid w:val="008C7D37"/>
    <w:rsid w:val="008D226A"/>
    <w:rsid w:val="008D5885"/>
    <w:rsid w:val="008E051C"/>
    <w:rsid w:val="00901388"/>
    <w:rsid w:val="00910687"/>
    <w:rsid w:val="00923FA2"/>
    <w:rsid w:val="0096060D"/>
    <w:rsid w:val="00974A50"/>
    <w:rsid w:val="0097585A"/>
    <w:rsid w:val="00985A1F"/>
    <w:rsid w:val="009924B0"/>
    <w:rsid w:val="009942C9"/>
    <w:rsid w:val="009A631D"/>
    <w:rsid w:val="009B35C4"/>
    <w:rsid w:val="009C630A"/>
    <w:rsid w:val="009E0D98"/>
    <w:rsid w:val="009E7827"/>
    <w:rsid w:val="00A068A1"/>
    <w:rsid w:val="00A1207D"/>
    <w:rsid w:val="00A12FD8"/>
    <w:rsid w:val="00A2132E"/>
    <w:rsid w:val="00A22E93"/>
    <w:rsid w:val="00A346FC"/>
    <w:rsid w:val="00A57C77"/>
    <w:rsid w:val="00A8248C"/>
    <w:rsid w:val="00A84F93"/>
    <w:rsid w:val="00AB1AC5"/>
    <w:rsid w:val="00AB3BFC"/>
    <w:rsid w:val="00AB3E18"/>
    <w:rsid w:val="00AC4F2E"/>
    <w:rsid w:val="00AD0C37"/>
    <w:rsid w:val="00AD3739"/>
    <w:rsid w:val="00AD385F"/>
    <w:rsid w:val="00AE47B2"/>
    <w:rsid w:val="00AE6E2A"/>
    <w:rsid w:val="00B31E9C"/>
    <w:rsid w:val="00B35595"/>
    <w:rsid w:val="00B460F2"/>
    <w:rsid w:val="00B51C6D"/>
    <w:rsid w:val="00B86D64"/>
    <w:rsid w:val="00BA0322"/>
    <w:rsid w:val="00BA4AC5"/>
    <w:rsid w:val="00BC1364"/>
    <w:rsid w:val="00BC1F65"/>
    <w:rsid w:val="00BC7DE9"/>
    <w:rsid w:val="00BD6683"/>
    <w:rsid w:val="00BF479B"/>
    <w:rsid w:val="00C018FB"/>
    <w:rsid w:val="00C02577"/>
    <w:rsid w:val="00C0660C"/>
    <w:rsid w:val="00C15564"/>
    <w:rsid w:val="00C177F5"/>
    <w:rsid w:val="00C20051"/>
    <w:rsid w:val="00C204FB"/>
    <w:rsid w:val="00C20BEE"/>
    <w:rsid w:val="00C2158D"/>
    <w:rsid w:val="00C67DD2"/>
    <w:rsid w:val="00C725CB"/>
    <w:rsid w:val="00C76F5C"/>
    <w:rsid w:val="00C96BAD"/>
    <w:rsid w:val="00CA2FDF"/>
    <w:rsid w:val="00CA6944"/>
    <w:rsid w:val="00CB0F8E"/>
    <w:rsid w:val="00CB7E7D"/>
    <w:rsid w:val="00CC2911"/>
    <w:rsid w:val="00CC71AA"/>
    <w:rsid w:val="00CE2650"/>
    <w:rsid w:val="00CF0C6D"/>
    <w:rsid w:val="00CF7307"/>
    <w:rsid w:val="00CF7C68"/>
    <w:rsid w:val="00D11581"/>
    <w:rsid w:val="00D124FA"/>
    <w:rsid w:val="00D340DE"/>
    <w:rsid w:val="00D53243"/>
    <w:rsid w:val="00D55723"/>
    <w:rsid w:val="00D62FAD"/>
    <w:rsid w:val="00D70450"/>
    <w:rsid w:val="00D72369"/>
    <w:rsid w:val="00D83BFD"/>
    <w:rsid w:val="00D90A38"/>
    <w:rsid w:val="00D91C93"/>
    <w:rsid w:val="00DA0515"/>
    <w:rsid w:val="00DA171E"/>
    <w:rsid w:val="00DA2BEF"/>
    <w:rsid w:val="00DA56AA"/>
    <w:rsid w:val="00DB5833"/>
    <w:rsid w:val="00DB7BE2"/>
    <w:rsid w:val="00DC7E3E"/>
    <w:rsid w:val="00DD2858"/>
    <w:rsid w:val="00DD52E3"/>
    <w:rsid w:val="00DE0578"/>
    <w:rsid w:val="00DF497D"/>
    <w:rsid w:val="00DF76CE"/>
    <w:rsid w:val="00E03E33"/>
    <w:rsid w:val="00E2151E"/>
    <w:rsid w:val="00E2413C"/>
    <w:rsid w:val="00E323A3"/>
    <w:rsid w:val="00E3642A"/>
    <w:rsid w:val="00E415C4"/>
    <w:rsid w:val="00E50016"/>
    <w:rsid w:val="00E50EAA"/>
    <w:rsid w:val="00E51E67"/>
    <w:rsid w:val="00E656D6"/>
    <w:rsid w:val="00E71C9F"/>
    <w:rsid w:val="00E752C9"/>
    <w:rsid w:val="00E85837"/>
    <w:rsid w:val="00E859A1"/>
    <w:rsid w:val="00E977EE"/>
    <w:rsid w:val="00EA67A2"/>
    <w:rsid w:val="00EC4F98"/>
    <w:rsid w:val="00EF5AED"/>
    <w:rsid w:val="00F12F02"/>
    <w:rsid w:val="00F32E0D"/>
    <w:rsid w:val="00F35134"/>
    <w:rsid w:val="00F401CD"/>
    <w:rsid w:val="00F41812"/>
    <w:rsid w:val="00F543D7"/>
    <w:rsid w:val="00F704A5"/>
    <w:rsid w:val="00F73333"/>
    <w:rsid w:val="00F9064A"/>
    <w:rsid w:val="00F95D8F"/>
    <w:rsid w:val="00F96A0E"/>
    <w:rsid w:val="00FA4D6A"/>
    <w:rsid w:val="00FB350A"/>
    <w:rsid w:val="00FD0F9E"/>
    <w:rsid w:val="00FE074C"/>
    <w:rsid w:val="00FE122A"/>
    <w:rsid w:val="00FE731D"/>
    <w:rsid w:val="00FF46B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BBCD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annotation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aliases w:val="Table Title"/>
    <w:basedOn w:val="DefaultParagraphFont"/>
    <w:uiPriority w:val="99"/>
    <w:qFormat/>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8D588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locked/>
    <w:rsid w:val="00AD3739"/>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35"/>
    <w:unhideWhenUsed/>
    <w:qFormat/>
    <w:locked/>
    <w:rsid w:val="00AD3739"/>
    <w:pPr>
      <w:keepNext/>
      <w:spacing w:before="40" w:after="40"/>
      <w:ind w:left="1741" w:hanging="1021"/>
      <w:jc w:val="both"/>
    </w:pPr>
    <w:rPr>
      <w:rFonts w:ascii="Arial Narrow" w:eastAsiaTheme="minorHAnsi" w:hAnsi="Arial Narrow" w:cstheme="minorBidi"/>
      <w:b/>
      <w:iCs/>
      <w:sz w:val="20"/>
      <w:szCs w:val="18"/>
      <w:lang w:eastAsia="en-US"/>
    </w:rPr>
  </w:style>
  <w:style w:type="character" w:customStyle="1" w:styleId="ListParagraphChar">
    <w:name w:val="List Paragraph Char"/>
    <w:basedOn w:val="DefaultParagraphFont"/>
    <w:link w:val="ListParagraph"/>
    <w:uiPriority w:val="72"/>
    <w:rsid w:val="00AD3739"/>
    <w:rPr>
      <w:rFonts w:eastAsia="Times New Roman"/>
      <w:sz w:val="24"/>
      <w:szCs w:val="20"/>
    </w:rPr>
  </w:style>
  <w:style w:type="paragraph" w:styleId="NormalWeb">
    <w:name w:val="Normal (Web)"/>
    <w:basedOn w:val="Normal"/>
    <w:uiPriority w:val="99"/>
    <w:semiHidden/>
    <w:unhideWhenUsed/>
    <w:rsid w:val="007124B5"/>
    <w:pPr>
      <w:spacing w:before="100" w:beforeAutospacing="1" w:after="100" w:afterAutospacing="1"/>
    </w:pPr>
    <w:rPr>
      <w:szCs w:val="24"/>
      <w:lang w:eastAsia="ja-JP"/>
    </w:rPr>
  </w:style>
  <w:style w:type="paragraph" w:styleId="Revision">
    <w:name w:val="Revision"/>
    <w:hidden/>
    <w:uiPriority w:val="99"/>
    <w:semiHidden/>
    <w:rsid w:val="00910687"/>
    <w:rPr>
      <w:rFonts w:eastAsia="Times New Roman"/>
      <w:sz w:val="24"/>
      <w:szCs w:val="20"/>
    </w:rPr>
  </w:style>
  <w:style w:type="character" w:styleId="FollowedHyperlink">
    <w:name w:val="FollowedHyperlink"/>
    <w:basedOn w:val="DefaultParagraphFont"/>
    <w:uiPriority w:val="99"/>
    <w:semiHidden/>
    <w:unhideWhenUsed/>
    <w:rsid w:val="00E241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annotation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aliases w:val="Table Title"/>
    <w:basedOn w:val="DefaultParagraphFont"/>
    <w:uiPriority w:val="99"/>
    <w:qFormat/>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8D588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locked/>
    <w:rsid w:val="00AD3739"/>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35"/>
    <w:unhideWhenUsed/>
    <w:qFormat/>
    <w:locked/>
    <w:rsid w:val="00AD3739"/>
    <w:pPr>
      <w:keepNext/>
      <w:spacing w:before="40" w:after="40"/>
      <w:ind w:left="1741" w:hanging="1021"/>
      <w:jc w:val="both"/>
    </w:pPr>
    <w:rPr>
      <w:rFonts w:ascii="Arial Narrow" w:eastAsiaTheme="minorHAnsi" w:hAnsi="Arial Narrow" w:cstheme="minorBidi"/>
      <w:b/>
      <w:iCs/>
      <w:sz w:val="20"/>
      <w:szCs w:val="18"/>
      <w:lang w:eastAsia="en-US"/>
    </w:rPr>
  </w:style>
  <w:style w:type="character" w:customStyle="1" w:styleId="ListParagraphChar">
    <w:name w:val="List Paragraph Char"/>
    <w:basedOn w:val="DefaultParagraphFont"/>
    <w:link w:val="ListParagraph"/>
    <w:uiPriority w:val="72"/>
    <w:rsid w:val="00AD3739"/>
    <w:rPr>
      <w:rFonts w:eastAsia="Times New Roman"/>
      <w:sz w:val="24"/>
      <w:szCs w:val="20"/>
    </w:rPr>
  </w:style>
  <w:style w:type="paragraph" w:styleId="NormalWeb">
    <w:name w:val="Normal (Web)"/>
    <w:basedOn w:val="Normal"/>
    <w:uiPriority w:val="99"/>
    <w:semiHidden/>
    <w:unhideWhenUsed/>
    <w:rsid w:val="007124B5"/>
    <w:pPr>
      <w:spacing w:before="100" w:beforeAutospacing="1" w:after="100" w:afterAutospacing="1"/>
    </w:pPr>
    <w:rPr>
      <w:szCs w:val="24"/>
      <w:lang w:eastAsia="ja-JP"/>
    </w:rPr>
  </w:style>
  <w:style w:type="paragraph" w:styleId="Revision">
    <w:name w:val="Revision"/>
    <w:hidden/>
    <w:uiPriority w:val="99"/>
    <w:semiHidden/>
    <w:rsid w:val="00910687"/>
    <w:rPr>
      <w:rFonts w:eastAsia="Times New Roman"/>
      <w:sz w:val="24"/>
      <w:szCs w:val="20"/>
    </w:rPr>
  </w:style>
  <w:style w:type="character" w:styleId="FollowedHyperlink">
    <w:name w:val="FollowedHyperlink"/>
    <w:basedOn w:val="DefaultParagraphFont"/>
    <w:uiPriority w:val="99"/>
    <w:semiHidden/>
    <w:unhideWhenUsed/>
    <w:rsid w:val="00E241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534325">
      <w:bodyDiv w:val="1"/>
      <w:marLeft w:val="0"/>
      <w:marRight w:val="0"/>
      <w:marTop w:val="0"/>
      <w:marBottom w:val="0"/>
      <w:divBdr>
        <w:top w:val="none" w:sz="0" w:space="0" w:color="auto"/>
        <w:left w:val="none" w:sz="0" w:space="0" w:color="auto"/>
        <w:bottom w:val="none" w:sz="0" w:space="0" w:color="auto"/>
        <w:right w:val="none" w:sz="0" w:space="0" w:color="auto"/>
      </w:divBdr>
    </w:div>
    <w:div w:id="629748797">
      <w:bodyDiv w:val="1"/>
      <w:marLeft w:val="0"/>
      <w:marRight w:val="0"/>
      <w:marTop w:val="0"/>
      <w:marBottom w:val="0"/>
      <w:divBdr>
        <w:top w:val="none" w:sz="0" w:space="0" w:color="auto"/>
        <w:left w:val="none" w:sz="0" w:space="0" w:color="auto"/>
        <w:bottom w:val="none" w:sz="0" w:space="0" w:color="auto"/>
        <w:right w:val="none" w:sz="0" w:space="0" w:color="auto"/>
      </w:divBdr>
    </w:div>
    <w:div w:id="1337539769">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sac.gov.au/" TargetMode="Externa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viq.org.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sac.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84F7AAB-2082-4AE6-BC6A-D5C6905B2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6195</Words>
  <Characters>35080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McCandless Sean</cp:lastModifiedBy>
  <cp:revision>3</cp:revision>
  <cp:lastPrinted>2016-03-02T20:25:00Z</cp:lastPrinted>
  <dcterms:created xsi:type="dcterms:W3CDTF">2016-03-02T05:44:00Z</dcterms:created>
  <dcterms:modified xsi:type="dcterms:W3CDTF">2016-03-02T20:25:00Z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Mendeley Document_1">
    <vt:lpwstr>True</vt:lpwstr>
  </property>
  <property fmtid="{D5CDD505-2E9C-101B-9397-08002B2CF9AE}" pid="9" name="Mendeley User Name_1">
    <vt:lpwstr>graeme.suthers@adelaidegeneticconsulting.com.au@www.mendeley.com</vt:lpwstr>
  </property>
  <property fmtid="{D5CDD505-2E9C-101B-9397-08002B2CF9AE}" pid="10" name="Mendeley Citation Style_1">
    <vt:lpwstr>http://www.zotero.org/styles/nature</vt:lpwstr>
  </property>
  <property fmtid="{D5CDD505-2E9C-101B-9397-08002B2CF9AE}" pid="11" name="Mendeley Recent Style Id 0_1">
    <vt:lpwstr>http://www.zotero.org/styles/american-medical-association</vt:lpwstr>
  </property>
  <property fmtid="{D5CDD505-2E9C-101B-9397-08002B2CF9AE}" pid="12" name="Mendeley Recent Style Name 0_1">
    <vt:lpwstr>American Medical Association</vt:lpwstr>
  </property>
  <property fmtid="{D5CDD505-2E9C-101B-9397-08002B2CF9AE}" pid="13" name="Mendeley Recent Style Id 1_1">
    <vt:lpwstr>http://www.zotero.org/styles/american-political-science-association</vt:lpwstr>
  </property>
  <property fmtid="{D5CDD505-2E9C-101B-9397-08002B2CF9AE}" pid="14" name="Mendeley Recent Style Name 1_1">
    <vt:lpwstr>American Political Science Association</vt:lpwstr>
  </property>
  <property fmtid="{D5CDD505-2E9C-101B-9397-08002B2CF9AE}" pid="15" name="Mendeley Recent Style Id 2_1">
    <vt:lpwstr>http://www.zotero.org/styles/american-sociological-association</vt:lpwstr>
  </property>
  <property fmtid="{D5CDD505-2E9C-101B-9397-08002B2CF9AE}" pid="16" name="Mendeley Recent Style Name 2_1">
    <vt:lpwstr>American Sociological Association</vt:lpwstr>
  </property>
  <property fmtid="{D5CDD505-2E9C-101B-9397-08002B2CF9AE}" pid="17" name="Mendeley Recent Style Id 3_1">
    <vt:lpwstr>http://www.zotero.org/styles/chicago-author-date</vt:lpwstr>
  </property>
  <property fmtid="{D5CDD505-2E9C-101B-9397-08002B2CF9AE}" pid="18" name="Mendeley Recent Style Name 3_1">
    <vt:lpwstr>Chicago Manual of Style 16th edition (author-date)</vt:lpwstr>
  </property>
  <property fmtid="{D5CDD505-2E9C-101B-9397-08002B2CF9AE}" pid="19" name="Mendeley Recent Style Id 4_1">
    <vt:lpwstr>http://www.zotero.org/styles/harvard1</vt:lpwstr>
  </property>
  <property fmtid="{D5CDD505-2E9C-101B-9397-08002B2CF9AE}" pid="20" name="Mendeley Recent Style Name 4_1">
    <vt:lpwstr>Harvard Reference format 1 (author-date)</vt:lpwstr>
  </property>
  <property fmtid="{D5CDD505-2E9C-101B-9397-08002B2CF9AE}" pid="21" name="Mendeley Recent Style Id 5_1">
    <vt:lpwstr>http://www.zotero.org/styles/ieee</vt:lpwstr>
  </property>
  <property fmtid="{D5CDD505-2E9C-101B-9397-08002B2CF9AE}" pid="22" name="Mendeley Recent Style Name 5_1">
    <vt:lpwstr>IEEE</vt:lpwstr>
  </property>
  <property fmtid="{D5CDD505-2E9C-101B-9397-08002B2CF9AE}" pid="23" name="Mendeley Recent Style Id 6_1">
    <vt:lpwstr>http://www.zotero.org/styles/national-library-of-medicine</vt:lpwstr>
  </property>
  <property fmtid="{D5CDD505-2E9C-101B-9397-08002B2CF9AE}" pid="24" name="Mendeley Recent Style Name 6_1">
    <vt:lpwstr>National Library of Medicine</vt:lpwstr>
  </property>
  <property fmtid="{D5CDD505-2E9C-101B-9397-08002B2CF9AE}" pid="25" name="Mendeley Recent Style Id 7_1">
    <vt:lpwstr>http://www.zotero.org/styles/nature</vt:lpwstr>
  </property>
  <property fmtid="{D5CDD505-2E9C-101B-9397-08002B2CF9AE}" pid="26" name="Mendeley Recent Style Name 7_1">
    <vt:lpwstr>Nature</vt:lpwstr>
  </property>
  <property fmtid="{D5CDD505-2E9C-101B-9397-08002B2CF9AE}" pid="27" name="Mendeley Recent Style Id 8_1">
    <vt:lpwstr>http://csl.mendeley.com/styles/109535031/Truncated-2</vt:lpwstr>
  </property>
  <property fmtid="{D5CDD505-2E9C-101B-9397-08002B2CF9AE}" pid="28" name="Mendeley Recent Style Name 8_1">
    <vt:lpwstr>Truncated - Graeme Suthers</vt:lpwstr>
  </property>
  <property fmtid="{D5CDD505-2E9C-101B-9397-08002B2CF9AE}" pid="29" name="Mendeley Recent Style Id 9_1">
    <vt:lpwstr>http://www.zotero.org/styles/vancouver</vt:lpwstr>
  </property>
  <property fmtid="{D5CDD505-2E9C-101B-9397-08002B2CF9AE}" pid="30" name="Mendeley Recent Style Name 9_1">
    <vt:lpwstr>Vancouver</vt:lpwstr>
  </property>
</Properties>
</file>