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540AB"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EC39A8E" wp14:editId="384D1B5D">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A8EA547"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D6787BB" w14:textId="77777777" w:rsidR="00BC1364" w:rsidRPr="00F715D1" w:rsidRDefault="00BC1364" w:rsidP="00F715D1">
      <w:pPr>
        <w:pStyle w:val="Subtitle"/>
      </w:pPr>
      <w:r w:rsidRPr="00F715D1">
        <w:t xml:space="preserve">Application No. </w:t>
      </w:r>
      <w:r w:rsidR="00053A66">
        <w:t>1397</w:t>
      </w:r>
      <w:r w:rsidRPr="00F715D1">
        <w:t xml:space="preserve"> – </w:t>
      </w:r>
      <w:proofErr w:type="spellStart"/>
      <w:r w:rsidR="00F548BE">
        <w:t>mp</w:t>
      </w:r>
      <w:r w:rsidR="00053A66">
        <w:t>MRI</w:t>
      </w:r>
      <w:proofErr w:type="spellEnd"/>
      <w:r w:rsidR="00053A66">
        <w:t xml:space="preserve"> Prostate diagnostic scans</w:t>
      </w:r>
    </w:p>
    <w:p w14:paraId="07CF0334" w14:textId="77777777" w:rsidR="00BC1364" w:rsidRPr="00F715D1" w:rsidRDefault="00B35595" w:rsidP="009067FB">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053A66">
        <w:rPr>
          <w:rFonts w:ascii="Arial" w:hAnsi="Arial" w:cs="Arial"/>
          <w:b/>
          <w:szCs w:val="24"/>
        </w:rPr>
        <w:t>Australian and New Zealand Association o</w:t>
      </w:r>
      <w:r w:rsidR="00D67204">
        <w:rPr>
          <w:rFonts w:ascii="Arial" w:hAnsi="Arial" w:cs="Arial"/>
          <w:b/>
          <w:szCs w:val="24"/>
        </w:rPr>
        <w:t xml:space="preserve">f Urological Surgeons </w:t>
      </w:r>
      <w:r w:rsidR="009067FB">
        <w:rPr>
          <w:rFonts w:ascii="Arial" w:hAnsi="Arial" w:cs="Arial"/>
          <w:b/>
          <w:szCs w:val="24"/>
        </w:rPr>
        <w:t>and Australian Diagnostic Imaging Association</w:t>
      </w:r>
    </w:p>
    <w:p w14:paraId="386E4D8B" w14:textId="3C416512" w:rsidR="00B92992" w:rsidRDefault="00BC1364" w:rsidP="00B92992">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B92992">
        <w:rPr>
          <w:rFonts w:ascii="Arial" w:hAnsi="Arial" w:cs="Arial"/>
          <w:b/>
          <w:szCs w:val="24"/>
        </w:rPr>
        <w:t>MSAC 70</w:t>
      </w:r>
      <w:r w:rsidR="00B92992" w:rsidRPr="00B92992">
        <w:rPr>
          <w:rFonts w:ascii="Arial" w:hAnsi="Arial" w:cs="Arial"/>
          <w:b/>
          <w:szCs w:val="24"/>
          <w:vertAlign w:val="superscript"/>
        </w:rPr>
        <w:t>th</w:t>
      </w:r>
      <w:r w:rsidR="00B92992">
        <w:rPr>
          <w:rFonts w:ascii="Arial" w:hAnsi="Arial" w:cs="Arial"/>
          <w:b/>
          <w:szCs w:val="24"/>
        </w:rPr>
        <w:t xml:space="preserve"> Meeting, 27 July 2017</w:t>
      </w:r>
    </w:p>
    <w:p w14:paraId="2AC994B6" w14:textId="03FA03A1" w:rsidR="00B92992" w:rsidRPr="00F715D1" w:rsidRDefault="00B92992" w:rsidP="005D355A">
      <w:pPr>
        <w:tabs>
          <w:tab w:val="left" w:pos="3686"/>
        </w:tabs>
        <w:spacing w:after="240"/>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1023DC">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00BC1364" w:rsidRPr="00F715D1">
        <w:rPr>
          <w:rFonts w:ascii="Arial" w:hAnsi="Arial" w:cs="Arial"/>
          <w:b/>
          <w:szCs w:val="24"/>
        </w:rPr>
        <w:t xml:space="preserve">Meeting, </w:t>
      </w:r>
      <w:r w:rsidR="001023DC">
        <w:rPr>
          <w:rFonts w:ascii="Arial" w:hAnsi="Arial" w:cs="Arial"/>
          <w:b/>
          <w:szCs w:val="24"/>
        </w:rPr>
        <w:t>6-7 April 2017</w:t>
      </w:r>
    </w:p>
    <w:p w14:paraId="0F490D77" w14:textId="347F9170" w:rsidR="0041184F" w:rsidRPr="00376F27" w:rsidRDefault="006A0D97" w:rsidP="00376F27">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p>
    <w:p w14:paraId="009636D9" w14:textId="77777777" w:rsidR="003D7F29" w:rsidRPr="00F715D1" w:rsidRDefault="003D7F29" w:rsidP="008E4C81">
      <w:pPr>
        <w:pStyle w:val="Heading1"/>
        <w:ind w:hanging="502"/>
      </w:pPr>
      <w:r w:rsidRPr="00F715D1">
        <w:t>Purpose of application</w:t>
      </w:r>
      <w:r w:rsidR="00822C7E" w:rsidRPr="00F715D1">
        <w:t xml:space="preserve"> </w:t>
      </w:r>
    </w:p>
    <w:p w14:paraId="1DC2C12E" w14:textId="566F5F76" w:rsidR="003D2CBB" w:rsidRDefault="003D2CBB" w:rsidP="003D2CBB">
      <w:pPr>
        <w:tabs>
          <w:tab w:val="left" w:pos="720"/>
          <w:tab w:val="left" w:pos="1140"/>
        </w:tabs>
      </w:pPr>
      <w:r w:rsidRPr="00837DB8">
        <w:rPr>
          <w:szCs w:val="24"/>
        </w:rPr>
        <w:t xml:space="preserve">An application requesting </w:t>
      </w:r>
      <w:r>
        <w:rPr>
          <w:szCs w:val="24"/>
        </w:rPr>
        <w:t xml:space="preserve">two new </w:t>
      </w:r>
      <w:r w:rsidRPr="00837DB8">
        <w:rPr>
          <w:szCs w:val="24"/>
        </w:rPr>
        <w:t>M</w:t>
      </w:r>
      <w:r w:rsidR="00FD0DA1">
        <w:rPr>
          <w:szCs w:val="24"/>
        </w:rPr>
        <w:t xml:space="preserve">edicare </w:t>
      </w:r>
      <w:r w:rsidRPr="00837DB8">
        <w:rPr>
          <w:szCs w:val="24"/>
        </w:rPr>
        <w:t>B</w:t>
      </w:r>
      <w:r w:rsidR="00FD0DA1">
        <w:rPr>
          <w:szCs w:val="24"/>
        </w:rPr>
        <w:t xml:space="preserve">enefit </w:t>
      </w:r>
      <w:r w:rsidRPr="00837DB8">
        <w:rPr>
          <w:szCs w:val="24"/>
        </w:rPr>
        <w:t>S</w:t>
      </w:r>
      <w:r w:rsidR="00FD0DA1">
        <w:rPr>
          <w:szCs w:val="24"/>
        </w:rPr>
        <w:t>chedule (MBS)</w:t>
      </w:r>
      <w:r w:rsidRPr="00837DB8">
        <w:rPr>
          <w:szCs w:val="24"/>
        </w:rPr>
        <w:t xml:space="preserve"> listing</w:t>
      </w:r>
      <w:r>
        <w:rPr>
          <w:szCs w:val="24"/>
        </w:rPr>
        <w:t>s</w:t>
      </w:r>
      <w:r w:rsidRPr="00837DB8">
        <w:rPr>
          <w:szCs w:val="24"/>
        </w:rPr>
        <w:t xml:space="preserve"> </w:t>
      </w:r>
      <w:r w:rsidR="00107E43">
        <w:rPr>
          <w:szCs w:val="24"/>
        </w:rPr>
        <w:t>for</w:t>
      </w:r>
      <w:r w:rsidR="00107E43" w:rsidRPr="00837DB8">
        <w:rPr>
          <w:szCs w:val="24"/>
        </w:rPr>
        <w:t xml:space="preserve"> </w:t>
      </w:r>
      <w:proofErr w:type="spellStart"/>
      <w:r>
        <w:t>multiparametric</w:t>
      </w:r>
      <w:proofErr w:type="spellEnd"/>
      <w:r>
        <w:t xml:space="preserve"> magnetic resonance imaging (</w:t>
      </w:r>
      <w:proofErr w:type="spellStart"/>
      <w:r>
        <w:t>mpMRI</w:t>
      </w:r>
      <w:proofErr w:type="spellEnd"/>
      <w:r>
        <w:t xml:space="preserve">), </w:t>
      </w:r>
      <w:r w:rsidR="00107E43">
        <w:t>to diagnose</w:t>
      </w:r>
      <w:r>
        <w:t xml:space="preserve"> clinically significant cancer </w:t>
      </w:r>
      <w:r w:rsidRPr="001020B7">
        <w:t xml:space="preserve">in patients </w:t>
      </w:r>
      <w:r w:rsidR="00107E43">
        <w:t xml:space="preserve">suspected to have </w:t>
      </w:r>
      <w:r>
        <w:t>prostate cancer</w:t>
      </w:r>
      <w:r w:rsidR="00107E43">
        <w:t>,</w:t>
      </w:r>
      <w:r w:rsidRPr="001020B7">
        <w:t xml:space="preserve"> and </w:t>
      </w:r>
      <w:r w:rsidR="00107E43">
        <w:t xml:space="preserve">for </w:t>
      </w:r>
      <w:r w:rsidRPr="001020B7">
        <w:t xml:space="preserve">disease monitoring in patients with known </w:t>
      </w:r>
      <w:r w:rsidR="00107E43">
        <w:t>prostate cancer</w:t>
      </w:r>
      <w:r w:rsidR="00107E43" w:rsidRPr="001020B7">
        <w:t xml:space="preserve"> </w:t>
      </w:r>
      <w:r w:rsidRPr="001020B7">
        <w:t xml:space="preserve">who </w:t>
      </w:r>
      <w:r w:rsidR="00107E43">
        <w:t xml:space="preserve">have undertaken </w:t>
      </w:r>
      <w:r w:rsidRPr="001020B7">
        <w:t>active surveillance</w:t>
      </w:r>
      <w:r>
        <w:t xml:space="preserve">, </w:t>
      </w:r>
      <w:r w:rsidRPr="00837DB8">
        <w:t xml:space="preserve">was received </w:t>
      </w:r>
      <w:r>
        <w:t>from the Australian and N</w:t>
      </w:r>
      <w:r w:rsidRPr="00533A5A">
        <w:t>ew Zealand Association of Urological Surgeons (ANZAUS)</w:t>
      </w:r>
      <w:r>
        <w:t xml:space="preserve"> </w:t>
      </w:r>
      <w:r w:rsidR="00107E43">
        <w:t xml:space="preserve">and the Australian Diagnostic Imaging Association (ADIA) </w:t>
      </w:r>
      <w:r w:rsidRPr="00837DB8">
        <w:t>by the Depar</w:t>
      </w:r>
      <w:r w:rsidR="00FD0DA1">
        <w:t>tment of Health (the Department).</w:t>
      </w:r>
    </w:p>
    <w:p w14:paraId="5379CAD7" w14:textId="71D0E6A1" w:rsidR="00E977EE" w:rsidRDefault="00E977EE" w:rsidP="008E4C81">
      <w:pPr>
        <w:pStyle w:val="Heading1"/>
        <w:ind w:hanging="502"/>
      </w:pPr>
      <w:r w:rsidRPr="00F715D1">
        <w:t>MSAC’s advice to the Minister</w:t>
      </w:r>
      <w:r w:rsidR="00117AC0">
        <w:t xml:space="preserve"> – July 2017 consideration</w:t>
      </w:r>
    </w:p>
    <w:p w14:paraId="2D3C1376" w14:textId="45A05BD8" w:rsidR="004E5F21" w:rsidRDefault="00F4524A" w:rsidP="005D355A">
      <w:pPr>
        <w:spacing w:after="240"/>
      </w:pPr>
      <w:r>
        <w:t xml:space="preserve">MSAC deferred a decision on the listing of </w:t>
      </w:r>
      <w:proofErr w:type="spellStart"/>
      <w:r>
        <w:t>multiparametric</w:t>
      </w:r>
      <w:proofErr w:type="spellEnd"/>
      <w:r>
        <w:t xml:space="preserve"> magnetic resonance imaging (</w:t>
      </w:r>
      <w:proofErr w:type="spellStart"/>
      <w:r>
        <w:t>mpMRI</w:t>
      </w:r>
      <w:proofErr w:type="spellEnd"/>
      <w:r>
        <w:t>) for the diagnosis of prostate cancer (</w:t>
      </w:r>
      <w:proofErr w:type="spellStart"/>
      <w:r>
        <w:t>PCa</w:t>
      </w:r>
      <w:proofErr w:type="spellEnd"/>
      <w:r>
        <w:t xml:space="preserve">) pending provision of additional information on the utilisation and financial impact of the listing. </w:t>
      </w:r>
    </w:p>
    <w:p w14:paraId="49903A37" w14:textId="37A7F63F" w:rsidR="00117AC0" w:rsidRDefault="00F4524A" w:rsidP="00F4524A">
      <w:r>
        <w:t xml:space="preserve">MSAC agreed there was a clinical place for </w:t>
      </w:r>
      <w:proofErr w:type="spellStart"/>
      <w:r>
        <w:t>mpMRI</w:t>
      </w:r>
      <w:proofErr w:type="spellEnd"/>
      <w:r>
        <w:t xml:space="preserve"> and recalled that it had previous</w:t>
      </w:r>
      <w:r w:rsidR="004E5F21">
        <w:t>ly</w:t>
      </w:r>
      <w:r>
        <w:t xml:space="preserve"> accepted its safety and effectiveness compared with ultrasound-guided biopsy. However, MSAC remained uncertain about the financial impact of potential use of </w:t>
      </w:r>
      <w:proofErr w:type="spellStart"/>
      <w:r>
        <w:t>mpMRI</w:t>
      </w:r>
      <w:proofErr w:type="spellEnd"/>
      <w:r>
        <w:t xml:space="preserve"> outside the proposed populations. MSAC noted that potential costs due to leakage may be substantial. MSAC requested further revision of the item descriptors, further assessment of the fee and new modelling which assumed that all men with incident cases of </w:t>
      </w:r>
      <w:proofErr w:type="spellStart"/>
      <w:r>
        <w:t>PCa</w:t>
      </w:r>
      <w:proofErr w:type="spellEnd"/>
      <w:r>
        <w:t xml:space="preserve"> would receive an </w:t>
      </w:r>
      <w:proofErr w:type="spellStart"/>
      <w:r>
        <w:t>mpMRI</w:t>
      </w:r>
      <w:proofErr w:type="spellEnd"/>
      <w:r w:rsidR="004E5F21">
        <w:t xml:space="preserve"> as a staging procedure</w:t>
      </w:r>
      <w:r>
        <w:t>. MSAC suggested that the progress of this application be managed via the MSAC Executive to ensure that the appropriate information was provided to the full committee in a timely manner.</w:t>
      </w:r>
    </w:p>
    <w:p w14:paraId="3D162BB1" w14:textId="5F0EF4A8" w:rsidR="00117AC0" w:rsidRDefault="00117AC0" w:rsidP="00392E55">
      <w:pPr>
        <w:pStyle w:val="Heading1"/>
        <w:numPr>
          <w:ilvl w:val="0"/>
          <w:numId w:val="0"/>
        </w:numPr>
        <w:ind w:left="502" w:hanging="502"/>
      </w:pPr>
      <w:r w:rsidRPr="00117AC0">
        <w:t>Summary of consideration and rationale for MSAC’s advice</w:t>
      </w:r>
      <w:r>
        <w:t xml:space="preserve"> – July 2017</w:t>
      </w:r>
    </w:p>
    <w:p w14:paraId="4FF6006C" w14:textId="77777777"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 xml:space="preserve">MSAC recalled that it had considered the listing of </w:t>
      </w:r>
      <w:proofErr w:type="spellStart"/>
      <w:r w:rsidRPr="00F4524A">
        <w:rPr>
          <w:rFonts w:ascii="Times New Roman" w:hAnsi="Times New Roman"/>
          <w:sz w:val="24"/>
        </w:rPr>
        <w:t>multiparametric</w:t>
      </w:r>
      <w:proofErr w:type="spellEnd"/>
      <w:r w:rsidRPr="00F4524A">
        <w:rPr>
          <w:rFonts w:ascii="Times New Roman" w:hAnsi="Times New Roman"/>
          <w:sz w:val="24"/>
        </w:rPr>
        <w:t xml:space="preserve"> magnetic resonance imaging (</w:t>
      </w:r>
      <w:proofErr w:type="spellStart"/>
      <w:r w:rsidRPr="00F4524A">
        <w:rPr>
          <w:rFonts w:ascii="Times New Roman" w:hAnsi="Times New Roman"/>
          <w:sz w:val="24"/>
        </w:rPr>
        <w:t>mpMRI</w:t>
      </w:r>
      <w:proofErr w:type="spellEnd"/>
      <w:r w:rsidRPr="00F4524A">
        <w:rPr>
          <w:rFonts w:ascii="Times New Roman" w:hAnsi="Times New Roman"/>
          <w:sz w:val="24"/>
        </w:rPr>
        <w:t>) for the diagnosis of prostate cancer (</w:t>
      </w:r>
      <w:proofErr w:type="spellStart"/>
      <w:r w:rsidRPr="00F4524A">
        <w:rPr>
          <w:rFonts w:ascii="Times New Roman" w:hAnsi="Times New Roman"/>
          <w:sz w:val="24"/>
        </w:rPr>
        <w:t>PCa</w:t>
      </w:r>
      <w:proofErr w:type="spellEnd"/>
      <w:r w:rsidRPr="00F4524A">
        <w:rPr>
          <w:rFonts w:ascii="Times New Roman" w:hAnsi="Times New Roman"/>
          <w:sz w:val="24"/>
        </w:rPr>
        <w:t xml:space="preserve">) at its April 2017 meeting. </w:t>
      </w:r>
      <w:r w:rsidRPr="00F4524A">
        <w:rPr>
          <w:rFonts w:ascii="Times New Roman" w:hAnsi="Times New Roman"/>
          <w:sz w:val="24"/>
        </w:rPr>
        <w:lastRenderedPageBreak/>
        <w:t xml:space="preserve">MSAC recalled that while it had accepted that </w:t>
      </w:r>
      <w:proofErr w:type="spellStart"/>
      <w:r w:rsidRPr="00F4524A">
        <w:rPr>
          <w:rFonts w:ascii="Times New Roman" w:hAnsi="Times New Roman"/>
          <w:sz w:val="24"/>
        </w:rPr>
        <w:t>mpMRI</w:t>
      </w:r>
      <w:proofErr w:type="spellEnd"/>
      <w:r w:rsidRPr="00F4524A">
        <w:rPr>
          <w:rFonts w:ascii="Times New Roman" w:hAnsi="Times New Roman"/>
          <w:sz w:val="24"/>
        </w:rPr>
        <w:t xml:space="preserve"> had superior safety and non-inferior effectiveness if used to diagnose clinically significant disease in men suspected of having </w:t>
      </w:r>
      <w:proofErr w:type="spellStart"/>
      <w:r w:rsidRPr="00F4524A">
        <w:rPr>
          <w:rFonts w:ascii="Times New Roman" w:hAnsi="Times New Roman"/>
          <w:sz w:val="24"/>
        </w:rPr>
        <w:t>PCa</w:t>
      </w:r>
      <w:proofErr w:type="spellEnd"/>
      <w:r w:rsidRPr="00F4524A">
        <w:rPr>
          <w:rFonts w:ascii="Times New Roman" w:hAnsi="Times New Roman"/>
          <w:sz w:val="24"/>
        </w:rPr>
        <w:t xml:space="preserve"> (population 1) or men on an active surveillance program (population 2), it had deferred the listing due to concerns about use outside these populations (</w:t>
      </w:r>
      <w:hyperlink r:id="rId11" w:history="1">
        <w:r w:rsidRPr="00F4524A">
          <w:rPr>
            <w:rStyle w:val="Hyperlink"/>
            <w:rFonts w:ascii="Times New Roman" w:hAnsi="Times New Roman"/>
            <w:sz w:val="24"/>
          </w:rPr>
          <w:t>MSAC Public Summary Document (PSD) Application 1397, April 2017</w:t>
        </w:r>
      </w:hyperlink>
      <w:r w:rsidRPr="00F4524A">
        <w:rPr>
          <w:rFonts w:ascii="Times New Roman" w:hAnsi="Times New Roman"/>
          <w:sz w:val="24"/>
        </w:rPr>
        <w:t>). MSAC recalled that at this meeting it had requested:</w:t>
      </w:r>
    </w:p>
    <w:p w14:paraId="2B7B1E21" w14:textId="77777777" w:rsidR="00F4524A" w:rsidRPr="00F4524A" w:rsidRDefault="00F4524A" w:rsidP="00392E55">
      <w:pPr>
        <w:pStyle w:val="ListParagraph"/>
        <w:numPr>
          <w:ilvl w:val="0"/>
          <w:numId w:val="41"/>
        </w:numPr>
        <w:rPr>
          <w:szCs w:val="24"/>
        </w:rPr>
      </w:pPr>
      <w:r w:rsidRPr="00F4524A">
        <w:rPr>
          <w:szCs w:val="24"/>
        </w:rPr>
        <w:t>modification of the wording of the item descriptor to prevent additional use;</w:t>
      </w:r>
    </w:p>
    <w:p w14:paraId="2D3FAB3C" w14:textId="77777777" w:rsidR="00F4524A" w:rsidRPr="00F4524A" w:rsidRDefault="00F4524A" w:rsidP="00392E55">
      <w:pPr>
        <w:pStyle w:val="ListParagraph"/>
        <w:numPr>
          <w:ilvl w:val="0"/>
          <w:numId w:val="41"/>
        </w:numPr>
        <w:rPr>
          <w:szCs w:val="24"/>
        </w:rPr>
      </w:pPr>
      <w:r w:rsidRPr="00F4524A">
        <w:rPr>
          <w:szCs w:val="24"/>
        </w:rPr>
        <w:t xml:space="preserve">reduction of the MBS item fee to $400; and </w:t>
      </w:r>
    </w:p>
    <w:p w14:paraId="7E98EF11" w14:textId="77777777" w:rsidR="00F4524A" w:rsidRPr="00F4524A" w:rsidRDefault="00F4524A" w:rsidP="00392E55">
      <w:pPr>
        <w:pStyle w:val="ListParagraph"/>
        <w:numPr>
          <w:ilvl w:val="0"/>
          <w:numId w:val="41"/>
        </w:numPr>
        <w:rPr>
          <w:szCs w:val="24"/>
        </w:rPr>
      </w:pPr>
      <w:proofErr w:type="gramStart"/>
      <w:r w:rsidRPr="00F4524A">
        <w:rPr>
          <w:szCs w:val="24"/>
        </w:rPr>
        <w:t>an</w:t>
      </w:r>
      <w:proofErr w:type="gramEnd"/>
      <w:r w:rsidRPr="00F4524A">
        <w:rPr>
          <w:szCs w:val="24"/>
        </w:rPr>
        <w:t xml:space="preserve"> estimate of the total potential utilisation and financial impact of use outside the two identified patient populations. </w:t>
      </w:r>
    </w:p>
    <w:p w14:paraId="4C1849F3" w14:textId="4E4EDF5E"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 xml:space="preserve">MSAC recalled that it was concerned about leakage in the following populations: 1) men with suspected </w:t>
      </w:r>
      <w:proofErr w:type="spellStart"/>
      <w:r w:rsidRPr="00F4524A">
        <w:rPr>
          <w:rFonts w:ascii="Times New Roman" w:hAnsi="Times New Roman"/>
          <w:sz w:val="24"/>
        </w:rPr>
        <w:t>PCa</w:t>
      </w:r>
      <w:proofErr w:type="spellEnd"/>
      <w:r w:rsidRPr="00F4524A">
        <w:rPr>
          <w:rFonts w:ascii="Times New Roman" w:hAnsi="Times New Roman"/>
          <w:sz w:val="24"/>
        </w:rPr>
        <w:t xml:space="preserve"> who have </w:t>
      </w:r>
      <w:r w:rsidR="004E5F21">
        <w:rPr>
          <w:rFonts w:ascii="Times New Roman" w:hAnsi="Times New Roman"/>
          <w:sz w:val="24"/>
        </w:rPr>
        <w:t xml:space="preserve">had </w:t>
      </w:r>
      <w:r w:rsidRPr="00F4524A">
        <w:rPr>
          <w:rFonts w:ascii="Times New Roman" w:hAnsi="Times New Roman"/>
          <w:sz w:val="24"/>
        </w:rPr>
        <w:t xml:space="preserve">a negative biopsy; 2) men with a known diagnosis of </w:t>
      </w:r>
      <w:proofErr w:type="spellStart"/>
      <w:r w:rsidRPr="00F4524A">
        <w:rPr>
          <w:rFonts w:ascii="Times New Roman" w:hAnsi="Times New Roman"/>
          <w:sz w:val="24"/>
        </w:rPr>
        <w:t>PCa</w:t>
      </w:r>
      <w:proofErr w:type="spellEnd"/>
      <w:r w:rsidRPr="00F4524A">
        <w:rPr>
          <w:rFonts w:ascii="Times New Roman" w:hAnsi="Times New Roman"/>
          <w:sz w:val="24"/>
        </w:rPr>
        <w:t xml:space="preserve"> in whom </w:t>
      </w:r>
      <w:proofErr w:type="spellStart"/>
      <w:r w:rsidRPr="00F4524A">
        <w:rPr>
          <w:rFonts w:ascii="Times New Roman" w:hAnsi="Times New Roman"/>
          <w:sz w:val="24"/>
        </w:rPr>
        <w:t>mpMRI</w:t>
      </w:r>
      <w:proofErr w:type="spellEnd"/>
      <w:r w:rsidRPr="00F4524A">
        <w:rPr>
          <w:rFonts w:ascii="Times New Roman" w:hAnsi="Times New Roman"/>
          <w:sz w:val="24"/>
        </w:rPr>
        <w:t xml:space="preserve"> was being used to stage or plan treatment or 3) men with suspected recurrent </w:t>
      </w:r>
      <w:proofErr w:type="spellStart"/>
      <w:r w:rsidRPr="00F4524A">
        <w:rPr>
          <w:rFonts w:ascii="Times New Roman" w:hAnsi="Times New Roman"/>
          <w:sz w:val="24"/>
        </w:rPr>
        <w:t>PCa</w:t>
      </w:r>
      <w:proofErr w:type="spellEnd"/>
      <w:r w:rsidRPr="00F4524A">
        <w:rPr>
          <w:rFonts w:ascii="Times New Roman" w:hAnsi="Times New Roman"/>
          <w:sz w:val="24"/>
        </w:rPr>
        <w:t xml:space="preserve"> after curative intent treatment. MSAC noted that while the item descriptors for population 1 and population 2 had been tightened, they were still not sufficient to preclude use in the three additional populations. </w:t>
      </w:r>
    </w:p>
    <w:p w14:paraId="5AD9C2F9" w14:textId="46F4F9D1"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 xml:space="preserve">. MSAC noted the applicants’ comments that it would be exceptional for a patient to receive treatment without having undergone imaging and that treatment planning would be conducted as part of the initial </w:t>
      </w:r>
      <w:proofErr w:type="spellStart"/>
      <w:r w:rsidRPr="00F4524A">
        <w:rPr>
          <w:rFonts w:ascii="Times New Roman" w:hAnsi="Times New Roman"/>
          <w:sz w:val="24"/>
        </w:rPr>
        <w:t>mpMRI</w:t>
      </w:r>
      <w:proofErr w:type="spellEnd"/>
      <w:r w:rsidRPr="00F4524A">
        <w:rPr>
          <w:rFonts w:ascii="Times New Roman" w:hAnsi="Times New Roman"/>
          <w:sz w:val="24"/>
        </w:rPr>
        <w:t xml:space="preserve">. MSAC noted that while T2 weighted (T2W), diffusion weighted image (DWI), and dynamic-contrast enhanced (DCE) pulse sequences were required for accurate diagnosis, only T2W </w:t>
      </w:r>
      <w:r w:rsidR="004E5F21">
        <w:rPr>
          <w:rFonts w:ascii="Times New Roman" w:hAnsi="Times New Roman"/>
          <w:sz w:val="24"/>
        </w:rPr>
        <w:t>images</w:t>
      </w:r>
      <w:r w:rsidR="004E5F21" w:rsidRPr="00F4524A">
        <w:rPr>
          <w:rFonts w:ascii="Times New Roman" w:hAnsi="Times New Roman"/>
          <w:sz w:val="24"/>
        </w:rPr>
        <w:t xml:space="preserve"> </w:t>
      </w:r>
      <w:r w:rsidRPr="00F4524A">
        <w:rPr>
          <w:rFonts w:ascii="Times New Roman" w:hAnsi="Times New Roman"/>
          <w:sz w:val="24"/>
        </w:rPr>
        <w:t xml:space="preserve">were </w:t>
      </w:r>
      <w:r w:rsidR="004E5F21">
        <w:rPr>
          <w:rFonts w:ascii="Times New Roman" w:hAnsi="Times New Roman"/>
          <w:sz w:val="24"/>
        </w:rPr>
        <w:t>essential</w:t>
      </w:r>
      <w:r w:rsidR="004E5F21" w:rsidRPr="00F4524A">
        <w:rPr>
          <w:rFonts w:ascii="Times New Roman" w:hAnsi="Times New Roman"/>
          <w:sz w:val="24"/>
        </w:rPr>
        <w:t xml:space="preserve"> </w:t>
      </w:r>
      <w:r w:rsidRPr="00F4524A">
        <w:rPr>
          <w:rFonts w:ascii="Times New Roman" w:hAnsi="Times New Roman"/>
          <w:sz w:val="24"/>
        </w:rPr>
        <w:t xml:space="preserve">for staging. Therefore, MSAC noted that while the $600 fee may be </w:t>
      </w:r>
      <w:r w:rsidR="004E5F21">
        <w:rPr>
          <w:rFonts w:ascii="Times New Roman" w:hAnsi="Times New Roman"/>
          <w:sz w:val="24"/>
        </w:rPr>
        <w:t>justifiable</w:t>
      </w:r>
      <w:r w:rsidR="004E5F21" w:rsidRPr="00F4524A">
        <w:rPr>
          <w:rFonts w:ascii="Times New Roman" w:hAnsi="Times New Roman"/>
          <w:sz w:val="24"/>
        </w:rPr>
        <w:t xml:space="preserve"> </w:t>
      </w:r>
      <w:r w:rsidRPr="00F4524A">
        <w:rPr>
          <w:rFonts w:ascii="Times New Roman" w:hAnsi="Times New Roman"/>
          <w:sz w:val="24"/>
        </w:rPr>
        <w:t xml:space="preserve">for </w:t>
      </w:r>
      <w:r w:rsidR="004E5F21">
        <w:rPr>
          <w:rFonts w:ascii="Times New Roman" w:hAnsi="Times New Roman"/>
          <w:sz w:val="24"/>
        </w:rPr>
        <w:t xml:space="preserve">full </w:t>
      </w:r>
      <w:proofErr w:type="spellStart"/>
      <w:r w:rsidR="004E5F21">
        <w:rPr>
          <w:rFonts w:ascii="Times New Roman" w:hAnsi="Times New Roman"/>
          <w:sz w:val="24"/>
        </w:rPr>
        <w:t>mpMRI</w:t>
      </w:r>
      <w:proofErr w:type="spellEnd"/>
      <w:r w:rsidR="004E5F21">
        <w:rPr>
          <w:rFonts w:ascii="Times New Roman" w:hAnsi="Times New Roman"/>
          <w:sz w:val="24"/>
        </w:rPr>
        <w:t xml:space="preserve"> to diagnose clinically significant </w:t>
      </w:r>
      <w:proofErr w:type="spellStart"/>
      <w:r w:rsidR="004E5F21">
        <w:rPr>
          <w:rFonts w:ascii="Times New Roman" w:hAnsi="Times New Roman"/>
          <w:sz w:val="24"/>
        </w:rPr>
        <w:t>PCa</w:t>
      </w:r>
      <w:proofErr w:type="spellEnd"/>
      <w:r w:rsidR="004E5F21">
        <w:rPr>
          <w:rFonts w:ascii="Times New Roman" w:hAnsi="Times New Roman"/>
          <w:sz w:val="24"/>
        </w:rPr>
        <w:t xml:space="preserve"> (per the initial application</w:t>
      </w:r>
      <w:proofErr w:type="gramStart"/>
      <w:r w:rsidR="004E5F21">
        <w:rPr>
          <w:rFonts w:ascii="Times New Roman" w:hAnsi="Times New Roman"/>
          <w:sz w:val="24"/>
        </w:rPr>
        <w:t>)</w:t>
      </w:r>
      <w:r w:rsidR="004E5F21" w:rsidRPr="00F4524A" w:rsidDel="004E5F21">
        <w:rPr>
          <w:rFonts w:ascii="Times New Roman" w:hAnsi="Times New Roman"/>
          <w:sz w:val="24"/>
        </w:rPr>
        <w:t xml:space="preserve"> </w:t>
      </w:r>
      <w:r w:rsidRPr="00F4524A">
        <w:rPr>
          <w:rFonts w:ascii="Times New Roman" w:hAnsi="Times New Roman"/>
          <w:sz w:val="24"/>
        </w:rPr>
        <w:t>,</w:t>
      </w:r>
      <w:proofErr w:type="gramEnd"/>
      <w:r w:rsidRPr="00F4524A">
        <w:rPr>
          <w:rFonts w:ascii="Times New Roman" w:hAnsi="Times New Roman"/>
          <w:sz w:val="24"/>
        </w:rPr>
        <w:t xml:space="preserve"> it would not be justified for staging. MSAC noted that as it was likely that </w:t>
      </w:r>
      <w:proofErr w:type="spellStart"/>
      <w:r w:rsidRPr="00F4524A">
        <w:rPr>
          <w:rFonts w:ascii="Times New Roman" w:hAnsi="Times New Roman"/>
          <w:sz w:val="24"/>
        </w:rPr>
        <w:t>mpMRI</w:t>
      </w:r>
      <w:proofErr w:type="spellEnd"/>
      <w:r w:rsidRPr="00F4524A">
        <w:rPr>
          <w:rFonts w:ascii="Times New Roman" w:hAnsi="Times New Roman"/>
          <w:sz w:val="24"/>
        </w:rPr>
        <w:t xml:space="preserve"> would be undertaken for all incident cases of </w:t>
      </w:r>
      <w:proofErr w:type="spellStart"/>
      <w:r w:rsidRPr="00F4524A">
        <w:rPr>
          <w:rFonts w:ascii="Times New Roman" w:hAnsi="Times New Roman"/>
          <w:sz w:val="24"/>
        </w:rPr>
        <w:t>PCa</w:t>
      </w:r>
      <w:proofErr w:type="spellEnd"/>
      <w:r w:rsidRPr="00F4524A">
        <w:rPr>
          <w:rFonts w:ascii="Times New Roman" w:hAnsi="Times New Roman"/>
          <w:sz w:val="24"/>
        </w:rPr>
        <w:t xml:space="preserve">, a lower fee than the proposed $600 could alleviate the financial impact of the use of </w:t>
      </w:r>
      <w:proofErr w:type="spellStart"/>
      <w:r w:rsidRPr="00F4524A">
        <w:rPr>
          <w:rFonts w:ascii="Times New Roman" w:hAnsi="Times New Roman"/>
          <w:sz w:val="24"/>
        </w:rPr>
        <w:t>mpMRI</w:t>
      </w:r>
      <w:proofErr w:type="spellEnd"/>
      <w:r w:rsidRPr="00F4524A">
        <w:rPr>
          <w:rFonts w:ascii="Times New Roman" w:hAnsi="Times New Roman"/>
          <w:sz w:val="24"/>
        </w:rPr>
        <w:t xml:space="preserve"> to </w:t>
      </w:r>
      <w:r w:rsidR="004E5F21">
        <w:rPr>
          <w:rFonts w:ascii="Times New Roman" w:hAnsi="Times New Roman"/>
          <w:sz w:val="24"/>
        </w:rPr>
        <w:t xml:space="preserve">stage disease and </w:t>
      </w:r>
      <w:r w:rsidRPr="00F4524A">
        <w:rPr>
          <w:rFonts w:ascii="Times New Roman" w:hAnsi="Times New Roman"/>
          <w:sz w:val="24"/>
        </w:rPr>
        <w:t xml:space="preserve">plan treatment </w:t>
      </w:r>
      <w:r w:rsidR="004E5F21">
        <w:rPr>
          <w:rFonts w:ascii="Times New Roman" w:hAnsi="Times New Roman"/>
          <w:sz w:val="24"/>
        </w:rPr>
        <w:t>in addition to its diagnostic use</w:t>
      </w:r>
      <w:r w:rsidRPr="00F4524A">
        <w:rPr>
          <w:rFonts w:ascii="Times New Roman" w:hAnsi="Times New Roman"/>
          <w:sz w:val="24"/>
        </w:rPr>
        <w:t>.</w:t>
      </w:r>
    </w:p>
    <w:p w14:paraId="6F19A02C" w14:textId="06945B42"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 xml:space="preserve">MSAC noted that no information on the financial impact of reducing the proposed fee from $600 to $400 had been provided to the committee. MSAC noted that advice provided to the Department from individual radiologists had indicated that </w:t>
      </w:r>
      <w:proofErr w:type="spellStart"/>
      <w:r w:rsidRPr="00F4524A">
        <w:rPr>
          <w:rFonts w:ascii="Times New Roman" w:hAnsi="Times New Roman"/>
          <w:sz w:val="24"/>
        </w:rPr>
        <w:t>mpMRI</w:t>
      </w:r>
      <w:proofErr w:type="spellEnd"/>
      <w:r w:rsidRPr="00F4524A">
        <w:rPr>
          <w:rFonts w:ascii="Times New Roman" w:hAnsi="Times New Roman"/>
          <w:sz w:val="24"/>
        </w:rPr>
        <w:t xml:space="preserve"> was more complex than item 63476 (MRI scan of the pelvis for the initial staging of rectal cancer: MBS fee ~$403). MSAC noted that these radiologists suggested that undertaking </w:t>
      </w:r>
      <w:proofErr w:type="spellStart"/>
      <w:r w:rsidRPr="00F4524A">
        <w:rPr>
          <w:rFonts w:ascii="Times New Roman" w:hAnsi="Times New Roman"/>
          <w:sz w:val="24"/>
        </w:rPr>
        <w:t>mpMRI</w:t>
      </w:r>
      <w:proofErr w:type="spellEnd"/>
      <w:r w:rsidRPr="00F4524A">
        <w:rPr>
          <w:rFonts w:ascii="Times New Roman" w:hAnsi="Times New Roman"/>
          <w:sz w:val="24"/>
        </w:rPr>
        <w:t xml:space="preserve"> </w:t>
      </w:r>
      <w:r w:rsidR="004E5F21">
        <w:rPr>
          <w:rFonts w:ascii="Times New Roman" w:hAnsi="Times New Roman"/>
          <w:sz w:val="24"/>
        </w:rPr>
        <w:t xml:space="preserve">of the prostate </w:t>
      </w:r>
      <w:r w:rsidRPr="00F4524A">
        <w:rPr>
          <w:rFonts w:ascii="Times New Roman" w:hAnsi="Times New Roman"/>
          <w:sz w:val="24"/>
        </w:rPr>
        <w:t>was comparable to undertaking breast MRI for the detection of cancer (item 63464: MBS fee $690 for both breasts).</w:t>
      </w:r>
    </w:p>
    <w:p w14:paraId="4522B065" w14:textId="7561D452"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 xml:space="preserve">MSAC noted that while the applicants claimed that the number of men diagnosed with incidental cancer and on an active surveillance program (population 2) would fall to minimal levels, no evidence had been presented to support this claim. MSAC also noted that the applicants had suggested that there would be a third population </w:t>
      </w:r>
      <w:r w:rsidR="00392E55">
        <w:rPr>
          <w:rFonts w:ascii="Times New Roman" w:hAnsi="Times New Roman"/>
          <w:sz w:val="24"/>
        </w:rPr>
        <w:t xml:space="preserve">suitable for </w:t>
      </w:r>
      <w:proofErr w:type="spellStart"/>
      <w:r w:rsidR="00392E55">
        <w:rPr>
          <w:rFonts w:ascii="Times New Roman" w:hAnsi="Times New Roman"/>
          <w:sz w:val="24"/>
        </w:rPr>
        <w:t>mpMRI</w:t>
      </w:r>
      <w:proofErr w:type="spellEnd"/>
      <w:r w:rsidR="00392E55">
        <w:rPr>
          <w:rFonts w:ascii="Times New Roman" w:hAnsi="Times New Roman"/>
          <w:sz w:val="24"/>
        </w:rPr>
        <w:t xml:space="preserve"> -</w:t>
      </w:r>
      <w:r w:rsidRPr="00F4524A">
        <w:rPr>
          <w:rFonts w:ascii="Times New Roman" w:hAnsi="Times New Roman"/>
          <w:sz w:val="24"/>
        </w:rPr>
        <w:t xml:space="preserve"> men identified as having small but visible </w:t>
      </w:r>
      <w:proofErr w:type="spellStart"/>
      <w:r w:rsidRPr="00F4524A">
        <w:rPr>
          <w:rFonts w:ascii="Times New Roman" w:hAnsi="Times New Roman"/>
          <w:sz w:val="24"/>
        </w:rPr>
        <w:t>PCa</w:t>
      </w:r>
      <w:proofErr w:type="spellEnd"/>
      <w:r w:rsidRPr="00F4524A">
        <w:rPr>
          <w:rFonts w:ascii="Times New Roman" w:hAnsi="Times New Roman"/>
          <w:sz w:val="24"/>
        </w:rPr>
        <w:t xml:space="preserve">, that is intermediate risk on biopsy, and who have chosen ongoing observation rather than treatment (population 3). The applicants indicated that men in population 3 would be monitored with one scan every year. MSAC noted that no evidence had been provided to support the use of </w:t>
      </w:r>
      <w:proofErr w:type="spellStart"/>
      <w:r w:rsidRPr="00F4524A">
        <w:rPr>
          <w:rFonts w:ascii="Times New Roman" w:hAnsi="Times New Roman"/>
          <w:sz w:val="24"/>
        </w:rPr>
        <w:t>mpMRI</w:t>
      </w:r>
      <w:proofErr w:type="spellEnd"/>
      <w:r w:rsidRPr="00F4524A">
        <w:rPr>
          <w:rFonts w:ascii="Times New Roman" w:hAnsi="Times New Roman"/>
          <w:sz w:val="24"/>
        </w:rPr>
        <w:t xml:space="preserve"> in population 3. </w:t>
      </w:r>
    </w:p>
    <w:p w14:paraId="5ED5E8A2" w14:textId="061AB3C2"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 xml:space="preserve">MSAC recalled that it had recommended modelling of the financial impact of use outside the proposed populations but this had not been provided. MSAC recommended new modelling, which assumes all men with early </w:t>
      </w:r>
      <w:proofErr w:type="spellStart"/>
      <w:r w:rsidRPr="00F4524A">
        <w:rPr>
          <w:rFonts w:ascii="Times New Roman" w:hAnsi="Times New Roman"/>
          <w:sz w:val="24"/>
        </w:rPr>
        <w:t>PCa</w:t>
      </w:r>
      <w:proofErr w:type="spellEnd"/>
      <w:r w:rsidRPr="00F4524A">
        <w:rPr>
          <w:rFonts w:ascii="Times New Roman" w:hAnsi="Times New Roman"/>
          <w:sz w:val="24"/>
        </w:rPr>
        <w:t xml:space="preserve"> receive an </w:t>
      </w:r>
      <w:proofErr w:type="spellStart"/>
      <w:r w:rsidRPr="00F4524A">
        <w:rPr>
          <w:rFonts w:ascii="Times New Roman" w:hAnsi="Times New Roman"/>
          <w:sz w:val="24"/>
        </w:rPr>
        <w:t>mpMRI</w:t>
      </w:r>
      <w:proofErr w:type="spellEnd"/>
      <w:r w:rsidRPr="00F4524A">
        <w:rPr>
          <w:rFonts w:ascii="Times New Roman" w:hAnsi="Times New Roman"/>
          <w:sz w:val="24"/>
        </w:rPr>
        <w:t xml:space="preserve">, be undertaken. MSAC noted that in response to its request for further data at the April 2017 meeting, the following information had been provided </w:t>
      </w:r>
      <w:r w:rsidR="004E5F21">
        <w:rPr>
          <w:rFonts w:ascii="Times New Roman" w:hAnsi="Times New Roman"/>
          <w:sz w:val="24"/>
        </w:rPr>
        <w:t>which</w:t>
      </w:r>
      <w:r w:rsidR="004E5F21" w:rsidRPr="00F4524A">
        <w:rPr>
          <w:rFonts w:ascii="Times New Roman" w:hAnsi="Times New Roman"/>
          <w:sz w:val="24"/>
        </w:rPr>
        <w:t xml:space="preserve"> </w:t>
      </w:r>
      <w:r w:rsidRPr="00F4524A">
        <w:rPr>
          <w:rFonts w:ascii="Times New Roman" w:hAnsi="Times New Roman"/>
          <w:sz w:val="24"/>
        </w:rPr>
        <w:t>could inform the new model:</w:t>
      </w:r>
    </w:p>
    <w:p w14:paraId="4F4A75CD" w14:textId="77777777" w:rsidR="00F4524A" w:rsidRPr="00F4524A" w:rsidRDefault="00EB387C" w:rsidP="00392E55">
      <w:pPr>
        <w:pStyle w:val="BodyText"/>
        <w:numPr>
          <w:ilvl w:val="0"/>
          <w:numId w:val="40"/>
        </w:numPr>
        <w:spacing w:line="240" w:lineRule="auto"/>
        <w:rPr>
          <w:rFonts w:ascii="Times New Roman" w:hAnsi="Times New Roman"/>
          <w:sz w:val="24"/>
        </w:rPr>
      </w:pPr>
      <w:hyperlink r:id="rId12" w:history="1">
        <w:r w:rsidR="00F4524A" w:rsidRPr="00F4524A">
          <w:rPr>
            <w:rStyle w:val="Hyperlink"/>
            <w:rFonts w:ascii="Times New Roman" w:hAnsi="Times New Roman"/>
            <w:sz w:val="24"/>
          </w:rPr>
          <w:t>AIHW data on cancer incidence</w:t>
        </w:r>
      </w:hyperlink>
      <w:r w:rsidR="00F4524A" w:rsidRPr="00F4524A">
        <w:rPr>
          <w:rFonts w:ascii="Times New Roman" w:hAnsi="Times New Roman"/>
          <w:sz w:val="24"/>
        </w:rPr>
        <w:t xml:space="preserve"> suggest an additional 25,000 to 31,000 men will be diagnosed with </w:t>
      </w:r>
      <w:proofErr w:type="spellStart"/>
      <w:r w:rsidR="00F4524A" w:rsidRPr="00F4524A">
        <w:rPr>
          <w:rFonts w:ascii="Times New Roman" w:hAnsi="Times New Roman"/>
          <w:sz w:val="24"/>
        </w:rPr>
        <w:t>PCa</w:t>
      </w:r>
      <w:proofErr w:type="spellEnd"/>
      <w:r w:rsidR="00F4524A" w:rsidRPr="00F4524A">
        <w:rPr>
          <w:rFonts w:ascii="Times New Roman" w:hAnsi="Times New Roman"/>
          <w:sz w:val="24"/>
        </w:rPr>
        <w:t xml:space="preserve"> in 2020; </w:t>
      </w:r>
    </w:p>
    <w:p w14:paraId="76962956" w14:textId="77777777" w:rsidR="00F4524A" w:rsidRPr="00F4524A" w:rsidRDefault="00F4524A" w:rsidP="00392E55">
      <w:pPr>
        <w:pStyle w:val="BodyText"/>
        <w:numPr>
          <w:ilvl w:val="0"/>
          <w:numId w:val="40"/>
        </w:numPr>
        <w:spacing w:before="0" w:line="240" w:lineRule="auto"/>
        <w:rPr>
          <w:rFonts w:ascii="Times New Roman" w:hAnsi="Times New Roman"/>
          <w:sz w:val="24"/>
        </w:rPr>
      </w:pPr>
      <w:proofErr w:type="gramStart"/>
      <w:r w:rsidRPr="00F4524A">
        <w:rPr>
          <w:rFonts w:ascii="Times New Roman" w:hAnsi="Times New Roman"/>
          <w:sz w:val="24"/>
        </w:rPr>
        <w:lastRenderedPageBreak/>
        <w:t>the</w:t>
      </w:r>
      <w:proofErr w:type="gramEnd"/>
      <w:r w:rsidRPr="00F4524A">
        <w:rPr>
          <w:rFonts w:ascii="Times New Roman" w:hAnsi="Times New Roman"/>
          <w:sz w:val="24"/>
        </w:rPr>
        <w:t xml:space="preserve"> use of MBS item 66655 (quantitation of PSA once in a 12 month period) has fallen since 2012 (when </w:t>
      </w:r>
      <w:proofErr w:type="spellStart"/>
      <w:r w:rsidRPr="00F4524A">
        <w:rPr>
          <w:rFonts w:ascii="Times New Roman" w:hAnsi="Times New Roman"/>
          <w:sz w:val="24"/>
        </w:rPr>
        <w:t>mpMRI</w:t>
      </w:r>
      <w:proofErr w:type="spellEnd"/>
      <w:r w:rsidRPr="00F4524A">
        <w:rPr>
          <w:rFonts w:ascii="Times New Roman" w:hAnsi="Times New Roman"/>
          <w:sz w:val="24"/>
        </w:rPr>
        <w:t xml:space="preserve"> became available privately) and there appeared to be a slight reduction in the ratio of ultrasound-guided biopsies (item 37219) to PSA tests. MSAC noted that it was unknown whether this was because privately funded </w:t>
      </w:r>
      <w:proofErr w:type="spellStart"/>
      <w:r w:rsidRPr="00F4524A">
        <w:rPr>
          <w:rFonts w:ascii="Times New Roman" w:hAnsi="Times New Roman"/>
          <w:sz w:val="24"/>
        </w:rPr>
        <w:t>mpMRIs</w:t>
      </w:r>
      <w:proofErr w:type="spellEnd"/>
      <w:r w:rsidRPr="00F4524A">
        <w:rPr>
          <w:rFonts w:ascii="Times New Roman" w:hAnsi="Times New Roman"/>
          <w:sz w:val="24"/>
        </w:rPr>
        <w:t xml:space="preserve"> were ruling out clinically insignificant </w:t>
      </w:r>
      <w:proofErr w:type="spellStart"/>
      <w:r w:rsidRPr="00F4524A">
        <w:rPr>
          <w:rFonts w:ascii="Times New Roman" w:hAnsi="Times New Roman"/>
          <w:sz w:val="24"/>
        </w:rPr>
        <w:t>PCa</w:t>
      </w:r>
      <w:proofErr w:type="spellEnd"/>
      <w:r w:rsidRPr="00F4524A">
        <w:rPr>
          <w:rFonts w:ascii="Times New Roman" w:hAnsi="Times New Roman"/>
          <w:sz w:val="24"/>
        </w:rPr>
        <w:t xml:space="preserve"> in some patients or because PSA testing is being used more judiciously;</w:t>
      </w:r>
    </w:p>
    <w:p w14:paraId="79BCCFB6" w14:textId="314FF180" w:rsidR="00F4524A" w:rsidRPr="00F4524A" w:rsidRDefault="00F4524A" w:rsidP="00392E55">
      <w:pPr>
        <w:pStyle w:val="BodyText"/>
        <w:numPr>
          <w:ilvl w:val="0"/>
          <w:numId w:val="40"/>
        </w:numPr>
        <w:spacing w:before="0" w:line="240" w:lineRule="auto"/>
        <w:ind w:left="714" w:hanging="357"/>
        <w:rPr>
          <w:rFonts w:ascii="Times New Roman" w:hAnsi="Times New Roman"/>
          <w:sz w:val="24"/>
        </w:rPr>
      </w:pPr>
      <w:r w:rsidRPr="00F4524A">
        <w:rPr>
          <w:rFonts w:ascii="Times New Roman" w:hAnsi="Times New Roman"/>
          <w:sz w:val="24"/>
        </w:rPr>
        <w:t xml:space="preserve">Victorian Prostate Cancer Registry data from 2013–15 indicated that 21% of men were categorised as being at </w:t>
      </w:r>
      <w:r w:rsidR="006578FF">
        <w:rPr>
          <w:rFonts w:ascii="Times New Roman" w:hAnsi="Times New Roman"/>
          <w:sz w:val="24"/>
        </w:rPr>
        <w:t xml:space="preserve">very low to </w:t>
      </w:r>
      <w:r w:rsidRPr="00F4524A">
        <w:rPr>
          <w:rFonts w:ascii="Times New Roman" w:hAnsi="Times New Roman"/>
          <w:sz w:val="24"/>
        </w:rPr>
        <w:t xml:space="preserve">low risk and 44% at intermediate risk according to the National Comprehensive Cancer Network (NCCN) risk categories; and </w:t>
      </w:r>
    </w:p>
    <w:p w14:paraId="5B79628A" w14:textId="77777777" w:rsidR="00F4524A" w:rsidRPr="00F4524A" w:rsidRDefault="00F4524A" w:rsidP="00392E55">
      <w:pPr>
        <w:pStyle w:val="BodyText"/>
        <w:numPr>
          <w:ilvl w:val="0"/>
          <w:numId w:val="40"/>
        </w:numPr>
        <w:spacing w:before="0" w:line="240" w:lineRule="auto"/>
        <w:ind w:left="714" w:hanging="357"/>
        <w:rPr>
          <w:rFonts w:ascii="Times New Roman" w:hAnsi="Times New Roman"/>
          <w:sz w:val="24"/>
        </w:rPr>
      </w:pPr>
      <w:r w:rsidRPr="00F4524A">
        <w:rPr>
          <w:rFonts w:ascii="Times New Roman" w:hAnsi="Times New Roman"/>
          <w:sz w:val="24"/>
        </w:rPr>
        <w:t>Victorian Prostate Cancer Registry data from 2013–15 indicated that 65% of men with very low to low risk disease and 16% of men with intermediate risk disease were managed conservatively with either active surveillance or watchful waiting.</w:t>
      </w:r>
    </w:p>
    <w:p w14:paraId="5AC637D9" w14:textId="77777777"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MSAC reiterated its previous advice that an accreditation and training program, specific to imaging of the prostate, would need to be implemented before listing.</w:t>
      </w:r>
    </w:p>
    <w:p w14:paraId="0159795F" w14:textId="77777777"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MSAC suggested that the progress of this application be managed via the MSAC Executive to ensure that the appropriate information was provided to the full committee in a timely manner.</w:t>
      </w:r>
    </w:p>
    <w:p w14:paraId="18ADAEAE" w14:textId="7FFB5052" w:rsidR="00117AC0" w:rsidRPr="00117AC0" w:rsidRDefault="00117AC0" w:rsidP="00392E55">
      <w:pPr>
        <w:pStyle w:val="Heading1"/>
        <w:numPr>
          <w:ilvl w:val="0"/>
          <w:numId w:val="0"/>
        </w:numPr>
        <w:ind w:left="502" w:hanging="502"/>
      </w:pPr>
      <w:r w:rsidRPr="00F715D1">
        <w:t>MSAC’s advice to the Minister</w:t>
      </w:r>
      <w:r>
        <w:t xml:space="preserve"> – April 2017 consideration</w:t>
      </w:r>
    </w:p>
    <w:p w14:paraId="592F0626" w14:textId="7907300D" w:rsidR="00D67204" w:rsidRDefault="00D67204" w:rsidP="00376F27">
      <w:pPr>
        <w:spacing w:after="240"/>
      </w:pPr>
      <w:r>
        <w:t>After considering the available evidence</w:t>
      </w:r>
      <w:r w:rsidRPr="00F601CB">
        <w:t xml:space="preserve"> </w:t>
      </w:r>
      <w:r>
        <w:t xml:space="preserve">regarding comparative safety, clinical effectiveness and cost-effectiveness, MSAC deferred its advice for </w:t>
      </w:r>
      <w:proofErr w:type="spellStart"/>
      <w:r>
        <w:t>mpMRI</w:t>
      </w:r>
      <w:proofErr w:type="spellEnd"/>
      <w:r>
        <w:t xml:space="preserve"> for the diagnosis of prostate cancer (</w:t>
      </w:r>
      <w:proofErr w:type="spellStart"/>
      <w:r>
        <w:t>PCa</w:t>
      </w:r>
      <w:proofErr w:type="spellEnd"/>
      <w:r>
        <w:t xml:space="preserve">). </w:t>
      </w:r>
    </w:p>
    <w:p w14:paraId="69900F99" w14:textId="25733A4A" w:rsidR="00D67204" w:rsidRPr="00376F27" w:rsidRDefault="00D67204" w:rsidP="00376F27">
      <w:pPr>
        <w:spacing w:after="240"/>
        <w:rPr>
          <w:sz w:val="23"/>
          <w:szCs w:val="23"/>
        </w:rPr>
      </w:pPr>
      <w:r>
        <w:t xml:space="preserve">MSAC accepted that </w:t>
      </w:r>
      <w:proofErr w:type="spellStart"/>
      <w:r>
        <w:t>mpMRI</w:t>
      </w:r>
      <w:proofErr w:type="spellEnd"/>
      <w:r>
        <w:t xml:space="preserve"> had superior safety and non-inferior effectiveness if used to diagnose clinically significant disease in men suspected of having </w:t>
      </w:r>
      <w:proofErr w:type="spellStart"/>
      <w:r>
        <w:t>PCa</w:t>
      </w:r>
      <w:proofErr w:type="spellEnd"/>
      <w:r>
        <w:t xml:space="preserve"> (population 1) or </w:t>
      </w:r>
      <w:r w:rsidR="00107E43">
        <w:t xml:space="preserve">for </w:t>
      </w:r>
      <w:r>
        <w:t xml:space="preserve">men </w:t>
      </w:r>
      <w:r w:rsidR="00107E43">
        <w:t xml:space="preserve">diagnosed with low- or intermediate-risk </w:t>
      </w:r>
      <w:proofErr w:type="spellStart"/>
      <w:r w:rsidR="00107E43">
        <w:t>PCa</w:t>
      </w:r>
      <w:proofErr w:type="spellEnd"/>
      <w:r w:rsidR="00107E43">
        <w:t xml:space="preserve"> who have undertaken </w:t>
      </w:r>
      <w:r>
        <w:t xml:space="preserve">active surveillance (population 2). MSAC noted that </w:t>
      </w:r>
      <w:proofErr w:type="spellStart"/>
      <w:r>
        <w:t>mpMRI</w:t>
      </w:r>
      <w:proofErr w:type="spellEnd"/>
      <w:r>
        <w:t xml:space="preserve"> would be cost saving at the expense of a small reduction in quality adjusted life years (QALYs) if used in these populations. However, MSAC remained concerned that the number of </w:t>
      </w:r>
      <w:proofErr w:type="spellStart"/>
      <w:r>
        <w:t>mpMRIs</w:t>
      </w:r>
      <w:proofErr w:type="spellEnd"/>
      <w:r>
        <w:t xml:space="preserve"> was likely to be much higher than estimated in the application due to use outside these populations. MSAC requested further information on the potential cost implications of higher use before finalising its decision. </w:t>
      </w:r>
      <w:r w:rsidRPr="0002586B">
        <w:rPr>
          <w:sz w:val="23"/>
          <w:szCs w:val="23"/>
        </w:rPr>
        <w:t xml:space="preserve">MSAC also considered that the proposed MBS fee was too high and should be reduced to a similar fee </w:t>
      </w:r>
      <w:r>
        <w:rPr>
          <w:sz w:val="23"/>
          <w:szCs w:val="23"/>
        </w:rPr>
        <w:t xml:space="preserve">of </w:t>
      </w:r>
      <w:r w:rsidRPr="0002586B">
        <w:rPr>
          <w:sz w:val="23"/>
          <w:szCs w:val="23"/>
        </w:rPr>
        <w:t>other MBS</w:t>
      </w:r>
      <w:r>
        <w:rPr>
          <w:sz w:val="23"/>
          <w:szCs w:val="23"/>
        </w:rPr>
        <w:t>-</w:t>
      </w:r>
      <w:r w:rsidRPr="0002586B">
        <w:rPr>
          <w:sz w:val="23"/>
          <w:szCs w:val="23"/>
        </w:rPr>
        <w:t>listed MRI items.</w:t>
      </w:r>
    </w:p>
    <w:p w14:paraId="56B33E04" w14:textId="7980983E" w:rsidR="00D67204" w:rsidRDefault="00F80F5E" w:rsidP="00D67204">
      <w:r>
        <w:t>MSAC therefore requested the D</w:t>
      </w:r>
      <w:r w:rsidR="00D67204">
        <w:t>epartment to:</w:t>
      </w:r>
    </w:p>
    <w:p w14:paraId="355F0CB3" w14:textId="54AEEE56" w:rsidR="00D67204" w:rsidRDefault="00D67204" w:rsidP="005C0CFA">
      <w:pPr>
        <w:ind w:left="567" w:hanging="567"/>
      </w:pPr>
      <w:r>
        <w:t xml:space="preserve">(a) </w:t>
      </w:r>
      <w:proofErr w:type="gramStart"/>
      <w:r>
        <w:t>modify</w:t>
      </w:r>
      <w:proofErr w:type="gramEnd"/>
      <w:r>
        <w:t xml:space="preserve"> the wording of the item descriptor to </w:t>
      </w:r>
      <w:r w:rsidR="006D0CA2">
        <w:t xml:space="preserve">prevent </w:t>
      </w:r>
      <w:r>
        <w:t xml:space="preserve">the additional use, </w:t>
      </w:r>
    </w:p>
    <w:p w14:paraId="1A77026D" w14:textId="77777777" w:rsidR="00D67204" w:rsidRDefault="00D67204" w:rsidP="005C0CFA">
      <w:pPr>
        <w:ind w:left="567" w:hanging="567"/>
      </w:pPr>
      <w:r>
        <w:t xml:space="preserve">(b) </w:t>
      </w:r>
      <w:proofErr w:type="gramStart"/>
      <w:r>
        <w:t>reduce</w:t>
      </w:r>
      <w:proofErr w:type="gramEnd"/>
      <w:r>
        <w:t xml:space="preserve"> the MBS item fee to $400, and </w:t>
      </w:r>
    </w:p>
    <w:p w14:paraId="62A4C971" w14:textId="77777777" w:rsidR="00CF7307" w:rsidRPr="0041184F" w:rsidRDefault="00D67204" w:rsidP="005C0CFA">
      <w:pPr>
        <w:pStyle w:val="Default"/>
        <w:spacing w:after="240"/>
        <w:ind w:left="567" w:hanging="567"/>
        <w:rPr>
          <w:b/>
          <w:i/>
          <w:color w:val="auto"/>
        </w:rPr>
      </w:pPr>
      <w:r>
        <w:t xml:space="preserve">(c) </w:t>
      </w:r>
      <w:proofErr w:type="gramStart"/>
      <w:r>
        <w:t>estimate</w:t>
      </w:r>
      <w:proofErr w:type="gramEnd"/>
      <w:r>
        <w:t xml:space="preserve"> the total potential utilisation and financial impact</w:t>
      </w:r>
    </w:p>
    <w:p w14:paraId="66D0D694" w14:textId="02DDA6F6" w:rsidR="00550354" w:rsidRPr="00F715D1" w:rsidRDefault="00550354" w:rsidP="00117AC0">
      <w:pPr>
        <w:pStyle w:val="Heading1"/>
        <w:numPr>
          <w:ilvl w:val="0"/>
          <w:numId w:val="0"/>
        </w:numPr>
        <w:ind w:left="502" w:hanging="502"/>
      </w:pPr>
      <w:r w:rsidRPr="00F715D1">
        <w:t xml:space="preserve">Summary of consideration and rationale for MSAC’s advice </w:t>
      </w:r>
      <w:r w:rsidR="00117AC0">
        <w:t>– April 2017</w:t>
      </w:r>
    </w:p>
    <w:p w14:paraId="40CB8435" w14:textId="55F6F4C2" w:rsidR="008E4C81" w:rsidRDefault="008E4C81" w:rsidP="00376F27">
      <w:pPr>
        <w:spacing w:after="240"/>
      </w:pPr>
      <w:r>
        <w:t xml:space="preserve">MSAC considered the listing of </w:t>
      </w:r>
      <w:proofErr w:type="spellStart"/>
      <w:r>
        <w:t>multiparametric</w:t>
      </w:r>
      <w:proofErr w:type="spellEnd"/>
      <w:r>
        <w:t xml:space="preserve"> magnetic resonance imaging (</w:t>
      </w:r>
      <w:proofErr w:type="spellStart"/>
      <w:r>
        <w:t>mpMRI</w:t>
      </w:r>
      <w:proofErr w:type="spellEnd"/>
      <w:r>
        <w:t xml:space="preserve">) for the diagnosis of </w:t>
      </w:r>
      <w:r w:rsidR="00A80509">
        <w:t xml:space="preserve">clinically significant </w:t>
      </w:r>
      <w:r>
        <w:t>prostate cancer (</w:t>
      </w:r>
      <w:proofErr w:type="spellStart"/>
      <w:r>
        <w:t>PCa</w:t>
      </w:r>
      <w:proofErr w:type="spellEnd"/>
      <w:r>
        <w:t>)</w:t>
      </w:r>
      <w:r w:rsidR="00A80509">
        <w:t xml:space="preserve"> and for monitoring men with known prostate cancer under active surveillance</w:t>
      </w:r>
      <w:r>
        <w:t xml:space="preserve">. MSAC noted that the clinical claim made was that </w:t>
      </w:r>
      <w:proofErr w:type="spellStart"/>
      <w:r>
        <w:t>mpMRI</w:t>
      </w:r>
      <w:proofErr w:type="spellEnd"/>
      <w:r>
        <w:t xml:space="preserve"> of the prostate would be </w:t>
      </w:r>
      <w:r w:rsidR="00A80509">
        <w:t xml:space="preserve">as </w:t>
      </w:r>
      <w:r>
        <w:t>accurate and safer than the current approach to diagnosis</w:t>
      </w:r>
      <w:r w:rsidR="00A80509">
        <w:t xml:space="preserve"> and monitoring</w:t>
      </w:r>
      <w:r>
        <w:t>.</w:t>
      </w:r>
    </w:p>
    <w:p w14:paraId="23079884" w14:textId="354C5B4B" w:rsidR="008E4C81" w:rsidRDefault="008E4C81" w:rsidP="00376F27">
      <w:pPr>
        <w:spacing w:after="240"/>
      </w:pPr>
      <w:r>
        <w:t xml:space="preserve">MSAC noted that approximately 20,000 new cases of </w:t>
      </w:r>
      <w:proofErr w:type="spellStart"/>
      <w:r>
        <w:t>PCa</w:t>
      </w:r>
      <w:proofErr w:type="spellEnd"/>
      <w:r>
        <w:t xml:space="preserve"> were diagnosed in 2012. MSAC noted that while prostate-specific antigen (PSA) levels and/or digital rectal examination </w:t>
      </w:r>
      <w:r>
        <w:lastRenderedPageBreak/>
        <w:t xml:space="preserve">(DRE) can </w:t>
      </w:r>
      <w:r w:rsidR="00A80509">
        <w:t>raise the suspicion</w:t>
      </w:r>
      <w:r>
        <w:t xml:space="preserve"> of </w:t>
      </w:r>
      <w:proofErr w:type="spellStart"/>
      <w:r>
        <w:t>PCa</w:t>
      </w:r>
      <w:proofErr w:type="spellEnd"/>
      <w:r>
        <w:t xml:space="preserve">, a biopsy is required to make the diagnosis. The MBS subsidises </w:t>
      </w:r>
      <w:proofErr w:type="spellStart"/>
      <w:r w:rsidRPr="008A4933">
        <w:t>transrectal</w:t>
      </w:r>
      <w:proofErr w:type="spellEnd"/>
      <w:r w:rsidRPr="008A4933">
        <w:t xml:space="preserve"> ultrasound guided biopsy (TRUSGB) or </w:t>
      </w:r>
      <w:proofErr w:type="spellStart"/>
      <w:r w:rsidRPr="008A4933">
        <w:t>transperineal</w:t>
      </w:r>
      <w:proofErr w:type="spellEnd"/>
      <w:r w:rsidRPr="008A4933">
        <w:t xml:space="preserve"> ultrasound guided biopsy (TPUSGB)</w:t>
      </w:r>
      <w:r>
        <w:t xml:space="preserve"> for diagnosis of </w:t>
      </w:r>
      <w:proofErr w:type="spellStart"/>
      <w:r>
        <w:t>PCa</w:t>
      </w:r>
      <w:proofErr w:type="spellEnd"/>
      <w:r>
        <w:t xml:space="preserve"> under MBS item 37219. MSAC noted that these are invasive tests with associated risks. MSAC noted that the number of services under MBS item 37219 has been falling despite the ageing population. In 2010</w:t>
      </w:r>
      <w:r w:rsidR="00A80509">
        <w:t>-2012</w:t>
      </w:r>
      <w:r>
        <w:t xml:space="preserve"> there were ~</w:t>
      </w:r>
      <w:r w:rsidR="00A80509">
        <w:t>26,500</w:t>
      </w:r>
      <w:r>
        <w:t xml:space="preserve"> services provided </w:t>
      </w:r>
      <w:r w:rsidR="00A80509">
        <w:t xml:space="preserve">per year, </w:t>
      </w:r>
      <w:r>
        <w:t xml:space="preserve">compared to ~19,800 in 2015. MSAC </w:t>
      </w:r>
      <w:r w:rsidR="00A80509">
        <w:t xml:space="preserve">noted that </w:t>
      </w:r>
      <w:proofErr w:type="spellStart"/>
      <w:r w:rsidR="00A80509">
        <w:t>mpMRI</w:t>
      </w:r>
      <w:proofErr w:type="spellEnd"/>
      <w:r w:rsidR="00A80509">
        <w:t xml:space="preserve"> of the prostate became available in Australia after 2012, and </w:t>
      </w:r>
      <w:r>
        <w:t xml:space="preserve">suggested that this may indicate that men are already </w:t>
      </w:r>
      <w:r w:rsidRPr="00917271">
        <w:t xml:space="preserve">accessing </w:t>
      </w:r>
      <w:proofErr w:type="spellStart"/>
      <w:r w:rsidRPr="00917271">
        <w:t>mpMRI</w:t>
      </w:r>
      <w:proofErr w:type="spellEnd"/>
      <w:r w:rsidRPr="00917271">
        <w:t xml:space="preserve"> to avoid biopsy or </w:t>
      </w:r>
      <w:r>
        <w:t>declining</w:t>
      </w:r>
      <w:r w:rsidRPr="00917271">
        <w:t xml:space="preserve"> </w:t>
      </w:r>
      <w:r>
        <w:t xml:space="preserve">to undergo </w:t>
      </w:r>
      <w:r w:rsidRPr="00917271">
        <w:t>biopsy altogether</w:t>
      </w:r>
      <w:r>
        <w:t>.</w:t>
      </w:r>
    </w:p>
    <w:p w14:paraId="7572BC1E" w14:textId="77777777" w:rsidR="008E4C81" w:rsidRDefault="008E4C81" w:rsidP="008E4C81">
      <w:r>
        <w:t>MSAC noted that there were two populations under consideration:</w:t>
      </w:r>
    </w:p>
    <w:p w14:paraId="4DA7C5A1" w14:textId="4236AEC9" w:rsidR="008E4C81" w:rsidRDefault="008E4C81" w:rsidP="008E4C81">
      <w:pPr>
        <w:pStyle w:val="ListParagraph"/>
        <w:numPr>
          <w:ilvl w:val="0"/>
          <w:numId w:val="33"/>
        </w:numPr>
      </w:pPr>
      <w:r>
        <w:t>Population 1:</w:t>
      </w:r>
      <w:r w:rsidRPr="007C50F0">
        <w:t xml:space="preserve"> </w:t>
      </w:r>
      <w:r>
        <w:t xml:space="preserve">men suspected of having </w:t>
      </w:r>
      <w:proofErr w:type="spellStart"/>
      <w:r>
        <w:t>PCa</w:t>
      </w:r>
      <w:proofErr w:type="spellEnd"/>
      <w:r>
        <w:t xml:space="preserve"> on the basis of </w:t>
      </w:r>
      <w:r w:rsidR="0064363C">
        <w:t>a high or concerning PSA level -</w:t>
      </w:r>
      <w:r w:rsidR="00376F27">
        <w:t xml:space="preserve"> </w:t>
      </w:r>
      <w:r>
        <w:t xml:space="preserve">these men had not previously undergone either </w:t>
      </w:r>
      <w:r w:rsidRPr="008A4933">
        <w:t>TRUSGB or TPUSGB</w:t>
      </w:r>
      <w:r>
        <w:t>. The comparator for this population was PSA/DRE + clinical judgement and TRUSGB/TPUSGB or</w:t>
      </w:r>
      <w:r w:rsidR="00F576DA">
        <w:t>,</w:t>
      </w:r>
      <w:r>
        <w:t xml:space="preserve"> in men who choose not to undergo TRUSGB/TPUSGB, PSA/DRE + clinical judgement</w:t>
      </w:r>
      <w:r w:rsidR="00F576DA">
        <w:t xml:space="preserve"> alone</w:t>
      </w:r>
      <w:r>
        <w:t>.</w:t>
      </w:r>
    </w:p>
    <w:p w14:paraId="47DCC403" w14:textId="197DAEB2" w:rsidR="008E4C81" w:rsidRDefault="008E4C81" w:rsidP="00376F27">
      <w:pPr>
        <w:pStyle w:val="ListParagraph"/>
        <w:numPr>
          <w:ilvl w:val="0"/>
          <w:numId w:val="33"/>
        </w:numPr>
        <w:spacing w:after="240"/>
      </w:pPr>
      <w:r>
        <w:t>Population 2: men diagnosed with low</w:t>
      </w:r>
      <w:r w:rsidR="00F576DA">
        <w:t>-</w:t>
      </w:r>
      <w:r>
        <w:t xml:space="preserve"> or intermediate</w:t>
      </w:r>
      <w:r w:rsidR="00F576DA">
        <w:t>-</w:t>
      </w:r>
      <w:r>
        <w:t xml:space="preserve">risk </w:t>
      </w:r>
      <w:proofErr w:type="spellStart"/>
      <w:r>
        <w:t>PCa</w:t>
      </w:r>
      <w:proofErr w:type="spellEnd"/>
      <w:r>
        <w:t xml:space="preserve"> </w:t>
      </w:r>
      <w:r w:rsidR="00F576DA">
        <w:t>who have undertaken</w:t>
      </w:r>
      <w:r>
        <w:t xml:space="preserve"> active surveillance (AS). By definition these men have already undergone biopsy.</w:t>
      </w:r>
      <w:r w:rsidRPr="004D2F36">
        <w:t xml:space="preserve"> </w:t>
      </w:r>
      <w:r>
        <w:t>The comparator for this population was routine TRUSGB/TPUSGB</w:t>
      </w:r>
      <w:r w:rsidR="00705867">
        <w:t xml:space="preserve"> at intervals specified in current guidelines</w:t>
      </w:r>
      <w:r>
        <w:t>.</w:t>
      </w:r>
    </w:p>
    <w:p w14:paraId="0C03CB66" w14:textId="542EF4AD" w:rsidR="008E4C81" w:rsidRDefault="008E4C81" w:rsidP="00376F27">
      <w:pPr>
        <w:spacing w:after="240"/>
      </w:pPr>
      <w:r>
        <w:t>MSAC</w:t>
      </w:r>
      <w:r w:rsidRPr="008A4933">
        <w:t xml:space="preserve"> noted that there are no significant safety concerns when using MRI in appropriately selected patients. </w:t>
      </w:r>
      <w:r>
        <w:t xml:space="preserve">MSAC noted that </w:t>
      </w:r>
      <w:proofErr w:type="spellStart"/>
      <w:r>
        <w:t>mpMRI</w:t>
      </w:r>
      <w:proofErr w:type="spellEnd"/>
      <w:r>
        <w:t xml:space="preserve"> is a non-invasive imaging technique while TRUSGB/TPUSGB are invasive and </w:t>
      </w:r>
      <w:r w:rsidRPr="008A4933">
        <w:t xml:space="preserve">expose men to </w:t>
      </w:r>
      <w:r>
        <w:t xml:space="preserve">a </w:t>
      </w:r>
      <w:r w:rsidRPr="008A4933">
        <w:t xml:space="preserve">risk of </w:t>
      </w:r>
      <w:r>
        <w:t xml:space="preserve">complications and </w:t>
      </w:r>
      <w:r w:rsidRPr="008A4933">
        <w:t>harms including</w:t>
      </w:r>
      <w:r>
        <w:t xml:space="preserve"> </w:t>
      </w:r>
      <w:r w:rsidRPr="008A4933">
        <w:t>infection, bleeding and urinary obstruction</w:t>
      </w:r>
      <w:r>
        <w:t xml:space="preserve">. While MSAC noted that risks were lower for TPUSGB than TRUSGB, the evidence presented indicated up to 5.5% of patients are </w:t>
      </w:r>
      <w:r w:rsidR="00705867">
        <w:t>re-</w:t>
      </w:r>
      <w:r>
        <w:t>hospitalised post TRUSGB/TPUSGB while up to 2.4% and up to 6.9% of patients have a major or minor infection, respectively</w:t>
      </w:r>
      <w:r w:rsidR="00705867">
        <w:t>, post TRUSGB</w:t>
      </w:r>
      <w:r>
        <w:t xml:space="preserve">. On the basis of these different risk profiles, MSAC accepted that </w:t>
      </w:r>
      <w:proofErr w:type="spellStart"/>
      <w:r>
        <w:t>mpMRI</w:t>
      </w:r>
      <w:proofErr w:type="spellEnd"/>
      <w:r>
        <w:t xml:space="preserve"> had superior safety to TRUSGB/TPUSGB. </w:t>
      </w:r>
    </w:p>
    <w:p w14:paraId="4A9EB852" w14:textId="0E5EB4C2" w:rsidR="008E4C81" w:rsidRDefault="008E4C81" w:rsidP="00376F27">
      <w:pPr>
        <w:spacing w:after="240"/>
      </w:pPr>
      <w:r>
        <w:t xml:space="preserve">MSAC noted that much of the evidence presented in the application to support the clinical effectiveness of </w:t>
      </w:r>
      <w:proofErr w:type="spellStart"/>
      <w:r>
        <w:t>mpMRI</w:t>
      </w:r>
      <w:proofErr w:type="spellEnd"/>
      <w:r>
        <w:t xml:space="preserve"> was of low quality. MSAC noted that there were no studies in either population 1 or population 2 that assessed changes in management due to </w:t>
      </w:r>
      <w:proofErr w:type="spellStart"/>
      <w:r>
        <w:t>mpMRI</w:t>
      </w:r>
      <w:proofErr w:type="spellEnd"/>
      <w:r>
        <w:t>. As a result, a linked evidence approach was undertaken to estimate any change in health outcomes.</w:t>
      </w:r>
    </w:p>
    <w:p w14:paraId="3D9B4262" w14:textId="62B9F461" w:rsidR="008E4C81" w:rsidRDefault="008E4C81" w:rsidP="00376F27">
      <w:pPr>
        <w:spacing w:after="240"/>
      </w:pPr>
      <w:r>
        <w:t xml:space="preserve">MSAC considered the diagnostic accuracy of </w:t>
      </w:r>
      <w:proofErr w:type="spellStart"/>
      <w:r>
        <w:t>mpMRI</w:t>
      </w:r>
      <w:proofErr w:type="spellEnd"/>
      <w:r>
        <w:t xml:space="preserve"> for detecting clinically significant </w:t>
      </w:r>
      <w:proofErr w:type="spellStart"/>
      <w:r>
        <w:t>PCa</w:t>
      </w:r>
      <w:proofErr w:type="spellEnd"/>
      <w:r>
        <w:t xml:space="preserve"> (defined as a </w:t>
      </w:r>
      <w:r w:rsidRPr="00725B5E">
        <w:t>Prostate Imaging Reporting and Data System</w:t>
      </w:r>
      <w:r>
        <w:t xml:space="preserve"> [</w:t>
      </w:r>
      <w:r w:rsidRPr="00725B5E">
        <w:t>PI-RADS</w:t>
      </w:r>
      <w:r>
        <w:t>]</w:t>
      </w:r>
      <w:r w:rsidRPr="00725B5E">
        <w:t xml:space="preserve"> score</w:t>
      </w:r>
      <w:r>
        <w:t xml:space="preserve"> of 4 or 5) in population 1. The sensitivity of </w:t>
      </w:r>
      <w:proofErr w:type="spellStart"/>
      <w:r>
        <w:t>mpMRI</w:t>
      </w:r>
      <w:proofErr w:type="spellEnd"/>
      <w:r>
        <w:t xml:space="preserve"> compared with biopsy was 74.4% (95% confidence interval [CI] 51.0–89.1%) and specificity was 84.1% (95% CI 75.0–90.3%). MSAC noted that the wide confidence interval around the sensitivity point estimate reflected uncertainty and heterogeneity in the results. MSAC acknowledged that a recently published meta-analysis reported a higher pooled sensitivity of </w:t>
      </w:r>
      <w:r w:rsidRPr="00CA0F62">
        <w:t>89</w:t>
      </w:r>
      <w:r>
        <w:t>%</w:t>
      </w:r>
      <w:r w:rsidRPr="00CA0F62">
        <w:t xml:space="preserve"> </w:t>
      </w:r>
      <w:r w:rsidR="00705867">
        <w:t xml:space="preserve">with a narrower range </w:t>
      </w:r>
      <w:r w:rsidRPr="00CA0F62">
        <w:t>(95% CI 86</w:t>
      </w:r>
      <w:r>
        <w:t>–</w:t>
      </w:r>
      <w:r w:rsidRPr="00CA0F62">
        <w:t>92</w:t>
      </w:r>
      <w:r>
        <w:t>%</w:t>
      </w:r>
      <w:r w:rsidRPr="00CA0F62">
        <w:t xml:space="preserve">) </w:t>
      </w:r>
      <w:r>
        <w:t xml:space="preserve">in studies using the updated </w:t>
      </w:r>
      <w:r w:rsidRPr="00CA0F62">
        <w:t>PI-RADS</w:t>
      </w:r>
      <w:r w:rsidR="00705867">
        <w:t xml:space="preserve"> </w:t>
      </w:r>
      <w:r>
        <w:t>v</w:t>
      </w:r>
      <w:r w:rsidR="00705867">
        <w:t>.</w:t>
      </w:r>
      <w:r>
        <w:t>2 (Woo S et al 2017).</w:t>
      </w:r>
    </w:p>
    <w:p w14:paraId="43C27E01" w14:textId="73183AF2" w:rsidR="008E4C81" w:rsidRDefault="008E4C81" w:rsidP="00376F27">
      <w:pPr>
        <w:spacing w:after="240"/>
      </w:pPr>
      <w:r w:rsidRPr="00615A4B">
        <w:t>MSAC noted that for the purposes of this application</w:t>
      </w:r>
      <w:r>
        <w:t>,</w:t>
      </w:r>
      <w:r w:rsidRPr="00615A4B">
        <w:t xml:space="preserve"> it was assumed that </w:t>
      </w:r>
      <w:r>
        <w:t xml:space="preserve">the </w:t>
      </w:r>
      <w:r w:rsidRPr="00615A4B">
        <w:t xml:space="preserve">introduction of </w:t>
      </w:r>
      <w:proofErr w:type="spellStart"/>
      <w:r w:rsidRPr="00615A4B">
        <w:t>mpMRI</w:t>
      </w:r>
      <w:proofErr w:type="spellEnd"/>
      <w:r w:rsidRPr="00615A4B">
        <w:t xml:space="preserve"> would not alter the rest of the clinical treatment algorithm. MSAC noted that if </w:t>
      </w:r>
      <w:proofErr w:type="spellStart"/>
      <w:r w:rsidRPr="00615A4B">
        <w:t>mpMRI</w:t>
      </w:r>
      <w:proofErr w:type="spellEnd"/>
      <w:r w:rsidRPr="00615A4B">
        <w:t xml:space="preserve"> indicated that a patient had a PI-RADS score of 4 or 5, </w:t>
      </w:r>
      <w:r w:rsidR="00705867">
        <w:t>he</w:t>
      </w:r>
      <w:r w:rsidR="00705867" w:rsidRPr="00615A4B">
        <w:t xml:space="preserve"> </w:t>
      </w:r>
      <w:r w:rsidRPr="00615A4B">
        <w:t>would undergo biopsy. For most men with a PI-RADS score of 1–3, biopsy would be avoided</w:t>
      </w:r>
      <w:r>
        <w:t>. T</w:t>
      </w:r>
      <w:r w:rsidRPr="00615A4B">
        <w:t xml:space="preserve">he exception would be if they were considered to be of high concern because of risk factors such as a family history of </w:t>
      </w:r>
      <w:proofErr w:type="spellStart"/>
      <w:r w:rsidRPr="00615A4B">
        <w:t>PCa</w:t>
      </w:r>
      <w:proofErr w:type="spellEnd"/>
      <w:r w:rsidRPr="00615A4B">
        <w:t xml:space="preserve"> or </w:t>
      </w:r>
      <w:r w:rsidRPr="00615A4B">
        <w:rPr>
          <w:i/>
        </w:rPr>
        <w:t>BRCA</w:t>
      </w:r>
      <w:r w:rsidRPr="00615A4B">
        <w:t xml:space="preserve"> gene mutation, a free/total PSA ratio &lt; 12% or PSA density &gt; 0.15. </w:t>
      </w:r>
      <w:r>
        <w:t xml:space="preserve">MSAC noted that the applicants had advised that 20% of men with a PI-RADS score of 1–3 on </w:t>
      </w:r>
      <w:proofErr w:type="spellStart"/>
      <w:r>
        <w:t>mpMRI</w:t>
      </w:r>
      <w:proofErr w:type="spellEnd"/>
      <w:r>
        <w:t xml:space="preserve"> would fall within this group and would receive a biopsy despite the </w:t>
      </w:r>
      <w:proofErr w:type="spellStart"/>
      <w:r>
        <w:t>mpMRI</w:t>
      </w:r>
      <w:proofErr w:type="spellEnd"/>
      <w:r>
        <w:t xml:space="preserve"> result. </w:t>
      </w:r>
      <w:r w:rsidRPr="00615A4B">
        <w:lastRenderedPageBreak/>
        <w:t>Therefore</w:t>
      </w:r>
      <w:r>
        <w:t>,</w:t>
      </w:r>
      <w:r w:rsidRPr="00615A4B">
        <w:t xml:space="preserve"> the main impact of </w:t>
      </w:r>
      <w:proofErr w:type="spellStart"/>
      <w:r w:rsidRPr="00615A4B">
        <w:t>mpMRI</w:t>
      </w:r>
      <w:proofErr w:type="spellEnd"/>
      <w:r w:rsidRPr="00615A4B">
        <w:t xml:space="preserve"> would be avoidance of biopsy and overtreatment</w:t>
      </w:r>
      <w:r>
        <w:t xml:space="preserve"> (and its potential associated adverse effects including incontinence</w:t>
      </w:r>
      <w:r w:rsidR="00705867">
        <w:t>,</w:t>
      </w:r>
      <w:r>
        <w:t xml:space="preserve"> impotence</w:t>
      </w:r>
      <w:r w:rsidR="00705867">
        <w:t xml:space="preserve"> or anorectal problems</w:t>
      </w:r>
      <w:r>
        <w:t>)</w:t>
      </w:r>
      <w:r w:rsidRPr="00615A4B">
        <w:t xml:space="preserve"> in men without significant </w:t>
      </w:r>
      <w:proofErr w:type="spellStart"/>
      <w:r w:rsidRPr="00615A4B">
        <w:t>PCa</w:t>
      </w:r>
      <w:proofErr w:type="spellEnd"/>
      <w:r w:rsidRPr="00615A4B">
        <w:t xml:space="preserve">. MSAC noted that another potential impact would be delayed treatment if the </w:t>
      </w:r>
      <w:proofErr w:type="spellStart"/>
      <w:r w:rsidRPr="00615A4B">
        <w:t>mpMRI</w:t>
      </w:r>
      <w:proofErr w:type="spellEnd"/>
      <w:r w:rsidRPr="00615A4B">
        <w:t xml:space="preserve"> </w:t>
      </w:r>
      <w:r>
        <w:t>wrongly categorised the patient as PI-RADS 1–3 (</w:t>
      </w:r>
      <w:r w:rsidRPr="00615A4B">
        <w:t>false negative</w:t>
      </w:r>
      <w:r>
        <w:t>)</w:t>
      </w:r>
      <w:r w:rsidRPr="00615A4B">
        <w:t xml:space="preserve">. </w:t>
      </w:r>
    </w:p>
    <w:p w14:paraId="284C58CA" w14:textId="506E6B06" w:rsidR="008E4C81" w:rsidRDefault="008E4C81" w:rsidP="00376F27">
      <w:pPr>
        <w:spacing w:after="240"/>
      </w:pPr>
      <w:r>
        <w:t xml:space="preserve">MSAC accepted that if the prevalence of clinically significant </w:t>
      </w:r>
      <w:proofErr w:type="spellStart"/>
      <w:r>
        <w:t>PCa</w:t>
      </w:r>
      <w:proofErr w:type="spellEnd"/>
      <w:r>
        <w:t xml:space="preserve"> in population 1 was 35.5%, use of </w:t>
      </w:r>
      <w:proofErr w:type="spellStart"/>
      <w:r>
        <w:t>mpMRI</w:t>
      </w:r>
      <w:proofErr w:type="spellEnd"/>
      <w:r>
        <w:t xml:space="preserve"> in 1000 men would avoid 505 biopsies and avoid overtreatment of insignificant disease in 94 men. However, it would result in a treatment delay of clinically significant disease in 54 men. MSAC noted that the delayed diagnosis may not impact disease progression and mortality although the quality of evidence to support this was very low.</w:t>
      </w:r>
      <w:r w:rsidRPr="00452CE5">
        <w:t xml:space="preserve"> </w:t>
      </w:r>
      <w:r>
        <w:t>MSAC acknowledged the applicants’ claim that the number of men at risk of delayed treatment is likely to be lower than 54 because 20% of men with a PI-RADS score of 1–3 would undergo biopsy due to high concern.</w:t>
      </w:r>
    </w:p>
    <w:p w14:paraId="08234451" w14:textId="13FEEC0E" w:rsidR="008E4C81" w:rsidRPr="00376F27" w:rsidRDefault="008E4C81" w:rsidP="00376F27">
      <w:pPr>
        <w:spacing w:after="240"/>
      </w:pPr>
      <w:r w:rsidRPr="004B577C">
        <w:t>On the</w:t>
      </w:r>
      <w:r>
        <w:t xml:space="preserve"> basis of the</w:t>
      </w:r>
      <w:r w:rsidRPr="004B577C">
        <w:t xml:space="preserve"> </w:t>
      </w:r>
      <w:r>
        <w:t xml:space="preserve">presented </w:t>
      </w:r>
      <w:r w:rsidRPr="004B577C">
        <w:t xml:space="preserve">evidence, MSAC accepted that </w:t>
      </w:r>
      <w:proofErr w:type="spellStart"/>
      <w:r w:rsidRPr="004B577C">
        <w:t>mpMRI</w:t>
      </w:r>
      <w:proofErr w:type="spellEnd"/>
      <w:r w:rsidRPr="004B577C">
        <w:t xml:space="preserve"> had superior safety to TRUSGB/TPUSGB and non-inferior effectiveness</w:t>
      </w:r>
      <w:r>
        <w:t xml:space="preserve"> in population 1</w:t>
      </w:r>
      <w:r w:rsidRPr="004B577C">
        <w:t xml:space="preserve">. MSAC noted that the economic model suggested use of </w:t>
      </w:r>
      <w:proofErr w:type="spellStart"/>
      <w:r w:rsidRPr="004B577C">
        <w:t>mpMRI</w:t>
      </w:r>
      <w:proofErr w:type="spellEnd"/>
      <w:r w:rsidRPr="004B577C">
        <w:t xml:space="preserve"> in population 1 would</w:t>
      </w:r>
      <w:r>
        <w:t xml:space="preserve"> </w:t>
      </w:r>
      <w:r w:rsidRPr="004B577C">
        <w:t xml:space="preserve">slightly </w:t>
      </w:r>
      <w:r>
        <w:t>reduce benefits when compared with</w:t>
      </w:r>
      <w:r w:rsidRPr="004B577C">
        <w:t xml:space="preserve"> biopsy (0.039 </w:t>
      </w:r>
      <w:r>
        <w:t>quality adjusted life years [</w:t>
      </w:r>
      <w:r w:rsidRPr="004B577C">
        <w:t>QALY</w:t>
      </w:r>
      <w:r>
        <w:t>s]</w:t>
      </w:r>
      <w:r w:rsidRPr="004B577C">
        <w:t xml:space="preserve"> lost [~2.0 w</w:t>
      </w:r>
      <w:r>
        <w:t>ee</w:t>
      </w:r>
      <w:r w:rsidRPr="004B577C">
        <w:t>k</w:t>
      </w:r>
      <w:r>
        <w:t>s</w:t>
      </w:r>
      <w:r w:rsidRPr="004B577C">
        <w:t xml:space="preserve">]) but </w:t>
      </w:r>
      <w:r>
        <w:t xml:space="preserve">was </w:t>
      </w:r>
      <w:r w:rsidRPr="004B577C">
        <w:t xml:space="preserve">less expensive. Use of </w:t>
      </w:r>
      <w:proofErr w:type="spellStart"/>
      <w:r w:rsidRPr="004B577C">
        <w:t>mpMRI</w:t>
      </w:r>
      <w:proofErr w:type="spellEnd"/>
      <w:r w:rsidRPr="004B577C">
        <w:t xml:space="preserve"> in population 1 </w:t>
      </w:r>
      <w:r>
        <w:t>resulted in a saving of</w:t>
      </w:r>
      <w:r w:rsidRPr="004B577C">
        <w:t xml:space="preserve"> $40,363 per QALY lost. </w:t>
      </w:r>
      <w:r>
        <w:t>MSAC noted that</w:t>
      </w:r>
      <w:r w:rsidR="00705867">
        <w:t>,</w:t>
      </w:r>
      <w:r>
        <w:t xml:space="preserve"> in the majority of the sensitivity analyses conducted, use of </w:t>
      </w:r>
      <w:proofErr w:type="spellStart"/>
      <w:r>
        <w:t>mpMRI</w:t>
      </w:r>
      <w:proofErr w:type="spellEnd"/>
      <w:r>
        <w:t xml:space="preserve"> remained cost saving at the expense of a small QALY reduction. The exception was if a shorter time horizon of 5 or 10 years was used instead of a lifetime horizon. In these analyses </w:t>
      </w:r>
      <w:proofErr w:type="spellStart"/>
      <w:r>
        <w:t>mpMRI</w:t>
      </w:r>
      <w:proofErr w:type="spellEnd"/>
      <w:r>
        <w:t xml:space="preserve"> was dominant (more effective and less expensive) than TRUSGB/TPUSGB.</w:t>
      </w:r>
    </w:p>
    <w:p w14:paraId="4A50E370" w14:textId="6BA4B4E5" w:rsidR="008E4C81" w:rsidRDefault="008E4C81" w:rsidP="00376F27">
      <w:pPr>
        <w:spacing w:after="240"/>
      </w:pPr>
      <w:r>
        <w:t xml:space="preserve">MSAC noted the sensitivity of </w:t>
      </w:r>
      <w:proofErr w:type="spellStart"/>
      <w:r>
        <w:t>mpMRI</w:t>
      </w:r>
      <w:proofErr w:type="spellEnd"/>
      <w:r>
        <w:t xml:space="preserve"> for detecting clinically significant </w:t>
      </w:r>
      <w:proofErr w:type="spellStart"/>
      <w:r>
        <w:t>PCa</w:t>
      </w:r>
      <w:proofErr w:type="spellEnd"/>
      <w:r>
        <w:t xml:space="preserve"> in population 2 was 79.3% (95% CI 74.6–83.3%) and specificity was 55.1% (95% CI 50.4–59.8%). </w:t>
      </w:r>
      <w:r w:rsidRPr="00615A4B">
        <w:t xml:space="preserve">MSAC noted </w:t>
      </w:r>
      <w:r>
        <w:t xml:space="preserve">that </w:t>
      </w:r>
      <w:proofErr w:type="spellStart"/>
      <w:r w:rsidRPr="00615A4B">
        <w:t>mpMRI</w:t>
      </w:r>
      <w:proofErr w:type="spellEnd"/>
      <w:r w:rsidRPr="00615A4B">
        <w:t xml:space="preserve"> </w:t>
      </w:r>
      <w:r>
        <w:t xml:space="preserve">would be used to upgrade disease in patients on an active surveillance program. If </w:t>
      </w:r>
      <w:proofErr w:type="spellStart"/>
      <w:r>
        <w:t>mpMRI</w:t>
      </w:r>
      <w:proofErr w:type="spellEnd"/>
      <w:r>
        <w:t xml:space="preserve"> </w:t>
      </w:r>
      <w:r w:rsidRPr="00615A4B">
        <w:t xml:space="preserve">indicated that a patient </w:t>
      </w:r>
      <w:r>
        <w:t xml:space="preserve">in population 2 </w:t>
      </w:r>
      <w:r w:rsidRPr="00615A4B">
        <w:t xml:space="preserve">had a PI-RADS score of 4 or 5, </w:t>
      </w:r>
      <w:r w:rsidR="00705867">
        <w:t>he</w:t>
      </w:r>
      <w:r w:rsidR="00705867" w:rsidRPr="00615A4B">
        <w:t xml:space="preserve"> </w:t>
      </w:r>
      <w:r w:rsidRPr="00615A4B">
        <w:t>would undergo biopsy. For most men with a PI-RADS score of 1–3, biopsy would be avoided</w:t>
      </w:r>
      <w:r>
        <w:t xml:space="preserve"> and they would continue in the active surveillance program — if </w:t>
      </w:r>
      <w:r w:rsidR="00705867">
        <w:t xml:space="preserve">there </w:t>
      </w:r>
      <w:r>
        <w:t xml:space="preserve">were </w:t>
      </w:r>
      <w:r w:rsidR="00705867">
        <w:t xml:space="preserve">a </w:t>
      </w:r>
      <w:r>
        <w:t xml:space="preserve">high </w:t>
      </w:r>
      <w:r w:rsidR="00705867">
        <w:t xml:space="preserve">clinical </w:t>
      </w:r>
      <w:r>
        <w:t xml:space="preserve">concern </w:t>
      </w:r>
      <w:r w:rsidR="00705867">
        <w:t xml:space="preserve">of upgraded disease, </w:t>
      </w:r>
      <w:r>
        <w:t xml:space="preserve">they would still undergo biopsy. MSAC noted that </w:t>
      </w:r>
      <w:r w:rsidRPr="00615A4B">
        <w:t xml:space="preserve">the main impact of </w:t>
      </w:r>
      <w:proofErr w:type="spellStart"/>
      <w:r w:rsidRPr="00615A4B">
        <w:t>mpMRI</w:t>
      </w:r>
      <w:proofErr w:type="spellEnd"/>
      <w:r w:rsidRPr="00615A4B">
        <w:t xml:space="preserve"> </w:t>
      </w:r>
      <w:r>
        <w:t xml:space="preserve">in population 2 </w:t>
      </w:r>
      <w:r w:rsidRPr="00615A4B">
        <w:t xml:space="preserve">would be avoidance of biopsy in men without </w:t>
      </w:r>
      <w:r w:rsidR="00705867">
        <w:t>higher-grade</w:t>
      </w:r>
      <w:r w:rsidR="00705867" w:rsidRPr="00615A4B">
        <w:t xml:space="preserve"> </w:t>
      </w:r>
      <w:proofErr w:type="spellStart"/>
      <w:r w:rsidRPr="00615A4B">
        <w:t>PCa</w:t>
      </w:r>
      <w:proofErr w:type="spellEnd"/>
      <w:r>
        <w:t xml:space="preserve"> or </w:t>
      </w:r>
      <w:r w:rsidRPr="00615A4B">
        <w:t xml:space="preserve">delayed </w:t>
      </w:r>
      <w:r>
        <w:t>diagnosis of upgraded disease</w:t>
      </w:r>
      <w:r w:rsidRPr="00615A4B">
        <w:t xml:space="preserve"> if the </w:t>
      </w:r>
      <w:proofErr w:type="spellStart"/>
      <w:r w:rsidRPr="00615A4B">
        <w:t>mpMRI</w:t>
      </w:r>
      <w:proofErr w:type="spellEnd"/>
      <w:r w:rsidRPr="00615A4B">
        <w:t xml:space="preserve"> </w:t>
      </w:r>
      <w:r>
        <w:t>wrongly categorised the patient as PI-RADS 1–3 (</w:t>
      </w:r>
      <w:r w:rsidRPr="00615A4B">
        <w:t>false negative</w:t>
      </w:r>
      <w:r>
        <w:t>)</w:t>
      </w:r>
      <w:r w:rsidRPr="00615A4B">
        <w:t xml:space="preserve">. </w:t>
      </w:r>
    </w:p>
    <w:p w14:paraId="47F62E21" w14:textId="67D512A2" w:rsidR="008E4C81" w:rsidRDefault="008E4C81" w:rsidP="008E4C81">
      <w:r>
        <w:t xml:space="preserve">MSAC accepted that if 30% of men in an active surveillance program had their disease upgraded, use of </w:t>
      </w:r>
      <w:proofErr w:type="spellStart"/>
      <w:r>
        <w:t>mpMRI</w:t>
      </w:r>
      <w:proofErr w:type="spellEnd"/>
      <w:r>
        <w:t xml:space="preserve"> in </w:t>
      </w:r>
      <w:r w:rsidRPr="00C751F4">
        <w:t xml:space="preserve">1,000 men in </w:t>
      </w:r>
      <w:r>
        <w:t>population 2</w:t>
      </w:r>
      <w:r w:rsidRPr="00C751F4">
        <w:t xml:space="preserve"> would avoid 358 biopsies but would result in a delay in diagnosing upgraded disease in 31 men.</w:t>
      </w:r>
      <w:r>
        <w:t xml:space="preserve"> Once again MSAC acknowledged the applicants’ claim that the number of men at risk of delayed diagnosis of upgraded disease may be lower if men of high concern are biopsied despite having a PI-RADS score of 1–3.</w:t>
      </w:r>
    </w:p>
    <w:p w14:paraId="28C01FC6" w14:textId="4431275E" w:rsidR="008E4C81" w:rsidRPr="00376F27" w:rsidRDefault="008E4C81" w:rsidP="00392E55">
      <w:pPr>
        <w:spacing w:before="240" w:after="240"/>
      </w:pPr>
      <w:r w:rsidRPr="00381E4B">
        <w:t xml:space="preserve">On the basis of the </w:t>
      </w:r>
      <w:r>
        <w:t xml:space="preserve">presented </w:t>
      </w:r>
      <w:r w:rsidRPr="00381E4B">
        <w:t xml:space="preserve">evidence, MSAC accepted that </w:t>
      </w:r>
      <w:proofErr w:type="spellStart"/>
      <w:r w:rsidRPr="00381E4B">
        <w:t>mpMRI</w:t>
      </w:r>
      <w:proofErr w:type="spellEnd"/>
      <w:r w:rsidRPr="00381E4B">
        <w:t xml:space="preserve"> had superior safety to TRUSGB/TPUSGB and non-inferior effectiveness in population 2. MSAC noted that the economic model suggested use of </w:t>
      </w:r>
      <w:proofErr w:type="spellStart"/>
      <w:r w:rsidRPr="00381E4B">
        <w:t>mpMRI</w:t>
      </w:r>
      <w:proofErr w:type="spellEnd"/>
      <w:r w:rsidRPr="00381E4B">
        <w:t xml:space="preserve"> in population 2 would </w:t>
      </w:r>
      <w:r>
        <w:t xml:space="preserve">result in </w:t>
      </w:r>
      <w:r w:rsidR="00705867">
        <w:t xml:space="preserve">marginally </w:t>
      </w:r>
      <w:r>
        <w:t>less benefit</w:t>
      </w:r>
      <w:r w:rsidRPr="00381E4B">
        <w:t xml:space="preserve"> than biopsy (loss of 0.001 QALY [~0.3 day</w:t>
      </w:r>
      <w:r>
        <w:t>s</w:t>
      </w:r>
      <w:r w:rsidRPr="00381E4B">
        <w:t xml:space="preserve">]) but </w:t>
      </w:r>
      <w:r>
        <w:t xml:space="preserve">was </w:t>
      </w:r>
      <w:r w:rsidRPr="00381E4B">
        <w:t xml:space="preserve">less expensive. Use of </w:t>
      </w:r>
      <w:proofErr w:type="spellStart"/>
      <w:r w:rsidRPr="00381E4B">
        <w:t>mpMRI</w:t>
      </w:r>
      <w:proofErr w:type="spellEnd"/>
      <w:r w:rsidRPr="00381E4B">
        <w:t xml:space="preserve"> in population 2 </w:t>
      </w:r>
      <w:r>
        <w:t>resulted in a saving of</w:t>
      </w:r>
      <w:r w:rsidRPr="00381E4B">
        <w:t xml:space="preserve"> $232,269 per QALY lost. MSAC noted that in </w:t>
      </w:r>
      <w:r>
        <w:t xml:space="preserve">the majority of the </w:t>
      </w:r>
      <w:r w:rsidRPr="00381E4B">
        <w:t xml:space="preserve">sensitivity analyses </w:t>
      </w:r>
      <w:r>
        <w:t>conducted</w:t>
      </w:r>
      <w:r w:rsidRPr="00381E4B">
        <w:t xml:space="preserve">, use of </w:t>
      </w:r>
      <w:proofErr w:type="spellStart"/>
      <w:r w:rsidRPr="00381E4B">
        <w:t>mpMRI</w:t>
      </w:r>
      <w:proofErr w:type="spellEnd"/>
      <w:r w:rsidRPr="00381E4B">
        <w:t xml:space="preserve"> remained cost saving at the expense of a small QALY reduction.</w:t>
      </w:r>
      <w:r>
        <w:t xml:space="preserve"> However, </w:t>
      </w:r>
      <w:proofErr w:type="spellStart"/>
      <w:r w:rsidRPr="00381E4B">
        <w:t>mpMRI</w:t>
      </w:r>
      <w:proofErr w:type="spellEnd"/>
      <w:r w:rsidRPr="00381E4B">
        <w:t xml:space="preserve"> was dominant (more effective and </w:t>
      </w:r>
      <w:r>
        <w:t>less expensive</w:t>
      </w:r>
      <w:r w:rsidRPr="00381E4B">
        <w:t>) than TRUSGB/TPUSGB</w:t>
      </w:r>
      <w:r>
        <w:t xml:space="preserve"> if the </w:t>
      </w:r>
      <w:r w:rsidRPr="00381E4B">
        <w:t>time horizon</w:t>
      </w:r>
      <w:r>
        <w:t xml:space="preserve"> was shortened from lifetime to </w:t>
      </w:r>
      <w:r w:rsidRPr="00381E4B">
        <w:t>5 or 10 years</w:t>
      </w:r>
      <w:r>
        <w:t xml:space="preserve">; if the disutility associated with TRUSGB/TPUSGB was greater; if the </w:t>
      </w:r>
      <w:r>
        <w:lastRenderedPageBreak/>
        <w:t xml:space="preserve">probability of progressing from insignificant to significant </w:t>
      </w:r>
      <w:proofErr w:type="spellStart"/>
      <w:r>
        <w:t>PCa</w:t>
      </w:r>
      <w:proofErr w:type="spellEnd"/>
      <w:r>
        <w:t xml:space="preserve"> was lower; or if the patient was older when </w:t>
      </w:r>
      <w:r w:rsidR="004F55CE">
        <w:t xml:space="preserve">he </w:t>
      </w:r>
      <w:r>
        <w:t>entered the model.</w:t>
      </w:r>
    </w:p>
    <w:p w14:paraId="3CE5A3F8" w14:textId="47A7E550" w:rsidR="008E4C81" w:rsidRDefault="008E4C81" w:rsidP="00376F27">
      <w:pPr>
        <w:spacing w:after="240"/>
        <w:rPr>
          <w:highlight w:val="yellow"/>
        </w:rPr>
      </w:pPr>
      <w:r w:rsidRPr="006C6B7D">
        <w:t xml:space="preserve">MSAC noted that listing </w:t>
      </w:r>
      <w:proofErr w:type="spellStart"/>
      <w:r w:rsidRPr="006C6B7D">
        <w:t>mpMRI</w:t>
      </w:r>
      <w:proofErr w:type="spellEnd"/>
      <w:r w:rsidRPr="006C6B7D">
        <w:t xml:space="preserve"> in populations 1 and 2 would result in a net cost of approximately $2.8 million per year to the MBS but a net saving of approximately $8.1 million to the health system as a whole (including costs to the MBS, other health funders and patient co-payments).</w:t>
      </w:r>
      <w:r w:rsidRPr="00247374">
        <w:t xml:space="preserve"> </w:t>
      </w:r>
      <w:r>
        <w:t>These c</w:t>
      </w:r>
      <w:r w:rsidRPr="00247374">
        <w:t xml:space="preserve">osts were based upon </w:t>
      </w:r>
      <w:r>
        <w:t xml:space="preserve">20,149 </w:t>
      </w:r>
      <w:proofErr w:type="spellStart"/>
      <w:r>
        <w:t>mpMRI</w:t>
      </w:r>
      <w:proofErr w:type="spellEnd"/>
      <w:r w:rsidRPr="00247374">
        <w:t xml:space="preserve"> procedures </w:t>
      </w:r>
      <w:r w:rsidR="00367765">
        <w:t>per year -</w:t>
      </w:r>
      <w:r>
        <w:t xml:space="preserve"> 13,276 in populati</w:t>
      </w:r>
      <w:r w:rsidR="00367765">
        <w:t>on 1 and 6,873 in population 2 -</w:t>
      </w:r>
      <w:r>
        <w:t xml:space="preserve"> at an MBS cost of $12.1 million per year. These costs were offset by $9.3 million in avoided TRUSGB/TPUSGB.</w:t>
      </w:r>
    </w:p>
    <w:p w14:paraId="5C91D59A" w14:textId="21B19976" w:rsidR="008E4C81" w:rsidRPr="00376F27" w:rsidRDefault="008E4C81" w:rsidP="00376F27">
      <w:pPr>
        <w:spacing w:after="240"/>
      </w:pPr>
      <w:r w:rsidRPr="006C6B7D">
        <w:t xml:space="preserve">MSAC noted that the financial estimates relied upon an assumption that the number of </w:t>
      </w:r>
      <w:proofErr w:type="spellStart"/>
      <w:r w:rsidRPr="006C6B7D">
        <w:t>mpMRIs</w:t>
      </w:r>
      <w:proofErr w:type="spellEnd"/>
      <w:r w:rsidRPr="006C6B7D">
        <w:t xml:space="preserve"> would be similar to the number of TRUGB/TPUSGB biopsies claimed on the MBS </w:t>
      </w:r>
      <w:r>
        <w:t xml:space="preserve">(approximately </w:t>
      </w:r>
      <w:r w:rsidRPr="006C6B7D">
        <w:t>20,000</w:t>
      </w:r>
      <w:r>
        <w:t xml:space="preserve"> per year)</w:t>
      </w:r>
      <w:r w:rsidRPr="006C6B7D">
        <w:t xml:space="preserve">. However, MSAC noted that using MBS claims for TRUSGB/TPUSGB was likely to underestimate the number of men eligible for </w:t>
      </w:r>
      <w:proofErr w:type="spellStart"/>
      <w:r w:rsidRPr="006C6B7D">
        <w:t>mpMRI</w:t>
      </w:r>
      <w:proofErr w:type="spellEnd"/>
      <w:r w:rsidRPr="006C6B7D">
        <w:t xml:space="preserve"> because some men refuse TRUSGB/TPUSGB</w:t>
      </w:r>
      <w:r>
        <w:t>;</w:t>
      </w:r>
      <w:r w:rsidRPr="006C6B7D">
        <w:t xml:space="preserve"> some men are already paying for </w:t>
      </w:r>
      <w:proofErr w:type="spellStart"/>
      <w:r w:rsidRPr="006C6B7D">
        <w:t>mpMRI</w:t>
      </w:r>
      <w:proofErr w:type="spellEnd"/>
      <w:r w:rsidRPr="006C6B7D">
        <w:t xml:space="preserve"> privately</w:t>
      </w:r>
      <w:r>
        <w:t>;</w:t>
      </w:r>
      <w:r w:rsidRPr="006C6B7D">
        <w:t xml:space="preserve"> and because of the ageing population</w:t>
      </w:r>
      <w:r>
        <w:t xml:space="preserve">. </w:t>
      </w:r>
      <w:r w:rsidRPr="006C6B7D">
        <w:t xml:space="preserve">MSAC noted that while sensitivity analyses of the financial impact of listing </w:t>
      </w:r>
      <w:proofErr w:type="spellStart"/>
      <w:r>
        <w:t>mpMRI</w:t>
      </w:r>
      <w:proofErr w:type="spellEnd"/>
      <w:r>
        <w:t xml:space="preserve"> </w:t>
      </w:r>
      <w:r w:rsidRPr="006C6B7D">
        <w:t xml:space="preserve">indicated </w:t>
      </w:r>
      <w:r>
        <w:t>it</w:t>
      </w:r>
      <w:r w:rsidRPr="006C6B7D">
        <w:t xml:space="preserve"> would be </w:t>
      </w:r>
      <w:r w:rsidR="00980342">
        <w:t xml:space="preserve">a </w:t>
      </w:r>
      <w:r w:rsidRPr="006C6B7D">
        <w:t xml:space="preserve">cost saving </w:t>
      </w:r>
      <w:r>
        <w:t xml:space="preserve">for the health system as a whole </w:t>
      </w:r>
      <w:r w:rsidRPr="006C6B7D">
        <w:t xml:space="preserve">in most scenarios, increasing the number of patients who had an </w:t>
      </w:r>
      <w:proofErr w:type="spellStart"/>
      <w:r w:rsidRPr="006C6B7D">
        <w:t>mpMRI</w:t>
      </w:r>
      <w:proofErr w:type="spellEnd"/>
      <w:r w:rsidRPr="006C6B7D">
        <w:t xml:space="preserve"> in population 1 from 13,</w:t>
      </w:r>
      <w:r>
        <w:t>276</w:t>
      </w:r>
      <w:r w:rsidRPr="006C6B7D">
        <w:t xml:space="preserve"> men to 20,000 men per year resulted in a net cost to the health system as a whole of $4.65 million per year.</w:t>
      </w:r>
    </w:p>
    <w:p w14:paraId="12F5E65D" w14:textId="3559019D" w:rsidR="008E4C81" w:rsidRDefault="008E4C81" w:rsidP="00376F27">
      <w:pPr>
        <w:spacing w:after="240"/>
      </w:pPr>
      <w:r w:rsidRPr="00763162">
        <w:t>MSAC</w:t>
      </w:r>
      <w:r>
        <w:t xml:space="preserve"> noted that the application did not include the following populations: 1) men with suspected </w:t>
      </w:r>
      <w:proofErr w:type="spellStart"/>
      <w:r>
        <w:t>PCa</w:t>
      </w:r>
      <w:proofErr w:type="spellEnd"/>
      <w:r>
        <w:t xml:space="preserve"> who have </w:t>
      </w:r>
      <w:r w:rsidR="004F55CE">
        <w:t xml:space="preserve">had </w:t>
      </w:r>
      <w:r>
        <w:t xml:space="preserve">a negative biopsy; 2) men with a known diagnosis of </w:t>
      </w:r>
      <w:proofErr w:type="spellStart"/>
      <w:r>
        <w:t>PCa</w:t>
      </w:r>
      <w:proofErr w:type="spellEnd"/>
      <w:r>
        <w:t xml:space="preserve"> in whom </w:t>
      </w:r>
      <w:proofErr w:type="spellStart"/>
      <w:r>
        <w:t>mpMRI</w:t>
      </w:r>
      <w:proofErr w:type="spellEnd"/>
      <w:r>
        <w:t xml:space="preserve"> was being used to stage </w:t>
      </w:r>
      <w:r w:rsidR="004F55CE">
        <w:t xml:space="preserve">disease </w:t>
      </w:r>
      <w:r>
        <w:t>or plan treatment</w:t>
      </w:r>
      <w:r w:rsidR="00980342">
        <w:t>;</w:t>
      </w:r>
      <w:r>
        <w:t xml:space="preserve"> or 3) men with suspected recurrent </w:t>
      </w:r>
      <w:proofErr w:type="spellStart"/>
      <w:r>
        <w:t>PCa</w:t>
      </w:r>
      <w:proofErr w:type="spellEnd"/>
      <w:r>
        <w:t xml:space="preserve"> after curative intent treatment. However, MSAC acknowledged that leakage to these populations, particularly for staging or treatment planning, was likely. While MSAC considered that some of this leakage could be contained through the item descriptor, the </w:t>
      </w:r>
      <w:r w:rsidR="004F55CE">
        <w:t xml:space="preserve">Committee </w:t>
      </w:r>
      <w:r>
        <w:t xml:space="preserve">was unable to identify a way to prevent use of the item for </w:t>
      </w:r>
      <w:r w:rsidR="004F55CE">
        <w:t>these populations</w:t>
      </w:r>
      <w:r>
        <w:t xml:space="preserve">. MSAC noted that some </w:t>
      </w:r>
      <w:r w:rsidR="004F55CE">
        <w:t xml:space="preserve">newer </w:t>
      </w:r>
      <w:r>
        <w:t xml:space="preserve">therapies, in particular partial gland therapy, relied upon imaging of the prostate. MSAC also noted that the </w:t>
      </w:r>
      <w:r w:rsidR="004F55CE">
        <w:t xml:space="preserve">Applicants </w:t>
      </w:r>
      <w:r>
        <w:t xml:space="preserve">had argued that clinical staging of </w:t>
      </w:r>
      <w:proofErr w:type="spellStart"/>
      <w:r>
        <w:t>PCa</w:t>
      </w:r>
      <w:proofErr w:type="spellEnd"/>
      <w:r>
        <w:t xml:space="preserve"> was inaccurate and that it would be </w:t>
      </w:r>
      <w:r w:rsidR="004F55CE">
        <w:t xml:space="preserve">exceptional </w:t>
      </w:r>
      <w:r>
        <w:t>for a patient to receive treatment without having undergone imaging.</w:t>
      </w:r>
    </w:p>
    <w:p w14:paraId="70992037" w14:textId="50463291" w:rsidR="008E4C81" w:rsidRDefault="008E4C81" w:rsidP="008E4C81">
      <w:r>
        <w:t xml:space="preserve">MSAC also </w:t>
      </w:r>
      <w:r w:rsidRPr="00451BA6">
        <w:t xml:space="preserve">noted that the availability of </w:t>
      </w:r>
      <w:proofErr w:type="spellStart"/>
      <w:r w:rsidRPr="00451BA6">
        <w:t>mpMRI</w:t>
      </w:r>
      <w:proofErr w:type="spellEnd"/>
      <w:r w:rsidRPr="00451BA6">
        <w:t xml:space="preserve"> could increase the attractiveness of using PSA for screening and </w:t>
      </w:r>
      <w:r w:rsidR="004F55CE">
        <w:t xml:space="preserve">therefore </w:t>
      </w:r>
      <w:r w:rsidRPr="00451BA6">
        <w:t>increase rates of PSA testing</w:t>
      </w:r>
      <w:r>
        <w:t>. MSAC suggested that it may be more difficult to deter clinicians from inappropriately using PSA testing for screening purposes if the follow-up test is non-invasive in nature (</w:t>
      </w:r>
      <w:proofErr w:type="spellStart"/>
      <w:r>
        <w:t>mpMRI</w:t>
      </w:r>
      <w:proofErr w:type="spellEnd"/>
      <w:r>
        <w:t>), in contrast to</w:t>
      </w:r>
      <w:r w:rsidRPr="00451BA6">
        <w:t xml:space="preserve"> the </w:t>
      </w:r>
      <w:r>
        <w:t xml:space="preserve">existing </w:t>
      </w:r>
      <w:r w:rsidRPr="00451BA6">
        <w:t>invasive TRUSGB/TPUSGB</w:t>
      </w:r>
      <w:r>
        <w:t xml:space="preserve"> procedures</w:t>
      </w:r>
      <w:r w:rsidRPr="00451BA6">
        <w:t>.</w:t>
      </w:r>
      <w:r>
        <w:t xml:space="preserve"> MSAC </w:t>
      </w:r>
      <w:r w:rsidRPr="00451BA6">
        <w:t xml:space="preserve">noted that any increase in the use of PSA for screening could therefore </w:t>
      </w:r>
      <w:r>
        <w:t xml:space="preserve">further </w:t>
      </w:r>
      <w:r w:rsidRPr="00451BA6">
        <w:t xml:space="preserve">increase the use of </w:t>
      </w:r>
      <w:proofErr w:type="spellStart"/>
      <w:r w:rsidRPr="00451BA6">
        <w:t>mpMRI</w:t>
      </w:r>
      <w:proofErr w:type="spellEnd"/>
      <w:r w:rsidRPr="00451BA6">
        <w:t xml:space="preserve"> above that estimated in the application.</w:t>
      </w:r>
      <w:r w:rsidRPr="00320412">
        <w:t xml:space="preserve"> </w:t>
      </w:r>
      <w:r>
        <w:t xml:space="preserve">MSAC indicated that while restricting the authority to request </w:t>
      </w:r>
      <w:proofErr w:type="spellStart"/>
      <w:r>
        <w:t>mpMRIs</w:t>
      </w:r>
      <w:proofErr w:type="spellEnd"/>
      <w:r>
        <w:t xml:space="preserve"> to specialists only and limiting the number of </w:t>
      </w:r>
      <w:proofErr w:type="spellStart"/>
      <w:r>
        <w:t>mpMRIs</w:t>
      </w:r>
      <w:proofErr w:type="spellEnd"/>
      <w:r>
        <w:t xml:space="preserve"> performed per patient over a year may help to prevent this, it was unlikely that such measures would fully address these concerns.</w:t>
      </w:r>
    </w:p>
    <w:p w14:paraId="6C0D9783" w14:textId="300EB620" w:rsidR="008E4C81" w:rsidRDefault="008E4C81" w:rsidP="00376F27">
      <w:pPr>
        <w:spacing w:after="240"/>
      </w:pPr>
      <w:r>
        <w:t>MSAC recommended modelling of the financial impact of use outside the proposed populations, using a scenario that assumes all men with early</w:t>
      </w:r>
      <w:r w:rsidR="004F55CE">
        <w:t>-stage</w:t>
      </w:r>
      <w:r>
        <w:t xml:space="preserve"> </w:t>
      </w:r>
      <w:proofErr w:type="spellStart"/>
      <w:r>
        <w:t>PCa</w:t>
      </w:r>
      <w:proofErr w:type="spellEnd"/>
      <w:r>
        <w:t xml:space="preserve"> receive an </w:t>
      </w:r>
      <w:proofErr w:type="spellStart"/>
      <w:r>
        <w:t>mpMRI</w:t>
      </w:r>
      <w:proofErr w:type="spellEnd"/>
      <w:r>
        <w:t xml:space="preserve">. MSAC suggested that information on the use of PSA testing, the proportion of men with a high or concerning PSA levels requiring further investigation, estimates of the number of men diagnosed with early </w:t>
      </w:r>
      <w:proofErr w:type="spellStart"/>
      <w:r>
        <w:t>PCa</w:t>
      </w:r>
      <w:proofErr w:type="spellEnd"/>
      <w:r>
        <w:t xml:space="preserve"> and trends in the use of TRUSGB/TPUSGB would be useful to inform the model. MSAC suggested that such information and modelling could be undertaken by the Department for consideration at the July 2017 MSAC meeting.</w:t>
      </w:r>
    </w:p>
    <w:p w14:paraId="5260941D" w14:textId="03E5FFB1" w:rsidR="008E4C81" w:rsidRDefault="008E4C81" w:rsidP="00376F27">
      <w:pPr>
        <w:spacing w:after="240"/>
      </w:pPr>
      <w:r>
        <w:t xml:space="preserve">MSAC </w:t>
      </w:r>
      <w:r w:rsidRPr="00CB5D37">
        <w:t xml:space="preserve">questioned the suggested fee of $600, which is based upon the current market price, and is higher than the MBS fees for similar MRI procedures (e.g. item 63476 MRI scan of the </w:t>
      </w:r>
      <w:r w:rsidRPr="00CB5D37">
        <w:lastRenderedPageBreak/>
        <w:t>pelvis for the initial staging of rectal cancer: ~$403).</w:t>
      </w:r>
      <w:r>
        <w:t xml:space="preserve"> MSAC noted that the applicants did not provide any justification as to why the market fee of $600 should be accepted and indicated that the financial impact estimates to be undertaken should use $400 as the fee.</w:t>
      </w:r>
    </w:p>
    <w:p w14:paraId="68DB04A2" w14:textId="656FCA4A" w:rsidR="008E4C81" w:rsidRDefault="008E4C81" w:rsidP="00376F27">
      <w:pPr>
        <w:spacing w:after="240"/>
      </w:pPr>
      <w:r>
        <w:t xml:space="preserve">MSAC noted that </w:t>
      </w:r>
      <w:r w:rsidRPr="00822A2D">
        <w:t xml:space="preserve">there may be issues with inter-reader reliability when using </w:t>
      </w:r>
      <w:proofErr w:type="spellStart"/>
      <w:r w:rsidRPr="00822A2D">
        <w:t>mpMRI</w:t>
      </w:r>
      <w:proofErr w:type="spellEnd"/>
      <w:r w:rsidRPr="00822A2D">
        <w:t xml:space="preserve"> to determine PI-RADS scores</w:t>
      </w:r>
      <w:r>
        <w:t xml:space="preserve">. In studies </w:t>
      </w:r>
      <w:r w:rsidRPr="00822A2D">
        <w:t xml:space="preserve">in which different readers reviewed the same </w:t>
      </w:r>
      <w:proofErr w:type="spellStart"/>
      <w:r w:rsidRPr="00822A2D">
        <w:t>mpMRI</w:t>
      </w:r>
      <w:proofErr w:type="spellEnd"/>
      <w:r w:rsidRPr="00822A2D">
        <w:t xml:space="preserve"> images </w:t>
      </w:r>
      <w:r>
        <w:t xml:space="preserve">to </w:t>
      </w:r>
      <w:r w:rsidRPr="00822A2D">
        <w:t xml:space="preserve">separately assign a PI-RADS score, the kappa statistic </w:t>
      </w:r>
      <w:r>
        <w:t xml:space="preserve">measuring agreement between the readers </w:t>
      </w:r>
      <w:r w:rsidRPr="00822A2D">
        <w:t xml:space="preserve">ranged from 0.48 to 0.81 (a kappa of 1.0 indicates complete agreement between readers). </w:t>
      </w:r>
      <w:r>
        <w:t>MSAC noted that the introduction of PI-RADS</w:t>
      </w:r>
      <w:r w:rsidR="00A11A2F">
        <w:t xml:space="preserve"> </w:t>
      </w:r>
      <w:r>
        <w:t>v</w:t>
      </w:r>
      <w:r w:rsidR="00A11A2F">
        <w:t>.</w:t>
      </w:r>
      <w:r>
        <w:t xml:space="preserve">2 may have improved inter-reader reliability. However, MSAC recommended that an accreditation and training program, specific to imaging of the prostate, would need to be implemented. MSAC indicated a preference that this program </w:t>
      </w:r>
      <w:proofErr w:type="gramStart"/>
      <w:r>
        <w:t>be</w:t>
      </w:r>
      <w:proofErr w:type="gramEnd"/>
      <w:r>
        <w:t xml:space="preserve"> in place before </w:t>
      </w:r>
      <w:proofErr w:type="spellStart"/>
      <w:r>
        <w:t>mpMRI</w:t>
      </w:r>
      <w:proofErr w:type="spellEnd"/>
      <w:r>
        <w:t xml:space="preserve"> is listed on the MBS. MSAC noted that the </w:t>
      </w:r>
      <w:r w:rsidRPr="003E0392">
        <w:t>Royal Australian and New Zealand College of Radiologists</w:t>
      </w:r>
      <w:r>
        <w:t xml:space="preserve"> (RANZCR) had indicated that it was currently working on quality assurance measures for </w:t>
      </w:r>
      <w:proofErr w:type="spellStart"/>
      <w:r>
        <w:t>mpMRI</w:t>
      </w:r>
      <w:proofErr w:type="spellEnd"/>
      <w:r>
        <w:t xml:space="preserve">. </w:t>
      </w:r>
    </w:p>
    <w:p w14:paraId="354DB56F" w14:textId="33104799" w:rsidR="00550354" w:rsidRPr="008E4C81" w:rsidRDefault="008E4C81" w:rsidP="008E4C81">
      <w:r>
        <w:t xml:space="preserve">MSAC noted that men are already accessing </w:t>
      </w:r>
      <w:proofErr w:type="spellStart"/>
      <w:r>
        <w:t>mpMRI</w:t>
      </w:r>
      <w:proofErr w:type="spellEnd"/>
      <w:r>
        <w:t xml:space="preserve"> privately and that this raised issues of equity </w:t>
      </w:r>
      <w:r w:rsidR="00A11A2F">
        <w:t xml:space="preserve">of </w:t>
      </w:r>
      <w:r>
        <w:t>access due to an individual’s ability to pay out of pocket costs.</w:t>
      </w:r>
    </w:p>
    <w:p w14:paraId="01364376" w14:textId="77777777" w:rsidR="00BC1364" w:rsidRPr="00F715D1" w:rsidRDefault="00BC1364" w:rsidP="008E4C81">
      <w:pPr>
        <w:pStyle w:val="Heading1"/>
        <w:ind w:hanging="502"/>
      </w:pPr>
      <w:r w:rsidRPr="00F715D1">
        <w:t>Background</w:t>
      </w:r>
    </w:p>
    <w:p w14:paraId="19C6BB12" w14:textId="77777777" w:rsidR="009F154B" w:rsidRPr="00042F1C" w:rsidRDefault="009F154B" w:rsidP="009F154B">
      <w:pPr>
        <w:spacing w:after="120"/>
        <w:rPr>
          <w:szCs w:val="24"/>
        </w:rPr>
      </w:pPr>
      <w:r>
        <w:rPr>
          <w:szCs w:val="24"/>
        </w:rPr>
        <w:t>The initial</w:t>
      </w:r>
      <w:r w:rsidRPr="00785685">
        <w:rPr>
          <w:szCs w:val="24"/>
        </w:rPr>
        <w:t xml:space="preserve"> application </w:t>
      </w:r>
      <w:r w:rsidRPr="00B03623">
        <w:t>(1397: Prostate MRI)</w:t>
      </w:r>
      <w:r w:rsidRPr="00785685">
        <w:t xml:space="preserve"> </w:t>
      </w:r>
      <w:r w:rsidRPr="00785685">
        <w:rPr>
          <w:szCs w:val="24"/>
        </w:rPr>
        <w:t>was reviewed by the Protocol Advisory Sub-committee (PASC)</w:t>
      </w:r>
      <w:r>
        <w:rPr>
          <w:szCs w:val="24"/>
        </w:rPr>
        <w:t xml:space="preserve"> in April 2015 and August 2015.</w:t>
      </w:r>
      <w:r w:rsidRPr="00785685">
        <w:rPr>
          <w:szCs w:val="24"/>
        </w:rPr>
        <w:t xml:space="preserve"> </w:t>
      </w:r>
      <w:r w:rsidRPr="00785685">
        <w:t>PASC advised that the initial application should be spilt into two applications:</w:t>
      </w:r>
    </w:p>
    <w:p w14:paraId="780353AA" w14:textId="77777777" w:rsidR="009F154B" w:rsidRPr="00785685" w:rsidRDefault="009F154B" w:rsidP="009F154B">
      <w:pPr>
        <w:pStyle w:val="ListParagraph"/>
        <w:numPr>
          <w:ilvl w:val="0"/>
          <w:numId w:val="34"/>
        </w:numPr>
      </w:pPr>
      <w:r w:rsidRPr="00785685">
        <w:t xml:space="preserve">Intervention for Diagnostic </w:t>
      </w:r>
      <w:proofErr w:type="spellStart"/>
      <w:r w:rsidRPr="00785685">
        <w:t>mpMRI</w:t>
      </w:r>
      <w:proofErr w:type="spellEnd"/>
      <w:r w:rsidRPr="00785685">
        <w:t>; and</w:t>
      </w:r>
    </w:p>
    <w:p w14:paraId="32AD99F5" w14:textId="77777777" w:rsidR="009F154B" w:rsidRPr="00785685" w:rsidRDefault="009F154B" w:rsidP="009F154B">
      <w:pPr>
        <w:pStyle w:val="ListParagraph"/>
        <w:numPr>
          <w:ilvl w:val="0"/>
          <w:numId w:val="34"/>
        </w:numPr>
      </w:pPr>
      <w:r w:rsidRPr="00042F1C">
        <w:rPr>
          <w:bCs/>
          <w:iCs/>
        </w:rPr>
        <w:t>Intervention for MR-guided biopsy.</w:t>
      </w:r>
    </w:p>
    <w:p w14:paraId="48F80B2B" w14:textId="77777777" w:rsidR="009F154B" w:rsidRPr="00B03623" w:rsidRDefault="009F154B" w:rsidP="009F154B">
      <w:pPr>
        <w:spacing w:before="240"/>
        <w:rPr>
          <w:szCs w:val="24"/>
        </w:rPr>
      </w:pPr>
      <w:r w:rsidRPr="00B03623">
        <w:t xml:space="preserve">There is now a separate application for </w:t>
      </w:r>
      <w:proofErr w:type="spellStart"/>
      <w:r w:rsidRPr="00B03623">
        <w:t>mpMRI</w:t>
      </w:r>
      <w:proofErr w:type="spellEnd"/>
      <w:r w:rsidRPr="00B03623">
        <w:rPr>
          <w:szCs w:val="24"/>
        </w:rPr>
        <w:t xml:space="preserve"> prostate diagnostic scans for diagnosis of prostate cancer (MSAC application 1397) and MR-guided biopsy procedures for diagnosis of prostate cancer (MSAC application 1424).</w:t>
      </w:r>
    </w:p>
    <w:p w14:paraId="6ED14F2E" w14:textId="77777777" w:rsidR="009F154B" w:rsidRPr="001E3FA4" w:rsidRDefault="009F154B" w:rsidP="009F154B">
      <w:pPr>
        <w:spacing w:before="240" w:line="276" w:lineRule="auto"/>
      </w:pPr>
      <w:r>
        <w:t xml:space="preserve">MSAC </w:t>
      </w:r>
      <w:r w:rsidR="00C607B4">
        <w:t>also considered Application 1424</w:t>
      </w:r>
      <w:r>
        <w:t xml:space="preserve"> at its April 2017 meeting. </w:t>
      </w:r>
      <w:r w:rsidRPr="00760F6C">
        <w:t>Further information can be found in the Public Summary Document on the MSAC website.</w:t>
      </w:r>
    </w:p>
    <w:p w14:paraId="6ED77A64" w14:textId="77777777" w:rsidR="00BC1364" w:rsidRPr="00F715D1" w:rsidRDefault="00BC1364" w:rsidP="008E4C81">
      <w:pPr>
        <w:pStyle w:val="Heading1"/>
        <w:ind w:hanging="502"/>
      </w:pPr>
      <w:r w:rsidRPr="00F715D1">
        <w:t>Prerequisites to implementation of any funding advice</w:t>
      </w:r>
    </w:p>
    <w:p w14:paraId="5B7F30B5" w14:textId="77777777" w:rsidR="00C607B4" w:rsidRPr="00901E6F" w:rsidRDefault="00C607B4" w:rsidP="00C607B4">
      <w:pPr>
        <w:tabs>
          <w:tab w:val="left" w:pos="720"/>
          <w:tab w:val="left" w:pos="1140"/>
        </w:tabs>
        <w:spacing w:after="240"/>
        <w:rPr>
          <w:szCs w:val="24"/>
        </w:rPr>
      </w:pPr>
      <w:r w:rsidRPr="00901E6F">
        <w:rPr>
          <w:szCs w:val="24"/>
        </w:rPr>
        <w:t>MRI systems are registered with the Therapeutic Goods Administration (TGA) on the Australian Register of Therapeutic Goods (ARTG).</w:t>
      </w:r>
    </w:p>
    <w:p w14:paraId="397C7CA0" w14:textId="77777777" w:rsidR="00BC1364" w:rsidRPr="00F715D1" w:rsidRDefault="00BC1364" w:rsidP="008E4C81">
      <w:pPr>
        <w:pStyle w:val="Heading1"/>
        <w:ind w:hanging="502"/>
      </w:pPr>
      <w:r w:rsidRPr="00F715D1">
        <w:t>Proposal for public funding</w:t>
      </w:r>
    </w:p>
    <w:p w14:paraId="77C5DD0A" w14:textId="77777777" w:rsidR="001237BD" w:rsidRPr="00183E4D" w:rsidRDefault="001237BD" w:rsidP="00F548BE">
      <w:pPr>
        <w:spacing w:after="240"/>
      </w:pPr>
      <w:r w:rsidRPr="00183E4D">
        <w:t>The proposed MBS item descriptor</w:t>
      </w:r>
      <w:r w:rsidR="00C607B4">
        <w:t>s are</w:t>
      </w:r>
      <w:r w:rsidRPr="00183E4D">
        <w:t xml:space="preserve"> summarised in</w:t>
      </w:r>
      <w:bookmarkStart w:id="1" w:name="_Ref373485347"/>
      <w:bookmarkStart w:id="2" w:name="_Ref373485342"/>
      <w:r w:rsidRPr="00183E4D">
        <w:t xml:space="preserve"> </w:t>
      </w:r>
      <w:r w:rsidR="0050052C">
        <w:t>Table 1</w:t>
      </w:r>
      <w:r w:rsidRPr="00183E4D">
        <w:t>.</w:t>
      </w:r>
    </w:p>
    <w:p w14:paraId="52AEE9D0" w14:textId="77777777" w:rsidR="003927DE" w:rsidRDefault="003927DE">
      <w:pPr>
        <w:rPr>
          <w:rFonts w:ascii="Arial Narrow" w:hAnsi="Arial Narrow" w:cs="Tahoma"/>
          <w:b/>
          <w:bCs/>
          <w:sz w:val="20"/>
          <w:szCs w:val="22"/>
        </w:rPr>
      </w:pPr>
      <w:bookmarkStart w:id="3" w:name="_Ref394849669"/>
      <w:bookmarkStart w:id="4" w:name="_Toc455648024"/>
      <w:bookmarkStart w:id="5" w:name="_Toc471382706"/>
      <w:bookmarkEnd w:id="1"/>
      <w:bookmarkEnd w:id="2"/>
      <w:r>
        <w:br w:type="page"/>
      </w:r>
    </w:p>
    <w:p w14:paraId="7CBDBD71" w14:textId="369379A8" w:rsidR="001237BD" w:rsidRPr="00466B3D" w:rsidRDefault="001237BD" w:rsidP="00F548BE">
      <w:pPr>
        <w:pStyle w:val="Caption"/>
        <w:spacing w:after="120"/>
      </w:pPr>
      <w:r w:rsidRPr="00466B3D">
        <w:lastRenderedPageBreak/>
        <w:t xml:space="preserve">Table </w:t>
      </w:r>
      <w:bookmarkEnd w:id="3"/>
      <w:r w:rsidR="0050052C">
        <w:t>1</w:t>
      </w:r>
      <w:r w:rsidRPr="00466B3D">
        <w:tab/>
        <w:t>Proposed MBS item descriptor</w:t>
      </w:r>
      <w:bookmarkEnd w:id="4"/>
      <w:bookmarkEnd w:id="5"/>
      <w:r w:rsidR="00C607B4">
        <w:t>s</w:t>
      </w:r>
    </w:p>
    <w:tbl>
      <w:tblPr>
        <w:tblStyle w:val="TableGrid2"/>
        <w:tblW w:w="9112" w:type="dxa"/>
        <w:tblLook w:val="04A0" w:firstRow="1" w:lastRow="0" w:firstColumn="1" w:lastColumn="0" w:noHBand="0" w:noVBand="1"/>
        <w:tblDescription w:val="Proposed MBS item descriptors for multiparametric MRI (mpMRI) scans of the prostate"/>
      </w:tblPr>
      <w:tblGrid>
        <w:gridCol w:w="9112"/>
      </w:tblGrid>
      <w:tr w:rsidR="001237BD" w:rsidRPr="00C317BE" w14:paraId="6FFB3B76" w14:textId="77777777" w:rsidTr="00BA67A5">
        <w:trPr>
          <w:cnfStyle w:val="100000000000" w:firstRow="1" w:lastRow="0" w:firstColumn="0" w:lastColumn="0" w:oddVBand="0" w:evenVBand="0" w:oddHBand="0" w:evenHBand="0" w:firstRowFirstColumn="0" w:firstRowLastColumn="0" w:lastRowFirstColumn="0" w:lastRowLastColumn="0"/>
          <w:tblHeader/>
        </w:trPr>
        <w:tc>
          <w:tcPr>
            <w:tcW w:w="9111" w:type="dxa"/>
          </w:tcPr>
          <w:p w14:paraId="16199F26" w14:textId="77777777" w:rsidR="001237BD" w:rsidRPr="00C317BE" w:rsidRDefault="001237BD" w:rsidP="008E4C81">
            <w:pPr>
              <w:pStyle w:val="Tableheading"/>
            </w:pPr>
            <w:r w:rsidRPr="00C317BE">
              <w:t>Category 5 – Diagnostic Imaging Services</w:t>
            </w:r>
          </w:p>
        </w:tc>
      </w:tr>
      <w:tr w:rsidR="001237BD" w:rsidRPr="004318C9" w14:paraId="777C1931" w14:textId="77777777" w:rsidTr="00BA67A5">
        <w:tc>
          <w:tcPr>
            <w:tcW w:w="9111" w:type="dxa"/>
          </w:tcPr>
          <w:p w14:paraId="142502B9" w14:textId="77777777" w:rsidR="001237BD" w:rsidRPr="00F864D9" w:rsidRDefault="001237BD" w:rsidP="008E4C81">
            <w:pPr>
              <w:pStyle w:val="Tabletext"/>
            </w:pPr>
            <w:r w:rsidRPr="00F864D9">
              <w:t>MBS [item number]</w:t>
            </w:r>
          </w:p>
          <w:p w14:paraId="6AE63990" w14:textId="77777777" w:rsidR="001237BD" w:rsidRDefault="001237BD" w:rsidP="008E4C81">
            <w:pPr>
              <w:pStyle w:val="Tabletext"/>
            </w:pPr>
            <w:proofErr w:type="spellStart"/>
            <w:r w:rsidRPr="004318C9">
              <w:t>Mul</w:t>
            </w:r>
            <w:r>
              <w:t>t</w:t>
            </w:r>
            <w:r w:rsidRPr="004318C9">
              <w:t>iparametric</w:t>
            </w:r>
            <w:proofErr w:type="spellEnd"/>
            <w:r w:rsidRPr="004318C9">
              <w:t xml:space="preserve"> Magnetic Resonance Imaging (</w:t>
            </w:r>
            <w:proofErr w:type="spellStart"/>
            <w:r w:rsidRPr="004318C9">
              <w:t>mpMRI</w:t>
            </w:r>
            <w:proofErr w:type="spellEnd"/>
            <w:r w:rsidRPr="004318C9">
              <w:t xml:space="preserve">) </w:t>
            </w:r>
            <w:r w:rsidRPr="00AA1BF8">
              <w:t>performed under the professional supervision of an eligible provider at an eligible location where the patient is referred by</w:t>
            </w:r>
            <w:r>
              <w:t xml:space="preserve"> </w:t>
            </w:r>
            <w:r w:rsidRPr="008464AF">
              <w:t>an urologist, radiation oncologist, or medical oncologist</w:t>
            </w:r>
            <w:r>
              <w:t xml:space="preserve"> and where:</w:t>
            </w:r>
          </w:p>
          <w:p w14:paraId="1D3B38A9" w14:textId="77777777" w:rsidR="001237BD" w:rsidRPr="00F864D9" w:rsidRDefault="001237BD" w:rsidP="008E4C81">
            <w:pPr>
              <w:pStyle w:val="Tabletext"/>
            </w:pPr>
            <w:r>
              <w:t xml:space="preserve">a) </w:t>
            </w:r>
            <w:r w:rsidRPr="00F864D9">
              <w:t>a standardised image acquisition protocol involving T2 weighted imaging, Diffusion Weighted Imaging, and Dynamic Contrast Enhancement (unless contraindicated) is used; and</w:t>
            </w:r>
          </w:p>
          <w:p w14:paraId="03F95BE1" w14:textId="77777777" w:rsidR="001237BD" w:rsidRPr="00F864D9" w:rsidRDefault="001237BD" w:rsidP="008E4C81">
            <w:pPr>
              <w:pStyle w:val="Tabletext"/>
            </w:pPr>
            <w:r>
              <w:t xml:space="preserve">b) </w:t>
            </w:r>
            <w:proofErr w:type="gramStart"/>
            <w:r w:rsidRPr="00F864D9">
              <w:t>the</w:t>
            </w:r>
            <w:proofErr w:type="gramEnd"/>
            <w:r w:rsidRPr="00F864D9">
              <w:t xml:space="preserve"> man is suspected of having prostate cancer on the basis of a high or concerning PSA.</w:t>
            </w:r>
          </w:p>
          <w:p w14:paraId="104667DC" w14:textId="77777777" w:rsidR="001237BD" w:rsidRDefault="001237BD" w:rsidP="008E4C81">
            <w:pPr>
              <w:pStyle w:val="Tabletext"/>
            </w:pPr>
            <w:r>
              <w:t>S</w:t>
            </w:r>
            <w:r w:rsidRPr="004318C9">
              <w:t xml:space="preserve">can of the prostate </w:t>
            </w:r>
            <w:r>
              <w:t>for:</w:t>
            </w:r>
          </w:p>
          <w:p w14:paraId="780B2156" w14:textId="77777777" w:rsidR="001237BD" w:rsidRPr="00576049" w:rsidRDefault="001237BD" w:rsidP="008E4C81">
            <w:pPr>
              <w:pStyle w:val="Tabletext"/>
            </w:pPr>
            <w:r>
              <w:t>– detection of cancer</w:t>
            </w:r>
            <w:r w:rsidRPr="00576049">
              <w:t xml:space="preserve"> </w:t>
            </w:r>
            <w:r>
              <w:t>(R)(Contrast)</w:t>
            </w:r>
          </w:p>
          <w:p w14:paraId="5E0AC5D8" w14:textId="77777777" w:rsidR="001237BD" w:rsidRPr="00F864D9" w:rsidRDefault="001237BD" w:rsidP="008E4C81">
            <w:pPr>
              <w:pStyle w:val="Tabletext"/>
            </w:pPr>
            <w:r w:rsidRPr="00F864D9">
              <w:t>Fee: [Applicant advises that current fee charged is $600]</w:t>
            </w:r>
          </w:p>
          <w:p w14:paraId="5E54D4FF" w14:textId="77777777" w:rsidR="001237BD" w:rsidRPr="00927DBB" w:rsidRDefault="001237BD" w:rsidP="008E4C81">
            <w:pPr>
              <w:pStyle w:val="Tabletext"/>
            </w:pPr>
            <w:r w:rsidRPr="00F864D9">
              <w:t>[Relevant explanatory notes]</w:t>
            </w:r>
            <w:r w:rsidRPr="004318C9">
              <w:t xml:space="preserve"> </w:t>
            </w:r>
          </w:p>
        </w:tc>
      </w:tr>
      <w:tr w:rsidR="001237BD" w:rsidRPr="004318C9" w14:paraId="31D68347" w14:textId="77777777" w:rsidTr="00BA67A5">
        <w:tc>
          <w:tcPr>
            <w:tcW w:w="9111" w:type="dxa"/>
          </w:tcPr>
          <w:p w14:paraId="6EDF75D8" w14:textId="77777777" w:rsidR="001237BD" w:rsidRPr="00F864D9" w:rsidRDefault="001237BD" w:rsidP="008E4C81">
            <w:pPr>
              <w:pStyle w:val="Tabletext"/>
            </w:pPr>
            <w:r w:rsidRPr="00F864D9">
              <w:t>MBS [item number]</w:t>
            </w:r>
          </w:p>
          <w:p w14:paraId="0DB8C1DA" w14:textId="77777777" w:rsidR="001237BD" w:rsidRPr="008464AF" w:rsidRDefault="001237BD" w:rsidP="008E4C81">
            <w:pPr>
              <w:pStyle w:val="Tabletext"/>
            </w:pPr>
            <w:proofErr w:type="spellStart"/>
            <w:r w:rsidRPr="008464AF">
              <w:t>Multiparametric</w:t>
            </w:r>
            <w:proofErr w:type="spellEnd"/>
            <w:r w:rsidRPr="008464AF">
              <w:t xml:space="preserve"> Magnetic Resonance Imaging (</w:t>
            </w:r>
            <w:proofErr w:type="spellStart"/>
            <w:r w:rsidRPr="008464AF">
              <w:t>mpMRI</w:t>
            </w:r>
            <w:proofErr w:type="spellEnd"/>
            <w:r w:rsidRPr="008464AF">
              <w:t>) performed under the professional supervision of an eligible provider at an eligible location where the patient is referred by an urologist, radiation oncologist, or medical oncologist and where:</w:t>
            </w:r>
          </w:p>
          <w:p w14:paraId="03F18EB5" w14:textId="77777777" w:rsidR="001237BD" w:rsidRPr="00F864D9" w:rsidRDefault="001237BD" w:rsidP="008E4C81">
            <w:pPr>
              <w:pStyle w:val="Tabletext"/>
            </w:pPr>
            <w:r>
              <w:t xml:space="preserve">a) </w:t>
            </w:r>
            <w:r w:rsidRPr="00F864D9">
              <w:t>a standardised image acquisition protocol involving T2 weighted imaging, Diffusion Weighted Imaging, and Dynamic Contrast Enhancement (unless contraindicated) is used; and</w:t>
            </w:r>
          </w:p>
          <w:p w14:paraId="64FC664E" w14:textId="77777777" w:rsidR="001237BD" w:rsidRPr="00F864D9" w:rsidRDefault="001237BD" w:rsidP="008E4C81">
            <w:pPr>
              <w:pStyle w:val="Tabletext"/>
            </w:pPr>
            <w:r>
              <w:t xml:space="preserve">b) </w:t>
            </w:r>
            <w:proofErr w:type="gramStart"/>
            <w:r w:rsidRPr="00F864D9">
              <w:t>the</w:t>
            </w:r>
            <w:proofErr w:type="gramEnd"/>
            <w:r w:rsidRPr="00F864D9">
              <w:t xml:space="preserve"> man has an existing diagnosis of low or intermediate risk prostate cancer and is undertaking Active Surveillance.</w:t>
            </w:r>
          </w:p>
          <w:p w14:paraId="41EDB326" w14:textId="77777777" w:rsidR="001237BD" w:rsidRPr="008464AF" w:rsidRDefault="001237BD" w:rsidP="008E4C81">
            <w:pPr>
              <w:pStyle w:val="Tabletext"/>
            </w:pPr>
            <w:r w:rsidRPr="008464AF">
              <w:t>Scan of the prostate for:</w:t>
            </w:r>
          </w:p>
          <w:p w14:paraId="56FE9976" w14:textId="77777777" w:rsidR="001237BD" w:rsidRDefault="001237BD" w:rsidP="008E4C81">
            <w:pPr>
              <w:pStyle w:val="Tabletext"/>
            </w:pPr>
            <w:r w:rsidRPr="008464AF">
              <w:t xml:space="preserve">– </w:t>
            </w:r>
            <w:r>
              <w:t>assessment</w:t>
            </w:r>
            <w:r w:rsidRPr="008464AF">
              <w:t xml:space="preserve"> of cancer (R)(Contrast)</w:t>
            </w:r>
          </w:p>
          <w:p w14:paraId="005229D9" w14:textId="77777777" w:rsidR="001237BD" w:rsidRPr="00F864D9" w:rsidRDefault="001237BD" w:rsidP="008E4C81">
            <w:pPr>
              <w:pStyle w:val="Tabletext"/>
            </w:pPr>
            <w:r w:rsidRPr="00F864D9">
              <w:t>Fee: [Applicant advises that current fee charged is $600]</w:t>
            </w:r>
          </w:p>
          <w:p w14:paraId="6B1C2579" w14:textId="77777777" w:rsidR="001237BD" w:rsidRPr="00927DBB" w:rsidRDefault="001237BD" w:rsidP="008E4C81">
            <w:pPr>
              <w:pStyle w:val="Tabletext"/>
            </w:pPr>
            <w:r w:rsidRPr="00F864D9">
              <w:t>[Relevant explanatory notes]</w:t>
            </w:r>
            <w:r w:rsidRPr="004318C9">
              <w:t xml:space="preserve"> </w:t>
            </w:r>
          </w:p>
        </w:tc>
      </w:tr>
    </w:tbl>
    <w:p w14:paraId="0D770773" w14:textId="77777777" w:rsidR="0065346C" w:rsidRDefault="0065346C" w:rsidP="0065346C">
      <w:pPr>
        <w:pStyle w:val="Heading1"/>
        <w:numPr>
          <w:ilvl w:val="0"/>
          <w:numId w:val="0"/>
        </w:numPr>
        <w:spacing w:after="0"/>
        <w:ind w:left="505" w:hanging="505"/>
        <w:rPr>
          <w:rFonts w:ascii="Times New Roman" w:hAnsi="Times New Roman"/>
          <w:b w:val="0"/>
        </w:rPr>
      </w:pPr>
      <w:r w:rsidRPr="0065346C">
        <w:rPr>
          <w:rFonts w:ascii="Times New Roman" w:hAnsi="Times New Roman"/>
          <w:b w:val="0"/>
        </w:rPr>
        <w:t xml:space="preserve">The </w:t>
      </w:r>
      <w:r>
        <w:rPr>
          <w:rFonts w:ascii="Times New Roman" w:hAnsi="Times New Roman"/>
          <w:b w:val="0"/>
        </w:rPr>
        <w:t>applicant pre</w:t>
      </w:r>
      <w:r w:rsidR="00A11A2F">
        <w:rPr>
          <w:rFonts w:ascii="Times New Roman" w:hAnsi="Times New Roman"/>
          <w:b w:val="0"/>
        </w:rPr>
        <w:t>-</w:t>
      </w:r>
      <w:r>
        <w:rPr>
          <w:rFonts w:ascii="Times New Roman" w:hAnsi="Times New Roman"/>
          <w:b w:val="0"/>
        </w:rPr>
        <w:t>MSAC response suggested amending the first descriptor to include:</w:t>
      </w:r>
    </w:p>
    <w:p w14:paraId="2A657349" w14:textId="77777777" w:rsidR="0065346C" w:rsidRDefault="0065346C" w:rsidP="0065346C">
      <w:r>
        <w:t>Patients who are suspected of having prostate cancer on the basis of any of the following</w:t>
      </w:r>
    </w:p>
    <w:p w14:paraId="11048D51" w14:textId="77777777" w:rsidR="0065346C" w:rsidRDefault="0065346C" w:rsidP="0065346C">
      <w:pPr>
        <w:pStyle w:val="ListParagraph"/>
        <w:numPr>
          <w:ilvl w:val="0"/>
          <w:numId w:val="36"/>
        </w:numPr>
      </w:pPr>
      <w:r>
        <w:t>a PSA level greater than 3mg/L (or lower level in men younger than 50 years); or</w:t>
      </w:r>
    </w:p>
    <w:p w14:paraId="76AE0F13" w14:textId="77777777" w:rsidR="0065346C" w:rsidRDefault="0065346C" w:rsidP="0065346C">
      <w:pPr>
        <w:pStyle w:val="ListParagraph"/>
        <w:numPr>
          <w:ilvl w:val="0"/>
          <w:numId w:val="36"/>
        </w:numPr>
      </w:pPr>
      <w:r>
        <w:t>a positive family history (includes breast cancer [</w:t>
      </w:r>
      <w:r w:rsidRPr="00376F27">
        <w:rPr>
          <w:i/>
        </w:rPr>
        <w:t>BRCA</w:t>
      </w:r>
      <w:r>
        <w:t>] gene mutation); or</w:t>
      </w:r>
    </w:p>
    <w:p w14:paraId="0E854404" w14:textId="77777777" w:rsidR="0065346C" w:rsidRDefault="0065346C" w:rsidP="0065346C">
      <w:pPr>
        <w:pStyle w:val="ListParagraph"/>
        <w:numPr>
          <w:ilvl w:val="0"/>
          <w:numId w:val="36"/>
        </w:numPr>
      </w:pPr>
      <w:r>
        <w:t>a free/total PSA ratio less than 25 per cent; or</w:t>
      </w:r>
    </w:p>
    <w:p w14:paraId="298F0786" w14:textId="77777777" w:rsidR="0065346C" w:rsidRDefault="0065346C" w:rsidP="00BA67A5">
      <w:pPr>
        <w:pStyle w:val="ListParagraph"/>
        <w:numPr>
          <w:ilvl w:val="0"/>
          <w:numId w:val="36"/>
        </w:numPr>
        <w:spacing w:after="240"/>
      </w:pPr>
      <w:proofErr w:type="gramStart"/>
      <w:r>
        <w:t>abnormal</w:t>
      </w:r>
      <w:proofErr w:type="gramEnd"/>
      <w:r>
        <w:t xml:space="preserve"> DRE.</w:t>
      </w:r>
    </w:p>
    <w:p w14:paraId="6F2070C0" w14:textId="77777777" w:rsidR="0065346C" w:rsidRPr="00BA67A5" w:rsidRDefault="0065346C" w:rsidP="00BA67A5">
      <w:r w:rsidRPr="00BA67A5">
        <w:t>For the second descriptor, the applicant pre</w:t>
      </w:r>
      <w:r w:rsidR="00A11A2F" w:rsidRPr="00BA67A5">
        <w:t>-</w:t>
      </w:r>
      <w:r w:rsidRPr="00BA67A5">
        <w:t>MSAC response noted that this group will need one scan every 12 months.</w:t>
      </w:r>
    </w:p>
    <w:p w14:paraId="4A92641E" w14:textId="77777777" w:rsidR="00BC1364" w:rsidRPr="00F715D1" w:rsidRDefault="00BC1364" w:rsidP="008E4C81">
      <w:pPr>
        <w:pStyle w:val="Heading1"/>
        <w:ind w:hanging="502"/>
      </w:pPr>
      <w:r w:rsidRPr="00F715D1">
        <w:t xml:space="preserve">Summary of </w:t>
      </w:r>
      <w:r w:rsidR="003D7F29" w:rsidRPr="00F715D1">
        <w:t>Public Consultation</w:t>
      </w:r>
      <w:r w:rsidRPr="00F715D1">
        <w:t xml:space="preserve"> Feedback</w:t>
      </w:r>
      <w:r w:rsidR="003D7F29" w:rsidRPr="00F715D1">
        <w:t>/Consumer Issues</w:t>
      </w:r>
    </w:p>
    <w:p w14:paraId="4380BB58" w14:textId="5C91D193" w:rsidR="00265BC9" w:rsidRPr="00BF5478" w:rsidRDefault="00265BC9" w:rsidP="00BF5478">
      <w:pPr>
        <w:tabs>
          <w:tab w:val="left" w:pos="709"/>
        </w:tabs>
        <w:spacing w:after="240"/>
        <w:rPr>
          <w:rFonts w:ascii="Arial" w:hAnsi="Arial" w:cs="Arial"/>
          <w:b/>
          <w:szCs w:val="24"/>
        </w:rPr>
      </w:pPr>
      <w:r w:rsidRPr="007F599F">
        <w:rPr>
          <w:szCs w:val="24"/>
        </w:rPr>
        <w:t xml:space="preserve">Feedback on the Consultation Protocol was received from peak bodies (seven responses), organisations (three responses), specialists (six responses), </w:t>
      </w:r>
      <w:r w:rsidR="00934907">
        <w:rPr>
          <w:szCs w:val="24"/>
        </w:rPr>
        <w:t xml:space="preserve">a </w:t>
      </w:r>
      <w:r w:rsidRPr="007F599F">
        <w:rPr>
          <w:szCs w:val="24"/>
        </w:rPr>
        <w:t xml:space="preserve">researcher (1 response) and consumers (3 responses). </w:t>
      </w:r>
    </w:p>
    <w:p w14:paraId="3CA00300" w14:textId="77777777" w:rsidR="00265BC9" w:rsidRPr="0036196D" w:rsidRDefault="00265BC9" w:rsidP="00265BC9">
      <w:pPr>
        <w:rPr>
          <w:szCs w:val="24"/>
        </w:rPr>
      </w:pPr>
      <w:r>
        <w:rPr>
          <w:szCs w:val="24"/>
        </w:rPr>
        <w:t xml:space="preserve">Issues raised in the responses </w:t>
      </w:r>
      <w:r w:rsidRPr="0036196D">
        <w:rPr>
          <w:szCs w:val="24"/>
        </w:rPr>
        <w:t>were:</w:t>
      </w:r>
    </w:p>
    <w:p w14:paraId="619FDD48" w14:textId="77777777" w:rsidR="00265BC9" w:rsidRPr="0036196D" w:rsidRDefault="00265BC9" w:rsidP="00265BC9">
      <w:pPr>
        <w:pStyle w:val="ListParagraph"/>
        <w:numPr>
          <w:ilvl w:val="0"/>
          <w:numId w:val="26"/>
        </w:numPr>
      </w:pPr>
      <w:r>
        <w:rPr>
          <w:iCs/>
        </w:rPr>
        <w:t xml:space="preserve">The indications </w:t>
      </w:r>
      <w:r w:rsidRPr="0036196D">
        <w:rPr>
          <w:iCs/>
        </w:rPr>
        <w:t>should await the final recommendations of the multi-disciplinary national working party (NHMRC / CCA / PCFA / USANZ / RACGP / R</w:t>
      </w:r>
      <w:r>
        <w:rPr>
          <w:iCs/>
        </w:rPr>
        <w:t xml:space="preserve">CPA). However in general terms: </w:t>
      </w:r>
      <w:r w:rsidRPr="0036196D">
        <w:rPr>
          <w:iCs/>
        </w:rPr>
        <w:t>(</w:t>
      </w:r>
      <w:proofErr w:type="spellStart"/>
      <w:r w:rsidRPr="0036196D">
        <w:rPr>
          <w:iCs/>
        </w:rPr>
        <w:t>i</w:t>
      </w:r>
      <w:proofErr w:type="spellEnd"/>
      <w:r w:rsidRPr="0036196D">
        <w:rPr>
          <w:iCs/>
        </w:rPr>
        <w:t>) elevated PSA should be confirmed by resampling</w:t>
      </w:r>
      <w:r>
        <w:rPr>
          <w:iCs/>
        </w:rPr>
        <w:t>;</w:t>
      </w:r>
      <w:r w:rsidRPr="0036196D">
        <w:rPr>
          <w:iCs/>
        </w:rPr>
        <w:t xml:space="preserve"> (ii) in the range 3.0-5.5 mg/L, free PSA should be considered</w:t>
      </w:r>
      <w:r>
        <w:rPr>
          <w:iCs/>
        </w:rPr>
        <w:t>;</w:t>
      </w:r>
      <w:r w:rsidRPr="0036196D">
        <w:rPr>
          <w:iCs/>
        </w:rPr>
        <w:t xml:space="preserve"> (iii) </w:t>
      </w:r>
      <w:r w:rsidR="00A11A2F">
        <w:rPr>
          <w:iCs/>
        </w:rPr>
        <w:t xml:space="preserve">PSA </w:t>
      </w:r>
      <w:r w:rsidRPr="0036196D">
        <w:rPr>
          <w:iCs/>
        </w:rPr>
        <w:t xml:space="preserve">doubling time (velocity) is not recommended at this stage and (iv) </w:t>
      </w:r>
      <w:r>
        <w:rPr>
          <w:iCs/>
        </w:rPr>
        <w:t>digital rectal examination (</w:t>
      </w:r>
      <w:r w:rsidRPr="0036196D">
        <w:rPr>
          <w:iCs/>
        </w:rPr>
        <w:t>DRE</w:t>
      </w:r>
      <w:r>
        <w:rPr>
          <w:iCs/>
        </w:rPr>
        <w:t>)</w:t>
      </w:r>
      <w:r w:rsidRPr="0036196D">
        <w:rPr>
          <w:iCs/>
        </w:rPr>
        <w:t xml:space="preserve"> is not supported</w:t>
      </w:r>
      <w:r>
        <w:rPr>
          <w:iCs/>
        </w:rPr>
        <w:t xml:space="preserve"> as a screening test</w:t>
      </w:r>
      <w:r w:rsidRPr="0036196D">
        <w:rPr>
          <w:iCs/>
        </w:rPr>
        <w:t>.</w:t>
      </w:r>
    </w:p>
    <w:p w14:paraId="4CF8FB88" w14:textId="77777777" w:rsidR="00265BC9" w:rsidRDefault="00265BC9" w:rsidP="00265BC9">
      <w:pPr>
        <w:pStyle w:val="ListParagraph"/>
        <w:numPr>
          <w:ilvl w:val="0"/>
          <w:numId w:val="26"/>
        </w:numPr>
      </w:pPr>
      <w:r>
        <w:rPr>
          <w:bCs/>
        </w:rPr>
        <w:t>S</w:t>
      </w:r>
      <w:r w:rsidRPr="0036196D">
        <w:rPr>
          <w:bCs/>
        </w:rPr>
        <w:t>pecialist referral</w:t>
      </w:r>
      <w:r w:rsidRPr="0036196D">
        <w:t xml:space="preserve"> should be required from </w:t>
      </w:r>
      <w:proofErr w:type="gramStart"/>
      <w:r>
        <w:t>a</w:t>
      </w:r>
      <w:proofErr w:type="gramEnd"/>
      <w:r>
        <w:t xml:space="preserve"> </w:t>
      </w:r>
      <w:r w:rsidRPr="0036196D">
        <w:t xml:space="preserve">urologist, radiation oncologist, or </w:t>
      </w:r>
      <w:r w:rsidRPr="0036196D">
        <w:br/>
        <w:t xml:space="preserve">medical oncologist. </w:t>
      </w:r>
    </w:p>
    <w:p w14:paraId="06D66B39" w14:textId="77777777" w:rsidR="00265BC9" w:rsidRPr="009C4764" w:rsidRDefault="00265BC9" w:rsidP="00265BC9">
      <w:pPr>
        <w:pStyle w:val="ListParagraph"/>
        <w:numPr>
          <w:ilvl w:val="0"/>
          <w:numId w:val="26"/>
        </w:numPr>
      </w:pPr>
      <w:r w:rsidRPr="009C4764">
        <w:rPr>
          <w:iCs/>
          <w:szCs w:val="24"/>
        </w:rPr>
        <w:lastRenderedPageBreak/>
        <w:t>The feasibility of measuring change in overall survival and change in prostate cancer specific mortality is very doubtful for a cancer with such a long natural history as prostate cancer (typically &gt;10 years from diagnosis to death).</w:t>
      </w:r>
    </w:p>
    <w:p w14:paraId="1A32DBEC" w14:textId="77777777" w:rsidR="00BC1364" w:rsidRPr="00F715D1" w:rsidRDefault="00BC1364" w:rsidP="008E4C81">
      <w:pPr>
        <w:pStyle w:val="Heading1"/>
        <w:ind w:hanging="502"/>
      </w:pPr>
      <w:r w:rsidRPr="00F715D1">
        <w:t>Proposed intervention’s place in clinical management</w:t>
      </w:r>
    </w:p>
    <w:p w14:paraId="2C2B999E" w14:textId="77777777" w:rsidR="0057678B" w:rsidRDefault="0057678B" w:rsidP="00934907">
      <w:pPr>
        <w:rPr>
          <w:rFonts w:cs="Calibri"/>
        </w:rPr>
      </w:pPr>
      <w:r>
        <w:t xml:space="preserve">In </w:t>
      </w:r>
      <w:r w:rsidRPr="00A73120">
        <w:rPr>
          <w:u w:val="single"/>
        </w:rPr>
        <w:t>Population 1</w:t>
      </w:r>
      <w:r>
        <w:t>,</w:t>
      </w:r>
      <w:r w:rsidRPr="004820FB">
        <w:rPr>
          <w:rFonts w:cs="Calibri"/>
        </w:rPr>
        <w:t xml:space="preserve"> </w:t>
      </w:r>
      <w:proofErr w:type="spellStart"/>
      <w:r w:rsidRPr="004820FB">
        <w:rPr>
          <w:rFonts w:cs="Calibri"/>
        </w:rPr>
        <w:t>mpMRI</w:t>
      </w:r>
      <w:proofErr w:type="spellEnd"/>
      <w:r>
        <w:rPr>
          <w:rFonts w:cs="Calibri"/>
        </w:rPr>
        <w:t xml:space="preserve"> is intended to be used as an additional triage tool following an abnormal PSA/DRE, to determine the need for biopsy</w:t>
      </w:r>
      <w:r w:rsidRPr="004820FB">
        <w:rPr>
          <w:rFonts w:cs="Calibri"/>
        </w:rPr>
        <w:t>.</w:t>
      </w:r>
      <w:r>
        <w:rPr>
          <w:rFonts w:cs="Calibri"/>
        </w:rPr>
        <w:t xml:space="preserve"> Based on the results of the </w:t>
      </w:r>
      <w:proofErr w:type="spellStart"/>
      <w:r>
        <w:rPr>
          <w:rFonts w:cs="Calibri"/>
        </w:rPr>
        <w:t>mpMRI</w:t>
      </w:r>
      <w:proofErr w:type="spellEnd"/>
      <w:r>
        <w:rPr>
          <w:rFonts w:cs="Calibri"/>
        </w:rPr>
        <w:t xml:space="preserve"> scan:</w:t>
      </w:r>
    </w:p>
    <w:p w14:paraId="1FB114AC" w14:textId="77777777" w:rsidR="0057678B" w:rsidRPr="00D12373" w:rsidRDefault="0057678B" w:rsidP="00934907">
      <w:pPr>
        <w:pStyle w:val="ListParagraph"/>
        <w:numPr>
          <w:ilvl w:val="0"/>
          <w:numId w:val="29"/>
        </w:numPr>
        <w:jc w:val="both"/>
        <w:rPr>
          <w:rFonts w:cs="Calibri"/>
        </w:rPr>
      </w:pPr>
      <w:r>
        <w:rPr>
          <w:rFonts w:cs="Calibri"/>
        </w:rPr>
        <w:t>patients with a PI-RADS score of 4 or 5 will have a biopsy</w:t>
      </w:r>
    </w:p>
    <w:p w14:paraId="6772CEE4" w14:textId="77777777" w:rsidR="0057678B" w:rsidRPr="005F03C1" w:rsidRDefault="0057678B" w:rsidP="00934907">
      <w:pPr>
        <w:pStyle w:val="ListParagraph"/>
        <w:numPr>
          <w:ilvl w:val="0"/>
          <w:numId w:val="29"/>
        </w:numPr>
        <w:jc w:val="both"/>
        <w:rPr>
          <w:rFonts w:cs="Calibri"/>
        </w:rPr>
      </w:pPr>
      <w:proofErr w:type="gramStart"/>
      <w:r>
        <w:rPr>
          <w:rFonts w:cs="Calibri"/>
        </w:rPr>
        <w:t>l</w:t>
      </w:r>
      <w:r w:rsidRPr="00D12373">
        <w:rPr>
          <w:rFonts w:cs="Calibri"/>
        </w:rPr>
        <w:t>ow</w:t>
      </w:r>
      <w:proofErr w:type="gramEnd"/>
      <w:r w:rsidRPr="00D12373">
        <w:rPr>
          <w:rFonts w:cs="Calibri"/>
        </w:rPr>
        <w:t xml:space="preserve"> concern patients with </w:t>
      </w:r>
      <w:r>
        <w:rPr>
          <w:rFonts w:cs="Calibri"/>
        </w:rPr>
        <w:t xml:space="preserve">a </w:t>
      </w:r>
      <w:r w:rsidRPr="00D12373">
        <w:rPr>
          <w:rFonts w:cs="Calibri"/>
        </w:rPr>
        <w:t>PI-RADS score</w:t>
      </w:r>
      <w:r>
        <w:rPr>
          <w:rFonts w:cs="Calibri"/>
        </w:rPr>
        <w:t xml:space="preserve"> of</w:t>
      </w:r>
      <w:r w:rsidRPr="00D12373">
        <w:rPr>
          <w:rFonts w:cs="Calibri"/>
        </w:rPr>
        <w:t xml:space="preserve"> 1</w:t>
      </w:r>
      <w:r>
        <w:rPr>
          <w:rFonts w:cs="Calibri"/>
        </w:rPr>
        <w:t>-</w:t>
      </w:r>
      <w:r w:rsidRPr="00D12373">
        <w:rPr>
          <w:rFonts w:cs="Calibri"/>
        </w:rPr>
        <w:t xml:space="preserve">3 will </w:t>
      </w:r>
      <w:r>
        <w:rPr>
          <w:rFonts w:cs="Calibri"/>
        </w:rPr>
        <w:t xml:space="preserve">avoid biopsy, and either </w:t>
      </w:r>
      <w:r w:rsidRPr="00D12373">
        <w:rPr>
          <w:rFonts w:cs="Calibri"/>
        </w:rPr>
        <w:t>return to primary care</w:t>
      </w:r>
      <w:r>
        <w:rPr>
          <w:rFonts w:cs="Calibri"/>
        </w:rPr>
        <w:t xml:space="preserve"> with no further follow-up, or </w:t>
      </w:r>
      <w:r w:rsidRPr="00D12373">
        <w:rPr>
          <w:rFonts w:cs="Calibri"/>
        </w:rPr>
        <w:t xml:space="preserve">remain under observation. </w:t>
      </w:r>
    </w:p>
    <w:p w14:paraId="3A77FAD0" w14:textId="77777777" w:rsidR="0057678B" w:rsidRDefault="0057678B" w:rsidP="00934907">
      <w:pPr>
        <w:pStyle w:val="ListParagraph"/>
        <w:numPr>
          <w:ilvl w:val="0"/>
          <w:numId w:val="29"/>
        </w:numPr>
        <w:jc w:val="both"/>
        <w:rPr>
          <w:rFonts w:cs="Calibri"/>
        </w:rPr>
      </w:pPr>
      <w:proofErr w:type="gramStart"/>
      <w:r>
        <w:rPr>
          <w:rFonts w:cs="Calibri"/>
        </w:rPr>
        <w:t>h</w:t>
      </w:r>
      <w:r w:rsidRPr="005F03C1">
        <w:rPr>
          <w:rFonts w:cs="Calibri"/>
        </w:rPr>
        <w:t>igh</w:t>
      </w:r>
      <w:proofErr w:type="gramEnd"/>
      <w:r w:rsidRPr="005F03C1">
        <w:rPr>
          <w:rFonts w:cs="Calibri"/>
        </w:rPr>
        <w:t xml:space="preserve"> concern patients with a PI-RADS score of 1, 2, or 3 will have a systematic biopsy</w:t>
      </w:r>
      <w:r w:rsidRPr="00D12373">
        <w:rPr>
          <w:rFonts w:cs="Calibri"/>
        </w:rPr>
        <w:t xml:space="preserve">. </w:t>
      </w:r>
    </w:p>
    <w:p w14:paraId="27DDCC50" w14:textId="77777777" w:rsidR="0057678B" w:rsidRDefault="0057678B" w:rsidP="00D076CD">
      <w:pPr>
        <w:spacing w:before="240"/>
      </w:pPr>
      <w:r>
        <w:t xml:space="preserve">In </w:t>
      </w:r>
      <w:r w:rsidRPr="00A73120">
        <w:rPr>
          <w:u w:val="single"/>
        </w:rPr>
        <w:t>Population 2</w:t>
      </w:r>
      <w:r>
        <w:t xml:space="preserve">, </w:t>
      </w:r>
      <w:proofErr w:type="spellStart"/>
      <w:r>
        <w:t>mpMRI</w:t>
      </w:r>
      <w:proofErr w:type="spellEnd"/>
      <w:r>
        <w:t xml:space="preserve"> is proposed as an additional triage test in the AS pathway, to determine the need for prostate biopsy. Based on the results of the </w:t>
      </w:r>
      <w:proofErr w:type="spellStart"/>
      <w:r>
        <w:t>mpMRI</w:t>
      </w:r>
      <w:proofErr w:type="spellEnd"/>
      <w:r>
        <w:t xml:space="preserve"> scan:</w:t>
      </w:r>
    </w:p>
    <w:p w14:paraId="02F3EF3C" w14:textId="77777777" w:rsidR="0057678B" w:rsidRPr="00D12373" w:rsidRDefault="0057678B" w:rsidP="00D076CD">
      <w:pPr>
        <w:pStyle w:val="ListParagraph"/>
        <w:numPr>
          <w:ilvl w:val="0"/>
          <w:numId w:val="29"/>
        </w:numPr>
        <w:jc w:val="both"/>
        <w:rPr>
          <w:rFonts w:cs="Calibri"/>
        </w:rPr>
      </w:pPr>
      <w:r>
        <w:rPr>
          <w:rFonts w:cs="Calibri"/>
        </w:rPr>
        <w:t>patients with a PI-RADS score of 4 or 5 will have a biopsy</w:t>
      </w:r>
    </w:p>
    <w:p w14:paraId="632D7FED" w14:textId="77777777" w:rsidR="0057678B" w:rsidRPr="005F03C1" w:rsidRDefault="0057678B" w:rsidP="00D076CD">
      <w:pPr>
        <w:pStyle w:val="ListParagraph"/>
        <w:numPr>
          <w:ilvl w:val="0"/>
          <w:numId w:val="29"/>
        </w:numPr>
        <w:jc w:val="both"/>
        <w:rPr>
          <w:rFonts w:cs="Calibri"/>
        </w:rPr>
      </w:pPr>
      <w:proofErr w:type="gramStart"/>
      <w:r>
        <w:rPr>
          <w:rFonts w:cs="Calibri"/>
        </w:rPr>
        <w:t>l</w:t>
      </w:r>
      <w:r w:rsidRPr="00D12373">
        <w:rPr>
          <w:rFonts w:cs="Calibri"/>
        </w:rPr>
        <w:t>ow</w:t>
      </w:r>
      <w:proofErr w:type="gramEnd"/>
      <w:r w:rsidRPr="00D12373">
        <w:rPr>
          <w:rFonts w:cs="Calibri"/>
        </w:rPr>
        <w:t xml:space="preserve"> concern patients with </w:t>
      </w:r>
      <w:r>
        <w:rPr>
          <w:rFonts w:cs="Calibri"/>
        </w:rPr>
        <w:t xml:space="preserve">a </w:t>
      </w:r>
      <w:r w:rsidRPr="00D12373">
        <w:rPr>
          <w:rFonts w:cs="Calibri"/>
        </w:rPr>
        <w:t>PI-RADS score</w:t>
      </w:r>
      <w:r>
        <w:rPr>
          <w:rFonts w:cs="Calibri"/>
        </w:rPr>
        <w:t xml:space="preserve"> of</w:t>
      </w:r>
      <w:r w:rsidRPr="00D12373">
        <w:rPr>
          <w:rFonts w:cs="Calibri"/>
        </w:rPr>
        <w:t xml:space="preserve"> 1</w:t>
      </w:r>
      <w:r>
        <w:rPr>
          <w:rFonts w:cs="Calibri"/>
        </w:rPr>
        <w:t>-</w:t>
      </w:r>
      <w:r w:rsidRPr="00D12373">
        <w:rPr>
          <w:rFonts w:cs="Calibri"/>
        </w:rPr>
        <w:t xml:space="preserve">3 will </w:t>
      </w:r>
      <w:r>
        <w:rPr>
          <w:rFonts w:cs="Calibri"/>
        </w:rPr>
        <w:t xml:space="preserve">avoid biopsy and </w:t>
      </w:r>
      <w:r w:rsidRPr="00D12373">
        <w:rPr>
          <w:rFonts w:cs="Calibri"/>
        </w:rPr>
        <w:t xml:space="preserve">remain </w:t>
      </w:r>
      <w:r>
        <w:rPr>
          <w:rFonts w:cs="Calibri"/>
        </w:rPr>
        <w:t>on active surveillance</w:t>
      </w:r>
      <w:r w:rsidRPr="00D12373">
        <w:rPr>
          <w:rFonts w:cs="Calibri"/>
        </w:rPr>
        <w:t xml:space="preserve">. </w:t>
      </w:r>
    </w:p>
    <w:p w14:paraId="63918A9A" w14:textId="77777777" w:rsidR="0057678B" w:rsidRDefault="0057678B" w:rsidP="00D076CD">
      <w:pPr>
        <w:pStyle w:val="ListParagraph"/>
        <w:numPr>
          <w:ilvl w:val="0"/>
          <w:numId w:val="29"/>
        </w:numPr>
        <w:jc w:val="both"/>
        <w:rPr>
          <w:rFonts w:cs="Calibri"/>
        </w:rPr>
      </w:pPr>
      <w:proofErr w:type="gramStart"/>
      <w:r>
        <w:rPr>
          <w:rFonts w:cs="Calibri"/>
        </w:rPr>
        <w:t>h</w:t>
      </w:r>
      <w:r w:rsidRPr="005F03C1">
        <w:rPr>
          <w:rFonts w:cs="Calibri"/>
        </w:rPr>
        <w:t>igh</w:t>
      </w:r>
      <w:proofErr w:type="gramEnd"/>
      <w:r w:rsidRPr="005F03C1">
        <w:rPr>
          <w:rFonts w:cs="Calibri"/>
        </w:rPr>
        <w:t xml:space="preserve"> concern patients with a PI-RADS score of 1, 2, or 3 will have a systematic biopsy</w:t>
      </w:r>
      <w:r w:rsidRPr="00D12373">
        <w:rPr>
          <w:rFonts w:cs="Calibri"/>
        </w:rPr>
        <w:t xml:space="preserve">. </w:t>
      </w:r>
    </w:p>
    <w:p w14:paraId="617F2F2D" w14:textId="77777777" w:rsidR="00BC1364" w:rsidRPr="00F715D1" w:rsidRDefault="00BC1364" w:rsidP="008E4C81">
      <w:pPr>
        <w:pStyle w:val="Heading1"/>
        <w:ind w:hanging="502"/>
      </w:pPr>
      <w:r w:rsidRPr="00F715D1">
        <w:t xml:space="preserve">Comparator </w:t>
      </w:r>
    </w:p>
    <w:p w14:paraId="6275A6E0" w14:textId="1A91EAE9" w:rsidR="00265BC9" w:rsidRPr="00376F27" w:rsidRDefault="00265BC9" w:rsidP="00376F27">
      <w:r w:rsidRPr="00376F27">
        <w:t xml:space="preserve">Within current Australian practice, </w:t>
      </w:r>
      <w:proofErr w:type="spellStart"/>
      <w:r w:rsidRPr="00376F27">
        <w:t>PCa</w:t>
      </w:r>
      <w:proofErr w:type="spellEnd"/>
      <w:r w:rsidRPr="00376F27">
        <w:t xml:space="preserve"> </w:t>
      </w:r>
      <w:r w:rsidR="00A11A2F" w:rsidRPr="00376F27">
        <w:t>is usually suspected on the basis of</w:t>
      </w:r>
      <w:r w:rsidRPr="00376F27">
        <w:t xml:space="preserve"> a PSA test and/or a DRE. However, these are not diagnostic tests. The diagnosis of </w:t>
      </w:r>
      <w:proofErr w:type="spellStart"/>
      <w:r w:rsidRPr="00376F27">
        <w:t>PCa</w:t>
      </w:r>
      <w:proofErr w:type="spellEnd"/>
      <w:r w:rsidRPr="00376F27">
        <w:t xml:space="preserve"> is obtained using either TRUSGB or TPUSGB. </w:t>
      </w:r>
    </w:p>
    <w:p w14:paraId="568FD77C" w14:textId="77777777" w:rsidR="00FE4623" w:rsidRPr="00376F27" w:rsidRDefault="00265BC9" w:rsidP="00376F27">
      <w:pPr>
        <w:spacing w:before="240"/>
      </w:pPr>
      <w:r w:rsidRPr="00376F27">
        <w:t>In Pop</w:t>
      </w:r>
      <w:r w:rsidR="00934907" w:rsidRPr="00376F27">
        <w:t>ulation 1, the nominated comparators are:</w:t>
      </w:r>
    </w:p>
    <w:p w14:paraId="674A9067" w14:textId="77777777" w:rsidR="00265BC9" w:rsidRPr="00376F27" w:rsidRDefault="00265BC9" w:rsidP="00376F27">
      <w:pPr>
        <w:pStyle w:val="ListParagraph"/>
        <w:numPr>
          <w:ilvl w:val="0"/>
          <w:numId w:val="39"/>
        </w:numPr>
      </w:pPr>
      <w:r w:rsidRPr="00376F27">
        <w:t>PSA/DRE + clinical judgement and TRUSGB or TPUSGB; and</w:t>
      </w:r>
    </w:p>
    <w:p w14:paraId="40726398" w14:textId="0CB7E8EA" w:rsidR="00265BC9" w:rsidRPr="00376F27" w:rsidRDefault="00265BC9" w:rsidP="00376F27">
      <w:pPr>
        <w:pStyle w:val="ListParagraph"/>
        <w:numPr>
          <w:ilvl w:val="0"/>
          <w:numId w:val="39"/>
        </w:numPr>
      </w:pPr>
      <w:r w:rsidRPr="00376F27">
        <w:t>PSA/DRE + clinical judgement alone, for patients who elect not to undergo TRUSGB or TPUSGB.</w:t>
      </w:r>
    </w:p>
    <w:p w14:paraId="28326720" w14:textId="15E96569" w:rsidR="00934907" w:rsidRPr="00376F27" w:rsidRDefault="00265BC9" w:rsidP="00376F27">
      <w:pPr>
        <w:spacing w:before="240" w:after="240"/>
      </w:pPr>
      <w:r w:rsidRPr="00376F27">
        <w:t>In Population 2, the</w:t>
      </w:r>
      <w:r w:rsidR="00934907" w:rsidRPr="00376F27">
        <w:t xml:space="preserve"> nominated</w:t>
      </w:r>
      <w:r w:rsidRPr="00376F27">
        <w:t xml:space="preserve"> comparator is the current AS protoco</w:t>
      </w:r>
      <w:r w:rsidR="00934907" w:rsidRPr="00376F27">
        <w:t xml:space="preserve">l with </w:t>
      </w:r>
      <w:r w:rsidR="00A11A2F" w:rsidRPr="00376F27">
        <w:t xml:space="preserve">periodic </w:t>
      </w:r>
      <w:r w:rsidR="00934907" w:rsidRPr="00376F27">
        <w:t xml:space="preserve">TRUSGB or TPUSGB. </w:t>
      </w:r>
    </w:p>
    <w:p w14:paraId="30AB0D2B" w14:textId="77777777" w:rsidR="00265BC9" w:rsidRPr="00376F27" w:rsidRDefault="00265BC9" w:rsidP="00376F27">
      <w:r w:rsidRPr="00376F27">
        <w:t xml:space="preserve">The reference standard for this assessment of </w:t>
      </w:r>
      <w:proofErr w:type="spellStart"/>
      <w:r w:rsidRPr="00376F27">
        <w:t>mpMRI</w:t>
      </w:r>
      <w:proofErr w:type="spellEnd"/>
      <w:r w:rsidRPr="00376F27">
        <w:t xml:space="preserve"> is histopathology of prostate samples collected via biopsy. </w:t>
      </w:r>
    </w:p>
    <w:p w14:paraId="2D24FC98" w14:textId="77777777" w:rsidR="00BC1364" w:rsidRPr="00F715D1" w:rsidRDefault="00BC1364" w:rsidP="008E4C81">
      <w:pPr>
        <w:pStyle w:val="Heading1"/>
        <w:ind w:hanging="502"/>
      </w:pPr>
      <w:r w:rsidRPr="00F715D1">
        <w:t>Comparative safety</w:t>
      </w:r>
    </w:p>
    <w:p w14:paraId="7EFB221D" w14:textId="77777777" w:rsidR="009F3DCD" w:rsidRPr="00142742" w:rsidRDefault="009F3DCD" w:rsidP="009F3DCD">
      <w:r>
        <w:t xml:space="preserve">No adverse events associated with </w:t>
      </w:r>
      <w:proofErr w:type="spellStart"/>
      <w:r>
        <w:t>mpMRI</w:t>
      </w:r>
      <w:proofErr w:type="spellEnd"/>
      <w:r>
        <w:t xml:space="preserve"> were identified in the literature.</w:t>
      </w:r>
    </w:p>
    <w:p w14:paraId="0358BD02" w14:textId="7DB7967B" w:rsidR="009F3DCD" w:rsidRPr="009F3DCD" w:rsidRDefault="009F3DCD" w:rsidP="00D076CD">
      <w:pPr>
        <w:pStyle w:val="Heading2"/>
      </w:pPr>
      <w:r w:rsidRPr="009F3DCD">
        <w:t>Adverse events - Trans-rectal biopsy</w:t>
      </w:r>
    </w:p>
    <w:p w14:paraId="7E579C9C" w14:textId="77777777" w:rsidR="009F3DCD" w:rsidRPr="00EA53D2" w:rsidRDefault="009F3DCD" w:rsidP="009F3DCD">
      <w:r>
        <w:t xml:space="preserve">Patient re-hospitalisation due to trans-rectal biopsy ranged from 0.4 to 5.5 per cent. Major infection ranged from 0.2 to 2.4 per cent. Minor infection ranged from 0.7 to 6.9 per cent. Incidence of bleeding related events (haematuria, hematochezia, or </w:t>
      </w:r>
      <w:proofErr w:type="spellStart"/>
      <w:r>
        <w:t>haematospermia</w:t>
      </w:r>
      <w:proofErr w:type="spellEnd"/>
      <w:r>
        <w:t>) ranged from 0.8 to 88.0 per cent. Urinary obstruction or difficulty voiding ranged from 0.8 to 21.0 per cent.</w:t>
      </w:r>
      <w:r>
        <w:rPr>
          <w:color w:val="000000" w:themeColor="text1"/>
        </w:rPr>
        <w:t xml:space="preserve"> Two deaths due to sepsis resulting from a trans-rectal biopsy-related infection were identified in the literature. </w:t>
      </w:r>
    </w:p>
    <w:p w14:paraId="0220174B" w14:textId="0714F44F" w:rsidR="009F3DCD" w:rsidRPr="00D076CD" w:rsidRDefault="009F3DCD" w:rsidP="00D076CD">
      <w:pPr>
        <w:pStyle w:val="Heading2"/>
      </w:pPr>
      <w:r w:rsidRPr="00D076CD">
        <w:lastRenderedPageBreak/>
        <w:t>Adverse events - Trans-</w:t>
      </w:r>
      <w:r w:rsidRPr="00D076CD">
        <w:rPr>
          <w:rStyle w:val="Heading4Char"/>
          <w:rFonts w:ascii="Times New Roman" w:hAnsi="Times New Roman"/>
          <w:b/>
          <w:bCs/>
          <w:i w:val="0"/>
          <w:iCs w:val="0"/>
          <w:color w:val="auto"/>
          <w:szCs w:val="26"/>
        </w:rPr>
        <w:t>perineal biopsy</w:t>
      </w:r>
    </w:p>
    <w:p w14:paraId="3975EDC1" w14:textId="64FCFBCE" w:rsidR="006D0CA2" w:rsidRDefault="006D0CA2" w:rsidP="006D0CA2">
      <w:r>
        <w:t>Re-h</w:t>
      </w:r>
      <w:r w:rsidRPr="007F599F">
        <w:t xml:space="preserve">ospitalisation after TPUSGB ranged from 0.7 to 2.1 per cent. </w:t>
      </w:r>
      <w:r>
        <w:rPr>
          <w:color w:val="000000" w:themeColor="text1"/>
        </w:rPr>
        <w:t>Minor</w:t>
      </w:r>
      <w:r w:rsidRPr="007F599F">
        <w:rPr>
          <w:color w:val="000000" w:themeColor="text1"/>
        </w:rPr>
        <w:t xml:space="preserve"> infection was reported in 0.03 per cent of patients</w:t>
      </w:r>
      <w:r>
        <w:rPr>
          <w:color w:val="000000" w:themeColor="text1"/>
        </w:rPr>
        <w:t>; no major infection was reported</w:t>
      </w:r>
      <w:r w:rsidRPr="007F599F">
        <w:rPr>
          <w:color w:val="000000" w:themeColor="text1"/>
        </w:rPr>
        <w:t xml:space="preserve">. Other adverse events reported were urinary obstruction (in </w:t>
      </w:r>
      <w:r>
        <w:rPr>
          <w:color w:val="000000" w:themeColor="text1"/>
        </w:rPr>
        <w:t xml:space="preserve">0.4 to 38 </w:t>
      </w:r>
      <w:r w:rsidRPr="007F599F">
        <w:rPr>
          <w:color w:val="000000" w:themeColor="text1"/>
        </w:rPr>
        <w:t xml:space="preserve">per cent of patients), </w:t>
      </w:r>
      <w:r>
        <w:rPr>
          <w:color w:val="000000" w:themeColor="text1"/>
        </w:rPr>
        <w:t>and bleeding in 0.1 to 6.1 per cent</w:t>
      </w:r>
      <w:r w:rsidRPr="007F599F">
        <w:rPr>
          <w:color w:val="000000" w:themeColor="text1"/>
        </w:rPr>
        <w:t>. The majority of studies reported that no infection occurred.</w:t>
      </w:r>
      <w:r w:rsidRPr="007F599F">
        <w:t xml:space="preserve"> No reports of deaths related to trans-perineal prostate biopsy were identified.</w:t>
      </w:r>
      <w:r>
        <w:t xml:space="preserve"> </w:t>
      </w:r>
    </w:p>
    <w:p w14:paraId="05E1474C" w14:textId="6D60E71A" w:rsidR="002F3FCD" w:rsidRDefault="006D0CA2" w:rsidP="00BF5478">
      <w:pPr>
        <w:spacing w:after="240"/>
      </w:pPr>
      <w:r>
        <w:t xml:space="preserve">Based on avoidance of harms associated with biopsy under the proposed algorithms, it is suggested </w:t>
      </w:r>
      <w:proofErr w:type="spellStart"/>
      <w:r>
        <w:t>mpMRI</w:t>
      </w:r>
      <w:proofErr w:type="spellEnd"/>
      <w:r>
        <w:t xml:space="preserve"> has superior safety to TRUSGB or TPUSGB.</w:t>
      </w:r>
    </w:p>
    <w:p w14:paraId="2E78F2F2" w14:textId="77777777" w:rsidR="002F3FCD" w:rsidRDefault="002F3FCD" w:rsidP="002F3FCD">
      <w:r>
        <w:t xml:space="preserve">Based on avoidance of harms associated with biopsy under the proposed algorithms, it is suggested </w:t>
      </w:r>
      <w:proofErr w:type="spellStart"/>
      <w:r>
        <w:t>mpMRI</w:t>
      </w:r>
      <w:proofErr w:type="spellEnd"/>
      <w:r>
        <w:t xml:space="preserve"> has superior safety to TRUSGB.</w:t>
      </w:r>
    </w:p>
    <w:p w14:paraId="19F55F8D" w14:textId="77777777" w:rsidR="00BC1364" w:rsidRPr="00F715D1" w:rsidRDefault="00BC1364" w:rsidP="008E4C81">
      <w:pPr>
        <w:pStyle w:val="Heading1"/>
        <w:ind w:hanging="502"/>
      </w:pPr>
      <w:r w:rsidRPr="00F715D1">
        <w:t>Comparative effectiveness</w:t>
      </w:r>
    </w:p>
    <w:p w14:paraId="755F53CD" w14:textId="5854F0F7" w:rsidR="00ED75E0" w:rsidRDefault="00ED75E0" w:rsidP="00ED75E0">
      <w:r>
        <w:t xml:space="preserve">No studies were identified that assessed the direct evidence of </w:t>
      </w:r>
      <w:proofErr w:type="spellStart"/>
      <w:r>
        <w:t>mpMRI</w:t>
      </w:r>
      <w:proofErr w:type="spellEnd"/>
      <w:r>
        <w:t xml:space="preserve"> in either population; therefore, a linked</w:t>
      </w:r>
      <w:r w:rsidR="001F23DE">
        <w:t xml:space="preserve"> eviden</w:t>
      </w:r>
      <w:r w:rsidR="006D0CA2">
        <w:t>c</w:t>
      </w:r>
      <w:r w:rsidR="001F23DE">
        <w:t>e</w:t>
      </w:r>
      <w:r>
        <w:t xml:space="preserve"> analysis was performed.</w:t>
      </w:r>
    </w:p>
    <w:p w14:paraId="651EC66C" w14:textId="77777777" w:rsidR="00F156F4" w:rsidRDefault="00ED75E0" w:rsidP="00BF5478">
      <w:pPr>
        <w:pStyle w:val="Heading2"/>
      </w:pPr>
      <w:r w:rsidRPr="00551DBA">
        <w:t>Accuracy</w:t>
      </w:r>
    </w:p>
    <w:p w14:paraId="1E9C3F4C" w14:textId="3755BA92" w:rsidR="00551DBA" w:rsidRDefault="00ED75E0" w:rsidP="00BF5478">
      <w:pPr>
        <w:tabs>
          <w:tab w:val="left" w:pos="284"/>
        </w:tabs>
        <w:spacing w:after="240"/>
      </w:pPr>
      <w:r>
        <w:t xml:space="preserve">Biopsy (including TRUSGB, TPUSGB or cognitive MRIGB with TRUSGB) was used as the reference standard in all of the included diagnostic accuracy studies. Summary statistics </w:t>
      </w:r>
      <w:r w:rsidRPr="005F03C1">
        <w:t xml:space="preserve">for </w:t>
      </w:r>
      <w:r w:rsidRPr="00F90B04">
        <w:rPr>
          <w:u w:val="single"/>
        </w:rPr>
        <w:t>Population 1</w:t>
      </w:r>
      <w:r>
        <w:t xml:space="preserve"> and </w:t>
      </w:r>
      <w:r w:rsidRPr="00F90B04">
        <w:rPr>
          <w:u w:val="single"/>
        </w:rPr>
        <w:t>Population 2</w:t>
      </w:r>
      <w:r>
        <w:t xml:space="preserve"> are provided in </w:t>
      </w:r>
      <w:r w:rsidR="0037377A">
        <w:t>Table 2</w:t>
      </w:r>
      <w:r>
        <w:t xml:space="preserve"> and </w:t>
      </w:r>
      <w:r w:rsidR="0037377A">
        <w:t>Table 3</w:t>
      </w:r>
      <w:r>
        <w:fldChar w:fldCharType="begin"/>
      </w:r>
      <w:r>
        <w:instrText xml:space="preserve"> REF _Ref471374799 \h </w:instrText>
      </w:r>
      <w:r>
        <w:fldChar w:fldCharType="end"/>
      </w:r>
      <w:r>
        <w:t>.</w:t>
      </w:r>
    </w:p>
    <w:p w14:paraId="6B35016D" w14:textId="77777777" w:rsidR="00ED75E0" w:rsidRPr="004B0EBA" w:rsidRDefault="00ED75E0" w:rsidP="00D076CD">
      <w:pPr>
        <w:pStyle w:val="Caption"/>
        <w:spacing w:after="0" w:line="240" w:lineRule="auto"/>
        <w:ind w:left="1134" w:hanging="1134"/>
      </w:pPr>
      <w:bookmarkStart w:id="6" w:name="_Ref458432919"/>
      <w:bookmarkStart w:id="7" w:name="_Toc456276203"/>
      <w:bookmarkStart w:id="8" w:name="_Toc470016485"/>
      <w:bookmarkStart w:id="9" w:name="_Toc471382697"/>
      <w:r w:rsidRPr="004B0EBA">
        <w:t xml:space="preserve">Table </w:t>
      </w:r>
      <w:bookmarkEnd w:id="6"/>
      <w:r w:rsidR="00FE4623">
        <w:t>2</w:t>
      </w:r>
      <w:r w:rsidRPr="004B0EBA">
        <w:tab/>
        <w:t xml:space="preserve">Summary statistics for </w:t>
      </w:r>
      <w:proofErr w:type="spellStart"/>
      <w:r w:rsidRPr="004B0EBA">
        <w:t>mpMRI</w:t>
      </w:r>
      <w:proofErr w:type="spellEnd"/>
      <w:r w:rsidRPr="004B0EBA">
        <w:t xml:space="preserve"> against </w:t>
      </w:r>
      <w:bookmarkEnd w:id="7"/>
      <w:r w:rsidRPr="004B0EBA">
        <w:t>biopsy (TRU</w:t>
      </w:r>
      <w:r>
        <w:t>S</w:t>
      </w:r>
      <w:r w:rsidRPr="004B0EBA">
        <w:t>GB, TPUSGB or cognitive MRIGB) in Population 1 (assumed disease prevalence of 35</w:t>
      </w:r>
      <w:r>
        <w:t>.5</w:t>
      </w:r>
      <w:r w:rsidRPr="004B0EBA">
        <w:t xml:space="preserve">% for </w:t>
      </w:r>
      <w:r>
        <w:t xml:space="preserve">clinically significant </w:t>
      </w:r>
      <w:proofErr w:type="spellStart"/>
      <w:r>
        <w:t>PCa</w:t>
      </w:r>
      <w:proofErr w:type="spellEnd"/>
      <w:r w:rsidRPr="004B0EBA">
        <w:t>)</w:t>
      </w:r>
      <w:bookmarkEnd w:id="8"/>
      <w:bookmarkEnd w:id="9"/>
    </w:p>
    <w:tbl>
      <w:tblPr>
        <w:tblStyle w:val="TableGrid2"/>
        <w:tblW w:w="5000" w:type="pct"/>
        <w:tblLook w:val="04A0" w:firstRow="1" w:lastRow="0" w:firstColumn="1" w:lastColumn="0" w:noHBand="0" w:noVBand="1"/>
        <w:tblCaption w:val="Summary statistics for mpMRI against biopsy (TRUSGB, TPUSGB or cognitive MRIGB) in Population 1 (assumed disease prevalence of 35.5% for clinically significant PCa)"/>
        <w:tblDescription w:val="Summary statistics for mpMRI against biopsy  in Population 1, includes estimates of sensitivity, specificity, PPV and NPV"/>
      </w:tblPr>
      <w:tblGrid>
        <w:gridCol w:w="4621"/>
        <w:gridCol w:w="4621"/>
      </w:tblGrid>
      <w:tr w:rsidR="00ED75E0" w:rsidRPr="00F93474" w14:paraId="5E88A6B1" w14:textId="77777777" w:rsidTr="00BA67A5">
        <w:trPr>
          <w:cnfStyle w:val="100000000000" w:firstRow="1" w:lastRow="0" w:firstColumn="0" w:lastColumn="0" w:oddVBand="0" w:evenVBand="0" w:oddHBand="0" w:evenHBand="0" w:firstRowFirstColumn="0" w:firstRowLastColumn="0" w:lastRowFirstColumn="0" w:lastRowLastColumn="0"/>
          <w:trHeight w:val="469"/>
          <w:tblHeader/>
        </w:trPr>
        <w:tc>
          <w:tcPr>
            <w:tcW w:w="2500" w:type="pct"/>
          </w:tcPr>
          <w:p w14:paraId="6B84A2FD" w14:textId="77777777" w:rsidR="00ED75E0" w:rsidRPr="00F93474" w:rsidRDefault="00ED75E0" w:rsidP="00D076CD">
            <w:pPr>
              <w:pStyle w:val="Tableheading"/>
              <w:spacing w:before="0" w:line="240" w:lineRule="auto"/>
              <w:rPr>
                <w:rFonts w:cs="Arial"/>
                <w:color w:val="1F497D"/>
              </w:rPr>
            </w:pPr>
            <w:r w:rsidRPr="00F93474">
              <w:t>Accuracy</w:t>
            </w:r>
          </w:p>
        </w:tc>
        <w:tc>
          <w:tcPr>
            <w:tcW w:w="2500" w:type="pct"/>
          </w:tcPr>
          <w:p w14:paraId="5A6DAF6E" w14:textId="77777777" w:rsidR="00ED75E0" w:rsidRPr="00F93474" w:rsidRDefault="00ED75E0" w:rsidP="00D076CD">
            <w:pPr>
              <w:pStyle w:val="Tableheading"/>
              <w:spacing w:before="0" w:line="240" w:lineRule="auto"/>
            </w:pPr>
            <w:proofErr w:type="spellStart"/>
            <w:r w:rsidRPr="00F93474">
              <w:t>mpMRI</w:t>
            </w:r>
            <w:proofErr w:type="spellEnd"/>
          </w:p>
          <w:p w14:paraId="3CF001FA" w14:textId="77777777" w:rsidR="00ED75E0" w:rsidRPr="00F93474" w:rsidRDefault="00ED75E0" w:rsidP="00D076CD">
            <w:pPr>
              <w:pStyle w:val="Tableheading"/>
              <w:spacing w:before="0" w:line="240" w:lineRule="auto"/>
            </w:pPr>
            <w:r w:rsidRPr="00F93474">
              <w:t>(n=</w:t>
            </w:r>
            <w:r>
              <w:t>1,024</w:t>
            </w:r>
            <w:r w:rsidRPr="00F93474">
              <w:t>, k=</w:t>
            </w:r>
            <w:r>
              <w:t>4</w:t>
            </w:r>
            <w:r w:rsidRPr="00F93474">
              <w:t>)</w:t>
            </w:r>
          </w:p>
        </w:tc>
      </w:tr>
      <w:tr w:rsidR="00ED75E0" w:rsidRPr="005673C2" w14:paraId="5216850B" w14:textId="77777777" w:rsidTr="00BA67A5">
        <w:trPr>
          <w:trHeight w:val="220"/>
        </w:trPr>
        <w:tc>
          <w:tcPr>
            <w:tcW w:w="2500" w:type="pct"/>
          </w:tcPr>
          <w:p w14:paraId="3B6FAA18" w14:textId="77777777" w:rsidR="00ED75E0" w:rsidRPr="00890144" w:rsidRDefault="00ED75E0" w:rsidP="00D076CD">
            <w:pPr>
              <w:pStyle w:val="Tabletext"/>
              <w:spacing w:before="0" w:after="0"/>
            </w:pPr>
            <w:r w:rsidRPr="00890144">
              <w:t>Sensitivity, % [95% CI]</w:t>
            </w:r>
          </w:p>
        </w:tc>
        <w:tc>
          <w:tcPr>
            <w:tcW w:w="2500" w:type="pct"/>
          </w:tcPr>
          <w:p w14:paraId="45DD33BC" w14:textId="77777777" w:rsidR="00ED75E0" w:rsidRPr="00890144" w:rsidRDefault="00ED75E0" w:rsidP="00D076CD">
            <w:pPr>
              <w:pStyle w:val="Tabletext"/>
              <w:spacing w:before="0" w:after="0"/>
            </w:pPr>
            <w:r w:rsidRPr="00E03F03">
              <w:t>74.4% [51.0, 89.1</w:t>
            </w:r>
          </w:p>
        </w:tc>
      </w:tr>
      <w:tr w:rsidR="00ED75E0" w:rsidRPr="005673C2" w14:paraId="22887F63" w14:textId="77777777" w:rsidTr="00BA67A5">
        <w:trPr>
          <w:trHeight w:val="70"/>
        </w:trPr>
        <w:tc>
          <w:tcPr>
            <w:tcW w:w="2500" w:type="pct"/>
          </w:tcPr>
          <w:p w14:paraId="44FAD75B" w14:textId="77777777" w:rsidR="00ED75E0" w:rsidRPr="005673C2" w:rsidRDefault="00ED75E0" w:rsidP="00D076CD">
            <w:pPr>
              <w:pStyle w:val="Tabletext"/>
              <w:spacing w:before="0" w:after="0"/>
            </w:pPr>
            <w:r w:rsidRPr="005673C2">
              <w:t>Specificity, % [95% CI]</w:t>
            </w:r>
          </w:p>
        </w:tc>
        <w:tc>
          <w:tcPr>
            <w:tcW w:w="2500" w:type="pct"/>
          </w:tcPr>
          <w:p w14:paraId="66248829" w14:textId="77777777" w:rsidR="00ED75E0" w:rsidRPr="005673C2" w:rsidRDefault="00ED75E0" w:rsidP="00D076CD">
            <w:pPr>
              <w:pStyle w:val="Tabletext"/>
              <w:spacing w:before="0" w:after="0"/>
            </w:pPr>
            <w:r>
              <w:t>84.1% [75.0, 90.3]</w:t>
            </w:r>
          </w:p>
        </w:tc>
      </w:tr>
      <w:tr w:rsidR="00ED75E0" w:rsidRPr="005673C2" w14:paraId="4D212FFB" w14:textId="77777777" w:rsidTr="00BA67A5">
        <w:trPr>
          <w:trHeight w:val="70"/>
        </w:trPr>
        <w:tc>
          <w:tcPr>
            <w:tcW w:w="2500" w:type="pct"/>
          </w:tcPr>
          <w:p w14:paraId="698BC16B" w14:textId="77777777" w:rsidR="00ED75E0" w:rsidRPr="005673C2" w:rsidRDefault="00ED75E0" w:rsidP="00D076CD">
            <w:pPr>
              <w:pStyle w:val="Tabletext"/>
              <w:spacing w:before="0" w:after="0"/>
            </w:pPr>
            <w:r w:rsidRPr="005673C2">
              <w:t>PPV, % [95% CI]</w:t>
            </w:r>
          </w:p>
        </w:tc>
        <w:tc>
          <w:tcPr>
            <w:tcW w:w="2500" w:type="pct"/>
          </w:tcPr>
          <w:p w14:paraId="31881883" w14:textId="77777777" w:rsidR="00ED75E0" w:rsidRPr="005673C2" w:rsidRDefault="00ED75E0" w:rsidP="00D076CD">
            <w:pPr>
              <w:pStyle w:val="Tabletext"/>
              <w:spacing w:before="0" w:after="0"/>
            </w:pPr>
            <w:r>
              <w:t>73.0 %</w:t>
            </w:r>
            <w:r w:rsidRPr="00453B14">
              <w:t xml:space="preserve"> [</w:t>
            </w:r>
            <w:r>
              <w:t>64.2</w:t>
            </w:r>
            <w:r w:rsidRPr="00453B14">
              <w:t xml:space="preserve">, </w:t>
            </w:r>
            <w:r>
              <w:t>80.4</w:t>
            </w:r>
            <w:r w:rsidRPr="00453B14">
              <w:t>]</w:t>
            </w:r>
          </w:p>
        </w:tc>
      </w:tr>
      <w:tr w:rsidR="00ED75E0" w:rsidRPr="005673C2" w14:paraId="3BF4C36C" w14:textId="77777777" w:rsidTr="00BA67A5">
        <w:trPr>
          <w:trHeight w:val="74"/>
        </w:trPr>
        <w:tc>
          <w:tcPr>
            <w:tcW w:w="2500" w:type="pct"/>
          </w:tcPr>
          <w:p w14:paraId="0D3A9A96" w14:textId="77777777" w:rsidR="00ED75E0" w:rsidRPr="005673C2" w:rsidRDefault="00ED75E0" w:rsidP="00D076CD">
            <w:pPr>
              <w:pStyle w:val="Tabletext"/>
              <w:spacing w:before="0" w:after="0"/>
            </w:pPr>
            <w:r w:rsidRPr="005673C2">
              <w:t>NPV, % [95% CI]</w:t>
            </w:r>
          </w:p>
        </w:tc>
        <w:tc>
          <w:tcPr>
            <w:tcW w:w="2500" w:type="pct"/>
          </w:tcPr>
          <w:p w14:paraId="1C491D46" w14:textId="77777777" w:rsidR="00ED75E0" w:rsidRPr="005673C2" w:rsidRDefault="00ED75E0" w:rsidP="00D076CD">
            <w:pPr>
              <w:pStyle w:val="Tabletext"/>
              <w:spacing w:before="0" w:after="0"/>
            </w:pPr>
            <w:r>
              <w:t xml:space="preserve">85.2% </w:t>
            </w:r>
            <w:r w:rsidRPr="00453B14">
              <w:t>[</w:t>
            </w:r>
            <w:r>
              <w:t>77.6</w:t>
            </w:r>
            <w:r w:rsidRPr="00453B14">
              <w:t xml:space="preserve">, </w:t>
            </w:r>
            <w:r>
              <w:t>90.5</w:t>
            </w:r>
            <w:r w:rsidRPr="00453B14">
              <w:t>]</w:t>
            </w:r>
          </w:p>
        </w:tc>
      </w:tr>
    </w:tbl>
    <w:p w14:paraId="37F9DA88" w14:textId="77777777" w:rsidR="00ED75E0" w:rsidRDefault="00ED75E0" w:rsidP="00D076CD">
      <w:pPr>
        <w:pStyle w:val="TableNotes"/>
        <w:spacing w:after="0" w:line="240" w:lineRule="auto"/>
      </w:pPr>
      <w:r>
        <w:t xml:space="preserve">PPV = positive predictive value, NPV = negative predictive value, </w:t>
      </w:r>
      <w:proofErr w:type="spellStart"/>
      <w:r>
        <w:t>mpMRI</w:t>
      </w:r>
      <w:proofErr w:type="spellEnd"/>
      <w:r>
        <w:t xml:space="preserve"> = </w:t>
      </w:r>
      <w:proofErr w:type="spellStart"/>
      <w:r>
        <w:t>multiparametric</w:t>
      </w:r>
      <w:proofErr w:type="spellEnd"/>
      <w:r>
        <w:t xml:space="preserve"> MRI, MRI = magnetic resonance imaging, CI = confidence interval. </w:t>
      </w:r>
    </w:p>
    <w:p w14:paraId="07415426" w14:textId="3113DC49" w:rsidR="00D076CD" w:rsidRDefault="00D076CD" w:rsidP="00D076CD">
      <w:pPr>
        <w:spacing w:before="240"/>
      </w:pPr>
      <w:bookmarkStart w:id="10" w:name="_Ref471374799"/>
      <w:bookmarkStart w:id="11" w:name="_Toc471382698"/>
      <w:r>
        <w:t xml:space="preserve">In </w:t>
      </w:r>
      <w:r w:rsidRPr="00F90B04">
        <w:rPr>
          <w:u w:val="single"/>
        </w:rPr>
        <w:t>Population 1</w:t>
      </w:r>
      <w:r>
        <w:t>, t</w:t>
      </w:r>
      <w:r w:rsidRPr="002167BE">
        <w:t xml:space="preserve">he point estimates for sensitivity </w:t>
      </w:r>
      <w:r>
        <w:t>we</w:t>
      </w:r>
      <w:r w:rsidRPr="002167BE">
        <w:t>re associated with wide confidence intervals</w:t>
      </w:r>
      <w:r>
        <w:t>,</w:t>
      </w:r>
      <w:r w:rsidRPr="002167BE">
        <w:t xml:space="preserve"> reflecting uncertainty in the results. Heterogeneity </w:t>
      </w:r>
      <w:r>
        <w:t>was</w:t>
      </w:r>
      <w:r w:rsidRPr="002167BE">
        <w:t xml:space="preserve"> high, particularly </w:t>
      </w:r>
      <w:r>
        <w:t xml:space="preserve">for sensitivity. Subgroup analysis to identify the cause of the heterogeneity could not be performed due to the small number of included studies. </w:t>
      </w:r>
      <w:r w:rsidR="006D0CA2" w:rsidRPr="006D0CA2">
        <w:t>Five of the key diagnostic accuracy studies reported Cohen’s kappa (k) to describe inter-reader reliability. The kappa values range from 0.48-0.81, with a median of 0.63.</w:t>
      </w:r>
      <w:r w:rsidR="00980342">
        <w:t xml:space="preserve"> </w:t>
      </w:r>
      <w:r w:rsidR="006D0CA2" w:rsidRPr="006D0CA2">
        <w:t xml:space="preserve">(Including 4 additional </w:t>
      </w:r>
      <w:proofErr w:type="gramStart"/>
      <w:r w:rsidR="006D0CA2" w:rsidRPr="006D0CA2">
        <w:t>studies  range</w:t>
      </w:r>
      <w:proofErr w:type="gramEnd"/>
      <w:r w:rsidR="006D0CA2" w:rsidRPr="006D0CA2">
        <w:t xml:space="preserve"> 0.34-0.81.)</w:t>
      </w:r>
      <w:r w:rsidR="00980342">
        <w:t xml:space="preserve">. </w:t>
      </w:r>
      <w:r w:rsidRPr="002167BE">
        <w:t xml:space="preserve">The results suggest reliability may be an issue </w:t>
      </w:r>
      <w:r>
        <w:t>with</w:t>
      </w:r>
      <w:r w:rsidRPr="002167BE">
        <w:t xml:space="preserve"> </w:t>
      </w:r>
      <w:proofErr w:type="spellStart"/>
      <w:r w:rsidRPr="002167BE">
        <w:t>mpMRI</w:t>
      </w:r>
      <w:proofErr w:type="spellEnd"/>
      <w:r w:rsidRPr="002167BE">
        <w:t xml:space="preserve"> and this may therefore explain the observed heterogeneity in the estimates of sensitivity and specificity</w:t>
      </w:r>
      <w:r>
        <w:t xml:space="preserve">. </w:t>
      </w:r>
      <w:r w:rsidRPr="002167BE">
        <w:t xml:space="preserve">The quality for the diagnostic accuracy outcomes was rated </w:t>
      </w:r>
      <w:r>
        <w:t>as ‘low’</w:t>
      </w:r>
      <w:r w:rsidRPr="002167BE">
        <w:t xml:space="preserve"> using the GRADE tool. This reflects the issues with </w:t>
      </w:r>
      <w:r>
        <w:t>im</w:t>
      </w:r>
      <w:r w:rsidRPr="002167BE">
        <w:t xml:space="preserve">precision and </w:t>
      </w:r>
      <w:r>
        <w:t>in</w:t>
      </w:r>
      <w:r w:rsidRPr="002167BE">
        <w:t>consistency in the evidence base</w:t>
      </w:r>
      <w:r>
        <w:t xml:space="preserve">. </w:t>
      </w:r>
    </w:p>
    <w:p w14:paraId="7045E6E1" w14:textId="670D6826" w:rsidR="009067FB" w:rsidRDefault="009067FB" w:rsidP="009067FB">
      <w:pPr>
        <w:spacing w:before="240"/>
      </w:pPr>
      <w:r>
        <w:t>The applicant pre</w:t>
      </w:r>
      <w:r w:rsidR="001F23DE">
        <w:t>-</w:t>
      </w:r>
      <w:r>
        <w:t xml:space="preserve">MSAC response noted that with the introduction of the PIRADS </w:t>
      </w:r>
      <w:r w:rsidR="001F23DE">
        <w:t>v.</w:t>
      </w:r>
      <w:r>
        <w:t xml:space="preserve">2 in 2015, the pooled sensitivity has increased and the confidence intervals have narrowed, but specificity is unaltered. PIRADS </w:t>
      </w:r>
      <w:r w:rsidR="001F23DE">
        <w:t>v.</w:t>
      </w:r>
      <w:r>
        <w:t>2 was introduced jointly by the European Society of Urogenital Radiologists (ESUR) and the American College of Radiologists (ACR).</w:t>
      </w:r>
      <w:r w:rsidR="00BF5936">
        <w:t xml:space="preserve"> Woo et al, European Urology</w:t>
      </w:r>
      <w:r w:rsidR="00BF5936" w:rsidRPr="00BF5936">
        <w:t xml:space="preserve"> January 2107</w:t>
      </w:r>
      <w:r w:rsidR="00BF5936">
        <w:t>,</w:t>
      </w:r>
      <w:r w:rsidR="00BF5936" w:rsidRPr="00BF5936">
        <w:t xml:space="preserve"> is a </w:t>
      </w:r>
      <w:r w:rsidR="001F23DE">
        <w:t>s</w:t>
      </w:r>
      <w:r w:rsidR="001F23DE" w:rsidRPr="00BF5936">
        <w:t xml:space="preserve">ystematic </w:t>
      </w:r>
      <w:r w:rsidR="001F23DE">
        <w:t>r</w:t>
      </w:r>
      <w:r w:rsidR="001F23DE" w:rsidRPr="00BF5936">
        <w:t xml:space="preserve">eview </w:t>
      </w:r>
      <w:r w:rsidR="00BF5936" w:rsidRPr="00BF5936">
        <w:t xml:space="preserve">and a </w:t>
      </w:r>
      <w:r w:rsidR="001F23DE">
        <w:t>d</w:t>
      </w:r>
      <w:r w:rsidR="001F23DE" w:rsidRPr="00BF5936">
        <w:t>iagnostic</w:t>
      </w:r>
      <w:r w:rsidR="001F23DE">
        <w:t xml:space="preserve"> meta</w:t>
      </w:r>
      <w:r w:rsidR="00BF5936">
        <w:t>-analysis which</w:t>
      </w:r>
      <w:r w:rsidR="00BF5936" w:rsidRPr="00BF5936">
        <w:t xml:space="preserve"> includes 3857 patients and th</w:t>
      </w:r>
      <w:r w:rsidR="00BF5936">
        <w:t>e pooled sensitivity was 0.89 (</w:t>
      </w:r>
      <w:r w:rsidR="001F23DE">
        <w:t xml:space="preserve">95% </w:t>
      </w:r>
      <w:r w:rsidR="00BF5936" w:rsidRPr="00BF5936">
        <w:t>CI 0.86-0.92)</w:t>
      </w:r>
      <w:r w:rsidR="00BF5936">
        <w:t>.</w:t>
      </w:r>
    </w:p>
    <w:p w14:paraId="1B0A13B4" w14:textId="77777777" w:rsidR="00D336A4" w:rsidRDefault="00D336A4">
      <w:pPr>
        <w:rPr>
          <w:rFonts w:ascii="Arial Narrow" w:hAnsi="Arial Narrow" w:cs="Tahoma"/>
          <w:b/>
          <w:bCs/>
          <w:sz w:val="20"/>
          <w:szCs w:val="22"/>
        </w:rPr>
      </w:pPr>
      <w:r>
        <w:br w:type="page"/>
      </w:r>
    </w:p>
    <w:p w14:paraId="44B744F7" w14:textId="51C55992" w:rsidR="00ED75E0" w:rsidRPr="00466B3D" w:rsidRDefault="00ED75E0" w:rsidP="00D076CD">
      <w:pPr>
        <w:pStyle w:val="Caption"/>
        <w:spacing w:before="240" w:after="0" w:line="240" w:lineRule="auto"/>
        <w:ind w:left="1134" w:hanging="1134"/>
      </w:pPr>
      <w:r w:rsidRPr="00466B3D">
        <w:lastRenderedPageBreak/>
        <w:t xml:space="preserve">Table </w:t>
      </w:r>
      <w:bookmarkEnd w:id="10"/>
      <w:r w:rsidR="0037377A">
        <w:t>3</w:t>
      </w:r>
      <w:r w:rsidRPr="00466B3D">
        <w:tab/>
        <w:t xml:space="preserve">Summary statistics for </w:t>
      </w:r>
      <w:proofErr w:type="spellStart"/>
      <w:r w:rsidRPr="00466B3D">
        <w:t>mpMRI</w:t>
      </w:r>
      <w:proofErr w:type="spellEnd"/>
      <w:r w:rsidRPr="00466B3D">
        <w:t xml:space="preserve"> against biopsy (TRUGB, TPUSGB or cognitive MRIGB) in Population 2 (</w:t>
      </w:r>
      <w:r>
        <w:t xml:space="preserve">assumed </w:t>
      </w:r>
      <w:r w:rsidRPr="00466B3D">
        <w:t>prevalence of disease upgrade of 30%)</w:t>
      </w:r>
      <w:bookmarkEnd w:id="11"/>
    </w:p>
    <w:tbl>
      <w:tblPr>
        <w:tblStyle w:val="TableGrid2"/>
        <w:tblW w:w="9112" w:type="dxa"/>
        <w:tblLook w:val="04A0" w:firstRow="1" w:lastRow="0" w:firstColumn="1" w:lastColumn="0" w:noHBand="0" w:noVBand="1"/>
        <w:tblDescription w:val="Summary statistics for mpMRI against biopsy  in Population 2, includes estimates of sensitivity, specificity, PPV and NPV"/>
      </w:tblPr>
      <w:tblGrid>
        <w:gridCol w:w="4556"/>
        <w:gridCol w:w="4556"/>
      </w:tblGrid>
      <w:tr w:rsidR="00ED75E0" w:rsidRPr="00035200" w14:paraId="7626100F" w14:textId="77777777" w:rsidTr="00BA67A5">
        <w:trPr>
          <w:cnfStyle w:val="100000000000" w:firstRow="1" w:lastRow="0" w:firstColumn="0" w:lastColumn="0" w:oddVBand="0" w:evenVBand="0" w:oddHBand="0" w:evenHBand="0" w:firstRowFirstColumn="0" w:firstRowLastColumn="0" w:lastRowFirstColumn="0" w:lastRowLastColumn="0"/>
          <w:trHeight w:val="397"/>
          <w:tblHeader/>
        </w:trPr>
        <w:tc>
          <w:tcPr>
            <w:tcW w:w="2500" w:type="pct"/>
          </w:tcPr>
          <w:p w14:paraId="45DDA20E" w14:textId="77777777" w:rsidR="00ED75E0" w:rsidRPr="00035200" w:rsidRDefault="00ED75E0" w:rsidP="00D076CD">
            <w:pPr>
              <w:pStyle w:val="Tableheading"/>
              <w:spacing w:before="0" w:line="240" w:lineRule="auto"/>
              <w:rPr>
                <w:rFonts w:cs="Arial"/>
                <w:color w:val="1F497D"/>
              </w:rPr>
            </w:pPr>
            <w:r w:rsidRPr="00035200">
              <w:t xml:space="preserve">Accuracy </w:t>
            </w:r>
          </w:p>
        </w:tc>
        <w:tc>
          <w:tcPr>
            <w:tcW w:w="2500" w:type="pct"/>
          </w:tcPr>
          <w:p w14:paraId="629EC342" w14:textId="77777777" w:rsidR="00ED75E0" w:rsidRPr="00035200" w:rsidRDefault="00ED75E0" w:rsidP="00D076CD">
            <w:pPr>
              <w:pStyle w:val="Tableheading"/>
              <w:spacing w:before="0" w:line="240" w:lineRule="auto"/>
            </w:pPr>
            <w:proofErr w:type="spellStart"/>
            <w:r w:rsidRPr="00035200">
              <w:t>mpMRI</w:t>
            </w:r>
            <w:proofErr w:type="spellEnd"/>
          </w:p>
          <w:p w14:paraId="7FB5A273" w14:textId="77777777" w:rsidR="00ED75E0" w:rsidRPr="00035200" w:rsidRDefault="00ED75E0" w:rsidP="00D076CD">
            <w:pPr>
              <w:pStyle w:val="Tableheading"/>
              <w:spacing w:before="0" w:line="240" w:lineRule="auto"/>
            </w:pPr>
            <w:r w:rsidRPr="00035200">
              <w:t>(n=820, k=6)</w:t>
            </w:r>
          </w:p>
        </w:tc>
      </w:tr>
      <w:tr w:rsidR="00ED75E0" w:rsidRPr="00E2560B" w14:paraId="436EE15B" w14:textId="77777777" w:rsidTr="00BA67A5">
        <w:trPr>
          <w:trHeight w:val="228"/>
        </w:trPr>
        <w:tc>
          <w:tcPr>
            <w:tcW w:w="2500" w:type="pct"/>
          </w:tcPr>
          <w:p w14:paraId="2D42FA13" w14:textId="77777777" w:rsidR="00ED75E0" w:rsidRPr="003C6B79" w:rsidRDefault="00ED75E0" w:rsidP="00D076CD">
            <w:pPr>
              <w:pStyle w:val="Tabletext"/>
              <w:spacing w:before="0" w:after="0"/>
            </w:pPr>
            <w:r w:rsidRPr="003C6B79">
              <w:t>Sensitivity, % [95% CI]</w:t>
            </w:r>
          </w:p>
        </w:tc>
        <w:tc>
          <w:tcPr>
            <w:tcW w:w="2500" w:type="pct"/>
          </w:tcPr>
          <w:p w14:paraId="7D8070A8" w14:textId="77777777" w:rsidR="00ED75E0" w:rsidRPr="00CC54C6" w:rsidRDefault="00ED75E0" w:rsidP="00D076CD">
            <w:pPr>
              <w:pStyle w:val="Tabletext"/>
              <w:spacing w:before="0" w:after="0"/>
            </w:pPr>
            <w:r>
              <w:t>79.3 [74.6, 83.3]</w:t>
            </w:r>
          </w:p>
        </w:tc>
      </w:tr>
      <w:tr w:rsidR="00ED75E0" w:rsidRPr="00E2560B" w14:paraId="7E947CB4" w14:textId="77777777" w:rsidTr="00BA67A5">
        <w:trPr>
          <w:trHeight w:val="132"/>
        </w:trPr>
        <w:tc>
          <w:tcPr>
            <w:tcW w:w="2500" w:type="pct"/>
          </w:tcPr>
          <w:p w14:paraId="0FC83182" w14:textId="77777777" w:rsidR="00ED75E0" w:rsidRPr="00CC54C6" w:rsidRDefault="00ED75E0" w:rsidP="00D076CD">
            <w:pPr>
              <w:pStyle w:val="Tabletext"/>
              <w:spacing w:before="0" w:after="0"/>
            </w:pPr>
            <w:r w:rsidRPr="00CC54C6">
              <w:t>Specificity, % [95% CI]</w:t>
            </w:r>
          </w:p>
        </w:tc>
        <w:tc>
          <w:tcPr>
            <w:tcW w:w="2500" w:type="pct"/>
          </w:tcPr>
          <w:p w14:paraId="0E200CB7" w14:textId="77777777" w:rsidR="00ED75E0" w:rsidRPr="00A435D3" w:rsidRDefault="00ED75E0" w:rsidP="00D076CD">
            <w:pPr>
              <w:pStyle w:val="Tabletext"/>
              <w:spacing w:before="0" w:after="0"/>
            </w:pPr>
            <w:r>
              <w:t>55.1 [50.4, 59.8]</w:t>
            </w:r>
          </w:p>
        </w:tc>
      </w:tr>
      <w:tr w:rsidR="00ED75E0" w:rsidRPr="00E2560B" w14:paraId="17D5316A" w14:textId="77777777" w:rsidTr="00BA67A5">
        <w:trPr>
          <w:trHeight w:val="178"/>
        </w:trPr>
        <w:tc>
          <w:tcPr>
            <w:tcW w:w="2500" w:type="pct"/>
          </w:tcPr>
          <w:p w14:paraId="2180F662" w14:textId="77777777" w:rsidR="00ED75E0" w:rsidRPr="00CC54C6" w:rsidRDefault="00ED75E0" w:rsidP="00D076CD">
            <w:pPr>
              <w:pStyle w:val="Tabletext"/>
              <w:spacing w:before="0" w:after="0"/>
            </w:pPr>
            <w:r>
              <w:t>PPV</w:t>
            </w:r>
          </w:p>
        </w:tc>
        <w:tc>
          <w:tcPr>
            <w:tcW w:w="2500" w:type="pct"/>
          </w:tcPr>
          <w:p w14:paraId="6B78E424" w14:textId="77777777" w:rsidR="00ED75E0" w:rsidRDefault="00ED75E0" w:rsidP="00D076CD">
            <w:pPr>
              <w:pStyle w:val="Tabletext"/>
              <w:spacing w:before="0" w:after="0"/>
            </w:pPr>
            <w:r>
              <w:t>59.4 [53.5, 65.0]</w:t>
            </w:r>
          </w:p>
        </w:tc>
      </w:tr>
      <w:tr w:rsidR="00ED75E0" w:rsidRPr="00E2560B" w14:paraId="7AAF887E" w14:textId="77777777" w:rsidTr="00BA67A5">
        <w:trPr>
          <w:trHeight w:val="70"/>
        </w:trPr>
        <w:tc>
          <w:tcPr>
            <w:tcW w:w="2500" w:type="pct"/>
          </w:tcPr>
          <w:p w14:paraId="68D57E8E" w14:textId="77777777" w:rsidR="00ED75E0" w:rsidRDefault="00ED75E0" w:rsidP="00D076CD">
            <w:pPr>
              <w:pStyle w:val="Tabletext"/>
              <w:spacing w:before="0" w:after="0"/>
            </w:pPr>
            <w:r>
              <w:t>NPV</w:t>
            </w:r>
          </w:p>
        </w:tc>
        <w:tc>
          <w:tcPr>
            <w:tcW w:w="2500" w:type="pct"/>
          </w:tcPr>
          <w:p w14:paraId="6164FFA0" w14:textId="77777777" w:rsidR="00ED75E0" w:rsidRDefault="00ED75E0" w:rsidP="00D076CD">
            <w:pPr>
              <w:pStyle w:val="Tabletext"/>
              <w:spacing w:before="0" w:after="0"/>
            </w:pPr>
            <w:r>
              <w:t>76.2 [70.1, 81.4]</w:t>
            </w:r>
          </w:p>
        </w:tc>
      </w:tr>
    </w:tbl>
    <w:p w14:paraId="3B145524" w14:textId="77777777" w:rsidR="00ED75E0" w:rsidRDefault="00ED75E0" w:rsidP="00D076CD">
      <w:pPr>
        <w:pStyle w:val="TableNotes"/>
        <w:spacing w:after="0" w:line="240" w:lineRule="auto"/>
      </w:pPr>
      <w:r>
        <w:t xml:space="preserve">PPV = positive predictive value, NPV = negative predictive value, </w:t>
      </w:r>
      <w:proofErr w:type="spellStart"/>
      <w:r>
        <w:t>mpMRI</w:t>
      </w:r>
      <w:proofErr w:type="spellEnd"/>
      <w:r>
        <w:t xml:space="preserve"> = </w:t>
      </w:r>
      <w:proofErr w:type="spellStart"/>
      <w:r>
        <w:t>multiparametric</w:t>
      </w:r>
      <w:proofErr w:type="spellEnd"/>
      <w:r>
        <w:t xml:space="preserve"> MRI, MRI = magnetic resonance imaging, CI = confidence interval.</w:t>
      </w:r>
    </w:p>
    <w:p w14:paraId="16131A3A" w14:textId="77777777" w:rsidR="000557D4" w:rsidRDefault="000557D4" w:rsidP="000557D4">
      <w:pPr>
        <w:spacing w:before="240"/>
      </w:pPr>
      <w:r>
        <w:t xml:space="preserve">In </w:t>
      </w:r>
      <w:r w:rsidRPr="00F90B04">
        <w:rPr>
          <w:u w:val="single"/>
        </w:rPr>
        <w:t>Population 2</w:t>
      </w:r>
      <w:r>
        <w:t xml:space="preserve">, results for </w:t>
      </w:r>
      <w:proofErr w:type="spellStart"/>
      <w:r>
        <w:t>mpMRI</w:t>
      </w:r>
      <w:proofErr w:type="spellEnd"/>
      <w:r>
        <w:t xml:space="preserve"> are consistent and there is no apparent heterogeneity. The quality of the diagnostic accuracy outcomes for Population 2 was rated as ‘high’ using the GRADE tool.</w:t>
      </w:r>
    </w:p>
    <w:p w14:paraId="75E1D5DE" w14:textId="77777777" w:rsidR="003440CE" w:rsidRDefault="00ED75E0" w:rsidP="00BF5478">
      <w:pPr>
        <w:spacing w:before="240" w:after="240"/>
      </w:pPr>
      <w:r w:rsidRPr="002167BE">
        <w:t xml:space="preserve">There were no applicability issues identified between the included studies and the proposed population in the Protocol. Only studies </w:t>
      </w:r>
      <w:r>
        <w:t>that used</w:t>
      </w:r>
      <w:r w:rsidRPr="002167BE">
        <w:t xml:space="preserve"> a consistent threshold for PI-RADS scoring as stated in the Protocol (≥ PI-RADS 4 for a positive result)</w:t>
      </w:r>
      <w:r>
        <w:t xml:space="preserve">, and that stratified results for clinically significant and insignificant </w:t>
      </w:r>
      <w:proofErr w:type="spellStart"/>
      <w:r>
        <w:t>PCa</w:t>
      </w:r>
      <w:proofErr w:type="spellEnd"/>
      <w:r>
        <w:t>,</w:t>
      </w:r>
      <w:r w:rsidRPr="002167BE">
        <w:t xml:space="preserve"> were included in this analysis.</w:t>
      </w:r>
    </w:p>
    <w:p w14:paraId="73D6ABB1" w14:textId="77777777" w:rsidR="00ED75E0" w:rsidRPr="003440CE" w:rsidRDefault="00ED75E0" w:rsidP="00BF5478">
      <w:pPr>
        <w:pStyle w:val="Heading2"/>
        <w:spacing w:before="0"/>
      </w:pPr>
      <w:r w:rsidRPr="003440CE">
        <w:t>Therapeutic efficacy (change in management)</w:t>
      </w:r>
    </w:p>
    <w:p w14:paraId="0D85A3DC" w14:textId="77777777" w:rsidR="00ED75E0" w:rsidRDefault="00ED75E0" w:rsidP="00BF5478">
      <w:r>
        <w:t xml:space="preserve">There was no evidence identified assessing a change in management due to </w:t>
      </w:r>
      <w:proofErr w:type="spellStart"/>
      <w:r>
        <w:t>mpMRI</w:t>
      </w:r>
      <w:proofErr w:type="spellEnd"/>
      <w:r>
        <w:t xml:space="preserve">. The proposed changes to management due to </w:t>
      </w:r>
      <w:proofErr w:type="spellStart"/>
      <w:r>
        <w:t>mpMRI</w:t>
      </w:r>
      <w:proofErr w:type="spellEnd"/>
      <w:r>
        <w:t xml:space="preserve"> are:</w:t>
      </w:r>
    </w:p>
    <w:p w14:paraId="5AEBDA74" w14:textId="77777777" w:rsidR="00ED75E0" w:rsidRDefault="00ED75E0" w:rsidP="00D076CD">
      <w:pPr>
        <w:pStyle w:val="ListParagraph"/>
        <w:numPr>
          <w:ilvl w:val="0"/>
          <w:numId w:val="32"/>
        </w:numPr>
        <w:jc w:val="both"/>
      </w:pPr>
      <w:r>
        <w:t xml:space="preserve">Avoidance of biopsy in most patients with a negative </w:t>
      </w:r>
      <w:proofErr w:type="spellStart"/>
      <w:r>
        <w:t>mpMRI</w:t>
      </w:r>
      <w:proofErr w:type="spellEnd"/>
    </w:p>
    <w:p w14:paraId="25288270" w14:textId="77777777" w:rsidR="00ED75E0" w:rsidRDefault="00ED75E0" w:rsidP="00D076CD">
      <w:pPr>
        <w:pStyle w:val="ListParagraph"/>
        <w:numPr>
          <w:ilvl w:val="0"/>
          <w:numId w:val="32"/>
        </w:numPr>
        <w:jc w:val="both"/>
      </w:pPr>
      <w:r>
        <w:t xml:space="preserve">Avoidance of treatment of insignificant </w:t>
      </w:r>
      <w:proofErr w:type="spellStart"/>
      <w:r>
        <w:t>PCa</w:t>
      </w:r>
      <w:proofErr w:type="spellEnd"/>
      <w:r>
        <w:t xml:space="preserve"> for some patients</w:t>
      </w:r>
    </w:p>
    <w:p w14:paraId="1E20C48D" w14:textId="77777777" w:rsidR="00ED75E0" w:rsidRDefault="00ED75E0" w:rsidP="00D076CD">
      <w:pPr>
        <w:pStyle w:val="ListParagraph"/>
        <w:numPr>
          <w:ilvl w:val="0"/>
          <w:numId w:val="32"/>
        </w:numPr>
        <w:jc w:val="both"/>
      </w:pPr>
      <w:r>
        <w:t>Delay to the diagnosis and treatment of clinically significant disease</w:t>
      </w:r>
    </w:p>
    <w:p w14:paraId="142600DC" w14:textId="77777777" w:rsidR="00F156F4" w:rsidRDefault="00ED75E0" w:rsidP="00BF5478">
      <w:pPr>
        <w:pStyle w:val="Heading2"/>
      </w:pPr>
      <w:r w:rsidRPr="003440CE">
        <w:t>Therapeutic effectiveness (health benefit from change in management)</w:t>
      </w:r>
    </w:p>
    <w:p w14:paraId="253573D6" w14:textId="1ECEBC5C" w:rsidR="00ED75E0" w:rsidRDefault="00ED75E0" w:rsidP="00BF5478">
      <w:pPr>
        <w:spacing w:after="240"/>
      </w:pPr>
      <w:r>
        <w:t xml:space="preserve">A selection of the key health outcomes associated with </w:t>
      </w:r>
      <w:proofErr w:type="spellStart"/>
      <w:r>
        <w:t>mpMRI</w:t>
      </w:r>
      <w:proofErr w:type="spellEnd"/>
      <w:r>
        <w:t xml:space="preserve"> in </w:t>
      </w:r>
      <w:r w:rsidRPr="00F90B04">
        <w:rPr>
          <w:u w:val="single"/>
        </w:rPr>
        <w:t>Population 1</w:t>
      </w:r>
      <w:r>
        <w:t xml:space="preserve"> are summarised in </w:t>
      </w:r>
      <w:r w:rsidR="0031528B">
        <w:t>T</w:t>
      </w:r>
      <w:r w:rsidR="0037377A">
        <w:t>able 4</w:t>
      </w:r>
      <w:r>
        <w:t>.</w:t>
      </w:r>
    </w:p>
    <w:p w14:paraId="1C691001" w14:textId="3DC9A5F0" w:rsidR="003440CE" w:rsidRDefault="00ED75E0" w:rsidP="00376F27">
      <w:pPr>
        <w:spacing w:after="240"/>
      </w:pPr>
      <w:r>
        <w:t xml:space="preserve">Patients who have clinically insignificant cancer who have a PI-RADS 1-3 on </w:t>
      </w:r>
      <w:proofErr w:type="spellStart"/>
      <w:r>
        <w:t>mpMRI</w:t>
      </w:r>
      <w:proofErr w:type="spellEnd"/>
      <w:r>
        <w:t xml:space="preserve"> may avoid overtreatment of their disease as data shows that approximately half of patients in this group currently receive treatment in Australia despite being eligible for active surveillance programs. Prostate cancer treatment exposes the patient both to immediate complications due to the procedures (surgical complications and/or radiation toxicity</w:t>
      </w:r>
      <w:r w:rsidR="00F55111">
        <w:t>)</w:t>
      </w:r>
      <w:r>
        <w:t xml:space="preserve">. In addition some patients experience long term adverse outcomes following treatment, mostly urinary incontinence, erectile dysfunction and bowel urgency. Avoidance of overtreatment of insignificant disease will reduce the incidence of these complications and improve quality of life for these patients. </w:t>
      </w:r>
    </w:p>
    <w:p w14:paraId="2A971E06" w14:textId="1D63C480" w:rsidR="003440CE" w:rsidRDefault="00ED75E0" w:rsidP="00376F27">
      <w:pPr>
        <w:spacing w:after="240"/>
      </w:pPr>
      <w:r>
        <w:t xml:space="preserve">Patients who receive a false negative </w:t>
      </w:r>
      <w:proofErr w:type="spellStart"/>
      <w:r>
        <w:t>mpMRI</w:t>
      </w:r>
      <w:proofErr w:type="spellEnd"/>
      <w:r>
        <w:t xml:space="preserve"> will experience a delay to treatment for clinically significant disease. It is not clear that this delay is associated with any adverse outcomes for patients (Subsection B5). The evidence base to inform patient outcomes following delayed treatment is considered very low quality and is based on observational evidence.</w:t>
      </w:r>
    </w:p>
    <w:p w14:paraId="3FD1197D" w14:textId="09225D8B" w:rsidR="00376F27" w:rsidRDefault="00ED75E0" w:rsidP="00ED75E0">
      <w:r>
        <w:t xml:space="preserve">Overall, it is expected that for every 1,000 patients in Population 1 the proposed </w:t>
      </w:r>
      <w:proofErr w:type="spellStart"/>
      <w:r>
        <w:t>mpMRI</w:t>
      </w:r>
      <w:proofErr w:type="spellEnd"/>
      <w:r>
        <w:t xml:space="preserve"> pathway will enable 505 patients to avoid a biopsy and 94 patients to avoid overtreatment of insignificant disease, but result in a delay to treatment of clinically significant disease in 54 patients.</w:t>
      </w:r>
    </w:p>
    <w:p w14:paraId="066B50FA" w14:textId="77777777" w:rsidR="00376F27" w:rsidRDefault="00376F27">
      <w:r>
        <w:br w:type="page"/>
      </w:r>
    </w:p>
    <w:p w14:paraId="53CB94AB" w14:textId="77777777" w:rsidR="00ED75E0" w:rsidRDefault="00ED75E0" w:rsidP="00F84800">
      <w:pPr>
        <w:pStyle w:val="Caption"/>
        <w:spacing w:after="0" w:line="240" w:lineRule="auto"/>
        <w:ind w:left="1440" w:hanging="1440"/>
        <w:jc w:val="left"/>
      </w:pPr>
      <w:bookmarkStart w:id="12" w:name="_Ref457290151"/>
      <w:bookmarkStart w:id="13" w:name="_Toc456775908"/>
      <w:bookmarkStart w:id="14" w:name="_Toc470016487"/>
      <w:bookmarkStart w:id="15" w:name="_Toc471382699"/>
      <w:r w:rsidRPr="00593CC5">
        <w:lastRenderedPageBreak/>
        <w:t xml:space="preserve">Table </w:t>
      </w:r>
      <w:bookmarkEnd w:id="12"/>
      <w:r w:rsidR="0037377A">
        <w:t>4</w:t>
      </w:r>
      <w:r w:rsidRPr="00593CC5">
        <w:tab/>
      </w:r>
      <w:r>
        <w:t xml:space="preserve">Population 1: Selected findings for the linked evidence comparison of </w:t>
      </w:r>
      <w:proofErr w:type="spellStart"/>
      <w:r w:rsidRPr="00466B3D">
        <w:t>mpMRI</w:t>
      </w:r>
      <w:proofErr w:type="spellEnd"/>
      <w:r w:rsidRPr="00466B3D">
        <w:t>, relative to TRUSGB or TPUSGB, in patients with suspected prostate cancer with assumed pre-test probability (prevalence) of 35</w:t>
      </w:r>
      <w:r>
        <w:t>.5</w:t>
      </w:r>
      <w:r w:rsidRPr="00466B3D">
        <w:t>%</w:t>
      </w:r>
      <w:r>
        <w:t xml:space="preserve"> for clinically significant </w:t>
      </w:r>
      <w:proofErr w:type="spellStart"/>
      <w:r>
        <w:t>PCa</w:t>
      </w:r>
      <w:bookmarkEnd w:id="13"/>
      <w:bookmarkEnd w:id="14"/>
      <w:proofErr w:type="spellEnd"/>
      <w:r>
        <w:t>.</w:t>
      </w:r>
      <w:bookmarkEnd w:id="15"/>
      <w:r>
        <w:t xml:space="preserve"> </w:t>
      </w:r>
    </w:p>
    <w:tbl>
      <w:tblPr>
        <w:tblStyle w:val="TableGrid"/>
        <w:tblW w:w="5000" w:type="pct"/>
        <w:tblCellMar>
          <w:left w:w="28" w:type="dxa"/>
          <w:right w:w="28" w:type="dxa"/>
        </w:tblCellMar>
        <w:tblLook w:val="04A0" w:firstRow="1" w:lastRow="0" w:firstColumn="1" w:lastColumn="0" w:noHBand="0" w:noVBand="1"/>
        <w:tblDescription w:val="Summary of findings table for population 1 - selected relevant outcomes only "/>
      </w:tblPr>
      <w:tblGrid>
        <w:gridCol w:w="1371"/>
        <w:gridCol w:w="1043"/>
        <w:gridCol w:w="939"/>
        <w:gridCol w:w="1371"/>
        <w:gridCol w:w="1279"/>
        <w:gridCol w:w="1099"/>
        <w:gridCol w:w="1980"/>
      </w:tblGrid>
      <w:tr w:rsidR="00ED75E0" w:rsidRPr="005F03C1" w14:paraId="78AA0540" w14:textId="77777777" w:rsidTr="008E4C81">
        <w:trPr>
          <w:trHeight w:val="397"/>
          <w:tblHeader/>
        </w:trPr>
        <w:tc>
          <w:tcPr>
            <w:tcW w:w="755" w:type="pct"/>
          </w:tcPr>
          <w:p w14:paraId="4413502B" w14:textId="77777777" w:rsidR="00ED75E0" w:rsidRPr="005F03C1" w:rsidRDefault="00ED75E0" w:rsidP="005B2AF1">
            <w:pPr>
              <w:pStyle w:val="Tableheading"/>
              <w:spacing w:before="0" w:line="240" w:lineRule="auto"/>
              <w:rPr>
                <w:szCs w:val="20"/>
              </w:rPr>
            </w:pPr>
            <w:r w:rsidRPr="005F03C1">
              <w:rPr>
                <w:szCs w:val="20"/>
              </w:rPr>
              <w:t>Outcomes</w:t>
            </w:r>
          </w:p>
          <w:p w14:paraId="33F7589D" w14:textId="77777777" w:rsidR="00ED75E0" w:rsidRPr="005F03C1" w:rsidRDefault="00ED75E0" w:rsidP="005B2AF1">
            <w:pPr>
              <w:pStyle w:val="Tableheading"/>
              <w:spacing w:before="0" w:line="240" w:lineRule="auto"/>
              <w:rPr>
                <w:szCs w:val="20"/>
              </w:rPr>
            </w:pPr>
            <w:r w:rsidRPr="005F03C1">
              <w:rPr>
                <w:szCs w:val="20"/>
              </w:rPr>
              <w:t>Meaning</w:t>
            </w:r>
          </w:p>
          <w:p w14:paraId="330F5474" w14:textId="77777777" w:rsidR="00ED75E0" w:rsidRPr="005F03C1" w:rsidRDefault="00ED75E0" w:rsidP="005B2AF1">
            <w:pPr>
              <w:pStyle w:val="Tableheading"/>
              <w:spacing w:before="0" w:line="240" w:lineRule="auto"/>
              <w:rPr>
                <w:szCs w:val="20"/>
              </w:rPr>
            </w:pPr>
            <w:r w:rsidRPr="005F03C1">
              <w:rPr>
                <w:szCs w:val="20"/>
              </w:rPr>
              <w:t>PI-RADS score</w:t>
            </w:r>
          </w:p>
        </w:tc>
        <w:tc>
          <w:tcPr>
            <w:tcW w:w="574" w:type="pct"/>
          </w:tcPr>
          <w:p w14:paraId="6E27C2AD" w14:textId="77777777" w:rsidR="00ED75E0" w:rsidRPr="005F03C1" w:rsidRDefault="00ED75E0" w:rsidP="005B2AF1">
            <w:pPr>
              <w:pStyle w:val="Tableheading"/>
              <w:spacing w:before="0" w:line="240" w:lineRule="auto"/>
              <w:rPr>
                <w:szCs w:val="20"/>
              </w:rPr>
            </w:pPr>
            <w:r w:rsidRPr="005F03C1">
              <w:rPr>
                <w:szCs w:val="20"/>
              </w:rPr>
              <w:t>Patients/</w:t>
            </w:r>
          </w:p>
          <w:p w14:paraId="06644D34" w14:textId="77777777" w:rsidR="00ED75E0" w:rsidRPr="005F03C1" w:rsidRDefault="00ED75E0" w:rsidP="005B2AF1">
            <w:pPr>
              <w:pStyle w:val="Tableheading"/>
              <w:spacing w:before="0" w:line="240" w:lineRule="auto"/>
              <w:rPr>
                <w:szCs w:val="20"/>
              </w:rPr>
            </w:pPr>
            <w:r w:rsidRPr="005F03C1">
              <w:rPr>
                <w:szCs w:val="20"/>
              </w:rPr>
              <w:t>Studies</w:t>
            </w:r>
          </w:p>
        </w:tc>
        <w:tc>
          <w:tcPr>
            <w:tcW w:w="517" w:type="pct"/>
          </w:tcPr>
          <w:p w14:paraId="50F27C29" w14:textId="77777777" w:rsidR="00ED75E0" w:rsidRPr="005F03C1" w:rsidRDefault="00ED75E0" w:rsidP="005B2AF1">
            <w:pPr>
              <w:pStyle w:val="Tableheading"/>
              <w:spacing w:before="0" w:line="240" w:lineRule="auto"/>
              <w:rPr>
                <w:szCs w:val="20"/>
              </w:rPr>
            </w:pPr>
            <w:r w:rsidRPr="005F03C1">
              <w:rPr>
                <w:szCs w:val="20"/>
              </w:rPr>
              <w:t xml:space="preserve">Quality of </w:t>
            </w:r>
            <w:proofErr w:type="spellStart"/>
            <w:r w:rsidRPr="005F03C1">
              <w:rPr>
                <w:szCs w:val="20"/>
              </w:rPr>
              <w:t>evidence</w:t>
            </w:r>
            <w:r w:rsidRPr="005F03C1">
              <w:rPr>
                <w:szCs w:val="20"/>
                <w:vertAlign w:val="superscript"/>
              </w:rPr>
              <w:t>a</w:t>
            </w:r>
            <w:proofErr w:type="spellEnd"/>
          </w:p>
        </w:tc>
        <w:tc>
          <w:tcPr>
            <w:tcW w:w="755" w:type="pct"/>
          </w:tcPr>
          <w:p w14:paraId="01921A8C" w14:textId="77777777" w:rsidR="00ED75E0" w:rsidRPr="005F03C1" w:rsidRDefault="00ED75E0" w:rsidP="005B2AF1">
            <w:pPr>
              <w:pStyle w:val="Tableheading"/>
              <w:spacing w:before="0" w:line="240" w:lineRule="auto"/>
              <w:rPr>
                <w:szCs w:val="20"/>
                <w:vertAlign w:val="superscript"/>
              </w:rPr>
            </w:pPr>
            <w:r w:rsidRPr="005F03C1">
              <w:rPr>
                <w:szCs w:val="20"/>
              </w:rPr>
              <w:t xml:space="preserve">No. per 1000 patients with </w:t>
            </w:r>
            <w:proofErr w:type="spellStart"/>
            <w:r w:rsidRPr="005F03C1">
              <w:rPr>
                <w:szCs w:val="20"/>
              </w:rPr>
              <w:t>mpMRI</w:t>
            </w:r>
            <w:r w:rsidRPr="005F03C1">
              <w:rPr>
                <w:szCs w:val="20"/>
                <w:vertAlign w:val="superscript"/>
              </w:rPr>
              <w:t>b</w:t>
            </w:r>
            <w:proofErr w:type="spellEnd"/>
          </w:p>
        </w:tc>
        <w:tc>
          <w:tcPr>
            <w:tcW w:w="704" w:type="pct"/>
          </w:tcPr>
          <w:p w14:paraId="5D1124AE" w14:textId="77777777" w:rsidR="00ED75E0" w:rsidRPr="005F03C1" w:rsidRDefault="00ED75E0" w:rsidP="005B2AF1">
            <w:pPr>
              <w:pStyle w:val="Tableheading"/>
              <w:spacing w:before="0" w:line="240" w:lineRule="auto"/>
              <w:rPr>
                <w:szCs w:val="20"/>
              </w:rPr>
            </w:pPr>
            <w:r w:rsidRPr="005F03C1">
              <w:rPr>
                <w:szCs w:val="20"/>
              </w:rPr>
              <w:t xml:space="preserve">No. per 1000 patients results of biopsy </w:t>
            </w:r>
            <w:r w:rsidRPr="00EE6AEA">
              <w:rPr>
                <w:szCs w:val="20"/>
              </w:rPr>
              <w:t>after</w:t>
            </w:r>
            <w:r w:rsidRPr="005F03C1">
              <w:rPr>
                <w:szCs w:val="20"/>
              </w:rPr>
              <w:t xml:space="preserve"> </w:t>
            </w:r>
            <w:proofErr w:type="spellStart"/>
            <w:r w:rsidRPr="005F03C1">
              <w:rPr>
                <w:szCs w:val="20"/>
              </w:rPr>
              <w:t>mpMRI</w:t>
            </w:r>
            <w:proofErr w:type="spellEnd"/>
          </w:p>
        </w:tc>
        <w:tc>
          <w:tcPr>
            <w:tcW w:w="605" w:type="pct"/>
          </w:tcPr>
          <w:p w14:paraId="75B90D69" w14:textId="77777777" w:rsidR="00ED75E0" w:rsidRPr="005F03C1" w:rsidRDefault="00ED75E0" w:rsidP="005B2AF1">
            <w:pPr>
              <w:pStyle w:val="Tableheading"/>
              <w:spacing w:before="0" w:line="240" w:lineRule="auto"/>
              <w:rPr>
                <w:szCs w:val="20"/>
              </w:rPr>
            </w:pPr>
            <w:r w:rsidRPr="005F03C1">
              <w:rPr>
                <w:szCs w:val="20"/>
              </w:rPr>
              <w:t>No. per 1000 patients with comparator (all patients get biopsy)</w:t>
            </w:r>
            <w:r w:rsidRPr="005F03C1">
              <w:rPr>
                <w:szCs w:val="20"/>
                <w:vertAlign w:val="superscript"/>
              </w:rPr>
              <w:t>c</w:t>
            </w:r>
          </w:p>
        </w:tc>
        <w:tc>
          <w:tcPr>
            <w:tcW w:w="1090" w:type="pct"/>
          </w:tcPr>
          <w:p w14:paraId="57447785" w14:textId="77777777" w:rsidR="00ED75E0" w:rsidRPr="005F03C1" w:rsidRDefault="00ED75E0" w:rsidP="005B2AF1">
            <w:pPr>
              <w:pStyle w:val="Tableheading"/>
              <w:spacing w:before="0" w:line="240" w:lineRule="auto"/>
              <w:rPr>
                <w:szCs w:val="20"/>
              </w:rPr>
            </w:pPr>
            <w:r w:rsidRPr="005F03C1">
              <w:rPr>
                <w:szCs w:val="20"/>
              </w:rPr>
              <w:t>Comments</w:t>
            </w:r>
          </w:p>
        </w:tc>
      </w:tr>
      <w:tr w:rsidR="00ED75E0" w:rsidRPr="005F03C1" w14:paraId="6E20A7DB" w14:textId="77777777" w:rsidTr="008E4C81">
        <w:trPr>
          <w:trHeight w:val="397"/>
        </w:trPr>
        <w:tc>
          <w:tcPr>
            <w:tcW w:w="755" w:type="pct"/>
          </w:tcPr>
          <w:p w14:paraId="2D986395" w14:textId="77777777" w:rsidR="00ED75E0" w:rsidRPr="005F03C1" w:rsidRDefault="00ED75E0" w:rsidP="005B2AF1">
            <w:pPr>
              <w:pStyle w:val="Tabletext"/>
              <w:spacing w:before="0" w:after="0"/>
            </w:pPr>
            <w:r w:rsidRPr="005F03C1">
              <w:t>True positives</w:t>
            </w:r>
          </w:p>
          <w:p w14:paraId="4A31245E" w14:textId="77777777" w:rsidR="00ED75E0" w:rsidRPr="005F03C1" w:rsidRDefault="00ED75E0" w:rsidP="005B2AF1">
            <w:pPr>
              <w:pStyle w:val="Tabletext"/>
              <w:spacing w:before="0" w:after="0"/>
            </w:pPr>
            <w:r w:rsidRPr="004108F7">
              <w:t>C</w:t>
            </w:r>
            <w:r w:rsidRPr="005F03C1">
              <w:t xml:space="preserve">linically significant </w:t>
            </w:r>
            <w:proofErr w:type="spellStart"/>
            <w:r w:rsidRPr="004108F7">
              <w:t>PCa</w:t>
            </w:r>
            <w:proofErr w:type="spellEnd"/>
          </w:p>
          <w:p w14:paraId="5A4D10CD" w14:textId="77777777" w:rsidR="00ED75E0" w:rsidRPr="005F03C1" w:rsidRDefault="00ED75E0" w:rsidP="005B2AF1">
            <w:pPr>
              <w:pStyle w:val="Tabletext"/>
              <w:spacing w:before="0" w:after="0"/>
            </w:pPr>
            <w:r w:rsidRPr="005F03C1">
              <w:t>PI-RADs 4/5</w:t>
            </w:r>
          </w:p>
        </w:tc>
        <w:tc>
          <w:tcPr>
            <w:tcW w:w="574" w:type="pct"/>
          </w:tcPr>
          <w:p w14:paraId="598A5C77" w14:textId="77777777" w:rsidR="00ED75E0" w:rsidRPr="005F03C1" w:rsidRDefault="00ED75E0" w:rsidP="005B2AF1">
            <w:pPr>
              <w:pStyle w:val="Tabletext"/>
              <w:spacing w:before="0" w:after="0"/>
            </w:pPr>
            <w:r w:rsidRPr="005F03C1">
              <w:t>1,024 patients</w:t>
            </w:r>
          </w:p>
          <w:p w14:paraId="2C0A32D3" w14:textId="77777777" w:rsidR="00ED75E0" w:rsidRPr="005F03C1" w:rsidRDefault="00ED75E0" w:rsidP="005B2AF1">
            <w:pPr>
              <w:pStyle w:val="Tabletext"/>
              <w:spacing w:before="0" w:after="0"/>
            </w:pPr>
            <w:r w:rsidRPr="005F03C1">
              <w:t>(4 studies)</w:t>
            </w:r>
          </w:p>
        </w:tc>
        <w:tc>
          <w:tcPr>
            <w:tcW w:w="517" w:type="pct"/>
          </w:tcPr>
          <w:p w14:paraId="1E4C8A38"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795F3758" w14:textId="77777777" w:rsidR="00ED75E0" w:rsidRPr="005F03C1" w:rsidRDefault="00ED75E0" w:rsidP="005B2AF1">
            <w:pPr>
              <w:pStyle w:val="Tabletext"/>
              <w:spacing w:before="0" w:after="0"/>
            </w:pPr>
            <w:r w:rsidRPr="005F03C1">
              <w:t>264</w:t>
            </w:r>
          </w:p>
        </w:tc>
        <w:tc>
          <w:tcPr>
            <w:tcW w:w="704" w:type="pct"/>
          </w:tcPr>
          <w:p w14:paraId="54DB233A" w14:textId="77777777" w:rsidR="00ED75E0" w:rsidRPr="005F03C1" w:rsidRDefault="00ED75E0" w:rsidP="005B2AF1">
            <w:pPr>
              <w:pStyle w:val="Tabletext"/>
              <w:spacing w:before="0" w:after="0"/>
            </w:pPr>
            <w:r w:rsidRPr="005F03C1">
              <w:t>215</w:t>
            </w:r>
          </w:p>
        </w:tc>
        <w:tc>
          <w:tcPr>
            <w:tcW w:w="605" w:type="pct"/>
          </w:tcPr>
          <w:p w14:paraId="75E35670" w14:textId="77777777" w:rsidR="00ED75E0" w:rsidRPr="005F03C1" w:rsidRDefault="00ED75E0" w:rsidP="005B2AF1">
            <w:pPr>
              <w:pStyle w:val="Tabletext"/>
              <w:spacing w:before="0" w:after="0"/>
            </w:pPr>
            <w:r w:rsidRPr="005F03C1">
              <w:t>270</w:t>
            </w:r>
          </w:p>
        </w:tc>
        <w:tc>
          <w:tcPr>
            <w:tcW w:w="1090" w:type="pct"/>
          </w:tcPr>
          <w:p w14:paraId="2D77F5E2" w14:textId="77777777" w:rsidR="00ED75E0" w:rsidRPr="005F03C1" w:rsidRDefault="00ED75E0" w:rsidP="005B2AF1">
            <w:pPr>
              <w:pStyle w:val="Tabletext"/>
              <w:spacing w:before="0" w:after="0"/>
            </w:pPr>
            <w:r w:rsidRPr="005F03C1">
              <w:t>Will undergo biopsy under both proposed and current pathways</w:t>
            </w:r>
          </w:p>
        </w:tc>
      </w:tr>
      <w:tr w:rsidR="00ED75E0" w:rsidRPr="005F03C1" w14:paraId="5FC12084" w14:textId="77777777" w:rsidTr="008E4C81">
        <w:trPr>
          <w:trHeight w:val="397"/>
        </w:trPr>
        <w:tc>
          <w:tcPr>
            <w:tcW w:w="755" w:type="pct"/>
          </w:tcPr>
          <w:p w14:paraId="75D464B5" w14:textId="77777777" w:rsidR="00ED75E0" w:rsidRPr="005F03C1" w:rsidRDefault="00ED75E0" w:rsidP="005B2AF1">
            <w:pPr>
              <w:pStyle w:val="Tabletext"/>
              <w:spacing w:before="0" w:after="0"/>
            </w:pPr>
            <w:r w:rsidRPr="005F03C1">
              <w:t>False positives</w:t>
            </w:r>
          </w:p>
          <w:p w14:paraId="7028602C" w14:textId="77777777" w:rsidR="00ED75E0" w:rsidRPr="005F03C1" w:rsidRDefault="00ED75E0" w:rsidP="005B2AF1">
            <w:pPr>
              <w:pStyle w:val="Tabletext"/>
              <w:spacing w:before="0" w:after="0"/>
            </w:pPr>
            <w:r w:rsidRPr="004108F7">
              <w:t>N</w:t>
            </w:r>
            <w:r w:rsidRPr="005F03C1">
              <w:t xml:space="preserve">o </w:t>
            </w:r>
            <w:proofErr w:type="spellStart"/>
            <w:r w:rsidRPr="005F03C1">
              <w:t>PCa</w:t>
            </w:r>
            <w:proofErr w:type="spellEnd"/>
          </w:p>
          <w:p w14:paraId="57FE71E4" w14:textId="77777777" w:rsidR="00ED75E0" w:rsidRPr="005F03C1" w:rsidRDefault="00ED75E0" w:rsidP="005B2AF1">
            <w:pPr>
              <w:pStyle w:val="Tabletext"/>
              <w:spacing w:before="0" w:after="0"/>
            </w:pPr>
            <w:r w:rsidRPr="005F03C1">
              <w:t>PI-RADS 4/5</w:t>
            </w:r>
          </w:p>
        </w:tc>
        <w:tc>
          <w:tcPr>
            <w:tcW w:w="574" w:type="pct"/>
          </w:tcPr>
          <w:p w14:paraId="5764260C" w14:textId="77777777" w:rsidR="00ED75E0" w:rsidRPr="005F03C1" w:rsidRDefault="00ED75E0" w:rsidP="005B2AF1">
            <w:pPr>
              <w:pStyle w:val="Tabletext"/>
              <w:spacing w:before="0" w:after="0"/>
            </w:pPr>
            <w:r w:rsidRPr="005F03C1">
              <w:t>1,024 patients</w:t>
            </w:r>
          </w:p>
          <w:p w14:paraId="38147B9E" w14:textId="77777777" w:rsidR="00ED75E0" w:rsidRPr="005F03C1" w:rsidRDefault="00ED75E0" w:rsidP="005B2AF1">
            <w:pPr>
              <w:pStyle w:val="Tabletext"/>
              <w:spacing w:before="0" w:after="0"/>
            </w:pPr>
            <w:r w:rsidRPr="005F03C1">
              <w:t>(4 studies)</w:t>
            </w:r>
          </w:p>
        </w:tc>
        <w:tc>
          <w:tcPr>
            <w:tcW w:w="517" w:type="pct"/>
          </w:tcPr>
          <w:p w14:paraId="04D72D66"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4DF56318" w14:textId="77777777" w:rsidR="00ED75E0" w:rsidRPr="005F03C1" w:rsidRDefault="00ED75E0" w:rsidP="005B2AF1">
            <w:pPr>
              <w:pStyle w:val="Tabletext"/>
              <w:spacing w:before="0" w:after="0"/>
            </w:pPr>
            <w:r w:rsidRPr="005F03C1">
              <w:t>32</w:t>
            </w:r>
          </w:p>
        </w:tc>
        <w:tc>
          <w:tcPr>
            <w:tcW w:w="704" w:type="pct"/>
          </w:tcPr>
          <w:p w14:paraId="59E75CAB" w14:textId="77777777" w:rsidR="00ED75E0" w:rsidRPr="005F03C1" w:rsidRDefault="00ED75E0" w:rsidP="005B2AF1">
            <w:pPr>
              <w:pStyle w:val="Tabletext"/>
              <w:spacing w:before="0" w:after="0"/>
            </w:pPr>
            <w:r w:rsidRPr="005F03C1">
              <w:t>0</w:t>
            </w:r>
          </w:p>
        </w:tc>
        <w:tc>
          <w:tcPr>
            <w:tcW w:w="605" w:type="pct"/>
          </w:tcPr>
          <w:p w14:paraId="1BDAFADE" w14:textId="77777777" w:rsidR="00ED75E0" w:rsidRPr="005F03C1" w:rsidRDefault="00ED75E0" w:rsidP="005B2AF1">
            <w:pPr>
              <w:pStyle w:val="Tabletext"/>
              <w:spacing w:before="0" w:after="0"/>
            </w:pPr>
            <w:r w:rsidRPr="005F03C1">
              <w:t>0</w:t>
            </w:r>
          </w:p>
        </w:tc>
        <w:tc>
          <w:tcPr>
            <w:tcW w:w="1090" w:type="pct"/>
          </w:tcPr>
          <w:p w14:paraId="3AD6DBF5" w14:textId="77777777" w:rsidR="00ED75E0" w:rsidRPr="005F03C1" w:rsidRDefault="00ED75E0" w:rsidP="005B2AF1">
            <w:pPr>
              <w:pStyle w:val="Tabletext"/>
              <w:spacing w:before="0" w:after="0"/>
            </w:pPr>
            <w:r w:rsidRPr="005F03C1">
              <w:t>Will undergo biopsy under both proposed and current pathways</w:t>
            </w:r>
          </w:p>
        </w:tc>
      </w:tr>
      <w:tr w:rsidR="00ED75E0" w:rsidRPr="005F03C1" w14:paraId="4B14283D" w14:textId="77777777" w:rsidTr="008E4C81">
        <w:trPr>
          <w:trHeight w:val="397"/>
        </w:trPr>
        <w:tc>
          <w:tcPr>
            <w:tcW w:w="755" w:type="pct"/>
          </w:tcPr>
          <w:p w14:paraId="0F0951FB" w14:textId="77777777" w:rsidR="00ED75E0" w:rsidRPr="005F03C1" w:rsidRDefault="00ED75E0" w:rsidP="005B2AF1">
            <w:pPr>
              <w:pStyle w:val="Tabletext"/>
              <w:spacing w:before="0" w:after="0"/>
            </w:pPr>
            <w:r w:rsidRPr="005F03C1">
              <w:t>False positives</w:t>
            </w:r>
          </w:p>
          <w:p w14:paraId="739ABE7B" w14:textId="77777777" w:rsidR="00ED75E0" w:rsidRPr="005F03C1" w:rsidRDefault="00ED75E0" w:rsidP="005B2AF1">
            <w:pPr>
              <w:pStyle w:val="Tabletext"/>
              <w:spacing w:before="0" w:after="0"/>
            </w:pPr>
            <w:r w:rsidRPr="004108F7">
              <w:t>I</w:t>
            </w:r>
            <w:r w:rsidRPr="005F03C1">
              <w:t xml:space="preserve">nsignificant </w:t>
            </w:r>
            <w:proofErr w:type="spellStart"/>
            <w:r w:rsidRPr="005F03C1">
              <w:t>PCa</w:t>
            </w:r>
            <w:proofErr w:type="spellEnd"/>
          </w:p>
          <w:p w14:paraId="128A6CA6" w14:textId="77777777" w:rsidR="00ED75E0" w:rsidRPr="005F03C1" w:rsidRDefault="00ED75E0" w:rsidP="005B2AF1">
            <w:pPr>
              <w:pStyle w:val="Tabletext"/>
              <w:spacing w:before="0" w:after="0"/>
            </w:pPr>
            <w:r w:rsidRPr="005F03C1">
              <w:t>PI-RADS 4/5</w:t>
            </w:r>
          </w:p>
        </w:tc>
        <w:tc>
          <w:tcPr>
            <w:tcW w:w="574" w:type="pct"/>
          </w:tcPr>
          <w:p w14:paraId="6376C870" w14:textId="77777777" w:rsidR="00ED75E0" w:rsidRPr="005F03C1" w:rsidRDefault="00ED75E0" w:rsidP="005B2AF1">
            <w:pPr>
              <w:pStyle w:val="Tabletext"/>
              <w:spacing w:before="0" w:after="0"/>
            </w:pPr>
            <w:r w:rsidRPr="005F03C1">
              <w:t>1,024 patients</w:t>
            </w:r>
          </w:p>
          <w:p w14:paraId="5EF44A00" w14:textId="77777777" w:rsidR="00ED75E0" w:rsidRPr="005F03C1" w:rsidRDefault="00ED75E0" w:rsidP="005B2AF1">
            <w:pPr>
              <w:pStyle w:val="Tabletext"/>
              <w:spacing w:before="0" w:after="0"/>
            </w:pPr>
            <w:r w:rsidRPr="005F03C1">
              <w:t>(4 studies)</w:t>
            </w:r>
          </w:p>
        </w:tc>
        <w:tc>
          <w:tcPr>
            <w:tcW w:w="517" w:type="pct"/>
          </w:tcPr>
          <w:p w14:paraId="5CC7CF9E" w14:textId="77777777" w:rsidR="00ED75E0" w:rsidRPr="005F03C1" w:rsidRDefault="00ED75E0" w:rsidP="005B2AF1">
            <w:pPr>
              <w:pStyle w:val="Tabletext"/>
              <w:spacing w:before="0" w:after="0"/>
              <w:rPr>
                <w:rFonts w:ascii="Cambria Math" w:hAnsi="Cambria Math"/>
                <w:color w:val="00B050"/>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7874D6A2" w14:textId="77777777" w:rsidR="00ED75E0" w:rsidRPr="005F03C1" w:rsidRDefault="00ED75E0" w:rsidP="005B2AF1">
            <w:pPr>
              <w:pStyle w:val="Tabletext"/>
              <w:spacing w:before="0" w:after="0"/>
            </w:pPr>
            <w:r w:rsidRPr="005F03C1">
              <w:t xml:space="preserve">70 </w:t>
            </w:r>
          </w:p>
        </w:tc>
        <w:tc>
          <w:tcPr>
            <w:tcW w:w="704" w:type="pct"/>
          </w:tcPr>
          <w:p w14:paraId="355AF6D2" w14:textId="77777777" w:rsidR="00ED75E0" w:rsidRPr="005F03C1" w:rsidRDefault="00ED75E0" w:rsidP="005B2AF1">
            <w:pPr>
              <w:pStyle w:val="Tabletext"/>
              <w:spacing w:before="0" w:after="0"/>
            </w:pPr>
            <w:r w:rsidRPr="005F03C1">
              <w:t>80</w:t>
            </w:r>
          </w:p>
        </w:tc>
        <w:tc>
          <w:tcPr>
            <w:tcW w:w="605" w:type="pct"/>
          </w:tcPr>
          <w:p w14:paraId="7DBB9467" w14:textId="77777777" w:rsidR="00ED75E0" w:rsidRPr="005F03C1" w:rsidRDefault="00ED75E0" w:rsidP="005B2AF1">
            <w:pPr>
              <w:pStyle w:val="Tabletext"/>
              <w:spacing w:before="0" w:after="0"/>
            </w:pPr>
            <w:r w:rsidRPr="005F03C1">
              <w:t>174</w:t>
            </w:r>
          </w:p>
        </w:tc>
        <w:tc>
          <w:tcPr>
            <w:tcW w:w="1090" w:type="pct"/>
          </w:tcPr>
          <w:p w14:paraId="20392383" w14:textId="77777777" w:rsidR="00ED75E0" w:rsidRPr="005F03C1" w:rsidRDefault="00ED75E0" w:rsidP="005B2AF1">
            <w:pPr>
              <w:pStyle w:val="Tabletext"/>
              <w:spacing w:before="0" w:after="0"/>
            </w:pPr>
            <w:r w:rsidRPr="005F03C1">
              <w:t>Will undergo biopsy under both proposed and current pathways</w:t>
            </w:r>
          </w:p>
        </w:tc>
      </w:tr>
      <w:tr w:rsidR="00ED75E0" w:rsidRPr="005F03C1" w14:paraId="2B650B79" w14:textId="77777777" w:rsidTr="008E4C81">
        <w:trPr>
          <w:trHeight w:val="397"/>
        </w:trPr>
        <w:tc>
          <w:tcPr>
            <w:tcW w:w="755" w:type="pct"/>
          </w:tcPr>
          <w:p w14:paraId="5F588938" w14:textId="77777777" w:rsidR="00ED75E0" w:rsidRPr="005F03C1" w:rsidRDefault="00ED75E0" w:rsidP="005B2AF1">
            <w:pPr>
              <w:pStyle w:val="Tabletext"/>
              <w:spacing w:before="0" w:after="0"/>
            </w:pPr>
            <w:r w:rsidRPr="005F03C1">
              <w:t>True negatives</w:t>
            </w:r>
          </w:p>
          <w:p w14:paraId="62951A1C" w14:textId="77777777" w:rsidR="00ED75E0" w:rsidRPr="005F03C1" w:rsidRDefault="00ED75E0" w:rsidP="005B2AF1">
            <w:pPr>
              <w:pStyle w:val="Tabletext"/>
              <w:spacing w:before="0" w:after="0"/>
            </w:pPr>
            <w:r w:rsidRPr="004108F7">
              <w:t>N</w:t>
            </w:r>
            <w:r w:rsidRPr="005F03C1">
              <w:t xml:space="preserve">o </w:t>
            </w:r>
            <w:proofErr w:type="spellStart"/>
            <w:r w:rsidRPr="005F03C1">
              <w:t>PCa</w:t>
            </w:r>
            <w:proofErr w:type="spellEnd"/>
          </w:p>
          <w:p w14:paraId="0D178C2D" w14:textId="77777777" w:rsidR="00ED75E0" w:rsidRPr="005F03C1" w:rsidRDefault="00ED75E0" w:rsidP="005B2AF1">
            <w:pPr>
              <w:pStyle w:val="Tabletext"/>
              <w:spacing w:before="0" w:after="0"/>
            </w:pPr>
            <w:r w:rsidRPr="005F03C1">
              <w:t>PI-RADS 1-3</w:t>
            </w:r>
          </w:p>
        </w:tc>
        <w:tc>
          <w:tcPr>
            <w:tcW w:w="574" w:type="pct"/>
          </w:tcPr>
          <w:p w14:paraId="5B695251" w14:textId="77777777" w:rsidR="00ED75E0" w:rsidRPr="005F03C1" w:rsidRDefault="00ED75E0" w:rsidP="005B2AF1">
            <w:pPr>
              <w:pStyle w:val="Tabletext"/>
              <w:spacing w:before="0" w:after="0"/>
            </w:pPr>
            <w:r w:rsidRPr="005F03C1">
              <w:t>1,024 patients</w:t>
            </w:r>
          </w:p>
          <w:p w14:paraId="7287E190" w14:textId="77777777" w:rsidR="00ED75E0" w:rsidRPr="005F03C1" w:rsidRDefault="00ED75E0" w:rsidP="005B2AF1">
            <w:pPr>
              <w:pStyle w:val="Tabletext"/>
              <w:spacing w:before="0" w:after="0"/>
            </w:pPr>
            <w:r w:rsidRPr="005F03C1">
              <w:t>(4 studies)</w:t>
            </w:r>
          </w:p>
        </w:tc>
        <w:tc>
          <w:tcPr>
            <w:tcW w:w="517" w:type="pct"/>
          </w:tcPr>
          <w:p w14:paraId="61E53FFB"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32D464F7" w14:textId="77777777" w:rsidR="00ED75E0" w:rsidRPr="005F03C1" w:rsidRDefault="00ED75E0" w:rsidP="005B2AF1">
            <w:pPr>
              <w:pStyle w:val="Tabletext"/>
              <w:spacing w:before="0" w:after="0"/>
            </w:pPr>
            <w:r w:rsidRPr="005F03C1">
              <w:t>403</w:t>
            </w:r>
          </w:p>
        </w:tc>
        <w:tc>
          <w:tcPr>
            <w:tcW w:w="704" w:type="pct"/>
          </w:tcPr>
          <w:p w14:paraId="193216F9" w14:textId="77777777" w:rsidR="00ED75E0" w:rsidRPr="005F03C1" w:rsidRDefault="00ED75E0" w:rsidP="005B2AF1">
            <w:pPr>
              <w:pStyle w:val="Tabletext"/>
              <w:spacing w:before="0" w:after="0"/>
            </w:pPr>
            <w:r w:rsidRPr="005F03C1">
              <w:t>435</w:t>
            </w:r>
          </w:p>
        </w:tc>
        <w:tc>
          <w:tcPr>
            <w:tcW w:w="605" w:type="pct"/>
          </w:tcPr>
          <w:p w14:paraId="31A80D9F" w14:textId="77777777" w:rsidR="00ED75E0" w:rsidRPr="005F03C1" w:rsidRDefault="00ED75E0" w:rsidP="005B2AF1">
            <w:pPr>
              <w:pStyle w:val="Tabletext"/>
              <w:spacing w:before="0" w:after="0"/>
            </w:pPr>
            <w:r w:rsidRPr="005F03C1">
              <w:t>435</w:t>
            </w:r>
          </w:p>
        </w:tc>
        <w:tc>
          <w:tcPr>
            <w:tcW w:w="1090" w:type="pct"/>
          </w:tcPr>
          <w:p w14:paraId="171F6B53" w14:textId="77777777" w:rsidR="00ED75E0" w:rsidRPr="005F03C1" w:rsidRDefault="00ED75E0" w:rsidP="005B2AF1">
            <w:pPr>
              <w:pStyle w:val="Tabletext"/>
              <w:spacing w:before="0" w:after="0"/>
            </w:pPr>
            <w:r>
              <w:t>Potential to avoid biopsy</w:t>
            </w:r>
          </w:p>
        </w:tc>
      </w:tr>
      <w:tr w:rsidR="00ED75E0" w:rsidRPr="005F03C1" w14:paraId="74FAF93E" w14:textId="77777777" w:rsidTr="008E4C81">
        <w:trPr>
          <w:trHeight w:val="397"/>
        </w:trPr>
        <w:tc>
          <w:tcPr>
            <w:tcW w:w="755" w:type="pct"/>
          </w:tcPr>
          <w:p w14:paraId="5E75DCE6" w14:textId="77777777" w:rsidR="00ED75E0" w:rsidRPr="005F03C1" w:rsidRDefault="00ED75E0" w:rsidP="005B2AF1">
            <w:pPr>
              <w:pStyle w:val="Tabletext"/>
              <w:spacing w:before="0" w:after="0"/>
            </w:pPr>
            <w:r w:rsidRPr="005F03C1">
              <w:t>True negatives</w:t>
            </w:r>
          </w:p>
          <w:p w14:paraId="6AA84961" w14:textId="77777777" w:rsidR="00ED75E0" w:rsidRPr="005F03C1" w:rsidRDefault="00ED75E0" w:rsidP="005B2AF1">
            <w:pPr>
              <w:pStyle w:val="Tabletext"/>
              <w:spacing w:before="0" w:after="0"/>
            </w:pPr>
            <w:r w:rsidRPr="00253F0C">
              <w:t>I</w:t>
            </w:r>
            <w:r w:rsidRPr="005F03C1">
              <w:t xml:space="preserve">nsignificant </w:t>
            </w:r>
            <w:proofErr w:type="spellStart"/>
            <w:r w:rsidRPr="005F03C1">
              <w:t>PCa</w:t>
            </w:r>
            <w:proofErr w:type="spellEnd"/>
          </w:p>
          <w:p w14:paraId="551408AC" w14:textId="77777777" w:rsidR="00ED75E0" w:rsidRPr="005F03C1" w:rsidRDefault="00ED75E0" w:rsidP="005B2AF1">
            <w:pPr>
              <w:pStyle w:val="Tabletext"/>
              <w:spacing w:before="0" w:after="0"/>
            </w:pPr>
            <w:r w:rsidRPr="005F03C1">
              <w:t>PI-RADS 1-3</w:t>
            </w:r>
          </w:p>
        </w:tc>
        <w:tc>
          <w:tcPr>
            <w:tcW w:w="574" w:type="pct"/>
          </w:tcPr>
          <w:p w14:paraId="7C9D80AD" w14:textId="77777777" w:rsidR="00ED75E0" w:rsidRPr="005F03C1" w:rsidRDefault="00ED75E0" w:rsidP="005B2AF1">
            <w:pPr>
              <w:pStyle w:val="Tabletext"/>
              <w:spacing w:before="0" w:after="0"/>
            </w:pPr>
            <w:r w:rsidRPr="005F03C1">
              <w:t>1,024 patients</w:t>
            </w:r>
          </w:p>
          <w:p w14:paraId="415E7704" w14:textId="77777777" w:rsidR="00ED75E0" w:rsidRPr="005F03C1" w:rsidRDefault="00ED75E0" w:rsidP="005B2AF1">
            <w:pPr>
              <w:pStyle w:val="Tabletext"/>
              <w:spacing w:before="0" w:after="0"/>
            </w:pPr>
            <w:r w:rsidRPr="005F03C1">
              <w:t>(4 studies)</w:t>
            </w:r>
          </w:p>
        </w:tc>
        <w:tc>
          <w:tcPr>
            <w:tcW w:w="517" w:type="pct"/>
          </w:tcPr>
          <w:p w14:paraId="6008AC31" w14:textId="77777777" w:rsidR="00ED75E0" w:rsidRPr="005F03C1" w:rsidRDefault="00ED75E0" w:rsidP="005B2AF1">
            <w:pPr>
              <w:pStyle w:val="Tabletext"/>
              <w:spacing w:before="0" w:after="0"/>
              <w:rPr>
                <w:rFonts w:ascii="Cambria Math" w:hAnsi="Cambria Math"/>
                <w:color w:val="00B050"/>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47C2C88A" w14:textId="77777777" w:rsidR="00ED75E0" w:rsidRPr="005F03C1" w:rsidRDefault="00ED75E0" w:rsidP="005B2AF1">
            <w:pPr>
              <w:pStyle w:val="Tabletext"/>
              <w:spacing w:before="0" w:after="0"/>
            </w:pPr>
            <w:r w:rsidRPr="005F03C1">
              <w:t xml:space="preserve">140 </w:t>
            </w:r>
          </w:p>
          <w:p w14:paraId="16942FD3" w14:textId="77777777" w:rsidR="00ED75E0" w:rsidRPr="005F03C1" w:rsidRDefault="00ED75E0" w:rsidP="005B2AF1">
            <w:pPr>
              <w:pStyle w:val="Tabletext"/>
              <w:spacing w:before="0" w:after="0"/>
              <w:ind w:left="0"/>
            </w:pPr>
          </w:p>
        </w:tc>
        <w:tc>
          <w:tcPr>
            <w:tcW w:w="704" w:type="pct"/>
          </w:tcPr>
          <w:p w14:paraId="4DFB7563" w14:textId="77777777" w:rsidR="00ED75E0" w:rsidRPr="005F03C1" w:rsidRDefault="00ED75E0" w:rsidP="005B2AF1">
            <w:pPr>
              <w:pStyle w:val="Tabletext"/>
              <w:spacing w:before="0" w:after="0"/>
            </w:pPr>
            <w:r w:rsidRPr="005F03C1">
              <w:t>131</w:t>
            </w:r>
          </w:p>
        </w:tc>
        <w:tc>
          <w:tcPr>
            <w:tcW w:w="605" w:type="pct"/>
          </w:tcPr>
          <w:p w14:paraId="42D33899" w14:textId="77777777" w:rsidR="00ED75E0" w:rsidRPr="005F03C1" w:rsidRDefault="00ED75E0" w:rsidP="005B2AF1">
            <w:pPr>
              <w:pStyle w:val="Tabletext"/>
              <w:spacing w:before="0" w:after="0"/>
            </w:pPr>
            <w:r w:rsidRPr="005F03C1">
              <w:t>36</w:t>
            </w:r>
          </w:p>
        </w:tc>
        <w:tc>
          <w:tcPr>
            <w:tcW w:w="1090" w:type="pct"/>
          </w:tcPr>
          <w:p w14:paraId="3C2F130F" w14:textId="77777777" w:rsidR="00ED75E0" w:rsidRPr="005F03C1" w:rsidRDefault="00ED75E0" w:rsidP="005B2AF1">
            <w:pPr>
              <w:pStyle w:val="Tabletext"/>
              <w:spacing w:before="0" w:after="0"/>
            </w:pPr>
            <w:r>
              <w:t xml:space="preserve">Potential to avoid biopsy and </w:t>
            </w:r>
            <w:r w:rsidRPr="005F03C1">
              <w:t>adverse effects of overtreatment.</w:t>
            </w:r>
          </w:p>
        </w:tc>
      </w:tr>
      <w:tr w:rsidR="00ED75E0" w:rsidRPr="005F03C1" w14:paraId="757400A0" w14:textId="77777777" w:rsidTr="008E4C81">
        <w:trPr>
          <w:trHeight w:val="397"/>
        </w:trPr>
        <w:tc>
          <w:tcPr>
            <w:tcW w:w="755" w:type="pct"/>
          </w:tcPr>
          <w:p w14:paraId="5B38B4B6" w14:textId="77777777" w:rsidR="00ED75E0" w:rsidRPr="005F03C1" w:rsidRDefault="00ED75E0" w:rsidP="005B2AF1">
            <w:pPr>
              <w:pStyle w:val="Tabletext"/>
              <w:spacing w:before="0" w:after="0"/>
            </w:pPr>
            <w:r w:rsidRPr="005F03C1">
              <w:t xml:space="preserve">False negatives </w:t>
            </w:r>
          </w:p>
          <w:p w14:paraId="29798741" w14:textId="77777777" w:rsidR="00ED75E0" w:rsidRPr="005F03C1" w:rsidRDefault="00ED75E0" w:rsidP="005B2AF1">
            <w:pPr>
              <w:pStyle w:val="Tabletext"/>
              <w:spacing w:before="0" w:after="0"/>
            </w:pPr>
            <w:r w:rsidRPr="00EE6AEA">
              <w:t>C</w:t>
            </w:r>
            <w:r w:rsidRPr="005F03C1">
              <w:t xml:space="preserve">linically significant </w:t>
            </w:r>
            <w:proofErr w:type="spellStart"/>
            <w:r w:rsidRPr="00EE6AEA">
              <w:t>PCa</w:t>
            </w:r>
            <w:proofErr w:type="spellEnd"/>
          </w:p>
          <w:p w14:paraId="364699FC" w14:textId="77777777" w:rsidR="00ED75E0" w:rsidRPr="005F03C1" w:rsidRDefault="00ED75E0" w:rsidP="005B2AF1">
            <w:pPr>
              <w:pStyle w:val="Tabletext"/>
              <w:spacing w:before="0" w:after="0"/>
            </w:pPr>
            <w:r w:rsidRPr="005F03C1">
              <w:t>PI-RADS 1-3</w:t>
            </w:r>
          </w:p>
        </w:tc>
        <w:tc>
          <w:tcPr>
            <w:tcW w:w="574" w:type="pct"/>
          </w:tcPr>
          <w:p w14:paraId="4D8E3C6D" w14:textId="77777777" w:rsidR="00ED75E0" w:rsidRPr="005F03C1" w:rsidRDefault="00ED75E0" w:rsidP="005B2AF1">
            <w:pPr>
              <w:pStyle w:val="Tabletext"/>
              <w:spacing w:before="0" w:after="0"/>
            </w:pPr>
            <w:r w:rsidRPr="005F03C1">
              <w:t>1,024 patients</w:t>
            </w:r>
          </w:p>
          <w:p w14:paraId="64B1004E" w14:textId="77777777" w:rsidR="00ED75E0" w:rsidRPr="005F03C1" w:rsidRDefault="00ED75E0" w:rsidP="005B2AF1">
            <w:pPr>
              <w:pStyle w:val="Tabletext"/>
              <w:spacing w:before="0" w:after="0"/>
            </w:pPr>
            <w:r w:rsidRPr="005F03C1">
              <w:t>(4 studies)</w:t>
            </w:r>
          </w:p>
        </w:tc>
        <w:tc>
          <w:tcPr>
            <w:tcW w:w="517" w:type="pct"/>
          </w:tcPr>
          <w:p w14:paraId="7565A0F3"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56DC8AB4" w14:textId="77777777" w:rsidR="00ED75E0" w:rsidRPr="005F03C1" w:rsidRDefault="00ED75E0" w:rsidP="005B2AF1">
            <w:pPr>
              <w:pStyle w:val="Tabletext"/>
              <w:spacing w:before="0" w:after="0"/>
            </w:pPr>
            <w:r w:rsidRPr="005F03C1">
              <w:t xml:space="preserve">91 </w:t>
            </w:r>
          </w:p>
        </w:tc>
        <w:tc>
          <w:tcPr>
            <w:tcW w:w="704" w:type="pct"/>
          </w:tcPr>
          <w:p w14:paraId="65C2021E" w14:textId="77777777" w:rsidR="00ED75E0" w:rsidRPr="005F03C1" w:rsidRDefault="00ED75E0" w:rsidP="005B2AF1">
            <w:pPr>
              <w:pStyle w:val="Tabletext"/>
              <w:spacing w:before="0" w:after="0"/>
            </w:pPr>
            <w:r w:rsidRPr="005F03C1">
              <w:t>139</w:t>
            </w:r>
          </w:p>
        </w:tc>
        <w:tc>
          <w:tcPr>
            <w:tcW w:w="605" w:type="pct"/>
          </w:tcPr>
          <w:p w14:paraId="5ED813DC" w14:textId="77777777" w:rsidR="00ED75E0" w:rsidRPr="005F03C1" w:rsidRDefault="00ED75E0" w:rsidP="005B2AF1">
            <w:pPr>
              <w:pStyle w:val="Tabletext"/>
              <w:spacing w:before="0" w:after="0"/>
            </w:pPr>
            <w:r w:rsidRPr="005F03C1">
              <w:t>85</w:t>
            </w:r>
          </w:p>
        </w:tc>
        <w:tc>
          <w:tcPr>
            <w:tcW w:w="1090" w:type="pct"/>
          </w:tcPr>
          <w:p w14:paraId="227ECC65" w14:textId="77777777" w:rsidR="00ED75E0" w:rsidRPr="005F03C1" w:rsidRDefault="00ED75E0" w:rsidP="005B2AF1">
            <w:pPr>
              <w:pStyle w:val="Tabletext"/>
              <w:spacing w:before="0" w:after="0"/>
            </w:pPr>
            <w:r>
              <w:t>Potential to avoid biopsy.</w:t>
            </w:r>
            <w:r w:rsidRPr="005F03C1">
              <w:t xml:space="preserve"> These patients will experience a delay to treatment.</w:t>
            </w:r>
          </w:p>
        </w:tc>
      </w:tr>
      <w:tr w:rsidR="00ED75E0" w:rsidRPr="005F03C1" w14:paraId="165BF3C0" w14:textId="77777777" w:rsidTr="008E4C81">
        <w:trPr>
          <w:trHeight w:val="397"/>
        </w:trPr>
        <w:tc>
          <w:tcPr>
            <w:tcW w:w="755" w:type="pct"/>
          </w:tcPr>
          <w:p w14:paraId="7E48F454" w14:textId="77777777" w:rsidR="00ED75E0" w:rsidRPr="005F03C1" w:rsidRDefault="00ED75E0" w:rsidP="005B2AF1">
            <w:pPr>
              <w:pStyle w:val="Tabletext"/>
              <w:spacing w:before="0" w:after="0"/>
              <w:rPr>
                <w:rFonts w:cs="Arial"/>
              </w:rPr>
            </w:pPr>
            <w:r w:rsidRPr="005F03C1">
              <w:rPr>
                <w:rStyle w:val="label"/>
              </w:rPr>
              <w:t>Major infection</w:t>
            </w:r>
          </w:p>
        </w:tc>
        <w:tc>
          <w:tcPr>
            <w:tcW w:w="574" w:type="pct"/>
          </w:tcPr>
          <w:p w14:paraId="4FD2449C" w14:textId="77777777" w:rsidR="00ED75E0" w:rsidRPr="005F03C1" w:rsidRDefault="00ED75E0" w:rsidP="005B2AF1">
            <w:pPr>
              <w:pStyle w:val="Tabletext"/>
              <w:spacing w:before="0" w:after="0"/>
            </w:pPr>
            <w:r w:rsidRPr="005F03C1">
              <w:t xml:space="preserve">45,492 patients </w:t>
            </w:r>
          </w:p>
          <w:p w14:paraId="509EE585" w14:textId="77777777" w:rsidR="00ED75E0" w:rsidRPr="005F03C1" w:rsidRDefault="00ED75E0" w:rsidP="005B2AF1">
            <w:pPr>
              <w:pStyle w:val="Tabletext"/>
              <w:spacing w:before="0" w:after="0"/>
            </w:pPr>
            <w:r w:rsidRPr="005F03C1">
              <w:t>(8 studies)</w:t>
            </w:r>
          </w:p>
        </w:tc>
        <w:tc>
          <w:tcPr>
            <w:tcW w:w="517" w:type="pct"/>
          </w:tcPr>
          <w:p w14:paraId="7AD7F8C7"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4A6FE5D9" w14:textId="77777777" w:rsidR="00ED75E0" w:rsidRPr="005F03C1" w:rsidRDefault="00ED75E0" w:rsidP="005B2AF1">
            <w:pPr>
              <w:pStyle w:val="Tabletext"/>
              <w:spacing w:before="0" w:after="0"/>
            </w:pPr>
            <w:r w:rsidRPr="005F03C1">
              <w:t>0</w:t>
            </w:r>
          </w:p>
        </w:tc>
        <w:tc>
          <w:tcPr>
            <w:tcW w:w="704" w:type="pct"/>
          </w:tcPr>
          <w:p w14:paraId="41D1A3E7" w14:textId="77777777" w:rsidR="00ED75E0" w:rsidRPr="005F03C1" w:rsidRDefault="00ED75E0" w:rsidP="005B2AF1">
            <w:pPr>
              <w:pStyle w:val="Tabletext"/>
              <w:spacing w:before="0" w:after="0"/>
            </w:pPr>
            <w:r>
              <w:t>NA</w:t>
            </w:r>
          </w:p>
        </w:tc>
        <w:tc>
          <w:tcPr>
            <w:tcW w:w="605" w:type="pct"/>
          </w:tcPr>
          <w:p w14:paraId="2289A83E" w14:textId="77777777" w:rsidR="00ED75E0" w:rsidRPr="005F03C1" w:rsidRDefault="00ED75E0" w:rsidP="005B2AF1">
            <w:pPr>
              <w:pStyle w:val="Tabletext"/>
              <w:spacing w:before="0" w:after="0"/>
            </w:pPr>
            <w:r w:rsidRPr="005F03C1">
              <w:t>TRUSGB: Range 0-20</w:t>
            </w:r>
          </w:p>
          <w:p w14:paraId="16080567" w14:textId="77777777" w:rsidR="00ED75E0" w:rsidRPr="005F03C1" w:rsidRDefault="00ED75E0" w:rsidP="005B2AF1">
            <w:pPr>
              <w:pStyle w:val="Tabletext"/>
              <w:spacing w:before="0" w:after="0"/>
            </w:pPr>
            <w:r w:rsidRPr="005F03C1">
              <w:t>TPUSGB: 0</w:t>
            </w:r>
          </w:p>
        </w:tc>
        <w:tc>
          <w:tcPr>
            <w:tcW w:w="1090" w:type="pct"/>
          </w:tcPr>
          <w:p w14:paraId="4CC400B5" w14:textId="77777777" w:rsidR="00ED75E0" w:rsidRPr="005F03C1" w:rsidRDefault="00ED75E0" w:rsidP="005B2AF1">
            <w:pPr>
              <w:pStyle w:val="Tabletext"/>
              <w:spacing w:before="0" w:after="0"/>
            </w:pPr>
            <w:r w:rsidRPr="005F03C1">
              <w:t>Adverse event associated with biopsy</w:t>
            </w:r>
          </w:p>
        </w:tc>
      </w:tr>
      <w:tr w:rsidR="00ED75E0" w:rsidRPr="005F03C1" w14:paraId="1269FE2F" w14:textId="77777777" w:rsidTr="008E4C81">
        <w:trPr>
          <w:trHeight w:val="397"/>
        </w:trPr>
        <w:tc>
          <w:tcPr>
            <w:tcW w:w="755" w:type="pct"/>
          </w:tcPr>
          <w:p w14:paraId="60A2D7FA" w14:textId="77777777" w:rsidR="00ED75E0" w:rsidRPr="005F03C1" w:rsidRDefault="00ED75E0" w:rsidP="005B2AF1">
            <w:pPr>
              <w:pStyle w:val="Tabletext"/>
              <w:spacing w:before="0" w:after="0"/>
            </w:pPr>
            <w:r w:rsidRPr="005F03C1">
              <w:t>Overall survival</w:t>
            </w:r>
          </w:p>
        </w:tc>
        <w:tc>
          <w:tcPr>
            <w:tcW w:w="574" w:type="pct"/>
          </w:tcPr>
          <w:p w14:paraId="624479BE" w14:textId="77777777" w:rsidR="00ED75E0" w:rsidRPr="005F03C1" w:rsidRDefault="00ED75E0" w:rsidP="005B2AF1">
            <w:pPr>
              <w:pStyle w:val="Tabletext"/>
              <w:spacing w:before="0" w:after="0"/>
              <w:rPr>
                <w:rFonts w:cs="Arial"/>
              </w:rPr>
            </w:pPr>
            <w:r w:rsidRPr="005F03C1">
              <w:t>41,146</w:t>
            </w:r>
            <w:r w:rsidRPr="005F03C1">
              <w:br/>
              <w:t>(5 studies)</w:t>
            </w:r>
          </w:p>
        </w:tc>
        <w:tc>
          <w:tcPr>
            <w:tcW w:w="517" w:type="pct"/>
          </w:tcPr>
          <w:p w14:paraId="77FF6BC0" w14:textId="77777777" w:rsidR="00ED75E0" w:rsidRDefault="00ED75E0" w:rsidP="005B2AF1">
            <w:pPr>
              <w:pStyle w:val="Tabletext"/>
              <w:spacing w:before="0" w:after="0"/>
              <w:rPr>
                <w:rFonts w:ascii="Cambria Math" w:hAnsi="Cambria Math" w:cs="Cambria Math"/>
                <w:color w:val="C00000"/>
              </w:rPr>
            </w:pPr>
            <w:r w:rsidRPr="005F03C1">
              <w:rPr>
                <w:rFonts w:ascii="Cambria Math" w:hAnsi="Cambria Math"/>
                <w:color w:val="00B050"/>
              </w:rPr>
              <w:t>⨁</w:t>
            </w:r>
            <w:r w:rsidRPr="005F03C1">
              <w:rPr>
                <w:rFonts w:ascii="Cambria Math" w:hAnsi="Cambria Math" w:cs="Cambria Math"/>
                <w:color w:val="C00000"/>
              </w:rPr>
              <w:t>⨀⨀⨀</w:t>
            </w:r>
          </w:p>
          <w:p w14:paraId="1CD59D03" w14:textId="77777777" w:rsidR="00ED75E0" w:rsidRPr="005F03C1" w:rsidRDefault="00ED75E0" w:rsidP="005B2AF1">
            <w:pPr>
              <w:pStyle w:val="Tabletext"/>
              <w:spacing w:before="0" w:after="0"/>
              <w:rPr>
                <w:rFonts w:cs="Arial"/>
              </w:rPr>
            </w:pPr>
          </w:p>
        </w:tc>
        <w:tc>
          <w:tcPr>
            <w:tcW w:w="755" w:type="pct"/>
          </w:tcPr>
          <w:p w14:paraId="49F54418" w14:textId="77777777" w:rsidR="00ED75E0" w:rsidRPr="005F03C1" w:rsidRDefault="00ED75E0" w:rsidP="005B2AF1">
            <w:pPr>
              <w:pStyle w:val="Tabletext"/>
              <w:spacing w:before="0" w:after="0"/>
            </w:pPr>
            <w:r w:rsidRPr="005F03C1">
              <w:t>NA</w:t>
            </w:r>
          </w:p>
        </w:tc>
        <w:tc>
          <w:tcPr>
            <w:tcW w:w="704" w:type="pct"/>
          </w:tcPr>
          <w:p w14:paraId="61423BE9" w14:textId="77777777" w:rsidR="00ED75E0" w:rsidRPr="005F03C1" w:rsidRDefault="00ED75E0" w:rsidP="005B2AF1">
            <w:pPr>
              <w:pStyle w:val="Tabletext"/>
              <w:spacing w:before="0" w:after="0"/>
            </w:pPr>
            <w:r>
              <w:t>NA</w:t>
            </w:r>
          </w:p>
        </w:tc>
        <w:tc>
          <w:tcPr>
            <w:tcW w:w="605" w:type="pct"/>
          </w:tcPr>
          <w:p w14:paraId="450148C3" w14:textId="77777777" w:rsidR="00ED75E0" w:rsidRPr="005F03C1" w:rsidRDefault="00ED75E0" w:rsidP="005B2AF1">
            <w:pPr>
              <w:pStyle w:val="Tabletext"/>
              <w:spacing w:before="0" w:after="0"/>
            </w:pPr>
            <w:r w:rsidRPr="005F03C1">
              <w:t>NA</w:t>
            </w:r>
          </w:p>
        </w:tc>
        <w:tc>
          <w:tcPr>
            <w:tcW w:w="1090" w:type="pct"/>
          </w:tcPr>
          <w:p w14:paraId="5D5148FD" w14:textId="77777777" w:rsidR="00ED75E0" w:rsidRPr="005F03C1" w:rsidRDefault="00ED75E0" w:rsidP="005B2AF1">
            <w:pPr>
              <w:pStyle w:val="Tabletext"/>
              <w:spacing w:before="0" w:after="0"/>
            </w:pPr>
            <w:r w:rsidRPr="005F03C1">
              <w:t xml:space="preserve">Treatment delay did not impact overall survival (results from 5 studies). </w:t>
            </w:r>
          </w:p>
        </w:tc>
      </w:tr>
      <w:tr w:rsidR="00ED75E0" w:rsidRPr="005F03C1" w14:paraId="293ADE86" w14:textId="77777777" w:rsidTr="008E4C81">
        <w:trPr>
          <w:trHeight w:val="397"/>
        </w:trPr>
        <w:tc>
          <w:tcPr>
            <w:tcW w:w="755" w:type="pct"/>
          </w:tcPr>
          <w:p w14:paraId="0749169D" w14:textId="77777777" w:rsidR="00ED75E0" w:rsidRPr="005F03C1" w:rsidRDefault="00ED75E0" w:rsidP="005B2AF1">
            <w:pPr>
              <w:pStyle w:val="Tabletext"/>
              <w:spacing w:before="0" w:after="0"/>
            </w:pPr>
            <w:r w:rsidRPr="005F03C1">
              <w:t>24 month impotence</w:t>
            </w:r>
          </w:p>
        </w:tc>
        <w:tc>
          <w:tcPr>
            <w:tcW w:w="574" w:type="pct"/>
          </w:tcPr>
          <w:p w14:paraId="19F527BB" w14:textId="77777777" w:rsidR="00ED75E0" w:rsidRPr="005F03C1" w:rsidRDefault="00ED75E0" w:rsidP="005B2AF1">
            <w:pPr>
              <w:pStyle w:val="Tabletext"/>
              <w:spacing w:before="0" w:after="0"/>
            </w:pPr>
            <w:r w:rsidRPr="005F03C1">
              <w:t>1 systematic review, 2,365 patients</w:t>
            </w:r>
          </w:p>
        </w:tc>
        <w:tc>
          <w:tcPr>
            <w:tcW w:w="517" w:type="pct"/>
          </w:tcPr>
          <w:p w14:paraId="6D01E83A" w14:textId="77777777" w:rsidR="00ED75E0" w:rsidRPr="005F03C1" w:rsidRDefault="00ED75E0" w:rsidP="005B2AF1">
            <w:pPr>
              <w:pStyle w:val="Tabletext"/>
              <w:spacing w:before="0" w:after="0"/>
              <w:rPr>
                <w:rFonts w:cs="Cambria Math"/>
              </w:rPr>
            </w:pPr>
            <w:r w:rsidRPr="008544C9">
              <w:rPr>
                <w:rFonts w:ascii="Cambria Math" w:hAnsi="Cambria Math"/>
                <w:color w:val="00B050"/>
              </w:rPr>
              <w:t>⨁⨁</w:t>
            </w:r>
            <w:r w:rsidRPr="008544C9">
              <w:rPr>
                <w:rFonts w:ascii="Cambria Math" w:hAnsi="Cambria Math" w:cs="Cambria Math"/>
                <w:color w:val="C00000"/>
              </w:rPr>
              <w:t>⨀⨀</w:t>
            </w:r>
            <w:r w:rsidRPr="005F03C1">
              <w:rPr>
                <w:rFonts w:cs="Cambria Math" w:hint="eastAsia"/>
              </w:rPr>
              <w:t xml:space="preserve"> </w:t>
            </w:r>
          </w:p>
          <w:p w14:paraId="7D36FB38" w14:textId="77777777" w:rsidR="00ED75E0" w:rsidRPr="005F03C1" w:rsidRDefault="00ED75E0" w:rsidP="005B2AF1">
            <w:pPr>
              <w:pStyle w:val="Tabletext"/>
              <w:spacing w:before="0" w:after="0"/>
              <w:rPr>
                <w:rFonts w:cs="Arial"/>
              </w:rPr>
            </w:pPr>
          </w:p>
        </w:tc>
        <w:tc>
          <w:tcPr>
            <w:tcW w:w="755" w:type="pct"/>
          </w:tcPr>
          <w:p w14:paraId="415080D0" w14:textId="77777777" w:rsidR="00ED75E0" w:rsidRPr="005F03C1" w:rsidRDefault="00ED75E0" w:rsidP="005B2AF1">
            <w:pPr>
              <w:pStyle w:val="Tabletext"/>
              <w:spacing w:before="0" w:after="0"/>
            </w:pPr>
            <w:r w:rsidRPr="005F03C1">
              <w:t>4-11 patients</w:t>
            </w:r>
          </w:p>
        </w:tc>
        <w:tc>
          <w:tcPr>
            <w:tcW w:w="704" w:type="pct"/>
          </w:tcPr>
          <w:p w14:paraId="486A93F0" w14:textId="77777777" w:rsidR="00ED75E0" w:rsidRPr="005F03C1" w:rsidRDefault="00ED75E0" w:rsidP="005B2AF1">
            <w:pPr>
              <w:pStyle w:val="Tabletext"/>
              <w:spacing w:before="0" w:after="0"/>
            </w:pPr>
            <w:r w:rsidRPr="005F03C1">
              <w:t>5-13 patients</w:t>
            </w:r>
          </w:p>
        </w:tc>
        <w:tc>
          <w:tcPr>
            <w:tcW w:w="605" w:type="pct"/>
          </w:tcPr>
          <w:p w14:paraId="3BBA3900" w14:textId="77777777" w:rsidR="00ED75E0" w:rsidRPr="005F03C1" w:rsidRDefault="00ED75E0" w:rsidP="005B2AF1">
            <w:pPr>
              <w:pStyle w:val="Tabletext"/>
              <w:spacing w:before="0" w:after="0"/>
            </w:pPr>
            <w:r w:rsidRPr="005F03C1">
              <w:t>11-27 patients</w:t>
            </w:r>
          </w:p>
          <w:p w14:paraId="72299488" w14:textId="77777777" w:rsidR="00ED75E0" w:rsidRPr="005F03C1" w:rsidRDefault="00ED75E0" w:rsidP="005B2AF1">
            <w:pPr>
              <w:pStyle w:val="Tabletext"/>
              <w:spacing w:before="0" w:after="0"/>
            </w:pPr>
          </w:p>
        </w:tc>
        <w:tc>
          <w:tcPr>
            <w:tcW w:w="1090" w:type="pct"/>
          </w:tcPr>
          <w:p w14:paraId="403415F3" w14:textId="77777777" w:rsidR="00ED75E0" w:rsidRPr="005F03C1" w:rsidRDefault="00ED75E0" w:rsidP="005B2AF1">
            <w:pPr>
              <w:pStyle w:val="Tabletext"/>
              <w:spacing w:before="0" w:after="0"/>
            </w:pPr>
            <w:r w:rsidRPr="005F03C1">
              <w:t xml:space="preserve">Erectile dysfunction experience by an additional 11-28% of patients following </w:t>
            </w:r>
            <w:proofErr w:type="spellStart"/>
            <w:r w:rsidRPr="005F03C1">
              <w:t>PCa</w:t>
            </w:r>
            <w:proofErr w:type="spellEnd"/>
            <w:r w:rsidRPr="005F03C1">
              <w:t xml:space="preserve"> treatment compared to those undergoing watchful waiting.</w:t>
            </w:r>
          </w:p>
        </w:tc>
      </w:tr>
      <w:tr w:rsidR="00ED75E0" w:rsidRPr="005F03C1" w14:paraId="5125BA90" w14:textId="77777777" w:rsidTr="008E4C81">
        <w:trPr>
          <w:trHeight w:val="397"/>
        </w:trPr>
        <w:tc>
          <w:tcPr>
            <w:tcW w:w="755" w:type="pct"/>
          </w:tcPr>
          <w:p w14:paraId="52778CF3" w14:textId="77777777" w:rsidR="00ED75E0" w:rsidRPr="005F03C1" w:rsidRDefault="00ED75E0" w:rsidP="005B2AF1">
            <w:pPr>
              <w:pStyle w:val="Tabletext"/>
              <w:spacing w:before="0" w:after="0"/>
            </w:pPr>
            <w:r w:rsidRPr="005F03C1">
              <w:t>24 month incontinence</w:t>
            </w:r>
          </w:p>
        </w:tc>
        <w:tc>
          <w:tcPr>
            <w:tcW w:w="574" w:type="pct"/>
          </w:tcPr>
          <w:p w14:paraId="4F67310D" w14:textId="77777777" w:rsidR="00ED75E0" w:rsidRPr="005F03C1" w:rsidRDefault="00ED75E0" w:rsidP="005B2AF1">
            <w:pPr>
              <w:pStyle w:val="Tabletext"/>
              <w:spacing w:before="0" w:after="0"/>
            </w:pPr>
            <w:r w:rsidRPr="005F03C1">
              <w:t>1 systematic review, 2,365 patients</w:t>
            </w:r>
          </w:p>
        </w:tc>
        <w:tc>
          <w:tcPr>
            <w:tcW w:w="517" w:type="pct"/>
          </w:tcPr>
          <w:p w14:paraId="44D19358" w14:textId="77777777" w:rsidR="00ED75E0" w:rsidRPr="005F03C1" w:rsidRDefault="00ED75E0" w:rsidP="005B2AF1">
            <w:pPr>
              <w:pStyle w:val="Tabletext"/>
              <w:spacing w:before="0" w:after="0"/>
              <w:rPr>
                <w:rFonts w:cs="Cambria Math"/>
              </w:rPr>
            </w:pPr>
            <w:r w:rsidRPr="008544C9">
              <w:rPr>
                <w:rFonts w:ascii="Cambria Math" w:hAnsi="Cambria Math"/>
                <w:color w:val="00B050"/>
              </w:rPr>
              <w:t>⨁⨁⨁</w:t>
            </w:r>
            <w:r w:rsidRPr="008544C9">
              <w:rPr>
                <w:rFonts w:ascii="Cambria Math" w:hAnsi="Cambria Math" w:cs="Cambria Math"/>
                <w:color w:val="C00000"/>
              </w:rPr>
              <w:t>⨀</w:t>
            </w:r>
            <w:r w:rsidRPr="005F03C1">
              <w:rPr>
                <w:rFonts w:cs="Cambria Math" w:hint="eastAsia"/>
              </w:rPr>
              <w:t xml:space="preserve"> </w:t>
            </w:r>
          </w:p>
          <w:p w14:paraId="370E65B8" w14:textId="77777777" w:rsidR="00ED75E0" w:rsidRPr="005F03C1" w:rsidRDefault="00ED75E0" w:rsidP="005B2AF1">
            <w:pPr>
              <w:pStyle w:val="Tabletext"/>
              <w:spacing w:before="0" w:after="0"/>
              <w:rPr>
                <w:rFonts w:cs="Arial"/>
              </w:rPr>
            </w:pPr>
          </w:p>
        </w:tc>
        <w:tc>
          <w:tcPr>
            <w:tcW w:w="755" w:type="pct"/>
          </w:tcPr>
          <w:p w14:paraId="3E611A03" w14:textId="77777777" w:rsidR="00ED75E0" w:rsidRPr="005F03C1" w:rsidRDefault="00ED75E0" w:rsidP="005B2AF1">
            <w:pPr>
              <w:pStyle w:val="Tabletext"/>
              <w:spacing w:before="0" w:after="0"/>
            </w:pPr>
            <w:r w:rsidRPr="005F03C1">
              <w:t>5-16 patients</w:t>
            </w:r>
          </w:p>
        </w:tc>
        <w:tc>
          <w:tcPr>
            <w:tcW w:w="704" w:type="pct"/>
          </w:tcPr>
          <w:p w14:paraId="2E2FBA96" w14:textId="77777777" w:rsidR="00ED75E0" w:rsidRPr="005F03C1" w:rsidRDefault="00ED75E0" w:rsidP="005B2AF1">
            <w:pPr>
              <w:pStyle w:val="Tabletext"/>
              <w:spacing w:before="0" w:after="0"/>
            </w:pPr>
            <w:r w:rsidRPr="005F03C1">
              <w:t>6-18 patients</w:t>
            </w:r>
          </w:p>
        </w:tc>
        <w:tc>
          <w:tcPr>
            <w:tcW w:w="605" w:type="pct"/>
          </w:tcPr>
          <w:p w14:paraId="7815C9A1" w14:textId="77777777" w:rsidR="00ED75E0" w:rsidRPr="005F03C1" w:rsidRDefault="00ED75E0" w:rsidP="005B2AF1">
            <w:pPr>
              <w:pStyle w:val="Tabletext"/>
              <w:spacing w:before="0" w:after="0"/>
            </w:pPr>
            <w:r w:rsidRPr="005F03C1">
              <w:t>12-39 patients</w:t>
            </w:r>
          </w:p>
        </w:tc>
        <w:tc>
          <w:tcPr>
            <w:tcW w:w="1090" w:type="pct"/>
          </w:tcPr>
          <w:p w14:paraId="76E52E14" w14:textId="77777777" w:rsidR="00ED75E0" w:rsidRPr="005F03C1" w:rsidRDefault="00ED75E0" w:rsidP="005B2AF1">
            <w:pPr>
              <w:pStyle w:val="Tabletext"/>
              <w:spacing w:before="0" w:after="0"/>
            </w:pPr>
            <w:r w:rsidRPr="005F03C1">
              <w:t xml:space="preserve">Urinary incontinence experience by an additional 12-40% of patients following </w:t>
            </w:r>
            <w:proofErr w:type="spellStart"/>
            <w:r w:rsidRPr="005F03C1">
              <w:t>PCa</w:t>
            </w:r>
            <w:proofErr w:type="spellEnd"/>
            <w:r w:rsidRPr="005F03C1">
              <w:t xml:space="preserve"> treatment compared to those undergoing watchful waiting.</w:t>
            </w:r>
          </w:p>
        </w:tc>
      </w:tr>
    </w:tbl>
    <w:p w14:paraId="2F73058C" w14:textId="77777777" w:rsidR="003440CE" w:rsidRPr="00376F27" w:rsidRDefault="00ED75E0" w:rsidP="005B2AF1">
      <w:pPr>
        <w:pStyle w:val="TableNotes"/>
        <w:keepLines w:val="0"/>
        <w:widowControl w:val="0"/>
        <w:spacing w:after="0" w:line="240" w:lineRule="auto"/>
        <w:rPr>
          <w:sz w:val="16"/>
          <w:szCs w:val="16"/>
        </w:rPr>
      </w:pPr>
      <w:r w:rsidRPr="00376F27">
        <w:rPr>
          <w:sz w:val="16"/>
          <w:szCs w:val="16"/>
          <w:vertAlign w:val="superscript"/>
        </w:rPr>
        <w:t xml:space="preserve">a </w:t>
      </w:r>
      <w:r w:rsidRPr="00376F27">
        <w:rPr>
          <w:sz w:val="16"/>
          <w:szCs w:val="16"/>
        </w:rPr>
        <w:t xml:space="preserve">GRADE Working Group grades of evidence </w:t>
      </w:r>
      <w:r w:rsidRPr="00376F27">
        <w:rPr>
          <w:sz w:val="16"/>
          <w:szCs w:val="16"/>
        </w:rPr>
        <w:fldChar w:fldCharType="begin"/>
      </w:r>
      <w:r w:rsidRPr="00376F27">
        <w:rPr>
          <w:sz w:val="16"/>
          <w:szCs w:val="16"/>
        </w:rPr>
        <w:instrText xml:space="preserve"> ADDIN EN.CITE &lt;EndNote&gt;&lt;Cite&gt;&lt;Author&gt;Guyatt&lt;/Author&gt;&lt;Year&gt;2013&lt;/Year&gt;&lt;RecNum&gt;166&lt;/RecNum&gt;&lt;DisplayText&gt;(Guyatt et al. 2013)&lt;/DisplayText&gt;&lt;record&gt;&lt;rec-number&gt;166&lt;/rec-number&gt;&lt;foreign-keys&gt;&lt;key app="EN" db-id="xzzrstesqpaavfe0te5p2zssvee5ervas2vt" timestamp="1469161165"&gt;166&lt;/key&gt;&lt;/foreign-keys&gt;&lt;ref-type name="Journal Article"&gt;17&lt;/ref-type&gt;&lt;contributors&gt;&lt;authors&gt;&lt;author&gt;Guyatt, G,&lt;/author&gt;&lt;author&gt;Oxman, AD,&lt;/author&gt;&lt;author&gt;Sultan, S, Brozek, J, Glasziou, P, Alonso-Coello, P, Atkins, D, Kunz, R, Montori, V, Jaeschke, R, Rind, D, Dahm, P, Akl, EA, Meerpohl, J, Vist, G, Berliner, E, Norris, S, Falck-Ytter, Y &amp;amp; Schunemann, HJ&lt;/author&gt;&lt;/authors&gt;&lt;/contributors&gt;&lt;titles&gt;&lt;title&gt;GRADE guidelines: 11. Making an overall rating of confidence in effect estimates for a single outcome and for all outcomes&lt;/title&gt;&lt;secondary-title&gt;J Clin Epidemiol&lt;/secondary-title&gt;&lt;/titles&gt;&lt;periodical&gt;&lt;full-title&gt;J Clin Epidemiol&lt;/full-title&gt;&lt;abbr-1&gt;Journal of clinical epidemiology&lt;/abbr-1&gt;&lt;/periodical&gt;&lt;pages&gt;151-157&lt;/pages&gt;&lt;volume&gt;66&lt;/volume&gt;&lt;number&gt;2&lt;/number&gt;&lt;dates&gt;&lt;year&gt;2013&lt;/year&gt;&lt;/dates&gt;&lt;urls&gt;&lt;/urls&gt;&lt;/record&gt;&lt;/Cite&gt;&lt;/EndNote&gt;</w:instrText>
      </w:r>
      <w:r w:rsidRPr="00376F27">
        <w:rPr>
          <w:sz w:val="16"/>
          <w:szCs w:val="16"/>
        </w:rPr>
        <w:fldChar w:fldCharType="separate"/>
      </w:r>
      <w:r w:rsidRPr="00376F27">
        <w:rPr>
          <w:noProof/>
          <w:sz w:val="16"/>
          <w:szCs w:val="16"/>
        </w:rPr>
        <w:t>(</w:t>
      </w:r>
      <w:hyperlink w:anchor="_ENREF_57" w:tooltip="Guyatt, 2013 #1" w:history="1">
        <w:r w:rsidRPr="00376F27">
          <w:rPr>
            <w:noProof/>
            <w:sz w:val="16"/>
            <w:szCs w:val="16"/>
          </w:rPr>
          <w:t>Guyatt et al. 2013</w:t>
        </w:r>
      </w:hyperlink>
      <w:r w:rsidRPr="00376F27">
        <w:rPr>
          <w:noProof/>
          <w:sz w:val="16"/>
          <w:szCs w:val="16"/>
        </w:rPr>
        <w:t>)</w:t>
      </w:r>
      <w:r w:rsidRPr="00376F27">
        <w:rPr>
          <w:sz w:val="16"/>
          <w:szCs w:val="16"/>
        </w:rPr>
        <w:fldChar w:fldCharType="end"/>
      </w:r>
      <w:r w:rsidRPr="00376F27">
        <w:rPr>
          <w:sz w:val="16"/>
          <w:szCs w:val="16"/>
        </w:rPr>
        <w:t>.</w:t>
      </w:r>
      <w:r w:rsidRPr="00376F27">
        <w:rPr>
          <w:sz w:val="16"/>
          <w:szCs w:val="16"/>
        </w:rPr>
        <w:br/>
        <w:t>Note the full version of this table is presented in Subsection B8</w:t>
      </w:r>
      <w:r w:rsidRPr="00376F27">
        <w:rPr>
          <w:sz w:val="16"/>
          <w:szCs w:val="16"/>
        </w:rPr>
        <w:br/>
      </w:r>
      <w:r w:rsidRPr="00376F27">
        <w:rPr>
          <w:rFonts w:ascii="Cambria Math" w:hAnsi="Cambria Math"/>
          <w:color w:val="00B050"/>
          <w:sz w:val="16"/>
          <w:szCs w:val="16"/>
        </w:rPr>
        <w:t xml:space="preserve">⨁⨁⨁⨁ </w:t>
      </w:r>
      <w:r w:rsidRPr="00376F27">
        <w:rPr>
          <w:b/>
          <w:bCs/>
          <w:sz w:val="16"/>
          <w:szCs w:val="16"/>
        </w:rPr>
        <w:t>High quality:</w:t>
      </w:r>
      <w:r w:rsidRPr="00376F27">
        <w:rPr>
          <w:sz w:val="16"/>
          <w:szCs w:val="16"/>
        </w:rPr>
        <w:t xml:space="preserve"> We are very confident that the true effect lies close to that of the estimate of effect. </w:t>
      </w:r>
      <w:r w:rsidRPr="00376F27">
        <w:rPr>
          <w:sz w:val="16"/>
          <w:szCs w:val="16"/>
        </w:rPr>
        <w:br/>
      </w:r>
      <w:r w:rsidRPr="00376F27">
        <w:rPr>
          <w:rFonts w:ascii="Cambria Math" w:hAnsi="Cambria Math"/>
          <w:color w:val="00B050"/>
          <w:sz w:val="16"/>
          <w:szCs w:val="16"/>
        </w:rPr>
        <w:t>⨁⨁⨁</w:t>
      </w:r>
      <w:r w:rsidRPr="00376F27">
        <w:rPr>
          <w:rFonts w:ascii="Cambria Math" w:hAnsi="Cambria Math" w:cs="Cambria Math"/>
          <w:color w:val="C00000"/>
          <w:sz w:val="16"/>
          <w:szCs w:val="16"/>
        </w:rPr>
        <w:t xml:space="preserve">⨀ </w:t>
      </w:r>
      <w:r w:rsidRPr="00376F27">
        <w:rPr>
          <w:b/>
          <w:bCs/>
          <w:sz w:val="16"/>
          <w:szCs w:val="16"/>
        </w:rPr>
        <w:t>Moderate quality:</w:t>
      </w:r>
      <w:r w:rsidRPr="00376F27">
        <w:rPr>
          <w:sz w:val="16"/>
          <w:szCs w:val="16"/>
        </w:rPr>
        <w:t xml:space="preserve"> We are moderately confident in the effect estimate: The true effect is likely to be close to the estimate of the effect, but there is a possibility that it is substantially different. </w:t>
      </w:r>
      <w:r w:rsidRPr="00376F27">
        <w:rPr>
          <w:sz w:val="16"/>
          <w:szCs w:val="16"/>
        </w:rPr>
        <w:br/>
      </w:r>
      <w:r w:rsidRPr="00376F27">
        <w:rPr>
          <w:rFonts w:ascii="Cambria Math" w:hAnsi="Cambria Math"/>
          <w:color w:val="00B050"/>
          <w:sz w:val="16"/>
          <w:szCs w:val="16"/>
        </w:rPr>
        <w:t>⨁⨁</w:t>
      </w:r>
      <w:r w:rsidRPr="00376F27">
        <w:rPr>
          <w:rFonts w:ascii="Cambria Math" w:hAnsi="Cambria Math" w:cs="Cambria Math"/>
          <w:color w:val="C00000"/>
          <w:sz w:val="16"/>
          <w:szCs w:val="16"/>
        </w:rPr>
        <w:t xml:space="preserve">⨀⨀ </w:t>
      </w:r>
      <w:r w:rsidRPr="00376F27">
        <w:rPr>
          <w:b/>
          <w:bCs/>
          <w:sz w:val="16"/>
          <w:szCs w:val="16"/>
        </w:rPr>
        <w:t>Low quality:</w:t>
      </w:r>
      <w:r w:rsidRPr="00376F27">
        <w:rPr>
          <w:sz w:val="16"/>
          <w:szCs w:val="16"/>
        </w:rPr>
        <w:t xml:space="preserve"> Our confidence in the effect estimate is limited: The true effect may be substantially different from the estimate of the effect.</w:t>
      </w:r>
      <w:r w:rsidRPr="00376F27">
        <w:rPr>
          <w:sz w:val="16"/>
          <w:szCs w:val="16"/>
        </w:rPr>
        <w:br/>
      </w:r>
      <w:r w:rsidRPr="00376F27">
        <w:rPr>
          <w:rFonts w:ascii="Cambria Math" w:hAnsi="Cambria Math"/>
          <w:color w:val="00B050"/>
          <w:sz w:val="16"/>
          <w:szCs w:val="16"/>
        </w:rPr>
        <w:t>⨁</w:t>
      </w:r>
      <w:r w:rsidRPr="00376F27">
        <w:rPr>
          <w:rFonts w:ascii="Cambria Math" w:hAnsi="Cambria Math" w:cs="Cambria Math"/>
          <w:color w:val="C00000"/>
          <w:sz w:val="16"/>
          <w:szCs w:val="16"/>
        </w:rPr>
        <w:t xml:space="preserve">⨀⨀⨀ </w:t>
      </w:r>
      <w:r w:rsidRPr="00376F27">
        <w:rPr>
          <w:b/>
          <w:bCs/>
          <w:sz w:val="16"/>
          <w:szCs w:val="16"/>
        </w:rPr>
        <w:t>Very low quality:</w:t>
      </w:r>
      <w:r w:rsidRPr="00376F27">
        <w:rPr>
          <w:sz w:val="16"/>
          <w:szCs w:val="16"/>
        </w:rPr>
        <w:t xml:space="preserve"> We have very little confidence in the effect estimate: The true effect is likely to be substantially different from the estimate of effect.</w:t>
      </w:r>
      <w:r w:rsidRPr="00376F27">
        <w:rPr>
          <w:sz w:val="16"/>
          <w:szCs w:val="16"/>
        </w:rPr>
        <w:br/>
      </w:r>
      <w:proofErr w:type="gramStart"/>
      <w:r w:rsidRPr="00376F27">
        <w:rPr>
          <w:sz w:val="16"/>
          <w:szCs w:val="16"/>
          <w:vertAlign w:val="superscript"/>
        </w:rPr>
        <w:t>b</w:t>
      </w:r>
      <w:proofErr w:type="gramEnd"/>
      <w:r w:rsidRPr="00376F27">
        <w:rPr>
          <w:sz w:val="16"/>
          <w:szCs w:val="16"/>
        </w:rPr>
        <w:t xml:space="preserve"> A prevalence of clinically significant </w:t>
      </w:r>
      <w:proofErr w:type="spellStart"/>
      <w:r w:rsidRPr="00376F27">
        <w:rPr>
          <w:sz w:val="16"/>
          <w:szCs w:val="16"/>
        </w:rPr>
        <w:t>PCa</w:t>
      </w:r>
      <w:proofErr w:type="spellEnd"/>
      <w:r w:rsidRPr="00376F27">
        <w:rPr>
          <w:sz w:val="16"/>
          <w:szCs w:val="16"/>
        </w:rPr>
        <w:t xml:space="preserve"> of 35.5% was sourced from </w:t>
      </w:r>
      <w:proofErr w:type="spellStart"/>
      <w:r w:rsidRPr="00376F27">
        <w:rPr>
          <w:sz w:val="16"/>
          <w:szCs w:val="16"/>
        </w:rPr>
        <w:t>Pokorny</w:t>
      </w:r>
      <w:proofErr w:type="spellEnd"/>
      <w:r w:rsidRPr="00376F27">
        <w:rPr>
          <w:sz w:val="16"/>
          <w:szCs w:val="16"/>
        </w:rPr>
        <w:t xml:space="preserve"> et al. For the detection of insignificant </w:t>
      </w:r>
      <w:proofErr w:type="spellStart"/>
      <w:r w:rsidRPr="00376F27">
        <w:rPr>
          <w:sz w:val="16"/>
          <w:szCs w:val="16"/>
        </w:rPr>
        <w:t>PCa</w:t>
      </w:r>
      <w:proofErr w:type="spellEnd"/>
      <w:r w:rsidRPr="00376F27">
        <w:rPr>
          <w:sz w:val="16"/>
          <w:szCs w:val="16"/>
        </w:rPr>
        <w:t xml:space="preserve"> </w:t>
      </w:r>
      <w:proofErr w:type="spellStart"/>
      <w:r w:rsidRPr="00376F27">
        <w:rPr>
          <w:sz w:val="16"/>
          <w:szCs w:val="16"/>
        </w:rPr>
        <w:t>mpMRI</w:t>
      </w:r>
      <w:proofErr w:type="spellEnd"/>
      <w:r w:rsidRPr="00376F27">
        <w:rPr>
          <w:sz w:val="16"/>
          <w:szCs w:val="16"/>
        </w:rPr>
        <w:t xml:space="preserve"> has a sensitivity of 0.332 (95% CI [0.195, 0.504]) </w:t>
      </w:r>
      <w:r w:rsidRPr="00376F27">
        <w:rPr>
          <w:sz w:val="16"/>
          <w:szCs w:val="16"/>
        </w:rPr>
        <w:br/>
      </w:r>
      <w:r w:rsidRPr="00376F27">
        <w:rPr>
          <w:sz w:val="16"/>
          <w:szCs w:val="16"/>
          <w:vertAlign w:val="superscript"/>
        </w:rPr>
        <w:t>c</w:t>
      </w:r>
      <w:r w:rsidRPr="00376F27">
        <w:rPr>
          <w:sz w:val="16"/>
          <w:szCs w:val="16"/>
        </w:rPr>
        <w:t xml:space="preserve"> Calculated using the reported sensitivity of TRUSGB biopsy for detection of significant </w:t>
      </w:r>
      <w:proofErr w:type="spellStart"/>
      <w:r w:rsidRPr="00376F27">
        <w:rPr>
          <w:sz w:val="16"/>
          <w:szCs w:val="16"/>
        </w:rPr>
        <w:t>PCa</w:t>
      </w:r>
      <w:proofErr w:type="spellEnd"/>
      <w:r w:rsidRPr="00376F27">
        <w:rPr>
          <w:sz w:val="16"/>
          <w:szCs w:val="16"/>
        </w:rPr>
        <w:t xml:space="preserve"> of 0.76 (95% CI [0.64, 0.84]), a sensitivity of 0.83 (95% CI [0.77, 0.87]) for the detection of insignificant disease and assuming TRUSGB had a specificity of 100%.</w:t>
      </w:r>
      <w:r w:rsidRPr="00376F27">
        <w:rPr>
          <w:sz w:val="16"/>
          <w:szCs w:val="16"/>
        </w:rPr>
        <w:br/>
        <w:t>TRUSGB = trans-rectal ultrasound-guided biopsy, TPUSGB = trans-perineal ultrasound-guided biopsy, NA = not applicable, CI = confidence interval.</w:t>
      </w:r>
    </w:p>
    <w:p w14:paraId="6AA8A087" w14:textId="77777777" w:rsidR="005B2AF1" w:rsidRDefault="005B2AF1" w:rsidP="005B2AF1">
      <w:pPr>
        <w:spacing w:before="240"/>
      </w:pPr>
      <w:r>
        <w:lastRenderedPageBreak/>
        <w:t xml:space="preserve">A selection of the </w:t>
      </w:r>
      <w:r w:rsidRPr="00366F69">
        <w:t xml:space="preserve">health outcomes associated </w:t>
      </w:r>
      <w:proofErr w:type="spellStart"/>
      <w:r w:rsidRPr="00366F69">
        <w:t>mpMRI</w:t>
      </w:r>
      <w:proofErr w:type="spellEnd"/>
      <w:r w:rsidRPr="00366F69">
        <w:t xml:space="preserve"> in </w:t>
      </w:r>
      <w:r w:rsidRPr="00EE6AEA">
        <w:rPr>
          <w:u w:val="single"/>
        </w:rPr>
        <w:t>Population 2</w:t>
      </w:r>
      <w:r w:rsidRPr="00366F69">
        <w:t xml:space="preserve"> are summarised in </w:t>
      </w:r>
      <w:r>
        <w:t>Table 5.</w:t>
      </w:r>
    </w:p>
    <w:p w14:paraId="7D2642F5" w14:textId="36C35877" w:rsidR="003440CE" w:rsidRPr="00366F69" w:rsidRDefault="00ED75E0" w:rsidP="00376F27">
      <w:pPr>
        <w:spacing w:before="240" w:after="240"/>
      </w:pPr>
      <w:r w:rsidRPr="00366F69">
        <w:t xml:space="preserve">Patients who have a false negative </w:t>
      </w:r>
      <w:proofErr w:type="spellStart"/>
      <w:r w:rsidRPr="00366F69">
        <w:t>mpMRI</w:t>
      </w:r>
      <w:proofErr w:type="spellEnd"/>
      <w:r w:rsidRPr="00366F69">
        <w:t xml:space="preserve"> will have their treatment delayed and remain on AS. One observational study was identified that assessed the impact of delayed treatment in this population and the quality of evidence was rated very low using the GRADE tool. </w:t>
      </w:r>
    </w:p>
    <w:p w14:paraId="1D348E74" w14:textId="7B75408F" w:rsidR="003440CE" w:rsidRPr="00366F69" w:rsidRDefault="00ED75E0" w:rsidP="00376F27">
      <w:pPr>
        <w:spacing w:after="240"/>
      </w:pPr>
      <w:r w:rsidRPr="00366F69">
        <w:t xml:space="preserve">Overall, assuming 30 per cent of patients in active surveillance programs will have their disease upgraded to require treatment, then for every 1,000 patients on surveillance programs, 358 patients will avoid a biopsy under the proposed </w:t>
      </w:r>
      <w:proofErr w:type="spellStart"/>
      <w:r w:rsidRPr="00366F69">
        <w:t>mpMRI</w:t>
      </w:r>
      <w:proofErr w:type="spellEnd"/>
      <w:r w:rsidRPr="00366F69">
        <w:t xml:space="preserve"> monitoring pathway. A total of 31 additional patients will experience a delay to disease upgrade being diagnosed under the proposed management. These numbers account for 20 per cent of patients with a negative </w:t>
      </w:r>
      <w:proofErr w:type="spellStart"/>
      <w:r w:rsidRPr="00366F69">
        <w:t>mpMRI</w:t>
      </w:r>
      <w:proofErr w:type="spellEnd"/>
      <w:r w:rsidRPr="00366F69">
        <w:t xml:space="preserve"> will have a biopsy due to meeting the criteria for ‘high concern’, as estimated by the applicant. If, as the applicant advises, the </w:t>
      </w:r>
      <w:proofErr w:type="gramStart"/>
      <w:r w:rsidRPr="00366F69">
        <w:t>incidence of disease upgrade</w:t>
      </w:r>
      <w:proofErr w:type="gramEnd"/>
      <w:r w:rsidRPr="00366F69">
        <w:t xml:space="preserve"> </w:t>
      </w:r>
      <w:r w:rsidR="002F3FCD">
        <w:t>decreases</w:t>
      </w:r>
      <w:r w:rsidRPr="00366F69">
        <w:t xml:space="preserve"> over time with better targeting of patients for active surveillance, then the number of avoided biopsies would be expected to increase. </w:t>
      </w:r>
    </w:p>
    <w:p w14:paraId="189A45F6" w14:textId="07A58A12" w:rsidR="003440CE" w:rsidRDefault="00ED75E0" w:rsidP="00376F27">
      <w:pPr>
        <w:spacing w:after="240"/>
      </w:pPr>
      <w:r w:rsidRPr="00366F69">
        <w:t xml:space="preserve">The relative safety of </w:t>
      </w:r>
      <w:proofErr w:type="spellStart"/>
      <w:r w:rsidRPr="00366F69">
        <w:t>mpMRI</w:t>
      </w:r>
      <w:proofErr w:type="spellEnd"/>
      <w:r w:rsidRPr="00366F69">
        <w:t xml:space="preserve"> and biopsy are discussed above for Population 1. There is no evidence that the relative harms associated with </w:t>
      </w:r>
      <w:proofErr w:type="spellStart"/>
      <w:r w:rsidRPr="00366F69">
        <w:t>mpMRI</w:t>
      </w:r>
      <w:proofErr w:type="spellEnd"/>
      <w:r w:rsidRPr="00366F69">
        <w:t xml:space="preserve"> and biopsy will be any different in Population 2 than those described above for Population 1, therefore </w:t>
      </w:r>
      <w:proofErr w:type="spellStart"/>
      <w:r w:rsidRPr="00366F69">
        <w:t>mpMRI</w:t>
      </w:r>
      <w:proofErr w:type="spellEnd"/>
      <w:r w:rsidRPr="00366F69">
        <w:t xml:space="preserve"> is suggested to have superior safety than TRUSGB and/or TPUSGB.</w:t>
      </w:r>
      <w:bookmarkStart w:id="16" w:name="_Ref457290198"/>
      <w:bookmarkStart w:id="17" w:name="_Toc470016488"/>
      <w:bookmarkStart w:id="18" w:name="_Toc471382700"/>
      <w:bookmarkStart w:id="19" w:name="_Toc456775909"/>
    </w:p>
    <w:p w14:paraId="0424176E" w14:textId="77777777" w:rsidR="00376F27" w:rsidRDefault="00376F27">
      <w:pPr>
        <w:rPr>
          <w:rFonts w:ascii="Arial Narrow" w:hAnsi="Arial Narrow" w:cs="Tahoma"/>
          <w:b/>
          <w:bCs/>
          <w:sz w:val="20"/>
          <w:szCs w:val="22"/>
        </w:rPr>
      </w:pPr>
      <w:r>
        <w:br w:type="page"/>
      </w:r>
    </w:p>
    <w:p w14:paraId="717AB698" w14:textId="1A21220D" w:rsidR="00ED75E0" w:rsidRPr="00466B3D" w:rsidRDefault="00ED75E0" w:rsidP="00111D72">
      <w:pPr>
        <w:pStyle w:val="Caption"/>
        <w:keepNext w:val="0"/>
        <w:widowControl w:val="0"/>
        <w:spacing w:after="0" w:line="240" w:lineRule="auto"/>
        <w:ind w:left="1134" w:hanging="1134"/>
        <w:jc w:val="left"/>
      </w:pPr>
      <w:r w:rsidRPr="00466B3D">
        <w:lastRenderedPageBreak/>
        <w:t xml:space="preserve">Table </w:t>
      </w:r>
      <w:bookmarkEnd w:id="16"/>
      <w:r w:rsidR="0037377A">
        <w:t>5</w:t>
      </w:r>
      <w:r>
        <w:rPr>
          <w:noProof/>
        </w:rPr>
        <w:tab/>
      </w:r>
      <w:r>
        <w:t xml:space="preserve">Population 2: Summary of findings for the linked evidence comparison of </w:t>
      </w:r>
      <w:proofErr w:type="spellStart"/>
      <w:r w:rsidRPr="00466B3D">
        <w:t>mpMRI</w:t>
      </w:r>
      <w:proofErr w:type="spellEnd"/>
      <w:r w:rsidRPr="00466B3D">
        <w:t>, relative to TRUSGB or TPUSGB, in patients on active surveillance with assumed pre-test probability (prevalence) for upgraded disease of 30%</w:t>
      </w:r>
      <w:bookmarkEnd w:id="17"/>
      <w:bookmarkEnd w:id="18"/>
      <w:r w:rsidRPr="00466B3D">
        <w:t xml:space="preserve"> </w:t>
      </w:r>
    </w:p>
    <w:tbl>
      <w:tblPr>
        <w:tblStyle w:val="TableGrid"/>
        <w:tblW w:w="5000" w:type="pct"/>
        <w:tblCellMar>
          <w:left w:w="28" w:type="dxa"/>
          <w:right w:w="28" w:type="dxa"/>
        </w:tblCellMar>
        <w:tblLook w:val="04A0" w:firstRow="1" w:lastRow="0" w:firstColumn="1" w:lastColumn="0" w:noHBand="0" w:noVBand="1"/>
        <w:tblDescription w:val="Summary of findings table for population 2 - selected relevant outcomes only "/>
      </w:tblPr>
      <w:tblGrid>
        <w:gridCol w:w="1226"/>
        <w:gridCol w:w="1493"/>
        <w:gridCol w:w="1181"/>
        <w:gridCol w:w="1055"/>
        <w:gridCol w:w="1217"/>
        <w:gridCol w:w="1217"/>
        <w:gridCol w:w="1693"/>
      </w:tblGrid>
      <w:tr w:rsidR="00ED75E0" w:rsidRPr="00BB5AAA" w14:paraId="0BB683A1" w14:textId="77777777" w:rsidTr="008E4C81">
        <w:trPr>
          <w:trHeight w:val="397"/>
          <w:tblHeader/>
        </w:trPr>
        <w:tc>
          <w:tcPr>
            <w:tcW w:w="675" w:type="pct"/>
          </w:tcPr>
          <w:p w14:paraId="0BBBE952" w14:textId="77777777" w:rsidR="00ED75E0" w:rsidRPr="00BB5AAA" w:rsidRDefault="00ED75E0" w:rsidP="005B2AF1">
            <w:pPr>
              <w:pStyle w:val="Tableheading"/>
              <w:spacing w:before="0" w:line="240" w:lineRule="auto"/>
            </w:pPr>
            <w:r w:rsidRPr="00BB5AAA">
              <w:t>Outcomes</w:t>
            </w:r>
          </w:p>
        </w:tc>
        <w:tc>
          <w:tcPr>
            <w:tcW w:w="822" w:type="pct"/>
          </w:tcPr>
          <w:p w14:paraId="42F2AB42" w14:textId="77777777" w:rsidR="00ED75E0" w:rsidRPr="00BB5AAA" w:rsidRDefault="00ED75E0" w:rsidP="005B2AF1">
            <w:pPr>
              <w:pStyle w:val="Tableheading"/>
              <w:spacing w:before="0" w:line="240" w:lineRule="auto"/>
            </w:pPr>
            <w:r w:rsidRPr="00BB5AAA">
              <w:t>Patients/Studies</w:t>
            </w:r>
          </w:p>
        </w:tc>
        <w:tc>
          <w:tcPr>
            <w:tcW w:w="650" w:type="pct"/>
          </w:tcPr>
          <w:p w14:paraId="72A0CCDA" w14:textId="77777777" w:rsidR="00ED75E0" w:rsidRPr="00BB5AAA" w:rsidRDefault="00ED75E0" w:rsidP="005B2AF1">
            <w:pPr>
              <w:pStyle w:val="Tableheading"/>
              <w:spacing w:before="0" w:line="240" w:lineRule="auto"/>
            </w:pPr>
            <w:r w:rsidRPr="00BB5AAA">
              <w:t xml:space="preserve">Quality of </w:t>
            </w:r>
            <w:proofErr w:type="spellStart"/>
            <w:r w:rsidRPr="00BB5AAA">
              <w:t>evidence</w:t>
            </w:r>
            <w:r w:rsidRPr="00BB5AAA">
              <w:rPr>
                <w:vertAlign w:val="superscript"/>
              </w:rPr>
              <w:t>a</w:t>
            </w:r>
            <w:proofErr w:type="spellEnd"/>
          </w:p>
        </w:tc>
        <w:tc>
          <w:tcPr>
            <w:tcW w:w="581" w:type="pct"/>
          </w:tcPr>
          <w:p w14:paraId="1DDFCB25" w14:textId="77777777" w:rsidR="00ED75E0" w:rsidRPr="00BB5AAA" w:rsidRDefault="00ED75E0" w:rsidP="005B2AF1">
            <w:pPr>
              <w:pStyle w:val="Tableheading"/>
              <w:spacing w:before="0" w:line="240" w:lineRule="auto"/>
              <w:rPr>
                <w:vertAlign w:val="superscript"/>
              </w:rPr>
            </w:pPr>
            <w:r w:rsidRPr="00BB5AAA">
              <w:t>No. per 100</w:t>
            </w:r>
            <w:r>
              <w:t>0</w:t>
            </w:r>
            <w:r w:rsidRPr="00BB5AAA">
              <w:t xml:space="preserve"> patients with </w:t>
            </w:r>
            <w:proofErr w:type="spellStart"/>
            <w:r>
              <w:t>mpMRI</w:t>
            </w:r>
            <w:r w:rsidRPr="00BB5AAA">
              <w:rPr>
                <w:vertAlign w:val="superscript"/>
              </w:rPr>
              <w:t>b</w:t>
            </w:r>
            <w:proofErr w:type="spellEnd"/>
          </w:p>
        </w:tc>
        <w:tc>
          <w:tcPr>
            <w:tcW w:w="670" w:type="pct"/>
          </w:tcPr>
          <w:p w14:paraId="2D811F56" w14:textId="77777777" w:rsidR="00ED75E0" w:rsidRPr="00BB5AAA" w:rsidRDefault="00ED75E0" w:rsidP="005B2AF1">
            <w:pPr>
              <w:pStyle w:val="Tableheading"/>
              <w:spacing w:before="0" w:line="240" w:lineRule="auto"/>
            </w:pPr>
            <w:r>
              <w:t xml:space="preserve">No. per 1000 patients with biopsy following </w:t>
            </w:r>
            <w:proofErr w:type="spellStart"/>
            <w:r>
              <w:t>mpMRI</w:t>
            </w:r>
            <w:proofErr w:type="spellEnd"/>
          </w:p>
        </w:tc>
        <w:tc>
          <w:tcPr>
            <w:tcW w:w="670" w:type="pct"/>
          </w:tcPr>
          <w:p w14:paraId="4D9BF85D" w14:textId="77777777" w:rsidR="00ED75E0" w:rsidRPr="00BB5AAA" w:rsidRDefault="00ED75E0" w:rsidP="005B2AF1">
            <w:pPr>
              <w:pStyle w:val="Tableheading"/>
              <w:spacing w:before="0" w:line="240" w:lineRule="auto"/>
              <w:rPr>
                <w:vertAlign w:val="superscript"/>
              </w:rPr>
            </w:pPr>
            <w:r w:rsidRPr="00BB5AAA">
              <w:t>No. per 100</w:t>
            </w:r>
            <w:r>
              <w:t>0</w:t>
            </w:r>
            <w:r w:rsidRPr="00BB5AAA">
              <w:t xml:space="preserve"> patients with </w:t>
            </w:r>
            <w:r>
              <w:t xml:space="preserve">biopsy </w:t>
            </w:r>
            <w:proofErr w:type="spellStart"/>
            <w:r>
              <w:t>only</w:t>
            </w:r>
            <w:r w:rsidRPr="00BB5AAA">
              <w:rPr>
                <w:vertAlign w:val="superscript"/>
              </w:rPr>
              <w:t>c</w:t>
            </w:r>
            <w:proofErr w:type="spellEnd"/>
          </w:p>
        </w:tc>
        <w:tc>
          <w:tcPr>
            <w:tcW w:w="932" w:type="pct"/>
          </w:tcPr>
          <w:p w14:paraId="7393E49E" w14:textId="77777777" w:rsidR="00ED75E0" w:rsidRPr="00BB5AAA" w:rsidRDefault="00ED75E0" w:rsidP="005B2AF1">
            <w:pPr>
              <w:pStyle w:val="Tableheading"/>
              <w:spacing w:before="0" w:line="240" w:lineRule="auto"/>
            </w:pPr>
            <w:r w:rsidRPr="00BB5AAA">
              <w:t>Comments</w:t>
            </w:r>
          </w:p>
        </w:tc>
      </w:tr>
      <w:tr w:rsidR="00ED75E0" w:rsidRPr="004A5C3A" w14:paraId="415EE99D" w14:textId="77777777" w:rsidTr="008E4C81">
        <w:trPr>
          <w:trHeight w:val="397"/>
        </w:trPr>
        <w:tc>
          <w:tcPr>
            <w:tcW w:w="675" w:type="pct"/>
          </w:tcPr>
          <w:p w14:paraId="73E45F46" w14:textId="77777777" w:rsidR="00ED75E0" w:rsidRPr="004A5C3A" w:rsidRDefault="00ED75E0" w:rsidP="005B2AF1">
            <w:pPr>
              <w:pStyle w:val="Tabletext"/>
              <w:spacing w:before="0" w:after="0"/>
            </w:pPr>
            <w:r w:rsidRPr="004A5C3A">
              <w:t>True positives</w:t>
            </w:r>
          </w:p>
        </w:tc>
        <w:tc>
          <w:tcPr>
            <w:tcW w:w="822" w:type="pct"/>
          </w:tcPr>
          <w:p w14:paraId="1B27EB94" w14:textId="77777777" w:rsidR="00ED75E0" w:rsidRPr="004A5C3A" w:rsidRDefault="00ED75E0" w:rsidP="005B2AF1">
            <w:pPr>
              <w:pStyle w:val="Tabletext"/>
              <w:spacing w:before="0" w:after="0"/>
            </w:pPr>
            <w:r w:rsidRPr="004A5C3A">
              <w:t>820 patients</w:t>
            </w:r>
          </w:p>
          <w:p w14:paraId="65855D03" w14:textId="77777777" w:rsidR="00ED75E0" w:rsidRPr="004A5C3A" w:rsidRDefault="00ED75E0" w:rsidP="005B2AF1">
            <w:pPr>
              <w:pStyle w:val="Tabletext"/>
              <w:spacing w:before="0" w:after="0"/>
            </w:pPr>
            <w:r>
              <w:t>(</w:t>
            </w:r>
            <w:r w:rsidRPr="004A5C3A">
              <w:t>6 studies</w:t>
            </w:r>
            <w:r>
              <w:t>).</w:t>
            </w:r>
          </w:p>
        </w:tc>
        <w:tc>
          <w:tcPr>
            <w:tcW w:w="650" w:type="pct"/>
          </w:tcPr>
          <w:p w14:paraId="484E2A89"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79C29991" w14:textId="77777777" w:rsidR="00ED75E0" w:rsidRPr="004A5C3A" w:rsidRDefault="00ED75E0" w:rsidP="005B2AF1">
            <w:pPr>
              <w:pStyle w:val="Tabletext"/>
              <w:spacing w:before="0" w:after="0"/>
            </w:pPr>
            <w:r>
              <w:t>238</w:t>
            </w:r>
          </w:p>
        </w:tc>
        <w:tc>
          <w:tcPr>
            <w:tcW w:w="670" w:type="pct"/>
          </w:tcPr>
          <w:p w14:paraId="398A3AAD" w14:textId="77777777" w:rsidR="00ED75E0" w:rsidRPr="004A5C3A" w:rsidDel="006B759A" w:rsidRDefault="00ED75E0" w:rsidP="005B2AF1">
            <w:pPr>
              <w:pStyle w:val="Tabletext"/>
              <w:spacing w:before="0" w:after="0"/>
            </w:pPr>
            <w:r>
              <w:t>190</w:t>
            </w:r>
          </w:p>
        </w:tc>
        <w:tc>
          <w:tcPr>
            <w:tcW w:w="670" w:type="pct"/>
          </w:tcPr>
          <w:p w14:paraId="06F9C103" w14:textId="77777777" w:rsidR="00ED75E0" w:rsidRPr="004A5C3A" w:rsidRDefault="00ED75E0" w:rsidP="005B2AF1">
            <w:pPr>
              <w:pStyle w:val="Tabletext"/>
              <w:spacing w:before="0" w:after="0"/>
            </w:pPr>
            <w:r>
              <w:t>280</w:t>
            </w:r>
          </w:p>
        </w:tc>
        <w:tc>
          <w:tcPr>
            <w:tcW w:w="932" w:type="pct"/>
          </w:tcPr>
          <w:p w14:paraId="366E527A" w14:textId="77777777" w:rsidR="00ED75E0" w:rsidRPr="004A5C3A" w:rsidRDefault="00ED75E0" w:rsidP="005B2AF1">
            <w:pPr>
              <w:pStyle w:val="Tabletext"/>
              <w:spacing w:before="0" w:after="0"/>
            </w:pPr>
            <w:r w:rsidRPr="004A5C3A">
              <w:t>Will undergo biopsy as under current management.</w:t>
            </w:r>
          </w:p>
        </w:tc>
      </w:tr>
      <w:tr w:rsidR="00ED75E0" w:rsidRPr="004A5C3A" w14:paraId="131694B0" w14:textId="77777777" w:rsidTr="008E4C81">
        <w:trPr>
          <w:trHeight w:val="397"/>
        </w:trPr>
        <w:tc>
          <w:tcPr>
            <w:tcW w:w="675" w:type="pct"/>
          </w:tcPr>
          <w:p w14:paraId="7134F6F6" w14:textId="77777777" w:rsidR="00ED75E0" w:rsidRPr="004A5C3A" w:rsidRDefault="00ED75E0" w:rsidP="005B2AF1">
            <w:pPr>
              <w:pStyle w:val="Tabletext"/>
              <w:spacing w:before="0" w:after="0"/>
            </w:pPr>
            <w:r w:rsidRPr="004A5C3A">
              <w:t>False positives</w:t>
            </w:r>
          </w:p>
        </w:tc>
        <w:tc>
          <w:tcPr>
            <w:tcW w:w="822" w:type="pct"/>
          </w:tcPr>
          <w:p w14:paraId="17F32DC9" w14:textId="77777777" w:rsidR="00ED75E0" w:rsidRPr="004A5C3A" w:rsidRDefault="00ED75E0" w:rsidP="005B2AF1">
            <w:pPr>
              <w:pStyle w:val="Tabletext"/>
              <w:spacing w:before="0" w:after="0"/>
            </w:pPr>
            <w:r w:rsidRPr="004A5C3A">
              <w:t>820 patients</w:t>
            </w:r>
          </w:p>
          <w:p w14:paraId="67303994" w14:textId="77777777" w:rsidR="00ED75E0" w:rsidRPr="004A5C3A" w:rsidRDefault="00ED75E0" w:rsidP="005B2AF1">
            <w:pPr>
              <w:pStyle w:val="Tabletext"/>
              <w:spacing w:before="0" w:after="0"/>
            </w:pPr>
            <w:r>
              <w:t>(</w:t>
            </w:r>
            <w:r w:rsidRPr="004A5C3A">
              <w:t>6 studies</w:t>
            </w:r>
            <w:r>
              <w:t>).</w:t>
            </w:r>
          </w:p>
        </w:tc>
        <w:tc>
          <w:tcPr>
            <w:tcW w:w="650" w:type="pct"/>
          </w:tcPr>
          <w:p w14:paraId="401DE07F"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553A3A08" w14:textId="77777777" w:rsidR="00ED75E0" w:rsidRPr="004A5C3A" w:rsidRDefault="00ED75E0" w:rsidP="005B2AF1">
            <w:pPr>
              <w:pStyle w:val="Tabletext"/>
              <w:spacing w:before="0" w:after="0"/>
            </w:pPr>
            <w:r w:rsidRPr="004A5C3A">
              <w:t>31</w:t>
            </w:r>
            <w:r>
              <w:t>4</w:t>
            </w:r>
          </w:p>
        </w:tc>
        <w:tc>
          <w:tcPr>
            <w:tcW w:w="670" w:type="pct"/>
          </w:tcPr>
          <w:p w14:paraId="35D13334" w14:textId="77777777" w:rsidR="00ED75E0" w:rsidRPr="004A5C3A" w:rsidRDefault="00ED75E0" w:rsidP="005B2AF1">
            <w:pPr>
              <w:pStyle w:val="Tabletext"/>
              <w:spacing w:before="0" w:after="0"/>
            </w:pPr>
            <w:r>
              <w:t>0</w:t>
            </w:r>
          </w:p>
        </w:tc>
        <w:tc>
          <w:tcPr>
            <w:tcW w:w="670" w:type="pct"/>
          </w:tcPr>
          <w:p w14:paraId="35A613C1" w14:textId="77777777" w:rsidR="00ED75E0" w:rsidRPr="004A5C3A" w:rsidRDefault="00ED75E0" w:rsidP="005B2AF1">
            <w:pPr>
              <w:pStyle w:val="Tabletext"/>
              <w:spacing w:before="0" w:after="0"/>
            </w:pPr>
            <w:r w:rsidRPr="004A5C3A">
              <w:t>0</w:t>
            </w:r>
          </w:p>
        </w:tc>
        <w:tc>
          <w:tcPr>
            <w:tcW w:w="932" w:type="pct"/>
          </w:tcPr>
          <w:p w14:paraId="3F509FFD" w14:textId="77777777" w:rsidR="00ED75E0" w:rsidRPr="004A5C3A" w:rsidRDefault="00ED75E0" w:rsidP="005B2AF1">
            <w:pPr>
              <w:pStyle w:val="Tabletext"/>
              <w:spacing w:before="0" w:after="0"/>
            </w:pPr>
            <w:r w:rsidRPr="004A5C3A">
              <w:t>Will undergo biopsy as under current management.</w:t>
            </w:r>
          </w:p>
        </w:tc>
      </w:tr>
      <w:tr w:rsidR="00ED75E0" w:rsidRPr="004A5C3A" w14:paraId="0812B0DB" w14:textId="77777777" w:rsidTr="008E4C81">
        <w:trPr>
          <w:trHeight w:val="397"/>
        </w:trPr>
        <w:tc>
          <w:tcPr>
            <w:tcW w:w="675" w:type="pct"/>
          </w:tcPr>
          <w:p w14:paraId="6452ED5E" w14:textId="77777777" w:rsidR="00ED75E0" w:rsidRPr="004A5C3A" w:rsidRDefault="00ED75E0" w:rsidP="005B2AF1">
            <w:pPr>
              <w:pStyle w:val="Tabletext"/>
              <w:spacing w:before="0" w:after="0"/>
            </w:pPr>
            <w:r w:rsidRPr="004A5C3A">
              <w:t>True negatives</w:t>
            </w:r>
          </w:p>
        </w:tc>
        <w:tc>
          <w:tcPr>
            <w:tcW w:w="822" w:type="pct"/>
          </w:tcPr>
          <w:p w14:paraId="5C690949" w14:textId="77777777" w:rsidR="00ED75E0" w:rsidRPr="004A5C3A" w:rsidRDefault="00ED75E0" w:rsidP="005B2AF1">
            <w:pPr>
              <w:pStyle w:val="Tabletext"/>
              <w:spacing w:before="0" w:after="0"/>
            </w:pPr>
            <w:r w:rsidRPr="004A5C3A">
              <w:t>820 patients</w:t>
            </w:r>
          </w:p>
          <w:p w14:paraId="44962311" w14:textId="77777777" w:rsidR="00ED75E0" w:rsidRPr="004A5C3A" w:rsidRDefault="00ED75E0" w:rsidP="005B2AF1">
            <w:pPr>
              <w:pStyle w:val="Tabletext"/>
              <w:spacing w:before="0" w:after="0"/>
            </w:pPr>
            <w:r>
              <w:t>(</w:t>
            </w:r>
            <w:r w:rsidRPr="004A5C3A">
              <w:t>6 studies</w:t>
            </w:r>
            <w:r>
              <w:t>).</w:t>
            </w:r>
          </w:p>
        </w:tc>
        <w:tc>
          <w:tcPr>
            <w:tcW w:w="650" w:type="pct"/>
          </w:tcPr>
          <w:p w14:paraId="4ECC0C15"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04F8515B" w14:textId="77777777" w:rsidR="00ED75E0" w:rsidRPr="004A5C3A" w:rsidRDefault="00ED75E0" w:rsidP="005B2AF1">
            <w:pPr>
              <w:pStyle w:val="Tabletext"/>
              <w:spacing w:before="0" w:after="0"/>
            </w:pPr>
            <w:r>
              <w:t>386</w:t>
            </w:r>
          </w:p>
        </w:tc>
        <w:tc>
          <w:tcPr>
            <w:tcW w:w="670" w:type="pct"/>
          </w:tcPr>
          <w:p w14:paraId="4555CDB9" w14:textId="77777777" w:rsidR="00ED75E0" w:rsidRPr="004A5C3A" w:rsidRDefault="00ED75E0" w:rsidP="005B2AF1">
            <w:pPr>
              <w:pStyle w:val="Tabletext"/>
              <w:spacing w:before="0" w:after="0"/>
            </w:pPr>
            <w:r>
              <w:t>386</w:t>
            </w:r>
          </w:p>
        </w:tc>
        <w:tc>
          <w:tcPr>
            <w:tcW w:w="670" w:type="pct"/>
          </w:tcPr>
          <w:p w14:paraId="07C21EDB" w14:textId="77777777" w:rsidR="00ED75E0" w:rsidRPr="004A5C3A" w:rsidRDefault="00ED75E0" w:rsidP="005B2AF1">
            <w:pPr>
              <w:pStyle w:val="Tabletext"/>
              <w:spacing w:before="0" w:after="0"/>
            </w:pPr>
            <w:r w:rsidRPr="004A5C3A">
              <w:t>65</w:t>
            </w:r>
            <w:r>
              <w:t>5</w:t>
            </w:r>
          </w:p>
        </w:tc>
        <w:tc>
          <w:tcPr>
            <w:tcW w:w="932" w:type="pct"/>
          </w:tcPr>
          <w:p w14:paraId="3D267992" w14:textId="77777777" w:rsidR="00ED75E0" w:rsidRPr="004A5C3A" w:rsidRDefault="00ED75E0" w:rsidP="005B2AF1">
            <w:pPr>
              <w:pStyle w:val="Tabletext"/>
              <w:spacing w:before="0" w:after="0"/>
            </w:pPr>
            <w:r>
              <w:t>Potential to avoid biopsy</w:t>
            </w:r>
          </w:p>
        </w:tc>
      </w:tr>
      <w:tr w:rsidR="00ED75E0" w:rsidRPr="004A5C3A" w14:paraId="1A402FB9" w14:textId="77777777" w:rsidTr="008E4C81">
        <w:trPr>
          <w:trHeight w:val="397"/>
        </w:trPr>
        <w:tc>
          <w:tcPr>
            <w:tcW w:w="675" w:type="pct"/>
          </w:tcPr>
          <w:p w14:paraId="50177ABA" w14:textId="77777777" w:rsidR="00ED75E0" w:rsidRPr="004A5C3A" w:rsidRDefault="00ED75E0" w:rsidP="005B2AF1">
            <w:pPr>
              <w:pStyle w:val="Tabletext"/>
              <w:spacing w:before="0" w:after="0"/>
            </w:pPr>
            <w:r w:rsidRPr="004A5C3A">
              <w:t xml:space="preserve">False negatives </w:t>
            </w:r>
          </w:p>
        </w:tc>
        <w:tc>
          <w:tcPr>
            <w:tcW w:w="822" w:type="pct"/>
          </w:tcPr>
          <w:p w14:paraId="2FCC221D" w14:textId="77777777" w:rsidR="00ED75E0" w:rsidRPr="004A5C3A" w:rsidRDefault="00ED75E0" w:rsidP="005B2AF1">
            <w:pPr>
              <w:pStyle w:val="Tabletext"/>
              <w:spacing w:before="0" w:after="0"/>
            </w:pPr>
            <w:r w:rsidRPr="004A5C3A">
              <w:t>820 patients</w:t>
            </w:r>
          </w:p>
          <w:p w14:paraId="454585A1" w14:textId="77777777" w:rsidR="00ED75E0" w:rsidRPr="004A5C3A" w:rsidRDefault="00ED75E0" w:rsidP="005B2AF1">
            <w:pPr>
              <w:pStyle w:val="Tabletext"/>
              <w:spacing w:before="0" w:after="0"/>
            </w:pPr>
            <w:r>
              <w:t>(</w:t>
            </w:r>
            <w:r w:rsidRPr="004A5C3A">
              <w:t>6 studies</w:t>
            </w:r>
            <w:r>
              <w:t>).</w:t>
            </w:r>
          </w:p>
        </w:tc>
        <w:tc>
          <w:tcPr>
            <w:tcW w:w="650" w:type="pct"/>
          </w:tcPr>
          <w:p w14:paraId="17245C30"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68F16A16" w14:textId="77777777" w:rsidR="00ED75E0" w:rsidRPr="004A5C3A" w:rsidRDefault="00ED75E0" w:rsidP="005B2AF1">
            <w:pPr>
              <w:pStyle w:val="Tabletext"/>
              <w:spacing w:before="0" w:after="0"/>
            </w:pPr>
            <w:r>
              <w:t>62</w:t>
            </w:r>
          </w:p>
        </w:tc>
        <w:tc>
          <w:tcPr>
            <w:tcW w:w="670" w:type="pct"/>
          </w:tcPr>
          <w:p w14:paraId="107FC73B" w14:textId="77777777" w:rsidR="00ED75E0" w:rsidRPr="004A5C3A" w:rsidDel="006B759A" w:rsidRDefault="00ED75E0" w:rsidP="005B2AF1">
            <w:pPr>
              <w:pStyle w:val="Tabletext"/>
              <w:spacing w:before="0" w:after="0"/>
            </w:pPr>
            <w:r>
              <w:t>101</w:t>
            </w:r>
          </w:p>
        </w:tc>
        <w:tc>
          <w:tcPr>
            <w:tcW w:w="670" w:type="pct"/>
          </w:tcPr>
          <w:p w14:paraId="110AD1DE" w14:textId="77777777" w:rsidR="00ED75E0" w:rsidRPr="004A5C3A" w:rsidRDefault="00ED75E0" w:rsidP="005B2AF1">
            <w:pPr>
              <w:pStyle w:val="Tabletext"/>
              <w:spacing w:before="0" w:after="0"/>
            </w:pPr>
            <w:r>
              <w:t>70</w:t>
            </w:r>
          </w:p>
        </w:tc>
        <w:tc>
          <w:tcPr>
            <w:tcW w:w="932" w:type="pct"/>
          </w:tcPr>
          <w:p w14:paraId="6721E44C" w14:textId="77777777" w:rsidR="00ED75E0" w:rsidRPr="004A5C3A" w:rsidRDefault="00ED75E0" w:rsidP="005B2AF1">
            <w:pPr>
              <w:pStyle w:val="Tabletext"/>
              <w:spacing w:before="0" w:after="0"/>
            </w:pPr>
            <w:r>
              <w:t>Potential to avoid biopsy but</w:t>
            </w:r>
            <w:r w:rsidRPr="004A5C3A">
              <w:t xml:space="preserve"> possible detriment due to delayed treatment.</w:t>
            </w:r>
          </w:p>
        </w:tc>
      </w:tr>
      <w:tr w:rsidR="00ED75E0" w:rsidRPr="004A5C3A" w14:paraId="186B724D" w14:textId="77777777" w:rsidTr="008E4C81">
        <w:trPr>
          <w:trHeight w:val="397"/>
        </w:trPr>
        <w:tc>
          <w:tcPr>
            <w:tcW w:w="675" w:type="pct"/>
          </w:tcPr>
          <w:p w14:paraId="2B738634" w14:textId="77777777" w:rsidR="00ED75E0" w:rsidRPr="004A5C3A" w:rsidRDefault="00ED75E0" w:rsidP="005B2AF1">
            <w:pPr>
              <w:pStyle w:val="Tabletext"/>
              <w:spacing w:before="0" w:after="0"/>
            </w:pPr>
            <w:r w:rsidRPr="004A5C3A">
              <w:t>Positive surgical margins</w:t>
            </w:r>
          </w:p>
        </w:tc>
        <w:tc>
          <w:tcPr>
            <w:tcW w:w="822" w:type="pct"/>
          </w:tcPr>
          <w:p w14:paraId="09F04300" w14:textId="77777777" w:rsidR="00ED75E0" w:rsidRPr="004A5C3A" w:rsidRDefault="00ED75E0" w:rsidP="005B2AF1">
            <w:pPr>
              <w:pStyle w:val="Tabletext"/>
              <w:spacing w:before="0" w:after="0"/>
            </w:pPr>
            <w:r w:rsidRPr="004A5C3A">
              <w:t>219 patients</w:t>
            </w:r>
          </w:p>
          <w:p w14:paraId="6146FCC3" w14:textId="77777777" w:rsidR="00ED75E0" w:rsidRPr="004A5C3A" w:rsidRDefault="00ED75E0" w:rsidP="005B2AF1">
            <w:pPr>
              <w:pStyle w:val="Tabletext"/>
              <w:spacing w:before="0" w:after="0"/>
            </w:pPr>
            <w:r>
              <w:t>(</w:t>
            </w:r>
            <w:r w:rsidRPr="004A5C3A">
              <w:t>1 study</w:t>
            </w:r>
            <w:r>
              <w:t>).</w:t>
            </w:r>
          </w:p>
        </w:tc>
        <w:tc>
          <w:tcPr>
            <w:tcW w:w="650" w:type="pct"/>
          </w:tcPr>
          <w:p w14:paraId="7B5BB3A8" w14:textId="77777777" w:rsidR="00ED75E0" w:rsidRPr="004A5C3A" w:rsidRDefault="00ED75E0" w:rsidP="005B2AF1">
            <w:pPr>
              <w:pStyle w:val="Tabletext"/>
              <w:spacing w:before="0" w:after="0"/>
            </w:pPr>
            <w:r>
              <w:rPr>
                <w:rFonts w:ascii="Cambria Math" w:hAnsi="Cambria Math"/>
                <w:color w:val="00B050"/>
              </w:rPr>
              <w:t>⨁</w:t>
            </w:r>
            <w:r w:rsidRPr="00D4733A">
              <w:rPr>
                <w:rFonts w:ascii="Cambria Math" w:hAnsi="Cambria Math" w:cs="Cambria Math"/>
                <w:color w:val="C00000"/>
              </w:rPr>
              <w:t>⨀⨀⨀</w:t>
            </w:r>
          </w:p>
        </w:tc>
        <w:tc>
          <w:tcPr>
            <w:tcW w:w="581" w:type="pct"/>
          </w:tcPr>
          <w:p w14:paraId="080826AD" w14:textId="77777777" w:rsidR="00ED75E0" w:rsidRPr="004A5C3A" w:rsidRDefault="00ED75E0" w:rsidP="005B2AF1">
            <w:pPr>
              <w:pStyle w:val="Tabletext"/>
              <w:spacing w:before="0" w:after="0"/>
            </w:pPr>
            <w:r w:rsidRPr="009A4EBF">
              <w:t>NA</w:t>
            </w:r>
          </w:p>
        </w:tc>
        <w:tc>
          <w:tcPr>
            <w:tcW w:w="670" w:type="pct"/>
          </w:tcPr>
          <w:p w14:paraId="3BC06B07" w14:textId="77777777" w:rsidR="00ED75E0" w:rsidRPr="004A5C3A" w:rsidRDefault="00ED75E0" w:rsidP="005B2AF1">
            <w:pPr>
              <w:pStyle w:val="Tabletext"/>
              <w:spacing w:before="0" w:after="0"/>
            </w:pPr>
            <w:r>
              <w:t>NA</w:t>
            </w:r>
          </w:p>
        </w:tc>
        <w:tc>
          <w:tcPr>
            <w:tcW w:w="670" w:type="pct"/>
          </w:tcPr>
          <w:p w14:paraId="5FD6BD83" w14:textId="77777777" w:rsidR="00ED75E0" w:rsidRPr="004A5C3A" w:rsidRDefault="00ED75E0" w:rsidP="005B2AF1">
            <w:pPr>
              <w:pStyle w:val="Tabletext"/>
              <w:spacing w:before="0" w:after="0"/>
            </w:pPr>
            <w:r w:rsidRPr="004A5C3A">
              <w:t>NA</w:t>
            </w:r>
          </w:p>
        </w:tc>
        <w:tc>
          <w:tcPr>
            <w:tcW w:w="932" w:type="pct"/>
          </w:tcPr>
          <w:p w14:paraId="4C313FDA" w14:textId="77777777" w:rsidR="00ED75E0" w:rsidRPr="004A5C3A" w:rsidRDefault="00ED75E0" w:rsidP="005B2AF1">
            <w:pPr>
              <w:pStyle w:val="Tabletext"/>
              <w:spacing w:before="0" w:after="0"/>
            </w:pPr>
            <w:r w:rsidRPr="004A5C3A">
              <w:t>There is no evidence that delayed treatment increases the rate of positive surgical margins</w:t>
            </w:r>
            <w:r>
              <w:t>.</w:t>
            </w:r>
          </w:p>
        </w:tc>
      </w:tr>
    </w:tbl>
    <w:p w14:paraId="6D0CC139" w14:textId="77777777" w:rsidR="00ED75E0" w:rsidRPr="005B2AF1" w:rsidRDefault="00ED75E0" w:rsidP="005B2AF1">
      <w:pPr>
        <w:pStyle w:val="TableNotes"/>
        <w:spacing w:line="240" w:lineRule="auto"/>
      </w:pPr>
      <w:r w:rsidRPr="000401E7">
        <w:rPr>
          <w:vertAlign w:val="superscript"/>
        </w:rPr>
        <w:t>a</w:t>
      </w:r>
      <w:r>
        <w:t>:</w:t>
      </w:r>
      <w:r w:rsidRPr="000401E7">
        <w:t xml:space="preserve"> GRADE Working Group grades of evidence </w:t>
      </w:r>
      <w:r>
        <w:fldChar w:fldCharType="begin"/>
      </w:r>
      <w:r>
        <w:instrText xml:space="preserve"> ADDIN EN.CITE &lt;EndNote&gt;&lt;Cite&gt;&lt;Author&gt;Guyatt&lt;/Author&gt;&lt;Year&gt;2013&lt;/Year&gt;&lt;RecNum&gt;166&lt;/RecNum&gt;&lt;DisplayText&gt;(Guyatt et al. 2013)&lt;/DisplayText&gt;&lt;record&gt;&lt;rec-number&gt;166&lt;/rec-number&gt;&lt;foreign-keys&gt;&lt;key app="EN" db-id="xzzrstesqpaavfe0te5p2zssvee5ervas2vt" timestamp="1469161165"&gt;166&lt;/key&gt;&lt;/foreign-keys&gt;&lt;ref-type name="Journal Article"&gt;17&lt;/ref-type&gt;&lt;contributors&gt;&lt;authors&gt;&lt;author&gt;Guyatt, G,&lt;/author&gt;&lt;author&gt;Oxman, AD,&lt;/author&gt;&lt;author&gt;Sultan, S, Brozek, J, Glasziou, P, Alonso-Coello, P, Atkins, D, Kunz, R, Montori, V, Jaeschke, R, Rind, D, Dahm, P, Akl, EA, Meerpohl, J, Vist, G, Berliner, E, Norris, S, Falck-Ytter, Y &amp;amp; Schunemann, HJ&lt;/author&gt;&lt;/authors&gt;&lt;/contributors&gt;&lt;titles&gt;&lt;title&gt;GRADE guidelines: 11. Making an overall rating of confidence in effect estimates for a single outcome and for all outcomes&lt;/title&gt;&lt;secondary-title&gt;J Clin Epidemiol&lt;/secondary-title&gt;&lt;/titles&gt;&lt;periodical&gt;&lt;full-title&gt;J Clin Epidemiol&lt;/full-title&gt;&lt;abbr-1&gt;Journal of clinical epidemiology&lt;/abbr-1&gt;&lt;/periodical&gt;&lt;pages&gt;151-157&lt;/pages&gt;&lt;volume&gt;66&lt;/volume&gt;&lt;number&gt;2&lt;/number&gt;&lt;dates&gt;&lt;year&gt;2013&lt;/year&gt;&lt;/dates&gt;&lt;urls&gt;&lt;/urls&gt;&lt;/record&gt;&lt;/Cite&gt;&lt;/EndNote&gt;</w:instrText>
      </w:r>
      <w:r>
        <w:fldChar w:fldCharType="separate"/>
      </w:r>
      <w:r>
        <w:rPr>
          <w:noProof/>
        </w:rPr>
        <w:t>(</w:t>
      </w:r>
      <w:hyperlink w:anchor="_ENREF_57" w:tooltip="Guyatt, 2013 #1" w:history="1">
        <w:r>
          <w:rPr>
            <w:noProof/>
          </w:rPr>
          <w:t>Guyatt et al. 2013</w:t>
        </w:r>
      </w:hyperlink>
      <w:r>
        <w:rPr>
          <w:noProof/>
        </w:rPr>
        <w:t>)</w:t>
      </w:r>
      <w:r>
        <w:fldChar w:fldCharType="end"/>
      </w:r>
      <w:r>
        <w:t>.</w:t>
      </w:r>
      <w:r>
        <w:br/>
        <w:t>Note this is a summary of key outcomes, for the full table of outcomes see Subsection B8 of the report</w:t>
      </w:r>
      <w:r w:rsidRPr="000401E7">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r>
        <w:br/>
      </w:r>
      <w:proofErr w:type="gramStart"/>
      <w:r w:rsidRPr="00DE757E">
        <w:rPr>
          <w:vertAlign w:val="superscript"/>
        </w:rPr>
        <w:t>b</w:t>
      </w:r>
      <w:proofErr w:type="gramEnd"/>
      <w:r>
        <w:t xml:space="preserve">: A prevalence of </w:t>
      </w:r>
      <w:proofErr w:type="spellStart"/>
      <w:r>
        <w:t>PCa</w:t>
      </w:r>
      <w:proofErr w:type="spellEnd"/>
      <w:r>
        <w:t xml:space="preserve"> upgrade of 30% was provided by the Applicant. Only low-concern patients have been included in this assessment as there is no change in management for patients at high-concern, regardless of </w:t>
      </w:r>
      <w:proofErr w:type="spellStart"/>
      <w:r>
        <w:t>mpMRI</w:t>
      </w:r>
      <w:proofErr w:type="spellEnd"/>
      <w:r>
        <w:t xml:space="preserve"> results.</w:t>
      </w:r>
      <w:r>
        <w:br/>
      </w:r>
      <w:proofErr w:type="gramStart"/>
      <w:r w:rsidRPr="00882CD9">
        <w:rPr>
          <w:vertAlign w:val="superscript"/>
        </w:rPr>
        <w:t>c</w:t>
      </w:r>
      <w:proofErr w:type="gramEnd"/>
      <w:r>
        <w:t>:</w:t>
      </w:r>
      <w:r>
        <w:rPr>
          <w:b/>
          <w:vertAlign w:val="superscript"/>
        </w:rPr>
        <w:t xml:space="preserve"> </w:t>
      </w:r>
      <w:r>
        <w:t>Calculated using the reported sensitivity of TRUSGB biopsy of 0.81 (95% CI [0.70, 0.88]) and assuming TRUSGB had a specificity of 100%</w:t>
      </w:r>
      <w:r>
        <w:br/>
        <w:t>TRUSGB = trans-rectal ultrasound-guided biopsy, TPUSGB = trans-perineal ultrasound-guided biopsy, NA = not applicable, CI = confidence interval.</w:t>
      </w:r>
      <w:bookmarkEnd w:id="19"/>
    </w:p>
    <w:p w14:paraId="1D5D8BF7" w14:textId="77777777" w:rsidR="00ED75E0" w:rsidRDefault="00F37B9C" w:rsidP="00BA67A5">
      <w:pPr>
        <w:pStyle w:val="Heading2"/>
      </w:pPr>
      <w:r w:rsidRPr="00F37B9C">
        <w:t>Clinical Claim</w:t>
      </w:r>
    </w:p>
    <w:p w14:paraId="28CF37B5" w14:textId="2A711D3F" w:rsidR="00AF7A19" w:rsidRDefault="00D076CD" w:rsidP="00F715D1">
      <w:pPr>
        <w:tabs>
          <w:tab w:val="left" w:pos="720"/>
          <w:tab w:val="left" w:pos="1140"/>
        </w:tabs>
        <w:spacing w:after="240"/>
        <w:rPr>
          <w:b/>
          <w:szCs w:val="24"/>
        </w:rPr>
      </w:pPr>
      <w:r>
        <w:t>Prostate</w:t>
      </w:r>
      <w:r w:rsidRPr="0085332C">
        <w:t xml:space="preserve"> </w:t>
      </w:r>
      <w:proofErr w:type="spellStart"/>
      <w:r w:rsidRPr="0085332C">
        <w:t>mpMRI</w:t>
      </w:r>
      <w:proofErr w:type="spellEnd"/>
      <w:r w:rsidRPr="0085332C">
        <w:t xml:space="preserve"> </w:t>
      </w:r>
      <w:r>
        <w:t>is claimed to</w:t>
      </w:r>
      <w:r w:rsidRPr="0085332C">
        <w:t xml:space="preserve"> have </w:t>
      </w:r>
      <w:r w:rsidR="002F3FCD">
        <w:t>equivalent</w:t>
      </w:r>
      <w:r w:rsidR="002F3FCD" w:rsidRPr="0085332C">
        <w:t xml:space="preserve"> </w:t>
      </w:r>
      <w:r w:rsidRPr="0085332C">
        <w:t xml:space="preserve">diagnostic accuracy and </w:t>
      </w:r>
      <w:r>
        <w:t>an improved</w:t>
      </w:r>
      <w:r w:rsidRPr="0085332C">
        <w:t xml:space="preserve"> </w:t>
      </w:r>
      <w:r>
        <w:t>safety profile compared to</w:t>
      </w:r>
      <w:r w:rsidRPr="0085332C">
        <w:t xml:space="preserve"> the current approach. </w:t>
      </w:r>
      <w:r>
        <w:t>M</w:t>
      </w:r>
      <w:r w:rsidRPr="0085332C">
        <w:t xml:space="preserve">ore accurate selection of patients for biopsy </w:t>
      </w:r>
      <w:r>
        <w:t>will</w:t>
      </w:r>
      <w:r w:rsidRPr="0085332C">
        <w:t xml:space="preserve"> reduce diagnosis and</w:t>
      </w:r>
      <w:r>
        <w:t xml:space="preserve"> overtreatment of low-risk disease.</w:t>
      </w:r>
    </w:p>
    <w:p w14:paraId="3098DE57" w14:textId="77777777" w:rsidR="00BC1364" w:rsidRPr="00F715D1" w:rsidRDefault="00BC1364" w:rsidP="008E4C81">
      <w:pPr>
        <w:pStyle w:val="Heading1"/>
        <w:ind w:hanging="502"/>
      </w:pPr>
      <w:r w:rsidRPr="00F715D1">
        <w:t>Economic evaluation</w:t>
      </w:r>
    </w:p>
    <w:p w14:paraId="7037F6B0" w14:textId="6C74A997" w:rsidR="00376F27" w:rsidRDefault="005B2AF1" w:rsidP="006D0218">
      <w:r>
        <w:t>The application presented a cost-utility analysis</w:t>
      </w:r>
      <w:r w:rsidR="00D969BA">
        <w:t xml:space="preserve"> t</w:t>
      </w:r>
      <w:r w:rsidR="00D969BA" w:rsidRPr="009368A4">
        <w:t xml:space="preserve">o quantify the trade-off between </w:t>
      </w:r>
      <w:proofErr w:type="spellStart"/>
      <w:r w:rsidR="00D969BA" w:rsidRPr="009368A4">
        <w:t>mpMRI</w:t>
      </w:r>
      <w:proofErr w:type="spellEnd"/>
      <w:r w:rsidR="00D969BA" w:rsidRPr="009368A4">
        <w:t xml:space="preserve"> costs and benefits</w:t>
      </w:r>
      <w:r>
        <w:t xml:space="preserve">. </w:t>
      </w:r>
      <w:r w:rsidR="00D969BA">
        <w:t>A summary of the economic evaluation is shown in Table 6.</w:t>
      </w:r>
    </w:p>
    <w:p w14:paraId="529B071B" w14:textId="77777777" w:rsidR="00376F27" w:rsidRDefault="00376F27">
      <w:r>
        <w:br w:type="page"/>
      </w:r>
    </w:p>
    <w:p w14:paraId="2DFFB659" w14:textId="77777777" w:rsidR="00D969BA" w:rsidRPr="009368A4" w:rsidRDefault="00D969BA" w:rsidP="00D969BA">
      <w:pPr>
        <w:pStyle w:val="Caption"/>
        <w:spacing w:after="0" w:line="240" w:lineRule="auto"/>
      </w:pPr>
      <w:bookmarkStart w:id="20" w:name="_Ref379404328"/>
      <w:bookmarkStart w:id="21" w:name="_Ref379483368"/>
      <w:bookmarkStart w:id="22" w:name="_Ref394419656"/>
      <w:bookmarkStart w:id="23" w:name="_Toc456879145"/>
      <w:bookmarkStart w:id="24" w:name="_Toc459987893"/>
      <w:bookmarkStart w:id="25" w:name="_Toc470196820"/>
      <w:bookmarkStart w:id="26" w:name="_Toc471382701"/>
      <w:r w:rsidRPr="009368A4">
        <w:lastRenderedPageBreak/>
        <w:t xml:space="preserve">Table </w:t>
      </w:r>
      <w:bookmarkEnd w:id="20"/>
      <w:bookmarkEnd w:id="21"/>
      <w:r>
        <w:t>6</w:t>
      </w:r>
      <w:r w:rsidRPr="009368A4">
        <w:tab/>
      </w:r>
      <w:r w:rsidRPr="009368A4">
        <w:tab/>
        <w:t>Summary of the economic evaluation</w:t>
      </w:r>
      <w:bookmarkEnd w:id="22"/>
      <w:bookmarkEnd w:id="23"/>
      <w:bookmarkEnd w:id="24"/>
      <w:bookmarkEnd w:id="25"/>
      <w:bookmarkEnd w:id="26"/>
      <w:r w:rsidRPr="009368A4">
        <w:t xml:space="preserve"> </w:t>
      </w:r>
    </w:p>
    <w:tbl>
      <w:tblPr>
        <w:tblStyle w:val="TableGrid2"/>
        <w:tblW w:w="9112" w:type="dxa"/>
        <w:tblLook w:val="01E0" w:firstRow="1" w:lastRow="1" w:firstColumn="1" w:lastColumn="1" w:noHBand="0" w:noVBand="0"/>
        <w:tblDescription w:val="The key constructs of the economic evaluation that is provided in the assessment report."/>
      </w:tblPr>
      <w:tblGrid>
        <w:gridCol w:w="2847"/>
        <w:gridCol w:w="6265"/>
      </w:tblGrid>
      <w:tr w:rsidR="00D969BA" w:rsidRPr="00350F5D" w14:paraId="07A9E71C" w14:textId="77777777" w:rsidTr="00BA67A5">
        <w:trPr>
          <w:cnfStyle w:val="100000000000" w:firstRow="1" w:lastRow="0" w:firstColumn="0" w:lastColumn="0" w:oddVBand="0" w:evenVBand="0" w:oddHBand="0" w:evenHBand="0" w:firstRowFirstColumn="0" w:firstRowLastColumn="0" w:lastRowFirstColumn="0" w:lastRowLastColumn="0"/>
          <w:trHeight w:val="397"/>
          <w:tblHeader/>
        </w:trPr>
        <w:tc>
          <w:tcPr>
            <w:tcW w:w="2835" w:type="dxa"/>
          </w:tcPr>
          <w:p w14:paraId="46034A46" w14:textId="77777777" w:rsidR="00D969BA" w:rsidRPr="009368A4" w:rsidRDefault="00D969BA" w:rsidP="00D969BA">
            <w:pPr>
              <w:pStyle w:val="Tableheading"/>
              <w:spacing w:before="0" w:line="240" w:lineRule="auto"/>
            </w:pPr>
            <w:r w:rsidRPr="009368A4">
              <w:t>Perspective</w:t>
            </w:r>
          </w:p>
        </w:tc>
        <w:tc>
          <w:tcPr>
            <w:tcW w:w="6237" w:type="dxa"/>
          </w:tcPr>
          <w:p w14:paraId="07454663" w14:textId="77777777" w:rsidR="00D969BA" w:rsidRPr="009368A4" w:rsidRDefault="00D969BA" w:rsidP="00D969BA">
            <w:pPr>
              <w:pStyle w:val="Tabletext"/>
              <w:spacing w:before="0" w:after="0"/>
            </w:pPr>
            <w:r>
              <w:t>Health care perspective (Australia); Out of pocket costs for patients.</w:t>
            </w:r>
          </w:p>
        </w:tc>
      </w:tr>
      <w:tr w:rsidR="00D969BA" w:rsidRPr="00350F5D" w14:paraId="34F60C9B" w14:textId="77777777" w:rsidTr="00BA67A5">
        <w:trPr>
          <w:trHeight w:val="397"/>
        </w:trPr>
        <w:tc>
          <w:tcPr>
            <w:tcW w:w="2835" w:type="dxa"/>
          </w:tcPr>
          <w:p w14:paraId="1C13D7EB" w14:textId="77777777" w:rsidR="00D969BA" w:rsidRPr="00013641" w:rsidRDefault="00D969BA" w:rsidP="00D969BA">
            <w:pPr>
              <w:pStyle w:val="Tableheading"/>
              <w:spacing w:before="0" w:line="240" w:lineRule="auto"/>
            </w:pPr>
            <w:r w:rsidRPr="00013641">
              <w:t>Comparator</w:t>
            </w:r>
          </w:p>
        </w:tc>
        <w:tc>
          <w:tcPr>
            <w:tcW w:w="6237" w:type="dxa"/>
          </w:tcPr>
          <w:p w14:paraId="404F156F" w14:textId="77777777" w:rsidR="00D969BA" w:rsidRPr="00013641" w:rsidRDefault="00D969BA" w:rsidP="00D969BA">
            <w:pPr>
              <w:pStyle w:val="Tabletext"/>
              <w:spacing w:before="0" w:after="0"/>
            </w:pPr>
            <w:r w:rsidRPr="00013641">
              <w:t>TRUSGB/TPUSGB</w:t>
            </w:r>
          </w:p>
        </w:tc>
      </w:tr>
      <w:tr w:rsidR="00D969BA" w:rsidRPr="00350F5D" w14:paraId="4E81609C" w14:textId="77777777" w:rsidTr="00BA67A5">
        <w:trPr>
          <w:trHeight w:val="397"/>
        </w:trPr>
        <w:tc>
          <w:tcPr>
            <w:tcW w:w="2835" w:type="dxa"/>
          </w:tcPr>
          <w:p w14:paraId="5E4E6282" w14:textId="77777777" w:rsidR="00D969BA" w:rsidRPr="00013641" w:rsidRDefault="00D969BA" w:rsidP="00D969BA">
            <w:pPr>
              <w:pStyle w:val="Tableheading"/>
              <w:spacing w:before="0" w:line="240" w:lineRule="auto"/>
            </w:pPr>
            <w:r w:rsidRPr="00013641">
              <w:t>Type of economic evaluation</w:t>
            </w:r>
          </w:p>
        </w:tc>
        <w:tc>
          <w:tcPr>
            <w:tcW w:w="6237" w:type="dxa"/>
          </w:tcPr>
          <w:p w14:paraId="00260B05" w14:textId="77777777" w:rsidR="00D969BA" w:rsidRPr="00013641" w:rsidRDefault="00D969BA" w:rsidP="00D969BA">
            <w:pPr>
              <w:pStyle w:val="Tabletext"/>
              <w:spacing w:before="0" w:after="0"/>
            </w:pPr>
            <w:r w:rsidRPr="00013641">
              <w:t xml:space="preserve">Cost-utility analysis </w:t>
            </w:r>
          </w:p>
        </w:tc>
      </w:tr>
      <w:tr w:rsidR="00D969BA" w:rsidRPr="00350F5D" w14:paraId="10125174" w14:textId="77777777" w:rsidTr="00BA67A5">
        <w:trPr>
          <w:trHeight w:val="397"/>
        </w:trPr>
        <w:tc>
          <w:tcPr>
            <w:tcW w:w="2835" w:type="dxa"/>
          </w:tcPr>
          <w:p w14:paraId="54641770" w14:textId="77777777" w:rsidR="00D969BA" w:rsidRPr="00013641" w:rsidRDefault="00D969BA" w:rsidP="00D969BA">
            <w:pPr>
              <w:pStyle w:val="Tableheading"/>
              <w:spacing w:before="0" w:line="240" w:lineRule="auto"/>
            </w:pPr>
            <w:r w:rsidRPr="00013641">
              <w:t>Sources of evidence</w:t>
            </w:r>
          </w:p>
        </w:tc>
        <w:tc>
          <w:tcPr>
            <w:tcW w:w="6237" w:type="dxa"/>
          </w:tcPr>
          <w:p w14:paraId="1EE418F4" w14:textId="77777777" w:rsidR="00D969BA" w:rsidRPr="00013641" w:rsidRDefault="00D969BA" w:rsidP="00D969BA">
            <w:pPr>
              <w:pStyle w:val="Tabletext"/>
              <w:spacing w:before="0" w:after="0"/>
            </w:pPr>
            <w:r w:rsidRPr="00013641">
              <w:t xml:space="preserve">Systematic review and meta-analysis of clinical trials [Section B] </w:t>
            </w:r>
          </w:p>
          <w:p w14:paraId="2F9E0662" w14:textId="77777777" w:rsidR="00D969BA" w:rsidRPr="00013641" w:rsidRDefault="00D969BA" w:rsidP="00D969BA">
            <w:pPr>
              <w:pStyle w:val="Tabletext"/>
              <w:spacing w:before="0" w:after="0"/>
            </w:pPr>
            <w:r w:rsidRPr="00013641">
              <w:t>Targeted review for utility parameters [Section C]</w:t>
            </w:r>
          </w:p>
          <w:p w14:paraId="5C67AADA" w14:textId="77777777" w:rsidR="00D969BA" w:rsidRPr="00013641" w:rsidRDefault="00D969BA" w:rsidP="00D969BA">
            <w:pPr>
              <w:pStyle w:val="Tabletext"/>
              <w:spacing w:before="0" w:after="0"/>
            </w:pPr>
            <w:r w:rsidRPr="00013641">
              <w:t>Expert opinion was elicited where no data were available</w:t>
            </w:r>
          </w:p>
        </w:tc>
      </w:tr>
      <w:tr w:rsidR="00D969BA" w:rsidRPr="00350F5D" w14:paraId="30E232F6" w14:textId="77777777" w:rsidTr="00BA67A5">
        <w:trPr>
          <w:trHeight w:val="397"/>
        </w:trPr>
        <w:tc>
          <w:tcPr>
            <w:tcW w:w="2835" w:type="dxa"/>
            <w:hideMark/>
          </w:tcPr>
          <w:p w14:paraId="29CB83F7" w14:textId="77777777" w:rsidR="00D969BA" w:rsidRPr="00013641" w:rsidRDefault="00D969BA" w:rsidP="00D969BA">
            <w:pPr>
              <w:pStyle w:val="Tableheading"/>
              <w:spacing w:before="0" w:line="240" w:lineRule="auto"/>
            </w:pPr>
            <w:r w:rsidRPr="00013641">
              <w:t>Time horizon</w:t>
            </w:r>
          </w:p>
        </w:tc>
        <w:tc>
          <w:tcPr>
            <w:tcW w:w="6237" w:type="dxa"/>
            <w:hideMark/>
          </w:tcPr>
          <w:p w14:paraId="7F9276BD" w14:textId="77777777" w:rsidR="00D969BA" w:rsidRPr="00013641" w:rsidRDefault="00D969BA" w:rsidP="00D969BA">
            <w:pPr>
              <w:pStyle w:val="Tabletext"/>
              <w:spacing w:before="0" w:after="0"/>
            </w:pPr>
            <w:r w:rsidRPr="00013641">
              <w:t>Lifetime time horizon (25 years) in the model base-case</w:t>
            </w:r>
          </w:p>
        </w:tc>
      </w:tr>
      <w:tr w:rsidR="00D969BA" w:rsidRPr="00350F5D" w14:paraId="6D8B07A2" w14:textId="77777777" w:rsidTr="00BA67A5">
        <w:trPr>
          <w:trHeight w:val="397"/>
        </w:trPr>
        <w:tc>
          <w:tcPr>
            <w:tcW w:w="2835" w:type="dxa"/>
            <w:hideMark/>
          </w:tcPr>
          <w:p w14:paraId="70C9DC68" w14:textId="77777777" w:rsidR="00D969BA" w:rsidRPr="00013641" w:rsidRDefault="00D969BA" w:rsidP="00D969BA">
            <w:pPr>
              <w:pStyle w:val="Tableheading"/>
              <w:spacing w:before="0" w:line="240" w:lineRule="auto"/>
            </w:pPr>
            <w:r w:rsidRPr="00013641">
              <w:t>Outcomes</w:t>
            </w:r>
          </w:p>
        </w:tc>
        <w:tc>
          <w:tcPr>
            <w:tcW w:w="6237" w:type="dxa"/>
          </w:tcPr>
          <w:p w14:paraId="0B198835" w14:textId="77777777" w:rsidR="00D969BA" w:rsidRPr="00013641" w:rsidRDefault="00D969BA" w:rsidP="00D969BA">
            <w:pPr>
              <w:pStyle w:val="Tabletext"/>
              <w:spacing w:before="0" w:after="0"/>
            </w:pPr>
            <w:r w:rsidRPr="00013641">
              <w:t>QALYG</w:t>
            </w:r>
          </w:p>
        </w:tc>
      </w:tr>
      <w:tr w:rsidR="00D969BA" w:rsidRPr="00350F5D" w14:paraId="7DB80534" w14:textId="77777777" w:rsidTr="00BA67A5">
        <w:trPr>
          <w:trHeight w:val="397"/>
        </w:trPr>
        <w:tc>
          <w:tcPr>
            <w:tcW w:w="2835" w:type="dxa"/>
            <w:hideMark/>
          </w:tcPr>
          <w:p w14:paraId="09B0BC67" w14:textId="77777777" w:rsidR="00D969BA" w:rsidRPr="00013641" w:rsidRDefault="00D969BA" w:rsidP="00D969BA">
            <w:pPr>
              <w:pStyle w:val="Tableheading"/>
              <w:spacing w:before="0" w:line="240" w:lineRule="auto"/>
            </w:pPr>
            <w:r w:rsidRPr="00013641">
              <w:t>Methods used to generate results</w:t>
            </w:r>
          </w:p>
        </w:tc>
        <w:tc>
          <w:tcPr>
            <w:tcW w:w="6237" w:type="dxa"/>
          </w:tcPr>
          <w:p w14:paraId="5C387A48" w14:textId="77777777" w:rsidR="00D969BA" w:rsidRPr="00013641" w:rsidRDefault="00D969BA" w:rsidP="00D969BA">
            <w:pPr>
              <w:pStyle w:val="Tabletext"/>
              <w:spacing w:before="0" w:after="0"/>
            </w:pPr>
            <w:r w:rsidRPr="00013641">
              <w:t>Combined decision tree and Markov model using cohort expected value analysis</w:t>
            </w:r>
          </w:p>
        </w:tc>
      </w:tr>
      <w:tr w:rsidR="00D969BA" w:rsidRPr="00350F5D" w14:paraId="1214B779" w14:textId="77777777" w:rsidTr="00BA67A5">
        <w:trPr>
          <w:trHeight w:val="397"/>
        </w:trPr>
        <w:tc>
          <w:tcPr>
            <w:tcW w:w="2835" w:type="dxa"/>
          </w:tcPr>
          <w:p w14:paraId="17AC8F0F" w14:textId="77777777" w:rsidR="00D969BA" w:rsidRPr="00013641" w:rsidRDefault="00D969BA" w:rsidP="00D969BA">
            <w:pPr>
              <w:pStyle w:val="Tableheading"/>
              <w:spacing w:before="0" w:line="240" w:lineRule="auto"/>
            </w:pPr>
            <w:r w:rsidRPr="00013641">
              <w:t>Health states</w:t>
            </w:r>
          </w:p>
        </w:tc>
        <w:tc>
          <w:tcPr>
            <w:tcW w:w="6237" w:type="dxa"/>
          </w:tcPr>
          <w:p w14:paraId="51F8ECF8" w14:textId="77777777" w:rsidR="00D969BA" w:rsidRDefault="00D969BA" w:rsidP="00D969BA">
            <w:pPr>
              <w:pStyle w:val="Tabletext"/>
              <w:spacing w:before="0" w:after="0"/>
            </w:pPr>
            <w:r>
              <w:t>No prostate cancer</w:t>
            </w:r>
          </w:p>
          <w:p w14:paraId="55A7BA9D" w14:textId="77777777" w:rsidR="00D969BA" w:rsidRDefault="00D969BA" w:rsidP="00D969BA">
            <w:pPr>
              <w:pStyle w:val="Tabletext"/>
              <w:spacing w:before="0" w:after="0"/>
            </w:pPr>
            <w:r>
              <w:t>Insignificant prostate cancer, undiagnosed</w:t>
            </w:r>
          </w:p>
          <w:p w14:paraId="1EAEEEAE" w14:textId="77777777" w:rsidR="00D969BA" w:rsidRDefault="00D969BA" w:rsidP="00D969BA">
            <w:pPr>
              <w:pStyle w:val="Tabletext"/>
              <w:spacing w:before="0" w:after="0"/>
            </w:pPr>
            <w:r>
              <w:t>Insignificant prostate cancer, diagnosed: active surveillance</w:t>
            </w:r>
          </w:p>
          <w:p w14:paraId="3807544A" w14:textId="77777777" w:rsidR="00D969BA" w:rsidRDefault="00D969BA" w:rsidP="00D969BA">
            <w:pPr>
              <w:pStyle w:val="Tabletext"/>
              <w:spacing w:before="0" w:after="0"/>
            </w:pPr>
            <w:r>
              <w:t>Insignificant prostate cancer, diagnosed: treated</w:t>
            </w:r>
          </w:p>
          <w:p w14:paraId="0C3974E0" w14:textId="77777777" w:rsidR="00D969BA" w:rsidRDefault="00D969BA" w:rsidP="00D969BA">
            <w:pPr>
              <w:pStyle w:val="Tabletext"/>
              <w:spacing w:before="0" w:after="0"/>
            </w:pPr>
            <w:r>
              <w:t>Significant prostate cancer, undiagnosed</w:t>
            </w:r>
          </w:p>
          <w:p w14:paraId="13456EA0" w14:textId="77777777" w:rsidR="00D969BA" w:rsidRDefault="00D969BA" w:rsidP="00D969BA">
            <w:pPr>
              <w:pStyle w:val="Tabletext"/>
              <w:spacing w:before="0" w:after="0"/>
            </w:pPr>
            <w:r>
              <w:t>Significant prostate cancer, diagnosed</w:t>
            </w:r>
          </w:p>
          <w:p w14:paraId="69B19AE8" w14:textId="77777777" w:rsidR="00D969BA" w:rsidRDefault="00D969BA" w:rsidP="00D969BA">
            <w:pPr>
              <w:pStyle w:val="Tabletext"/>
              <w:spacing w:before="0" w:after="0"/>
            </w:pPr>
            <w:r>
              <w:t>Advanced prostate cancer</w:t>
            </w:r>
          </w:p>
          <w:p w14:paraId="5D90AB9E" w14:textId="77777777" w:rsidR="00D969BA" w:rsidRPr="00013641" w:rsidRDefault="00D969BA" w:rsidP="00D969BA">
            <w:pPr>
              <w:pStyle w:val="Tabletext"/>
              <w:spacing w:before="0" w:after="0"/>
            </w:pPr>
            <w:r>
              <w:t>Death</w:t>
            </w:r>
          </w:p>
        </w:tc>
      </w:tr>
      <w:tr w:rsidR="00D969BA" w:rsidRPr="00350F5D" w14:paraId="294B316E" w14:textId="77777777" w:rsidTr="00BA67A5">
        <w:trPr>
          <w:trHeight w:val="397"/>
        </w:trPr>
        <w:tc>
          <w:tcPr>
            <w:tcW w:w="2835" w:type="dxa"/>
            <w:hideMark/>
          </w:tcPr>
          <w:p w14:paraId="3FCF6616" w14:textId="77777777" w:rsidR="00D969BA" w:rsidRPr="00012A78" w:rsidRDefault="00D969BA" w:rsidP="00D969BA">
            <w:pPr>
              <w:pStyle w:val="Tableheading"/>
              <w:spacing w:before="0" w:line="240" w:lineRule="auto"/>
            </w:pPr>
            <w:r w:rsidRPr="00012A78">
              <w:t>Cycle length</w:t>
            </w:r>
          </w:p>
        </w:tc>
        <w:tc>
          <w:tcPr>
            <w:tcW w:w="6237" w:type="dxa"/>
          </w:tcPr>
          <w:p w14:paraId="128C3EA0" w14:textId="77777777" w:rsidR="00D969BA" w:rsidRPr="00012A78" w:rsidRDefault="00D969BA" w:rsidP="00D969BA">
            <w:pPr>
              <w:pStyle w:val="Tabletext"/>
              <w:spacing w:before="0" w:after="0"/>
            </w:pPr>
            <w:r w:rsidRPr="00012A78">
              <w:t>1 year</w:t>
            </w:r>
          </w:p>
        </w:tc>
      </w:tr>
      <w:tr w:rsidR="00D969BA" w:rsidRPr="00350F5D" w14:paraId="453E77BA" w14:textId="77777777" w:rsidTr="00BA67A5">
        <w:trPr>
          <w:trHeight w:val="397"/>
        </w:trPr>
        <w:tc>
          <w:tcPr>
            <w:tcW w:w="2835" w:type="dxa"/>
            <w:hideMark/>
          </w:tcPr>
          <w:p w14:paraId="44B4105E" w14:textId="77777777" w:rsidR="00D969BA" w:rsidRPr="00012A78" w:rsidRDefault="00D969BA" w:rsidP="00D969BA">
            <w:pPr>
              <w:pStyle w:val="Tableheading"/>
              <w:spacing w:before="0" w:line="240" w:lineRule="auto"/>
            </w:pPr>
            <w:r w:rsidRPr="00012A78">
              <w:t>Discount rate</w:t>
            </w:r>
          </w:p>
        </w:tc>
        <w:tc>
          <w:tcPr>
            <w:tcW w:w="6237" w:type="dxa"/>
          </w:tcPr>
          <w:p w14:paraId="4AE4C3F5" w14:textId="77777777" w:rsidR="00D969BA" w:rsidRPr="00012A78" w:rsidRDefault="00D969BA" w:rsidP="00D969BA">
            <w:pPr>
              <w:pStyle w:val="Tabletext"/>
              <w:spacing w:before="0" w:after="0"/>
            </w:pPr>
            <w:r w:rsidRPr="00012A78">
              <w:t>5% for costs and outcomes</w:t>
            </w:r>
          </w:p>
        </w:tc>
      </w:tr>
      <w:tr w:rsidR="00D969BA" w:rsidRPr="00350F5D" w14:paraId="63C06DCE" w14:textId="77777777" w:rsidTr="00BA67A5">
        <w:trPr>
          <w:trHeight w:val="397"/>
        </w:trPr>
        <w:tc>
          <w:tcPr>
            <w:tcW w:w="2835" w:type="dxa"/>
            <w:hideMark/>
          </w:tcPr>
          <w:p w14:paraId="0883FFBA" w14:textId="77777777" w:rsidR="00D969BA" w:rsidRPr="00012A78" w:rsidRDefault="00D969BA" w:rsidP="00D969BA">
            <w:pPr>
              <w:pStyle w:val="Tableheading"/>
              <w:spacing w:before="0" w:line="240" w:lineRule="auto"/>
            </w:pPr>
            <w:r w:rsidRPr="00012A78">
              <w:t>Software packages used</w:t>
            </w:r>
          </w:p>
        </w:tc>
        <w:tc>
          <w:tcPr>
            <w:tcW w:w="6237" w:type="dxa"/>
          </w:tcPr>
          <w:p w14:paraId="4AF63E4A" w14:textId="77777777" w:rsidR="00D969BA" w:rsidRPr="00012A78" w:rsidRDefault="00D969BA" w:rsidP="00D969BA">
            <w:pPr>
              <w:pStyle w:val="Tabletext"/>
              <w:spacing w:before="0" w:after="0"/>
            </w:pPr>
            <w:proofErr w:type="spellStart"/>
            <w:r w:rsidRPr="00012A78">
              <w:t>TreeAge</w:t>
            </w:r>
            <w:proofErr w:type="spellEnd"/>
            <w:r w:rsidRPr="00012A78">
              <w:t xml:space="preserve"> Pro 2015</w:t>
            </w:r>
          </w:p>
        </w:tc>
      </w:tr>
    </w:tbl>
    <w:p w14:paraId="2DE42024" w14:textId="206C7D63" w:rsidR="00D969BA" w:rsidRDefault="00D969BA" w:rsidP="00376F27">
      <w:pPr>
        <w:pStyle w:val="TableNotes"/>
        <w:spacing w:line="240" w:lineRule="auto"/>
      </w:pPr>
      <w:r w:rsidRPr="00012A78">
        <w:t xml:space="preserve">MBS = Medical Benefit Schedule, TRUSGB = Trans-rectal ultrasound guided biopsy, TPUSGB = Trans-perineal ultrasound guided biopsy; QALYG = Quality-adjusted life-years gained. </w:t>
      </w:r>
    </w:p>
    <w:p w14:paraId="77158DD2" w14:textId="5584DDA2" w:rsidR="00376F27" w:rsidRDefault="006D0218" w:rsidP="006D0218">
      <w:r>
        <w:t xml:space="preserve">The </w:t>
      </w:r>
      <w:proofErr w:type="spellStart"/>
      <w:r>
        <w:t>mpMRI</w:t>
      </w:r>
      <w:proofErr w:type="spellEnd"/>
      <w:r>
        <w:t xml:space="preserve"> can either be introduced in Population 1, or in Population 2, or in both. For each of these options, </w:t>
      </w:r>
      <w:r w:rsidR="0031528B">
        <w:t>T</w:t>
      </w:r>
      <w:r w:rsidR="0037377A">
        <w:t>able 6</w:t>
      </w:r>
      <w:r>
        <w:t xml:space="preserve"> provides t</w:t>
      </w:r>
      <w:r w:rsidRPr="00183E4D">
        <w:t>he overall costs</w:t>
      </w:r>
      <w:r>
        <w:t>,</w:t>
      </w:r>
      <w:r w:rsidRPr="00183E4D">
        <w:t xml:space="preserve"> outcomes, incremental cost</w:t>
      </w:r>
      <w:r>
        <w:t>s and incremental outcomes</w:t>
      </w:r>
      <w:r w:rsidRPr="00183E4D">
        <w:t xml:space="preserve"> </w:t>
      </w:r>
      <w:r>
        <w:t xml:space="preserve">for </w:t>
      </w:r>
      <w:proofErr w:type="spellStart"/>
      <w:r>
        <w:t>mpMRI</w:t>
      </w:r>
      <w:proofErr w:type="spellEnd"/>
      <w:r w:rsidRPr="00183E4D">
        <w:t xml:space="preserve"> </w:t>
      </w:r>
      <w:r>
        <w:t>and prostate biopsy</w:t>
      </w:r>
      <w:r w:rsidRPr="00183E4D">
        <w:t xml:space="preserve"> </w:t>
      </w:r>
      <w:r>
        <w:t>as per the model</w:t>
      </w:r>
      <w:r w:rsidRPr="00183E4D">
        <w:t>.</w:t>
      </w:r>
      <w:r>
        <w:t xml:space="preserve"> The table also provides the mean number of biopsies per patient in the model, for each of the strategies. A comparison of the findings from Gordon et al. (2016) and this assessment for Population 1 are also presented. </w:t>
      </w:r>
    </w:p>
    <w:p w14:paraId="6537856A" w14:textId="6F62DC08" w:rsidR="00376F27" w:rsidRDefault="005E1B36">
      <w:r>
        <w:rPr>
          <w:noProof/>
        </w:rPr>
        <w:lastRenderedPageBreak/>
        <w:drawing>
          <wp:inline distT="0" distB="0" distL="0" distR="0" wp14:anchorId="2736546C" wp14:editId="648A2E7F">
            <wp:extent cx="5821856" cy="8693624"/>
            <wp:effectExtent l="0" t="0" r="7620" b="0"/>
            <wp:docPr id="1" name="Picture 1" descr="Economic evaluation results shown for population 1 only, population 2 only and population 1 and 2. The ICER for population 1 was $40,363 saved per QALY lost with mpMRI, for population 2 was $232,269 saved per QALY lost with mpMRI and $43,684 saved per QALY lost with mpMRI in both populations. this was compared with the Gordon et al (2016) population where it dom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26926" cy="8701194"/>
                    </a:xfrm>
                    <a:prstGeom prst="rect">
                      <a:avLst/>
                    </a:prstGeom>
                  </pic:spPr>
                </pic:pic>
              </a:graphicData>
            </a:graphic>
          </wp:inline>
        </w:drawing>
      </w:r>
    </w:p>
    <w:p w14:paraId="7F74D27C" w14:textId="454BECB3" w:rsidR="008D179C" w:rsidRDefault="008D179C" w:rsidP="00376F27">
      <w:pPr>
        <w:spacing w:before="240" w:after="240"/>
      </w:pPr>
      <w:r>
        <w:lastRenderedPageBreak/>
        <w:t xml:space="preserve">The results in Table </w:t>
      </w:r>
      <w:r w:rsidR="002F3FCD">
        <w:t xml:space="preserve">7 </w:t>
      </w:r>
      <w:r>
        <w:t xml:space="preserve">show that the strategies with </w:t>
      </w:r>
      <w:proofErr w:type="spellStart"/>
      <w:r>
        <w:t>mpMRI</w:t>
      </w:r>
      <w:proofErr w:type="spellEnd"/>
      <w:r>
        <w:t xml:space="preserve"> are less expensive than the strategies without </w:t>
      </w:r>
      <w:proofErr w:type="spellStart"/>
      <w:r>
        <w:t>mpMRI</w:t>
      </w:r>
      <w:proofErr w:type="spellEnd"/>
      <w:r>
        <w:t>. This is</w:t>
      </w:r>
      <w:r w:rsidR="002F3FCD">
        <w:t xml:space="preserve"> predominantly</w:t>
      </w:r>
      <w:r>
        <w:t xml:space="preserve"> due to the avoided biopsies, which were assumed to cost substantially more ($2400) than an </w:t>
      </w:r>
      <w:proofErr w:type="spellStart"/>
      <w:r>
        <w:t>mpMRI</w:t>
      </w:r>
      <w:proofErr w:type="spellEnd"/>
      <w:r>
        <w:t xml:space="preserve"> ($600), </w:t>
      </w:r>
      <w:r w:rsidR="00F01167">
        <w:t xml:space="preserve">and associated services (e.g., hospitalisation, anaesthesia, pathology), </w:t>
      </w:r>
      <w:r>
        <w:t xml:space="preserve">based on data provided by the Department of Health and in the DAP. The introduction of </w:t>
      </w:r>
      <w:proofErr w:type="spellStart"/>
      <w:r>
        <w:t>mpMRI</w:t>
      </w:r>
      <w:proofErr w:type="spellEnd"/>
      <w:r>
        <w:t xml:space="preserve"> in Population 1 as well as Population 2 slightly reduces the overall number of QALYs. When </w:t>
      </w:r>
      <w:proofErr w:type="spellStart"/>
      <w:r>
        <w:t>mpMRI</w:t>
      </w:r>
      <w:proofErr w:type="spellEnd"/>
      <w:r>
        <w:t xml:space="preserve"> would be listed for use in both populations, this would save on average $</w:t>
      </w:r>
      <w:r w:rsidRPr="00A53097">
        <w:t>43,684</w:t>
      </w:r>
      <w:r>
        <w:t xml:space="preserve"> per QALY lost in the base case. </w:t>
      </w:r>
    </w:p>
    <w:p w14:paraId="3FBBCCBE" w14:textId="1E9D9D5E" w:rsidR="008D179C" w:rsidRPr="008D179C" w:rsidRDefault="008D179C" w:rsidP="008D179C">
      <w:pPr>
        <w:spacing w:after="240"/>
      </w:pPr>
      <w:r>
        <w:t xml:space="preserve">For each of the strategies, </w:t>
      </w:r>
      <w:proofErr w:type="spellStart"/>
      <w:r>
        <w:t>mpMRI</w:t>
      </w:r>
      <w:proofErr w:type="spellEnd"/>
      <w:r>
        <w:t xml:space="preserve"> reduces the average number of biopsies needed per patient. This reduction is largest where </w:t>
      </w:r>
      <w:proofErr w:type="spellStart"/>
      <w:r w:rsidRPr="00B75404">
        <w:t>mpMRI</w:t>
      </w:r>
      <w:proofErr w:type="spellEnd"/>
      <w:r w:rsidRPr="00B75404">
        <w:t xml:space="preserve"> is introduced </w:t>
      </w:r>
      <w:r>
        <w:t>for</w:t>
      </w:r>
      <w:r w:rsidRPr="00B75404">
        <w:t xml:space="preserve"> both </w:t>
      </w:r>
      <w:r>
        <w:t>Population 1</w:t>
      </w:r>
      <w:r w:rsidRPr="00B75404">
        <w:t xml:space="preserve"> and 2, resulting in an average of </w:t>
      </w:r>
      <w:r>
        <w:t>0.84</w:t>
      </w:r>
      <w:r w:rsidRPr="00B75404">
        <w:t xml:space="preserve"> biopsies avoided per patient. </w:t>
      </w:r>
      <w:r>
        <w:t xml:space="preserve">Key drivers of the economic model are </w:t>
      </w:r>
      <w:r w:rsidRPr="00F16714">
        <w:t xml:space="preserve">provided in </w:t>
      </w:r>
      <w:r w:rsidR="00F01167" w:rsidRPr="00AD085E">
        <w:fldChar w:fldCharType="begin"/>
      </w:r>
      <w:r w:rsidR="00F01167" w:rsidRPr="00F16714">
        <w:instrText xml:space="preserve"> REF _Ref457380671 \h </w:instrText>
      </w:r>
      <w:r w:rsidR="00F01167">
        <w:instrText xml:space="preserve"> \* MERGEFORMAT </w:instrText>
      </w:r>
      <w:r w:rsidR="00F01167" w:rsidRPr="00AD085E">
        <w:fldChar w:fldCharType="separate"/>
      </w:r>
      <w:r w:rsidR="00F01167">
        <w:t>Table 8</w:t>
      </w:r>
      <w:r w:rsidR="00F01167" w:rsidRPr="00AD085E">
        <w:fldChar w:fldCharType="end"/>
      </w:r>
      <w:r w:rsidRPr="00F16714">
        <w:t>.</w:t>
      </w:r>
      <w:bookmarkStart w:id="27" w:name="_Toc456879147"/>
    </w:p>
    <w:p w14:paraId="22AA6BDE" w14:textId="1FAAD3FA" w:rsidR="008D179C" w:rsidRPr="006C613F" w:rsidRDefault="008D179C" w:rsidP="008D179C">
      <w:pPr>
        <w:pStyle w:val="Caption"/>
        <w:spacing w:after="0" w:line="240" w:lineRule="auto"/>
        <w:ind w:left="1134" w:hanging="1134"/>
      </w:pPr>
      <w:bookmarkStart w:id="28" w:name="_Ref457380671"/>
      <w:bookmarkStart w:id="29" w:name="_Toc459987897"/>
      <w:bookmarkStart w:id="30" w:name="_Toc470196824"/>
      <w:bookmarkStart w:id="31" w:name="_Toc471382704"/>
      <w:r w:rsidRPr="00AD085E">
        <w:t xml:space="preserve">Table </w:t>
      </w:r>
      <w:bookmarkEnd w:id="28"/>
      <w:r w:rsidR="00F01167">
        <w:t>8</w:t>
      </w:r>
      <w:r w:rsidRPr="001507E9">
        <w:tab/>
      </w:r>
      <w:r w:rsidRPr="001507E9">
        <w:rPr>
          <w:rFonts w:cs="Arial"/>
          <w:snapToGrid w:val="0"/>
          <w:szCs w:val="16"/>
          <w:lang w:eastAsia="en-US"/>
        </w:rPr>
        <w:t>Key drivers of the economic model</w:t>
      </w:r>
      <w:bookmarkEnd w:id="27"/>
      <w:bookmarkEnd w:id="29"/>
      <w:bookmarkEnd w:id="30"/>
      <w:bookmarkEnd w:id="31"/>
    </w:p>
    <w:tbl>
      <w:tblPr>
        <w:tblStyle w:val="TableGrid2"/>
        <w:tblW w:w="9112" w:type="dxa"/>
        <w:tblLook w:val="04A0" w:firstRow="1" w:lastRow="0" w:firstColumn="1" w:lastColumn="0" w:noHBand="0" w:noVBand="1"/>
        <w:tblDescription w:val="Describes what factors and assumptions in the economic model affect the incremental cost-effectiveness to the greatest extent."/>
      </w:tblPr>
      <w:tblGrid>
        <w:gridCol w:w="2404"/>
        <w:gridCol w:w="4117"/>
        <w:gridCol w:w="2591"/>
      </w:tblGrid>
      <w:tr w:rsidR="008D179C" w:rsidRPr="00AD085E" w14:paraId="7914F53B" w14:textId="77777777" w:rsidTr="00BA67A5">
        <w:trPr>
          <w:cnfStyle w:val="100000000000" w:firstRow="1" w:lastRow="0" w:firstColumn="0" w:lastColumn="0" w:oddVBand="0" w:evenVBand="0" w:oddHBand="0" w:evenHBand="0" w:firstRowFirstColumn="0" w:firstRowLastColumn="0" w:lastRowFirstColumn="0" w:lastRowLastColumn="0"/>
          <w:trHeight w:val="332"/>
          <w:tblHeader/>
        </w:trPr>
        <w:tc>
          <w:tcPr>
            <w:tcW w:w="1319" w:type="pct"/>
          </w:tcPr>
          <w:p w14:paraId="7EF8EB20" w14:textId="77777777" w:rsidR="008D179C" w:rsidRPr="00705B2D" w:rsidRDefault="008D179C" w:rsidP="008D179C">
            <w:pPr>
              <w:pStyle w:val="Tableheading"/>
              <w:spacing w:before="0" w:line="240" w:lineRule="auto"/>
              <w:rPr>
                <w:snapToGrid w:val="0"/>
              </w:rPr>
            </w:pPr>
            <w:r w:rsidRPr="00705B2D">
              <w:rPr>
                <w:snapToGrid w:val="0"/>
              </w:rPr>
              <w:t>Description</w:t>
            </w:r>
          </w:p>
        </w:tc>
        <w:tc>
          <w:tcPr>
            <w:tcW w:w="2259" w:type="pct"/>
          </w:tcPr>
          <w:p w14:paraId="2E6135C5" w14:textId="77777777" w:rsidR="008D179C" w:rsidRPr="00705B2D" w:rsidRDefault="008D179C" w:rsidP="008D179C">
            <w:pPr>
              <w:pStyle w:val="Tableheading"/>
              <w:spacing w:before="0" w:line="240" w:lineRule="auto"/>
              <w:rPr>
                <w:snapToGrid w:val="0"/>
              </w:rPr>
            </w:pPr>
            <w:r w:rsidRPr="00705B2D">
              <w:rPr>
                <w:snapToGrid w:val="0"/>
              </w:rPr>
              <w:t>Method/Value</w:t>
            </w:r>
          </w:p>
        </w:tc>
        <w:tc>
          <w:tcPr>
            <w:tcW w:w="1422" w:type="pct"/>
          </w:tcPr>
          <w:p w14:paraId="625885E1" w14:textId="77777777" w:rsidR="008D179C" w:rsidRPr="00A70E72" w:rsidRDefault="008D179C" w:rsidP="008D179C">
            <w:pPr>
              <w:pStyle w:val="Tableheading"/>
              <w:spacing w:before="0" w:line="240" w:lineRule="auto"/>
              <w:rPr>
                <w:snapToGrid w:val="0"/>
              </w:rPr>
            </w:pPr>
            <w:r w:rsidRPr="00A70E72">
              <w:rPr>
                <w:snapToGrid w:val="0"/>
              </w:rPr>
              <w:t>Impact</w:t>
            </w:r>
          </w:p>
        </w:tc>
      </w:tr>
      <w:tr w:rsidR="008D179C" w:rsidRPr="00AD085E" w14:paraId="3EC2BA4C" w14:textId="77777777" w:rsidTr="00BA67A5">
        <w:trPr>
          <w:trHeight w:val="293"/>
        </w:trPr>
        <w:tc>
          <w:tcPr>
            <w:tcW w:w="1319" w:type="pct"/>
          </w:tcPr>
          <w:p w14:paraId="3410D93D" w14:textId="77777777" w:rsidR="008D179C" w:rsidRPr="00AD085E" w:rsidRDefault="008D179C" w:rsidP="008D179C">
            <w:pPr>
              <w:pStyle w:val="Tabletext"/>
              <w:spacing w:before="0" w:after="0"/>
              <w:rPr>
                <w:snapToGrid w:val="0"/>
              </w:rPr>
            </w:pPr>
            <w:r w:rsidRPr="00AD085E">
              <w:rPr>
                <w:snapToGrid w:val="0"/>
              </w:rPr>
              <w:t>Time horizon</w:t>
            </w:r>
          </w:p>
        </w:tc>
        <w:tc>
          <w:tcPr>
            <w:tcW w:w="2259" w:type="pct"/>
          </w:tcPr>
          <w:p w14:paraId="056AB5EE" w14:textId="77777777" w:rsidR="008D179C" w:rsidRPr="00AD085E" w:rsidRDefault="008D179C" w:rsidP="008D179C">
            <w:pPr>
              <w:pStyle w:val="Tabletext"/>
              <w:spacing w:before="0" w:after="0"/>
              <w:ind w:left="0"/>
              <w:rPr>
                <w:snapToGrid w:val="0"/>
              </w:rPr>
            </w:pPr>
            <w:r w:rsidRPr="00AD085E">
              <w:rPr>
                <w:snapToGrid w:val="0"/>
              </w:rPr>
              <w:t>5 and 10 years</w:t>
            </w:r>
            <w:r>
              <w:rPr>
                <w:snapToGrid w:val="0"/>
              </w:rPr>
              <w:t xml:space="preserve"> instead of 25</w:t>
            </w:r>
          </w:p>
        </w:tc>
        <w:tc>
          <w:tcPr>
            <w:tcW w:w="1422" w:type="pct"/>
          </w:tcPr>
          <w:p w14:paraId="69D22AD9" w14:textId="77777777" w:rsidR="008D179C" w:rsidRPr="00AD085E" w:rsidRDefault="008D179C" w:rsidP="008D179C">
            <w:pPr>
              <w:pStyle w:val="Tabletext"/>
              <w:spacing w:before="0" w:after="0"/>
              <w:rPr>
                <w:snapToGrid w:val="0"/>
              </w:rPr>
            </w:pPr>
            <w:r w:rsidRPr="00AD085E">
              <w:rPr>
                <w:snapToGrid w:val="0"/>
              </w:rPr>
              <w:t>High, favours intervention</w:t>
            </w:r>
          </w:p>
        </w:tc>
      </w:tr>
      <w:tr w:rsidR="008D179C" w:rsidRPr="00AD085E" w14:paraId="667544DE" w14:textId="77777777" w:rsidTr="00BA67A5">
        <w:trPr>
          <w:trHeight w:val="114"/>
        </w:trPr>
        <w:tc>
          <w:tcPr>
            <w:tcW w:w="1319" w:type="pct"/>
          </w:tcPr>
          <w:p w14:paraId="4F71CBED" w14:textId="77777777" w:rsidR="008D179C" w:rsidRPr="001D17BB" w:rsidRDefault="008D179C" w:rsidP="008D179C">
            <w:pPr>
              <w:pStyle w:val="Tabletext"/>
              <w:spacing w:before="0" w:after="0"/>
              <w:rPr>
                <w:snapToGrid w:val="0"/>
              </w:rPr>
            </w:pPr>
            <w:r w:rsidRPr="001D17BB">
              <w:rPr>
                <w:snapToGrid w:val="0"/>
              </w:rPr>
              <w:t xml:space="preserve">Cost </w:t>
            </w:r>
            <w:r>
              <w:rPr>
                <w:snapToGrid w:val="0"/>
              </w:rPr>
              <w:t>and disutility associated with prostate biopsies</w:t>
            </w:r>
          </w:p>
        </w:tc>
        <w:tc>
          <w:tcPr>
            <w:tcW w:w="2259" w:type="pct"/>
          </w:tcPr>
          <w:p w14:paraId="5BA92687" w14:textId="77777777" w:rsidR="008D179C" w:rsidRDefault="008D179C" w:rsidP="008D179C">
            <w:pPr>
              <w:pStyle w:val="Tabletext"/>
              <w:spacing w:before="0" w:after="0"/>
              <w:ind w:left="0"/>
              <w:rPr>
                <w:snapToGrid w:val="0"/>
              </w:rPr>
            </w:pPr>
            <w:r>
              <w:rPr>
                <w:snapToGrid w:val="0"/>
              </w:rPr>
              <w:t xml:space="preserve">$600 instead of </w:t>
            </w:r>
            <w:r w:rsidRPr="001D17BB">
              <w:rPr>
                <w:snapToGrid w:val="0"/>
              </w:rPr>
              <w:t>$2,400.00</w:t>
            </w:r>
          </w:p>
          <w:p w14:paraId="0337E44F" w14:textId="77777777" w:rsidR="008D179C" w:rsidRPr="001D17BB" w:rsidRDefault="008D179C" w:rsidP="008D179C">
            <w:pPr>
              <w:pStyle w:val="Tabletext"/>
              <w:spacing w:before="0" w:after="0"/>
              <w:ind w:left="0"/>
              <w:rPr>
                <w:snapToGrid w:val="0"/>
              </w:rPr>
            </w:pPr>
            <w:r>
              <w:rPr>
                <w:snapToGrid w:val="0"/>
              </w:rPr>
              <w:t>-0.05 instead of -0.035</w:t>
            </w:r>
          </w:p>
        </w:tc>
        <w:tc>
          <w:tcPr>
            <w:tcW w:w="1422" w:type="pct"/>
          </w:tcPr>
          <w:p w14:paraId="123E6752" w14:textId="77777777" w:rsidR="008D179C" w:rsidRDefault="008D179C" w:rsidP="008D179C">
            <w:pPr>
              <w:pStyle w:val="Tabletext"/>
              <w:spacing w:before="0" w:after="0"/>
              <w:rPr>
                <w:snapToGrid w:val="0"/>
              </w:rPr>
            </w:pPr>
            <w:r>
              <w:rPr>
                <w:snapToGrid w:val="0"/>
              </w:rPr>
              <w:t>Moderate</w:t>
            </w:r>
            <w:r w:rsidRPr="001D17BB">
              <w:rPr>
                <w:snapToGrid w:val="0"/>
              </w:rPr>
              <w:t>, favours intervention</w:t>
            </w:r>
          </w:p>
          <w:p w14:paraId="7F0E663E" w14:textId="77777777" w:rsidR="008D179C" w:rsidRPr="001D17BB" w:rsidRDefault="008D179C" w:rsidP="008D179C">
            <w:pPr>
              <w:pStyle w:val="Tabletext"/>
              <w:spacing w:before="0" w:after="0"/>
              <w:rPr>
                <w:snapToGrid w:val="0"/>
              </w:rPr>
            </w:pPr>
            <w:r>
              <w:rPr>
                <w:snapToGrid w:val="0"/>
              </w:rPr>
              <w:t>Moderate, favours comparator</w:t>
            </w:r>
          </w:p>
        </w:tc>
      </w:tr>
      <w:tr w:rsidR="008D179C" w:rsidRPr="00AD085E" w14:paraId="0B2E442D" w14:textId="77777777" w:rsidTr="00BA67A5">
        <w:trPr>
          <w:trHeight w:val="503"/>
        </w:trPr>
        <w:tc>
          <w:tcPr>
            <w:tcW w:w="1319" w:type="pct"/>
          </w:tcPr>
          <w:p w14:paraId="3BDFEBAA" w14:textId="77777777" w:rsidR="008D179C" w:rsidRPr="00AD085E" w:rsidRDefault="008D179C" w:rsidP="008D179C">
            <w:pPr>
              <w:pStyle w:val="Tabletext"/>
              <w:spacing w:before="0" w:after="0"/>
              <w:rPr>
                <w:snapToGrid w:val="0"/>
              </w:rPr>
            </w:pPr>
            <w:r>
              <w:rPr>
                <w:snapToGrid w:val="0"/>
              </w:rPr>
              <w:t>Probability of progression from insignificant to significant prostate cancer</w:t>
            </w:r>
          </w:p>
        </w:tc>
        <w:tc>
          <w:tcPr>
            <w:tcW w:w="2259" w:type="pct"/>
          </w:tcPr>
          <w:p w14:paraId="1860ABA2" w14:textId="77777777" w:rsidR="008D179C" w:rsidRPr="00AD085E" w:rsidRDefault="008D179C" w:rsidP="008D179C">
            <w:pPr>
              <w:pStyle w:val="Tabletext"/>
              <w:spacing w:before="0" w:after="0"/>
              <w:ind w:left="0"/>
              <w:rPr>
                <w:snapToGrid w:val="0"/>
              </w:rPr>
            </w:pPr>
            <w:r>
              <w:rPr>
                <w:snapToGrid w:val="0"/>
              </w:rPr>
              <w:t>0.05 instead of 0.088 per year</w:t>
            </w:r>
          </w:p>
        </w:tc>
        <w:tc>
          <w:tcPr>
            <w:tcW w:w="1422" w:type="pct"/>
          </w:tcPr>
          <w:p w14:paraId="4FA51548" w14:textId="77777777" w:rsidR="008D179C" w:rsidRPr="00AD085E" w:rsidRDefault="008D179C" w:rsidP="008D179C">
            <w:pPr>
              <w:pStyle w:val="Tabletext"/>
              <w:spacing w:before="0" w:after="0"/>
              <w:rPr>
                <w:snapToGrid w:val="0"/>
              </w:rPr>
            </w:pPr>
            <w:r>
              <w:rPr>
                <w:snapToGrid w:val="0"/>
              </w:rPr>
              <w:t>Moderate, favours comparator</w:t>
            </w:r>
          </w:p>
        </w:tc>
      </w:tr>
    </w:tbl>
    <w:p w14:paraId="08FA1DBC" w14:textId="77777777" w:rsidR="008D179C" w:rsidRPr="008D179C" w:rsidRDefault="008D179C" w:rsidP="006D0CA2">
      <w:pPr>
        <w:pStyle w:val="TableNotes"/>
        <w:spacing w:after="120" w:line="240" w:lineRule="auto"/>
        <w:rPr>
          <w:b/>
        </w:rPr>
      </w:pPr>
      <w:r w:rsidRPr="00AD085E">
        <w:t xml:space="preserve">MRIGB = magnetic resonance imaging guided biopsy; </w:t>
      </w:r>
      <w:proofErr w:type="spellStart"/>
      <w:r w:rsidRPr="00AD085E">
        <w:t>mpMRI</w:t>
      </w:r>
      <w:proofErr w:type="spellEnd"/>
      <w:r w:rsidRPr="00AD085E">
        <w:t xml:space="preserve"> = </w:t>
      </w:r>
      <w:proofErr w:type="spellStart"/>
      <w:r w:rsidRPr="00AD085E">
        <w:t>multiparametric</w:t>
      </w:r>
      <w:proofErr w:type="spellEnd"/>
      <w:r w:rsidRPr="00AD085E">
        <w:t xml:space="preserve"> MRI; PI-RADS = Prostate Imaging Reporting and Data System.</w:t>
      </w:r>
    </w:p>
    <w:p w14:paraId="61E15A59" w14:textId="685B61C1" w:rsidR="008D179C" w:rsidRPr="00183E4D" w:rsidRDefault="008D179C" w:rsidP="00376F27">
      <w:r>
        <w:t xml:space="preserve">Similar to the current assessment, Gordon et al. (2016) found a reduction in the number of QALYs associated with using </w:t>
      </w:r>
      <w:proofErr w:type="spellStart"/>
      <w:r>
        <w:t>mpMRI</w:t>
      </w:r>
      <w:proofErr w:type="spellEnd"/>
      <w:r>
        <w:t xml:space="preserve"> in Population 1. Gordon et al. (2016) did not evaluate the use of </w:t>
      </w:r>
      <w:proofErr w:type="spellStart"/>
      <w:r>
        <w:t>mpMRI</w:t>
      </w:r>
      <w:proofErr w:type="spellEnd"/>
      <w:r>
        <w:t xml:space="preserve"> in population 2. Contrary to the current assessment, Gordon et al. (2016) found that the use of </w:t>
      </w:r>
      <w:proofErr w:type="spellStart"/>
      <w:r>
        <w:t>mpMRI</w:t>
      </w:r>
      <w:proofErr w:type="spellEnd"/>
      <w:r>
        <w:t xml:space="preserve"> was associated with higher costs than prostate biopsy. Gordon et al. (2016) assumed an average cost of $600 instead of $2400 per TRUS-guided biopsy. The modelled mean numbers of biopsies avoided in Population 1 are higher (0.48) in the current assessment compared to in Gordon et al. 2016 (0.34).</w:t>
      </w:r>
    </w:p>
    <w:p w14:paraId="1D53FAE6" w14:textId="77777777" w:rsidR="00BC1364" w:rsidRPr="00F715D1" w:rsidRDefault="00BC1364" w:rsidP="008E4C81">
      <w:pPr>
        <w:pStyle w:val="Heading1"/>
        <w:ind w:hanging="502"/>
      </w:pPr>
      <w:r w:rsidRPr="00F715D1">
        <w:t>Financial/budgetary impacts</w:t>
      </w:r>
    </w:p>
    <w:p w14:paraId="39CD18FB" w14:textId="77777777" w:rsidR="008D179C" w:rsidRDefault="008D179C" w:rsidP="00FD7B90">
      <w:r w:rsidRPr="0041076A">
        <w:t xml:space="preserve">A combination of the market share approach (in Population 1 and 2) and the epidemiological approach (in Population 2) were used to estimate the financial implications of the introduction of </w:t>
      </w:r>
      <w:proofErr w:type="spellStart"/>
      <w:r w:rsidRPr="0041076A">
        <w:t>mpMRI</w:t>
      </w:r>
      <w:proofErr w:type="spellEnd"/>
      <w:r w:rsidRPr="00A70E72">
        <w:t xml:space="preserve">. The additional costs of </w:t>
      </w:r>
      <w:proofErr w:type="spellStart"/>
      <w:r w:rsidRPr="00A70E72">
        <w:t>mpMRI</w:t>
      </w:r>
      <w:proofErr w:type="spellEnd"/>
      <w:r w:rsidRPr="00A70E72">
        <w:t xml:space="preserve"> are </w:t>
      </w:r>
      <w:r w:rsidRPr="0041076A">
        <w:t>offset by a reduction in prostate biopsies.</w:t>
      </w:r>
    </w:p>
    <w:p w14:paraId="2C266960" w14:textId="14C20CB2" w:rsidR="00FD7B90" w:rsidRPr="00376F27" w:rsidRDefault="00FD7B90" w:rsidP="00376F27">
      <w:pPr>
        <w:spacing w:before="240"/>
      </w:pPr>
      <w:r w:rsidRPr="007F599F">
        <w:t xml:space="preserve">The financial implications to the MBS resulting from the proposed listing of </w:t>
      </w:r>
      <w:proofErr w:type="spellStart"/>
      <w:r w:rsidRPr="007F599F">
        <w:t>mpMRI</w:t>
      </w:r>
      <w:proofErr w:type="spellEnd"/>
      <w:r w:rsidRPr="007F599F">
        <w:t xml:space="preserve"> for prostate cancer are summarised in </w:t>
      </w:r>
      <w:r w:rsidR="00F0365B">
        <w:t>T</w:t>
      </w:r>
      <w:r w:rsidR="0037377A">
        <w:t xml:space="preserve">able </w:t>
      </w:r>
      <w:r w:rsidR="00F01167">
        <w:t>9</w:t>
      </w:r>
      <w:r w:rsidRPr="007F599F">
        <w:t xml:space="preserve">. </w:t>
      </w:r>
    </w:p>
    <w:p w14:paraId="58A54863" w14:textId="56C77E88" w:rsidR="00FD7B90" w:rsidRPr="007F599F" w:rsidRDefault="00FD7B90" w:rsidP="00ED6764">
      <w:pPr>
        <w:pStyle w:val="Caption"/>
        <w:spacing w:before="240" w:after="0" w:line="240" w:lineRule="auto"/>
        <w:jc w:val="left"/>
        <w:rPr>
          <w:rFonts w:ascii="Times New Roman" w:hAnsi="Times New Roman" w:cs="Times New Roman"/>
        </w:rPr>
      </w:pPr>
      <w:bookmarkStart w:id="32" w:name="_Ref457392153"/>
      <w:bookmarkStart w:id="33" w:name="_Toc459987898"/>
      <w:bookmarkStart w:id="34" w:name="_Toc470196825"/>
      <w:bookmarkStart w:id="35" w:name="_Toc471382705"/>
      <w:r w:rsidRPr="007F599F">
        <w:rPr>
          <w:rFonts w:ascii="Times New Roman" w:hAnsi="Times New Roman" w:cs="Times New Roman"/>
        </w:rPr>
        <w:lastRenderedPageBreak/>
        <w:t>Table</w:t>
      </w:r>
      <w:bookmarkEnd w:id="32"/>
      <w:r w:rsidR="0037377A">
        <w:rPr>
          <w:rFonts w:ascii="Times New Roman" w:hAnsi="Times New Roman" w:cs="Times New Roman"/>
        </w:rPr>
        <w:t xml:space="preserve"> </w:t>
      </w:r>
      <w:r w:rsidR="00F01167">
        <w:rPr>
          <w:rFonts w:ascii="Times New Roman" w:hAnsi="Times New Roman" w:cs="Times New Roman"/>
        </w:rPr>
        <w:t>9</w:t>
      </w:r>
      <w:r w:rsidRPr="007F599F">
        <w:rPr>
          <w:rFonts w:ascii="Times New Roman" w:hAnsi="Times New Roman" w:cs="Times New Roman"/>
        </w:rPr>
        <w:tab/>
        <w:t xml:space="preserve">Total costs to the MBS and other health care funders associated with </w:t>
      </w:r>
      <w:proofErr w:type="spellStart"/>
      <w:r w:rsidRPr="007F599F">
        <w:rPr>
          <w:rFonts w:ascii="Times New Roman" w:hAnsi="Times New Roman" w:cs="Times New Roman"/>
        </w:rPr>
        <w:t>mpMRI</w:t>
      </w:r>
      <w:proofErr w:type="spellEnd"/>
      <w:r w:rsidRPr="007F599F">
        <w:rPr>
          <w:rFonts w:ascii="Times New Roman" w:hAnsi="Times New Roman" w:cs="Times New Roman"/>
        </w:rPr>
        <w:t xml:space="preserve"> for prostate cancer.</w:t>
      </w:r>
      <w:bookmarkEnd w:id="33"/>
      <w:bookmarkEnd w:id="34"/>
      <w:bookmarkEnd w:id="35"/>
    </w:p>
    <w:tbl>
      <w:tblPr>
        <w:tblStyle w:val="TableGrid2"/>
        <w:tblW w:w="9606" w:type="dxa"/>
        <w:tblLayout w:type="fixed"/>
        <w:tblLook w:val="04A0" w:firstRow="1" w:lastRow="0" w:firstColumn="1" w:lastColumn="0" w:noHBand="0" w:noVBand="1"/>
        <w:tblDescription w:val="Total costs to the MBS and other health care funders associated with mpMRI for prostate cancer"/>
      </w:tblPr>
      <w:tblGrid>
        <w:gridCol w:w="1702"/>
        <w:gridCol w:w="1276"/>
        <w:gridCol w:w="1276"/>
        <w:gridCol w:w="1278"/>
        <w:gridCol w:w="1379"/>
        <w:gridCol w:w="1312"/>
        <w:gridCol w:w="1383"/>
      </w:tblGrid>
      <w:tr w:rsidR="00BA67A5" w:rsidRPr="00ED6764" w14:paraId="03AD5B62" w14:textId="77777777" w:rsidTr="007F1DA3">
        <w:trPr>
          <w:cnfStyle w:val="100000000000" w:firstRow="1" w:lastRow="0" w:firstColumn="0" w:lastColumn="0" w:oddVBand="0" w:evenVBand="0" w:oddHBand="0" w:evenHBand="0" w:firstRowFirstColumn="0" w:firstRowLastColumn="0" w:lastRowFirstColumn="0" w:lastRowLastColumn="0"/>
          <w:trHeight w:val="279"/>
          <w:tblHeader/>
        </w:trPr>
        <w:tc>
          <w:tcPr>
            <w:tcW w:w="886" w:type="pct"/>
          </w:tcPr>
          <w:p w14:paraId="57D6E6DD" w14:textId="77777777" w:rsidR="00FD7B90" w:rsidRPr="00ED6764" w:rsidRDefault="00FD7B90" w:rsidP="008D179C">
            <w:pPr>
              <w:pStyle w:val="Tableheading"/>
              <w:keepNext/>
              <w:spacing w:before="0" w:line="240" w:lineRule="auto"/>
              <w:rPr>
                <w:rFonts w:cs="Times New Roman"/>
                <w:snapToGrid w:val="0"/>
                <w:szCs w:val="20"/>
              </w:rPr>
            </w:pPr>
          </w:p>
        </w:tc>
        <w:tc>
          <w:tcPr>
            <w:tcW w:w="1993" w:type="pct"/>
            <w:gridSpan w:val="3"/>
          </w:tcPr>
          <w:p w14:paraId="6A639183"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Yearly costs (Year 1 to Year 5)</w:t>
            </w:r>
          </w:p>
        </w:tc>
        <w:tc>
          <w:tcPr>
            <w:tcW w:w="2121" w:type="pct"/>
            <w:gridSpan w:val="3"/>
          </w:tcPr>
          <w:p w14:paraId="08D237A5"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Over 5 years (Total, Year 1-5)</w:t>
            </w:r>
          </w:p>
        </w:tc>
      </w:tr>
      <w:tr w:rsidR="00ED6764" w:rsidRPr="00ED6764" w14:paraId="414286E5" w14:textId="77777777" w:rsidTr="007F1DA3">
        <w:trPr>
          <w:trHeight w:val="228"/>
        </w:trPr>
        <w:tc>
          <w:tcPr>
            <w:tcW w:w="886" w:type="pct"/>
          </w:tcPr>
          <w:p w14:paraId="2C97790C" w14:textId="695EAFE7" w:rsidR="00FD7B90" w:rsidRPr="00ED6764" w:rsidRDefault="00ED6764" w:rsidP="008D179C">
            <w:pPr>
              <w:pStyle w:val="Tableheading"/>
              <w:keepNext/>
              <w:spacing w:before="0" w:line="240" w:lineRule="auto"/>
              <w:rPr>
                <w:rFonts w:cs="Times New Roman"/>
                <w:snapToGrid w:val="0"/>
                <w:szCs w:val="20"/>
              </w:rPr>
            </w:pPr>
            <w:r w:rsidRPr="00ED6764">
              <w:rPr>
                <w:rFonts w:cs="Times New Roman"/>
                <w:iCs/>
                <w:szCs w:val="20"/>
              </w:rPr>
              <w:t xml:space="preserve">Costs of listing </w:t>
            </w:r>
            <w:proofErr w:type="spellStart"/>
            <w:r w:rsidRPr="00ED6764">
              <w:rPr>
                <w:rFonts w:cs="Times New Roman"/>
                <w:iCs/>
                <w:szCs w:val="20"/>
              </w:rPr>
              <w:t>mpMRI</w:t>
            </w:r>
            <w:proofErr w:type="spellEnd"/>
          </w:p>
        </w:tc>
        <w:tc>
          <w:tcPr>
            <w:tcW w:w="664" w:type="pct"/>
          </w:tcPr>
          <w:p w14:paraId="4A0B8EE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1</w:t>
            </w:r>
          </w:p>
        </w:tc>
        <w:tc>
          <w:tcPr>
            <w:tcW w:w="664" w:type="pct"/>
          </w:tcPr>
          <w:p w14:paraId="38765A6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2</w:t>
            </w:r>
          </w:p>
        </w:tc>
        <w:tc>
          <w:tcPr>
            <w:tcW w:w="665" w:type="pct"/>
          </w:tcPr>
          <w:p w14:paraId="2F7738D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 xml:space="preserve">Total </w:t>
            </w:r>
          </w:p>
        </w:tc>
        <w:tc>
          <w:tcPr>
            <w:tcW w:w="718" w:type="pct"/>
          </w:tcPr>
          <w:p w14:paraId="0BCCBA5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1</w:t>
            </w:r>
          </w:p>
        </w:tc>
        <w:tc>
          <w:tcPr>
            <w:tcW w:w="683" w:type="pct"/>
          </w:tcPr>
          <w:p w14:paraId="48158FD2"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2</w:t>
            </w:r>
          </w:p>
        </w:tc>
        <w:tc>
          <w:tcPr>
            <w:tcW w:w="719" w:type="pct"/>
          </w:tcPr>
          <w:p w14:paraId="7E3B3A8F"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 xml:space="preserve">Total </w:t>
            </w:r>
          </w:p>
        </w:tc>
      </w:tr>
      <w:tr w:rsidR="00ED6764" w:rsidRPr="00ED6764" w14:paraId="24A5B69B" w14:textId="77777777" w:rsidTr="007F1DA3">
        <w:trPr>
          <w:trHeight w:val="362"/>
        </w:trPr>
        <w:tc>
          <w:tcPr>
            <w:tcW w:w="886" w:type="pct"/>
          </w:tcPr>
          <w:p w14:paraId="1BD7D081" w14:textId="77777777" w:rsidR="00FD7B90" w:rsidRPr="00ED6764" w:rsidRDefault="00FD7B90" w:rsidP="008D179C">
            <w:pPr>
              <w:pStyle w:val="Tabletext"/>
              <w:keepNext/>
              <w:spacing w:before="0" w:after="0"/>
              <w:rPr>
                <w:snapToGrid w:val="0"/>
                <w:highlight w:val="yellow"/>
              </w:rPr>
            </w:pPr>
            <w:r w:rsidRPr="00ED6764">
              <w:t>Number of services (</w:t>
            </w:r>
            <w:proofErr w:type="spellStart"/>
            <w:r w:rsidRPr="00ED6764">
              <w:t>mpMRI</w:t>
            </w:r>
            <w:proofErr w:type="spellEnd"/>
            <w:r w:rsidRPr="00ED6764">
              <w:t>)</w:t>
            </w:r>
          </w:p>
        </w:tc>
        <w:tc>
          <w:tcPr>
            <w:tcW w:w="664" w:type="pct"/>
          </w:tcPr>
          <w:p w14:paraId="4166A6F3" w14:textId="77777777" w:rsidR="00FD7B90" w:rsidRPr="00ED6764" w:rsidRDefault="00FD7B90" w:rsidP="008D179C">
            <w:pPr>
              <w:pStyle w:val="Tabletext"/>
              <w:keepNext/>
              <w:spacing w:before="0" w:after="0"/>
              <w:rPr>
                <w:snapToGrid w:val="0"/>
              </w:rPr>
            </w:pPr>
            <w:r w:rsidRPr="00ED6764">
              <w:rPr>
                <w:snapToGrid w:val="0"/>
              </w:rPr>
              <w:t>13,276</w:t>
            </w:r>
          </w:p>
        </w:tc>
        <w:tc>
          <w:tcPr>
            <w:tcW w:w="664" w:type="pct"/>
          </w:tcPr>
          <w:p w14:paraId="1A1F9A10" w14:textId="77777777" w:rsidR="00FD7B90" w:rsidRPr="00ED6764" w:rsidRDefault="00FD7B90" w:rsidP="008D179C">
            <w:pPr>
              <w:pStyle w:val="Tabletext"/>
              <w:keepNext/>
              <w:spacing w:before="0" w:after="0"/>
              <w:rPr>
                <w:snapToGrid w:val="0"/>
              </w:rPr>
            </w:pPr>
            <w:r w:rsidRPr="00ED6764">
              <w:rPr>
                <w:snapToGrid w:val="0"/>
              </w:rPr>
              <w:t>6,873</w:t>
            </w:r>
          </w:p>
        </w:tc>
        <w:tc>
          <w:tcPr>
            <w:tcW w:w="665" w:type="pct"/>
          </w:tcPr>
          <w:p w14:paraId="49660CDD" w14:textId="77777777" w:rsidR="00FD7B90" w:rsidRPr="00ED6764" w:rsidRDefault="00FD7B90" w:rsidP="008D179C">
            <w:pPr>
              <w:pStyle w:val="Tabletext"/>
              <w:keepNext/>
              <w:spacing w:before="0" w:after="0"/>
              <w:rPr>
                <w:snapToGrid w:val="0"/>
              </w:rPr>
            </w:pPr>
            <w:r w:rsidRPr="00ED6764">
              <w:rPr>
                <w:snapToGrid w:val="0"/>
              </w:rPr>
              <w:t>20,149</w:t>
            </w:r>
          </w:p>
        </w:tc>
        <w:tc>
          <w:tcPr>
            <w:tcW w:w="718" w:type="pct"/>
          </w:tcPr>
          <w:p w14:paraId="6B0844D6" w14:textId="77777777" w:rsidR="00FD7B90" w:rsidRPr="00ED6764" w:rsidRDefault="00FD7B90" w:rsidP="008D179C">
            <w:pPr>
              <w:pStyle w:val="Tabletext"/>
              <w:keepNext/>
              <w:spacing w:before="0" w:after="0"/>
              <w:rPr>
                <w:snapToGrid w:val="0"/>
              </w:rPr>
            </w:pPr>
            <w:r w:rsidRPr="00ED6764">
              <w:rPr>
                <w:snapToGrid w:val="0"/>
              </w:rPr>
              <w:t>66,380</w:t>
            </w:r>
          </w:p>
        </w:tc>
        <w:tc>
          <w:tcPr>
            <w:tcW w:w="683" w:type="pct"/>
          </w:tcPr>
          <w:p w14:paraId="3745BBAE" w14:textId="77777777" w:rsidR="00FD7B90" w:rsidRPr="00ED6764" w:rsidRDefault="00FD7B90" w:rsidP="008D179C">
            <w:pPr>
              <w:pStyle w:val="Tabletext"/>
              <w:keepNext/>
              <w:spacing w:before="0" w:after="0"/>
              <w:rPr>
                <w:snapToGrid w:val="0"/>
              </w:rPr>
            </w:pPr>
            <w:r w:rsidRPr="00ED6764">
              <w:rPr>
                <w:snapToGrid w:val="0"/>
              </w:rPr>
              <w:t>34,365</w:t>
            </w:r>
          </w:p>
        </w:tc>
        <w:tc>
          <w:tcPr>
            <w:tcW w:w="719" w:type="pct"/>
          </w:tcPr>
          <w:p w14:paraId="093DD875" w14:textId="77777777" w:rsidR="00FD7B90" w:rsidRPr="00ED6764" w:rsidRDefault="00FD7B90" w:rsidP="008D179C">
            <w:pPr>
              <w:pStyle w:val="Tabletext"/>
              <w:keepNext/>
              <w:spacing w:before="0" w:after="0"/>
              <w:rPr>
                <w:snapToGrid w:val="0"/>
              </w:rPr>
            </w:pPr>
            <w:r w:rsidRPr="00ED6764">
              <w:rPr>
                <w:snapToGrid w:val="0"/>
              </w:rPr>
              <w:t>100,745</w:t>
            </w:r>
          </w:p>
        </w:tc>
      </w:tr>
      <w:tr w:rsidR="00ED6764" w:rsidRPr="00ED6764" w14:paraId="16132835" w14:textId="77777777" w:rsidTr="007F1DA3">
        <w:trPr>
          <w:trHeight w:val="313"/>
        </w:trPr>
        <w:tc>
          <w:tcPr>
            <w:tcW w:w="886" w:type="pct"/>
          </w:tcPr>
          <w:p w14:paraId="045B1155" w14:textId="77777777" w:rsidR="00FD7B90" w:rsidRPr="00ED6764" w:rsidRDefault="00FD7B90" w:rsidP="008D179C">
            <w:pPr>
              <w:pStyle w:val="Tabletext"/>
              <w:keepNext/>
              <w:spacing w:before="0" w:after="0"/>
              <w:rPr>
                <w:snapToGrid w:val="0"/>
                <w:highlight w:val="yellow"/>
              </w:rPr>
            </w:pPr>
            <w:r w:rsidRPr="00ED6764">
              <w:t xml:space="preserve">Number of services (prostate biopsy, sig. </w:t>
            </w:r>
            <w:proofErr w:type="spellStart"/>
            <w:r w:rsidRPr="00ED6764">
              <w:t>PCa</w:t>
            </w:r>
            <w:proofErr w:type="spellEnd"/>
            <w:r w:rsidRPr="00ED6764">
              <w:t>)</w:t>
            </w:r>
          </w:p>
        </w:tc>
        <w:tc>
          <w:tcPr>
            <w:tcW w:w="664" w:type="pct"/>
          </w:tcPr>
          <w:p w14:paraId="34B4A61F" w14:textId="77777777" w:rsidR="00FD7B90" w:rsidRPr="00ED6764" w:rsidRDefault="00FD7B90" w:rsidP="008D179C">
            <w:pPr>
              <w:pStyle w:val="Tabletext"/>
              <w:keepNext/>
              <w:spacing w:before="0" w:after="0"/>
              <w:rPr>
                <w:snapToGrid w:val="0"/>
                <w:highlight w:val="yellow"/>
              </w:rPr>
            </w:pPr>
            <w:r w:rsidRPr="00ED6764">
              <w:t>6,904</w:t>
            </w:r>
          </w:p>
        </w:tc>
        <w:tc>
          <w:tcPr>
            <w:tcW w:w="664" w:type="pct"/>
          </w:tcPr>
          <w:p w14:paraId="1155CE9A" w14:textId="77777777" w:rsidR="00FD7B90" w:rsidRPr="00ED6764" w:rsidRDefault="00FD7B90" w:rsidP="008D179C">
            <w:pPr>
              <w:pStyle w:val="Tabletext"/>
              <w:keepNext/>
              <w:spacing w:before="0" w:after="0"/>
              <w:rPr>
                <w:snapToGrid w:val="0"/>
                <w:highlight w:val="yellow"/>
              </w:rPr>
            </w:pPr>
            <w:r w:rsidRPr="00ED6764">
              <w:t>4,080</w:t>
            </w:r>
          </w:p>
        </w:tc>
        <w:tc>
          <w:tcPr>
            <w:tcW w:w="665" w:type="pct"/>
          </w:tcPr>
          <w:p w14:paraId="23E3AD88" w14:textId="77777777" w:rsidR="00FD7B90" w:rsidRPr="00ED6764" w:rsidRDefault="00FD7B90" w:rsidP="008D179C">
            <w:pPr>
              <w:pStyle w:val="Tabletext"/>
              <w:keepNext/>
              <w:spacing w:before="0" w:after="0"/>
              <w:rPr>
                <w:snapToGrid w:val="0"/>
                <w:highlight w:val="yellow"/>
              </w:rPr>
            </w:pPr>
            <w:r w:rsidRPr="00ED6764">
              <w:t>10,984</w:t>
            </w:r>
          </w:p>
        </w:tc>
        <w:tc>
          <w:tcPr>
            <w:tcW w:w="718" w:type="pct"/>
          </w:tcPr>
          <w:p w14:paraId="70850E19" w14:textId="77777777" w:rsidR="00FD7B90" w:rsidRPr="00ED6764" w:rsidRDefault="00FD7B90" w:rsidP="008D179C">
            <w:pPr>
              <w:pStyle w:val="Tabletext"/>
              <w:keepNext/>
              <w:spacing w:before="0" w:after="0"/>
              <w:rPr>
                <w:snapToGrid w:val="0"/>
                <w:highlight w:val="yellow"/>
              </w:rPr>
            </w:pPr>
            <w:r w:rsidRPr="00ED6764">
              <w:t>34518</w:t>
            </w:r>
          </w:p>
        </w:tc>
        <w:tc>
          <w:tcPr>
            <w:tcW w:w="683" w:type="pct"/>
          </w:tcPr>
          <w:p w14:paraId="3B7AD12A" w14:textId="77777777" w:rsidR="00FD7B90" w:rsidRPr="00ED6764" w:rsidRDefault="00FD7B90" w:rsidP="008D179C">
            <w:pPr>
              <w:pStyle w:val="Tabletext"/>
              <w:keepNext/>
              <w:spacing w:before="0" w:after="0"/>
              <w:rPr>
                <w:snapToGrid w:val="0"/>
                <w:highlight w:val="yellow"/>
              </w:rPr>
            </w:pPr>
            <w:r w:rsidRPr="00ED6764">
              <w:t>20401</w:t>
            </w:r>
          </w:p>
        </w:tc>
        <w:tc>
          <w:tcPr>
            <w:tcW w:w="719" w:type="pct"/>
          </w:tcPr>
          <w:p w14:paraId="71B70A4D" w14:textId="77777777" w:rsidR="00FD7B90" w:rsidRPr="00ED6764" w:rsidRDefault="00FD7B90" w:rsidP="008D179C">
            <w:pPr>
              <w:pStyle w:val="Tabletext"/>
              <w:keepNext/>
              <w:spacing w:before="0" w:after="0"/>
              <w:rPr>
                <w:snapToGrid w:val="0"/>
                <w:highlight w:val="yellow"/>
              </w:rPr>
            </w:pPr>
            <w:r w:rsidRPr="00ED6764">
              <w:t>54,918</w:t>
            </w:r>
          </w:p>
        </w:tc>
      </w:tr>
      <w:tr w:rsidR="00ED6764" w:rsidRPr="00ED6764" w14:paraId="6E4D7181" w14:textId="77777777" w:rsidTr="007F1DA3">
        <w:trPr>
          <w:trHeight w:val="313"/>
        </w:trPr>
        <w:tc>
          <w:tcPr>
            <w:tcW w:w="886" w:type="pct"/>
          </w:tcPr>
          <w:p w14:paraId="77FA3305" w14:textId="77777777" w:rsidR="00FD7B90" w:rsidRPr="00ED6764" w:rsidRDefault="00FD7B90" w:rsidP="008D179C">
            <w:pPr>
              <w:pStyle w:val="Tabletext"/>
              <w:keepNext/>
              <w:spacing w:before="0" w:after="0"/>
              <w:rPr>
                <w:snapToGrid w:val="0"/>
                <w:highlight w:val="yellow"/>
              </w:rPr>
            </w:pPr>
            <w:r w:rsidRPr="00ED6764">
              <w:t>Total MBS cost per year (</w:t>
            </w:r>
            <w:proofErr w:type="spellStart"/>
            <w:r w:rsidRPr="00ED6764">
              <w:t>mpMRI</w:t>
            </w:r>
            <w:proofErr w:type="spellEnd"/>
            <w:r w:rsidRPr="00ED6764">
              <w:t xml:space="preserve"> +prostate biopsy, significant </w:t>
            </w:r>
            <w:proofErr w:type="spellStart"/>
            <w:r w:rsidRPr="00ED6764">
              <w:t>PCa</w:t>
            </w:r>
            <w:proofErr w:type="spellEnd"/>
            <w:r w:rsidRPr="00ED6764">
              <w:t>)</w:t>
            </w:r>
          </w:p>
        </w:tc>
        <w:tc>
          <w:tcPr>
            <w:tcW w:w="664" w:type="pct"/>
          </w:tcPr>
          <w:p w14:paraId="548448BE" w14:textId="77777777" w:rsidR="00FD7B90" w:rsidRPr="00ED6764" w:rsidRDefault="00FD7B90" w:rsidP="008D179C">
            <w:pPr>
              <w:pStyle w:val="Tabletext"/>
              <w:keepNext/>
              <w:spacing w:before="0" w:after="0"/>
              <w:rPr>
                <w:snapToGrid w:val="0"/>
                <w:highlight w:val="yellow"/>
              </w:rPr>
            </w:pPr>
            <w:r w:rsidRPr="00ED6764">
              <w:t>$14,958,866</w:t>
            </w:r>
          </w:p>
        </w:tc>
        <w:tc>
          <w:tcPr>
            <w:tcW w:w="664" w:type="pct"/>
          </w:tcPr>
          <w:p w14:paraId="71E779A9" w14:textId="77777777" w:rsidR="00FD7B90" w:rsidRPr="00ED6764" w:rsidRDefault="00FD7B90" w:rsidP="008D179C">
            <w:pPr>
              <w:pStyle w:val="Tabletext"/>
              <w:keepNext/>
              <w:spacing w:before="0" w:after="0"/>
              <w:rPr>
                <w:snapToGrid w:val="0"/>
                <w:highlight w:val="yellow"/>
              </w:rPr>
            </w:pPr>
            <w:r w:rsidRPr="00ED6764">
              <w:t>$8,257,004</w:t>
            </w:r>
          </w:p>
        </w:tc>
        <w:tc>
          <w:tcPr>
            <w:tcW w:w="665" w:type="pct"/>
          </w:tcPr>
          <w:p w14:paraId="58334406" w14:textId="77777777" w:rsidR="00FD7B90" w:rsidRPr="00ED6764" w:rsidRDefault="00FD7B90" w:rsidP="008D179C">
            <w:pPr>
              <w:pStyle w:val="Tabletext"/>
              <w:keepNext/>
              <w:spacing w:before="0" w:after="0"/>
              <w:rPr>
                <w:snapToGrid w:val="0"/>
                <w:highlight w:val="yellow"/>
              </w:rPr>
            </w:pPr>
            <w:r w:rsidRPr="00ED6764">
              <w:t>$23,215,870</w:t>
            </w:r>
          </w:p>
        </w:tc>
        <w:tc>
          <w:tcPr>
            <w:tcW w:w="718" w:type="pct"/>
          </w:tcPr>
          <w:p w14:paraId="41C58F4B" w14:textId="77777777" w:rsidR="00FD7B90" w:rsidRPr="00ED6764" w:rsidRDefault="00FD7B90" w:rsidP="008D179C">
            <w:pPr>
              <w:pStyle w:val="Tabletext"/>
              <w:keepNext/>
              <w:spacing w:before="0" w:after="0"/>
              <w:rPr>
                <w:snapToGrid w:val="0"/>
                <w:highlight w:val="yellow"/>
              </w:rPr>
            </w:pPr>
            <w:r w:rsidRPr="00ED6764">
              <w:t>$74,794,329</w:t>
            </w:r>
          </w:p>
        </w:tc>
        <w:tc>
          <w:tcPr>
            <w:tcW w:w="683" w:type="pct"/>
          </w:tcPr>
          <w:p w14:paraId="5317066A" w14:textId="77777777" w:rsidR="00FD7B90" w:rsidRPr="00ED6764" w:rsidRDefault="00FD7B90" w:rsidP="008D179C">
            <w:pPr>
              <w:pStyle w:val="Tabletext"/>
              <w:keepNext/>
              <w:spacing w:before="0" w:after="0"/>
              <w:rPr>
                <w:snapToGrid w:val="0"/>
                <w:highlight w:val="yellow"/>
              </w:rPr>
            </w:pPr>
            <w:r w:rsidRPr="00ED6764">
              <w:t>$41,285,020</w:t>
            </w:r>
          </w:p>
        </w:tc>
        <w:tc>
          <w:tcPr>
            <w:tcW w:w="719" w:type="pct"/>
          </w:tcPr>
          <w:p w14:paraId="355DE601" w14:textId="77777777" w:rsidR="00FD7B90" w:rsidRPr="00ED6764" w:rsidRDefault="00FD7B90" w:rsidP="008D179C">
            <w:pPr>
              <w:pStyle w:val="Tabletext"/>
              <w:keepNext/>
              <w:spacing w:before="0" w:after="0"/>
              <w:rPr>
                <w:snapToGrid w:val="0"/>
                <w:highlight w:val="yellow"/>
              </w:rPr>
            </w:pPr>
            <w:r w:rsidRPr="00ED6764">
              <w:t>$116,079,349</w:t>
            </w:r>
          </w:p>
        </w:tc>
      </w:tr>
      <w:tr w:rsidR="00ED6764" w:rsidRPr="00ED6764" w14:paraId="00FCE697" w14:textId="77777777" w:rsidTr="007F1DA3">
        <w:trPr>
          <w:trHeight w:val="313"/>
        </w:trPr>
        <w:tc>
          <w:tcPr>
            <w:tcW w:w="886" w:type="pct"/>
          </w:tcPr>
          <w:p w14:paraId="2C084419" w14:textId="77777777" w:rsidR="00FD7B90" w:rsidRPr="00ED6764" w:rsidRDefault="00FD7B90" w:rsidP="008D179C">
            <w:pPr>
              <w:pStyle w:val="Tabletext"/>
              <w:keepNext/>
              <w:spacing w:before="0" w:after="0"/>
              <w:rPr>
                <w:snapToGrid w:val="0"/>
                <w:highlight w:val="yellow"/>
              </w:rPr>
            </w:pPr>
            <w:r w:rsidRPr="00ED6764">
              <w:t>Total costs for other healthcare funders</w:t>
            </w:r>
          </w:p>
        </w:tc>
        <w:tc>
          <w:tcPr>
            <w:tcW w:w="664" w:type="pct"/>
          </w:tcPr>
          <w:p w14:paraId="54292BA7" w14:textId="77777777" w:rsidR="00FD7B90" w:rsidRPr="00ED6764" w:rsidRDefault="00FD7B90" w:rsidP="008D179C">
            <w:pPr>
              <w:pStyle w:val="Tabletext"/>
              <w:keepNext/>
              <w:spacing w:before="0" w:after="0"/>
              <w:rPr>
                <w:snapToGrid w:val="0"/>
                <w:highlight w:val="yellow"/>
              </w:rPr>
            </w:pPr>
            <w:r w:rsidRPr="00ED6764">
              <w:t>$6,972,332</w:t>
            </w:r>
          </w:p>
        </w:tc>
        <w:tc>
          <w:tcPr>
            <w:tcW w:w="664" w:type="pct"/>
          </w:tcPr>
          <w:p w14:paraId="4A7C84D4" w14:textId="77777777" w:rsidR="00FD7B90" w:rsidRPr="00ED6764" w:rsidRDefault="00FD7B90" w:rsidP="008D179C">
            <w:pPr>
              <w:pStyle w:val="Tabletext"/>
              <w:keepNext/>
              <w:spacing w:before="0" w:after="0"/>
              <w:rPr>
                <w:snapToGrid w:val="0"/>
                <w:highlight w:val="yellow"/>
              </w:rPr>
            </w:pPr>
            <w:r w:rsidRPr="00ED6764">
              <w:t>$4,120,831</w:t>
            </w:r>
          </w:p>
        </w:tc>
        <w:tc>
          <w:tcPr>
            <w:tcW w:w="665" w:type="pct"/>
          </w:tcPr>
          <w:p w14:paraId="260086B8" w14:textId="77777777" w:rsidR="00FD7B90" w:rsidRPr="00ED6764" w:rsidRDefault="00FD7B90" w:rsidP="008D179C">
            <w:pPr>
              <w:pStyle w:val="Tabletext"/>
              <w:keepNext/>
              <w:spacing w:before="0" w:after="0"/>
              <w:rPr>
                <w:snapToGrid w:val="0"/>
                <w:highlight w:val="yellow"/>
              </w:rPr>
            </w:pPr>
            <w:r w:rsidRPr="00ED6764">
              <w:t>$11,093,163</w:t>
            </w:r>
          </w:p>
        </w:tc>
        <w:tc>
          <w:tcPr>
            <w:tcW w:w="718" w:type="pct"/>
          </w:tcPr>
          <w:p w14:paraId="7D3D022E" w14:textId="77777777" w:rsidR="00FD7B90" w:rsidRPr="00ED6764" w:rsidRDefault="00FD7B90" w:rsidP="008D179C">
            <w:pPr>
              <w:pStyle w:val="Tabletext"/>
              <w:keepNext/>
              <w:spacing w:before="0" w:after="0"/>
              <w:rPr>
                <w:snapToGrid w:val="0"/>
                <w:highlight w:val="yellow"/>
              </w:rPr>
            </w:pPr>
            <w:r w:rsidRPr="00ED6764">
              <w:t>$34,861,658</w:t>
            </w:r>
          </w:p>
        </w:tc>
        <w:tc>
          <w:tcPr>
            <w:tcW w:w="683" w:type="pct"/>
          </w:tcPr>
          <w:p w14:paraId="2889878A" w14:textId="77777777" w:rsidR="00FD7B90" w:rsidRPr="00ED6764" w:rsidRDefault="00FD7B90" w:rsidP="008D179C">
            <w:pPr>
              <w:pStyle w:val="Tabletext"/>
              <w:keepNext/>
              <w:spacing w:before="0" w:after="0"/>
              <w:rPr>
                <w:snapToGrid w:val="0"/>
                <w:highlight w:val="yellow"/>
              </w:rPr>
            </w:pPr>
            <w:r w:rsidRPr="00ED6764">
              <w:t>$20,604,157</w:t>
            </w:r>
          </w:p>
        </w:tc>
        <w:tc>
          <w:tcPr>
            <w:tcW w:w="719" w:type="pct"/>
          </w:tcPr>
          <w:p w14:paraId="3F21711B" w14:textId="77777777" w:rsidR="00FD7B90" w:rsidRPr="00ED6764" w:rsidRDefault="00FD7B90" w:rsidP="008D179C">
            <w:pPr>
              <w:pStyle w:val="Tabletext"/>
              <w:keepNext/>
              <w:spacing w:before="0" w:after="0"/>
              <w:rPr>
                <w:snapToGrid w:val="0"/>
                <w:highlight w:val="yellow"/>
              </w:rPr>
            </w:pPr>
            <w:r w:rsidRPr="00ED6764">
              <w:t>$55,465,815</w:t>
            </w:r>
          </w:p>
        </w:tc>
      </w:tr>
      <w:tr w:rsidR="00ED6764" w:rsidRPr="00ED6764" w14:paraId="16E42CEB" w14:textId="77777777" w:rsidTr="007F1DA3">
        <w:trPr>
          <w:trHeight w:val="313"/>
        </w:trPr>
        <w:tc>
          <w:tcPr>
            <w:tcW w:w="886" w:type="pct"/>
          </w:tcPr>
          <w:p w14:paraId="0126D0CD" w14:textId="77777777" w:rsidR="00FD7B90" w:rsidRPr="00ED6764" w:rsidRDefault="00FD7B90" w:rsidP="008D179C">
            <w:pPr>
              <w:pStyle w:val="Tabletext"/>
              <w:keepNext/>
              <w:spacing w:before="0" w:after="0"/>
              <w:rPr>
                <w:snapToGrid w:val="0"/>
                <w:highlight w:val="yellow"/>
              </w:rPr>
            </w:pPr>
            <w:r w:rsidRPr="00ED6764">
              <w:t>Total co-payments per year</w:t>
            </w:r>
          </w:p>
        </w:tc>
        <w:tc>
          <w:tcPr>
            <w:tcW w:w="664" w:type="pct"/>
          </w:tcPr>
          <w:p w14:paraId="492506D0" w14:textId="77777777" w:rsidR="00FD7B90" w:rsidRPr="00ED6764" w:rsidRDefault="00FD7B90" w:rsidP="008D179C">
            <w:pPr>
              <w:pStyle w:val="Tabletext"/>
              <w:keepNext/>
              <w:spacing w:before="0" w:after="0"/>
              <w:rPr>
                <w:snapToGrid w:val="0"/>
                <w:highlight w:val="yellow"/>
              </w:rPr>
            </w:pPr>
            <w:r w:rsidRPr="00ED6764">
              <w:t>$3,797,691</w:t>
            </w:r>
          </w:p>
        </w:tc>
        <w:tc>
          <w:tcPr>
            <w:tcW w:w="664" w:type="pct"/>
          </w:tcPr>
          <w:p w14:paraId="2C8343B3" w14:textId="77777777" w:rsidR="00FD7B90" w:rsidRPr="00ED6764" w:rsidRDefault="00FD7B90" w:rsidP="008D179C">
            <w:pPr>
              <w:pStyle w:val="Tabletext"/>
              <w:keepNext/>
              <w:spacing w:before="0" w:after="0"/>
              <w:rPr>
                <w:snapToGrid w:val="0"/>
                <w:highlight w:val="yellow"/>
              </w:rPr>
            </w:pPr>
            <w:r w:rsidRPr="00ED6764">
              <w:t>$2,156,923</w:t>
            </w:r>
          </w:p>
        </w:tc>
        <w:tc>
          <w:tcPr>
            <w:tcW w:w="665" w:type="pct"/>
          </w:tcPr>
          <w:p w14:paraId="42C8E4FF" w14:textId="77777777" w:rsidR="00FD7B90" w:rsidRPr="00ED6764" w:rsidRDefault="00FD7B90" w:rsidP="008D179C">
            <w:pPr>
              <w:pStyle w:val="Tabletext"/>
              <w:keepNext/>
              <w:spacing w:before="0" w:after="0"/>
              <w:rPr>
                <w:snapToGrid w:val="0"/>
                <w:highlight w:val="yellow"/>
              </w:rPr>
            </w:pPr>
            <w:r w:rsidRPr="00ED6764">
              <w:t>$5,954,614</w:t>
            </w:r>
          </w:p>
        </w:tc>
        <w:tc>
          <w:tcPr>
            <w:tcW w:w="718" w:type="pct"/>
          </w:tcPr>
          <w:p w14:paraId="3005E29B" w14:textId="77777777" w:rsidR="00FD7B90" w:rsidRPr="00ED6764" w:rsidRDefault="00FD7B90" w:rsidP="008D179C">
            <w:pPr>
              <w:pStyle w:val="Tabletext"/>
              <w:keepNext/>
              <w:spacing w:before="0" w:after="0"/>
              <w:rPr>
                <w:snapToGrid w:val="0"/>
                <w:highlight w:val="yellow"/>
              </w:rPr>
            </w:pPr>
            <w:r w:rsidRPr="00ED6764">
              <w:t>$18,988,453</w:t>
            </w:r>
          </w:p>
        </w:tc>
        <w:tc>
          <w:tcPr>
            <w:tcW w:w="683" w:type="pct"/>
          </w:tcPr>
          <w:p w14:paraId="6CD31139" w14:textId="77777777" w:rsidR="00FD7B90" w:rsidRPr="00ED6764" w:rsidRDefault="00FD7B90" w:rsidP="008D179C">
            <w:pPr>
              <w:pStyle w:val="Tabletext"/>
              <w:keepNext/>
              <w:spacing w:before="0" w:after="0"/>
              <w:rPr>
                <w:snapToGrid w:val="0"/>
                <w:highlight w:val="yellow"/>
              </w:rPr>
            </w:pPr>
            <w:r w:rsidRPr="00ED6764">
              <w:t>$10,784,616</w:t>
            </w:r>
          </w:p>
        </w:tc>
        <w:tc>
          <w:tcPr>
            <w:tcW w:w="719" w:type="pct"/>
          </w:tcPr>
          <w:p w14:paraId="7848AB65" w14:textId="77777777" w:rsidR="00FD7B90" w:rsidRPr="00ED6764" w:rsidRDefault="00FD7B90" w:rsidP="008D179C">
            <w:pPr>
              <w:pStyle w:val="Tabletext"/>
              <w:keepNext/>
              <w:spacing w:before="0" w:after="0"/>
              <w:rPr>
                <w:snapToGrid w:val="0"/>
                <w:highlight w:val="yellow"/>
              </w:rPr>
            </w:pPr>
            <w:r w:rsidRPr="00ED6764">
              <w:t>$29,773,069</w:t>
            </w:r>
          </w:p>
        </w:tc>
      </w:tr>
      <w:tr w:rsidR="00ED6764" w:rsidRPr="00ED6764" w14:paraId="344882B8" w14:textId="77777777" w:rsidTr="007F1DA3">
        <w:trPr>
          <w:trHeight w:val="256"/>
        </w:trPr>
        <w:tc>
          <w:tcPr>
            <w:tcW w:w="886" w:type="pct"/>
          </w:tcPr>
          <w:p w14:paraId="4A9BE426" w14:textId="77777777" w:rsidR="00FD7B90" w:rsidRPr="00ED6764" w:rsidRDefault="00FD7B90" w:rsidP="008D179C">
            <w:pPr>
              <w:pStyle w:val="Tabletext"/>
              <w:keepNext/>
              <w:spacing w:before="0" w:after="0"/>
              <w:rPr>
                <w:snapToGrid w:val="0"/>
                <w:highlight w:val="yellow"/>
              </w:rPr>
            </w:pPr>
            <w:r w:rsidRPr="00ED6764">
              <w:t>Total direct costs</w:t>
            </w:r>
          </w:p>
        </w:tc>
        <w:tc>
          <w:tcPr>
            <w:tcW w:w="664" w:type="pct"/>
          </w:tcPr>
          <w:p w14:paraId="598C6929" w14:textId="77777777" w:rsidR="00FD7B90" w:rsidRPr="00ED6764" w:rsidRDefault="00FD7B90" w:rsidP="008D179C">
            <w:pPr>
              <w:pStyle w:val="Tabletext"/>
              <w:keepNext/>
              <w:spacing w:before="0" w:after="0"/>
              <w:rPr>
                <w:snapToGrid w:val="0"/>
                <w:highlight w:val="yellow"/>
              </w:rPr>
            </w:pPr>
            <w:r w:rsidRPr="00ED6764">
              <w:t>$25,728,888</w:t>
            </w:r>
          </w:p>
        </w:tc>
        <w:tc>
          <w:tcPr>
            <w:tcW w:w="664" w:type="pct"/>
          </w:tcPr>
          <w:p w14:paraId="7AAB1E30" w14:textId="77777777" w:rsidR="00FD7B90" w:rsidRPr="00ED6764" w:rsidRDefault="00FD7B90" w:rsidP="008D179C">
            <w:pPr>
              <w:pStyle w:val="Tabletext"/>
              <w:keepNext/>
              <w:spacing w:before="0" w:after="0"/>
              <w:rPr>
                <w:snapToGrid w:val="0"/>
                <w:highlight w:val="yellow"/>
              </w:rPr>
            </w:pPr>
            <w:r w:rsidRPr="00ED6764">
              <w:t>$14,534,759</w:t>
            </w:r>
          </w:p>
        </w:tc>
        <w:tc>
          <w:tcPr>
            <w:tcW w:w="665" w:type="pct"/>
          </w:tcPr>
          <w:p w14:paraId="11B1FE8B" w14:textId="77777777" w:rsidR="00FD7B90" w:rsidRPr="00ED6764" w:rsidRDefault="00FD7B90" w:rsidP="008D179C">
            <w:pPr>
              <w:pStyle w:val="Tabletext"/>
              <w:keepNext/>
              <w:spacing w:before="0" w:after="0"/>
              <w:rPr>
                <w:snapToGrid w:val="0"/>
                <w:highlight w:val="yellow"/>
              </w:rPr>
            </w:pPr>
            <w:r w:rsidRPr="00ED6764">
              <w:t>$40,263,647</w:t>
            </w:r>
          </w:p>
        </w:tc>
        <w:tc>
          <w:tcPr>
            <w:tcW w:w="718" w:type="pct"/>
          </w:tcPr>
          <w:p w14:paraId="747ECB92" w14:textId="77777777" w:rsidR="00FD7B90" w:rsidRPr="00ED6764" w:rsidRDefault="00FD7B90" w:rsidP="008D179C">
            <w:pPr>
              <w:pStyle w:val="Tabletext"/>
              <w:keepNext/>
              <w:spacing w:before="0" w:after="0"/>
              <w:rPr>
                <w:snapToGrid w:val="0"/>
                <w:highlight w:val="yellow"/>
              </w:rPr>
            </w:pPr>
            <w:r w:rsidRPr="00ED6764">
              <w:t>$128,644,440</w:t>
            </w:r>
          </w:p>
        </w:tc>
        <w:tc>
          <w:tcPr>
            <w:tcW w:w="683" w:type="pct"/>
          </w:tcPr>
          <w:p w14:paraId="3F549F45" w14:textId="77777777" w:rsidR="00FD7B90" w:rsidRPr="00ED6764" w:rsidRDefault="00FD7B90" w:rsidP="008D179C">
            <w:pPr>
              <w:pStyle w:val="Tabletext"/>
              <w:keepNext/>
              <w:spacing w:before="0" w:after="0"/>
              <w:rPr>
                <w:snapToGrid w:val="0"/>
                <w:highlight w:val="yellow"/>
              </w:rPr>
            </w:pPr>
            <w:r w:rsidRPr="00ED6764">
              <w:t>$72,673,793</w:t>
            </w:r>
          </w:p>
        </w:tc>
        <w:tc>
          <w:tcPr>
            <w:tcW w:w="719" w:type="pct"/>
          </w:tcPr>
          <w:p w14:paraId="2C6EDE07" w14:textId="77777777" w:rsidR="00FD7B90" w:rsidRPr="00ED6764" w:rsidRDefault="00FD7B90" w:rsidP="008D179C">
            <w:pPr>
              <w:pStyle w:val="Tabletext"/>
              <w:keepNext/>
              <w:spacing w:before="0" w:after="0"/>
              <w:rPr>
                <w:snapToGrid w:val="0"/>
                <w:highlight w:val="yellow"/>
              </w:rPr>
            </w:pPr>
            <w:r w:rsidRPr="00ED6764">
              <w:t>$201,318,233</w:t>
            </w:r>
          </w:p>
        </w:tc>
      </w:tr>
    </w:tbl>
    <w:p w14:paraId="72BB889B" w14:textId="344DCBE5" w:rsidR="00FD7B90" w:rsidRPr="007F599F" w:rsidRDefault="00ED6764" w:rsidP="0096739F">
      <w:pPr>
        <w:pStyle w:val="TableNotes"/>
        <w:spacing w:before="240" w:after="0" w:line="240" w:lineRule="auto"/>
        <w:rPr>
          <w:rFonts w:ascii="Times New Roman" w:hAnsi="Times New Roman" w:cs="Times New Roman"/>
          <w:sz w:val="20"/>
          <w:szCs w:val="20"/>
        </w:rPr>
      </w:pPr>
      <w:r w:rsidRPr="00ED6764">
        <w:rPr>
          <w:b/>
          <w:snapToGrid w:val="0"/>
          <w:sz w:val="20"/>
          <w:szCs w:val="20"/>
        </w:rPr>
        <w:t xml:space="preserve">Cost of prostate biopsies minus cost of listing </w:t>
      </w:r>
      <w:proofErr w:type="spellStart"/>
      <w:r w:rsidRPr="00ED6764">
        <w:rPr>
          <w:b/>
          <w:snapToGrid w:val="0"/>
          <w:sz w:val="20"/>
          <w:szCs w:val="20"/>
        </w:rPr>
        <w:t>mpMRI</w:t>
      </w:r>
      <w:proofErr w:type="spellEnd"/>
    </w:p>
    <w:tbl>
      <w:tblPr>
        <w:tblStyle w:val="TableGrid2"/>
        <w:tblW w:w="9640" w:type="dxa"/>
        <w:tblInd w:w="-34" w:type="dxa"/>
        <w:tblLayout w:type="fixed"/>
        <w:tblLook w:val="04A0" w:firstRow="1" w:lastRow="0" w:firstColumn="1" w:lastColumn="0" w:noHBand="0" w:noVBand="1"/>
        <w:tblDescription w:val="Total costs to the MBS and other health care funders associated with mpMRI for prostate cancer"/>
      </w:tblPr>
      <w:tblGrid>
        <w:gridCol w:w="1562"/>
        <w:gridCol w:w="1276"/>
        <w:gridCol w:w="1276"/>
        <w:gridCol w:w="1278"/>
        <w:gridCol w:w="1433"/>
        <w:gridCol w:w="1396"/>
        <w:gridCol w:w="1419"/>
      </w:tblGrid>
      <w:tr w:rsidR="00ED6764" w:rsidRPr="00ED6764" w14:paraId="7512C986" w14:textId="77777777" w:rsidTr="00FA160B">
        <w:trPr>
          <w:cnfStyle w:val="100000000000" w:firstRow="1" w:lastRow="0" w:firstColumn="0" w:lastColumn="0" w:oddVBand="0" w:evenVBand="0" w:oddHBand="0" w:evenHBand="0" w:firstRowFirstColumn="0" w:firstRowLastColumn="0" w:lastRowFirstColumn="0" w:lastRowLastColumn="0"/>
          <w:trHeight w:val="178"/>
          <w:tblHeader/>
        </w:trPr>
        <w:tc>
          <w:tcPr>
            <w:tcW w:w="810" w:type="pct"/>
          </w:tcPr>
          <w:p w14:paraId="39F9189E" w14:textId="77777777" w:rsidR="00ED6764" w:rsidRPr="00ED6764" w:rsidRDefault="00ED6764" w:rsidP="005E1B36">
            <w:pPr>
              <w:pStyle w:val="Tabletext"/>
              <w:keepNext/>
              <w:spacing w:before="0" w:after="0"/>
              <w:rPr>
                <w:snapToGrid w:val="0"/>
                <w:highlight w:val="yellow"/>
              </w:rPr>
            </w:pPr>
            <w:r w:rsidRPr="00ED6764">
              <w:t>Cost to the MBS</w:t>
            </w:r>
          </w:p>
        </w:tc>
        <w:tc>
          <w:tcPr>
            <w:tcW w:w="662" w:type="pct"/>
          </w:tcPr>
          <w:p w14:paraId="24324156" w14:textId="77777777" w:rsidR="00ED6764" w:rsidRPr="00ED6764" w:rsidRDefault="00ED6764" w:rsidP="005E1B36">
            <w:pPr>
              <w:pStyle w:val="Tabletext"/>
              <w:keepNext/>
              <w:spacing w:before="0" w:after="0"/>
              <w:rPr>
                <w:snapToGrid w:val="0"/>
                <w:highlight w:val="yellow"/>
              </w:rPr>
            </w:pPr>
            <w:r w:rsidRPr="00ED6764">
              <w:t>$1,510,278</w:t>
            </w:r>
          </w:p>
        </w:tc>
        <w:tc>
          <w:tcPr>
            <w:tcW w:w="662" w:type="pct"/>
          </w:tcPr>
          <w:p w14:paraId="37015536" w14:textId="77777777" w:rsidR="00ED6764" w:rsidRPr="00ED6764" w:rsidRDefault="00ED6764" w:rsidP="005E1B36">
            <w:pPr>
              <w:pStyle w:val="Tabletext"/>
              <w:keepNext/>
              <w:spacing w:before="0" w:after="0"/>
              <w:rPr>
                <w:snapToGrid w:val="0"/>
                <w:highlight w:val="yellow"/>
              </w:rPr>
            </w:pPr>
            <w:r w:rsidRPr="00ED6764">
              <w:t>$1,294,655</w:t>
            </w:r>
          </w:p>
        </w:tc>
        <w:tc>
          <w:tcPr>
            <w:tcW w:w="663" w:type="pct"/>
          </w:tcPr>
          <w:p w14:paraId="492ED1B5" w14:textId="77777777" w:rsidR="00ED6764" w:rsidRPr="00ED6764" w:rsidRDefault="00ED6764" w:rsidP="005E1B36">
            <w:pPr>
              <w:pStyle w:val="Tabletext"/>
              <w:keepNext/>
              <w:spacing w:before="0" w:after="0"/>
              <w:rPr>
                <w:snapToGrid w:val="0"/>
                <w:highlight w:val="yellow"/>
              </w:rPr>
            </w:pPr>
            <w:r w:rsidRPr="00ED6764">
              <w:t>$2,804,933</w:t>
            </w:r>
          </w:p>
        </w:tc>
        <w:tc>
          <w:tcPr>
            <w:tcW w:w="743" w:type="pct"/>
          </w:tcPr>
          <w:p w14:paraId="242FE579" w14:textId="77777777" w:rsidR="00ED6764" w:rsidRPr="00ED6764" w:rsidRDefault="00ED6764" w:rsidP="005E1B36">
            <w:pPr>
              <w:pStyle w:val="Tabletext"/>
              <w:keepNext/>
              <w:spacing w:before="0" w:after="0"/>
              <w:rPr>
                <w:snapToGrid w:val="0"/>
                <w:highlight w:val="yellow"/>
              </w:rPr>
            </w:pPr>
            <w:r w:rsidRPr="00ED6764">
              <w:t>$7,551,389</w:t>
            </w:r>
          </w:p>
        </w:tc>
        <w:tc>
          <w:tcPr>
            <w:tcW w:w="724" w:type="pct"/>
          </w:tcPr>
          <w:p w14:paraId="5C8308D4" w14:textId="77777777" w:rsidR="00ED6764" w:rsidRPr="00ED6764" w:rsidRDefault="00ED6764" w:rsidP="005E1B36">
            <w:pPr>
              <w:pStyle w:val="Tabletext"/>
              <w:keepNext/>
              <w:spacing w:before="0" w:after="0"/>
              <w:rPr>
                <w:snapToGrid w:val="0"/>
                <w:highlight w:val="yellow"/>
              </w:rPr>
            </w:pPr>
            <w:r w:rsidRPr="00ED6764">
              <w:t>$6,473,275</w:t>
            </w:r>
          </w:p>
        </w:tc>
        <w:tc>
          <w:tcPr>
            <w:tcW w:w="736" w:type="pct"/>
          </w:tcPr>
          <w:p w14:paraId="29F69DDC" w14:textId="77777777" w:rsidR="00ED6764" w:rsidRPr="00ED6764" w:rsidRDefault="00ED6764" w:rsidP="005E1B36">
            <w:pPr>
              <w:pStyle w:val="Tabletext"/>
              <w:keepNext/>
              <w:spacing w:before="0" w:after="0"/>
              <w:rPr>
                <w:snapToGrid w:val="0"/>
                <w:highlight w:val="yellow"/>
              </w:rPr>
            </w:pPr>
            <w:r w:rsidRPr="00ED6764">
              <w:t>$14,024,664</w:t>
            </w:r>
          </w:p>
        </w:tc>
      </w:tr>
      <w:tr w:rsidR="00ED6764" w:rsidRPr="00ED6764" w14:paraId="0735AE78" w14:textId="77777777" w:rsidTr="00FA160B">
        <w:trPr>
          <w:trHeight w:val="313"/>
        </w:trPr>
        <w:tc>
          <w:tcPr>
            <w:tcW w:w="810" w:type="pct"/>
          </w:tcPr>
          <w:p w14:paraId="6CCA1A41" w14:textId="77777777" w:rsidR="00ED6764" w:rsidRPr="00ED6764" w:rsidRDefault="00ED6764" w:rsidP="005E1B36">
            <w:pPr>
              <w:pStyle w:val="Tabletext"/>
              <w:keepNext/>
              <w:spacing w:before="0" w:after="0"/>
              <w:rPr>
                <w:snapToGrid w:val="0"/>
                <w:highlight w:val="yellow"/>
              </w:rPr>
            </w:pPr>
            <w:r w:rsidRPr="00ED6764">
              <w:t>Cost savings to other health care funders</w:t>
            </w:r>
          </w:p>
        </w:tc>
        <w:tc>
          <w:tcPr>
            <w:tcW w:w="662" w:type="pct"/>
          </w:tcPr>
          <w:p w14:paraId="205E2421" w14:textId="77777777" w:rsidR="00ED6764" w:rsidRPr="00ED6764" w:rsidRDefault="00ED6764" w:rsidP="005E1B36">
            <w:pPr>
              <w:pStyle w:val="Tabletext"/>
              <w:keepNext/>
              <w:spacing w:before="0" w:after="0"/>
              <w:rPr>
                <w:snapToGrid w:val="0"/>
                <w:highlight w:val="yellow"/>
              </w:rPr>
            </w:pPr>
            <w:r w:rsidRPr="00ED6764">
              <w:t>-$6,435,998</w:t>
            </w:r>
          </w:p>
        </w:tc>
        <w:tc>
          <w:tcPr>
            <w:tcW w:w="662" w:type="pct"/>
          </w:tcPr>
          <w:p w14:paraId="569CCAD9" w14:textId="77777777" w:rsidR="00ED6764" w:rsidRPr="00ED6764" w:rsidRDefault="00ED6764" w:rsidP="005E1B36">
            <w:pPr>
              <w:pStyle w:val="Tabletext"/>
              <w:keepNext/>
              <w:spacing w:before="0" w:after="0"/>
              <w:rPr>
                <w:snapToGrid w:val="0"/>
                <w:highlight w:val="yellow"/>
              </w:rPr>
            </w:pPr>
            <w:r w:rsidRPr="00ED6764">
              <w:t>-$2,820,676</w:t>
            </w:r>
          </w:p>
        </w:tc>
        <w:tc>
          <w:tcPr>
            <w:tcW w:w="663" w:type="pct"/>
          </w:tcPr>
          <w:p w14:paraId="581EBDE6" w14:textId="77777777" w:rsidR="00ED6764" w:rsidRPr="00ED6764" w:rsidRDefault="00ED6764" w:rsidP="005E1B36">
            <w:pPr>
              <w:pStyle w:val="Tabletext"/>
              <w:keepNext/>
              <w:spacing w:before="0" w:after="0"/>
              <w:rPr>
                <w:snapToGrid w:val="0"/>
                <w:highlight w:val="yellow"/>
              </w:rPr>
            </w:pPr>
            <w:r w:rsidRPr="00ED6764">
              <w:t>-$9,256,675</w:t>
            </w:r>
          </w:p>
        </w:tc>
        <w:tc>
          <w:tcPr>
            <w:tcW w:w="743" w:type="pct"/>
          </w:tcPr>
          <w:p w14:paraId="2E67FCF1" w14:textId="77777777" w:rsidR="00ED6764" w:rsidRPr="00ED6764" w:rsidRDefault="00ED6764" w:rsidP="005E1B36">
            <w:pPr>
              <w:pStyle w:val="Tabletext"/>
              <w:keepNext/>
              <w:spacing w:before="0" w:after="0"/>
              <w:rPr>
                <w:snapToGrid w:val="0"/>
                <w:highlight w:val="yellow"/>
              </w:rPr>
            </w:pPr>
            <w:r w:rsidRPr="00ED6764">
              <w:t>-$32,179,992</w:t>
            </w:r>
          </w:p>
        </w:tc>
        <w:tc>
          <w:tcPr>
            <w:tcW w:w="724" w:type="pct"/>
          </w:tcPr>
          <w:p w14:paraId="665F81F7" w14:textId="77777777" w:rsidR="00ED6764" w:rsidRPr="00ED6764" w:rsidRDefault="00ED6764" w:rsidP="005E1B36">
            <w:pPr>
              <w:pStyle w:val="Tabletext"/>
              <w:keepNext/>
              <w:spacing w:before="0" w:after="0"/>
              <w:rPr>
                <w:snapToGrid w:val="0"/>
                <w:highlight w:val="yellow"/>
              </w:rPr>
            </w:pPr>
            <w:r w:rsidRPr="00ED6764">
              <w:t>-$14,103,380</w:t>
            </w:r>
          </w:p>
        </w:tc>
        <w:tc>
          <w:tcPr>
            <w:tcW w:w="736" w:type="pct"/>
          </w:tcPr>
          <w:p w14:paraId="7909C774" w14:textId="77777777" w:rsidR="00ED6764" w:rsidRPr="00ED6764" w:rsidRDefault="00ED6764" w:rsidP="005E1B36">
            <w:pPr>
              <w:pStyle w:val="Tabletext"/>
              <w:keepNext/>
              <w:spacing w:before="0" w:after="0"/>
              <w:rPr>
                <w:snapToGrid w:val="0"/>
                <w:highlight w:val="yellow"/>
              </w:rPr>
            </w:pPr>
            <w:r w:rsidRPr="00ED6764">
              <w:t>-$46,283,373</w:t>
            </w:r>
          </w:p>
        </w:tc>
      </w:tr>
      <w:tr w:rsidR="00ED6764" w:rsidRPr="00ED6764" w14:paraId="1A187FBD" w14:textId="77777777" w:rsidTr="00FA160B">
        <w:trPr>
          <w:trHeight w:val="313"/>
        </w:trPr>
        <w:tc>
          <w:tcPr>
            <w:tcW w:w="810" w:type="pct"/>
          </w:tcPr>
          <w:p w14:paraId="3172F8B4" w14:textId="77777777" w:rsidR="00ED6764" w:rsidRPr="00ED6764" w:rsidRDefault="00ED6764" w:rsidP="005E1B36">
            <w:pPr>
              <w:pStyle w:val="Tabletext"/>
              <w:keepNext/>
              <w:spacing w:before="0" w:after="0"/>
              <w:rPr>
                <w:snapToGrid w:val="0"/>
                <w:highlight w:val="yellow"/>
              </w:rPr>
            </w:pPr>
            <w:r w:rsidRPr="00ED6764">
              <w:t>Costs savings of total direct costs</w:t>
            </w:r>
          </w:p>
        </w:tc>
        <w:tc>
          <w:tcPr>
            <w:tcW w:w="662" w:type="pct"/>
          </w:tcPr>
          <w:p w14:paraId="22BBD354" w14:textId="77777777" w:rsidR="00ED6764" w:rsidRPr="00ED6764" w:rsidRDefault="00ED6764" w:rsidP="005E1B36">
            <w:pPr>
              <w:pStyle w:val="Tabletext"/>
              <w:keepNext/>
              <w:spacing w:before="0" w:after="0"/>
              <w:rPr>
                <w:snapToGrid w:val="0"/>
                <w:highlight w:val="yellow"/>
              </w:rPr>
            </w:pPr>
            <w:r w:rsidRPr="00ED6764">
              <w:t>-$6,133,512</w:t>
            </w:r>
          </w:p>
        </w:tc>
        <w:tc>
          <w:tcPr>
            <w:tcW w:w="662" w:type="pct"/>
          </w:tcPr>
          <w:p w14:paraId="1AA7115D" w14:textId="77777777" w:rsidR="00ED6764" w:rsidRPr="00ED6764" w:rsidRDefault="00ED6764" w:rsidP="005E1B36">
            <w:pPr>
              <w:pStyle w:val="Tabletext"/>
              <w:keepNext/>
              <w:spacing w:before="0" w:after="0"/>
              <w:rPr>
                <w:snapToGrid w:val="0"/>
                <w:highlight w:val="yellow"/>
              </w:rPr>
            </w:pPr>
            <w:r w:rsidRPr="00ED6764">
              <w:t>-$1,960,441</w:t>
            </w:r>
          </w:p>
        </w:tc>
        <w:tc>
          <w:tcPr>
            <w:tcW w:w="663" w:type="pct"/>
          </w:tcPr>
          <w:p w14:paraId="1651DA14" w14:textId="77777777" w:rsidR="00ED6764" w:rsidRPr="00ED6764" w:rsidRDefault="00ED6764" w:rsidP="005E1B36">
            <w:pPr>
              <w:pStyle w:val="Tabletext"/>
              <w:keepNext/>
              <w:spacing w:before="0" w:after="0"/>
              <w:rPr>
                <w:snapToGrid w:val="0"/>
                <w:highlight w:val="yellow"/>
              </w:rPr>
            </w:pPr>
            <w:r w:rsidRPr="00ED6764">
              <w:t>-$8,093,953</w:t>
            </w:r>
          </w:p>
        </w:tc>
        <w:tc>
          <w:tcPr>
            <w:tcW w:w="743" w:type="pct"/>
          </w:tcPr>
          <w:p w14:paraId="5D27FB12" w14:textId="77777777" w:rsidR="00ED6764" w:rsidRPr="00ED6764" w:rsidRDefault="00ED6764" w:rsidP="005E1B36">
            <w:pPr>
              <w:pStyle w:val="Tabletext"/>
              <w:keepNext/>
              <w:spacing w:before="0" w:after="0"/>
              <w:rPr>
                <w:snapToGrid w:val="0"/>
                <w:highlight w:val="yellow"/>
              </w:rPr>
            </w:pPr>
            <w:r w:rsidRPr="00ED6764">
              <w:t>-$30,667,560</w:t>
            </w:r>
          </w:p>
        </w:tc>
        <w:tc>
          <w:tcPr>
            <w:tcW w:w="724" w:type="pct"/>
          </w:tcPr>
          <w:p w14:paraId="61D7B828" w14:textId="77777777" w:rsidR="00ED6764" w:rsidRPr="00ED6764" w:rsidRDefault="00ED6764" w:rsidP="005E1B36">
            <w:pPr>
              <w:pStyle w:val="Tabletext"/>
              <w:keepNext/>
              <w:spacing w:before="0" w:after="0"/>
              <w:rPr>
                <w:snapToGrid w:val="0"/>
                <w:highlight w:val="yellow"/>
              </w:rPr>
            </w:pPr>
            <w:r w:rsidRPr="00ED6764">
              <w:t>-$9,802,207</w:t>
            </w:r>
          </w:p>
        </w:tc>
        <w:tc>
          <w:tcPr>
            <w:tcW w:w="736" w:type="pct"/>
          </w:tcPr>
          <w:p w14:paraId="2BC0AF79" w14:textId="77777777" w:rsidR="00ED6764" w:rsidRPr="00ED6764" w:rsidRDefault="00ED6764" w:rsidP="005E1B36">
            <w:pPr>
              <w:pStyle w:val="Tabletext"/>
              <w:keepNext/>
              <w:spacing w:before="0" w:after="0"/>
              <w:rPr>
                <w:snapToGrid w:val="0"/>
                <w:highlight w:val="yellow"/>
              </w:rPr>
            </w:pPr>
            <w:r w:rsidRPr="00ED6764">
              <w:t>-$40,469,767</w:t>
            </w:r>
          </w:p>
        </w:tc>
      </w:tr>
    </w:tbl>
    <w:p w14:paraId="7B0BDE13" w14:textId="77777777" w:rsidR="00ED6764" w:rsidRDefault="00ED6764" w:rsidP="00ED6764">
      <w:pPr>
        <w:rPr>
          <w:sz w:val="20"/>
        </w:rPr>
      </w:pPr>
      <w:proofErr w:type="spellStart"/>
      <w:proofErr w:type="gramStart"/>
      <w:r w:rsidRPr="007F599F">
        <w:rPr>
          <w:sz w:val="20"/>
        </w:rPr>
        <w:t>mpMRI</w:t>
      </w:r>
      <w:proofErr w:type="spellEnd"/>
      <w:proofErr w:type="gramEnd"/>
      <w:r w:rsidRPr="007F599F">
        <w:rPr>
          <w:sz w:val="20"/>
        </w:rPr>
        <w:t xml:space="preserve"> = </w:t>
      </w:r>
      <w:proofErr w:type="spellStart"/>
      <w:r w:rsidRPr="007F599F">
        <w:rPr>
          <w:sz w:val="20"/>
        </w:rPr>
        <w:t>multiparametric</w:t>
      </w:r>
      <w:proofErr w:type="spellEnd"/>
      <w:r w:rsidRPr="007F599F">
        <w:rPr>
          <w:sz w:val="20"/>
        </w:rPr>
        <w:t xml:space="preserve"> MRI, MBS = Med</w:t>
      </w:r>
      <w:r>
        <w:rPr>
          <w:sz w:val="20"/>
        </w:rPr>
        <w:t>icare</w:t>
      </w:r>
      <w:r w:rsidRPr="007F599F">
        <w:rPr>
          <w:sz w:val="20"/>
        </w:rPr>
        <w:t xml:space="preserve"> Benefits Schedule, </w:t>
      </w:r>
      <w:proofErr w:type="spellStart"/>
      <w:r w:rsidRPr="007F599F">
        <w:rPr>
          <w:sz w:val="20"/>
        </w:rPr>
        <w:t>PCa</w:t>
      </w:r>
      <w:proofErr w:type="spellEnd"/>
      <w:r w:rsidRPr="007F599F">
        <w:rPr>
          <w:sz w:val="20"/>
        </w:rPr>
        <w:t xml:space="preserve"> = prostate cancer.</w:t>
      </w:r>
    </w:p>
    <w:p w14:paraId="552174A7" w14:textId="11536FAC" w:rsidR="00FD7B90" w:rsidRDefault="00FD7B90" w:rsidP="00376F27">
      <w:pPr>
        <w:spacing w:before="240" w:after="240"/>
      </w:pPr>
      <w:r>
        <w:t>The assessment report state</w:t>
      </w:r>
      <w:r w:rsidR="008D179C">
        <w:t>d</w:t>
      </w:r>
      <w:r>
        <w:t xml:space="preserve"> that l</w:t>
      </w:r>
      <w:r w:rsidRPr="00705B2D">
        <w:t xml:space="preserve">isting </w:t>
      </w:r>
      <w:proofErr w:type="spellStart"/>
      <w:r w:rsidRPr="00705B2D">
        <w:t>mpMRI</w:t>
      </w:r>
      <w:proofErr w:type="spellEnd"/>
      <w:r w:rsidRPr="00705B2D">
        <w:t xml:space="preserve"> for Population 1 and 2 would result in a reduced number of biopsies and an estimated total savings of all direct costs of $8.</w:t>
      </w:r>
      <w:r>
        <w:t>1</w:t>
      </w:r>
      <w:r w:rsidRPr="00705B2D">
        <w:t xml:space="preserve"> million per year, which include</w:t>
      </w:r>
      <w:r>
        <w:t>s</w:t>
      </w:r>
      <w:r w:rsidRPr="00705B2D">
        <w:t xml:space="preserve"> those borne by the MBS, other health care funders and patient co-payments. </w:t>
      </w:r>
    </w:p>
    <w:p w14:paraId="2C0AEC69" w14:textId="68F37480" w:rsidR="0065346C" w:rsidRDefault="00FD7B90" w:rsidP="00376F27">
      <w:pPr>
        <w:spacing w:after="240"/>
      </w:pPr>
      <w:r w:rsidRPr="00705B2D">
        <w:t>The total cost to the MBS of listi</w:t>
      </w:r>
      <w:r w:rsidR="008D179C">
        <w:t xml:space="preserve">ng </w:t>
      </w:r>
      <w:proofErr w:type="spellStart"/>
      <w:r w:rsidR="008D179C">
        <w:t>mpMRI</w:t>
      </w:r>
      <w:proofErr w:type="spellEnd"/>
      <w:r w:rsidR="008D179C">
        <w:t xml:space="preserve"> for both populations was estimated to be</w:t>
      </w:r>
      <w:r w:rsidRPr="00705B2D">
        <w:t xml:space="preserve"> $23</w:t>
      </w:r>
      <w:r w:rsidR="008D179C">
        <w:t> </w:t>
      </w:r>
      <w:r w:rsidRPr="00705B2D">
        <w:t>million per year ($15</w:t>
      </w:r>
      <w:r>
        <w:t> </w:t>
      </w:r>
      <w:r w:rsidRPr="00705B2D">
        <w:t>million and $8.</w:t>
      </w:r>
      <w:r>
        <w:t>3</w:t>
      </w:r>
      <w:r w:rsidRPr="00705B2D">
        <w:t xml:space="preserve"> million per year for Population 1 and 2 respectively).</w:t>
      </w:r>
      <w:r>
        <w:t xml:space="preserve"> The financial implications are based on the assumption that 20,149 services for </w:t>
      </w:r>
      <w:proofErr w:type="spellStart"/>
      <w:r>
        <w:t>mpMRI</w:t>
      </w:r>
      <w:proofErr w:type="spellEnd"/>
      <w:r>
        <w:t xml:space="preserve"> would be claimed each year which is l</w:t>
      </w:r>
      <w:r w:rsidR="008D179C">
        <w:t>ikely to be an underestimation.</w:t>
      </w:r>
    </w:p>
    <w:p w14:paraId="3A1C40C0" w14:textId="3E4DFC73" w:rsidR="0065346C" w:rsidRPr="0065346C" w:rsidRDefault="0065346C" w:rsidP="0065346C">
      <w:r>
        <w:t xml:space="preserve">The </w:t>
      </w:r>
      <w:r w:rsidR="00F01167">
        <w:t xml:space="preserve">Applicant’s </w:t>
      </w:r>
      <w:r>
        <w:t>pre</w:t>
      </w:r>
      <w:r w:rsidR="00F01167">
        <w:t>-</w:t>
      </w:r>
      <w:r>
        <w:t>MSAC response queried whether the economic analysis may have underestimated the cost savings to the community and provided estimates of the yearly savings to the community to be between $24 million and $92 million per year.</w:t>
      </w:r>
    </w:p>
    <w:p w14:paraId="68ECDFF6" w14:textId="77777777" w:rsidR="006A0D97" w:rsidRPr="00F715D1" w:rsidRDefault="006A0D97" w:rsidP="008E4C81">
      <w:pPr>
        <w:pStyle w:val="Heading1"/>
        <w:ind w:hanging="502"/>
      </w:pPr>
      <w:r w:rsidRPr="00F715D1">
        <w:t>Key issues from ESC for MSAC</w:t>
      </w:r>
    </w:p>
    <w:p w14:paraId="6258D4E1" w14:textId="77777777" w:rsidR="00FD7B90" w:rsidRPr="00E42772" w:rsidRDefault="00FD7B90" w:rsidP="00FD7B90">
      <w:pPr>
        <w:pStyle w:val="BodyText"/>
        <w:rPr>
          <w:rFonts w:ascii="Times New Roman" w:hAnsi="Times New Roman"/>
          <w:sz w:val="24"/>
        </w:rPr>
      </w:pPr>
      <w:r w:rsidRPr="00E42772">
        <w:rPr>
          <w:rFonts w:ascii="Times New Roman" w:hAnsi="Times New Roman"/>
          <w:sz w:val="24"/>
        </w:rPr>
        <w:t xml:space="preserve">ESC noted that there are no significant safety concerns when using MRI in appropriately selected patients. ESC noted that </w:t>
      </w:r>
      <w:proofErr w:type="spellStart"/>
      <w:r w:rsidRPr="00E42772">
        <w:rPr>
          <w:rFonts w:ascii="Times New Roman" w:hAnsi="Times New Roman"/>
          <w:sz w:val="24"/>
        </w:rPr>
        <w:t>transrectal</w:t>
      </w:r>
      <w:proofErr w:type="spellEnd"/>
      <w:r w:rsidRPr="00E42772">
        <w:rPr>
          <w:rFonts w:ascii="Times New Roman" w:hAnsi="Times New Roman"/>
          <w:sz w:val="24"/>
        </w:rPr>
        <w:t xml:space="preserve"> ultrasound guided biopsy (TRUSGB) or </w:t>
      </w:r>
      <w:proofErr w:type="spellStart"/>
      <w:r w:rsidRPr="00E42772">
        <w:rPr>
          <w:rFonts w:ascii="Times New Roman" w:hAnsi="Times New Roman"/>
          <w:sz w:val="24"/>
        </w:rPr>
        <w:t>transperineal</w:t>
      </w:r>
      <w:proofErr w:type="spellEnd"/>
      <w:r w:rsidRPr="00E42772">
        <w:rPr>
          <w:rFonts w:ascii="Times New Roman" w:hAnsi="Times New Roman"/>
          <w:sz w:val="24"/>
        </w:rPr>
        <w:t xml:space="preserve"> ultrasound guided biopsy (TPUSGB) exposed men to risk of harms including infection, bleeding and urinary obstruction and that infection rates were lower for TPUSGB than TRUSGB.</w:t>
      </w:r>
    </w:p>
    <w:p w14:paraId="04EBA6E4" w14:textId="77777777" w:rsidR="00FD7B90" w:rsidRPr="00E42772" w:rsidRDefault="00FD7B90" w:rsidP="00FD7B90">
      <w:pPr>
        <w:pStyle w:val="BodyText"/>
        <w:rPr>
          <w:rFonts w:ascii="Times New Roman" w:hAnsi="Times New Roman"/>
          <w:sz w:val="24"/>
        </w:rPr>
      </w:pPr>
      <w:r w:rsidRPr="00E42772">
        <w:rPr>
          <w:rFonts w:ascii="Times New Roman" w:hAnsi="Times New Roman"/>
          <w:sz w:val="24"/>
        </w:rPr>
        <w:t xml:space="preserve">ESC noted that TRUSGB/TPUSGB </w:t>
      </w:r>
      <w:proofErr w:type="gramStart"/>
      <w:r w:rsidRPr="00E42772">
        <w:rPr>
          <w:rFonts w:ascii="Times New Roman" w:hAnsi="Times New Roman"/>
          <w:sz w:val="24"/>
        </w:rPr>
        <w:t>are</w:t>
      </w:r>
      <w:proofErr w:type="gramEnd"/>
      <w:r w:rsidRPr="00E42772">
        <w:rPr>
          <w:rFonts w:ascii="Times New Roman" w:hAnsi="Times New Roman"/>
          <w:sz w:val="24"/>
        </w:rPr>
        <w:t xml:space="preserve"> imperfect reference standards and that the impact this has upon the evaluation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is uncertain.</w:t>
      </w:r>
    </w:p>
    <w:p w14:paraId="5F6E2290"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noted that there are two populations included in this application:</w:t>
      </w:r>
    </w:p>
    <w:p w14:paraId="1F30CED3" w14:textId="77777777" w:rsidR="00FD7B90" w:rsidRPr="00E42772" w:rsidRDefault="00FD7B90" w:rsidP="00460D31">
      <w:pPr>
        <w:pStyle w:val="BodyText"/>
        <w:numPr>
          <w:ilvl w:val="0"/>
          <w:numId w:val="30"/>
        </w:numPr>
        <w:spacing w:before="0" w:line="240" w:lineRule="auto"/>
        <w:rPr>
          <w:rFonts w:ascii="Times New Roman" w:hAnsi="Times New Roman"/>
          <w:sz w:val="24"/>
        </w:rPr>
      </w:pPr>
      <w:r w:rsidRPr="00E42772">
        <w:rPr>
          <w:rFonts w:ascii="Times New Roman" w:hAnsi="Times New Roman"/>
          <w:sz w:val="24"/>
        </w:rPr>
        <w:lastRenderedPageBreak/>
        <w:t xml:space="preserve">Population 1 who are men suspected of having </w:t>
      </w:r>
      <w:proofErr w:type="spellStart"/>
      <w:r w:rsidRPr="00E42772">
        <w:rPr>
          <w:rFonts w:ascii="Times New Roman" w:hAnsi="Times New Roman"/>
          <w:sz w:val="24"/>
        </w:rPr>
        <w:t>PCa</w:t>
      </w:r>
      <w:proofErr w:type="spellEnd"/>
      <w:r w:rsidRPr="00E42772">
        <w:rPr>
          <w:rFonts w:ascii="Times New Roman" w:hAnsi="Times New Roman"/>
          <w:sz w:val="24"/>
        </w:rPr>
        <w:t xml:space="preserve"> on the basis of a high or concerning prostate-specific antigen (PSA) level. ESC noted that by definition these men had not previously undergone either TRUSGB or TPUSGB; and</w:t>
      </w:r>
    </w:p>
    <w:p w14:paraId="2E7B2655" w14:textId="77777777" w:rsidR="00FD7B90" w:rsidRPr="00E42772" w:rsidRDefault="00FD7B90" w:rsidP="00460D31">
      <w:pPr>
        <w:pStyle w:val="BodyText"/>
        <w:numPr>
          <w:ilvl w:val="0"/>
          <w:numId w:val="30"/>
        </w:numPr>
        <w:spacing w:before="0" w:line="240" w:lineRule="auto"/>
        <w:ind w:left="714" w:hanging="357"/>
        <w:rPr>
          <w:rFonts w:ascii="Times New Roman" w:hAnsi="Times New Roman"/>
          <w:sz w:val="24"/>
        </w:rPr>
      </w:pPr>
      <w:r w:rsidRPr="00E42772">
        <w:rPr>
          <w:rFonts w:ascii="Times New Roman" w:hAnsi="Times New Roman"/>
          <w:sz w:val="24"/>
        </w:rPr>
        <w:t xml:space="preserve">Population 2 who are men diagnosed with low or intermediate risk </w:t>
      </w:r>
      <w:proofErr w:type="spellStart"/>
      <w:r w:rsidRPr="00E42772">
        <w:rPr>
          <w:rFonts w:ascii="Times New Roman" w:hAnsi="Times New Roman"/>
          <w:sz w:val="24"/>
        </w:rPr>
        <w:t>PCa</w:t>
      </w:r>
      <w:proofErr w:type="spellEnd"/>
      <w:r w:rsidRPr="00E42772">
        <w:rPr>
          <w:rFonts w:ascii="Times New Roman" w:hAnsi="Times New Roman"/>
          <w:sz w:val="24"/>
        </w:rPr>
        <w:t xml:space="preserve"> on an active surveillance (AS) program. ESC noted that these men are a subset of population 1.</w:t>
      </w:r>
    </w:p>
    <w:p w14:paraId="457A4EC4" w14:textId="50DAA7D6"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primary outcome for population 1 was changed from diagnosis of </w:t>
      </w:r>
      <w:proofErr w:type="spellStart"/>
      <w:r w:rsidRPr="00E42772">
        <w:rPr>
          <w:rFonts w:ascii="Times New Roman" w:hAnsi="Times New Roman"/>
          <w:sz w:val="24"/>
        </w:rPr>
        <w:t>PCa</w:t>
      </w:r>
      <w:proofErr w:type="spellEnd"/>
      <w:r w:rsidRPr="00E42772">
        <w:rPr>
          <w:rFonts w:ascii="Times New Roman" w:hAnsi="Times New Roman"/>
          <w:sz w:val="24"/>
        </w:rPr>
        <w:t xml:space="preserve"> to diagnosis of clinically significant </w:t>
      </w:r>
      <w:proofErr w:type="spellStart"/>
      <w:r w:rsidRPr="00E42772">
        <w:rPr>
          <w:rFonts w:ascii="Times New Roman" w:hAnsi="Times New Roman"/>
          <w:sz w:val="24"/>
        </w:rPr>
        <w:t>PCa</w:t>
      </w:r>
      <w:proofErr w:type="spellEnd"/>
      <w:r w:rsidRPr="00E42772">
        <w:rPr>
          <w:rFonts w:ascii="Times New Roman" w:hAnsi="Times New Roman"/>
          <w:sz w:val="24"/>
        </w:rPr>
        <w:t xml:space="preserve"> after consultation with the </w:t>
      </w:r>
      <w:r w:rsidR="00F01167">
        <w:rPr>
          <w:rFonts w:ascii="Times New Roman" w:hAnsi="Times New Roman"/>
          <w:sz w:val="24"/>
        </w:rPr>
        <w:t>A</w:t>
      </w:r>
      <w:r w:rsidR="00F01167" w:rsidRPr="00E42772">
        <w:rPr>
          <w:rFonts w:ascii="Times New Roman" w:hAnsi="Times New Roman"/>
          <w:sz w:val="24"/>
        </w:rPr>
        <w:t xml:space="preserve">pplicant </w:t>
      </w:r>
      <w:r w:rsidRPr="00E42772">
        <w:rPr>
          <w:rFonts w:ascii="Times New Roman" w:hAnsi="Times New Roman"/>
          <w:sz w:val="24"/>
        </w:rPr>
        <w:t>and the Department.</w:t>
      </w:r>
    </w:p>
    <w:p w14:paraId="002C7E6A"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the sensitivity (74.4%; 95% confidence interval [CI] 51.0–89.1%) and specificity (84.1%; 95% CI 75.0–90.3%) of </w:t>
      </w:r>
      <w:proofErr w:type="spellStart"/>
      <w:r w:rsidRPr="00E42772">
        <w:rPr>
          <w:rFonts w:ascii="Times New Roman" w:hAnsi="Times New Roman"/>
          <w:sz w:val="24"/>
        </w:rPr>
        <w:t>mpMRI</w:t>
      </w:r>
      <w:proofErr w:type="spellEnd"/>
      <w:r w:rsidRPr="00E42772">
        <w:rPr>
          <w:rFonts w:ascii="Times New Roman" w:hAnsi="Times New Roman"/>
          <w:sz w:val="24"/>
        </w:rPr>
        <w:t xml:space="preserve"> for detecting clinically significant </w:t>
      </w:r>
      <w:proofErr w:type="spellStart"/>
      <w:r w:rsidRPr="00E42772">
        <w:rPr>
          <w:rFonts w:ascii="Times New Roman" w:hAnsi="Times New Roman"/>
          <w:sz w:val="24"/>
        </w:rPr>
        <w:t>PCa</w:t>
      </w:r>
      <w:proofErr w:type="spellEnd"/>
      <w:r w:rsidRPr="00E42772">
        <w:rPr>
          <w:rFonts w:ascii="Times New Roman" w:hAnsi="Times New Roman"/>
          <w:sz w:val="24"/>
        </w:rPr>
        <w:t xml:space="preserve"> in population 1 compared with biopsy. ESC noted that the confidence interval around the sensitivity point estimate was wide reflecting uncertainty and heterogeneity in the results.</w:t>
      </w:r>
    </w:p>
    <w:p w14:paraId="45FA4761"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w:t>
      </w:r>
      <w:proofErr w:type="spellStart"/>
      <w:r w:rsidRPr="00E42772">
        <w:rPr>
          <w:rFonts w:ascii="Times New Roman" w:hAnsi="Times New Roman"/>
          <w:sz w:val="24"/>
        </w:rPr>
        <w:t>mpMRI</w:t>
      </w:r>
      <w:proofErr w:type="spellEnd"/>
      <w:r w:rsidRPr="00E42772">
        <w:rPr>
          <w:rFonts w:ascii="Times New Roman" w:hAnsi="Times New Roman"/>
          <w:sz w:val="24"/>
        </w:rPr>
        <w:t xml:space="preserve"> had superior safety when compared with TRUSGB/TPUSGB in population 1. For every 1,000 men,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would avoid 505 biopsies and avoid overtreatment of insignificant disease in 94 men. However, it would result in a treatment delay of clinically significant disease in 54 men. ESC noted that the delayed diagnosis may not impact disease progression and mortality although the quality of evidence to support this was very low.</w:t>
      </w:r>
    </w:p>
    <w:p w14:paraId="2D9127C9"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economic model suggested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1 would be slightly less effective than biopsy</w:t>
      </w:r>
      <w:r>
        <w:rPr>
          <w:rFonts w:ascii="Times New Roman" w:hAnsi="Times New Roman"/>
          <w:sz w:val="24"/>
        </w:rPr>
        <w:t xml:space="preserve"> (0.039 QALY lost [~2.0 </w:t>
      </w:r>
      <w:proofErr w:type="spellStart"/>
      <w:r>
        <w:rPr>
          <w:rFonts w:ascii="Times New Roman" w:hAnsi="Times New Roman"/>
          <w:sz w:val="24"/>
        </w:rPr>
        <w:t>wk</w:t>
      </w:r>
      <w:proofErr w:type="spellEnd"/>
      <w:r>
        <w:rPr>
          <w:rFonts w:ascii="Times New Roman" w:hAnsi="Times New Roman"/>
          <w:sz w:val="24"/>
        </w:rPr>
        <w:t>])</w:t>
      </w:r>
      <w:r w:rsidRPr="00E42772">
        <w:rPr>
          <w:rFonts w:ascii="Times New Roman" w:hAnsi="Times New Roman"/>
          <w:sz w:val="24"/>
        </w:rPr>
        <w:t xml:space="preserve"> but less expensive.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1 saved $40,363 per QALY lost. ESC noted that listing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1 would result in a net cost of approximately $1.5 million per year to the MBS but a net saving of approximately $6.1 million to the health system as a whole (including costs to the MBS, other health funders and patient co-payments).</w:t>
      </w:r>
    </w:p>
    <w:p w14:paraId="34B02030"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economic model for population 1 relied on the assumptions that there will be a reduction in biopsies as a result of </w:t>
      </w:r>
      <w:proofErr w:type="spellStart"/>
      <w:r w:rsidRPr="00E42772">
        <w:rPr>
          <w:rFonts w:ascii="Times New Roman" w:hAnsi="Times New Roman"/>
          <w:sz w:val="24"/>
        </w:rPr>
        <w:t>mpMRI</w:t>
      </w:r>
      <w:proofErr w:type="spellEnd"/>
      <w:r w:rsidRPr="00E42772">
        <w:rPr>
          <w:rFonts w:ascii="Times New Roman" w:hAnsi="Times New Roman"/>
          <w:sz w:val="24"/>
        </w:rPr>
        <w:t xml:space="preserve"> and that there will be no repeat </w:t>
      </w:r>
      <w:proofErr w:type="spellStart"/>
      <w:r w:rsidRPr="00E42772">
        <w:rPr>
          <w:rFonts w:ascii="Times New Roman" w:hAnsi="Times New Roman"/>
          <w:sz w:val="24"/>
        </w:rPr>
        <w:t>mpMRI</w:t>
      </w:r>
      <w:proofErr w:type="spellEnd"/>
      <w:r w:rsidRPr="00E42772">
        <w:rPr>
          <w:rFonts w:ascii="Times New Roman" w:hAnsi="Times New Roman"/>
          <w:sz w:val="24"/>
        </w:rPr>
        <w:t xml:space="preserve">. ESC noted that while the prevalence of </w:t>
      </w:r>
      <w:proofErr w:type="spellStart"/>
      <w:r w:rsidRPr="00E42772">
        <w:rPr>
          <w:rFonts w:ascii="Times New Roman" w:hAnsi="Times New Roman"/>
          <w:sz w:val="24"/>
        </w:rPr>
        <w:t>PCa</w:t>
      </w:r>
      <w:proofErr w:type="spellEnd"/>
      <w:r w:rsidRPr="00E42772">
        <w:rPr>
          <w:rFonts w:ascii="Times New Roman" w:hAnsi="Times New Roman"/>
          <w:sz w:val="24"/>
        </w:rPr>
        <w:t xml:space="preserve"> has increased as the Australian population ages, the number of prostate biopsies has remained steady. ESC discussed whether this indicated that men were already accessing </w:t>
      </w:r>
      <w:proofErr w:type="spellStart"/>
      <w:r w:rsidRPr="00E42772">
        <w:rPr>
          <w:rFonts w:ascii="Times New Roman" w:hAnsi="Times New Roman"/>
          <w:sz w:val="24"/>
        </w:rPr>
        <w:t>mpMRI</w:t>
      </w:r>
      <w:proofErr w:type="spellEnd"/>
      <w:r w:rsidRPr="00E42772">
        <w:rPr>
          <w:rFonts w:ascii="Times New Roman" w:hAnsi="Times New Roman"/>
          <w:sz w:val="24"/>
        </w:rPr>
        <w:t xml:space="preserve"> to avoid biopsy or refusing biopsy altogether.</w:t>
      </w:r>
    </w:p>
    <w:p w14:paraId="63CFA6EE"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there was greater certainty around the diagnostic accuracy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2 than in population 1, as evidenced by narrower confidence intervals. When compared with biopsy, sensitivity was 79.3% (95% CI 74.6–83.3%) and specificity 55.1% (95% CI 50.4–59.8%) for </w:t>
      </w:r>
      <w:proofErr w:type="spellStart"/>
      <w:r w:rsidRPr="00E42772">
        <w:rPr>
          <w:rFonts w:ascii="Times New Roman" w:hAnsi="Times New Roman"/>
          <w:sz w:val="24"/>
        </w:rPr>
        <w:t>mpMRI</w:t>
      </w:r>
      <w:proofErr w:type="spellEnd"/>
      <w:r w:rsidRPr="00E42772">
        <w:rPr>
          <w:rFonts w:ascii="Times New Roman" w:hAnsi="Times New Roman"/>
          <w:sz w:val="24"/>
        </w:rPr>
        <w:t xml:space="preserve"> in detecting any upgrade in </w:t>
      </w:r>
      <w:proofErr w:type="spellStart"/>
      <w:r w:rsidRPr="00E42772">
        <w:rPr>
          <w:rFonts w:ascii="Times New Roman" w:hAnsi="Times New Roman"/>
          <w:sz w:val="24"/>
        </w:rPr>
        <w:t>PCa</w:t>
      </w:r>
      <w:proofErr w:type="spellEnd"/>
      <w:r w:rsidRPr="00E42772">
        <w:rPr>
          <w:rFonts w:ascii="Times New Roman" w:hAnsi="Times New Roman"/>
          <w:sz w:val="24"/>
        </w:rPr>
        <w:t xml:space="preserve">. While ESC noted that </w:t>
      </w:r>
      <w:proofErr w:type="spellStart"/>
      <w:r w:rsidRPr="00E42772">
        <w:rPr>
          <w:rFonts w:ascii="Times New Roman" w:hAnsi="Times New Roman"/>
          <w:sz w:val="24"/>
        </w:rPr>
        <w:t>mpMRI</w:t>
      </w:r>
      <w:proofErr w:type="spellEnd"/>
      <w:r w:rsidRPr="00E42772">
        <w:rPr>
          <w:rFonts w:ascii="Times New Roman" w:hAnsi="Times New Roman"/>
          <w:sz w:val="24"/>
        </w:rPr>
        <w:t xml:space="preserve"> was less accurate than TRUSGB/TPUSGB in population 2, there was limited evidence that this would </w:t>
      </w:r>
      <w:r>
        <w:rPr>
          <w:rFonts w:ascii="Times New Roman" w:hAnsi="Times New Roman"/>
          <w:sz w:val="24"/>
        </w:rPr>
        <w:t xml:space="preserve">not </w:t>
      </w:r>
      <w:r w:rsidRPr="00E42772">
        <w:rPr>
          <w:rFonts w:ascii="Times New Roman" w:hAnsi="Times New Roman"/>
          <w:sz w:val="24"/>
        </w:rPr>
        <w:t>adversely affect patient outcomes.</w:t>
      </w:r>
    </w:p>
    <w:p w14:paraId="3043DBF8" w14:textId="0187231A"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suggested that </w:t>
      </w:r>
      <w:proofErr w:type="spellStart"/>
      <w:r w:rsidRPr="00E42772">
        <w:rPr>
          <w:rFonts w:ascii="Times New Roman" w:hAnsi="Times New Roman"/>
          <w:sz w:val="24"/>
        </w:rPr>
        <w:t>mpMRI</w:t>
      </w:r>
      <w:proofErr w:type="spellEnd"/>
      <w:r w:rsidRPr="00E42772">
        <w:rPr>
          <w:rFonts w:ascii="Times New Roman" w:hAnsi="Times New Roman"/>
          <w:sz w:val="24"/>
        </w:rPr>
        <w:t xml:space="preserve"> had superior safety compared to TRUSGB/TPUSGB in population 2. The applicant had indicated that 30% of men in an AS program will have their disease upgraded by </w:t>
      </w:r>
      <w:proofErr w:type="spellStart"/>
      <w:r w:rsidRPr="00E42772">
        <w:rPr>
          <w:rFonts w:ascii="Times New Roman" w:hAnsi="Times New Roman"/>
          <w:sz w:val="24"/>
        </w:rPr>
        <w:t>mpMRI</w:t>
      </w:r>
      <w:proofErr w:type="spellEnd"/>
      <w:r w:rsidRPr="00E42772">
        <w:rPr>
          <w:rFonts w:ascii="Times New Roman" w:hAnsi="Times New Roman"/>
          <w:sz w:val="24"/>
        </w:rPr>
        <w:t xml:space="preserve">. ESC noted that this meant that for every 1,000 men in an AS program,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would avoid 358 biopsies but would result in a delay in diagnosing upgraded disease in 31 men.</w:t>
      </w:r>
    </w:p>
    <w:p w14:paraId="365A74F6"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economic model suggested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2 would be slightly less effective than biopsy </w:t>
      </w:r>
      <w:r>
        <w:rPr>
          <w:rFonts w:ascii="Times New Roman" w:hAnsi="Times New Roman"/>
          <w:sz w:val="24"/>
        </w:rPr>
        <w:t xml:space="preserve">(loss of 0.001 QALY [~0.3 day]) </w:t>
      </w:r>
      <w:r w:rsidRPr="00E42772">
        <w:rPr>
          <w:rFonts w:ascii="Times New Roman" w:hAnsi="Times New Roman"/>
          <w:sz w:val="24"/>
        </w:rPr>
        <w:t xml:space="preserve">but less expensive.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2 saved $232,269 per QALY lost. ESC noted that listing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2 would result in a net cost of approximately $1.3 million per year to the MBS but a net saving of approximately $2.0 million to the health system as a whole (including costs to the MBS, other health funders and patient co-payments).</w:t>
      </w:r>
    </w:p>
    <w:p w14:paraId="4745E03A"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lastRenderedPageBreak/>
        <w:t xml:space="preserve">ESC noted the modelling for population 2 was based upon the assumption that 30% of men would have their disease upgraded by </w:t>
      </w:r>
      <w:proofErr w:type="spellStart"/>
      <w:r w:rsidRPr="00E42772">
        <w:rPr>
          <w:rFonts w:ascii="Times New Roman" w:hAnsi="Times New Roman"/>
          <w:sz w:val="24"/>
        </w:rPr>
        <w:t>mpMRI</w:t>
      </w:r>
      <w:proofErr w:type="spellEnd"/>
      <w:r w:rsidRPr="00E42772">
        <w:rPr>
          <w:rFonts w:ascii="Times New Roman" w:hAnsi="Times New Roman"/>
          <w:sz w:val="24"/>
        </w:rPr>
        <w:t xml:space="preserve">. ESC noted that if </w:t>
      </w:r>
      <w:proofErr w:type="spellStart"/>
      <w:r w:rsidRPr="00E42772">
        <w:rPr>
          <w:rFonts w:ascii="Times New Roman" w:hAnsi="Times New Roman"/>
          <w:sz w:val="24"/>
        </w:rPr>
        <w:t>mpMRI</w:t>
      </w:r>
      <w:proofErr w:type="spellEnd"/>
      <w:r w:rsidRPr="00E42772">
        <w:rPr>
          <w:rFonts w:ascii="Times New Roman" w:hAnsi="Times New Roman"/>
          <w:sz w:val="24"/>
        </w:rPr>
        <w:t xml:space="preserve"> is used in a broader population than currently, the proportion of men who are upgraded on </w:t>
      </w:r>
      <w:proofErr w:type="spellStart"/>
      <w:r w:rsidRPr="00E42772">
        <w:rPr>
          <w:rFonts w:ascii="Times New Roman" w:hAnsi="Times New Roman"/>
          <w:sz w:val="24"/>
        </w:rPr>
        <w:t>mpMRI</w:t>
      </w:r>
      <w:proofErr w:type="spellEnd"/>
      <w:r w:rsidRPr="00E42772">
        <w:rPr>
          <w:rFonts w:ascii="Times New Roman" w:hAnsi="Times New Roman"/>
          <w:sz w:val="24"/>
        </w:rPr>
        <w:t xml:space="preserve"> may fall. ESC suggested that a sensitivity analysis incorporating a 15% prevalence of upgrading would be helpful for decision making. </w:t>
      </w:r>
    </w:p>
    <w:p w14:paraId="5EB7E942"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economic modelling for both population 1 and 2 was based upon a linked evidence approach. </w:t>
      </w:r>
    </w:p>
    <w:p w14:paraId="507C8129"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questioned the suggested fee of $600, which is based upon the current market price, and is higher than the MBS fees for similar MRI procedures (e.g. item 63476 MRI scan of the pelvis for the initial staging of rectal cancer: ~$403).</w:t>
      </w:r>
    </w:p>
    <w:p w14:paraId="5373E938" w14:textId="179398E0"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listing </w:t>
      </w:r>
      <w:proofErr w:type="spellStart"/>
      <w:r w:rsidRPr="00E42772">
        <w:rPr>
          <w:rFonts w:ascii="Times New Roman" w:hAnsi="Times New Roman"/>
          <w:sz w:val="24"/>
        </w:rPr>
        <w:t>mpMRI</w:t>
      </w:r>
      <w:proofErr w:type="spellEnd"/>
      <w:r w:rsidRPr="00E42772">
        <w:rPr>
          <w:rFonts w:ascii="Times New Roman" w:hAnsi="Times New Roman"/>
          <w:sz w:val="24"/>
        </w:rPr>
        <w:t xml:space="preserve"> for diagnosis of </w:t>
      </w:r>
      <w:proofErr w:type="spellStart"/>
      <w:r w:rsidRPr="00E42772">
        <w:rPr>
          <w:rFonts w:ascii="Times New Roman" w:hAnsi="Times New Roman"/>
          <w:sz w:val="24"/>
        </w:rPr>
        <w:t>PCa</w:t>
      </w:r>
      <w:proofErr w:type="spellEnd"/>
      <w:r w:rsidRPr="00E42772">
        <w:rPr>
          <w:rFonts w:ascii="Times New Roman" w:hAnsi="Times New Roman"/>
          <w:sz w:val="24"/>
        </w:rPr>
        <w:t xml:space="preserve"> could lead to its use outside these two populations. ESC noted that international and Australian guidelines suggest consideration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men after a negative biopsy to determine if another biopsy is required (</w:t>
      </w:r>
      <w:hyperlink r:id="rId14" w:anchor="assessment-2" w:tooltip="Link to NICE clinical guidelines for prostate cancer: diagnosis and management" w:history="1">
        <w:r w:rsidRPr="00E42772">
          <w:rPr>
            <w:rStyle w:val="Hyperlink"/>
            <w:rFonts w:ascii="Times New Roman" w:hAnsi="Times New Roman"/>
          </w:rPr>
          <w:t>NICE 2014</w:t>
        </w:r>
      </w:hyperlink>
      <w:r w:rsidRPr="00E42772">
        <w:rPr>
          <w:rFonts w:ascii="Times New Roman" w:hAnsi="Times New Roman"/>
          <w:sz w:val="24"/>
        </w:rPr>
        <w:t xml:space="preserve"> and </w:t>
      </w:r>
      <w:hyperlink r:id="rId15" w:tooltip="Link to prostate cancer foundation of Australia and Cancer Council clinical practice guidelines for PSA testing" w:history="1">
        <w:r w:rsidRPr="00E42772">
          <w:rPr>
            <w:rStyle w:val="Hyperlink"/>
            <w:rFonts w:ascii="Times New Roman" w:hAnsi="Times New Roman"/>
          </w:rPr>
          <w:t>PCFA/CCA 2016</w:t>
        </w:r>
      </w:hyperlink>
      <w:r w:rsidRPr="00E42772">
        <w:rPr>
          <w:rFonts w:ascii="Times New Roman" w:hAnsi="Times New Roman"/>
          <w:sz w:val="24"/>
        </w:rPr>
        <w:t xml:space="preserve">) or if there is continuing suspicion that the patient has </w:t>
      </w:r>
      <w:proofErr w:type="spellStart"/>
      <w:r w:rsidRPr="00E42772">
        <w:rPr>
          <w:rFonts w:ascii="Times New Roman" w:hAnsi="Times New Roman"/>
          <w:sz w:val="24"/>
        </w:rPr>
        <w:t>PCa</w:t>
      </w:r>
      <w:proofErr w:type="spellEnd"/>
      <w:r w:rsidRPr="00E42772">
        <w:rPr>
          <w:rFonts w:ascii="Times New Roman" w:hAnsi="Times New Roman"/>
          <w:sz w:val="24"/>
        </w:rPr>
        <w:t xml:space="preserve"> (</w:t>
      </w:r>
      <w:hyperlink r:id="rId16" w:tooltip="Link to American Urological Association clinical guidance for prostate MRI and MRI targeted biopsy" w:history="1">
        <w:r w:rsidRPr="00CB5A5A">
          <w:rPr>
            <w:rStyle w:val="Hyperlink"/>
            <w:rFonts w:ascii="Times New Roman" w:hAnsi="Times New Roman"/>
          </w:rPr>
          <w:t>AUA/SAR 2016</w:t>
        </w:r>
      </w:hyperlink>
      <w:r w:rsidRPr="00E42772">
        <w:rPr>
          <w:rFonts w:ascii="Times New Roman" w:hAnsi="Times New Roman"/>
          <w:sz w:val="24"/>
        </w:rPr>
        <w:t xml:space="preserve">). ESC advised that incorporating a limitation on the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after biopsy in the item descriptor may prevent such leakage. </w:t>
      </w:r>
    </w:p>
    <w:p w14:paraId="20C6F5B1"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Similarly, ESC expressed concern that </w:t>
      </w:r>
      <w:proofErr w:type="spellStart"/>
      <w:r w:rsidRPr="00E42772">
        <w:rPr>
          <w:rFonts w:ascii="Times New Roman" w:hAnsi="Times New Roman"/>
          <w:sz w:val="24"/>
        </w:rPr>
        <w:t>mpMRI</w:t>
      </w:r>
      <w:proofErr w:type="spellEnd"/>
      <w:r w:rsidRPr="00E42772">
        <w:rPr>
          <w:rFonts w:ascii="Times New Roman" w:hAnsi="Times New Roman"/>
          <w:sz w:val="24"/>
        </w:rPr>
        <w:t xml:space="preserve"> may be used to stage </w:t>
      </w:r>
      <w:proofErr w:type="spellStart"/>
      <w:r w:rsidRPr="00E42772">
        <w:rPr>
          <w:rFonts w:ascii="Times New Roman" w:hAnsi="Times New Roman"/>
          <w:sz w:val="24"/>
        </w:rPr>
        <w:t>PCa</w:t>
      </w:r>
      <w:proofErr w:type="spellEnd"/>
      <w:r w:rsidRPr="00E42772">
        <w:rPr>
          <w:rFonts w:ascii="Times New Roman" w:hAnsi="Times New Roman"/>
          <w:sz w:val="24"/>
        </w:rPr>
        <w:t xml:space="preserve"> even if a decision to biopsy and treat has already been made after clinical examination. </w:t>
      </w:r>
    </w:p>
    <w:p w14:paraId="0BCC53CE"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In addition, ESC noted that the availability of </w:t>
      </w:r>
      <w:proofErr w:type="spellStart"/>
      <w:r w:rsidRPr="00E42772">
        <w:rPr>
          <w:rFonts w:ascii="Times New Roman" w:hAnsi="Times New Roman"/>
          <w:sz w:val="24"/>
        </w:rPr>
        <w:t>mpMRI</w:t>
      </w:r>
      <w:proofErr w:type="spellEnd"/>
      <w:r w:rsidRPr="00E42772">
        <w:rPr>
          <w:rFonts w:ascii="Times New Roman" w:hAnsi="Times New Roman"/>
          <w:sz w:val="24"/>
        </w:rPr>
        <w:t xml:space="preserve"> could increase the attractiveness of using PSA for screening and increase rates of PSA testing. ESC suggested that clinicians and men are less likely to be deterred from using PSA inappropriately as a screening test if the follow-up test is a non-invasive </w:t>
      </w:r>
      <w:proofErr w:type="spellStart"/>
      <w:r w:rsidRPr="00E42772">
        <w:rPr>
          <w:rFonts w:ascii="Times New Roman" w:hAnsi="Times New Roman"/>
          <w:sz w:val="24"/>
        </w:rPr>
        <w:t>mpMRI</w:t>
      </w:r>
      <w:proofErr w:type="spellEnd"/>
      <w:r w:rsidRPr="00E42772">
        <w:rPr>
          <w:rFonts w:ascii="Times New Roman" w:hAnsi="Times New Roman"/>
          <w:sz w:val="24"/>
        </w:rPr>
        <w:t xml:space="preserve"> instead of the invasive TRUSGB/TPUSGB. ESC noted that any increase in the use of PSA for screening could therefore increase the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over and above that estimated in the application.</w:t>
      </w:r>
    </w:p>
    <w:p w14:paraId="38B7CAC5"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there may be issues with inter-reader reliability when using </w:t>
      </w:r>
      <w:proofErr w:type="spellStart"/>
      <w:r w:rsidRPr="00E42772">
        <w:rPr>
          <w:rFonts w:ascii="Times New Roman" w:hAnsi="Times New Roman"/>
          <w:sz w:val="24"/>
        </w:rPr>
        <w:t>mpMRI</w:t>
      </w:r>
      <w:proofErr w:type="spellEnd"/>
      <w:r w:rsidRPr="00E42772">
        <w:rPr>
          <w:rFonts w:ascii="Times New Roman" w:hAnsi="Times New Roman"/>
          <w:sz w:val="24"/>
        </w:rPr>
        <w:t xml:space="preserve"> to determine Prostate Imaging Reporting and Data System (PI-RADS) scores. In studies in which different readers reviewed the same </w:t>
      </w:r>
      <w:proofErr w:type="spellStart"/>
      <w:r w:rsidRPr="00E42772">
        <w:rPr>
          <w:rFonts w:ascii="Times New Roman" w:hAnsi="Times New Roman"/>
          <w:sz w:val="24"/>
        </w:rPr>
        <w:t>mpMRI</w:t>
      </w:r>
      <w:proofErr w:type="spellEnd"/>
      <w:r w:rsidRPr="00E42772">
        <w:rPr>
          <w:rFonts w:ascii="Times New Roman" w:hAnsi="Times New Roman"/>
          <w:sz w:val="24"/>
        </w:rPr>
        <w:t xml:space="preserve"> images and separately assigned a PI-RADS score, agreement as measured by the kappa statistic ranged from 0.48 to 0.81 (a kappa of 1.0 indicates complete agreement between readers). ESC considered that radiologists and centres offering </w:t>
      </w:r>
      <w:proofErr w:type="spellStart"/>
      <w:r w:rsidRPr="00E42772">
        <w:rPr>
          <w:rFonts w:ascii="Times New Roman" w:hAnsi="Times New Roman"/>
          <w:sz w:val="24"/>
        </w:rPr>
        <w:t>mpMRI</w:t>
      </w:r>
      <w:proofErr w:type="spellEnd"/>
      <w:r w:rsidRPr="00E42772">
        <w:rPr>
          <w:rFonts w:ascii="Times New Roman" w:hAnsi="Times New Roman"/>
          <w:sz w:val="24"/>
        </w:rPr>
        <w:t xml:space="preserve"> should participate in rigorous training and ongoing quality assurance.</w:t>
      </w:r>
    </w:p>
    <w:p w14:paraId="7DEAC599"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suggested including a limit on the number of </w:t>
      </w:r>
      <w:proofErr w:type="spellStart"/>
      <w:r w:rsidRPr="00E42772">
        <w:rPr>
          <w:rFonts w:ascii="Times New Roman" w:hAnsi="Times New Roman"/>
          <w:sz w:val="24"/>
        </w:rPr>
        <w:t>mpMRI</w:t>
      </w:r>
      <w:proofErr w:type="spellEnd"/>
      <w:r w:rsidRPr="00E42772">
        <w:rPr>
          <w:rFonts w:ascii="Times New Roman" w:hAnsi="Times New Roman"/>
          <w:sz w:val="24"/>
        </w:rPr>
        <w:t xml:space="preserve"> scans claimed per patient per year in the item descriptor. ESC also noted that if </w:t>
      </w:r>
      <w:proofErr w:type="spellStart"/>
      <w:r w:rsidRPr="00E42772">
        <w:rPr>
          <w:rFonts w:ascii="Times New Roman" w:hAnsi="Times New Roman"/>
          <w:sz w:val="24"/>
        </w:rPr>
        <w:t>mpMRI</w:t>
      </w:r>
      <w:proofErr w:type="spellEnd"/>
      <w:r w:rsidRPr="00E42772">
        <w:rPr>
          <w:rFonts w:ascii="Times New Roman" w:hAnsi="Times New Roman"/>
          <w:sz w:val="24"/>
        </w:rPr>
        <w:t xml:space="preserve"> </w:t>
      </w:r>
      <w:r>
        <w:rPr>
          <w:rFonts w:ascii="Times New Roman" w:hAnsi="Times New Roman"/>
          <w:sz w:val="24"/>
        </w:rPr>
        <w:t>were</w:t>
      </w:r>
      <w:r w:rsidRPr="00E42772">
        <w:rPr>
          <w:rFonts w:ascii="Times New Roman" w:hAnsi="Times New Roman"/>
          <w:sz w:val="24"/>
        </w:rPr>
        <w:t xml:space="preserve"> MBS-listed, the item descriptors would need to accurately describe the populations of men who could benefit from use of </w:t>
      </w:r>
      <w:proofErr w:type="spellStart"/>
      <w:r w:rsidRPr="00E42772">
        <w:rPr>
          <w:rFonts w:ascii="Times New Roman" w:hAnsi="Times New Roman"/>
          <w:sz w:val="24"/>
        </w:rPr>
        <w:t>mpMRI</w:t>
      </w:r>
      <w:proofErr w:type="spellEnd"/>
      <w:r w:rsidRPr="00E42772">
        <w:rPr>
          <w:rFonts w:ascii="Times New Roman" w:hAnsi="Times New Roman"/>
          <w:sz w:val="24"/>
        </w:rPr>
        <w:t>.</w:t>
      </w:r>
    </w:p>
    <w:p w14:paraId="32AB7D36"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From a consumer perspective, ESC noted that </w:t>
      </w:r>
      <w:proofErr w:type="spellStart"/>
      <w:r w:rsidRPr="00E42772">
        <w:rPr>
          <w:rFonts w:ascii="Times New Roman" w:hAnsi="Times New Roman"/>
          <w:sz w:val="24"/>
        </w:rPr>
        <w:t>mpMRI</w:t>
      </w:r>
      <w:proofErr w:type="spellEnd"/>
      <w:r w:rsidRPr="00E42772">
        <w:rPr>
          <w:rFonts w:ascii="Times New Roman" w:hAnsi="Times New Roman"/>
          <w:sz w:val="24"/>
        </w:rPr>
        <w:t xml:space="preserve"> was likely to be more acceptable to patients than biopsy and that some consumers were already paying for the procedure privately. ESC noted that there is potential for </w:t>
      </w:r>
      <w:proofErr w:type="spellStart"/>
      <w:r w:rsidRPr="00E42772">
        <w:rPr>
          <w:rFonts w:ascii="Times New Roman" w:hAnsi="Times New Roman"/>
          <w:sz w:val="24"/>
        </w:rPr>
        <w:t>mpMRI</w:t>
      </w:r>
      <w:proofErr w:type="spellEnd"/>
      <w:r w:rsidRPr="00E42772">
        <w:rPr>
          <w:rFonts w:ascii="Times New Roman" w:hAnsi="Times New Roman"/>
          <w:sz w:val="24"/>
        </w:rPr>
        <w:t xml:space="preserve"> to be used to reassure clinicians and men that they do not have significant </w:t>
      </w:r>
      <w:proofErr w:type="spellStart"/>
      <w:r w:rsidRPr="00E42772">
        <w:rPr>
          <w:rFonts w:ascii="Times New Roman" w:hAnsi="Times New Roman"/>
          <w:sz w:val="24"/>
        </w:rPr>
        <w:t>PCa</w:t>
      </w:r>
      <w:proofErr w:type="spellEnd"/>
      <w:r w:rsidRPr="00E42772">
        <w:rPr>
          <w:rFonts w:ascii="Times New Roman" w:hAnsi="Times New Roman"/>
          <w:sz w:val="24"/>
        </w:rPr>
        <w:t xml:space="preserve"> rather than for diagnostic purposes. </w:t>
      </w:r>
    </w:p>
    <w:p w14:paraId="77EF598E" w14:textId="77777777" w:rsidR="00D90A38" w:rsidRPr="00F715D1" w:rsidRDefault="00BC1364" w:rsidP="008E4C81">
      <w:pPr>
        <w:pStyle w:val="Heading1"/>
        <w:ind w:hanging="502"/>
      </w:pPr>
      <w:r w:rsidRPr="00F715D1">
        <w:t>Other significant factors</w:t>
      </w:r>
    </w:p>
    <w:p w14:paraId="344B8DBB" w14:textId="77777777" w:rsidR="00BC1364" w:rsidRPr="008E4C81" w:rsidRDefault="00BC1364" w:rsidP="00F715D1">
      <w:pPr>
        <w:spacing w:after="240"/>
        <w:rPr>
          <w:szCs w:val="24"/>
        </w:rPr>
      </w:pPr>
      <w:r w:rsidRPr="008E4C81">
        <w:rPr>
          <w:szCs w:val="24"/>
        </w:rPr>
        <w:t>Nil</w:t>
      </w:r>
    </w:p>
    <w:p w14:paraId="5188FD33" w14:textId="77777777" w:rsidR="00BC1364" w:rsidRPr="00F715D1" w:rsidRDefault="00BC1364" w:rsidP="008E4C81">
      <w:pPr>
        <w:pStyle w:val="Heading1"/>
        <w:ind w:hanging="502"/>
      </w:pPr>
      <w:r w:rsidRPr="00F715D1">
        <w:t xml:space="preserve">Applicant’s comments on MSAC’s </w:t>
      </w:r>
      <w:r w:rsidR="00DA56AA" w:rsidRPr="00F715D1">
        <w:t>Public Summary Document</w:t>
      </w:r>
    </w:p>
    <w:p w14:paraId="3A801A56" w14:textId="5AB29FE7" w:rsidR="006F6052" w:rsidRPr="00481442" w:rsidRDefault="006F6052" w:rsidP="006F6052">
      <w:pPr>
        <w:pStyle w:val="NoSpacing"/>
      </w:pPr>
      <w:r>
        <w:t>Australian m</w:t>
      </w:r>
      <w:r w:rsidRPr="00117355">
        <w:t xml:space="preserve">en with financial resources are undergoing imaging of the prostate in increasing numbers, and those without </w:t>
      </w:r>
      <w:r>
        <w:t xml:space="preserve">financial </w:t>
      </w:r>
      <w:r w:rsidRPr="00117355">
        <w:t xml:space="preserve">resources are still undergoing blind TRUS biopsy of the </w:t>
      </w:r>
      <w:r w:rsidRPr="00117355">
        <w:lastRenderedPageBreak/>
        <w:t>prostate.</w:t>
      </w:r>
      <w:r>
        <w:t xml:space="preserve">  Australian m</w:t>
      </w:r>
      <w:r w:rsidRPr="00B85293">
        <w:t xml:space="preserve">en should have </w:t>
      </w:r>
      <w:r>
        <w:t>equity of</w:t>
      </w:r>
      <w:r w:rsidRPr="00B85293">
        <w:t xml:space="preserve"> access </w:t>
      </w:r>
      <w:r>
        <w:t xml:space="preserve">to </w:t>
      </w:r>
      <w:r w:rsidRPr="00B85293">
        <w:t>state of the art diagnostic imaging in prostate cancer.</w:t>
      </w:r>
      <w:r>
        <w:t xml:space="preserve">  In relation to MSAC’s concern that the number of </w:t>
      </w:r>
      <w:proofErr w:type="spellStart"/>
      <w:r>
        <w:t>mpMRIs</w:t>
      </w:r>
      <w:proofErr w:type="spellEnd"/>
      <w:r>
        <w:t xml:space="preserve"> would likely be higher than estimated in the application due to use outside the proposed populations,</w:t>
      </w:r>
      <w:r w:rsidRPr="009C4F05">
        <w:t xml:space="preserve"> </w:t>
      </w:r>
      <w:r>
        <w:t>i</w:t>
      </w:r>
      <w:r w:rsidRPr="009C4F05">
        <w:t xml:space="preserve">t is agreed that a small cohort </w:t>
      </w:r>
      <w:r>
        <w:t xml:space="preserve">of </w:t>
      </w:r>
      <w:r w:rsidRPr="009C4F05">
        <w:t xml:space="preserve">men with treatment failure (after radiation or surgery) may need </w:t>
      </w:r>
      <w:proofErr w:type="spellStart"/>
      <w:r w:rsidRPr="009C4F05">
        <w:t>mpMRI</w:t>
      </w:r>
      <w:proofErr w:type="spellEnd"/>
      <w:r w:rsidRPr="009C4F05">
        <w:t xml:space="preserve"> to assess the presence or absence of local recurrence.   Currently, PSMAGa68 Nuclear Scanning is </w:t>
      </w:r>
      <w:r>
        <w:t xml:space="preserve">evolving as </w:t>
      </w:r>
      <w:r w:rsidRPr="009C4F05">
        <w:t>the first line</w:t>
      </w:r>
      <w:r>
        <w:t xml:space="preserve"> imaging</w:t>
      </w:r>
      <w:r w:rsidRPr="009C4F05">
        <w:t xml:space="preserve"> investigation of recurrence.</w:t>
      </w:r>
      <w:r>
        <w:t xml:space="preserve">  </w:t>
      </w:r>
      <w:r w:rsidRPr="009C4F05">
        <w:t>These numbers would be predicted to be very small compared</w:t>
      </w:r>
      <w:r>
        <w:t xml:space="preserve"> to the two defined populations. In relation to MSAC’s concern that the proposed fee of $600 is too high and should be reduced to $400, we consider that $600 is an appropriate fee for this service. We consider the comparison to rectal MRI is questionable as the sequences for </w:t>
      </w:r>
      <w:proofErr w:type="spellStart"/>
      <w:r>
        <w:t>mpMRI</w:t>
      </w:r>
      <w:proofErr w:type="spellEnd"/>
      <w:r>
        <w:t xml:space="preserve"> prostate are more time consuming to perform and to read. The applicants also respectfully question the methodology on the cost evaluation. It appears that an assumption made in assessing the comparator (TRUSGB) was that the number of biopsies equated to the number of </w:t>
      </w:r>
      <w:r w:rsidRPr="00481442">
        <w:t xml:space="preserve">new diagnoses per year. In this historical comparison, </w:t>
      </w:r>
      <w:r>
        <w:t xml:space="preserve">the </w:t>
      </w:r>
      <w:r w:rsidRPr="00481442">
        <w:t>positive diagnosis rate or “hit rate” is not 100%.If only TRUS were being done, the estimate for the number of biopsies needed to diagnose 20,000 cases would be about 50,000 biopsies, based on detection rates (39-42%) reported in a systematic review of 11 997 participants</w:t>
      </w:r>
      <w:r>
        <w:t xml:space="preserve">. </w:t>
      </w:r>
      <w:r w:rsidRPr="00481442">
        <w:t>Thus, at the cost of $600/</w:t>
      </w:r>
      <w:proofErr w:type="spellStart"/>
      <w:r w:rsidRPr="00481442">
        <w:t>mpMRI</w:t>
      </w:r>
      <w:proofErr w:type="spellEnd"/>
      <w:r w:rsidRPr="00481442">
        <w:t xml:space="preserve"> and $2,400 per TRUGB, the </w:t>
      </w:r>
      <w:r>
        <w:t xml:space="preserve">overall </w:t>
      </w:r>
      <w:r w:rsidRPr="00481442">
        <w:t xml:space="preserve">savings in health costs would be projected to be </w:t>
      </w:r>
      <w:r>
        <w:t>around</w:t>
      </w:r>
      <w:r w:rsidRPr="00481442">
        <w:t xml:space="preserve"> $80million over 5 years instead of the calculated </w:t>
      </w:r>
      <w:r>
        <w:t xml:space="preserve">saving of </w:t>
      </w:r>
      <w:r w:rsidRPr="00481442">
        <w:t>$40million</w:t>
      </w:r>
      <w:r>
        <w:t xml:space="preserve"> over 5 years.</w:t>
      </w:r>
      <w:r w:rsidRPr="00481442">
        <w:t xml:space="preserve"> </w:t>
      </w:r>
    </w:p>
    <w:p w14:paraId="6644F692" w14:textId="77777777" w:rsidR="00BC1364" w:rsidRPr="00F715D1" w:rsidRDefault="00271F18" w:rsidP="008E4C81">
      <w:pPr>
        <w:pStyle w:val="Heading1"/>
        <w:ind w:hanging="502"/>
      </w:pPr>
      <w:r w:rsidRPr="00F715D1">
        <w:t>Further information on MSAC</w:t>
      </w:r>
    </w:p>
    <w:p w14:paraId="7EB41CD9" w14:textId="3587FC7D"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7"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A458F" w14:textId="77777777" w:rsidR="0096739F" w:rsidRDefault="0096739F" w:rsidP="00065623">
      <w:r>
        <w:separator/>
      </w:r>
    </w:p>
  </w:endnote>
  <w:endnote w:type="continuationSeparator" w:id="0">
    <w:p w14:paraId="3077D4E8" w14:textId="77777777" w:rsidR="0096739F" w:rsidRDefault="0096739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umanist521BT-Roman">
    <w:panose1 w:val="00000000000000000000"/>
    <w:charset w:val="4D"/>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2D5EC10B" w14:textId="454E2B05" w:rsidR="0096739F" w:rsidRDefault="0096739F">
        <w:pPr>
          <w:pStyle w:val="Footer"/>
          <w:jc w:val="right"/>
        </w:pPr>
        <w:r>
          <w:fldChar w:fldCharType="begin"/>
        </w:r>
        <w:r>
          <w:instrText xml:space="preserve"> PAGE   \* MERGEFORMAT </w:instrText>
        </w:r>
        <w:r>
          <w:fldChar w:fldCharType="separate"/>
        </w:r>
        <w:r w:rsidR="00EB387C">
          <w:rPr>
            <w:noProof/>
          </w:rPr>
          <w:t>1</w:t>
        </w:r>
        <w:r>
          <w:rPr>
            <w:noProof/>
          </w:rPr>
          <w:fldChar w:fldCharType="end"/>
        </w:r>
      </w:p>
    </w:sdtContent>
  </w:sdt>
  <w:p w14:paraId="272096C5" w14:textId="77777777" w:rsidR="0096739F" w:rsidRDefault="00967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BE17D" w14:textId="77777777" w:rsidR="0096739F" w:rsidRDefault="0096739F" w:rsidP="00065623">
      <w:r>
        <w:separator/>
      </w:r>
    </w:p>
  </w:footnote>
  <w:footnote w:type="continuationSeparator" w:id="0">
    <w:p w14:paraId="67ECBDC8" w14:textId="77777777" w:rsidR="0096739F" w:rsidRDefault="0096739F"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7430932"/>
    <w:multiLevelType w:val="hybridMultilevel"/>
    <w:tmpl w:val="24D66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41172B"/>
    <w:multiLevelType w:val="hybridMultilevel"/>
    <w:tmpl w:val="3404D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420EFC"/>
    <w:multiLevelType w:val="hybridMultilevel"/>
    <w:tmpl w:val="130E83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277B17"/>
    <w:multiLevelType w:val="hybridMultilevel"/>
    <w:tmpl w:val="DA3E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D5212"/>
    <w:multiLevelType w:val="hybridMultilevel"/>
    <w:tmpl w:val="D0D4D7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987B36"/>
    <w:multiLevelType w:val="hybridMultilevel"/>
    <w:tmpl w:val="0EBE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9A6377"/>
    <w:multiLevelType w:val="hybridMultilevel"/>
    <w:tmpl w:val="9D487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5565CE4"/>
    <w:multiLevelType w:val="hybridMultilevel"/>
    <w:tmpl w:val="76A07508"/>
    <w:lvl w:ilvl="0" w:tplc="2F961DC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EA3061"/>
    <w:multiLevelType w:val="hybridMultilevel"/>
    <w:tmpl w:val="45E6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3A76CB"/>
    <w:multiLevelType w:val="hybridMultilevel"/>
    <w:tmpl w:val="41723F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3D0531"/>
    <w:multiLevelType w:val="hybridMultilevel"/>
    <w:tmpl w:val="A6D6ED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C66486"/>
    <w:multiLevelType w:val="hybridMultilevel"/>
    <w:tmpl w:val="48A6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F7E0C94"/>
    <w:multiLevelType w:val="hybridMultilevel"/>
    <w:tmpl w:val="7E36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210722"/>
    <w:multiLevelType w:val="hybridMultilevel"/>
    <w:tmpl w:val="CA0CD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E13A15"/>
    <w:multiLevelType w:val="hybridMultilevel"/>
    <w:tmpl w:val="C8480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1"/>
  </w:num>
  <w:num w:numId="4">
    <w:abstractNumId w:val="27"/>
  </w:num>
  <w:num w:numId="5">
    <w:abstractNumId w:val="17"/>
  </w:num>
  <w:num w:numId="6">
    <w:abstractNumId w:val="26"/>
  </w:num>
  <w:num w:numId="7">
    <w:abstractNumId w:val="30"/>
  </w:num>
  <w:num w:numId="8">
    <w:abstractNumId w:val="20"/>
  </w:num>
  <w:num w:numId="9">
    <w:abstractNumId w:val="39"/>
  </w:num>
  <w:num w:numId="10">
    <w:abstractNumId w:val="0"/>
  </w:num>
  <w:num w:numId="11">
    <w:abstractNumId w:val="29"/>
  </w:num>
  <w:num w:numId="12">
    <w:abstractNumId w:val="31"/>
  </w:num>
  <w:num w:numId="13">
    <w:abstractNumId w:val="6"/>
  </w:num>
  <w:num w:numId="14">
    <w:abstractNumId w:val="35"/>
  </w:num>
  <w:num w:numId="15">
    <w:abstractNumId w:val="28"/>
  </w:num>
  <w:num w:numId="16">
    <w:abstractNumId w:val="32"/>
  </w:num>
  <w:num w:numId="17">
    <w:abstractNumId w:val="21"/>
  </w:num>
  <w:num w:numId="18">
    <w:abstractNumId w:val="23"/>
  </w:num>
  <w:num w:numId="19">
    <w:abstractNumId w:val="34"/>
  </w:num>
  <w:num w:numId="20">
    <w:abstractNumId w:val="33"/>
  </w:num>
  <w:num w:numId="21">
    <w:abstractNumId w:val="3"/>
  </w:num>
  <w:num w:numId="22">
    <w:abstractNumId w:val="16"/>
  </w:num>
  <w:num w:numId="23">
    <w:abstractNumId w:val="2"/>
  </w:num>
  <w:num w:numId="24">
    <w:abstractNumId w:val="14"/>
  </w:num>
  <w:num w:numId="25">
    <w:abstractNumId w:val="8"/>
  </w:num>
  <w:num w:numId="26">
    <w:abstractNumId w:val="18"/>
  </w:num>
  <w:num w:numId="27">
    <w:abstractNumId w:val="15"/>
  </w:num>
  <w:num w:numId="28">
    <w:abstractNumId w:val="15"/>
    <w:lvlOverride w:ilvl="0">
      <w:startOverride w:val="1"/>
    </w:lvlOverride>
  </w:num>
  <w:num w:numId="29">
    <w:abstractNumId w:val="5"/>
  </w:num>
  <w:num w:numId="30">
    <w:abstractNumId w:val="12"/>
  </w:num>
  <w:num w:numId="31">
    <w:abstractNumId w:val="4"/>
  </w:num>
  <w:num w:numId="32">
    <w:abstractNumId w:val="9"/>
  </w:num>
  <w:num w:numId="33">
    <w:abstractNumId w:val="24"/>
  </w:num>
  <w:num w:numId="34">
    <w:abstractNumId w:val="38"/>
  </w:num>
  <w:num w:numId="35">
    <w:abstractNumId w:val="37"/>
  </w:num>
  <w:num w:numId="36">
    <w:abstractNumId w:val="19"/>
  </w:num>
  <w:num w:numId="37">
    <w:abstractNumId w:val="11"/>
  </w:num>
  <w:num w:numId="38">
    <w:abstractNumId w:val="7"/>
  </w:num>
  <w:num w:numId="39">
    <w:abstractNumId w:val="36"/>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7606"/>
    <w:rsid w:val="00053A66"/>
    <w:rsid w:val="000557D4"/>
    <w:rsid w:val="0005797A"/>
    <w:rsid w:val="00065623"/>
    <w:rsid w:val="00075228"/>
    <w:rsid w:val="000756B9"/>
    <w:rsid w:val="00083478"/>
    <w:rsid w:val="00096B67"/>
    <w:rsid w:val="00096DAF"/>
    <w:rsid w:val="000B62D0"/>
    <w:rsid w:val="000C2F47"/>
    <w:rsid w:val="000D6C00"/>
    <w:rsid w:val="000E4E04"/>
    <w:rsid w:val="000F14B4"/>
    <w:rsid w:val="000F75DF"/>
    <w:rsid w:val="001023DC"/>
    <w:rsid w:val="00107E43"/>
    <w:rsid w:val="00111D72"/>
    <w:rsid w:val="00117AC0"/>
    <w:rsid w:val="001237BD"/>
    <w:rsid w:val="001328FA"/>
    <w:rsid w:val="00147AAF"/>
    <w:rsid w:val="001552C0"/>
    <w:rsid w:val="001640B1"/>
    <w:rsid w:val="0018435E"/>
    <w:rsid w:val="00190A28"/>
    <w:rsid w:val="001F23DE"/>
    <w:rsid w:val="002041A1"/>
    <w:rsid w:val="002054F0"/>
    <w:rsid w:val="00230D6B"/>
    <w:rsid w:val="00232068"/>
    <w:rsid w:val="002330F2"/>
    <w:rsid w:val="00243D9E"/>
    <w:rsid w:val="00253B66"/>
    <w:rsid w:val="00261DF1"/>
    <w:rsid w:val="00265BC9"/>
    <w:rsid w:val="00271F18"/>
    <w:rsid w:val="00282779"/>
    <w:rsid w:val="0028334D"/>
    <w:rsid w:val="002A6B9C"/>
    <w:rsid w:val="002B7FFA"/>
    <w:rsid w:val="002C2BCF"/>
    <w:rsid w:val="002E3019"/>
    <w:rsid w:val="002F279D"/>
    <w:rsid w:val="002F3FCD"/>
    <w:rsid w:val="002F43B8"/>
    <w:rsid w:val="003011B1"/>
    <w:rsid w:val="00312683"/>
    <w:rsid w:val="0031528B"/>
    <w:rsid w:val="00336856"/>
    <w:rsid w:val="003440CE"/>
    <w:rsid w:val="0034554D"/>
    <w:rsid w:val="00352224"/>
    <w:rsid w:val="00353DB0"/>
    <w:rsid w:val="003671E6"/>
    <w:rsid w:val="00367765"/>
    <w:rsid w:val="0037377A"/>
    <w:rsid w:val="00376F27"/>
    <w:rsid w:val="00384272"/>
    <w:rsid w:val="00386D67"/>
    <w:rsid w:val="003927DE"/>
    <w:rsid w:val="00392E55"/>
    <w:rsid w:val="003945B8"/>
    <w:rsid w:val="003D2CBB"/>
    <w:rsid w:val="003D7F29"/>
    <w:rsid w:val="00405A6B"/>
    <w:rsid w:val="00407B1F"/>
    <w:rsid w:val="0041184F"/>
    <w:rsid w:val="00414C57"/>
    <w:rsid w:val="0041758C"/>
    <w:rsid w:val="004539DE"/>
    <w:rsid w:val="00460D31"/>
    <w:rsid w:val="004A2CF1"/>
    <w:rsid w:val="004C3035"/>
    <w:rsid w:val="004C307F"/>
    <w:rsid w:val="004C4085"/>
    <w:rsid w:val="004E4BA8"/>
    <w:rsid w:val="004E5F21"/>
    <w:rsid w:val="004F340F"/>
    <w:rsid w:val="004F55CE"/>
    <w:rsid w:val="004F7B7C"/>
    <w:rsid w:val="0050052C"/>
    <w:rsid w:val="00502B6F"/>
    <w:rsid w:val="00521610"/>
    <w:rsid w:val="0052243D"/>
    <w:rsid w:val="00532435"/>
    <w:rsid w:val="00550354"/>
    <w:rsid w:val="00551DBA"/>
    <w:rsid w:val="00552150"/>
    <w:rsid w:val="00571236"/>
    <w:rsid w:val="0057678B"/>
    <w:rsid w:val="005953A1"/>
    <w:rsid w:val="005A4362"/>
    <w:rsid w:val="005B2AF1"/>
    <w:rsid w:val="005C0CFA"/>
    <w:rsid w:val="005C26F1"/>
    <w:rsid w:val="005D0332"/>
    <w:rsid w:val="005D0D8C"/>
    <w:rsid w:val="005D355A"/>
    <w:rsid w:val="005E1B36"/>
    <w:rsid w:val="0064363C"/>
    <w:rsid w:val="0065346C"/>
    <w:rsid w:val="006578FF"/>
    <w:rsid w:val="006776AE"/>
    <w:rsid w:val="006A0D97"/>
    <w:rsid w:val="006B1F86"/>
    <w:rsid w:val="006C0A91"/>
    <w:rsid w:val="006D0218"/>
    <w:rsid w:val="006D0CA2"/>
    <w:rsid w:val="006F6052"/>
    <w:rsid w:val="007054BB"/>
    <w:rsid w:val="00705867"/>
    <w:rsid w:val="00707064"/>
    <w:rsid w:val="00716D3B"/>
    <w:rsid w:val="00730683"/>
    <w:rsid w:val="0075261F"/>
    <w:rsid w:val="0075468E"/>
    <w:rsid w:val="007665D8"/>
    <w:rsid w:val="00766E36"/>
    <w:rsid w:val="007765F4"/>
    <w:rsid w:val="00776633"/>
    <w:rsid w:val="00784D53"/>
    <w:rsid w:val="00797797"/>
    <w:rsid w:val="007A63C9"/>
    <w:rsid w:val="007B32D1"/>
    <w:rsid w:val="007B7095"/>
    <w:rsid w:val="007C2061"/>
    <w:rsid w:val="007D24E1"/>
    <w:rsid w:val="007D6288"/>
    <w:rsid w:val="007E46A9"/>
    <w:rsid w:val="007F1DA3"/>
    <w:rsid w:val="007F4CE9"/>
    <w:rsid w:val="007F4E20"/>
    <w:rsid w:val="00822C7E"/>
    <w:rsid w:val="00835CD6"/>
    <w:rsid w:val="00847060"/>
    <w:rsid w:val="00847A36"/>
    <w:rsid w:val="00856A33"/>
    <w:rsid w:val="00892620"/>
    <w:rsid w:val="00892FC3"/>
    <w:rsid w:val="008C7D37"/>
    <w:rsid w:val="008D179C"/>
    <w:rsid w:val="008D5885"/>
    <w:rsid w:val="008E4C81"/>
    <w:rsid w:val="009067FB"/>
    <w:rsid w:val="00923FA2"/>
    <w:rsid w:val="00934907"/>
    <w:rsid w:val="0096060D"/>
    <w:rsid w:val="0096739F"/>
    <w:rsid w:val="00974A50"/>
    <w:rsid w:val="0097585A"/>
    <w:rsid w:val="00980342"/>
    <w:rsid w:val="009924B0"/>
    <w:rsid w:val="009942C9"/>
    <w:rsid w:val="009B35C4"/>
    <w:rsid w:val="009C630A"/>
    <w:rsid w:val="009E0D98"/>
    <w:rsid w:val="009F154B"/>
    <w:rsid w:val="009F3DCD"/>
    <w:rsid w:val="00A068A1"/>
    <w:rsid w:val="00A11A2F"/>
    <w:rsid w:val="00A1207D"/>
    <w:rsid w:val="00A12FD8"/>
    <w:rsid w:val="00A3442D"/>
    <w:rsid w:val="00A346FC"/>
    <w:rsid w:val="00A80509"/>
    <w:rsid w:val="00A846F2"/>
    <w:rsid w:val="00A84F93"/>
    <w:rsid w:val="00AB1AC5"/>
    <w:rsid w:val="00AB3BFC"/>
    <w:rsid w:val="00AC4F2E"/>
    <w:rsid w:val="00AD0C37"/>
    <w:rsid w:val="00AD1228"/>
    <w:rsid w:val="00AD385F"/>
    <w:rsid w:val="00AD6006"/>
    <w:rsid w:val="00AE6E2A"/>
    <w:rsid w:val="00AE7016"/>
    <w:rsid w:val="00AF7A19"/>
    <w:rsid w:val="00B31E9C"/>
    <w:rsid w:val="00B35595"/>
    <w:rsid w:val="00B51C6D"/>
    <w:rsid w:val="00B630A6"/>
    <w:rsid w:val="00B83DD2"/>
    <w:rsid w:val="00B86D64"/>
    <w:rsid w:val="00B92992"/>
    <w:rsid w:val="00BA4AC5"/>
    <w:rsid w:val="00BA67A5"/>
    <w:rsid w:val="00BC1364"/>
    <w:rsid w:val="00BC2667"/>
    <w:rsid w:val="00BC7DE9"/>
    <w:rsid w:val="00BF479B"/>
    <w:rsid w:val="00BF5478"/>
    <w:rsid w:val="00BF5936"/>
    <w:rsid w:val="00C02577"/>
    <w:rsid w:val="00C204FB"/>
    <w:rsid w:val="00C20BEE"/>
    <w:rsid w:val="00C2158D"/>
    <w:rsid w:val="00C27211"/>
    <w:rsid w:val="00C607B4"/>
    <w:rsid w:val="00C67DD2"/>
    <w:rsid w:val="00C725CB"/>
    <w:rsid w:val="00C76F5C"/>
    <w:rsid w:val="00C96BAD"/>
    <w:rsid w:val="00CA6944"/>
    <w:rsid w:val="00CB0F8E"/>
    <w:rsid w:val="00CB303A"/>
    <w:rsid w:val="00CB5A5A"/>
    <w:rsid w:val="00CB7E7D"/>
    <w:rsid w:val="00CC2911"/>
    <w:rsid w:val="00CF0C6D"/>
    <w:rsid w:val="00CF7307"/>
    <w:rsid w:val="00CF7C68"/>
    <w:rsid w:val="00D076CD"/>
    <w:rsid w:val="00D124FA"/>
    <w:rsid w:val="00D336A4"/>
    <w:rsid w:val="00D340DE"/>
    <w:rsid w:val="00D55723"/>
    <w:rsid w:val="00D62FAD"/>
    <w:rsid w:val="00D64355"/>
    <w:rsid w:val="00D67204"/>
    <w:rsid w:val="00D70450"/>
    <w:rsid w:val="00D83BFD"/>
    <w:rsid w:val="00D90A38"/>
    <w:rsid w:val="00D969BA"/>
    <w:rsid w:val="00DA0515"/>
    <w:rsid w:val="00DA171E"/>
    <w:rsid w:val="00DA56AA"/>
    <w:rsid w:val="00DB5833"/>
    <w:rsid w:val="00DD2858"/>
    <w:rsid w:val="00DD62C0"/>
    <w:rsid w:val="00E02E68"/>
    <w:rsid w:val="00E03E33"/>
    <w:rsid w:val="00E059E0"/>
    <w:rsid w:val="00E3642A"/>
    <w:rsid w:val="00E415C4"/>
    <w:rsid w:val="00E50016"/>
    <w:rsid w:val="00E50EAA"/>
    <w:rsid w:val="00E656D6"/>
    <w:rsid w:val="00E977EE"/>
    <w:rsid w:val="00EA2F24"/>
    <w:rsid w:val="00EA67A2"/>
    <w:rsid w:val="00EB387C"/>
    <w:rsid w:val="00EB3C8F"/>
    <w:rsid w:val="00EB630F"/>
    <w:rsid w:val="00EB6B6F"/>
    <w:rsid w:val="00EC4F98"/>
    <w:rsid w:val="00ED6764"/>
    <w:rsid w:val="00ED7587"/>
    <w:rsid w:val="00ED75E0"/>
    <w:rsid w:val="00F01167"/>
    <w:rsid w:val="00F0365B"/>
    <w:rsid w:val="00F12F02"/>
    <w:rsid w:val="00F156F4"/>
    <w:rsid w:val="00F22152"/>
    <w:rsid w:val="00F32E0D"/>
    <w:rsid w:val="00F35134"/>
    <w:rsid w:val="00F37B9C"/>
    <w:rsid w:val="00F41812"/>
    <w:rsid w:val="00F4524A"/>
    <w:rsid w:val="00F548BE"/>
    <w:rsid w:val="00F55111"/>
    <w:rsid w:val="00F576DA"/>
    <w:rsid w:val="00F608B5"/>
    <w:rsid w:val="00F704A0"/>
    <w:rsid w:val="00F715D1"/>
    <w:rsid w:val="00F72715"/>
    <w:rsid w:val="00F73333"/>
    <w:rsid w:val="00F77297"/>
    <w:rsid w:val="00F80F5E"/>
    <w:rsid w:val="00F84800"/>
    <w:rsid w:val="00F95D8F"/>
    <w:rsid w:val="00FA160B"/>
    <w:rsid w:val="00FB0296"/>
    <w:rsid w:val="00FB350A"/>
    <w:rsid w:val="00FB4C5D"/>
    <w:rsid w:val="00FD0DA1"/>
    <w:rsid w:val="00FD7B90"/>
    <w:rsid w:val="00FE1C3F"/>
    <w:rsid w:val="00FE4623"/>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744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D076C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semiHidden/>
    <w:unhideWhenUsed/>
    <w:qFormat/>
    <w:locked/>
    <w:rsid w:val="00FD7B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F3D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9F3D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ED75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D076CD"/>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qFormat/>
    <w:locked/>
    <w:rsid w:val="001237BD"/>
    <w:pPr>
      <w:keepNext/>
      <w:spacing w:after="240" w:line="312" w:lineRule="auto"/>
      <w:jc w:val="both"/>
    </w:pPr>
    <w:rPr>
      <w:rFonts w:ascii="Arial Narrow" w:hAnsi="Arial Narrow" w:cs="Tahoma"/>
      <w:b/>
      <w:bCs/>
      <w:sz w:val="20"/>
      <w:szCs w:val="22"/>
    </w:rPr>
  </w:style>
  <w:style w:type="paragraph" w:customStyle="1" w:styleId="Tabletext">
    <w:name w:val="Table text"/>
    <w:basedOn w:val="Normal"/>
    <w:link w:val="TabletextChar"/>
    <w:qFormat/>
    <w:rsid w:val="001237BD"/>
    <w:pPr>
      <w:spacing w:before="40" w:after="40"/>
      <w:ind w:left="57" w:right="57"/>
    </w:pPr>
    <w:rPr>
      <w:rFonts w:ascii="Arial Narrow" w:hAnsi="Arial Narrow" w:cs="Tahoma"/>
      <w:sz w:val="20"/>
    </w:rPr>
  </w:style>
  <w:style w:type="character" w:customStyle="1" w:styleId="TabletextChar">
    <w:name w:val="Table text Char"/>
    <w:link w:val="Tabletext"/>
    <w:rsid w:val="001237BD"/>
    <w:rPr>
      <w:rFonts w:ascii="Arial Narrow" w:eastAsia="Times New Roman" w:hAnsi="Arial Narrow" w:cs="Tahoma"/>
      <w:sz w:val="20"/>
      <w:szCs w:val="20"/>
    </w:rPr>
  </w:style>
  <w:style w:type="paragraph" w:customStyle="1" w:styleId="Tableheading">
    <w:name w:val="Table heading"/>
    <w:basedOn w:val="Normal"/>
    <w:link w:val="TableheadingChar"/>
    <w:qFormat/>
    <w:rsid w:val="001237BD"/>
    <w:pPr>
      <w:tabs>
        <w:tab w:val="left" w:pos="2835"/>
      </w:tabs>
      <w:spacing w:before="40" w:line="276" w:lineRule="auto"/>
      <w:ind w:left="6"/>
    </w:pPr>
    <w:rPr>
      <w:rFonts w:ascii="Arial Narrow" w:eastAsia="SimSun" w:hAnsi="Arial Narrow" w:cs="Tahoma"/>
      <w:b/>
      <w:sz w:val="20"/>
      <w:szCs w:val="18"/>
      <w:lang w:val="en-US" w:eastAsia="zh-CN"/>
    </w:rPr>
  </w:style>
  <w:style w:type="character" w:customStyle="1" w:styleId="TableheadingChar">
    <w:name w:val="Table heading Char"/>
    <w:basedOn w:val="DefaultParagraphFont"/>
    <w:link w:val="Tableheading"/>
    <w:rsid w:val="001237BD"/>
    <w:rPr>
      <w:rFonts w:ascii="Arial Narrow" w:eastAsia="SimSun" w:hAnsi="Arial Narrow" w:cs="Tahoma"/>
      <w:b/>
      <w:sz w:val="20"/>
      <w:szCs w:val="18"/>
      <w:lang w:val="en-US" w:eastAsia="zh-CN"/>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uiPriority w:val="35"/>
    <w:rsid w:val="001237BD"/>
    <w:rPr>
      <w:rFonts w:ascii="Arial Narrow" w:eastAsia="Times New Roman" w:hAnsi="Arial Narrow" w:cs="Tahoma"/>
      <w:b/>
      <w:bCs/>
      <w:sz w:val="20"/>
    </w:rPr>
  </w:style>
  <w:style w:type="paragraph" w:customStyle="1" w:styleId="TableNotes">
    <w:name w:val="TableNotes"/>
    <w:basedOn w:val="Normal"/>
    <w:link w:val="TableNotesChar"/>
    <w:qFormat/>
    <w:rsid w:val="00265BC9"/>
    <w:pPr>
      <w:keepLines/>
      <w:spacing w:after="360" w:line="312" w:lineRule="auto"/>
      <w:contextualSpacing/>
    </w:pPr>
    <w:rPr>
      <w:rFonts w:ascii="Arial Narrow" w:hAnsi="Arial Narrow" w:cs="Tahoma"/>
      <w:sz w:val="18"/>
      <w:szCs w:val="22"/>
    </w:rPr>
  </w:style>
  <w:style w:type="character" w:customStyle="1" w:styleId="TableNotesChar">
    <w:name w:val="TableNotes Char"/>
    <w:link w:val="TableNotes"/>
    <w:rsid w:val="00265BC9"/>
    <w:rPr>
      <w:rFonts w:ascii="Arial Narrow" w:eastAsia="Times New Roman" w:hAnsi="Arial Narrow" w:cs="Tahoma"/>
      <w:sz w:val="18"/>
    </w:rPr>
  </w:style>
  <w:style w:type="table" w:customStyle="1" w:styleId="TableGrid2">
    <w:name w:val="Table Grid2"/>
    <w:basedOn w:val="TableNormal"/>
    <w:next w:val="TableGrid"/>
    <w:rsid w:val="006D021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table" w:styleId="TableGrid">
    <w:name w:val="Table Grid"/>
    <w:aliases w:val="Table Gridbeth"/>
    <w:basedOn w:val="TableNormal"/>
    <w:uiPriority w:val="59"/>
    <w:locked/>
    <w:rsid w:val="006D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D7B90"/>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uiPriority w:val="1"/>
    <w:qFormat/>
    <w:rsid w:val="00FD7B90"/>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FD7B90"/>
    <w:rPr>
      <w:rFonts w:asciiTheme="minorHAnsi" w:eastAsia="Times New Roman" w:hAnsiTheme="minorHAnsi"/>
      <w:sz w:val="20"/>
      <w:szCs w:val="24"/>
    </w:rPr>
  </w:style>
  <w:style w:type="paragraph" w:customStyle="1" w:styleId="TableText0">
    <w:name w:val="Table Text"/>
    <w:basedOn w:val="Normal"/>
    <w:link w:val="TableTextChar0"/>
    <w:qFormat/>
    <w:rsid w:val="00FD7B90"/>
    <w:pPr>
      <w:keepNext/>
      <w:spacing w:before="40" w:after="40"/>
      <w:ind w:left="57"/>
      <w:jc w:val="both"/>
    </w:pPr>
    <w:rPr>
      <w:rFonts w:ascii="Arial Narrow" w:hAnsi="Arial Narrow" w:cs="Tahoma"/>
      <w:sz w:val="20"/>
      <w:szCs w:val="22"/>
      <w:lang w:eastAsia="en-US"/>
    </w:rPr>
  </w:style>
  <w:style w:type="character" w:customStyle="1" w:styleId="TableTextChar0">
    <w:name w:val="Table Text Char"/>
    <w:link w:val="TableText0"/>
    <w:rsid w:val="00FD7B90"/>
    <w:rPr>
      <w:rFonts w:ascii="Arial Narrow" w:eastAsia="Times New Roman" w:hAnsi="Arial Narrow" w:cs="Tahoma"/>
      <w:sz w:val="20"/>
      <w:lang w:eastAsia="en-US"/>
    </w:rPr>
  </w:style>
  <w:style w:type="character" w:customStyle="1" w:styleId="Heading5Char">
    <w:name w:val="Heading 5 Char"/>
    <w:basedOn w:val="DefaultParagraphFont"/>
    <w:link w:val="Heading5"/>
    <w:semiHidden/>
    <w:rsid w:val="009F3DCD"/>
    <w:rPr>
      <w:rFonts w:asciiTheme="majorHAnsi" w:eastAsiaTheme="majorEastAsia" w:hAnsiTheme="majorHAnsi" w:cstheme="majorBidi"/>
      <w:color w:val="243F60" w:themeColor="accent1" w:themeShade="7F"/>
      <w:sz w:val="24"/>
      <w:szCs w:val="20"/>
    </w:rPr>
  </w:style>
  <w:style w:type="character" w:customStyle="1" w:styleId="Heading4Char">
    <w:name w:val="Heading 4 Char"/>
    <w:basedOn w:val="DefaultParagraphFont"/>
    <w:link w:val="Heading4"/>
    <w:rsid w:val="009F3DCD"/>
    <w:rPr>
      <w:rFonts w:asciiTheme="majorHAnsi" w:eastAsiaTheme="majorEastAsia" w:hAnsiTheme="majorHAnsi" w:cstheme="majorBidi"/>
      <w:b/>
      <w:bCs/>
      <w:i/>
      <w:iCs/>
      <w:color w:val="4F81BD" w:themeColor="accent1"/>
      <w:sz w:val="24"/>
      <w:szCs w:val="20"/>
    </w:rPr>
  </w:style>
  <w:style w:type="character" w:customStyle="1" w:styleId="Heading6Char">
    <w:name w:val="Heading 6 Char"/>
    <w:basedOn w:val="DefaultParagraphFont"/>
    <w:link w:val="Heading6"/>
    <w:rsid w:val="00ED75E0"/>
    <w:rPr>
      <w:rFonts w:asciiTheme="majorHAnsi" w:eastAsiaTheme="majorEastAsia" w:hAnsiTheme="majorHAnsi" w:cstheme="majorBidi"/>
      <w:i/>
      <w:iCs/>
      <w:color w:val="243F60" w:themeColor="accent1" w:themeShade="7F"/>
      <w:sz w:val="24"/>
      <w:szCs w:val="20"/>
    </w:rPr>
  </w:style>
  <w:style w:type="character" w:customStyle="1" w:styleId="label">
    <w:name w:val="label"/>
    <w:basedOn w:val="DefaultParagraphFont"/>
    <w:rsid w:val="00ED75E0"/>
  </w:style>
  <w:style w:type="character" w:customStyle="1" w:styleId="HighlightGreen">
    <w:name w:val="Highlight Green"/>
    <w:basedOn w:val="DefaultParagraphFont"/>
    <w:uiPriority w:val="75"/>
    <w:qFormat/>
    <w:rsid w:val="00D67204"/>
    <w:rPr>
      <w:color w:val="81BD41"/>
    </w:rPr>
  </w:style>
  <w:style w:type="character" w:customStyle="1" w:styleId="ListParagraphChar">
    <w:name w:val="List Paragraph Char"/>
    <w:basedOn w:val="DefaultParagraphFont"/>
    <w:link w:val="ListParagraph"/>
    <w:uiPriority w:val="34"/>
    <w:locked/>
    <w:rsid w:val="008E4C81"/>
    <w:rPr>
      <w:rFonts w:eastAsia="Times New Roman"/>
      <w:sz w:val="24"/>
      <w:szCs w:val="20"/>
    </w:rPr>
  </w:style>
  <w:style w:type="paragraph" w:customStyle="1" w:styleId="TableCentre">
    <w:name w:val="Table Centre"/>
    <w:basedOn w:val="Normal"/>
    <w:uiPriority w:val="99"/>
    <w:qFormat/>
    <w:rsid w:val="001F23DE"/>
    <w:pPr>
      <w:jc w:val="center"/>
    </w:pPr>
    <w:rPr>
      <w:rFonts w:ascii="Candara" w:eastAsiaTheme="majorEastAsia" w:hAnsi="Candara" w:cstheme="majorBidi"/>
      <w:sz w:val="20"/>
      <w:szCs w:val="22"/>
      <w:lang w:eastAsia="en-US" w:bidi="en-US"/>
    </w:rPr>
  </w:style>
  <w:style w:type="paragraph" w:styleId="NoSpacing">
    <w:name w:val="No Spacing"/>
    <w:uiPriority w:val="1"/>
    <w:qFormat/>
    <w:rsid w:val="006F6052"/>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D076C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semiHidden/>
    <w:unhideWhenUsed/>
    <w:qFormat/>
    <w:locked/>
    <w:rsid w:val="00FD7B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F3D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9F3D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ED75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D076CD"/>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qFormat/>
    <w:locked/>
    <w:rsid w:val="001237BD"/>
    <w:pPr>
      <w:keepNext/>
      <w:spacing w:after="240" w:line="312" w:lineRule="auto"/>
      <w:jc w:val="both"/>
    </w:pPr>
    <w:rPr>
      <w:rFonts w:ascii="Arial Narrow" w:hAnsi="Arial Narrow" w:cs="Tahoma"/>
      <w:b/>
      <w:bCs/>
      <w:sz w:val="20"/>
      <w:szCs w:val="22"/>
    </w:rPr>
  </w:style>
  <w:style w:type="paragraph" w:customStyle="1" w:styleId="Tabletext">
    <w:name w:val="Table text"/>
    <w:basedOn w:val="Normal"/>
    <w:link w:val="TabletextChar"/>
    <w:qFormat/>
    <w:rsid w:val="001237BD"/>
    <w:pPr>
      <w:spacing w:before="40" w:after="40"/>
      <w:ind w:left="57" w:right="57"/>
    </w:pPr>
    <w:rPr>
      <w:rFonts w:ascii="Arial Narrow" w:hAnsi="Arial Narrow" w:cs="Tahoma"/>
      <w:sz w:val="20"/>
    </w:rPr>
  </w:style>
  <w:style w:type="character" w:customStyle="1" w:styleId="TabletextChar">
    <w:name w:val="Table text Char"/>
    <w:link w:val="Tabletext"/>
    <w:rsid w:val="001237BD"/>
    <w:rPr>
      <w:rFonts w:ascii="Arial Narrow" w:eastAsia="Times New Roman" w:hAnsi="Arial Narrow" w:cs="Tahoma"/>
      <w:sz w:val="20"/>
      <w:szCs w:val="20"/>
    </w:rPr>
  </w:style>
  <w:style w:type="paragraph" w:customStyle="1" w:styleId="Tableheading">
    <w:name w:val="Table heading"/>
    <w:basedOn w:val="Normal"/>
    <w:link w:val="TableheadingChar"/>
    <w:qFormat/>
    <w:rsid w:val="001237BD"/>
    <w:pPr>
      <w:tabs>
        <w:tab w:val="left" w:pos="2835"/>
      </w:tabs>
      <w:spacing w:before="40" w:line="276" w:lineRule="auto"/>
      <w:ind w:left="6"/>
    </w:pPr>
    <w:rPr>
      <w:rFonts w:ascii="Arial Narrow" w:eastAsia="SimSun" w:hAnsi="Arial Narrow" w:cs="Tahoma"/>
      <w:b/>
      <w:sz w:val="20"/>
      <w:szCs w:val="18"/>
      <w:lang w:val="en-US" w:eastAsia="zh-CN"/>
    </w:rPr>
  </w:style>
  <w:style w:type="character" w:customStyle="1" w:styleId="TableheadingChar">
    <w:name w:val="Table heading Char"/>
    <w:basedOn w:val="DefaultParagraphFont"/>
    <w:link w:val="Tableheading"/>
    <w:rsid w:val="001237BD"/>
    <w:rPr>
      <w:rFonts w:ascii="Arial Narrow" w:eastAsia="SimSun" w:hAnsi="Arial Narrow" w:cs="Tahoma"/>
      <w:b/>
      <w:sz w:val="20"/>
      <w:szCs w:val="18"/>
      <w:lang w:val="en-US" w:eastAsia="zh-CN"/>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uiPriority w:val="35"/>
    <w:rsid w:val="001237BD"/>
    <w:rPr>
      <w:rFonts w:ascii="Arial Narrow" w:eastAsia="Times New Roman" w:hAnsi="Arial Narrow" w:cs="Tahoma"/>
      <w:b/>
      <w:bCs/>
      <w:sz w:val="20"/>
    </w:rPr>
  </w:style>
  <w:style w:type="paragraph" w:customStyle="1" w:styleId="TableNotes">
    <w:name w:val="TableNotes"/>
    <w:basedOn w:val="Normal"/>
    <w:link w:val="TableNotesChar"/>
    <w:qFormat/>
    <w:rsid w:val="00265BC9"/>
    <w:pPr>
      <w:keepLines/>
      <w:spacing w:after="360" w:line="312" w:lineRule="auto"/>
      <w:contextualSpacing/>
    </w:pPr>
    <w:rPr>
      <w:rFonts w:ascii="Arial Narrow" w:hAnsi="Arial Narrow" w:cs="Tahoma"/>
      <w:sz w:val="18"/>
      <w:szCs w:val="22"/>
    </w:rPr>
  </w:style>
  <w:style w:type="character" w:customStyle="1" w:styleId="TableNotesChar">
    <w:name w:val="TableNotes Char"/>
    <w:link w:val="TableNotes"/>
    <w:rsid w:val="00265BC9"/>
    <w:rPr>
      <w:rFonts w:ascii="Arial Narrow" w:eastAsia="Times New Roman" w:hAnsi="Arial Narrow" w:cs="Tahoma"/>
      <w:sz w:val="18"/>
    </w:rPr>
  </w:style>
  <w:style w:type="table" w:customStyle="1" w:styleId="TableGrid2">
    <w:name w:val="Table Grid2"/>
    <w:basedOn w:val="TableNormal"/>
    <w:next w:val="TableGrid"/>
    <w:rsid w:val="006D021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table" w:styleId="TableGrid">
    <w:name w:val="Table Grid"/>
    <w:aliases w:val="Table Gridbeth"/>
    <w:basedOn w:val="TableNormal"/>
    <w:uiPriority w:val="59"/>
    <w:locked/>
    <w:rsid w:val="006D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D7B90"/>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uiPriority w:val="1"/>
    <w:qFormat/>
    <w:rsid w:val="00FD7B90"/>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FD7B90"/>
    <w:rPr>
      <w:rFonts w:asciiTheme="minorHAnsi" w:eastAsia="Times New Roman" w:hAnsiTheme="minorHAnsi"/>
      <w:sz w:val="20"/>
      <w:szCs w:val="24"/>
    </w:rPr>
  </w:style>
  <w:style w:type="paragraph" w:customStyle="1" w:styleId="TableText0">
    <w:name w:val="Table Text"/>
    <w:basedOn w:val="Normal"/>
    <w:link w:val="TableTextChar0"/>
    <w:qFormat/>
    <w:rsid w:val="00FD7B90"/>
    <w:pPr>
      <w:keepNext/>
      <w:spacing w:before="40" w:after="40"/>
      <w:ind w:left="57"/>
      <w:jc w:val="both"/>
    </w:pPr>
    <w:rPr>
      <w:rFonts w:ascii="Arial Narrow" w:hAnsi="Arial Narrow" w:cs="Tahoma"/>
      <w:sz w:val="20"/>
      <w:szCs w:val="22"/>
      <w:lang w:eastAsia="en-US"/>
    </w:rPr>
  </w:style>
  <w:style w:type="character" w:customStyle="1" w:styleId="TableTextChar0">
    <w:name w:val="Table Text Char"/>
    <w:link w:val="TableText0"/>
    <w:rsid w:val="00FD7B90"/>
    <w:rPr>
      <w:rFonts w:ascii="Arial Narrow" w:eastAsia="Times New Roman" w:hAnsi="Arial Narrow" w:cs="Tahoma"/>
      <w:sz w:val="20"/>
      <w:lang w:eastAsia="en-US"/>
    </w:rPr>
  </w:style>
  <w:style w:type="character" w:customStyle="1" w:styleId="Heading5Char">
    <w:name w:val="Heading 5 Char"/>
    <w:basedOn w:val="DefaultParagraphFont"/>
    <w:link w:val="Heading5"/>
    <w:semiHidden/>
    <w:rsid w:val="009F3DCD"/>
    <w:rPr>
      <w:rFonts w:asciiTheme="majorHAnsi" w:eastAsiaTheme="majorEastAsia" w:hAnsiTheme="majorHAnsi" w:cstheme="majorBidi"/>
      <w:color w:val="243F60" w:themeColor="accent1" w:themeShade="7F"/>
      <w:sz w:val="24"/>
      <w:szCs w:val="20"/>
    </w:rPr>
  </w:style>
  <w:style w:type="character" w:customStyle="1" w:styleId="Heading4Char">
    <w:name w:val="Heading 4 Char"/>
    <w:basedOn w:val="DefaultParagraphFont"/>
    <w:link w:val="Heading4"/>
    <w:rsid w:val="009F3DCD"/>
    <w:rPr>
      <w:rFonts w:asciiTheme="majorHAnsi" w:eastAsiaTheme="majorEastAsia" w:hAnsiTheme="majorHAnsi" w:cstheme="majorBidi"/>
      <w:b/>
      <w:bCs/>
      <w:i/>
      <w:iCs/>
      <w:color w:val="4F81BD" w:themeColor="accent1"/>
      <w:sz w:val="24"/>
      <w:szCs w:val="20"/>
    </w:rPr>
  </w:style>
  <w:style w:type="character" w:customStyle="1" w:styleId="Heading6Char">
    <w:name w:val="Heading 6 Char"/>
    <w:basedOn w:val="DefaultParagraphFont"/>
    <w:link w:val="Heading6"/>
    <w:rsid w:val="00ED75E0"/>
    <w:rPr>
      <w:rFonts w:asciiTheme="majorHAnsi" w:eastAsiaTheme="majorEastAsia" w:hAnsiTheme="majorHAnsi" w:cstheme="majorBidi"/>
      <w:i/>
      <w:iCs/>
      <w:color w:val="243F60" w:themeColor="accent1" w:themeShade="7F"/>
      <w:sz w:val="24"/>
      <w:szCs w:val="20"/>
    </w:rPr>
  </w:style>
  <w:style w:type="character" w:customStyle="1" w:styleId="label">
    <w:name w:val="label"/>
    <w:basedOn w:val="DefaultParagraphFont"/>
    <w:rsid w:val="00ED75E0"/>
  </w:style>
  <w:style w:type="character" w:customStyle="1" w:styleId="HighlightGreen">
    <w:name w:val="Highlight Green"/>
    <w:basedOn w:val="DefaultParagraphFont"/>
    <w:uiPriority w:val="75"/>
    <w:qFormat/>
    <w:rsid w:val="00D67204"/>
    <w:rPr>
      <w:color w:val="81BD41"/>
    </w:rPr>
  </w:style>
  <w:style w:type="character" w:customStyle="1" w:styleId="ListParagraphChar">
    <w:name w:val="List Paragraph Char"/>
    <w:basedOn w:val="DefaultParagraphFont"/>
    <w:link w:val="ListParagraph"/>
    <w:uiPriority w:val="34"/>
    <w:locked/>
    <w:rsid w:val="008E4C81"/>
    <w:rPr>
      <w:rFonts w:eastAsia="Times New Roman"/>
      <w:sz w:val="24"/>
      <w:szCs w:val="20"/>
    </w:rPr>
  </w:style>
  <w:style w:type="paragraph" w:customStyle="1" w:styleId="TableCentre">
    <w:name w:val="Table Centre"/>
    <w:basedOn w:val="Normal"/>
    <w:uiPriority w:val="99"/>
    <w:qFormat/>
    <w:rsid w:val="001F23DE"/>
    <w:pPr>
      <w:jc w:val="center"/>
    </w:pPr>
    <w:rPr>
      <w:rFonts w:ascii="Candara" w:eastAsiaTheme="majorEastAsia" w:hAnsi="Candara" w:cstheme="majorBidi"/>
      <w:sz w:val="20"/>
      <w:szCs w:val="22"/>
      <w:lang w:eastAsia="en-US" w:bidi="en-US"/>
    </w:rPr>
  </w:style>
  <w:style w:type="paragraph" w:styleId="NoSpacing">
    <w:name w:val="No Spacing"/>
    <w:uiPriority w:val="1"/>
    <w:qFormat/>
    <w:rsid w:val="006F605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hw.gov.au/publication-detail/?id=10737421461" TargetMode="External"/><Relationship Id="rId17"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hyperlink" Target="http://www.auanet.org/guidelines/prostate-mri-and-mri-targeted-biops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F35F9F94C9FD390CCA25801000123C07/$File/1397-FinalPSD-accessible.pdf" TargetMode="External"/><Relationship Id="rId5" Type="http://schemas.openxmlformats.org/officeDocument/2006/relationships/settings" Target="settings.xml"/><Relationship Id="rId15" Type="http://schemas.openxmlformats.org/officeDocument/2006/relationships/hyperlink" Target="http://www.prostate.org.au/media/612113/PSA-Testing-Guidelines.pdf" TargetMode="Externa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ice.org.uk/guidance/CG175/chapter/1-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C37B-6E75-4387-A21D-4B7C3AE7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9149</Words>
  <Characters>52114</Characters>
  <Application>Microsoft Office Word</Application>
  <DocSecurity>0</DocSecurity>
  <Lines>434</Lines>
  <Paragraphs>122</Paragraphs>
  <ScaleCrop>false</ScaleCrop>
  <Company/>
  <LinksUpToDate>false</LinksUpToDate>
  <CharactersWithSpaces>61141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1397-FinalPSD-accessible</dc:title>
  <dc:creator/>
  <cp:lastModifiedBy/>
  <cp:revision>1</cp:revision>
  <dcterms:created xsi:type="dcterms:W3CDTF">2017-09-28T23:02:00Z</dcterms:created>
  <dcterms:modified xsi:type="dcterms:W3CDTF">2017-09-28T23:03:00Z</dcterms:modified>
</cp:coreProperties>
</file>