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40AB"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EC39A8E" wp14:editId="384D1B5D">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A8EA54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7D6787BB" w14:textId="77777777" w:rsidR="00BC1364" w:rsidRPr="00F715D1" w:rsidRDefault="00BC1364" w:rsidP="00F715D1">
      <w:pPr>
        <w:pStyle w:val="Subtitle"/>
      </w:pPr>
      <w:r w:rsidRPr="00F715D1">
        <w:t xml:space="preserve">Application No. </w:t>
      </w:r>
      <w:r w:rsidR="00053A66">
        <w:t>1397</w:t>
      </w:r>
      <w:r w:rsidRPr="00F715D1">
        <w:t xml:space="preserve"> – </w:t>
      </w:r>
      <w:proofErr w:type="spellStart"/>
      <w:r w:rsidR="00F548BE">
        <w:t>mp</w:t>
      </w:r>
      <w:r w:rsidR="00053A66">
        <w:t>MRI</w:t>
      </w:r>
      <w:proofErr w:type="spellEnd"/>
      <w:r w:rsidR="00053A66">
        <w:t xml:space="preserve"> Prostate diagnostic scans</w:t>
      </w:r>
    </w:p>
    <w:p w14:paraId="07CF0334" w14:textId="77777777" w:rsidR="00BC1364" w:rsidRPr="00F715D1" w:rsidRDefault="00B35595" w:rsidP="009067FB">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53A66">
        <w:rPr>
          <w:rFonts w:ascii="Arial" w:hAnsi="Arial" w:cs="Arial"/>
          <w:b/>
          <w:szCs w:val="24"/>
        </w:rPr>
        <w:t>Australian and New Zealand Association o</w:t>
      </w:r>
      <w:r w:rsidR="00D67204">
        <w:rPr>
          <w:rFonts w:ascii="Arial" w:hAnsi="Arial" w:cs="Arial"/>
          <w:b/>
          <w:szCs w:val="24"/>
        </w:rPr>
        <w:t xml:space="preserve">f Urological Surgeons </w:t>
      </w:r>
      <w:r w:rsidR="009067FB">
        <w:rPr>
          <w:rFonts w:ascii="Arial" w:hAnsi="Arial" w:cs="Arial"/>
          <w:b/>
          <w:szCs w:val="24"/>
        </w:rPr>
        <w:t>and Australian Diagnostic Imaging Association</w:t>
      </w:r>
    </w:p>
    <w:p w14:paraId="2BBA9585" w14:textId="77777777" w:rsidR="00BC1364" w:rsidRPr="00F715D1" w:rsidRDefault="00BC1364" w:rsidP="009067FB">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1023DC">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1023DC">
        <w:rPr>
          <w:rFonts w:ascii="Arial" w:hAnsi="Arial" w:cs="Arial"/>
          <w:b/>
          <w:szCs w:val="24"/>
        </w:rPr>
        <w:t>6-7 April 2017</w:t>
      </w:r>
    </w:p>
    <w:p w14:paraId="0F490D77" w14:textId="347F9170" w:rsidR="0041184F" w:rsidRPr="00376F27" w:rsidRDefault="006A0D97" w:rsidP="00376F27">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p>
    <w:p w14:paraId="009636D9" w14:textId="77777777" w:rsidR="003D7F29" w:rsidRPr="00F715D1" w:rsidRDefault="003D7F29" w:rsidP="008E4C81">
      <w:pPr>
        <w:pStyle w:val="Heading1"/>
        <w:ind w:hanging="502"/>
      </w:pPr>
      <w:r w:rsidRPr="00F715D1">
        <w:t>Purpose of application</w:t>
      </w:r>
      <w:r w:rsidR="00822C7E" w:rsidRPr="00F715D1">
        <w:t xml:space="preserve"> </w:t>
      </w:r>
    </w:p>
    <w:p w14:paraId="1DC2C12E" w14:textId="566F5F76" w:rsidR="003D2CBB" w:rsidRDefault="003D2CBB" w:rsidP="003D2CBB">
      <w:pPr>
        <w:tabs>
          <w:tab w:val="left" w:pos="720"/>
          <w:tab w:val="left" w:pos="1140"/>
        </w:tabs>
      </w:pPr>
      <w:r w:rsidRPr="00837DB8">
        <w:rPr>
          <w:szCs w:val="24"/>
        </w:rPr>
        <w:t xml:space="preserve">An application requesting </w:t>
      </w:r>
      <w:r>
        <w:rPr>
          <w:szCs w:val="24"/>
        </w:rPr>
        <w:t xml:space="preserve">two new </w:t>
      </w:r>
      <w:r w:rsidRPr="00837DB8">
        <w:rPr>
          <w:szCs w:val="24"/>
        </w:rPr>
        <w:t>M</w:t>
      </w:r>
      <w:r w:rsidR="00FD0DA1">
        <w:rPr>
          <w:szCs w:val="24"/>
        </w:rPr>
        <w:t xml:space="preserve">edicare </w:t>
      </w:r>
      <w:r w:rsidRPr="00837DB8">
        <w:rPr>
          <w:szCs w:val="24"/>
        </w:rPr>
        <w:t>B</w:t>
      </w:r>
      <w:r w:rsidR="00FD0DA1">
        <w:rPr>
          <w:szCs w:val="24"/>
        </w:rPr>
        <w:t xml:space="preserve">enefit </w:t>
      </w:r>
      <w:r w:rsidRPr="00837DB8">
        <w:rPr>
          <w:szCs w:val="24"/>
        </w:rPr>
        <w:t>S</w:t>
      </w:r>
      <w:r w:rsidR="00FD0DA1">
        <w:rPr>
          <w:szCs w:val="24"/>
        </w:rPr>
        <w:t>chedule (MBS)</w:t>
      </w:r>
      <w:r w:rsidRPr="00837DB8">
        <w:rPr>
          <w:szCs w:val="24"/>
        </w:rPr>
        <w:t xml:space="preserve"> listing</w:t>
      </w:r>
      <w:r>
        <w:rPr>
          <w:szCs w:val="24"/>
        </w:rPr>
        <w:t>s</w:t>
      </w:r>
      <w:r w:rsidRPr="00837DB8">
        <w:rPr>
          <w:szCs w:val="24"/>
        </w:rPr>
        <w:t xml:space="preserve"> </w:t>
      </w:r>
      <w:r w:rsidR="00107E43">
        <w:rPr>
          <w:szCs w:val="24"/>
        </w:rPr>
        <w:t>for</w:t>
      </w:r>
      <w:r w:rsidR="00107E43" w:rsidRPr="00837DB8">
        <w:rPr>
          <w:szCs w:val="24"/>
        </w:rPr>
        <w:t xml:space="preserve"> </w:t>
      </w:r>
      <w:proofErr w:type="spellStart"/>
      <w:r>
        <w:t>multiparametric</w:t>
      </w:r>
      <w:proofErr w:type="spellEnd"/>
      <w:r>
        <w:t xml:space="preserve"> magnetic resonance imaging (</w:t>
      </w:r>
      <w:proofErr w:type="spellStart"/>
      <w:r>
        <w:t>mpMRI</w:t>
      </w:r>
      <w:proofErr w:type="spellEnd"/>
      <w:r>
        <w:t xml:space="preserve">), </w:t>
      </w:r>
      <w:r w:rsidR="00107E43">
        <w:t>to diagnose</w:t>
      </w:r>
      <w:r>
        <w:t xml:space="preserve"> clinically significant cancer </w:t>
      </w:r>
      <w:r w:rsidRPr="001020B7">
        <w:t xml:space="preserve">in patients </w:t>
      </w:r>
      <w:r w:rsidR="00107E43">
        <w:t xml:space="preserve">suspected to have </w:t>
      </w:r>
      <w:r>
        <w:t>prostate cancer</w:t>
      </w:r>
      <w:r w:rsidR="00107E43">
        <w:t>,</w:t>
      </w:r>
      <w:r w:rsidRPr="001020B7">
        <w:t xml:space="preserve"> and </w:t>
      </w:r>
      <w:r w:rsidR="00107E43">
        <w:t xml:space="preserve">for </w:t>
      </w:r>
      <w:r w:rsidRPr="001020B7">
        <w:t xml:space="preserve">disease monitoring in patients with known </w:t>
      </w:r>
      <w:r w:rsidR="00107E43">
        <w:t>prostate cancer</w:t>
      </w:r>
      <w:r w:rsidR="00107E43" w:rsidRPr="001020B7">
        <w:t xml:space="preserve"> </w:t>
      </w:r>
      <w:r w:rsidRPr="001020B7">
        <w:t xml:space="preserve">who </w:t>
      </w:r>
      <w:r w:rsidR="00107E43">
        <w:t xml:space="preserve">have undertaken </w:t>
      </w:r>
      <w:r w:rsidRPr="001020B7">
        <w:t>active surveillance</w:t>
      </w:r>
      <w:r>
        <w:t xml:space="preserve">, </w:t>
      </w:r>
      <w:r w:rsidRPr="00837DB8">
        <w:t xml:space="preserve">was received </w:t>
      </w:r>
      <w:r>
        <w:t>from the Australian and N</w:t>
      </w:r>
      <w:r w:rsidRPr="00533A5A">
        <w:t>ew Zealand Association of Urological Surgeons (ANZAUS)</w:t>
      </w:r>
      <w:r>
        <w:t xml:space="preserve"> </w:t>
      </w:r>
      <w:r w:rsidR="00107E43">
        <w:t xml:space="preserve">and the Australian Diagnostic Imaging Association (ADIA) </w:t>
      </w:r>
      <w:r w:rsidRPr="00837DB8">
        <w:t>by the Depar</w:t>
      </w:r>
      <w:r w:rsidR="00FD0DA1">
        <w:t>tment of Health (the Department).</w:t>
      </w:r>
    </w:p>
    <w:p w14:paraId="5379CAD7" w14:textId="77777777" w:rsidR="00E977EE" w:rsidRPr="00F715D1" w:rsidRDefault="00E977EE" w:rsidP="008E4C81">
      <w:pPr>
        <w:pStyle w:val="Heading1"/>
        <w:ind w:hanging="502"/>
      </w:pPr>
      <w:r w:rsidRPr="00F715D1">
        <w:t>MSAC’s advice to the Minister</w:t>
      </w:r>
    </w:p>
    <w:p w14:paraId="592F0626" w14:textId="7907300D" w:rsidR="00D67204" w:rsidRDefault="00D67204" w:rsidP="00376F27">
      <w:pPr>
        <w:spacing w:after="240"/>
      </w:pPr>
      <w:r>
        <w:t>After considering the available evidence</w:t>
      </w:r>
      <w:r w:rsidRPr="00F601CB">
        <w:t xml:space="preserve"> </w:t>
      </w:r>
      <w:r>
        <w:t xml:space="preserve">regarding comparative safety, clinical effectiveness and cost-effectiveness, MSAC deferred its advice for </w:t>
      </w:r>
      <w:proofErr w:type="spellStart"/>
      <w:r>
        <w:t>mpMRI</w:t>
      </w:r>
      <w:proofErr w:type="spellEnd"/>
      <w:r>
        <w:t xml:space="preserve"> for the diagnosis of prostate cancer (</w:t>
      </w:r>
      <w:proofErr w:type="spellStart"/>
      <w:r>
        <w:t>PCa</w:t>
      </w:r>
      <w:proofErr w:type="spellEnd"/>
      <w:r>
        <w:t xml:space="preserve">). </w:t>
      </w:r>
    </w:p>
    <w:p w14:paraId="69900F99" w14:textId="25733A4A" w:rsidR="00D67204" w:rsidRPr="00376F27" w:rsidRDefault="00D67204" w:rsidP="00376F27">
      <w:pPr>
        <w:spacing w:after="240"/>
        <w:rPr>
          <w:sz w:val="23"/>
          <w:szCs w:val="23"/>
        </w:rPr>
      </w:pPr>
      <w:r>
        <w:t xml:space="preserve">MSAC accepted that </w:t>
      </w:r>
      <w:proofErr w:type="spellStart"/>
      <w:r>
        <w:t>mpMRI</w:t>
      </w:r>
      <w:proofErr w:type="spellEnd"/>
      <w:r>
        <w:t xml:space="preserve"> had superior safety and non-inferior effectiveness if used to diagnose clinically significant disease in men suspected of having </w:t>
      </w:r>
      <w:proofErr w:type="spellStart"/>
      <w:r>
        <w:t>PCa</w:t>
      </w:r>
      <w:proofErr w:type="spellEnd"/>
      <w:r>
        <w:t xml:space="preserve"> (population 1) or </w:t>
      </w:r>
      <w:r w:rsidR="00107E43">
        <w:t xml:space="preserve">for </w:t>
      </w:r>
      <w:r>
        <w:t xml:space="preserve">men </w:t>
      </w:r>
      <w:r w:rsidR="00107E43">
        <w:t xml:space="preserve">diagnosed with low- or intermediate-risk </w:t>
      </w:r>
      <w:proofErr w:type="spellStart"/>
      <w:r w:rsidR="00107E43">
        <w:t>PCa</w:t>
      </w:r>
      <w:proofErr w:type="spellEnd"/>
      <w:r w:rsidR="00107E43">
        <w:t xml:space="preserve"> who have undertaken </w:t>
      </w:r>
      <w:r>
        <w:t xml:space="preserve">active surveillance (population 2). MSAC noted that </w:t>
      </w:r>
      <w:proofErr w:type="spellStart"/>
      <w:r>
        <w:t>mpMRI</w:t>
      </w:r>
      <w:proofErr w:type="spellEnd"/>
      <w:r>
        <w:t xml:space="preserve"> would be cost saving at the expense of a small reduction in quality adjusted life years (QALYs) if used in these populations. However, MSAC remained concerned that the number of </w:t>
      </w:r>
      <w:proofErr w:type="spellStart"/>
      <w:r>
        <w:t>mpMRIs</w:t>
      </w:r>
      <w:proofErr w:type="spellEnd"/>
      <w:r>
        <w:t xml:space="preserve"> was likely to be much higher than estimated in the application due to use outside these populations. MSAC requested further information on the potential cost implications of higher use before finalising its decision. </w:t>
      </w:r>
      <w:r w:rsidRPr="0002586B">
        <w:rPr>
          <w:sz w:val="23"/>
          <w:szCs w:val="23"/>
        </w:rPr>
        <w:t xml:space="preserve">MSAC also considered that the proposed MBS fee was too high and should be reduced to a similar fee </w:t>
      </w:r>
      <w:r>
        <w:rPr>
          <w:sz w:val="23"/>
          <w:szCs w:val="23"/>
        </w:rPr>
        <w:t xml:space="preserve">of </w:t>
      </w:r>
      <w:r w:rsidRPr="0002586B">
        <w:rPr>
          <w:sz w:val="23"/>
          <w:szCs w:val="23"/>
        </w:rPr>
        <w:t>other MBS</w:t>
      </w:r>
      <w:r>
        <w:rPr>
          <w:sz w:val="23"/>
          <w:szCs w:val="23"/>
        </w:rPr>
        <w:t>-</w:t>
      </w:r>
      <w:r w:rsidRPr="0002586B">
        <w:rPr>
          <w:sz w:val="23"/>
          <w:szCs w:val="23"/>
        </w:rPr>
        <w:t>listed MRI items.</w:t>
      </w:r>
    </w:p>
    <w:p w14:paraId="56B33E04" w14:textId="7980983E" w:rsidR="00D67204" w:rsidRDefault="00F80F5E" w:rsidP="00D67204">
      <w:r>
        <w:t>MSAC therefore requested th</w:t>
      </w:r>
      <w:bookmarkStart w:id="0" w:name="_GoBack"/>
      <w:bookmarkEnd w:id="0"/>
      <w:r>
        <w:t>e D</w:t>
      </w:r>
      <w:r w:rsidR="00D67204">
        <w:t>epartment to:</w:t>
      </w:r>
    </w:p>
    <w:p w14:paraId="355F0CB3" w14:textId="54AEEE56" w:rsidR="00D67204" w:rsidRDefault="00D67204" w:rsidP="005C0CFA">
      <w:pPr>
        <w:ind w:left="567" w:hanging="567"/>
      </w:pPr>
      <w:r>
        <w:t xml:space="preserve">(a) </w:t>
      </w:r>
      <w:proofErr w:type="gramStart"/>
      <w:r>
        <w:t>modify</w:t>
      </w:r>
      <w:proofErr w:type="gramEnd"/>
      <w:r>
        <w:t xml:space="preserve"> the wording of the item descriptor to </w:t>
      </w:r>
      <w:r w:rsidR="006D0CA2">
        <w:t xml:space="preserve">prevent </w:t>
      </w:r>
      <w:r>
        <w:t xml:space="preserve">the additional use, </w:t>
      </w:r>
    </w:p>
    <w:p w14:paraId="1A77026D" w14:textId="77777777" w:rsidR="00D67204" w:rsidRDefault="00D67204" w:rsidP="005C0CFA">
      <w:pPr>
        <w:ind w:left="567" w:hanging="567"/>
      </w:pPr>
      <w:r>
        <w:t xml:space="preserve">(b) </w:t>
      </w:r>
      <w:proofErr w:type="gramStart"/>
      <w:r>
        <w:t>reduce</w:t>
      </w:r>
      <w:proofErr w:type="gramEnd"/>
      <w:r>
        <w:t xml:space="preserve"> the MBS item fee to $400, and </w:t>
      </w:r>
    </w:p>
    <w:p w14:paraId="62A4C971" w14:textId="77777777" w:rsidR="00CF7307" w:rsidRPr="0041184F" w:rsidRDefault="00D67204" w:rsidP="005C0CFA">
      <w:pPr>
        <w:pStyle w:val="Default"/>
        <w:spacing w:after="240"/>
        <w:ind w:left="567" w:hanging="567"/>
        <w:rPr>
          <w:b/>
          <w:i/>
          <w:color w:val="auto"/>
        </w:rPr>
      </w:pPr>
      <w:r>
        <w:t xml:space="preserve">(c) </w:t>
      </w:r>
      <w:proofErr w:type="gramStart"/>
      <w:r>
        <w:t>estimate</w:t>
      </w:r>
      <w:proofErr w:type="gramEnd"/>
      <w:r>
        <w:t xml:space="preserve"> the total potential utilisation and financial impact</w:t>
      </w:r>
    </w:p>
    <w:p w14:paraId="66D0D694" w14:textId="77777777" w:rsidR="00550354" w:rsidRPr="00F715D1" w:rsidRDefault="00550354" w:rsidP="008E4C81">
      <w:pPr>
        <w:pStyle w:val="Heading1"/>
        <w:ind w:hanging="502"/>
      </w:pPr>
      <w:r w:rsidRPr="00F715D1">
        <w:lastRenderedPageBreak/>
        <w:t xml:space="preserve">Summary of consideration and rationale for MSAC’s advice </w:t>
      </w:r>
    </w:p>
    <w:p w14:paraId="40CB8435" w14:textId="55F6F4C2" w:rsidR="008E4C81" w:rsidRDefault="008E4C81" w:rsidP="00376F27">
      <w:pPr>
        <w:spacing w:after="240"/>
      </w:pPr>
      <w:r>
        <w:t xml:space="preserve">MSAC considered the listing of </w:t>
      </w:r>
      <w:proofErr w:type="spellStart"/>
      <w:r>
        <w:t>multiparametric</w:t>
      </w:r>
      <w:proofErr w:type="spellEnd"/>
      <w:r>
        <w:t xml:space="preserve"> magnetic resonance imaging (</w:t>
      </w:r>
      <w:proofErr w:type="spellStart"/>
      <w:r>
        <w:t>mpMRI</w:t>
      </w:r>
      <w:proofErr w:type="spellEnd"/>
      <w:r>
        <w:t xml:space="preserve">) for the diagnosis of </w:t>
      </w:r>
      <w:r w:rsidR="00A80509">
        <w:t xml:space="preserve">clinically significant </w:t>
      </w:r>
      <w:r>
        <w:t>prostate cancer (</w:t>
      </w:r>
      <w:proofErr w:type="spellStart"/>
      <w:r>
        <w:t>PCa</w:t>
      </w:r>
      <w:proofErr w:type="spellEnd"/>
      <w:r>
        <w:t>)</w:t>
      </w:r>
      <w:r w:rsidR="00A80509">
        <w:t xml:space="preserve"> and for monitoring men with known prostate cancer under active surveillance</w:t>
      </w:r>
      <w:r>
        <w:t xml:space="preserve">. MSAC noted that the clinical claim made was that </w:t>
      </w:r>
      <w:proofErr w:type="spellStart"/>
      <w:r>
        <w:t>mpMRI</w:t>
      </w:r>
      <w:proofErr w:type="spellEnd"/>
      <w:r>
        <w:t xml:space="preserve"> of the prostate would be </w:t>
      </w:r>
      <w:r w:rsidR="00A80509">
        <w:t xml:space="preserve">as </w:t>
      </w:r>
      <w:r>
        <w:t>accurate and safer than the current approach to diagnosis</w:t>
      </w:r>
      <w:r w:rsidR="00A80509">
        <w:t xml:space="preserve"> and monitoring</w:t>
      </w:r>
      <w:r>
        <w:t>.</w:t>
      </w:r>
    </w:p>
    <w:p w14:paraId="23079884" w14:textId="354C5B4B" w:rsidR="008E4C81" w:rsidRDefault="008E4C81" w:rsidP="00376F27">
      <w:pPr>
        <w:spacing w:after="240"/>
      </w:pPr>
      <w:r>
        <w:t xml:space="preserve">MSAC noted that approximately 20,000 new cases of </w:t>
      </w:r>
      <w:proofErr w:type="spellStart"/>
      <w:r>
        <w:t>PCa</w:t>
      </w:r>
      <w:proofErr w:type="spellEnd"/>
      <w:r>
        <w:t xml:space="preserve"> were diagnosed in 2012. MSAC noted that while prostate-specific antigen (PSA) levels and/or digital rectal examination (DRE) can </w:t>
      </w:r>
      <w:r w:rsidR="00A80509">
        <w:t>raise the suspicion</w:t>
      </w:r>
      <w:r>
        <w:t xml:space="preserve"> of </w:t>
      </w:r>
      <w:proofErr w:type="spellStart"/>
      <w:r>
        <w:t>PCa</w:t>
      </w:r>
      <w:proofErr w:type="spellEnd"/>
      <w:r>
        <w:t xml:space="preserve">, a biopsy is required to make the diagnosis. The MBS subsidises </w:t>
      </w:r>
      <w:proofErr w:type="spellStart"/>
      <w:r w:rsidRPr="008A4933">
        <w:t>transrectal</w:t>
      </w:r>
      <w:proofErr w:type="spellEnd"/>
      <w:r w:rsidRPr="008A4933">
        <w:t xml:space="preserve"> ultrasound guided biopsy (TRUSGB) or </w:t>
      </w:r>
      <w:proofErr w:type="spellStart"/>
      <w:r w:rsidRPr="008A4933">
        <w:t>transperineal</w:t>
      </w:r>
      <w:proofErr w:type="spellEnd"/>
      <w:r w:rsidRPr="008A4933">
        <w:t xml:space="preserve"> ultrasound guided biopsy (TPUSGB)</w:t>
      </w:r>
      <w:r>
        <w:t xml:space="preserve"> for diagnosis of </w:t>
      </w:r>
      <w:proofErr w:type="spellStart"/>
      <w:r>
        <w:t>PCa</w:t>
      </w:r>
      <w:proofErr w:type="spellEnd"/>
      <w:r>
        <w:t xml:space="preserve"> under MBS item 37219. MSAC noted that these are invasive tests with associated risks. MSAC noted that the number of services under MBS item 37219 has been falling despite the ageing population. In 2010</w:t>
      </w:r>
      <w:r w:rsidR="00A80509">
        <w:t>-2012</w:t>
      </w:r>
      <w:r>
        <w:t xml:space="preserve"> there were ~</w:t>
      </w:r>
      <w:r w:rsidR="00A80509">
        <w:t>26,500</w:t>
      </w:r>
      <w:r>
        <w:t xml:space="preserve"> services provided </w:t>
      </w:r>
      <w:r w:rsidR="00A80509">
        <w:t xml:space="preserve">per year, </w:t>
      </w:r>
      <w:r>
        <w:t xml:space="preserve">compared to ~19,800 in 2015. MSAC </w:t>
      </w:r>
      <w:r w:rsidR="00A80509">
        <w:t xml:space="preserve">noted that </w:t>
      </w:r>
      <w:proofErr w:type="spellStart"/>
      <w:r w:rsidR="00A80509">
        <w:t>mpMRI</w:t>
      </w:r>
      <w:proofErr w:type="spellEnd"/>
      <w:r w:rsidR="00A80509">
        <w:t xml:space="preserve"> of the prostate became available in Australia after 2012, and </w:t>
      </w:r>
      <w:r>
        <w:t xml:space="preserve">suggested that this may indicate that men are already </w:t>
      </w:r>
      <w:r w:rsidRPr="00917271">
        <w:t xml:space="preserve">accessing </w:t>
      </w:r>
      <w:proofErr w:type="spellStart"/>
      <w:r w:rsidRPr="00917271">
        <w:t>mpMRI</w:t>
      </w:r>
      <w:proofErr w:type="spellEnd"/>
      <w:r w:rsidRPr="00917271">
        <w:t xml:space="preserve"> to avoid biopsy or </w:t>
      </w:r>
      <w:r>
        <w:t>declining</w:t>
      </w:r>
      <w:r w:rsidRPr="00917271">
        <w:t xml:space="preserve"> </w:t>
      </w:r>
      <w:r>
        <w:t xml:space="preserve">to undergo </w:t>
      </w:r>
      <w:r w:rsidRPr="00917271">
        <w:t>biopsy altogether</w:t>
      </w:r>
      <w:r>
        <w:t>.</w:t>
      </w:r>
    </w:p>
    <w:p w14:paraId="7572BC1E" w14:textId="77777777" w:rsidR="008E4C81" w:rsidRDefault="008E4C81" w:rsidP="008E4C81">
      <w:r>
        <w:t>MSAC noted that there were two populations under consideration:</w:t>
      </w:r>
    </w:p>
    <w:p w14:paraId="4DA7C5A1" w14:textId="4236AEC9" w:rsidR="008E4C81" w:rsidRDefault="008E4C81" w:rsidP="008E4C81">
      <w:pPr>
        <w:pStyle w:val="ListParagraph"/>
        <w:numPr>
          <w:ilvl w:val="0"/>
          <w:numId w:val="33"/>
        </w:numPr>
      </w:pPr>
      <w:r>
        <w:t>Population 1:</w:t>
      </w:r>
      <w:r w:rsidRPr="007C50F0">
        <w:t xml:space="preserve"> </w:t>
      </w:r>
      <w:r>
        <w:t xml:space="preserve">men suspected of having </w:t>
      </w:r>
      <w:proofErr w:type="spellStart"/>
      <w:r>
        <w:t>PCa</w:t>
      </w:r>
      <w:proofErr w:type="spellEnd"/>
      <w:r>
        <w:t xml:space="preserve"> on the basis of </w:t>
      </w:r>
      <w:r w:rsidR="0064363C">
        <w:t>a high or concerning PSA level -</w:t>
      </w:r>
      <w:r w:rsidR="00376F27">
        <w:t xml:space="preserve"> </w:t>
      </w:r>
      <w:r>
        <w:t xml:space="preserve">these men had not previously undergone either </w:t>
      </w:r>
      <w:r w:rsidRPr="008A4933">
        <w:t>TRUSGB or TPUSGB</w:t>
      </w:r>
      <w:r>
        <w:t>. The comparator for this population was PSA/DRE + clinical judgement and TRUSGB/TPUSGB or</w:t>
      </w:r>
      <w:r w:rsidR="00F576DA">
        <w:t>,</w:t>
      </w:r>
      <w:r>
        <w:t xml:space="preserve"> in men who choose not to undergo TRUSGB/TPUSGB, PSA/DRE + clinical judgement</w:t>
      </w:r>
      <w:r w:rsidR="00F576DA">
        <w:t xml:space="preserve"> alone</w:t>
      </w:r>
      <w:r>
        <w:t>.</w:t>
      </w:r>
    </w:p>
    <w:p w14:paraId="47DCC403" w14:textId="197DAEB2" w:rsidR="008E4C81" w:rsidRDefault="008E4C81" w:rsidP="00376F27">
      <w:pPr>
        <w:pStyle w:val="ListParagraph"/>
        <w:numPr>
          <w:ilvl w:val="0"/>
          <w:numId w:val="33"/>
        </w:numPr>
        <w:spacing w:after="240"/>
      </w:pPr>
      <w:r>
        <w:t>Population 2: men diagnosed with low</w:t>
      </w:r>
      <w:r w:rsidR="00F576DA">
        <w:t>-</w:t>
      </w:r>
      <w:r>
        <w:t xml:space="preserve"> or intermediate</w:t>
      </w:r>
      <w:r w:rsidR="00F576DA">
        <w:t>-</w:t>
      </w:r>
      <w:r>
        <w:t xml:space="preserve">risk </w:t>
      </w:r>
      <w:proofErr w:type="spellStart"/>
      <w:r>
        <w:t>PCa</w:t>
      </w:r>
      <w:proofErr w:type="spellEnd"/>
      <w:r>
        <w:t xml:space="preserve"> </w:t>
      </w:r>
      <w:r w:rsidR="00F576DA">
        <w:t>who have undertaken</w:t>
      </w:r>
      <w:r>
        <w:t xml:space="preserve"> active surveillance (AS). By definition these men have already undergone biopsy.</w:t>
      </w:r>
      <w:r w:rsidRPr="004D2F36">
        <w:t xml:space="preserve"> </w:t>
      </w:r>
      <w:r>
        <w:t>The comparator for this population was routine TRUSGB/TPUSGB</w:t>
      </w:r>
      <w:r w:rsidR="00705867">
        <w:t xml:space="preserve"> at intervals specified in current guidelines</w:t>
      </w:r>
      <w:r>
        <w:t>.</w:t>
      </w:r>
    </w:p>
    <w:p w14:paraId="0C03CB66" w14:textId="542EF4AD" w:rsidR="008E4C81" w:rsidRDefault="008E4C81" w:rsidP="00376F27">
      <w:pPr>
        <w:spacing w:after="240"/>
      </w:pPr>
      <w:r>
        <w:t>MSAC</w:t>
      </w:r>
      <w:r w:rsidRPr="008A4933">
        <w:t xml:space="preserve"> noted that there are no significant safety concerns when using MRI in appropriately selected patients. </w:t>
      </w:r>
      <w:r>
        <w:t xml:space="preserve">MSAC noted that </w:t>
      </w:r>
      <w:proofErr w:type="spellStart"/>
      <w:r>
        <w:t>mpMRI</w:t>
      </w:r>
      <w:proofErr w:type="spellEnd"/>
      <w:r>
        <w:t xml:space="preserve"> is a non-invasive imaging technique while TRUSGB/TPUSGB are invasive and </w:t>
      </w:r>
      <w:r w:rsidRPr="008A4933">
        <w:t xml:space="preserve">expose men to </w:t>
      </w:r>
      <w:r>
        <w:t xml:space="preserve">a </w:t>
      </w:r>
      <w:r w:rsidRPr="008A4933">
        <w:t xml:space="preserve">risk of </w:t>
      </w:r>
      <w:r>
        <w:t xml:space="preserve">complications and </w:t>
      </w:r>
      <w:r w:rsidRPr="008A4933">
        <w:t>harms including</w:t>
      </w:r>
      <w:r>
        <w:t xml:space="preserve"> </w:t>
      </w:r>
      <w:r w:rsidRPr="008A4933">
        <w:t>infection, bleeding and urinary obstruction</w:t>
      </w:r>
      <w:r>
        <w:t xml:space="preserve">. While MSAC noted that risks were lower for TPUSGB than TRUSGB, the evidence presented indicated up to 5.5% of patients are </w:t>
      </w:r>
      <w:r w:rsidR="00705867">
        <w:t>re-</w:t>
      </w:r>
      <w:r>
        <w:t>hospitalised post TRUSGB/TPUSGB while up to 2.4% and up to 6.9% of patients have a major or minor infection, respectively</w:t>
      </w:r>
      <w:r w:rsidR="00705867">
        <w:t>, post TRUSGB</w:t>
      </w:r>
      <w:r>
        <w:t xml:space="preserve">. On the basis of these different risk profiles, MSAC accepted that </w:t>
      </w:r>
      <w:proofErr w:type="spellStart"/>
      <w:r>
        <w:t>mpMRI</w:t>
      </w:r>
      <w:proofErr w:type="spellEnd"/>
      <w:r>
        <w:t xml:space="preserve"> had superior safety to TRUSGB/TPUSGB. </w:t>
      </w:r>
    </w:p>
    <w:p w14:paraId="4A9EB852" w14:textId="0E5EB4C2" w:rsidR="008E4C81" w:rsidRDefault="008E4C81" w:rsidP="00376F27">
      <w:pPr>
        <w:spacing w:after="240"/>
      </w:pPr>
      <w:r>
        <w:t xml:space="preserve">MSAC noted that much of the evidence presented in the application to support the clinical effectiveness of </w:t>
      </w:r>
      <w:proofErr w:type="spellStart"/>
      <w:r>
        <w:t>mpMRI</w:t>
      </w:r>
      <w:proofErr w:type="spellEnd"/>
      <w:r>
        <w:t xml:space="preserve"> was of low quality. MSAC noted that there were no studies in either population 1 or population 2 that assessed changes in management due to </w:t>
      </w:r>
      <w:proofErr w:type="spellStart"/>
      <w:r>
        <w:t>mpMRI</w:t>
      </w:r>
      <w:proofErr w:type="spellEnd"/>
      <w:r>
        <w:t>. As a result, a linked evidence approach was undertaken to estimate any change in health outcomes.</w:t>
      </w:r>
    </w:p>
    <w:p w14:paraId="3D9B4262" w14:textId="62B9F461" w:rsidR="008E4C81" w:rsidRDefault="008E4C81" w:rsidP="00376F27">
      <w:pPr>
        <w:spacing w:after="240"/>
      </w:pPr>
      <w:r>
        <w:t xml:space="preserve">MSAC considered the diagnostic accuracy of </w:t>
      </w:r>
      <w:proofErr w:type="spellStart"/>
      <w:r>
        <w:t>mpMRI</w:t>
      </w:r>
      <w:proofErr w:type="spellEnd"/>
      <w:r>
        <w:t xml:space="preserve"> for detecting clinically significant </w:t>
      </w:r>
      <w:proofErr w:type="spellStart"/>
      <w:r>
        <w:t>PCa</w:t>
      </w:r>
      <w:proofErr w:type="spellEnd"/>
      <w:r>
        <w:t xml:space="preserve"> (defined as a </w:t>
      </w:r>
      <w:r w:rsidRPr="00725B5E">
        <w:t>Prostate Imaging Reporting and Data System</w:t>
      </w:r>
      <w:r>
        <w:t xml:space="preserve"> [</w:t>
      </w:r>
      <w:r w:rsidRPr="00725B5E">
        <w:t>PI-RADS</w:t>
      </w:r>
      <w:r>
        <w:t>]</w:t>
      </w:r>
      <w:r w:rsidRPr="00725B5E">
        <w:t xml:space="preserve"> score</w:t>
      </w:r>
      <w:r>
        <w:t xml:space="preserve"> of 4 or 5) in population 1. The sensitivity of </w:t>
      </w:r>
      <w:proofErr w:type="spellStart"/>
      <w:r>
        <w:t>mpMRI</w:t>
      </w:r>
      <w:proofErr w:type="spellEnd"/>
      <w:r>
        <w:t xml:space="preserve"> compared with biopsy was 74.4% (95% confidence interval [CI] 51.0–89.1%) and specificity was 84.1% (95% CI 75.0–90.3%). MSAC noted that the wide confidence interval around the sensitivity point estimate reflected uncertainty and heterogeneity in the results. MSAC acknowledged that a recently published meta-</w:t>
      </w:r>
      <w:r>
        <w:lastRenderedPageBreak/>
        <w:t xml:space="preserve">analysis reported a higher pooled sensitivity of </w:t>
      </w:r>
      <w:r w:rsidRPr="00CA0F62">
        <w:t>89</w:t>
      </w:r>
      <w:r>
        <w:t>%</w:t>
      </w:r>
      <w:r w:rsidRPr="00CA0F62">
        <w:t xml:space="preserve"> </w:t>
      </w:r>
      <w:r w:rsidR="00705867">
        <w:t xml:space="preserve">with a narrower range </w:t>
      </w:r>
      <w:r w:rsidRPr="00CA0F62">
        <w:t>(95% CI 86</w:t>
      </w:r>
      <w:r>
        <w:t>–</w:t>
      </w:r>
      <w:r w:rsidRPr="00CA0F62">
        <w:t>92</w:t>
      </w:r>
      <w:r>
        <w:t>%</w:t>
      </w:r>
      <w:r w:rsidRPr="00CA0F62">
        <w:t xml:space="preserve">) </w:t>
      </w:r>
      <w:r>
        <w:t xml:space="preserve">in studies using the updated </w:t>
      </w:r>
      <w:r w:rsidRPr="00CA0F62">
        <w:t>PI-RADS</w:t>
      </w:r>
      <w:r w:rsidR="00705867">
        <w:t xml:space="preserve"> </w:t>
      </w:r>
      <w:r>
        <w:t>v</w:t>
      </w:r>
      <w:r w:rsidR="00705867">
        <w:t>.</w:t>
      </w:r>
      <w:r>
        <w:t>2 (Woo S et al 2017).</w:t>
      </w:r>
    </w:p>
    <w:p w14:paraId="43C27E01" w14:textId="73183AF2" w:rsidR="008E4C81" w:rsidRDefault="008E4C81" w:rsidP="00376F27">
      <w:pPr>
        <w:spacing w:after="240"/>
      </w:pPr>
      <w:r w:rsidRPr="00615A4B">
        <w:t>MSAC noted that for the purposes of this application</w:t>
      </w:r>
      <w:r>
        <w:t>,</w:t>
      </w:r>
      <w:r w:rsidRPr="00615A4B">
        <w:t xml:space="preserve"> it was assumed that </w:t>
      </w:r>
      <w:r>
        <w:t xml:space="preserve">the </w:t>
      </w:r>
      <w:r w:rsidRPr="00615A4B">
        <w:t xml:space="preserve">introduction of </w:t>
      </w:r>
      <w:proofErr w:type="spellStart"/>
      <w:r w:rsidRPr="00615A4B">
        <w:t>mpMRI</w:t>
      </w:r>
      <w:proofErr w:type="spellEnd"/>
      <w:r w:rsidRPr="00615A4B">
        <w:t xml:space="preserve"> would not alter the rest of the clinical treatment algorithm. MSAC noted that if </w:t>
      </w:r>
      <w:proofErr w:type="spellStart"/>
      <w:r w:rsidRPr="00615A4B">
        <w:t>mpMRI</w:t>
      </w:r>
      <w:proofErr w:type="spellEnd"/>
      <w:r w:rsidRPr="00615A4B">
        <w:t xml:space="preserve"> indicated that a patient had a PI-RADS score of 4 or 5, </w:t>
      </w:r>
      <w:r w:rsidR="00705867">
        <w:t>he</w:t>
      </w:r>
      <w:r w:rsidR="00705867" w:rsidRPr="00615A4B">
        <w:t xml:space="preserve"> </w:t>
      </w:r>
      <w:r w:rsidRPr="00615A4B">
        <w:t>would undergo biopsy. For most men with a PI-RADS score of 1–3, biopsy would be avoided</w:t>
      </w:r>
      <w:r>
        <w:t>. T</w:t>
      </w:r>
      <w:r w:rsidRPr="00615A4B">
        <w:t xml:space="preserve">he exception would be if they were considered to be of high concern because of risk factors such as a family history of </w:t>
      </w:r>
      <w:proofErr w:type="spellStart"/>
      <w:r w:rsidRPr="00615A4B">
        <w:t>PCa</w:t>
      </w:r>
      <w:proofErr w:type="spellEnd"/>
      <w:r w:rsidRPr="00615A4B">
        <w:t xml:space="preserve"> or </w:t>
      </w:r>
      <w:r w:rsidRPr="00615A4B">
        <w:rPr>
          <w:i/>
        </w:rPr>
        <w:t>BRCA</w:t>
      </w:r>
      <w:r w:rsidRPr="00615A4B">
        <w:t xml:space="preserve"> gene mutation, a free/total PSA ratio &lt; 12% or PSA density &gt; 0.15. </w:t>
      </w:r>
      <w:r>
        <w:t xml:space="preserve">MSAC noted that the applicants had advised that 20% of men with a PI-RADS score of 1–3 on </w:t>
      </w:r>
      <w:proofErr w:type="spellStart"/>
      <w:r>
        <w:t>mpMRI</w:t>
      </w:r>
      <w:proofErr w:type="spellEnd"/>
      <w:r>
        <w:t xml:space="preserve"> would fall within this group and would receive a biopsy despite the </w:t>
      </w:r>
      <w:proofErr w:type="spellStart"/>
      <w:r>
        <w:t>mpMRI</w:t>
      </w:r>
      <w:proofErr w:type="spellEnd"/>
      <w:r>
        <w:t xml:space="preserve"> result. </w:t>
      </w:r>
      <w:r w:rsidRPr="00615A4B">
        <w:t>Therefore</w:t>
      </w:r>
      <w:r>
        <w:t>,</w:t>
      </w:r>
      <w:r w:rsidRPr="00615A4B">
        <w:t xml:space="preserve"> the main impact of </w:t>
      </w:r>
      <w:proofErr w:type="spellStart"/>
      <w:r w:rsidRPr="00615A4B">
        <w:t>mpMRI</w:t>
      </w:r>
      <w:proofErr w:type="spellEnd"/>
      <w:r w:rsidRPr="00615A4B">
        <w:t xml:space="preserve"> would be avoidance of biopsy and overtreatment</w:t>
      </w:r>
      <w:r>
        <w:t xml:space="preserve"> (and its potential associated adverse effects including incontinence</w:t>
      </w:r>
      <w:r w:rsidR="00705867">
        <w:t>,</w:t>
      </w:r>
      <w:r>
        <w:t xml:space="preserve"> impotence</w:t>
      </w:r>
      <w:r w:rsidR="00705867">
        <w:t xml:space="preserve"> or </w:t>
      </w:r>
      <w:proofErr w:type="spellStart"/>
      <w:r w:rsidR="00705867">
        <w:t>anorectal</w:t>
      </w:r>
      <w:proofErr w:type="spellEnd"/>
      <w:r w:rsidR="00705867">
        <w:t xml:space="preserve"> problems</w:t>
      </w:r>
      <w:r>
        <w:t>)</w:t>
      </w:r>
      <w:r w:rsidRPr="00615A4B">
        <w:t xml:space="preserve"> in men without significant </w:t>
      </w:r>
      <w:proofErr w:type="spellStart"/>
      <w:r w:rsidRPr="00615A4B">
        <w:t>PCa</w:t>
      </w:r>
      <w:proofErr w:type="spellEnd"/>
      <w:r w:rsidRPr="00615A4B">
        <w:t xml:space="preserve">. MSAC noted that another potential impact would be delayed treatment if the </w:t>
      </w:r>
      <w:proofErr w:type="spellStart"/>
      <w:r w:rsidRPr="00615A4B">
        <w:t>mpMRI</w:t>
      </w:r>
      <w:proofErr w:type="spellEnd"/>
      <w:r w:rsidRPr="00615A4B">
        <w:t xml:space="preserve"> </w:t>
      </w:r>
      <w:r>
        <w:t>wrongly categorised the patient as PI-RADS 1–3 (</w:t>
      </w:r>
      <w:r w:rsidRPr="00615A4B">
        <w:t>false negative</w:t>
      </w:r>
      <w:r>
        <w:t>)</w:t>
      </w:r>
      <w:r w:rsidRPr="00615A4B">
        <w:t xml:space="preserve">. </w:t>
      </w:r>
    </w:p>
    <w:p w14:paraId="284C58CA" w14:textId="506E6B06" w:rsidR="008E4C81" w:rsidRDefault="008E4C81" w:rsidP="00376F27">
      <w:pPr>
        <w:spacing w:after="240"/>
      </w:pPr>
      <w:r>
        <w:t xml:space="preserve">MSAC accepted that if the prevalence of clinically significant </w:t>
      </w:r>
      <w:proofErr w:type="spellStart"/>
      <w:r>
        <w:t>PCa</w:t>
      </w:r>
      <w:proofErr w:type="spellEnd"/>
      <w:r>
        <w:t xml:space="preserve"> in population 1 was 35.5%, use of </w:t>
      </w:r>
      <w:proofErr w:type="spellStart"/>
      <w:r>
        <w:t>mpMRI</w:t>
      </w:r>
      <w:proofErr w:type="spellEnd"/>
      <w:r>
        <w:t xml:space="preserve"> in 1000 men would avoid 505 biopsies and avoid overtreatment of insignificant disease in 94 men. However, it would result in a treatment delay of clinically significant disease in 54 men. MSAC noted that the delayed diagnosis may not impact disease progression and mortality although the quality of evidence to support this was very low.</w:t>
      </w:r>
      <w:r w:rsidRPr="00452CE5">
        <w:t xml:space="preserve"> </w:t>
      </w:r>
      <w:r>
        <w:t>MSAC acknowledged the applicants’ claim that the number of men at risk of delayed treatment is likely to be lower than 54 because 20% of men with a PI-RADS score of 1–3 would undergo biopsy due to high concern.</w:t>
      </w:r>
    </w:p>
    <w:p w14:paraId="08234451" w14:textId="13FEEC0E" w:rsidR="008E4C81" w:rsidRPr="00376F27" w:rsidRDefault="008E4C81" w:rsidP="00376F27">
      <w:pPr>
        <w:spacing w:after="240"/>
      </w:pPr>
      <w:r w:rsidRPr="004B577C">
        <w:t>On the</w:t>
      </w:r>
      <w:r>
        <w:t xml:space="preserve"> basis of the</w:t>
      </w:r>
      <w:r w:rsidRPr="004B577C">
        <w:t xml:space="preserve"> </w:t>
      </w:r>
      <w:r>
        <w:t xml:space="preserve">presented </w:t>
      </w:r>
      <w:r w:rsidRPr="004B577C">
        <w:t xml:space="preserve">evidence, MSAC accepted that </w:t>
      </w:r>
      <w:proofErr w:type="spellStart"/>
      <w:r w:rsidRPr="004B577C">
        <w:t>mpMRI</w:t>
      </w:r>
      <w:proofErr w:type="spellEnd"/>
      <w:r w:rsidRPr="004B577C">
        <w:t xml:space="preserve"> had superior safety to TRUSGB/TPUSGB and non-inferior effectiveness</w:t>
      </w:r>
      <w:r>
        <w:t xml:space="preserve"> in population 1</w:t>
      </w:r>
      <w:r w:rsidRPr="004B577C">
        <w:t xml:space="preserve">. MSAC noted that the economic model suggested use of </w:t>
      </w:r>
      <w:proofErr w:type="spellStart"/>
      <w:r w:rsidRPr="004B577C">
        <w:t>mpMRI</w:t>
      </w:r>
      <w:proofErr w:type="spellEnd"/>
      <w:r w:rsidRPr="004B577C">
        <w:t xml:space="preserve"> in population 1 would</w:t>
      </w:r>
      <w:r>
        <w:t xml:space="preserve"> </w:t>
      </w:r>
      <w:r w:rsidRPr="004B577C">
        <w:t xml:space="preserve">slightly </w:t>
      </w:r>
      <w:r>
        <w:t>reduce benefits when compared with</w:t>
      </w:r>
      <w:r w:rsidRPr="004B577C">
        <w:t xml:space="preserve"> biopsy (0.039 </w:t>
      </w:r>
      <w:r>
        <w:t>quality adjusted life years [</w:t>
      </w:r>
      <w:r w:rsidRPr="004B577C">
        <w:t>QALY</w:t>
      </w:r>
      <w:r>
        <w:t>s]</w:t>
      </w:r>
      <w:r w:rsidRPr="004B577C">
        <w:t xml:space="preserve"> lost [~2.0 w</w:t>
      </w:r>
      <w:r>
        <w:t>ee</w:t>
      </w:r>
      <w:r w:rsidRPr="004B577C">
        <w:t>k</w:t>
      </w:r>
      <w:r>
        <w:t>s</w:t>
      </w:r>
      <w:r w:rsidRPr="004B577C">
        <w:t xml:space="preserve">]) but </w:t>
      </w:r>
      <w:r>
        <w:t xml:space="preserve">was </w:t>
      </w:r>
      <w:r w:rsidRPr="004B577C">
        <w:t xml:space="preserve">less expensive. Use of </w:t>
      </w:r>
      <w:proofErr w:type="spellStart"/>
      <w:r w:rsidRPr="004B577C">
        <w:t>mpMRI</w:t>
      </w:r>
      <w:proofErr w:type="spellEnd"/>
      <w:r w:rsidRPr="004B577C">
        <w:t xml:space="preserve"> in population 1 </w:t>
      </w:r>
      <w:r>
        <w:t>resulted in a saving of</w:t>
      </w:r>
      <w:r w:rsidRPr="004B577C">
        <w:t xml:space="preserve"> $40,363 per QALY lost. </w:t>
      </w:r>
      <w:r>
        <w:t>MSAC noted that</w:t>
      </w:r>
      <w:r w:rsidR="00705867">
        <w:t>,</w:t>
      </w:r>
      <w:r>
        <w:t xml:space="preserve"> in the majority of the sensitivity analyses conducted, use of </w:t>
      </w:r>
      <w:proofErr w:type="spellStart"/>
      <w:r>
        <w:t>mpMRI</w:t>
      </w:r>
      <w:proofErr w:type="spellEnd"/>
      <w:r>
        <w:t xml:space="preserve"> remained cost saving at the expense of a small QALY reduction. The exception was if a shorter time horizon of 5 or 10 years was used instead of a lifetime horizon. In these analyses </w:t>
      </w:r>
      <w:proofErr w:type="spellStart"/>
      <w:r>
        <w:t>mpMRI</w:t>
      </w:r>
      <w:proofErr w:type="spellEnd"/>
      <w:r>
        <w:t xml:space="preserve"> was dominant (more effective and less expensive) than TRUSGB/TPUSGB.</w:t>
      </w:r>
    </w:p>
    <w:p w14:paraId="4A50E370" w14:textId="6BA4B4E5" w:rsidR="008E4C81" w:rsidRDefault="008E4C81" w:rsidP="00376F27">
      <w:pPr>
        <w:spacing w:after="240"/>
      </w:pPr>
      <w:r>
        <w:t xml:space="preserve">MSAC noted the sensitivity of </w:t>
      </w:r>
      <w:proofErr w:type="spellStart"/>
      <w:r>
        <w:t>mpMRI</w:t>
      </w:r>
      <w:proofErr w:type="spellEnd"/>
      <w:r>
        <w:t xml:space="preserve"> for detecting clinically significant </w:t>
      </w:r>
      <w:proofErr w:type="spellStart"/>
      <w:r>
        <w:t>PCa</w:t>
      </w:r>
      <w:proofErr w:type="spellEnd"/>
      <w:r>
        <w:t xml:space="preserve"> in population 2 was 79.3% (95% CI 74.6–83.3%) and specificity was 55.1% (95% CI 50.4–59.8%). </w:t>
      </w:r>
      <w:r w:rsidRPr="00615A4B">
        <w:t xml:space="preserve">MSAC noted </w:t>
      </w:r>
      <w:r>
        <w:t xml:space="preserve">that </w:t>
      </w:r>
      <w:proofErr w:type="spellStart"/>
      <w:r w:rsidRPr="00615A4B">
        <w:t>mpMRI</w:t>
      </w:r>
      <w:proofErr w:type="spellEnd"/>
      <w:r w:rsidRPr="00615A4B">
        <w:t xml:space="preserve"> </w:t>
      </w:r>
      <w:r>
        <w:t xml:space="preserve">would be used to upgrade disease in patients on an active surveillance program. If </w:t>
      </w:r>
      <w:proofErr w:type="spellStart"/>
      <w:r>
        <w:t>mpMRI</w:t>
      </w:r>
      <w:proofErr w:type="spellEnd"/>
      <w:r>
        <w:t xml:space="preserve"> </w:t>
      </w:r>
      <w:r w:rsidRPr="00615A4B">
        <w:t xml:space="preserve">indicated that a patient </w:t>
      </w:r>
      <w:r>
        <w:t xml:space="preserve">in population 2 </w:t>
      </w:r>
      <w:r w:rsidRPr="00615A4B">
        <w:t xml:space="preserve">had a PI-RADS score of 4 or 5, </w:t>
      </w:r>
      <w:r w:rsidR="00705867">
        <w:t>he</w:t>
      </w:r>
      <w:r w:rsidR="00705867" w:rsidRPr="00615A4B">
        <w:t xml:space="preserve"> </w:t>
      </w:r>
      <w:r w:rsidRPr="00615A4B">
        <w:t>would undergo biopsy. For most men with a PI-RADS score of 1–3, biopsy would be avoided</w:t>
      </w:r>
      <w:r>
        <w:t xml:space="preserve"> and they would continue in the active surveillance program — if </w:t>
      </w:r>
      <w:r w:rsidR="00705867">
        <w:t xml:space="preserve">there </w:t>
      </w:r>
      <w:r>
        <w:t xml:space="preserve">were </w:t>
      </w:r>
      <w:r w:rsidR="00705867">
        <w:t xml:space="preserve">a </w:t>
      </w:r>
      <w:r>
        <w:t xml:space="preserve">high </w:t>
      </w:r>
      <w:r w:rsidR="00705867">
        <w:t xml:space="preserve">clinical </w:t>
      </w:r>
      <w:r>
        <w:t xml:space="preserve">concern </w:t>
      </w:r>
      <w:r w:rsidR="00705867">
        <w:t xml:space="preserve">of upgraded disease, </w:t>
      </w:r>
      <w:r>
        <w:t xml:space="preserve">they would still undergo biopsy. MSAC noted that </w:t>
      </w:r>
      <w:r w:rsidRPr="00615A4B">
        <w:t xml:space="preserve">the main impact of </w:t>
      </w:r>
      <w:proofErr w:type="spellStart"/>
      <w:r w:rsidRPr="00615A4B">
        <w:t>mpMRI</w:t>
      </w:r>
      <w:proofErr w:type="spellEnd"/>
      <w:r w:rsidRPr="00615A4B">
        <w:t xml:space="preserve"> </w:t>
      </w:r>
      <w:r>
        <w:t xml:space="preserve">in population 2 </w:t>
      </w:r>
      <w:r w:rsidRPr="00615A4B">
        <w:t xml:space="preserve">would be avoidance of biopsy in men without </w:t>
      </w:r>
      <w:r w:rsidR="00705867">
        <w:t>higher-grade</w:t>
      </w:r>
      <w:r w:rsidR="00705867" w:rsidRPr="00615A4B">
        <w:t xml:space="preserve"> </w:t>
      </w:r>
      <w:proofErr w:type="spellStart"/>
      <w:r w:rsidRPr="00615A4B">
        <w:t>PCa</w:t>
      </w:r>
      <w:proofErr w:type="spellEnd"/>
      <w:r>
        <w:t xml:space="preserve"> or </w:t>
      </w:r>
      <w:r w:rsidRPr="00615A4B">
        <w:t xml:space="preserve">delayed </w:t>
      </w:r>
      <w:r>
        <w:t>diagnosis of upgraded disease</w:t>
      </w:r>
      <w:r w:rsidRPr="00615A4B">
        <w:t xml:space="preserve"> if the </w:t>
      </w:r>
      <w:proofErr w:type="spellStart"/>
      <w:r w:rsidRPr="00615A4B">
        <w:t>mpMRI</w:t>
      </w:r>
      <w:proofErr w:type="spellEnd"/>
      <w:r w:rsidRPr="00615A4B">
        <w:t xml:space="preserve"> </w:t>
      </w:r>
      <w:r>
        <w:t>wrongly categorised the patient as PI-RADS 1–3 (</w:t>
      </w:r>
      <w:r w:rsidRPr="00615A4B">
        <w:t>false negative</w:t>
      </w:r>
      <w:r>
        <w:t>)</w:t>
      </w:r>
      <w:r w:rsidRPr="00615A4B">
        <w:t xml:space="preserve">. </w:t>
      </w:r>
    </w:p>
    <w:p w14:paraId="47F62E21" w14:textId="67D512A2" w:rsidR="008E4C81" w:rsidRDefault="008E4C81" w:rsidP="008E4C81">
      <w:r>
        <w:t xml:space="preserve">MSAC accepted that if 30% of men in an active surveillance program had their disease upgraded, use of </w:t>
      </w:r>
      <w:proofErr w:type="spellStart"/>
      <w:r>
        <w:t>mpMRI</w:t>
      </w:r>
      <w:proofErr w:type="spellEnd"/>
      <w:r>
        <w:t xml:space="preserve"> in </w:t>
      </w:r>
      <w:r w:rsidRPr="00C751F4">
        <w:t xml:space="preserve">1,000 men in </w:t>
      </w:r>
      <w:r>
        <w:t>population 2</w:t>
      </w:r>
      <w:r w:rsidRPr="00C751F4">
        <w:t xml:space="preserve"> would avoid 358 biopsies but would result in a delay in diagnosing upgraded disease in 31 men.</w:t>
      </w:r>
      <w:r>
        <w:t xml:space="preserve"> Once again MSAC acknowledged the applicants’ claim that the number of men at risk of delayed diagnosis of upgraded disease may be lower if men of high concern are biopsied despite having a PI-RADS score of 1–3.</w:t>
      </w:r>
    </w:p>
    <w:p w14:paraId="28C01FC6" w14:textId="7438AD89" w:rsidR="008E4C81" w:rsidRPr="00376F27" w:rsidRDefault="008E4C81" w:rsidP="00376F27">
      <w:pPr>
        <w:spacing w:after="240"/>
      </w:pPr>
      <w:r w:rsidRPr="00381E4B">
        <w:lastRenderedPageBreak/>
        <w:t xml:space="preserve">On the basis of the </w:t>
      </w:r>
      <w:r>
        <w:t xml:space="preserve">presented </w:t>
      </w:r>
      <w:r w:rsidRPr="00381E4B">
        <w:t xml:space="preserve">evidence, MSAC accepted that </w:t>
      </w:r>
      <w:proofErr w:type="spellStart"/>
      <w:r w:rsidRPr="00381E4B">
        <w:t>mpMRI</w:t>
      </w:r>
      <w:proofErr w:type="spellEnd"/>
      <w:r w:rsidRPr="00381E4B">
        <w:t xml:space="preserve"> had superior safety to TRUSGB/TPUSGB and non-inferior effectiveness in population 2. MSAC noted that the economic model suggested use of </w:t>
      </w:r>
      <w:proofErr w:type="spellStart"/>
      <w:r w:rsidRPr="00381E4B">
        <w:t>mpMRI</w:t>
      </w:r>
      <w:proofErr w:type="spellEnd"/>
      <w:r w:rsidRPr="00381E4B">
        <w:t xml:space="preserve"> in population 2 would </w:t>
      </w:r>
      <w:r>
        <w:t xml:space="preserve">result in </w:t>
      </w:r>
      <w:r w:rsidR="00705867">
        <w:t xml:space="preserve">marginally </w:t>
      </w:r>
      <w:r>
        <w:t>less benefit</w:t>
      </w:r>
      <w:r w:rsidRPr="00381E4B">
        <w:t xml:space="preserve"> than biopsy (loss of 0.001 QALY [~0.3 day</w:t>
      </w:r>
      <w:r>
        <w:t>s</w:t>
      </w:r>
      <w:r w:rsidRPr="00381E4B">
        <w:t xml:space="preserve">]) but </w:t>
      </w:r>
      <w:r>
        <w:t xml:space="preserve">was </w:t>
      </w:r>
      <w:r w:rsidRPr="00381E4B">
        <w:t xml:space="preserve">less expensive. Use of </w:t>
      </w:r>
      <w:proofErr w:type="spellStart"/>
      <w:r w:rsidRPr="00381E4B">
        <w:t>mpMRI</w:t>
      </w:r>
      <w:proofErr w:type="spellEnd"/>
      <w:r w:rsidRPr="00381E4B">
        <w:t xml:space="preserve"> in population 2 </w:t>
      </w:r>
      <w:r>
        <w:t>resulted in a saving of</w:t>
      </w:r>
      <w:r w:rsidRPr="00381E4B">
        <w:t xml:space="preserve"> $232,269 per QALY lost. MSAC noted that in </w:t>
      </w:r>
      <w:r>
        <w:t xml:space="preserve">the majority of the </w:t>
      </w:r>
      <w:r w:rsidRPr="00381E4B">
        <w:t xml:space="preserve">sensitivity analyses </w:t>
      </w:r>
      <w:r>
        <w:t>conducted</w:t>
      </w:r>
      <w:r w:rsidRPr="00381E4B">
        <w:t xml:space="preserve">, use of </w:t>
      </w:r>
      <w:proofErr w:type="spellStart"/>
      <w:r w:rsidRPr="00381E4B">
        <w:t>mpMRI</w:t>
      </w:r>
      <w:proofErr w:type="spellEnd"/>
      <w:r w:rsidRPr="00381E4B">
        <w:t xml:space="preserve"> remained cost saving at the expense of a small QALY reduction.</w:t>
      </w:r>
      <w:r>
        <w:t xml:space="preserve"> However, </w:t>
      </w:r>
      <w:proofErr w:type="spellStart"/>
      <w:r w:rsidRPr="00381E4B">
        <w:t>mpMRI</w:t>
      </w:r>
      <w:proofErr w:type="spellEnd"/>
      <w:r w:rsidRPr="00381E4B">
        <w:t xml:space="preserve"> was dominant (more effective and </w:t>
      </w:r>
      <w:r>
        <w:t>less expensive</w:t>
      </w:r>
      <w:r w:rsidRPr="00381E4B">
        <w:t>) than TRUSGB/TPUSGB</w:t>
      </w:r>
      <w:r>
        <w:t xml:space="preserve"> if the </w:t>
      </w:r>
      <w:r w:rsidRPr="00381E4B">
        <w:t>time horizon</w:t>
      </w:r>
      <w:r>
        <w:t xml:space="preserve"> was shortened from lifetime to </w:t>
      </w:r>
      <w:r w:rsidRPr="00381E4B">
        <w:t>5 or 10 years</w:t>
      </w:r>
      <w:r>
        <w:t xml:space="preserve">; if the disutility associated with TRUSGB/TPUSGB was greater; if the probability of progressing from insignificant to significant </w:t>
      </w:r>
      <w:proofErr w:type="spellStart"/>
      <w:r>
        <w:t>PCa</w:t>
      </w:r>
      <w:proofErr w:type="spellEnd"/>
      <w:r>
        <w:t xml:space="preserve"> was lower; or if the patient was older when </w:t>
      </w:r>
      <w:r w:rsidR="004F55CE">
        <w:t xml:space="preserve">he </w:t>
      </w:r>
      <w:r>
        <w:t>entered the model.</w:t>
      </w:r>
    </w:p>
    <w:p w14:paraId="3CE5A3F8" w14:textId="47A7E550" w:rsidR="008E4C81" w:rsidRDefault="008E4C81" w:rsidP="00376F27">
      <w:pPr>
        <w:spacing w:after="240"/>
        <w:rPr>
          <w:highlight w:val="yellow"/>
        </w:rPr>
      </w:pPr>
      <w:r w:rsidRPr="006C6B7D">
        <w:t xml:space="preserve">MSAC noted that listing </w:t>
      </w:r>
      <w:proofErr w:type="spellStart"/>
      <w:r w:rsidRPr="006C6B7D">
        <w:t>mpMRI</w:t>
      </w:r>
      <w:proofErr w:type="spellEnd"/>
      <w:r w:rsidRPr="006C6B7D">
        <w:t xml:space="preserve"> in populations 1 and 2 would result in a net cost of approximately $2.8 million per year to the MBS but a net saving of approximately $8.1 million to the health system as a whole (including costs to the MBS, other health funders and patient co-payments).</w:t>
      </w:r>
      <w:r w:rsidRPr="00247374">
        <w:t xml:space="preserve"> </w:t>
      </w:r>
      <w:r>
        <w:t>These c</w:t>
      </w:r>
      <w:r w:rsidRPr="00247374">
        <w:t xml:space="preserve">osts were based upon </w:t>
      </w:r>
      <w:r>
        <w:t xml:space="preserve">20,149 </w:t>
      </w:r>
      <w:proofErr w:type="spellStart"/>
      <w:r>
        <w:t>mpMRI</w:t>
      </w:r>
      <w:proofErr w:type="spellEnd"/>
      <w:r w:rsidRPr="00247374">
        <w:t xml:space="preserve"> procedures </w:t>
      </w:r>
      <w:r w:rsidR="00367765">
        <w:t>per year -</w:t>
      </w:r>
      <w:r>
        <w:t xml:space="preserve"> 13,276 in populati</w:t>
      </w:r>
      <w:r w:rsidR="00367765">
        <w:t>on 1 and 6,873 in population 2 -</w:t>
      </w:r>
      <w:r>
        <w:t xml:space="preserve"> at an MBS cost of $12.1 million per year. These costs were offset by $9.3 million in avoided TRUSGB/TPUSGB.</w:t>
      </w:r>
    </w:p>
    <w:p w14:paraId="5C91D59A" w14:textId="21B19976" w:rsidR="008E4C81" w:rsidRPr="00376F27" w:rsidRDefault="008E4C81" w:rsidP="00376F27">
      <w:pPr>
        <w:spacing w:after="240"/>
      </w:pPr>
      <w:r w:rsidRPr="006C6B7D">
        <w:t xml:space="preserve">MSAC noted that the financial estimates relied upon an assumption that the number of </w:t>
      </w:r>
      <w:proofErr w:type="spellStart"/>
      <w:r w:rsidRPr="006C6B7D">
        <w:t>mpMRIs</w:t>
      </w:r>
      <w:proofErr w:type="spellEnd"/>
      <w:r w:rsidRPr="006C6B7D">
        <w:t xml:space="preserve"> would be similar to the number of TRUGB/TPUSGB biopsies claimed on the MBS </w:t>
      </w:r>
      <w:r>
        <w:t xml:space="preserve">(approximately </w:t>
      </w:r>
      <w:r w:rsidRPr="006C6B7D">
        <w:t>20,000</w:t>
      </w:r>
      <w:r>
        <w:t xml:space="preserve"> per year)</w:t>
      </w:r>
      <w:r w:rsidRPr="006C6B7D">
        <w:t xml:space="preserve">. However, MSAC noted that using MBS claims for TRUSGB/TPUSGB was likely to underestimate the number of men eligible for </w:t>
      </w:r>
      <w:proofErr w:type="spellStart"/>
      <w:r w:rsidRPr="006C6B7D">
        <w:t>mpMRI</w:t>
      </w:r>
      <w:proofErr w:type="spellEnd"/>
      <w:r w:rsidRPr="006C6B7D">
        <w:t xml:space="preserve"> because some men refuse TRUSGB/TPUSGB</w:t>
      </w:r>
      <w:r>
        <w:t>;</w:t>
      </w:r>
      <w:r w:rsidRPr="006C6B7D">
        <w:t xml:space="preserve"> some men are already paying for </w:t>
      </w:r>
      <w:proofErr w:type="spellStart"/>
      <w:r w:rsidRPr="006C6B7D">
        <w:t>mpMRI</w:t>
      </w:r>
      <w:proofErr w:type="spellEnd"/>
      <w:r w:rsidRPr="006C6B7D">
        <w:t xml:space="preserve"> privately</w:t>
      </w:r>
      <w:r>
        <w:t>;</w:t>
      </w:r>
      <w:r w:rsidRPr="006C6B7D">
        <w:t xml:space="preserve"> and because of the ageing population</w:t>
      </w:r>
      <w:r>
        <w:t xml:space="preserve">. </w:t>
      </w:r>
      <w:r w:rsidRPr="006C6B7D">
        <w:t xml:space="preserve">MSAC noted that while sensitivity analyses of the financial impact of listing </w:t>
      </w:r>
      <w:proofErr w:type="spellStart"/>
      <w:r>
        <w:t>mpMRI</w:t>
      </w:r>
      <w:proofErr w:type="spellEnd"/>
      <w:r>
        <w:t xml:space="preserve"> </w:t>
      </w:r>
      <w:r w:rsidRPr="006C6B7D">
        <w:t xml:space="preserve">indicated </w:t>
      </w:r>
      <w:r>
        <w:t>it</w:t>
      </w:r>
      <w:r w:rsidRPr="006C6B7D">
        <w:t xml:space="preserve"> would be </w:t>
      </w:r>
      <w:r w:rsidR="00980342">
        <w:t xml:space="preserve">a </w:t>
      </w:r>
      <w:r w:rsidRPr="006C6B7D">
        <w:t xml:space="preserve">cost saving </w:t>
      </w:r>
      <w:r>
        <w:t xml:space="preserve">for the health system as a whole </w:t>
      </w:r>
      <w:r w:rsidRPr="006C6B7D">
        <w:t xml:space="preserve">in most scenarios, increasing the number of patients who had an </w:t>
      </w:r>
      <w:proofErr w:type="spellStart"/>
      <w:r w:rsidRPr="006C6B7D">
        <w:t>mpMRI</w:t>
      </w:r>
      <w:proofErr w:type="spellEnd"/>
      <w:r w:rsidRPr="006C6B7D">
        <w:t xml:space="preserve"> in population 1 from 13,</w:t>
      </w:r>
      <w:r>
        <w:t>276</w:t>
      </w:r>
      <w:r w:rsidRPr="006C6B7D">
        <w:t xml:space="preserve"> men to 20,000 men per year resulted in a net cost to the health system as a whole of $4.65 million per year.</w:t>
      </w:r>
    </w:p>
    <w:p w14:paraId="12F5E65D" w14:textId="3559019D" w:rsidR="008E4C81" w:rsidRDefault="008E4C81" w:rsidP="00376F27">
      <w:pPr>
        <w:spacing w:after="240"/>
      </w:pPr>
      <w:r w:rsidRPr="00763162">
        <w:t>MSAC</w:t>
      </w:r>
      <w:r>
        <w:t xml:space="preserve"> noted that the application did not include the following populations: 1) men with suspected </w:t>
      </w:r>
      <w:proofErr w:type="spellStart"/>
      <w:r>
        <w:t>PCa</w:t>
      </w:r>
      <w:proofErr w:type="spellEnd"/>
      <w:r>
        <w:t xml:space="preserve"> who have </w:t>
      </w:r>
      <w:r w:rsidR="004F55CE">
        <w:t xml:space="preserve">had </w:t>
      </w:r>
      <w:r>
        <w:t xml:space="preserve">a negative biopsy; 2) men with a known diagnosis of </w:t>
      </w:r>
      <w:proofErr w:type="spellStart"/>
      <w:r>
        <w:t>PCa</w:t>
      </w:r>
      <w:proofErr w:type="spellEnd"/>
      <w:r>
        <w:t xml:space="preserve"> in whom </w:t>
      </w:r>
      <w:proofErr w:type="spellStart"/>
      <w:r>
        <w:t>mpMRI</w:t>
      </w:r>
      <w:proofErr w:type="spellEnd"/>
      <w:r>
        <w:t xml:space="preserve"> was being used to stage </w:t>
      </w:r>
      <w:r w:rsidR="004F55CE">
        <w:t xml:space="preserve">disease </w:t>
      </w:r>
      <w:r>
        <w:t>or plan treatment</w:t>
      </w:r>
      <w:r w:rsidR="00980342">
        <w:t>;</w:t>
      </w:r>
      <w:r>
        <w:t xml:space="preserve"> or 3) men with suspected recurrent </w:t>
      </w:r>
      <w:proofErr w:type="spellStart"/>
      <w:r>
        <w:t>PCa</w:t>
      </w:r>
      <w:proofErr w:type="spellEnd"/>
      <w:r>
        <w:t xml:space="preserve"> after curative intent treatment. However, MSAC acknowledged that leakage to these populations, particularly for staging or treatment planning, was likely. While MSAC considered that some of this leakage could be contained through the item descriptor, the </w:t>
      </w:r>
      <w:r w:rsidR="004F55CE">
        <w:t xml:space="preserve">Committee </w:t>
      </w:r>
      <w:r>
        <w:t xml:space="preserve">was unable to identify a way to prevent use of the item for </w:t>
      </w:r>
      <w:r w:rsidR="004F55CE">
        <w:t>these populations</w:t>
      </w:r>
      <w:r>
        <w:t xml:space="preserve">. MSAC noted that some </w:t>
      </w:r>
      <w:r w:rsidR="004F55CE">
        <w:t xml:space="preserve">newer </w:t>
      </w:r>
      <w:r>
        <w:t xml:space="preserve">therapies, in particular partial gland therapy, relied upon imaging of the prostate. MSAC also noted that the </w:t>
      </w:r>
      <w:r w:rsidR="004F55CE">
        <w:t xml:space="preserve">Applicants </w:t>
      </w:r>
      <w:r>
        <w:t xml:space="preserve">had argued that clinical staging of </w:t>
      </w:r>
      <w:proofErr w:type="spellStart"/>
      <w:r>
        <w:t>PCa</w:t>
      </w:r>
      <w:proofErr w:type="spellEnd"/>
      <w:r>
        <w:t xml:space="preserve"> was inaccurate and that it would be </w:t>
      </w:r>
      <w:r w:rsidR="004F55CE">
        <w:t xml:space="preserve">exceptional </w:t>
      </w:r>
      <w:r>
        <w:t>for a patient to receive treatment without having undergone imaging.</w:t>
      </w:r>
    </w:p>
    <w:p w14:paraId="70992037" w14:textId="50463291" w:rsidR="008E4C81" w:rsidRDefault="008E4C81" w:rsidP="008E4C81">
      <w:r>
        <w:t xml:space="preserve">MSAC also </w:t>
      </w:r>
      <w:r w:rsidRPr="00451BA6">
        <w:t xml:space="preserve">noted that the availability of </w:t>
      </w:r>
      <w:proofErr w:type="spellStart"/>
      <w:r w:rsidRPr="00451BA6">
        <w:t>mpMRI</w:t>
      </w:r>
      <w:proofErr w:type="spellEnd"/>
      <w:r w:rsidRPr="00451BA6">
        <w:t xml:space="preserve"> could increase the attractiveness of using PSA for screening and </w:t>
      </w:r>
      <w:r w:rsidR="004F55CE">
        <w:t xml:space="preserve">therefore </w:t>
      </w:r>
      <w:r w:rsidRPr="00451BA6">
        <w:t>increase rates of PSA testing</w:t>
      </w:r>
      <w:r>
        <w:t>. MSAC suggested that it may be more difficult to deter clinicians from inappropriately using PSA testing for screening purposes if the follow-up test is non-invasive in nature (</w:t>
      </w:r>
      <w:proofErr w:type="spellStart"/>
      <w:r>
        <w:t>mpMRI</w:t>
      </w:r>
      <w:proofErr w:type="spellEnd"/>
      <w:r>
        <w:t>), in contrast to</w:t>
      </w:r>
      <w:r w:rsidRPr="00451BA6">
        <w:t xml:space="preserve"> the </w:t>
      </w:r>
      <w:r>
        <w:t xml:space="preserve">existing </w:t>
      </w:r>
      <w:r w:rsidRPr="00451BA6">
        <w:t>invasive TRUSGB/TPUSGB</w:t>
      </w:r>
      <w:r>
        <w:t xml:space="preserve"> procedures</w:t>
      </w:r>
      <w:r w:rsidRPr="00451BA6">
        <w:t>.</w:t>
      </w:r>
      <w:r>
        <w:t xml:space="preserve"> MSAC </w:t>
      </w:r>
      <w:r w:rsidRPr="00451BA6">
        <w:t xml:space="preserve">noted that any increase in the use of PSA for screening could therefore </w:t>
      </w:r>
      <w:r>
        <w:t xml:space="preserve">further </w:t>
      </w:r>
      <w:r w:rsidRPr="00451BA6">
        <w:t xml:space="preserve">increase the use of </w:t>
      </w:r>
      <w:proofErr w:type="spellStart"/>
      <w:r w:rsidRPr="00451BA6">
        <w:t>mpMRI</w:t>
      </w:r>
      <w:proofErr w:type="spellEnd"/>
      <w:r w:rsidRPr="00451BA6">
        <w:t xml:space="preserve"> above that estimated in the application.</w:t>
      </w:r>
      <w:r w:rsidRPr="00320412">
        <w:t xml:space="preserve"> </w:t>
      </w:r>
      <w:r>
        <w:t xml:space="preserve">MSAC indicated that while restricting the authority to request </w:t>
      </w:r>
      <w:proofErr w:type="spellStart"/>
      <w:r>
        <w:t>mpMRIs</w:t>
      </w:r>
      <w:proofErr w:type="spellEnd"/>
      <w:r>
        <w:t xml:space="preserve"> to specialists only and limiting the number of </w:t>
      </w:r>
      <w:proofErr w:type="spellStart"/>
      <w:r>
        <w:t>mpMRIs</w:t>
      </w:r>
      <w:proofErr w:type="spellEnd"/>
      <w:r>
        <w:t xml:space="preserve"> performed per patient over a year may help to prevent this, it was unlikely that such measures would fully address these concerns.</w:t>
      </w:r>
    </w:p>
    <w:p w14:paraId="6C0D9783" w14:textId="300EB620" w:rsidR="008E4C81" w:rsidRDefault="008E4C81" w:rsidP="00376F27">
      <w:pPr>
        <w:spacing w:after="240"/>
      </w:pPr>
      <w:r>
        <w:lastRenderedPageBreak/>
        <w:t>MSAC recommended modelling of the financial impact of use outside the proposed populations, using a scenario that assumes all men with early</w:t>
      </w:r>
      <w:r w:rsidR="004F55CE">
        <w:t>-stage</w:t>
      </w:r>
      <w:r>
        <w:t xml:space="preserve"> </w:t>
      </w:r>
      <w:proofErr w:type="spellStart"/>
      <w:r>
        <w:t>PCa</w:t>
      </w:r>
      <w:proofErr w:type="spellEnd"/>
      <w:r>
        <w:t xml:space="preserve"> receive an </w:t>
      </w:r>
      <w:proofErr w:type="spellStart"/>
      <w:r>
        <w:t>mpMRI</w:t>
      </w:r>
      <w:proofErr w:type="spellEnd"/>
      <w:r>
        <w:t xml:space="preserve">. MSAC suggested that information on the use of PSA testing, the proportion of men with a high or concerning PSA levels requiring further investigation, estimates of the number of men diagnosed with early </w:t>
      </w:r>
      <w:proofErr w:type="spellStart"/>
      <w:r>
        <w:t>PCa</w:t>
      </w:r>
      <w:proofErr w:type="spellEnd"/>
      <w:r>
        <w:t xml:space="preserve"> and trends in the use of TRUSGB/TPUSGB would be useful to inform the model. MSAC suggested that such information and modelling could be undertaken by the Department for consideration at the July 2017 MSAC meeting.</w:t>
      </w:r>
    </w:p>
    <w:p w14:paraId="5260941D" w14:textId="03E5FFB1" w:rsidR="008E4C81" w:rsidRDefault="008E4C81" w:rsidP="00376F27">
      <w:pPr>
        <w:spacing w:after="240"/>
      </w:pPr>
      <w:r>
        <w:t xml:space="preserve">MSAC </w:t>
      </w:r>
      <w:r w:rsidRPr="00CB5D37">
        <w:t>questioned the suggested fee of $600, which is based upon the current market price, and is higher than the MBS fees for similar MRI procedures (e.g. item 63476 MRI scan of the pelvis for the initial staging of rectal cancer: ~$403).</w:t>
      </w:r>
      <w:r>
        <w:t xml:space="preserve"> MSAC noted that the applicants did not provide any justification as to why the market fee of $600 should be accepted and indicated that the financial impact estimates to be undertaken should use $400 as the fee.</w:t>
      </w:r>
    </w:p>
    <w:p w14:paraId="68DB04A2" w14:textId="656FCA4A" w:rsidR="008E4C81" w:rsidRDefault="008E4C81" w:rsidP="00376F27">
      <w:pPr>
        <w:spacing w:after="240"/>
      </w:pPr>
      <w:r>
        <w:t xml:space="preserve">MSAC noted that </w:t>
      </w:r>
      <w:r w:rsidRPr="00822A2D">
        <w:t xml:space="preserve">there may be issues with inter-reader reliability when using </w:t>
      </w:r>
      <w:proofErr w:type="spellStart"/>
      <w:r w:rsidRPr="00822A2D">
        <w:t>mpMRI</w:t>
      </w:r>
      <w:proofErr w:type="spellEnd"/>
      <w:r w:rsidRPr="00822A2D">
        <w:t xml:space="preserve"> to determine PI-RADS scores</w:t>
      </w:r>
      <w:r>
        <w:t xml:space="preserve">. In studies </w:t>
      </w:r>
      <w:r w:rsidRPr="00822A2D">
        <w:t xml:space="preserve">in which different readers reviewed the same </w:t>
      </w:r>
      <w:proofErr w:type="spellStart"/>
      <w:r w:rsidRPr="00822A2D">
        <w:t>mpMRI</w:t>
      </w:r>
      <w:proofErr w:type="spellEnd"/>
      <w:r w:rsidRPr="00822A2D">
        <w:t xml:space="preserve"> images </w:t>
      </w:r>
      <w:r>
        <w:t xml:space="preserve">to </w:t>
      </w:r>
      <w:r w:rsidRPr="00822A2D">
        <w:t xml:space="preserve">separately assign a PI-RADS score, the kappa statistic </w:t>
      </w:r>
      <w:r>
        <w:t xml:space="preserve">measuring agreement between the readers </w:t>
      </w:r>
      <w:r w:rsidRPr="00822A2D">
        <w:t xml:space="preserve">ranged from 0.48 to 0.81 (a kappa of 1.0 indicates complete agreement between readers). </w:t>
      </w:r>
      <w:r>
        <w:t>MSAC noted that the introduction of PI-RADS</w:t>
      </w:r>
      <w:r w:rsidR="00A11A2F">
        <w:t xml:space="preserve"> </w:t>
      </w:r>
      <w:r>
        <w:t>v</w:t>
      </w:r>
      <w:r w:rsidR="00A11A2F">
        <w:t>.</w:t>
      </w:r>
      <w:r>
        <w:t xml:space="preserve">2 may have improved inter-reader reliability. However, MSAC recommended that an accreditation and training program, specific to imaging of the prostate, would need to be implemented. MSAC indicated a preference that this program </w:t>
      </w:r>
      <w:proofErr w:type="gramStart"/>
      <w:r>
        <w:t>be</w:t>
      </w:r>
      <w:proofErr w:type="gramEnd"/>
      <w:r>
        <w:t xml:space="preserve"> in place before </w:t>
      </w:r>
      <w:proofErr w:type="spellStart"/>
      <w:r>
        <w:t>mpMRI</w:t>
      </w:r>
      <w:proofErr w:type="spellEnd"/>
      <w:r>
        <w:t xml:space="preserve"> is listed on the MBS. MSAC noted that the </w:t>
      </w:r>
      <w:r w:rsidRPr="003E0392">
        <w:t>Royal Australian and New Zealand College of Radiologists</w:t>
      </w:r>
      <w:r>
        <w:t xml:space="preserve"> (RANZCR) had indicated that it was currently working on quality assurance measures for </w:t>
      </w:r>
      <w:proofErr w:type="spellStart"/>
      <w:r>
        <w:t>mpMRI</w:t>
      </w:r>
      <w:proofErr w:type="spellEnd"/>
      <w:r>
        <w:t xml:space="preserve">. </w:t>
      </w:r>
    </w:p>
    <w:p w14:paraId="354DB56F" w14:textId="33104799" w:rsidR="00550354" w:rsidRPr="008E4C81" w:rsidRDefault="008E4C81" w:rsidP="008E4C81">
      <w:r>
        <w:t xml:space="preserve">MSAC noted that men are already accessing </w:t>
      </w:r>
      <w:proofErr w:type="spellStart"/>
      <w:r>
        <w:t>mpMRI</w:t>
      </w:r>
      <w:proofErr w:type="spellEnd"/>
      <w:r>
        <w:t xml:space="preserve"> privately and that this raised issues of equity </w:t>
      </w:r>
      <w:r w:rsidR="00A11A2F">
        <w:t xml:space="preserve">of </w:t>
      </w:r>
      <w:r>
        <w:t>access due to an individual’s ability to pay out of pocket costs.</w:t>
      </w:r>
    </w:p>
    <w:p w14:paraId="01364376" w14:textId="77777777" w:rsidR="00BC1364" w:rsidRPr="00F715D1" w:rsidRDefault="00BC1364" w:rsidP="008E4C81">
      <w:pPr>
        <w:pStyle w:val="Heading1"/>
        <w:ind w:hanging="502"/>
      </w:pPr>
      <w:r w:rsidRPr="00F715D1">
        <w:t>Background</w:t>
      </w:r>
    </w:p>
    <w:p w14:paraId="19C6BB12" w14:textId="77777777" w:rsidR="009F154B" w:rsidRPr="00042F1C" w:rsidRDefault="009F154B" w:rsidP="009F154B">
      <w:pPr>
        <w:spacing w:after="120"/>
        <w:rPr>
          <w:szCs w:val="24"/>
        </w:rPr>
      </w:pPr>
      <w:r>
        <w:rPr>
          <w:szCs w:val="24"/>
        </w:rPr>
        <w:t>The initial</w:t>
      </w:r>
      <w:r w:rsidRPr="00785685">
        <w:rPr>
          <w:szCs w:val="24"/>
        </w:rPr>
        <w:t xml:space="preserve"> application </w:t>
      </w:r>
      <w:r w:rsidRPr="00B03623">
        <w:t>(1397: Prostate MRI)</w:t>
      </w:r>
      <w:r w:rsidRPr="00785685">
        <w:t xml:space="preserve"> </w:t>
      </w:r>
      <w:r w:rsidRPr="00785685">
        <w:rPr>
          <w:szCs w:val="24"/>
        </w:rPr>
        <w:t>was reviewed by the Protocol Advisory Sub-committee (PASC)</w:t>
      </w:r>
      <w:r>
        <w:rPr>
          <w:szCs w:val="24"/>
        </w:rPr>
        <w:t xml:space="preserve"> in April 2015 and August 2015.</w:t>
      </w:r>
      <w:r w:rsidRPr="00785685">
        <w:rPr>
          <w:szCs w:val="24"/>
        </w:rPr>
        <w:t xml:space="preserve"> </w:t>
      </w:r>
      <w:r w:rsidRPr="00785685">
        <w:t>PASC advised that the initial application should be spilt into two applications:</w:t>
      </w:r>
    </w:p>
    <w:p w14:paraId="780353AA" w14:textId="77777777" w:rsidR="009F154B" w:rsidRPr="00785685" w:rsidRDefault="009F154B" w:rsidP="009F154B">
      <w:pPr>
        <w:pStyle w:val="ListParagraph"/>
        <w:numPr>
          <w:ilvl w:val="0"/>
          <w:numId w:val="34"/>
        </w:numPr>
      </w:pPr>
      <w:r w:rsidRPr="00785685">
        <w:t xml:space="preserve">Intervention for Diagnostic </w:t>
      </w:r>
      <w:proofErr w:type="spellStart"/>
      <w:r w:rsidRPr="00785685">
        <w:t>mpMRI</w:t>
      </w:r>
      <w:proofErr w:type="spellEnd"/>
      <w:r w:rsidRPr="00785685">
        <w:t>; and</w:t>
      </w:r>
    </w:p>
    <w:p w14:paraId="32AD99F5" w14:textId="77777777" w:rsidR="009F154B" w:rsidRPr="00785685" w:rsidRDefault="009F154B" w:rsidP="009F154B">
      <w:pPr>
        <w:pStyle w:val="ListParagraph"/>
        <w:numPr>
          <w:ilvl w:val="0"/>
          <w:numId w:val="34"/>
        </w:numPr>
      </w:pPr>
      <w:r w:rsidRPr="00042F1C">
        <w:rPr>
          <w:bCs/>
          <w:iCs/>
        </w:rPr>
        <w:t>Intervention for MR-guided biopsy.</w:t>
      </w:r>
    </w:p>
    <w:p w14:paraId="48F80B2B" w14:textId="77777777" w:rsidR="009F154B" w:rsidRPr="00B03623" w:rsidRDefault="009F154B" w:rsidP="009F154B">
      <w:pPr>
        <w:spacing w:before="240"/>
        <w:rPr>
          <w:szCs w:val="24"/>
        </w:rPr>
      </w:pPr>
      <w:r w:rsidRPr="00B03623">
        <w:t xml:space="preserve">There is now a separate application for </w:t>
      </w:r>
      <w:proofErr w:type="spellStart"/>
      <w:r w:rsidRPr="00B03623">
        <w:t>mpMRI</w:t>
      </w:r>
      <w:proofErr w:type="spellEnd"/>
      <w:r w:rsidRPr="00B03623">
        <w:rPr>
          <w:szCs w:val="24"/>
        </w:rPr>
        <w:t xml:space="preserve"> prostate diagnostic scans for diagnosis of prostate cancer (MSAC application 1397) and MR-guided biopsy procedures for diagnosis of prostate cancer (MSAC application 1424).</w:t>
      </w:r>
    </w:p>
    <w:p w14:paraId="6ED14F2E" w14:textId="77777777" w:rsidR="009F154B" w:rsidRPr="001E3FA4" w:rsidRDefault="009F154B" w:rsidP="009F154B">
      <w:pPr>
        <w:spacing w:before="240" w:line="276" w:lineRule="auto"/>
      </w:pPr>
      <w:r>
        <w:t xml:space="preserve">MSAC </w:t>
      </w:r>
      <w:r w:rsidR="00C607B4">
        <w:t>also considered Application 1424</w:t>
      </w:r>
      <w:r>
        <w:t xml:space="preserve"> at its April 2017 meeting. </w:t>
      </w:r>
      <w:r w:rsidRPr="00760F6C">
        <w:t>Further information can be found in the Public Summary Document on the MSAC website.</w:t>
      </w:r>
    </w:p>
    <w:p w14:paraId="6ED77A64" w14:textId="77777777" w:rsidR="00BC1364" w:rsidRPr="00F715D1" w:rsidRDefault="00BC1364" w:rsidP="008E4C81">
      <w:pPr>
        <w:pStyle w:val="Heading1"/>
        <w:ind w:hanging="502"/>
      </w:pPr>
      <w:r w:rsidRPr="00F715D1">
        <w:t>Prerequisites to implementation of any funding advice</w:t>
      </w:r>
    </w:p>
    <w:p w14:paraId="5B7F30B5" w14:textId="77777777" w:rsidR="00C607B4" w:rsidRPr="00901E6F" w:rsidRDefault="00C607B4" w:rsidP="00C607B4">
      <w:pPr>
        <w:tabs>
          <w:tab w:val="left" w:pos="720"/>
          <w:tab w:val="left" w:pos="1140"/>
        </w:tabs>
        <w:spacing w:after="240"/>
        <w:rPr>
          <w:szCs w:val="24"/>
        </w:rPr>
      </w:pPr>
      <w:r w:rsidRPr="00901E6F">
        <w:rPr>
          <w:szCs w:val="24"/>
        </w:rPr>
        <w:t>MRI systems are registered with the Therapeutic Goods Administration (TGA) on the Australian Register of Therapeutic Goods (ARTG).</w:t>
      </w:r>
    </w:p>
    <w:p w14:paraId="397C7CA0" w14:textId="77777777" w:rsidR="00BC1364" w:rsidRPr="00F715D1" w:rsidRDefault="00BC1364" w:rsidP="008E4C81">
      <w:pPr>
        <w:pStyle w:val="Heading1"/>
        <w:ind w:hanging="502"/>
      </w:pPr>
      <w:r w:rsidRPr="00F715D1">
        <w:t>Proposal for public funding</w:t>
      </w:r>
    </w:p>
    <w:p w14:paraId="77C5DD0A" w14:textId="77777777" w:rsidR="001237BD" w:rsidRPr="00183E4D" w:rsidRDefault="001237BD" w:rsidP="00F548BE">
      <w:pPr>
        <w:spacing w:after="240"/>
      </w:pPr>
      <w:r w:rsidRPr="00183E4D">
        <w:t>The proposed MBS item descriptor</w:t>
      </w:r>
      <w:r w:rsidR="00C607B4">
        <w:t>s are</w:t>
      </w:r>
      <w:r w:rsidRPr="00183E4D">
        <w:t xml:space="preserve"> summarised in</w:t>
      </w:r>
      <w:bookmarkStart w:id="1" w:name="_Ref373485347"/>
      <w:bookmarkStart w:id="2" w:name="_Ref373485342"/>
      <w:r w:rsidRPr="00183E4D">
        <w:t xml:space="preserve"> </w:t>
      </w:r>
      <w:r w:rsidR="0050052C">
        <w:t>Table 1</w:t>
      </w:r>
      <w:r w:rsidRPr="00183E4D">
        <w:t>.</w:t>
      </w:r>
    </w:p>
    <w:p w14:paraId="7CBDBD71" w14:textId="77777777" w:rsidR="001237BD" w:rsidRPr="00466B3D" w:rsidRDefault="001237BD" w:rsidP="00F548BE">
      <w:pPr>
        <w:pStyle w:val="Caption"/>
        <w:spacing w:after="120"/>
      </w:pPr>
      <w:bookmarkStart w:id="3" w:name="_Ref394849669"/>
      <w:bookmarkStart w:id="4" w:name="_Toc455648024"/>
      <w:bookmarkStart w:id="5" w:name="_Toc471382706"/>
      <w:bookmarkEnd w:id="1"/>
      <w:bookmarkEnd w:id="2"/>
      <w:r w:rsidRPr="00466B3D">
        <w:lastRenderedPageBreak/>
        <w:t xml:space="preserve">Table </w:t>
      </w:r>
      <w:bookmarkEnd w:id="3"/>
      <w:r w:rsidR="0050052C">
        <w:t>1</w:t>
      </w:r>
      <w:r w:rsidRPr="00466B3D">
        <w:tab/>
        <w:t>Proposed MBS item descriptor</w:t>
      </w:r>
      <w:bookmarkEnd w:id="4"/>
      <w:bookmarkEnd w:id="5"/>
      <w:r w:rsidR="00C607B4">
        <w:t>s</w:t>
      </w:r>
    </w:p>
    <w:tbl>
      <w:tblPr>
        <w:tblStyle w:val="TableGrid2"/>
        <w:tblW w:w="9112" w:type="dxa"/>
        <w:tblLook w:val="04A0" w:firstRow="1" w:lastRow="0" w:firstColumn="1" w:lastColumn="0" w:noHBand="0" w:noVBand="1"/>
        <w:tblDescription w:val="Proposed MBS item descriptors for multiparametric MRI (mpMRI) scans of the prostate"/>
      </w:tblPr>
      <w:tblGrid>
        <w:gridCol w:w="9112"/>
      </w:tblGrid>
      <w:tr w:rsidR="001237BD" w:rsidRPr="00C317BE" w14:paraId="6FFB3B76" w14:textId="77777777" w:rsidTr="00BA67A5">
        <w:trPr>
          <w:cnfStyle w:val="100000000000" w:firstRow="1" w:lastRow="0" w:firstColumn="0" w:lastColumn="0" w:oddVBand="0" w:evenVBand="0" w:oddHBand="0" w:evenHBand="0" w:firstRowFirstColumn="0" w:firstRowLastColumn="0" w:lastRowFirstColumn="0" w:lastRowLastColumn="0"/>
          <w:tblHeader/>
        </w:trPr>
        <w:tc>
          <w:tcPr>
            <w:tcW w:w="9111" w:type="dxa"/>
          </w:tcPr>
          <w:p w14:paraId="16199F26" w14:textId="77777777" w:rsidR="001237BD" w:rsidRPr="00C317BE" w:rsidRDefault="001237BD" w:rsidP="008E4C81">
            <w:pPr>
              <w:pStyle w:val="Tableheading"/>
            </w:pPr>
            <w:r w:rsidRPr="00C317BE">
              <w:t>Category 5 – Diagnostic Imaging Services</w:t>
            </w:r>
          </w:p>
        </w:tc>
      </w:tr>
      <w:tr w:rsidR="001237BD" w:rsidRPr="004318C9" w14:paraId="777C1931" w14:textId="77777777" w:rsidTr="00BA67A5">
        <w:tc>
          <w:tcPr>
            <w:tcW w:w="9111" w:type="dxa"/>
          </w:tcPr>
          <w:p w14:paraId="142502B9" w14:textId="77777777" w:rsidR="001237BD" w:rsidRPr="00F864D9" w:rsidRDefault="001237BD" w:rsidP="008E4C81">
            <w:pPr>
              <w:pStyle w:val="Tabletext"/>
            </w:pPr>
            <w:r w:rsidRPr="00F864D9">
              <w:t>MBS [item number]</w:t>
            </w:r>
          </w:p>
          <w:p w14:paraId="6AE63990" w14:textId="77777777" w:rsidR="001237BD" w:rsidRDefault="001237BD" w:rsidP="008E4C81">
            <w:pPr>
              <w:pStyle w:val="Tabletext"/>
            </w:pPr>
            <w:proofErr w:type="spellStart"/>
            <w:r w:rsidRPr="004318C9">
              <w:t>Mul</w:t>
            </w:r>
            <w:r>
              <w:t>t</w:t>
            </w:r>
            <w:r w:rsidRPr="004318C9">
              <w:t>iparametric</w:t>
            </w:r>
            <w:proofErr w:type="spellEnd"/>
            <w:r w:rsidRPr="004318C9">
              <w:t xml:space="preserve"> Magnetic Resonance Imaging (</w:t>
            </w:r>
            <w:proofErr w:type="spellStart"/>
            <w:r w:rsidRPr="004318C9">
              <w:t>mpMRI</w:t>
            </w:r>
            <w:proofErr w:type="spellEnd"/>
            <w:r w:rsidRPr="004318C9">
              <w:t xml:space="preserve">) </w:t>
            </w:r>
            <w:r w:rsidRPr="00AA1BF8">
              <w:t>performed under the professional supervision of an eligible provider at an eligible location where the patient is referred by</w:t>
            </w:r>
            <w:r>
              <w:t xml:space="preserve"> </w:t>
            </w:r>
            <w:r w:rsidRPr="008464AF">
              <w:t>an urologist, radiation oncologist, or medical oncologist</w:t>
            </w:r>
            <w:r>
              <w:t xml:space="preserve"> and where:</w:t>
            </w:r>
          </w:p>
          <w:p w14:paraId="1D3B38A9" w14:textId="77777777" w:rsidR="001237BD" w:rsidRPr="00F864D9" w:rsidRDefault="001237BD" w:rsidP="008E4C81">
            <w:pPr>
              <w:pStyle w:val="Tabletext"/>
            </w:pPr>
            <w:r>
              <w:t xml:space="preserve">a) </w:t>
            </w:r>
            <w:r w:rsidRPr="00F864D9">
              <w:t>a standardised image acquisition protocol involving T2 weighted imaging, Diffusion Weighted Imaging, and Dynamic Contrast Enhancement (unless contraindicated) is used; and</w:t>
            </w:r>
          </w:p>
          <w:p w14:paraId="03F95BE1" w14:textId="77777777" w:rsidR="001237BD" w:rsidRPr="00F864D9" w:rsidRDefault="001237BD" w:rsidP="008E4C81">
            <w:pPr>
              <w:pStyle w:val="Tabletext"/>
            </w:pPr>
            <w:r>
              <w:t xml:space="preserve">b) </w:t>
            </w:r>
            <w:proofErr w:type="gramStart"/>
            <w:r w:rsidRPr="00F864D9">
              <w:t>the</w:t>
            </w:r>
            <w:proofErr w:type="gramEnd"/>
            <w:r w:rsidRPr="00F864D9">
              <w:t xml:space="preserve"> man is suspected of having prostate cancer on the basis of a high or concerning PSA.</w:t>
            </w:r>
          </w:p>
          <w:p w14:paraId="104667DC" w14:textId="77777777" w:rsidR="001237BD" w:rsidRDefault="001237BD" w:rsidP="008E4C81">
            <w:pPr>
              <w:pStyle w:val="Tabletext"/>
            </w:pPr>
            <w:r>
              <w:t>S</w:t>
            </w:r>
            <w:r w:rsidRPr="004318C9">
              <w:t xml:space="preserve">can of the prostate </w:t>
            </w:r>
            <w:r>
              <w:t>for:</w:t>
            </w:r>
          </w:p>
          <w:p w14:paraId="780B2156" w14:textId="77777777" w:rsidR="001237BD" w:rsidRPr="00576049" w:rsidRDefault="001237BD" w:rsidP="008E4C81">
            <w:pPr>
              <w:pStyle w:val="Tabletext"/>
            </w:pPr>
            <w:r>
              <w:t>– detection of cancer</w:t>
            </w:r>
            <w:r w:rsidRPr="00576049">
              <w:t xml:space="preserve"> </w:t>
            </w:r>
            <w:r>
              <w:t>(R)(Contrast)</w:t>
            </w:r>
          </w:p>
          <w:p w14:paraId="5E0AC5D8" w14:textId="77777777" w:rsidR="001237BD" w:rsidRPr="00F864D9" w:rsidRDefault="001237BD" w:rsidP="008E4C81">
            <w:pPr>
              <w:pStyle w:val="Tabletext"/>
            </w:pPr>
            <w:r w:rsidRPr="00F864D9">
              <w:t>Fee: [Applicant advises that current fee charged is $600]</w:t>
            </w:r>
          </w:p>
          <w:p w14:paraId="5E54D4FF" w14:textId="77777777" w:rsidR="001237BD" w:rsidRPr="00927DBB" w:rsidRDefault="001237BD" w:rsidP="008E4C81">
            <w:pPr>
              <w:pStyle w:val="Tabletext"/>
            </w:pPr>
            <w:r w:rsidRPr="00F864D9">
              <w:t>[Relevant explanatory notes]</w:t>
            </w:r>
            <w:r w:rsidRPr="004318C9">
              <w:t xml:space="preserve"> </w:t>
            </w:r>
          </w:p>
        </w:tc>
      </w:tr>
      <w:tr w:rsidR="001237BD" w:rsidRPr="004318C9" w14:paraId="31D68347" w14:textId="77777777" w:rsidTr="00BA67A5">
        <w:tc>
          <w:tcPr>
            <w:tcW w:w="9111" w:type="dxa"/>
          </w:tcPr>
          <w:p w14:paraId="6EDF75D8" w14:textId="77777777" w:rsidR="001237BD" w:rsidRPr="00F864D9" w:rsidRDefault="001237BD" w:rsidP="008E4C81">
            <w:pPr>
              <w:pStyle w:val="Tabletext"/>
            </w:pPr>
            <w:r w:rsidRPr="00F864D9">
              <w:t>MBS [item number]</w:t>
            </w:r>
          </w:p>
          <w:p w14:paraId="0DB8C1DA" w14:textId="77777777" w:rsidR="001237BD" w:rsidRPr="008464AF" w:rsidRDefault="001237BD" w:rsidP="008E4C81">
            <w:pPr>
              <w:pStyle w:val="Tabletext"/>
            </w:pPr>
            <w:proofErr w:type="spellStart"/>
            <w:r w:rsidRPr="008464AF">
              <w:t>Multiparametric</w:t>
            </w:r>
            <w:proofErr w:type="spellEnd"/>
            <w:r w:rsidRPr="008464AF">
              <w:t xml:space="preserve"> Magnetic Resonance Imaging (</w:t>
            </w:r>
            <w:proofErr w:type="spellStart"/>
            <w:r w:rsidRPr="008464AF">
              <w:t>mpMRI</w:t>
            </w:r>
            <w:proofErr w:type="spellEnd"/>
            <w:r w:rsidRPr="008464AF">
              <w:t>) performed under the professional supervision of an eligible provider at an eligible location where the patient is referred by an urologist, radiation oncologist, or medical oncologist and where:</w:t>
            </w:r>
          </w:p>
          <w:p w14:paraId="03F18EB5" w14:textId="77777777" w:rsidR="001237BD" w:rsidRPr="00F864D9" w:rsidRDefault="001237BD" w:rsidP="008E4C81">
            <w:pPr>
              <w:pStyle w:val="Tabletext"/>
            </w:pPr>
            <w:r>
              <w:t xml:space="preserve">a) </w:t>
            </w:r>
            <w:r w:rsidRPr="00F864D9">
              <w:t>a standardised image acquisition protocol involving T2 weighted imaging, Diffusion Weighted Imaging, and Dynamic Contrast Enhancement (unless contraindicated) is used; and</w:t>
            </w:r>
          </w:p>
          <w:p w14:paraId="64FC664E" w14:textId="77777777" w:rsidR="001237BD" w:rsidRPr="00F864D9" w:rsidRDefault="001237BD" w:rsidP="008E4C81">
            <w:pPr>
              <w:pStyle w:val="Tabletext"/>
            </w:pPr>
            <w:r>
              <w:t xml:space="preserve">b) </w:t>
            </w:r>
            <w:proofErr w:type="gramStart"/>
            <w:r w:rsidRPr="00F864D9">
              <w:t>the</w:t>
            </w:r>
            <w:proofErr w:type="gramEnd"/>
            <w:r w:rsidRPr="00F864D9">
              <w:t xml:space="preserve"> man has an existing diagnosis of low or intermediate risk prostate cancer and is undertaking Active Surveillance.</w:t>
            </w:r>
          </w:p>
          <w:p w14:paraId="41EDB326" w14:textId="77777777" w:rsidR="001237BD" w:rsidRPr="008464AF" w:rsidRDefault="001237BD" w:rsidP="008E4C81">
            <w:pPr>
              <w:pStyle w:val="Tabletext"/>
            </w:pPr>
            <w:r w:rsidRPr="008464AF">
              <w:t>Scan of the prostate for:</w:t>
            </w:r>
          </w:p>
          <w:p w14:paraId="56FE9976" w14:textId="77777777" w:rsidR="001237BD" w:rsidRDefault="001237BD" w:rsidP="008E4C81">
            <w:pPr>
              <w:pStyle w:val="Tabletext"/>
            </w:pPr>
            <w:r w:rsidRPr="008464AF">
              <w:t xml:space="preserve">– </w:t>
            </w:r>
            <w:r>
              <w:t>assessment</w:t>
            </w:r>
            <w:r w:rsidRPr="008464AF">
              <w:t xml:space="preserve"> of cancer (R)(Contrast)</w:t>
            </w:r>
          </w:p>
          <w:p w14:paraId="005229D9" w14:textId="77777777" w:rsidR="001237BD" w:rsidRPr="00F864D9" w:rsidRDefault="001237BD" w:rsidP="008E4C81">
            <w:pPr>
              <w:pStyle w:val="Tabletext"/>
            </w:pPr>
            <w:r w:rsidRPr="00F864D9">
              <w:t>Fee: [Applicant advises that current fee charged is $600]</w:t>
            </w:r>
          </w:p>
          <w:p w14:paraId="6B1C2579" w14:textId="77777777" w:rsidR="001237BD" w:rsidRPr="00927DBB" w:rsidRDefault="001237BD" w:rsidP="008E4C81">
            <w:pPr>
              <w:pStyle w:val="Tabletext"/>
            </w:pPr>
            <w:r w:rsidRPr="00F864D9">
              <w:t>[Relevant explanatory notes]</w:t>
            </w:r>
            <w:r w:rsidRPr="004318C9">
              <w:t xml:space="preserve"> </w:t>
            </w:r>
          </w:p>
        </w:tc>
      </w:tr>
    </w:tbl>
    <w:p w14:paraId="0D770773" w14:textId="77777777" w:rsidR="0065346C" w:rsidRDefault="0065346C" w:rsidP="0065346C">
      <w:pPr>
        <w:pStyle w:val="Heading1"/>
        <w:numPr>
          <w:ilvl w:val="0"/>
          <w:numId w:val="0"/>
        </w:numPr>
        <w:spacing w:after="0"/>
        <w:ind w:left="505" w:hanging="505"/>
        <w:rPr>
          <w:rFonts w:ascii="Times New Roman" w:hAnsi="Times New Roman"/>
          <w:b w:val="0"/>
        </w:rPr>
      </w:pPr>
      <w:r w:rsidRPr="0065346C">
        <w:rPr>
          <w:rFonts w:ascii="Times New Roman" w:hAnsi="Times New Roman"/>
          <w:b w:val="0"/>
        </w:rPr>
        <w:t xml:space="preserve">The </w:t>
      </w:r>
      <w:r>
        <w:rPr>
          <w:rFonts w:ascii="Times New Roman" w:hAnsi="Times New Roman"/>
          <w:b w:val="0"/>
        </w:rPr>
        <w:t>applicant pre</w:t>
      </w:r>
      <w:r w:rsidR="00A11A2F">
        <w:rPr>
          <w:rFonts w:ascii="Times New Roman" w:hAnsi="Times New Roman"/>
          <w:b w:val="0"/>
        </w:rPr>
        <w:t>-</w:t>
      </w:r>
      <w:r>
        <w:rPr>
          <w:rFonts w:ascii="Times New Roman" w:hAnsi="Times New Roman"/>
          <w:b w:val="0"/>
        </w:rPr>
        <w:t>MSAC response suggested amending the first descriptor to include:</w:t>
      </w:r>
    </w:p>
    <w:p w14:paraId="2A657349" w14:textId="77777777" w:rsidR="0065346C" w:rsidRDefault="0065346C" w:rsidP="0065346C">
      <w:r>
        <w:t>Patients who are suspected of having prostate cancer on the basis of any of the following</w:t>
      </w:r>
    </w:p>
    <w:p w14:paraId="11048D51" w14:textId="77777777" w:rsidR="0065346C" w:rsidRDefault="0065346C" w:rsidP="0065346C">
      <w:pPr>
        <w:pStyle w:val="ListParagraph"/>
        <w:numPr>
          <w:ilvl w:val="0"/>
          <w:numId w:val="36"/>
        </w:numPr>
      </w:pPr>
      <w:r>
        <w:t>a PSA level greater than 3mg/L (or lower level in men younger than 50 years); or</w:t>
      </w:r>
    </w:p>
    <w:p w14:paraId="76AE0F13" w14:textId="77777777" w:rsidR="0065346C" w:rsidRDefault="0065346C" w:rsidP="0065346C">
      <w:pPr>
        <w:pStyle w:val="ListParagraph"/>
        <w:numPr>
          <w:ilvl w:val="0"/>
          <w:numId w:val="36"/>
        </w:numPr>
      </w:pPr>
      <w:r>
        <w:t>a positive family history (includes breast cancer [</w:t>
      </w:r>
      <w:r w:rsidRPr="00376F27">
        <w:rPr>
          <w:i/>
        </w:rPr>
        <w:t>BRCA</w:t>
      </w:r>
      <w:r>
        <w:t>] gene mutation); or</w:t>
      </w:r>
    </w:p>
    <w:p w14:paraId="0E854404" w14:textId="77777777" w:rsidR="0065346C" w:rsidRDefault="0065346C" w:rsidP="0065346C">
      <w:pPr>
        <w:pStyle w:val="ListParagraph"/>
        <w:numPr>
          <w:ilvl w:val="0"/>
          <w:numId w:val="36"/>
        </w:numPr>
      </w:pPr>
      <w:r>
        <w:t>a free/total PSA ratio less than 25 per cent; or</w:t>
      </w:r>
    </w:p>
    <w:p w14:paraId="298F0786" w14:textId="77777777" w:rsidR="0065346C" w:rsidRDefault="0065346C" w:rsidP="00BA67A5">
      <w:pPr>
        <w:pStyle w:val="ListParagraph"/>
        <w:numPr>
          <w:ilvl w:val="0"/>
          <w:numId w:val="36"/>
        </w:numPr>
        <w:spacing w:after="240"/>
      </w:pPr>
      <w:proofErr w:type="gramStart"/>
      <w:r>
        <w:t>abnormal</w:t>
      </w:r>
      <w:proofErr w:type="gramEnd"/>
      <w:r>
        <w:t xml:space="preserve"> DRE.</w:t>
      </w:r>
    </w:p>
    <w:p w14:paraId="6F2070C0" w14:textId="77777777" w:rsidR="0065346C" w:rsidRPr="00BA67A5" w:rsidRDefault="0065346C" w:rsidP="00BA67A5">
      <w:r w:rsidRPr="00BA67A5">
        <w:t>For the second descriptor, the applicant pre</w:t>
      </w:r>
      <w:r w:rsidR="00A11A2F" w:rsidRPr="00BA67A5">
        <w:t>-</w:t>
      </w:r>
      <w:r w:rsidRPr="00BA67A5">
        <w:t>MSAC response noted that this group will need one scan every 12 months.</w:t>
      </w:r>
    </w:p>
    <w:p w14:paraId="4A92641E" w14:textId="77777777" w:rsidR="00BC1364" w:rsidRPr="00F715D1" w:rsidRDefault="00BC1364" w:rsidP="008E4C81">
      <w:pPr>
        <w:pStyle w:val="Heading1"/>
        <w:ind w:hanging="502"/>
      </w:pPr>
      <w:r w:rsidRPr="00F715D1">
        <w:t xml:space="preserve">Summary of </w:t>
      </w:r>
      <w:r w:rsidR="003D7F29" w:rsidRPr="00F715D1">
        <w:t>Public Consultation</w:t>
      </w:r>
      <w:r w:rsidRPr="00F715D1">
        <w:t xml:space="preserve"> Feedback</w:t>
      </w:r>
      <w:r w:rsidR="003D7F29" w:rsidRPr="00F715D1">
        <w:t>/Consumer Issues</w:t>
      </w:r>
    </w:p>
    <w:p w14:paraId="4380BB58" w14:textId="5C91D193" w:rsidR="00265BC9" w:rsidRPr="00BF5478" w:rsidRDefault="00265BC9" w:rsidP="00BF5478">
      <w:pPr>
        <w:tabs>
          <w:tab w:val="left" w:pos="709"/>
        </w:tabs>
        <w:spacing w:after="240"/>
        <w:rPr>
          <w:rFonts w:ascii="Arial" w:hAnsi="Arial" w:cs="Arial"/>
          <w:b/>
          <w:szCs w:val="24"/>
        </w:rPr>
      </w:pPr>
      <w:r w:rsidRPr="007F599F">
        <w:rPr>
          <w:szCs w:val="24"/>
        </w:rPr>
        <w:t xml:space="preserve">Feedback on the Consultation Protocol was received from peak bodies (seven responses), organisations (three responses), specialists (six responses), </w:t>
      </w:r>
      <w:r w:rsidR="00934907">
        <w:rPr>
          <w:szCs w:val="24"/>
        </w:rPr>
        <w:t xml:space="preserve">a </w:t>
      </w:r>
      <w:r w:rsidRPr="007F599F">
        <w:rPr>
          <w:szCs w:val="24"/>
        </w:rPr>
        <w:t xml:space="preserve">researcher (1 response) and consumers (3 responses). </w:t>
      </w:r>
    </w:p>
    <w:p w14:paraId="3CA00300" w14:textId="77777777" w:rsidR="00265BC9" w:rsidRPr="0036196D" w:rsidRDefault="00265BC9" w:rsidP="00265BC9">
      <w:pPr>
        <w:rPr>
          <w:szCs w:val="24"/>
        </w:rPr>
      </w:pPr>
      <w:r>
        <w:rPr>
          <w:szCs w:val="24"/>
        </w:rPr>
        <w:t xml:space="preserve">Issues raised in the responses </w:t>
      </w:r>
      <w:r w:rsidRPr="0036196D">
        <w:rPr>
          <w:szCs w:val="24"/>
        </w:rPr>
        <w:t>were:</w:t>
      </w:r>
    </w:p>
    <w:p w14:paraId="619FDD48" w14:textId="77777777" w:rsidR="00265BC9" w:rsidRPr="0036196D" w:rsidRDefault="00265BC9" w:rsidP="00265BC9">
      <w:pPr>
        <w:pStyle w:val="ListParagraph"/>
        <w:numPr>
          <w:ilvl w:val="0"/>
          <w:numId w:val="26"/>
        </w:numPr>
      </w:pPr>
      <w:r>
        <w:rPr>
          <w:iCs/>
        </w:rPr>
        <w:t xml:space="preserve">The indications </w:t>
      </w:r>
      <w:r w:rsidRPr="0036196D">
        <w:rPr>
          <w:iCs/>
        </w:rPr>
        <w:t>should await the final recommendations of the multi-disciplinary national working party (NHMRC / CCA / PCFA / USANZ / RACGP / R</w:t>
      </w:r>
      <w:r>
        <w:rPr>
          <w:iCs/>
        </w:rPr>
        <w:t xml:space="preserve">CPA). However in general terms: </w:t>
      </w:r>
      <w:r w:rsidRPr="0036196D">
        <w:rPr>
          <w:iCs/>
        </w:rPr>
        <w:t>(</w:t>
      </w:r>
      <w:proofErr w:type="spellStart"/>
      <w:r w:rsidRPr="0036196D">
        <w:rPr>
          <w:iCs/>
        </w:rPr>
        <w:t>i</w:t>
      </w:r>
      <w:proofErr w:type="spellEnd"/>
      <w:r w:rsidRPr="0036196D">
        <w:rPr>
          <w:iCs/>
        </w:rPr>
        <w:t>) elevated PSA should be confirmed by resampling</w:t>
      </w:r>
      <w:r>
        <w:rPr>
          <w:iCs/>
        </w:rPr>
        <w:t>;</w:t>
      </w:r>
      <w:r w:rsidRPr="0036196D">
        <w:rPr>
          <w:iCs/>
        </w:rPr>
        <w:t xml:space="preserve"> (ii) in the range 3.0-5.5 mg/L, free PSA should be considered</w:t>
      </w:r>
      <w:r>
        <w:rPr>
          <w:iCs/>
        </w:rPr>
        <w:t>;</w:t>
      </w:r>
      <w:r w:rsidRPr="0036196D">
        <w:rPr>
          <w:iCs/>
        </w:rPr>
        <w:t xml:space="preserve"> (iii) </w:t>
      </w:r>
      <w:r w:rsidR="00A11A2F">
        <w:rPr>
          <w:iCs/>
        </w:rPr>
        <w:t xml:space="preserve">PSA </w:t>
      </w:r>
      <w:r w:rsidRPr="0036196D">
        <w:rPr>
          <w:iCs/>
        </w:rPr>
        <w:t xml:space="preserve">doubling time (velocity) is not recommended at this stage and (iv) </w:t>
      </w:r>
      <w:r>
        <w:rPr>
          <w:iCs/>
        </w:rPr>
        <w:t>digital rectal examination (</w:t>
      </w:r>
      <w:r w:rsidRPr="0036196D">
        <w:rPr>
          <w:iCs/>
        </w:rPr>
        <w:t>DRE</w:t>
      </w:r>
      <w:r>
        <w:rPr>
          <w:iCs/>
        </w:rPr>
        <w:t>)</w:t>
      </w:r>
      <w:r w:rsidRPr="0036196D">
        <w:rPr>
          <w:iCs/>
        </w:rPr>
        <w:t xml:space="preserve"> is not supported</w:t>
      </w:r>
      <w:r>
        <w:rPr>
          <w:iCs/>
        </w:rPr>
        <w:t xml:space="preserve"> as a screening test</w:t>
      </w:r>
      <w:r w:rsidRPr="0036196D">
        <w:rPr>
          <w:iCs/>
        </w:rPr>
        <w:t>.</w:t>
      </w:r>
    </w:p>
    <w:p w14:paraId="4CF8FB88" w14:textId="77777777" w:rsidR="00265BC9" w:rsidRDefault="00265BC9" w:rsidP="00265BC9">
      <w:pPr>
        <w:pStyle w:val="ListParagraph"/>
        <w:numPr>
          <w:ilvl w:val="0"/>
          <w:numId w:val="26"/>
        </w:numPr>
      </w:pPr>
      <w:r>
        <w:rPr>
          <w:bCs/>
        </w:rPr>
        <w:t>S</w:t>
      </w:r>
      <w:r w:rsidRPr="0036196D">
        <w:rPr>
          <w:bCs/>
        </w:rPr>
        <w:t>pecialist referral</w:t>
      </w:r>
      <w:r w:rsidRPr="0036196D">
        <w:t xml:space="preserve"> should be required from </w:t>
      </w:r>
      <w:proofErr w:type="gramStart"/>
      <w:r>
        <w:t>a</w:t>
      </w:r>
      <w:proofErr w:type="gramEnd"/>
      <w:r>
        <w:t xml:space="preserve"> </w:t>
      </w:r>
      <w:r w:rsidRPr="0036196D">
        <w:t xml:space="preserve">urologist, radiation oncologist, or </w:t>
      </w:r>
      <w:r w:rsidRPr="0036196D">
        <w:br/>
        <w:t xml:space="preserve">medical oncologist. </w:t>
      </w:r>
    </w:p>
    <w:p w14:paraId="06D66B39" w14:textId="77777777" w:rsidR="00265BC9" w:rsidRPr="009C4764" w:rsidRDefault="00265BC9" w:rsidP="00265BC9">
      <w:pPr>
        <w:pStyle w:val="ListParagraph"/>
        <w:numPr>
          <w:ilvl w:val="0"/>
          <w:numId w:val="26"/>
        </w:numPr>
      </w:pPr>
      <w:r w:rsidRPr="009C4764">
        <w:rPr>
          <w:iCs/>
          <w:szCs w:val="24"/>
        </w:rPr>
        <w:lastRenderedPageBreak/>
        <w:t>The feasibility of measuring change in overall survival and change in prostate cancer specific mortality is very doubtful for a cancer with such a long natural history as prostate cancer (typically &gt;10 years from diagnosis to death).</w:t>
      </w:r>
    </w:p>
    <w:p w14:paraId="1A32DBEC" w14:textId="77777777" w:rsidR="00BC1364" w:rsidRPr="00F715D1" w:rsidRDefault="00BC1364" w:rsidP="008E4C81">
      <w:pPr>
        <w:pStyle w:val="Heading1"/>
        <w:ind w:hanging="502"/>
      </w:pPr>
      <w:r w:rsidRPr="00F715D1">
        <w:t>Proposed intervention’s place in clinical management</w:t>
      </w:r>
    </w:p>
    <w:p w14:paraId="2C2B999E" w14:textId="77777777" w:rsidR="0057678B" w:rsidRDefault="0057678B" w:rsidP="00934907">
      <w:pPr>
        <w:rPr>
          <w:rFonts w:cs="Calibri"/>
        </w:rPr>
      </w:pPr>
      <w:r>
        <w:t xml:space="preserve">In </w:t>
      </w:r>
      <w:r w:rsidRPr="00A73120">
        <w:rPr>
          <w:u w:val="single"/>
        </w:rPr>
        <w:t>Population 1</w:t>
      </w:r>
      <w:r>
        <w:t>,</w:t>
      </w:r>
      <w:r w:rsidRPr="004820FB">
        <w:rPr>
          <w:rFonts w:cs="Calibri"/>
        </w:rPr>
        <w:t xml:space="preserve"> </w:t>
      </w:r>
      <w:proofErr w:type="spellStart"/>
      <w:r w:rsidRPr="004820FB">
        <w:rPr>
          <w:rFonts w:cs="Calibri"/>
        </w:rPr>
        <w:t>mpMRI</w:t>
      </w:r>
      <w:proofErr w:type="spellEnd"/>
      <w:r>
        <w:rPr>
          <w:rFonts w:cs="Calibri"/>
        </w:rPr>
        <w:t xml:space="preserve"> is intended to be used as an additional triage tool following an abnormal PSA/DRE, to determine the need for biopsy</w:t>
      </w:r>
      <w:r w:rsidRPr="004820FB">
        <w:rPr>
          <w:rFonts w:cs="Calibri"/>
        </w:rPr>
        <w:t>.</w:t>
      </w:r>
      <w:r>
        <w:rPr>
          <w:rFonts w:cs="Calibri"/>
        </w:rPr>
        <w:t xml:space="preserve"> Based on the results of the </w:t>
      </w:r>
      <w:proofErr w:type="spellStart"/>
      <w:r>
        <w:rPr>
          <w:rFonts w:cs="Calibri"/>
        </w:rPr>
        <w:t>mpMRI</w:t>
      </w:r>
      <w:proofErr w:type="spellEnd"/>
      <w:r>
        <w:rPr>
          <w:rFonts w:cs="Calibri"/>
        </w:rPr>
        <w:t xml:space="preserve"> scan:</w:t>
      </w:r>
    </w:p>
    <w:p w14:paraId="1FB114AC" w14:textId="77777777" w:rsidR="0057678B" w:rsidRPr="00D12373" w:rsidRDefault="0057678B" w:rsidP="00934907">
      <w:pPr>
        <w:pStyle w:val="ListParagraph"/>
        <w:numPr>
          <w:ilvl w:val="0"/>
          <w:numId w:val="29"/>
        </w:numPr>
        <w:jc w:val="both"/>
        <w:rPr>
          <w:rFonts w:cs="Calibri"/>
        </w:rPr>
      </w:pPr>
      <w:r>
        <w:rPr>
          <w:rFonts w:cs="Calibri"/>
        </w:rPr>
        <w:t>patients with a PI-RADS score of 4 or 5 will have a biopsy</w:t>
      </w:r>
    </w:p>
    <w:p w14:paraId="6772CEE4" w14:textId="77777777" w:rsidR="0057678B" w:rsidRPr="005F03C1" w:rsidRDefault="0057678B" w:rsidP="00934907">
      <w:pPr>
        <w:pStyle w:val="ListParagraph"/>
        <w:numPr>
          <w:ilvl w:val="0"/>
          <w:numId w:val="29"/>
        </w:numPr>
        <w:jc w:val="both"/>
        <w:rPr>
          <w:rFonts w:cs="Calibri"/>
        </w:rPr>
      </w:pPr>
      <w:proofErr w:type="gramStart"/>
      <w:r>
        <w:rPr>
          <w:rFonts w:cs="Calibri"/>
        </w:rPr>
        <w:t>l</w:t>
      </w:r>
      <w:r w:rsidRPr="00D12373">
        <w:rPr>
          <w:rFonts w:cs="Calibri"/>
        </w:rPr>
        <w:t>ow</w:t>
      </w:r>
      <w:proofErr w:type="gramEnd"/>
      <w:r w:rsidRPr="00D12373">
        <w:rPr>
          <w:rFonts w:cs="Calibri"/>
        </w:rPr>
        <w:t xml:space="preserve"> concern patients with </w:t>
      </w:r>
      <w:r>
        <w:rPr>
          <w:rFonts w:cs="Calibri"/>
        </w:rPr>
        <w:t xml:space="preserve">a </w:t>
      </w:r>
      <w:r w:rsidRPr="00D12373">
        <w:rPr>
          <w:rFonts w:cs="Calibri"/>
        </w:rPr>
        <w:t>PI-RADS score</w:t>
      </w:r>
      <w:r>
        <w:rPr>
          <w:rFonts w:cs="Calibri"/>
        </w:rPr>
        <w:t xml:space="preserve"> of</w:t>
      </w:r>
      <w:r w:rsidRPr="00D12373">
        <w:rPr>
          <w:rFonts w:cs="Calibri"/>
        </w:rPr>
        <w:t xml:space="preserve"> 1</w:t>
      </w:r>
      <w:r>
        <w:rPr>
          <w:rFonts w:cs="Calibri"/>
        </w:rPr>
        <w:t>-</w:t>
      </w:r>
      <w:r w:rsidRPr="00D12373">
        <w:rPr>
          <w:rFonts w:cs="Calibri"/>
        </w:rPr>
        <w:t xml:space="preserve">3 will </w:t>
      </w:r>
      <w:r>
        <w:rPr>
          <w:rFonts w:cs="Calibri"/>
        </w:rPr>
        <w:t xml:space="preserve">avoid biopsy, and either </w:t>
      </w:r>
      <w:r w:rsidRPr="00D12373">
        <w:rPr>
          <w:rFonts w:cs="Calibri"/>
        </w:rPr>
        <w:t>return to primary care</w:t>
      </w:r>
      <w:r>
        <w:rPr>
          <w:rFonts w:cs="Calibri"/>
        </w:rPr>
        <w:t xml:space="preserve"> with no further follow-up, or </w:t>
      </w:r>
      <w:r w:rsidRPr="00D12373">
        <w:rPr>
          <w:rFonts w:cs="Calibri"/>
        </w:rPr>
        <w:t xml:space="preserve">remain under observation. </w:t>
      </w:r>
    </w:p>
    <w:p w14:paraId="3A77FAD0" w14:textId="77777777" w:rsidR="0057678B" w:rsidRDefault="0057678B" w:rsidP="00934907">
      <w:pPr>
        <w:pStyle w:val="ListParagraph"/>
        <w:numPr>
          <w:ilvl w:val="0"/>
          <w:numId w:val="29"/>
        </w:numPr>
        <w:jc w:val="both"/>
        <w:rPr>
          <w:rFonts w:cs="Calibri"/>
        </w:rPr>
      </w:pPr>
      <w:proofErr w:type="gramStart"/>
      <w:r>
        <w:rPr>
          <w:rFonts w:cs="Calibri"/>
        </w:rPr>
        <w:t>h</w:t>
      </w:r>
      <w:r w:rsidRPr="005F03C1">
        <w:rPr>
          <w:rFonts w:cs="Calibri"/>
        </w:rPr>
        <w:t>igh</w:t>
      </w:r>
      <w:proofErr w:type="gramEnd"/>
      <w:r w:rsidRPr="005F03C1">
        <w:rPr>
          <w:rFonts w:cs="Calibri"/>
        </w:rPr>
        <w:t xml:space="preserve"> concern patients with a PI-RADS score of 1, 2, or 3 will have a systematic biopsy</w:t>
      </w:r>
      <w:r w:rsidRPr="00D12373">
        <w:rPr>
          <w:rFonts w:cs="Calibri"/>
        </w:rPr>
        <w:t xml:space="preserve">. </w:t>
      </w:r>
    </w:p>
    <w:p w14:paraId="27DDCC50" w14:textId="77777777" w:rsidR="0057678B" w:rsidRDefault="0057678B" w:rsidP="00D076CD">
      <w:pPr>
        <w:spacing w:before="240"/>
      </w:pPr>
      <w:r>
        <w:t xml:space="preserve">In </w:t>
      </w:r>
      <w:r w:rsidRPr="00A73120">
        <w:rPr>
          <w:u w:val="single"/>
        </w:rPr>
        <w:t>Population 2</w:t>
      </w:r>
      <w:r>
        <w:t xml:space="preserve">, </w:t>
      </w:r>
      <w:proofErr w:type="spellStart"/>
      <w:r>
        <w:t>mpMRI</w:t>
      </w:r>
      <w:proofErr w:type="spellEnd"/>
      <w:r>
        <w:t xml:space="preserve"> is proposed as an additional triage test in the AS pathway, to determine the need for prostate biopsy. Based on the results of the </w:t>
      </w:r>
      <w:proofErr w:type="spellStart"/>
      <w:r>
        <w:t>mpMRI</w:t>
      </w:r>
      <w:proofErr w:type="spellEnd"/>
      <w:r>
        <w:t xml:space="preserve"> scan:</w:t>
      </w:r>
    </w:p>
    <w:p w14:paraId="02F3EF3C" w14:textId="77777777" w:rsidR="0057678B" w:rsidRPr="00D12373" w:rsidRDefault="0057678B" w:rsidP="00D076CD">
      <w:pPr>
        <w:pStyle w:val="ListParagraph"/>
        <w:numPr>
          <w:ilvl w:val="0"/>
          <w:numId w:val="29"/>
        </w:numPr>
        <w:jc w:val="both"/>
        <w:rPr>
          <w:rFonts w:cs="Calibri"/>
        </w:rPr>
      </w:pPr>
      <w:r>
        <w:rPr>
          <w:rFonts w:cs="Calibri"/>
        </w:rPr>
        <w:t>patients with a PI-RADS score of 4 or 5 will have a biopsy</w:t>
      </w:r>
    </w:p>
    <w:p w14:paraId="632D7FED" w14:textId="77777777" w:rsidR="0057678B" w:rsidRPr="005F03C1" w:rsidRDefault="0057678B" w:rsidP="00D076CD">
      <w:pPr>
        <w:pStyle w:val="ListParagraph"/>
        <w:numPr>
          <w:ilvl w:val="0"/>
          <w:numId w:val="29"/>
        </w:numPr>
        <w:jc w:val="both"/>
        <w:rPr>
          <w:rFonts w:cs="Calibri"/>
        </w:rPr>
      </w:pPr>
      <w:proofErr w:type="gramStart"/>
      <w:r>
        <w:rPr>
          <w:rFonts w:cs="Calibri"/>
        </w:rPr>
        <w:t>l</w:t>
      </w:r>
      <w:r w:rsidRPr="00D12373">
        <w:rPr>
          <w:rFonts w:cs="Calibri"/>
        </w:rPr>
        <w:t>ow</w:t>
      </w:r>
      <w:proofErr w:type="gramEnd"/>
      <w:r w:rsidRPr="00D12373">
        <w:rPr>
          <w:rFonts w:cs="Calibri"/>
        </w:rPr>
        <w:t xml:space="preserve"> concern patients with </w:t>
      </w:r>
      <w:r>
        <w:rPr>
          <w:rFonts w:cs="Calibri"/>
        </w:rPr>
        <w:t xml:space="preserve">a </w:t>
      </w:r>
      <w:r w:rsidRPr="00D12373">
        <w:rPr>
          <w:rFonts w:cs="Calibri"/>
        </w:rPr>
        <w:t>PI-RADS score</w:t>
      </w:r>
      <w:r>
        <w:rPr>
          <w:rFonts w:cs="Calibri"/>
        </w:rPr>
        <w:t xml:space="preserve"> of</w:t>
      </w:r>
      <w:r w:rsidRPr="00D12373">
        <w:rPr>
          <w:rFonts w:cs="Calibri"/>
        </w:rPr>
        <w:t xml:space="preserve"> 1</w:t>
      </w:r>
      <w:r>
        <w:rPr>
          <w:rFonts w:cs="Calibri"/>
        </w:rPr>
        <w:t>-</w:t>
      </w:r>
      <w:r w:rsidRPr="00D12373">
        <w:rPr>
          <w:rFonts w:cs="Calibri"/>
        </w:rPr>
        <w:t xml:space="preserve">3 will </w:t>
      </w:r>
      <w:r>
        <w:rPr>
          <w:rFonts w:cs="Calibri"/>
        </w:rPr>
        <w:t xml:space="preserve">avoid biopsy and </w:t>
      </w:r>
      <w:r w:rsidRPr="00D12373">
        <w:rPr>
          <w:rFonts w:cs="Calibri"/>
        </w:rPr>
        <w:t xml:space="preserve">remain </w:t>
      </w:r>
      <w:r>
        <w:rPr>
          <w:rFonts w:cs="Calibri"/>
        </w:rPr>
        <w:t>on active surveillance</w:t>
      </w:r>
      <w:r w:rsidRPr="00D12373">
        <w:rPr>
          <w:rFonts w:cs="Calibri"/>
        </w:rPr>
        <w:t xml:space="preserve">. </w:t>
      </w:r>
    </w:p>
    <w:p w14:paraId="63918A9A" w14:textId="77777777" w:rsidR="0057678B" w:rsidRDefault="0057678B" w:rsidP="00D076CD">
      <w:pPr>
        <w:pStyle w:val="ListParagraph"/>
        <w:numPr>
          <w:ilvl w:val="0"/>
          <w:numId w:val="29"/>
        </w:numPr>
        <w:jc w:val="both"/>
        <w:rPr>
          <w:rFonts w:cs="Calibri"/>
        </w:rPr>
      </w:pPr>
      <w:proofErr w:type="gramStart"/>
      <w:r>
        <w:rPr>
          <w:rFonts w:cs="Calibri"/>
        </w:rPr>
        <w:t>h</w:t>
      </w:r>
      <w:r w:rsidRPr="005F03C1">
        <w:rPr>
          <w:rFonts w:cs="Calibri"/>
        </w:rPr>
        <w:t>igh</w:t>
      </w:r>
      <w:proofErr w:type="gramEnd"/>
      <w:r w:rsidRPr="005F03C1">
        <w:rPr>
          <w:rFonts w:cs="Calibri"/>
        </w:rPr>
        <w:t xml:space="preserve"> concern patients with a PI-RADS score of 1, 2, or 3 will have a systematic biopsy</w:t>
      </w:r>
      <w:r w:rsidRPr="00D12373">
        <w:rPr>
          <w:rFonts w:cs="Calibri"/>
        </w:rPr>
        <w:t xml:space="preserve">. </w:t>
      </w:r>
    </w:p>
    <w:p w14:paraId="617F2F2D" w14:textId="77777777" w:rsidR="00BC1364" w:rsidRPr="00F715D1" w:rsidRDefault="00BC1364" w:rsidP="008E4C81">
      <w:pPr>
        <w:pStyle w:val="Heading1"/>
        <w:ind w:hanging="502"/>
      </w:pPr>
      <w:r w:rsidRPr="00F715D1">
        <w:t xml:space="preserve">Comparator </w:t>
      </w:r>
    </w:p>
    <w:p w14:paraId="6275A6E0" w14:textId="1A91EAE9" w:rsidR="00265BC9" w:rsidRPr="00376F27" w:rsidRDefault="00265BC9" w:rsidP="00376F27">
      <w:r w:rsidRPr="00376F27">
        <w:t xml:space="preserve">Within current Australian practice, </w:t>
      </w:r>
      <w:proofErr w:type="spellStart"/>
      <w:r w:rsidRPr="00376F27">
        <w:t>PCa</w:t>
      </w:r>
      <w:proofErr w:type="spellEnd"/>
      <w:r w:rsidRPr="00376F27">
        <w:t xml:space="preserve"> </w:t>
      </w:r>
      <w:r w:rsidR="00A11A2F" w:rsidRPr="00376F27">
        <w:t>is usually suspected on the basis of</w:t>
      </w:r>
      <w:r w:rsidRPr="00376F27">
        <w:t xml:space="preserve"> a PSA test and/or a DRE. However, these are not diagnostic tests. The diagnosis of </w:t>
      </w:r>
      <w:proofErr w:type="spellStart"/>
      <w:r w:rsidRPr="00376F27">
        <w:t>PCa</w:t>
      </w:r>
      <w:proofErr w:type="spellEnd"/>
      <w:r w:rsidRPr="00376F27">
        <w:t xml:space="preserve"> is obtained using either TRUSGB or TPUSGB. </w:t>
      </w:r>
    </w:p>
    <w:p w14:paraId="568FD77C" w14:textId="77777777" w:rsidR="00FE4623" w:rsidRPr="00376F27" w:rsidRDefault="00265BC9" w:rsidP="00376F27">
      <w:pPr>
        <w:spacing w:before="240"/>
      </w:pPr>
      <w:r w:rsidRPr="00376F27">
        <w:t>In Pop</w:t>
      </w:r>
      <w:r w:rsidR="00934907" w:rsidRPr="00376F27">
        <w:t>ulation 1, the nominated comparators are:</w:t>
      </w:r>
    </w:p>
    <w:p w14:paraId="674A9067" w14:textId="77777777" w:rsidR="00265BC9" w:rsidRPr="00376F27" w:rsidRDefault="00265BC9" w:rsidP="00376F27">
      <w:pPr>
        <w:pStyle w:val="ListParagraph"/>
        <w:numPr>
          <w:ilvl w:val="0"/>
          <w:numId w:val="39"/>
        </w:numPr>
      </w:pPr>
      <w:r w:rsidRPr="00376F27">
        <w:t>PSA/DRE + clinical judgement and TRUSGB or TPUSGB; and</w:t>
      </w:r>
    </w:p>
    <w:p w14:paraId="40726398" w14:textId="0CB7E8EA" w:rsidR="00265BC9" w:rsidRPr="00376F27" w:rsidRDefault="00265BC9" w:rsidP="00376F27">
      <w:pPr>
        <w:pStyle w:val="ListParagraph"/>
        <w:numPr>
          <w:ilvl w:val="0"/>
          <w:numId w:val="39"/>
        </w:numPr>
      </w:pPr>
      <w:r w:rsidRPr="00376F27">
        <w:t>PSA/DRE + clinical judgement alone, for patients who elect not to undergo TRUSGB or TPUSGB.</w:t>
      </w:r>
    </w:p>
    <w:p w14:paraId="28326720" w14:textId="15E96569" w:rsidR="00934907" w:rsidRPr="00376F27" w:rsidRDefault="00265BC9" w:rsidP="00376F27">
      <w:pPr>
        <w:spacing w:before="240" w:after="240"/>
      </w:pPr>
      <w:r w:rsidRPr="00376F27">
        <w:t>In Population 2, the</w:t>
      </w:r>
      <w:r w:rsidR="00934907" w:rsidRPr="00376F27">
        <w:t xml:space="preserve"> nominated</w:t>
      </w:r>
      <w:r w:rsidRPr="00376F27">
        <w:t xml:space="preserve"> comparator is the current AS protoco</w:t>
      </w:r>
      <w:r w:rsidR="00934907" w:rsidRPr="00376F27">
        <w:t xml:space="preserve">l with </w:t>
      </w:r>
      <w:r w:rsidR="00A11A2F" w:rsidRPr="00376F27">
        <w:t xml:space="preserve">periodic </w:t>
      </w:r>
      <w:r w:rsidR="00934907" w:rsidRPr="00376F27">
        <w:t xml:space="preserve">TRUSGB or TPUSGB. </w:t>
      </w:r>
    </w:p>
    <w:p w14:paraId="30AB0D2B" w14:textId="77777777" w:rsidR="00265BC9" w:rsidRPr="00376F27" w:rsidRDefault="00265BC9" w:rsidP="00376F27">
      <w:r w:rsidRPr="00376F27">
        <w:t xml:space="preserve">The reference standard for this assessment of </w:t>
      </w:r>
      <w:proofErr w:type="spellStart"/>
      <w:r w:rsidRPr="00376F27">
        <w:t>mpMRI</w:t>
      </w:r>
      <w:proofErr w:type="spellEnd"/>
      <w:r w:rsidRPr="00376F27">
        <w:t xml:space="preserve"> is histopathology of prostate samples collected via biopsy. </w:t>
      </w:r>
    </w:p>
    <w:p w14:paraId="2D24FC98" w14:textId="77777777" w:rsidR="00BC1364" w:rsidRPr="00F715D1" w:rsidRDefault="00BC1364" w:rsidP="008E4C81">
      <w:pPr>
        <w:pStyle w:val="Heading1"/>
        <w:ind w:hanging="502"/>
      </w:pPr>
      <w:r w:rsidRPr="00F715D1">
        <w:t>Comparative safety</w:t>
      </w:r>
    </w:p>
    <w:p w14:paraId="7EFB221D" w14:textId="77777777" w:rsidR="009F3DCD" w:rsidRPr="00142742" w:rsidRDefault="009F3DCD" w:rsidP="009F3DCD">
      <w:r>
        <w:t xml:space="preserve">No adverse events associated with </w:t>
      </w:r>
      <w:proofErr w:type="spellStart"/>
      <w:r>
        <w:t>mpMRI</w:t>
      </w:r>
      <w:proofErr w:type="spellEnd"/>
      <w:r>
        <w:t xml:space="preserve"> were identified in the literature.</w:t>
      </w:r>
    </w:p>
    <w:p w14:paraId="0358BD02" w14:textId="7DB7967B" w:rsidR="009F3DCD" w:rsidRPr="009F3DCD" w:rsidRDefault="009F3DCD" w:rsidP="00D076CD">
      <w:pPr>
        <w:pStyle w:val="Heading2"/>
      </w:pPr>
      <w:r w:rsidRPr="009F3DCD">
        <w:t>Adverse events - Trans-rectal biopsy</w:t>
      </w:r>
    </w:p>
    <w:p w14:paraId="7E579C9C" w14:textId="77777777" w:rsidR="009F3DCD" w:rsidRPr="00EA53D2" w:rsidRDefault="009F3DCD" w:rsidP="009F3DCD">
      <w:r>
        <w:t xml:space="preserve">Patient re-hospitalisation due to trans-rectal biopsy ranged from 0.4 to 5.5 per cent. Major infection ranged from 0.2 to 2.4 per cent. Minor infection ranged from 0.7 to 6.9 per cent. Incidence of bleeding related events (haematuria, </w:t>
      </w:r>
      <w:proofErr w:type="spellStart"/>
      <w:r>
        <w:t>hematochezia</w:t>
      </w:r>
      <w:proofErr w:type="spellEnd"/>
      <w:r>
        <w:t xml:space="preserve">, or </w:t>
      </w:r>
      <w:proofErr w:type="spellStart"/>
      <w:r>
        <w:t>haematospermia</w:t>
      </w:r>
      <w:proofErr w:type="spellEnd"/>
      <w:r>
        <w:t>) ranged from 0.8 to 88.0 per cent. Urinary obstruction or difficulty voiding ranged from 0.8 to 21.0 per cent.</w:t>
      </w:r>
      <w:r>
        <w:rPr>
          <w:color w:val="000000" w:themeColor="text1"/>
        </w:rPr>
        <w:t xml:space="preserve"> Two deaths due to sepsis resulting from a trans-rectal biopsy-related infection were identified in the literature. </w:t>
      </w:r>
    </w:p>
    <w:p w14:paraId="0220174B" w14:textId="0714F44F" w:rsidR="009F3DCD" w:rsidRPr="00D076CD" w:rsidRDefault="009F3DCD" w:rsidP="00D076CD">
      <w:pPr>
        <w:pStyle w:val="Heading2"/>
      </w:pPr>
      <w:r w:rsidRPr="00D076CD">
        <w:lastRenderedPageBreak/>
        <w:t>Adverse events - Trans-</w:t>
      </w:r>
      <w:proofErr w:type="spellStart"/>
      <w:r w:rsidRPr="00D076CD">
        <w:rPr>
          <w:rStyle w:val="Heading4Char"/>
          <w:rFonts w:ascii="Times New Roman" w:hAnsi="Times New Roman"/>
          <w:b/>
          <w:bCs/>
          <w:i w:val="0"/>
          <w:iCs w:val="0"/>
          <w:color w:val="auto"/>
          <w:szCs w:val="26"/>
        </w:rPr>
        <w:t>perineal</w:t>
      </w:r>
      <w:proofErr w:type="spellEnd"/>
      <w:r w:rsidRPr="00D076CD">
        <w:rPr>
          <w:rStyle w:val="Heading4Char"/>
          <w:rFonts w:ascii="Times New Roman" w:hAnsi="Times New Roman"/>
          <w:b/>
          <w:bCs/>
          <w:i w:val="0"/>
          <w:iCs w:val="0"/>
          <w:color w:val="auto"/>
          <w:szCs w:val="26"/>
        </w:rPr>
        <w:t xml:space="preserve"> biopsy</w:t>
      </w:r>
    </w:p>
    <w:p w14:paraId="3975EDC1" w14:textId="64FCFBCE" w:rsidR="006D0CA2" w:rsidRDefault="006D0CA2" w:rsidP="006D0CA2">
      <w:r>
        <w:t>Re-h</w:t>
      </w:r>
      <w:r w:rsidRPr="007F599F">
        <w:t xml:space="preserve">ospitalisation after TPUSGB ranged from 0.7 to 2.1 per cent. </w:t>
      </w:r>
      <w:r>
        <w:rPr>
          <w:color w:val="000000" w:themeColor="text1"/>
        </w:rPr>
        <w:t>Minor</w:t>
      </w:r>
      <w:r w:rsidRPr="007F599F">
        <w:rPr>
          <w:color w:val="000000" w:themeColor="text1"/>
        </w:rPr>
        <w:t xml:space="preserve"> infection was reported in 0.03 per cent of patients</w:t>
      </w:r>
      <w:r>
        <w:rPr>
          <w:color w:val="000000" w:themeColor="text1"/>
        </w:rPr>
        <w:t>; no major infection was reported</w:t>
      </w:r>
      <w:r w:rsidRPr="007F599F">
        <w:rPr>
          <w:color w:val="000000" w:themeColor="text1"/>
        </w:rPr>
        <w:t xml:space="preserve">. Other adverse events reported were urinary obstruction (in </w:t>
      </w:r>
      <w:r>
        <w:rPr>
          <w:color w:val="000000" w:themeColor="text1"/>
        </w:rPr>
        <w:t xml:space="preserve">0.4 to 38 </w:t>
      </w:r>
      <w:r w:rsidRPr="007F599F">
        <w:rPr>
          <w:color w:val="000000" w:themeColor="text1"/>
        </w:rPr>
        <w:t xml:space="preserve">per cent of patients), </w:t>
      </w:r>
      <w:r>
        <w:rPr>
          <w:color w:val="000000" w:themeColor="text1"/>
        </w:rPr>
        <w:t>and bleeding in 0.1 to 6.1 per cent</w:t>
      </w:r>
      <w:r w:rsidRPr="007F599F">
        <w:rPr>
          <w:color w:val="000000" w:themeColor="text1"/>
        </w:rPr>
        <w:t>. The majority of studies reported that no infection occurred.</w:t>
      </w:r>
      <w:r w:rsidRPr="007F599F">
        <w:t xml:space="preserve"> No reports of deaths related to trans-</w:t>
      </w:r>
      <w:proofErr w:type="spellStart"/>
      <w:r w:rsidRPr="007F599F">
        <w:t>perineal</w:t>
      </w:r>
      <w:proofErr w:type="spellEnd"/>
      <w:r w:rsidRPr="007F599F">
        <w:t xml:space="preserve"> prostate biopsy were identified.</w:t>
      </w:r>
      <w:r>
        <w:t xml:space="preserve"> </w:t>
      </w:r>
    </w:p>
    <w:p w14:paraId="05E1474C" w14:textId="6D60E71A" w:rsidR="002F3FCD" w:rsidRDefault="006D0CA2" w:rsidP="00BF5478">
      <w:pPr>
        <w:spacing w:after="240"/>
      </w:pPr>
      <w:r>
        <w:t xml:space="preserve">Based on avoidance of harms associated with biopsy under the proposed algorithms, it is suggested </w:t>
      </w:r>
      <w:proofErr w:type="spellStart"/>
      <w:r>
        <w:t>mpMRI</w:t>
      </w:r>
      <w:proofErr w:type="spellEnd"/>
      <w:r>
        <w:t xml:space="preserve"> has superior safety to TRUSGB or TPUSGB.</w:t>
      </w:r>
    </w:p>
    <w:p w14:paraId="2E78F2F2" w14:textId="77777777" w:rsidR="002F3FCD" w:rsidRDefault="002F3FCD" w:rsidP="002F3FCD">
      <w:r>
        <w:t xml:space="preserve">Based on avoidance of harms associated with biopsy under the proposed algorithms, it is suggested </w:t>
      </w:r>
      <w:proofErr w:type="spellStart"/>
      <w:r>
        <w:t>mpMRI</w:t>
      </w:r>
      <w:proofErr w:type="spellEnd"/>
      <w:r>
        <w:t xml:space="preserve"> has superior safety to TRUSGB.</w:t>
      </w:r>
    </w:p>
    <w:p w14:paraId="19F55F8D" w14:textId="77777777" w:rsidR="00BC1364" w:rsidRPr="00F715D1" w:rsidRDefault="00BC1364" w:rsidP="008E4C81">
      <w:pPr>
        <w:pStyle w:val="Heading1"/>
        <w:ind w:hanging="502"/>
      </w:pPr>
      <w:r w:rsidRPr="00F715D1">
        <w:t>Comparative effectiveness</w:t>
      </w:r>
    </w:p>
    <w:p w14:paraId="755F53CD" w14:textId="5854F0F7" w:rsidR="00ED75E0" w:rsidRDefault="00ED75E0" w:rsidP="00ED75E0">
      <w:r>
        <w:t xml:space="preserve">No studies were identified that assessed the direct evidence of </w:t>
      </w:r>
      <w:proofErr w:type="spellStart"/>
      <w:r>
        <w:t>mpMRI</w:t>
      </w:r>
      <w:proofErr w:type="spellEnd"/>
      <w:r>
        <w:t xml:space="preserve"> in either population; therefore, a linked</w:t>
      </w:r>
      <w:r w:rsidR="001F23DE">
        <w:t xml:space="preserve"> eviden</w:t>
      </w:r>
      <w:r w:rsidR="006D0CA2">
        <w:t>c</w:t>
      </w:r>
      <w:r w:rsidR="001F23DE">
        <w:t>e</w:t>
      </w:r>
      <w:r>
        <w:t xml:space="preserve"> analysis was performed.</w:t>
      </w:r>
    </w:p>
    <w:p w14:paraId="651EC66C" w14:textId="77777777" w:rsidR="00F156F4" w:rsidRDefault="00ED75E0" w:rsidP="00BF5478">
      <w:pPr>
        <w:pStyle w:val="Heading2"/>
      </w:pPr>
      <w:r w:rsidRPr="00551DBA">
        <w:t>Accuracy</w:t>
      </w:r>
    </w:p>
    <w:p w14:paraId="1E9C3F4C" w14:textId="3755BA92" w:rsidR="00551DBA" w:rsidRDefault="00ED75E0" w:rsidP="00BF5478">
      <w:pPr>
        <w:tabs>
          <w:tab w:val="left" w:pos="284"/>
        </w:tabs>
        <w:spacing w:after="240"/>
      </w:pPr>
      <w:r>
        <w:t xml:space="preserve">Biopsy (including TRUSGB, TPUSGB or cognitive MRIGB with TRUSGB) was used as the reference standard in all of the included diagnostic accuracy studies. Summary statistics </w:t>
      </w:r>
      <w:r w:rsidRPr="005F03C1">
        <w:t xml:space="preserve">for </w:t>
      </w:r>
      <w:r w:rsidRPr="00F90B04">
        <w:rPr>
          <w:u w:val="single"/>
        </w:rPr>
        <w:t>Population 1</w:t>
      </w:r>
      <w:r>
        <w:t xml:space="preserve"> and </w:t>
      </w:r>
      <w:r w:rsidRPr="00F90B04">
        <w:rPr>
          <w:u w:val="single"/>
        </w:rPr>
        <w:t>Population 2</w:t>
      </w:r>
      <w:r>
        <w:t xml:space="preserve"> are provided in </w:t>
      </w:r>
      <w:r w:rsidR="0037377A">
        <w:t>Table 2</w:t>
      </w:r>
      <w:r>
        <w:t xml:space="preserve"> and </w:t>
      </w:r>
      <w:r w:rsidR="0037377A">
        <w:t>Table 3</w:t>
      </w:r>
      <w:r>
        <w:fldChar w:fldCharType="begin"/>
      </w:r>
      <w:r>
        <w:instrText xml:space="preserve"> REF _Ref471374799 \h </w:instrText>
      </w:r>
      <w:r>
        <w:fldChar w:fldCharType="end"/>
      </w:r>
      <w:r>
        <w:t>.</w:t>
      </w:r>
    </w:p>
    <w:p w14:paraId="6B35016D" w14:textId="77777777" w:rsidR="00ED75E0" w:rsidRPr="004B0EBA" w:rsidRDefault="00ED75E0" w:rsidP="00D076CD">
      <w:pPr>
        <w:pStyle w:val="Caption"/>
        <w:spacing w:after="0" w:line="240" w:lineRule="auto"/>
        <w:ind w:left="1134" w:hanging="1134"/>
      </w:pPr>
      <w:bookmarkStart w:id="6" w:name="_Ref458432919"/>
      <w:bookmarkStart w:id="7" w:name="_Toc456276203"/>
      <w:bookmarkStart w:id="8" w:name="_Toc470016485"/>
      <w:bookmarkStart w:id="9" w:name="_Toc471382697"/>
      <w:r w:rsidRPr="004B0EBA">
        <w:t xml:space="preserve">Table </w:t>
      </w:r>
      <w:bookmarkEnd w:id="6"/>
      <w:r w:rsidR="00FE4623">
        <w:t>2</w:t>
      </w:r>
      <w:r w:rsidRPr="004B0EBA">
        <w:tab/>
        <w:t xml:space="preserve">Summary statistics for </w:t>
      </w:r>
      <w:proofErr w:type="spellStart"/>
      <w:r w:rsidRPr="004B0EBA">
        <w:t>mpMRI</w:t>
      </w:r>
      <w:proofErr w:type="spellEnd"/>
      <w:r w:rsidRPr="004B0EBA">
        <w:t xml:space="preserve"> against </w:t>
      </w:r>
      <w:bookmarkEnd w:id="7"/>
      <w:r w:rsidRPr="004B0EBA">
        <w:t>biopsy (TRU</w:t>
      </w:r>
      <w:r>
        <w:t>S</w:t>
      </w:r>
      <w:r w:rsidRPr="004B0EBA">
        <w:t>GB, TPUSGB or cognitive MRIGB) in Population 1 (assumed disease prevalence of 35</w:t>
      </w:r>
      <w:r>
        <w:t>.5</w:t>
      </w:r>
      <w:r w:rsidRPr="004B0EBA">
        <w:t xml:space="preserve">% for </w:t>
      </w:r>
      <w:r>
        <w:t xml:space="preserve">clinically significant </w:t>
      </w:r>
      <w:proofErr w:type="spellStart"/>
      <w:r>
        <w:t>PCa</w:t>
      </w:r>
      <w:proofErr w:type="spellEnd"/>
      <w:r w:rsidRPr="004B0EBA">
        <w:t>)</w:t>
      </w:r>
      <w:bookmarkEnd w:id="8"/>
      <w:bookmarkEnd w:id="9"/>
    </w:p>
    <w:tbl>
      <w:tblPr>
        <w:tblStyle w:val="TableGrid2"/>
        <w:tblW w:w="5000" w:type="pct"/>
        <w:tblLook w:val="04A0" w:firstRow="1" w:lastRow="0" w:firstColumn="1" w:lastColumn="0" w:noHBand="0" w:noVBand="1"/>
        <w:tblCaption w:val="Summary statistics for mpMRI against biopsy (TRUSGB, TPUSGB or cognitive MRIGB) in Population 1 (assumed disease prevalence of 35.5% for clinically significant PCa)"/>
        <w:tblDescription w:val="Summary statistics for mpMRI against biopsy  in Population 1, includes estimates of sensitivity, specificity, PPV and NPV"/>
      </w:tblPr>
      <w:tblGrid>
        <w:gridCol w:w="4621"/>
        <w:gridCol w:w="4621"/>
      </w:tblGrid>
      <w:tr w:rsidR="00ED75E0" w:rsidRPr="00F93474" w14:paraId="5E88A6B1" w14:textId="77777777" w:rsidTr="00BA67A5">
        <w:trPr>
          <w:cnfStyle w:val="100000000000" w:firstRow="1" w:lastRow="0" w:firstColumn="0" w:lastColumn="0" w:oddVBand="0" w:evenVBand="0" w:oddHBand="0" w:evenHBand="0" w:firstRowFirstColumn="0" w:firstRowLastColumn="0" w:lastRowFirstColumn="0" w:lastRowLastColumn="0"/>
          <w:trHeight w:val="469"/>
          <w:tblHeader/>
        </w:trPr>
        <w:tc>
          <w:tcPr>
            <w:tcW w:w="2500" w:type="pct"/>
          </w:tcPr>
          <w:p w14:paraId="6B84A2FD" w14:textId="77777777" w:rsidR="00ED75E0" w:rsidRPr="00F93474" w:rsidRDefault="00ED75E0" w:rsidP="00D076CD">
            <w:pPr>
              <w:pStyle w:val="Tableheading"/>
              <w:spacing w:before="0" w:line="240" w:lineRule="auto"/>
              <w:rPr>
                <w:rFonts w:cs="Arial"/>
                <w:color w:val="1F497D"/>
              </w:rPr>
            </w:pPr>
            <w:r w:rsidRPr="00F93474">
              <w:t>Accuracy</w:t>
            </w:r>
          </w:p>
        </w:tc>
        <w:tc>
          <w:tcPr>
            <w:tcW w:w="2500" w:type="pct"/>
          </w:tcPr>
          <w:p w14:paraId="5A6DAF6E" w14:textId="77777777" w:rsidR="00ED75E0" w:rsidRPr="00F93474" w:rsidRDefault="00ED75E0" w:rsidP="00D076CD">
            <w:pPr>
              <w:pStyle w:val="Tableheading"/>
              <w:spacing w:before="0" w:line="240" w:lineRule="auto"/>
            </w:pPr>
            <w:proofErr w:type="spellStart"/>
            <w:r w:rsidRPr="00F93474">
              <w:t>mpMRI</w:t>
            </w:r>
            <w:proofErr w:type="spellEnd"/>
          </w:p>
          <w:p w14:paraId="3CF001FA" w14:textId="77777777" w:rsidR="00ED75E0" w:rsidRPr="00F93474" w:rsidRDefault="00ED75E0" w:rsidP="00D076CD">
            <w:pPr>
              <w:pStyle w:val="Tableheading"/>
              <w:spacing w:before="0" w:line="240" w:lineRule="auto"/>
            </w:pPr>
            <w:r w:rsidRPr="00F93474">
              <w:t>(n=</w:t>
            </w:r>
            <w:r>
              <w:t>1,024</w:t>
            </w:r>
            <w:r w:rsidRPr="00F93474">
              <w:t>, k=</w:t>
            </w:r>
            <w:r>
              <w:t>4</w:t>
            </w:r>
            <w:r w:rsidRPr="00F93474">
              <w:t>)</w:t>
            </w:r>
          </w:p>
        </w:tc>
      </w:tr>
      <w:tr w:rsidR="00ED75E0" w:rsidRPr="005673C2" w14:paraId="5216850B" w14:textId="77777777" w:rsidTr="00BA67A5">
        <w:trPr>
          <w:trHeight w:val="220"/>
        </w:trPr>
        <w:tc>
          <w:tcPr>
            <w:tcW w:w="2500" w:type="pct"/>
          </w:tcPr>
          <w:p w14:paraId="3B6FAA18" w14:textId="77777777" w:rsidR="00ED75E0" w:rsidRPr="00890144" w:rsidRDefault="00ED75E0" w:rsidP="00D076CD">
            <w:pPr>
              <w:pStyle w:val="Tabletext"/>
              <w:spacing w:before="0" w:after="0"/>
            </w:pPr>
            <w:r w:rsidRPr="00890144">
              <w:t>Sensitivity, % [95% CI]</w:t>
            </w:r>
          </w:p>
        </w:tc>
        <w:tc>
          <w:tcPr>
            <w:tcW w:w="2500" w:type="pct"/>
          </w:tcPr>
          <w:p w14:paraId="45DD33BC" w14:textId="77777777" w:rsidR="00ED75E0" w:rsidRPr="00890144" w:rsidRDefault="00ED75E0" w:rsidP="00D076CD">
            <w:pPr>
              <w:pStyle w:val="Tabletext"/>
              <w:spacing w:before="0" w:after="0"/>
            </w:pPr>
            <w:r w:rsidRPr="00E03F03">
              <w:t>74.4% [51.0, 89.1</w:t>
            </w:r>
          </w:p>
        </w:tc>
      </w:tr>
      <w:tr w:rsidR="00ED75E0" w:rsidRPr="005673C2" w14:paraId="22887F63" w14:textId="77777777" w:rsidTr="00BA67A5">
        <w:trPr>
          <w:trHeight w:val="70"/>
        </w:trPr>
        <w:tc>
          <w:tcPr>
            <w:tcW w:w="2500" w:type="pct"/>
          </w:tcPr>
          <w:p w14:paraId="44FAD75B" w14:textId="77777777" w:rsidR="00ED75E0" w:rsidRPr="005673C2" w:rsidRDefault="00ED75E0" w:rsidP="00D076CD">
            <w:pPr>
              <w:pStyle w:val="Tabletext"/>
              <w:spacing w:before="0" w:after="0"/>
            </w:pPr>
            <w:r w:rsidRPr="005673C2">
              <w:t>Specificity, % [95% CI]</w:t>
            </w:r>
          </w:p>
        </w:tc>
        <w:tc>
          <w:tcPr>
            <w:tcW w:w="2500" w:type="pct"/>
          </w:tcPr>
          <w:p w14:paraId="66248829" w14:textId="77777777" w:rsidR="00ED75E0" w:rsidRPr="005673C2" w:rsidRDefault="00ED75E0" w:rsidP="00D076CD">
            <w:pPr>
              <w:pStyle w:val="Tabletext"/>
              <w:spacing w:before="0" w:after="0"/>
            </w:pPr>
            <w:r>
              <w:t>84.1% [75.0, 90.3]</w:t>
            </w:r>
          </w:p>
        </w:tc>
      </w:tr>
      <w:tr w:rsidR="00ED75E0" w:rsidRPr="005673C2" w14:paraId="4D212FFB" w14:textId="77777777" w:rsidTr="00BA67A5">
        <w:trPr>
          <w:trHeight w:val="70"/>
        </w:trPr>
        <w:tc>
          <w:tcPr>
            <w:tcW w:w="2500" w:type="pct"/>
          </w:tcPr>
          <w:p w14:paraId="698BC16B" w14:textId="77777777" w:rsidR="00ED75E0" w:rsidRPr="005673C2" w:rsidRDefault="00ED75E0" w:rsidP="00D076CD">
            <w:pPr>
              <w:pStyle w:val="Tabletext"/>
              <w:spacing w:before="0" w:after="0"/>
            </w:pPr>
            <w:r w:rsidRPr="005673C2">
              <w:t>PPV, % [95% CI]</w:t>
            </w:r>
          </w:p>
        </w:tc>
        <w:tc>
          <w:tcPr>
            <w:tcW w:w="2500" w:type="pct"/>
          </w:tcPr>
          <w:p w14:paraId="31881883" w14:textId="77777777" w:rsidR="00ED75E0" w:rsidRPr="005673C2" w:rsidRDefault="00ED75E0" w:rsidP="00D076CD">
            <w:pPr>
              <w:pStyle w:val="Tabletext"/>
              <w:spacing w:before="0" w:after="0"/>
            </w:pPr>
            <w:r>
              <w:t>73.0 %</w:t>
            </w:r>
            <w:r w:rsidRPr="00453B14">
              <w:t xml:space="preserve"> [</w:t>
            </w:r>
            <w:r>
              <w:t>64.2</w:t>
            </w:r>
            <w:r w:rsidRPr="00453B14">
              <w:t xml:space="preserve">, </w:t>
            </w:r>
            <w:r>
              <w:t>80.4</w:t>
            </w:r>
            <w:r w:rsidRPr="00453B14">
              <w:t>]</w:t>
            </w:r>
          </w:p>
        </w:tc>
      </w:tr>
      <w:tr w:rsidR="00ED75E0" w:rsidRPr="005673C2" w14:paraId="3BF4C36C" w14:textId="77777777" w:rsidTr="00BA67A5">
        <w:trPr>
          <w:trHeight w:val="74"/>
        </w:trPr>
        <w:tc>
          <w:tcPr>
            <w:tcW w:w="2500" w:type="pct"/>
          </w:tcPr>
          <w:p w14:paraId="0D3A9A96" w14:textId="77777777" w:rsidR="00ED75E0" w:rsidRPr="005673C2" w:rsidRDefault="00ED75E0" w:rsidP="00D076CD">
            <w:pPr>
              <w:pStyle w:val="Tabletext"/>
              <w:spacing w:before="0" w:after="0"/>
            </w:pPr>
            <w:r w:rsidRPr="005673C2">
              <w:t>NPV, % [95% CI]</w:t>
            </w:r>
          </w:p>
        </w:tc>
        <w:tc>
          <w:tcPr>
            <w:tcW w:w="2500" w:type="pct"/>
          </w:tcPr>
          <w:p w14:paraId="1C491D46" w14:textId="77777777" w:rsidR="00ED75E0" w:rsidRPr="005673C2" w:rsidRDefault="00ED75E0" w:rsidP="00D076CD">
            <w:pPr>
              <w:pStyle w:val="Tabletext"/>
              <w:spacing w:before="0" w:after="0"/>
            </w:pPr>
            <w:r>
              <w:t xml:space="preserve">85.2% </w:t>
            </w:r>
            <w:r w:rsidRPr="00453B14">
              <w:t>[</w:t>
            </w:r>
            <w:r>
              <w:t>77.6</w:t>
            </w:r>
            <w:r w:rsidRPr="00453B14">
              <w:t xml:space="preserve">, </w:t>
            </w:r>
            <w:r>
              <w:t>90.5</w:t>
            </w:r>
            <w:r w:rsidRPr="00453B14">
              <w:t>]</w:t>
            </w:r>
          </w:p>
        </w:tc>
      </w:tr>
    </w:tbl>
    <w:p w14:paraId="37F9DA88" w14:textId="77777777" w:rsidR="00ED75E0" w:rsidRDefault="00ED75E0" w:rsidP="00D076CD">
      <w:pPr>
        <w:pStyle w:val="TableNotes"/>
        <w:spacing w:after="0" w:line="240" w:lineRule="auto"/>
      </w:pPr>
      <w:r>
        <w:t xml:space="preserve">PPV = positive predictive value, NPV = negative predictive value, </w:t>
      </w:r>
      <w:proofErr w:type="spellStart"/>
      <w:r>
        <w:t>mpMRI</w:t>
      </w:r>
      <w:proofErr w:type="spellEnd"/>
      <w:r>
        <w:t xml:space="preserve"> = </w:t>
      </w:r>
      <w:proofErr w:type="spellStart"/>
      <w:r>
        <w:t>multiparametric</w:t>
      </w:r>
      <w:proofErr w:type="spellEnd"/>
      <w:r>
        <w:t xml:space="preserve"> MRI, MRI = magnetic resonance imaging, CI = confidence interval. </w:t>
      </w:r>
    </w:p>
    <w:p w14:paraId="07415426" w14:textId="3113DC49" w:rsidR="00D076CD" w:rsidRDefault="00D076CD" w:rsidP="00D076CD">
      <w:pPr>
        <w:spacing w:before="240"/>
      </w:pPr>
      <w:bookmarkStart w:id="10" w:name="_Ref471374799"/>
      <w:bookmarkStart w:id="11" w:name="_Toc471382698"/>
      <w:r>
        <w:t xml:space="preserve">In </w:t>
      </w:r>
      <w:r w:rsidRPr="00F90B04">
        <w:rPr>
          <w:u w:val="single"/>
        </w:rPr>
        <w:t>Population 1</w:t>
      </w:r>
      <w:r>
        <w:t>, t</w:t>
      </w:r>
      <w:r w:rsidRPr="002167BE">
        <w:t xml:space="preserve">he point estimates for sensitivity </w:t>
      </w:r>
      <w:r>
        <w:t>we</w:t>
      </w:r>
      <w:r w:rsidRPr="002167BE">
        <w:t>re associated with wide confidence intervals</w:t>
      </w:r>
      <w:r>
        <w:t>,</w:t>
      </w:r>
      <w:r w:rsidRPr="002167BE">
        <w:t xml:space="preserve"> reflecting uncertainty in the results. Heterogeneity </w:t>
      </w:r>
      <w:r>
        <w:t>was</w:t>
      </w:r>
      <w:r w:rsidRPr="002167BE">
        <w:t xml:space="preserve"> high, particularly </w:t>
      </w:r>
      <w:r>
        <w:t xml:space="preserve">for sensitivity. Subgroup analysis to identify the cause of the heterogeneity could not be performed due to the small number of included studies. </w:t>
      </w:r>
      <w:r w:rsidR="006D0CA2" w:rsidRPr="006D0CA2">
        <w:t>Five of the key diagnostic accuracy studies reported Cohen’s kappa (k) to describe inter-reader reliability. The kappa values range from 0.48-0.81, with a median of 0.63.</w:t>
      </w:r>
      <w:r w:rsidR="00980342">
        <w:t xml:space="preserve"> </w:t>
      </w:r>
      <w:r w:rsidR="006D0CA2" w:rsidRPr="006D0CA2">
        <w:t xml:space="preserve">(Including 4 additional </w:t>
      </w:r>
      <w:proofErr w:type="gramStart"/>
      <w:r w:rsidR="006D0CA2" w:rsidRPr="006D0CA2">
        <w:t>studies  range</w:t>
      </w:r>
      <w:proofErr w:type="gramEnd"/>
      <w:r w:rsidR="006D0CA2" w:rsidRPr="006D0CA2">
        <w:t xml:space="preserve"> 0.34-0.81.)</w:t>
      </w:r>
      <w:r w:rsidR="00980342">
        <w:t xml:space="preserve">. </w:t>
      </w:r>
      <w:r w:rsidRPr="002167BE">
        <w:t xml:space="preserve">The results suggest reliability may be an issue </w:t>
      </w:r>
      <w:r>
        <w:t>with</w:t>
      </w:r>
      <w:r w:rsidRPr="002167BE">
        <w:t xml:space="preserve"> </w:t>
      </w:r>
      <w:proofErr w:type="spellStart"/>
      <w:r w:rsidRPr="002167BE">
        <w:t>mpMRI</w:t>
      </w:r>
      <w:proofErr w:type="spellEnd"/>
      <w:r w:rsidRPr="002167BE">
        <w:t xml:space="preserve"> and this may therefore explain the observed heterogeneity in the estimates of sensitivity and specificity</w:t>
      </w:r>
      <w:r>
        <w:t xml:space="preserve">. </w:t>
      </w:r>
      <w:r w:rsidRPr="002167BE">
        <w:t xml:space="preserve">The quality for the diagnostic accuracy outcomes was rated </w:t>
      </w:r>
      <w:r>
        <w:t>as ‘low’</w:t>
      </w:r>
      <w:r w:rsidRPr="002167BE">
        <w:t xml:space="preserve"> using the GRADE tool. This reflects the issues with </w:t>
      </w:r>
      <w:r>
        <w:t>im</w:t>
      </w:r>
      <w:r w:rsidRPr="002167BE">
        <w:t xml:space="preserve">precision and </w:t>
      </w:r>
      <w:r>
        <w:t>in</w:t>
      </w:r>
      <w:r w:rsidRPr="002167BE">
        <w:t>consistency in the evidence base</w:t>
      </w:r>
      <w:r>
        <w:t xml:space="preserve">. </w:t>
      </w:r>
    </w:p>
    <w:p w14:paraId="7045E6E1" w14:textId="670D6826" w:rsidR="009067FB" w:rsidRDefault="009067FB" w:rsidP="009067FB">
      <w:pPr>
        <w:spacing w:before="240"/>
      </w:pPr>
      <w:r>
        <w:t>The applicant pre</w:t>
      </w:r>
      <w:r w:rsidR="001F23DE">
        <w:t>-</w:t>
      </w:r>
      <w:r>
        <w:t xml:space="preserve">MSAC response noted that with the introduction of the PIRADS </w:t>
      </w:r>
      <w:r w:rsidR="001F23DE">
        <w:t>v.</w:t>
      </w:r>
      <w:r>
        <w:t xml:space="preserve">2 in 2015, the pooled sensitivity has increased and the confidence intervals have narrowed, but specificity is unaltered. PIRADS </w:t>
      </w:r>
      <w:r w:rsidR="001F23DE">
        <w:t>v.</w:t>
      </w:r>
      <w:r>
        <w:t>2 was introduced jointly by the European Society of Urogenital Radiologists (ESUR) and the American College of Radiologists (ACR).</w:t>
      </w:r>
      <w:r w:rsidR="00BF5936">
        <w:t xml:space="preserve"> Woo et al, European Urology</w:t>
      </w:r>
      <w:r w:rsidR="00BF5936" w:rsidRPr="00BF5936">
        <w:t xml:space="preserve"> January 2107</w:t>
      </w:r>
      <w:r w:rsidR="00BF5936">
        <w:t>,</w:t>
      </w:r>
      <w:r w:rsidR="00BF5936" w:rsidRPr="00BF5936">
        <w:t xml:space="preserve"> is a </w:t>
      </w:r>
      <w:r w:rsidR="001F23DE">
        <w:t>s</w:t>
      </w:r>
      <w:r w:rsidR="001F23DE" w:rsidRPr="00BF5936">
        <w:t xml:space="preserve">ystematic </w:t>
      </w:r>
      <w:r w:rsidR="001F23DE">
        <w:t>r</w:t>
      </w:r>
      <w:r w:rsidR="001F23DE" w:rsidRPr="00BF5936">
        <w:t xml:space="preserve">eview </w:t>
      </w:r>
      <w:r w:rsidR="00BF5936" w:rsidRPr="00BF5936">
        <w:t xml:space="preserve">and a </w:t>
      </w:r>
      <w:r w:rsidR="001F23DE">
        <w:t>d</w:t>
      </w:r>
      <w:r w:rsidR="001F23DE" w:rsidRPr="00BF5936">
        <w:t>iagnostic</w:t>
      </w:r>
      <w:r w:rsidR="001F23DE">
        <w:t xml:space="preserve"> meta</w:t>
      </w:r>
      <w:r w:rsidR="00BF5936">
        <w:t>-analysis which</w:t>
      </w:r>
      <w:r w:rsidR="00BF5936" w:rsidRPr="00BF5936">
        <w:t xml:space="preserve"> includes 3857 patients and th</w:t>
      </w:r>
      <w:r w:rsidR="00BF5936">
        <w:t>e pooled sensitivity was 0.89 (</w:t>
      </w:r>
      <w:r w:rsidR="001F23DE">
        <w:t xml:space="preserve">95% </w:t>
      </w:r>
      <w:r w:rsidR="00BF5936" w:rsidRPr="00BF5936">
        <w:t>CI 0.86-0.92)</w:t>
      </w:r>
      <w:r w:rsidR="00BF5936">
        <w:t>.</w:t>
      </w:r>
    </w:p>
    <w:p w14:paraId="1B0A13B4" w14:textId="77777777" w:rsidR="00D336A4" w:rsidRDefault="00D336A4">
      <w:pPr>
        <w:rPr>
          <w:rFonts w:ascii="Arial Narrow" w:hAnsi="Arial Narrow" w:cs="Tahoma"/>
          <w:b/>
          <w:bCs/>
          <w:sz w:val="20"/>
          <w:szCs w:val="22"/>
        </w:rPr>
      </w:pPr>
      <w:r>
        <w:br w:type="page"/>
      </w:r>
    </w:p>
    <w:p w14:paraId="44B744F7" w14:textId="51C55992" w:rsidR="00ED75E0" w:rsidRPr="00466B3D" w:rsidRDefault="00ED75E0" w:rsidP="00D076CD">
      <w:pPr>
        <w:pStyle w:val="Caption"/>
        <w:spacing w:before="240" w:after="0" w:line="240" w:lineRule="auto"/>
        <w:ind w:left="1134" w:hanging="1134"/>
      </w:pPr>
      <w:r w:rsidRPr="00466B3D">
        <w:lastRenderedPageBreak/>
        <w:t xml:space="preserve">Table </w:t>
      </w:r>
      <w:bookmarkEnd w:id="10"/>
      <w:r w:rsidR="0037377A">
        <w:t>3</w:t>
      </w:r>
      <w:r w:rsidRPr="00466B3D">
        <w:tab/>
        <w:t xml:space="preserve">Summary statistics for </w:t>
      </w:r>
      <w:proofErr w:type="spellStart"/>
      <w:r w:rsidRPr="00466B3D">
        <w:t>mpMRI</w:t>
      </w:r>
      <w:proofErr w:type="spellEnd"/>
      <w:r w:rsidRPr="00466B3D">
        <w:t xml:space="preserve"> against biopsy (TRUGB, TPUSGB or cognitive MRIGB) in Population 2 (</w:t>
      </w:r>
      <w:r>
        <w:t xml:space="preserve">assumed </w:t>
      </w:r>
      <w:r w:rsidRPr="00466B3D">
        <w:t>prevalence of disease upgrade of 30%)</w:t>
      </w:r>
      <w:bookmarkEnd w:id="11"/>
    </w:p>
    <w:tbl>
      <w:tblPr>
        <w:tblStyle w:val="TableGrid2"/>
        <w:tblW w:w="9112" w:type="dxa"/>
        <w:tblLook w:val="04A0" w:firstRow="1" w:lastRow="0" w:firstColumn="1" w:lastColumn="0" w:noHBand="0" w:noVBand="1"/>
        <w:tblDescription w:val="Summary statistics for mpMRI against biopsy  in Population 2, includes estimates of sensitivity, specificity, PPV and NPV"/>
      </w:tblPr>
      <w:tblGrid>
        <w:gridCol w:w="4556"/>
        <w:gridCol w:w="4556"/>
      </w:tblGrid>
      <w:tr w:rsidR="00ED75E0" w:rsidRPr="00035200" w14:paraId="7626100F" w14:textId="77777777" w:rsidTr="00BA67A5">
        <w:trPr>
          <w:cnfStyle w:val="100000000000" w:firstRow="1" w:lastRow="0" w:firstColumn="0" w:lastColumn="0" w:oddVBand="0" w:evenVBand="0" w:oddHBand="0" w:evenHBand="0" w:firstRowFirstColumn="0" w:firstRowLastColumn="0" w:lastRowFirstColumn="0" w:lastRowLastColumn="0"/>
          <w:trHeight w:val="397"/>
          <w:tblHeader/>
        </w:trPr>
        <w:tc>
          <w:tcPr>
            <w:tcW w:w="2500" w:type="pct"/>
          </w:tcPr>
          <w:p w14:paraId="45DDA20E" w14:textId="77777777" w:rsidR="00ED75E0" w:rsidRPr="00035200" w:rsidRDefault="00ED75E0" w:rsidP="00D076CD">
            <w:pPr>
              <w:pStyle w:val="Tableheading"/>
              <w:spacing w:before="0" w:line="240" w:lineRule="auto"/>
              <w:rPr>
                <w:rFonts w:cs="Arial"/>
                <w:color w:val="1F497D"/>
              </w:rPr>
            </w:pPr>
            <w:r w:rsidRPr="00035200">
              <w:t xml:space="preserve">Accuracy </w:t>
            </w:r>
          </w:p>
        </w:tc>
        <w:tc>
          <w:tcPr>
            <w:tcW w:w="2500" w:type="pct"/>
          </w:tcPr>
          <w:p w14:paraId="629EC342" w14:textId="77777777" w:rsidR="00ED75E0" w:rsidRPr="00035200" w:rsidRDefault="00ED75E0" w:rsidP="00D076CD">
            <w:pPr>
              <w:pStyle w:val="Tableheading"/>
              <w:spacing w:before="0" w:line="240" w:lineRule="auto"/>
            </w:pPr>
            <w:proofErr w:type="spellStart"/>
            <w:r w:rsidRPr="00035200">
              <w:t>mpMRI</w:t>
            </w:r>
            <w:proofErr w:type="spellEnd"/>
          </w:p>
          <w:p w14:paraId="7FB5A273" w14:textId="77777777" w:rsidR="00ED75E0" w:rsidRPr="00035200" w:rsidRDefault="00ED75E0" w:rsidP="00D076CD">
            <w:pPr>
              <w:pStyle w:val="Tableheading"/>
              <w:spacing w:before="0" w:line="240" w:lineRule="auto"/>
            </w:pPr>
            <w:r w:rsidRPr="00035200">
              <w:t>(n=820, k=6)</w:t>
            </w:r>
          </w:p>
        </w:tc>
      </w:tr>
      <w:tr w:rsidR="00ED75E0" w:rsidRPr="00E2560B" w14:paraId="436EE15B" w14:textId="77777777" w:rsidTr="00BA67A5">
        <w:trPr>
          <w:trHeight w:val="228"/>
        </w:trPr>
        <w:tc>
          <w:tcPr>
            <w:tcW w:w="2500" w:type="pct"/>
          </w:tcPr>
          <w:p w14:paraId="2D42FA13" w14:textId="77777777" w:rsidR="00ED75E0" w:rsidRPr="003C6B79" w:rsidRDefault="00ED75E0" w:rsidP="00D076CD">
            <w:pPr>
              <w:pStyle w:val="Tabletext"/>
              <w:spacing w:before="0" w:after="0"/>
            </w:pPr>
            <w:r w:rsidRPr="003C6B79">
              <w:t>Sensitivity, % [95% CI]</w:t>
            </w:r>
          </w:p>
        </w:tc>
        <w:tc>
          <w:tcPr>
            <w:tcW w:w="2500" w:type="pct"/>
          </w:tcPr>
          <w:p w14:paraId="7D8070A8" w14:textId="77777777" w:rsidR="00ED75E0" w:rsidRPr="00CC54C6" w:rsidRDefault="00ED75E0" w:rsidP="00D076CD">
            <w:pPr>
              <w:pStyle w:val="Tabletext"/>
              <w:spacing w:before="0" w:after="0"/>
            </w:pPr>
            <w:r>
              <w:t>79.3 [74.6, 83.3]</w:t>
            </w:r>
          </w:p>
        </w:tc>
      </w:tr>
      <w:tr w:rsidR="00ED75E0" w:rsidRPr="00E2560B" w14:paraId="7E947CB4" w14:textId="77777777" w:rsidTr="00BA67A5">
        <w:trPr>
          <w:trHeight w:val="132"/>
        </w:trPr>
        <w:tc>
          <w:tcPr>
            <w:tcW w:w="2500" w:type="pct"/>
          </w:tcPr>
          <w:p w14:paraId="0FC83182" w14:textId="77777777" w:rsidR="00ED75E0" w:rsidRPr="00CC54C6" w:rsidRDefault="00ED75E0" w:rsidP="00D076CD">
            <w:pPr>
              <w:pStyle w:val="Tabletext"/>
              <w:spacing w:before="0" w:after="0"/>
            </w:pPr>
            <w:r w:rsidRPr="00CC54C6">
              <w:t>Specificity, % [95% CI]</w:t>
            </w:r>
          </w:p>
        </w:tc>
        <w:tc>
          <w:tcPr>
            <w:tcW w:w="2500" w:type="pct"/>
          </w:tcPr>
          <w:p w14:paraId="0E200CB7" w14:textId="77777777" w:rsidR="00ED75E0" w:rsidRPr="00A435D3" w:rsidRDefault="00ED75E0" w:rsidP="00D076CD">
            <w:pPr>
              <w:pStyle w:val="Tabletext"/>
              <w:spacing w:before="0" w:after="0"/>
            </w:pPr>
            <w:r>
              <w:t>55.1 [50.4, 59.8]</w:t>
            </w:r>
          </w:p>
        </w:tc>
      </w:tr>
      <w:tr w:rsidR="00ED75E0" w:rsidRPr="00E2560B" w14:paraId="17D5316A" w14:textId="77777777" w:rsidTr="00BA67A5">
        <w:trPr>
          <w:trHeight w:val="178"/>
        </w:trPr>
        <w:tc>
          <w:tcPr>
            <w:tcW w:w="2500" w:type="pct"/>
          </w:tcPr>
          <w:p w14:paraId="2180F662" w14:textId="77777777" w:rsidR="00ED75E0" w:rsidRPr="00CC54C6" w:rsidRDefault="00ED75E0" w:rsidP="00D076CD">
            <w:pPr>
              <w:pStyle w:val="Tabletext"/>
              <w:spacing w:before="0" w:after="0"/>
            </w:pPr>
            <w:r>
              <w:t>PPV</w:t>
            </w:r>
          </w:p>
        </w:tc>
        <w:tc>
          <w:tcPr>
            <w:tcW w:w="2500" w:type="pct"/>
          </w:tcPr>
          <w:p w14:paraId="6B78E424" w14:textId="77777777" w:rsidR="00ED75E0" w:rsidRDefault="00ED75E0" w:rsidP="00D076CD">
            <w:pPr>
              <w:pStyle w:val="Tabletext"/>
              <w:spacing w:before="0" w:after="0"/>
            </w:pPr>
            <w:r>
              <w:t>59.4 [53.5, 65.0]</w:t>
            </w:r>
          </w:p>
        </w:tc>
      </w:tr>
      <w:tr w:rsidR="00ED75E0" w:rsidRPr="00E2560B" w14:paraId="7AAF887E" w14:textId="77777777" w:rsidTr="00BA67A5">
        <w:trPr>
          <w:trHeight w:val="70"/>
        </w:trPr>
        <w:tc>
          <w:tcPr>
            <w:tcW w:w="2500" w:type="pct"/>
          </w:tcPr>
          <w:p w14:paraId="68D57E8E" w14:textId="77777777" w:rsidR="00ED75E0" w:rsidRDefault="00ED75E0" w:rsidP="00D076CD">
            <w:pPr>
              <w:pStyle w:val="Tabletext"/>
              <w:spacing w:before="0" w:after="0"/>
            </w:pPr>
            <w:r>
              <w:t>NPV</w:t>
            </w:r>
          </w:p>
        </w:tc>
        <w:tc>
          <w:tcPr>
            <w:tcW w:w="2500" w:type="pct"/>
          </w:tcPr>
          <w:p w14:paraId="6164FFA0" w14:textId="77777777" w:rsidR="00ED75E0" w:rsidRDefault="00ED75E0" w:rsidP="00D076CD">
            <w:pPr>
              <w:pStyle w:val="Tabletext"/>
              <w:spacing w:before="0" w:after="0"/>
            </w:pPr>
            <w:r>
              <w:t>76.2 [70.1, 81.4]</w:t>
            </w:r>
          </w:p>
        </w:tc>
      </w:tr>
    </w:tbl>
    <w:p w14:paraId="3B145524" w14:textId="77777777" w:rsidR="00ED75E0" w:rsidRDefault="00ED75E0" w:rsidP="00D076CD">
      <w:pPr>
        <w:pStyle w:val="TableNotes"/>
        <w:spacing w:after="0" w:line="240" w:lineRule="auto"/>
      </w:pPr>
      <w:r>
        <w:t xml:space="preserve">PPV = positive predictive value, NPV = negative predictive value, </w:t>
      </w:r>
      <w:proofErr w:type="spellStart"/>
      <w:r>
        <w:t>mpMRI</w:t>
      </w:r>
      <w:proofErr w:type="spellEnd"/>
      <w:r>
        <w:t xml:space="preserve"> = </w:t>
      </w:r>
      <w:proofErr w:type="spellStart"/>
      <w:r>
        <w:t>multiparametric</w:t>
      </w:r>
      <w:proofErr w:type="spellEnd"/>
      <w:r>
        <w:t xml:space="preserve"> MRI, MRI = magnetic resonance imaging, CI = confidence interval.</w:t>
      </w:r>
    </w:p>
    <w:p w14:paraId="16131A3A" w14:textId="77777777" w:rsidR="000557D4" w:rsidRDefault="000557D4" w:rsidP="000557D4">
      <w:pPr>
        <w:spacing w:before="240"/>
      </w:pPr>
      <w:r>
        <w:t xml:space="preserve">In </w:t>
      </w:r>
      <w:r w:rsidRPr="00F90B04">
        <w:rPr>
          <w:u w:val="single"/>
        </w:rPr>
        <w:t>Population 2</w:t>
      </w:r>
      <w:r>
        <w:t xml:space="preserve">, results for </w:t>
      </w:r>
      <w:proofErr w:type="spellStart"/>
      <w:r>
        <w:t>mpMRI</w:t>
      </w:r>
      <w:proofErr w:type="spellEnd"/>
      <w:r>
        <w:t xml:space="preserve"> are consistent and there is no apparent heterogeneity. The quality of the diagnostic accuracy outcomes for Population 2 was rated as ‘high’ using the GRADE tool.</w:t>
      </w:r>
    </w:p>
    <w:p w14:paraId="75E1D5DE" w14:textId="77777777" w:rsidR="003440CE" w:rsidRDefault="00ED75E0" w:rsidP="00BF5478">
      <w:pPr>
        <w:spacing w:before="240" w:after="240"/>
      </w:pPr>
      <w:r w:rsidRPr="002167BE">
        <w:t xml:space="preserve">There were no applicability issues identified between the included studies and the proposed population in the Protocol. Only studies </w:t>
      </w:r>
      <w:r>
        <w:t>that used</w:t>
      </w:r>
      <w:r w:rsidRPr="002167BE">
        <w:t xml:space="preserve"> a consistent threshold for PI-RADS scoring as stated in the Protocol (≥ PI-RADS 4 for a positive result)</w:t>
      </w:r>
      <w:r>
        <w:t xml:space="preserve">, and that stratified results for clinically significant and insignificant </w:t>
      </w:r>
      <w:proofErr w:type="spellStart"/>
      <w:r>
        <w:t>PCa</w:t>
      </w:r>
      <w:proofErr w:type="spellEnd"/>
      <w:r>
        <w:t>,</w:t>
      </w:r>
      <w:r w:rsidRPr="002167BE">
        <w:t xml:space="preserve"> were included in this analysis.</w:t>
      </w:r>
    </w:p>
    <w:p w14:paraId="73D6ABB1" w14:textId="77777777" w:rsidR="00ED75E0" w:rsidRPr="003440CE" w:rsidRDefault="00ED75E0" w:rsidP="00BF5478">
      <w:pPr>
        <w:pStyle w:val="Heading2"/>
        <w:spacing w:before="0"/>
      </w:pPr>
      <w:r w:rsidRPr="003440CE">
        <w:t>Therapeutic efficacy (change in management)</w:t>
      </w:r>
    </w:p>
    <w:p w14:paraId="0D85A3DC" w14:textId="77777777" w:rsidR="00ED75E0" w:rsidRDefault="00ED75E0" w:rsidP="00BF5478">
      <w:r>
        <w:t xml:space="preserve">There was no evidence identified assessing a change in management due to </w:t>
      </w:r>
      <w:proofErr w:type="spellStart"/>
      <w:r>
        <w:t>mpMRI</w:t>
      </w:r>
      <w:proofErr w:type="spellEnd"/>
      <w:r>
        <w:t xml:space="preserve">. The proposed changes to management due to </w:t>
      </w:r>
      <w:proofErr w:type="spellStart"/>
      <w:r>
        <w:t>mpMRI</w:t>
      </w:r>
      <w:proofErr w:type="spellEnd"/>
      <w:r>
        <w:t xml:space="preserve"> are:</w:t>
      </w:r>
    </w:p>
    <w:p w14:paraId="5AEBDA74" w14:textId="77777777" w:rsidR="00ED75E0" w:rsidRDefault="00ED75E0" w:rsidP="00D076CD">
      <w:pPr>
        <w:pStyle w:val="ListParagraph"/>
        <w:numPr>
          <w:ilvl w:val="0"/>
          <w:numId w:val="32"/>
        </w:numPr>
        <w:jc w:val="both"/>
      </w:pPr>
      <w:r>
        <w:t xml:space="preserve">Avoidance of biopsy in most patients with a negative </w:t>
      </w:r>
      <w:proofErr w:type="spellStart"/>
      <w:r>
        <w:t>mpMRI</w:t>
      </w:r>
      <w:proofErr w:type="spellEnd"/>
    </w:p>
    <w:p w14:paraId="25288270" w14:textId="77777777" w:rsidR="00ED75E0" w:rsidRDefault="00ED75E0" w:rsidP="00D076CD">
      <w:pPr>
        <w:pStyle w:val="ListParagraph"/>
        <w:numPr>
          <w:ilvl w:val="0"/>
          <w:numId w:val="32"/>
        </w:numPr>
        <w:jc w:val="both"/>
      </w:pPr>
      <w:r>
        <w:t xml:space="preserve">Avoidance of treatment of insignificant </w:t>
      </w:r>
      <w:proofErr w:type="spellStart"/>
      <w:r>
        <w:t>PCa</w:t>
      </w:r>
      <w:proofErr w:type="spellEnd"/>
      <w:r>
        <w:t xml:space="preserve"> for some patients</w:t>
      </w:r>
    </w:p>
    <w:p w14:paraId="1E20C48D" w14:textId="77777777" w:rsidR="00ED75E0" w:rsidRDefault="00ED75E0" w:rsidP="00D076CD">
      <w:pPr>
        <w:pStyle w:val="ListParagraph"/>
        <w:numPr>
          <w:ilvl w:val="0"/>
          <w:numId w:val="32"/>
        </w:numPr>
        <w:jc w:val="both"/>
      </w:pPr>
      <w:r>
        <w:t>Delay to the diagnosis and treatment of clinically significant disease</w:t>
      </w:r>
    </w:p>
    <w:p w14:paraId="142600DC" w14:textId="77777777" w:rsidR="00F156F4" w:rsidRDefault="00ED75E0" w:rsidP="00BF5478">
      <w:pPr>
        <w:pStyle w:val="Heading2"/>
      </w:pPr>
      <w:r w:rsidRPr="003440CE">
        <w:t>Therapeutic effectiveness (health benefit from change in management)</w:t>
      </w:r>
    </w:p>
    <w:p w14:paraId="253573D6" w14:textId="1ECEBC5C" w:rsidR="00ED75E0" w:rsidRDefault="00ED75E0" w:rsidP="00BF5478">
      <w:pPr>
        <w:spacing w:after="240"/>
      </w:pPr>
      <w:r>
        <w:t xml:space="preserve">A selection of the key health outcomes associated with </w:t>
      </w:r>
      <w:proofErr w:type="spellStart"/>
      <w:r>
        <w:t>mpMRI</w:t>
      </w:r>
      <w:proofErr w:type="spellEnd"/>
      <w:r>
        <w:t xml:space="preserve"> in </w:t>
      </w:r>
      <w:r w:rsidRPr="00F90B04">
        <w:rPr>
          <w:u w:val="single"/>
        </w:rPr>
        <w:t>Population 1</w:t>
      </w:r>
      <w:r>
        <w:t xml:space="preserve"> are summarised in </w:t>
      </w:r>
      <w:r w:rsidR="0031528B">
        <w:t>T</w:t>
      </w:r>
      <w:r w:rsidR="0037377A">
        <w:t>able 4</w:t>
      </w:r>
      <w:r>
        <w:t>.</w:t>
      </w:r>
    </w:p>
    <w:p w14:paraId="1C691001" w14:textId="3DC9A5F0" w:rsidR="003440CE" w:rsidRDefault="00ED75E0" w:rsidP="00376F27">
      <w:pPr>
        <w:spacing w:after="240"/>
      </w:pPr>
      <w:r>
        <w:t xml:space="preserve">Patients who have clinically insignificant cancer who have a PI-RADS 1-3 on </w:t>
      </w:r>
      <w:proofErr w:type="spellStart"/>
      <w:r>
        <w:t>mpMRI</w:t>
      </w:r>
      <w:proofErr w:type="spellEnd"/>
      <w:r>
        <w:t xml:space="preserve"> may avoid overtreatment of their disease as data shows that approximately half of patients in this group currently receive treatment in Australia despite being eligible for active surveillance programs. Prostate cancer treatment exposes the patient both to immediate complications due to the procedures (surgical complications and/or radiation toxicity</w:t>
      </w:r>
      <w:r w:rsidR="00F55111">
        <w:t>)</w:t>
      </w:r>
      <w:r>
        <w:t xml:space="preserve">. In addition some patients experience long term adverse outcomes following treatment, mostly urinary incontinence, erectile dysfunction and bowel urgency. Avoidance of overtreatment of insignificant disease will reduce the incidence of these complications and improve quality of life for these patients. </w:t>
      </w:r>
    </w:p>
    <w:p w14:paraId="2A971E06" w14:textId="1D63C480" w:rsidR="003440CE" w:rsidRDefault="00ED75E0" w:rsidP="00376F27">
      <w:pPr>
        <w:spacing w:after="240"/>
      </w:pPr>
      <w:r>
        <w:t xml:space="preserve">Patients who receive a false negative </w:t>
      </w:r>
      <w:proofErr w:type="spellStart"/>
      <w:r>
        <w:t>mpMRI</w:t>
      </w:r>
      <w:proofErr w:type="spellEnd"/>
      <w:r>
        <w:t xml:space="preserve"> will experience a delay to treatment for clinically significant disease. It is not clear that this delay is associated with any adverse outcomes for patients (Subsection B5). The evidence base to inform patient outcomes following delayed treatment is considered very low quality and is based on observational evidence.</w:t>
      </w:r>
    </w:p>
    <w:p w14:paraId="3FD1197D" w14:textId="09225D8B" w:rsidR="00376F27" w:rsidRDefault="00ED75E0" w:rsidP="00ED75E0">
      <w:r>
        <w:t xml:space="preserve">Overall, it is expected that for every 1,000 patients in Population 1 the proposed </w:t>
      </w:r>
      <w:proofErr w:type="spellStart"/>
      <w:r>
        <w:t>mpMRI</w:t>
      </w:r>
      <w:proofErr w:type="spellEnd"/>
      <w:r>
        <w:t xml:space="preserve"> pathway will enable 505 patients to avoid a biopsy and 94 patients to avoid overtreatment of insignificant disease, but result in a delay to treatment of clinically significant disease in 54 patients.</w:t>
      </w:r>
    </w:p>
    <w:p w14:paraId="066B50FA" w14:textId="77777777" w:rsidR="00376F27" w:rsidRDefault="00376F27">
      <w:r>
        <w:br w:type="page"/>
      </w:r>
    </w:p>
    <w:p w14:paraId="53CB94AB" w14:textId="77777777" w:rsidR="00ED75E0" w:rsidRDefault="00ED75E0" w:rsidP="00F84800">
      <w:pPr>
        <w:pStyle w:val="Caption"/>
        <w:spacing w:after="0" w:line="240" w:lineRule="auto"/>
        <w:ind w:left="1440" w:hanging="1440"/>
        <w:jc w:val="left"/>
      </w:pPr>
      <w:bookmarkStart w:id="12" w:name="_Ref457290151"/>
      <w:bookmarkStart w:id="13" w:name="_Toc456775908"/>
      <w:bookmarkStart w:id="14" w:name="_Toc470016487"/>
      <w:bookmarkStart w:id="15" w:name="_Toc471382699"/>
      <w:r w:rsidRPr="00593CC5">
        <w:lastRenderedPageBreak/>
        <w:t xml:space="preserve">Table </w:t>
      </w:r>
      <w:bookmarkEnd w:id="12"/>
      <w:r w:rsidR="0037377A">
        <w:t>4</w:t>
      </w:r>
      <w:r w:rsidRPr="00593CC5">
        <w:tab/>
      </w:r>
      <w:r>
        <w:t xml:space="preserve">Population 1: Selected findings for the linked evidence comparison of </w:t>
      </w:r>
      <w:proofErr w:type="spellStart"/>
      <w:r w:rsidRPr="00466B3D">
        <w:t>mpMRI</w:t>
      </w:r>
      <w:proofErr w:type="spellEnd"/>
      <w:r w:rsidRPr="00466B3D">
        <w:t>, relative to TRUSGB or TPUSGB, in patients with suspected prostate cancer with assumed pre-test probability (prevalence) of 35</w:t>
      </w:r>
      <w:r>
        <w:t>.5</w:t>
      </w:r>
      <w:r w:rsidRPr="00466B3D">
        <w:t>%</w:t>
      </w:r>
      <w:r>
        <w:t xml:space="preserve"> for clinically significant </w:t>
      </w:r>
      <w:proofErr w:type="spellStart"/>
      <w:r>
        <w:t>PCa</w:t>
      </w:r>
      <w:bookmarkEnd w:id="13"/>
      <w:bookmarkEnd w:id="14"/>
      <w:proofErr w:type="spellEnd"/>
      <w:r>
        <w:t>.</w:t>
      </w:r>
      <w:bookmarkEnd w:id="15"/>
      <w:r>
        <w:t xml:space="preserve"> </w:t>
      </w:r>
    </w:p>
    <w:tbl>
      <w:tblPr>
        <w:tblStyle w:val="TableGrid"/>
        <w:tblW w:w="5000" w:type="pct"/>
        <w:tblCellMar>
          <w:left w:w="28" w:type="dxa"/>
          <w:right w:w="28" w:type="dxa"/>
        </w:tblCellMar>
        <w:tblLook w:val="04A0" w:firstRow="1" w:lastRow="0" w:firstColumn="1" w:lastColumn="0" w:noHBand="0" w:noVBand="1"/>
        <w:tblDescription w:val="Summary of findings table for population 1 - selected relevant outcomes only "/>
      </w:tblPr>
      <w:tblGrid>
        <w:gridCol w:w="1371"/>
        <w:gridCol w:w="1043"/>
        <w:gridCol w:w="939"/>
        <w:gridCol w:w="1371"/>
        <w:gridCol w:w="1279"/>
        <w:gridCol w:w="1099"/>
        <w:gridCol w:w="1980"/>
      </w:tblGrid>
      <w:tr w:rsidR="00ED75E0" w:rsidRPr="005F03C1" w14:paraId="78AA0540" w14:textId="77777777" w:rsidTr="008E4C81">
        <w:trPr>
          <w:trHeight w:val="397"/>
          <w:tblHeader/>
        </w:trPr>
        <w:tc>
          <w:tcPr>
            <w:tcW w:w="755" w:type="pct"/>
          </w:tcPr>
          <w:p w14:paraId="4413502B" w14:textId="77777777" w:rsidR="00ED75E0" w:rsidRPr="005F03C1" w:rsidRDefault="00ED75E0" w:rsidP="005B2AF1">
            <w:pPr>
              <w:pStyle w:val="Tableheading"/>
              <w:spacing w:before="0" w:line="240" w:lineRule="auto"/>
              <w:rPr>
                <w:szCs w:val="20"/>
              </w:rPr>
            </w:pPr>
            <w:r w:rsidRPr="005F03C1">
              <w:rPr>
                <w:szCs w:val="20"/>
              </w:rPr>
              <w:t>Outcomes</w:t>
            </w:r>
          </w:p>
          <w:p w14:paraId="33F7589D" w14:textId="77777777" w:rsidR="00ED75E0" w:rsidRPr="005F03C1" w:rsidRDefault="00ED75E0" w:rsidP="005B2AF1">
            <w:pPr>
              <w:pStyle w:val="Tableheading"/>
              <w:spacing w:before="0" w:line="240" w:lineRule="auto"/>
              <w:rPr>
                <w:szCs w:val="20"/>
              </w:rPr>
            </w:pPr>
            <w:r w:rsidRPr="005F03C1">
              <w:rPr>
                <w:szCs w:val="20"/>
              </w:rPr>
              <w:t>Meaning</w:t>
            </w:r>
          </w:p>
          <w:p w14:paraId="330F5474" w14:textId="77777777" w:rsidR="00ED75E0" w:rsidRPr="005F03C1" w:rsidRDefault="00ED75E0" w:rsidP="005B2AF1">
            <w:pPr>
              <w:pStyle w:val="Tableheading"/>
              <w:spacing w:before="0" w:line="240" w:lineRule="auto"/>
              <w:rPr>
                <w:szCs w:val="20"/>
              </w:rPr>
            </w:pPr>
            <w:r w:rsidRPr="005F03C1">
              <w:rPr>
                <w:szCs w:val="20"/>
              </w:rPr>
              <w:t>PI-RADS score</w:t>
            </w:r>
          </w:p>
        </w:tc>
        <w:tc>
          <w:tcPr>
            <w:tcW w:w="574" w:type="pct"/>
          </w:tcPr>
          <w:p w14:paraId="6E27C2AD" w14:textId="77777777" w:rsidR="00ED75E0" w:rsidRPr="005F03C1" w:rsidRDefault="00ED75E0" w:rsidP="005B2AF1">
            <w:pPr>
              <w:pStyle w:val="Tableheading"/>
              <w:spacing w:before="0" w:line="240" w:lineRule="auto"/>
              <w:rPr>
                <w:szCs w:val="20"/>
              </w:rPr>
            </w:pPr>
            <w:r w:rsidRPr="005F03C1">
              <w:rPr>
                <w:szCs w:val="20"/>
              </w:rPr>
              <w:t>Patients/</w:t>
            </w:r>
          </w:p>
          <w:p w14:paraId="06644D34" w14:textId="77777777" w:rsidR="00ED75E0" w:rsidRPr="005F03C1" w:rsidRDefault="00ED75E0" w:rsidP="005B2AF1">
            <w:pPr>
              <w:pStyle w:val="Tableheading"/>
              <w:spacing w:before="0" w:line="240" w:lineRule="auto"/>
              <w:rPr>
                <w:szCs w:val="20"/>
              </w:rPr>
            </w:pPr>
            <w:r w:rsidRPr="005F03C1">
              <w:rPr>
                <w:szCs w:val="20"/>
              </w:rPr>
              <w:t>Studies</w:t>
            </w:r>
          </w:p>
        </w:tc>
        <w:tc>
          <w:tcPr>
            <w:tcW w:w="517" w:type="pct"/>
          </w:tcPr>
          <w:p w14:paraId="50F27C29" w14:textId="77777777" w:rsidR="00ED75E0" w:rsidRPr="005F03C1" w:rsidRDefault="00ED75E0" w:rsidP="005B2AF1">
            <w:pPr>
              <w:pStyle w:val="Tableheading"/>
              <w:spacing w:before="0" w:line="240" w:lineRule="auto"/>
              <w:rPr>
                <w:szCs w:val="20"/>
              </w:rPr>
            </w:pPr>
            <w:r w:rsidRPr="005F03C1">
              <w:rPr>
                <w:szCs w:val="20"/>
              </w:rPr>
              <w:t xml:space="preserve">Quality of </w:t>
            </w:r>
            <w:proofErr w:type="spellStart"/>
            <w:r w:rsidRPr="005F03C1">
              <w:rPr>
                <w:szCs w:val="20"/>
              </w:rPr>
              <w:t>evidence</w:t>
            </w:r>
            <w:r w:rsidRPr="005F03C1">
              <w:rPr>
                <w:szCs w:val="20"/>
                <w:vertAlign w:val="superscript"/>
              </w:rPr>
              <w:t>a</w:t>
            </w:r>
            <w:proofErr w:type="spellEnd"/>
          </w:p>
        </w:tc>
        <w:tc>
          <w:tcPr>
            <w:tcW w:w="755" w:type="pct"/>
          </w:tcPr>
          <w:p w14:paraId="01921A8C" w14:textId="77777777" w:rsidR="00ED75E0" w:rsidRPr="005F03C1" w:rsidRDefault="00ED75E0" w:rsidP="005B2AF1">
            <w:pPr>
              <w:pStyle w:val="Tableheading"/>
              <w:spacing w:before="0" w:line="240" w:lineRule="auto"/>
              <w:rPr>
                <w:szCs w:val="20"/>
                <w:vertAlign w:val="superscript"/>
              </w:rPr>
            </w:pPr>
            <w:r w:rsidRPr="005F03C1">
              <w:rPr>
                <w:szCs w:val="20"/>
              </w:rPr>
              <w:t xml:space="preserve">No. per 1000 patients with </w:t>
            </w:r>
            <w:proofErr w:type="spellStart"/>
            <w:r w:rsidRPr="005F03C1">
              <w:rPr>
                <w:szCs w:val="20"/>
              </w:rPr>
              <w:t>mpMRI</w:t>
            </w:r>
            <w:r w:rsidRPr="005F03C1">
              <w:rPr>
                <w:szCs w:val="20"/>
                <w:vertAlign w:val="superscript"/>
              </w:rPr>
              <w:t>b</w:t>
            </w:r>
            <w:proofErr w:type="spellEnd"/>
          </w:p>
        </w:tc>
        <w:tc>
          <w:tcPr>
            <w:tcW w:w="704" w:type="pct"/>
          </w:tcPr>
          <w:p w14:paraId="5D1124AE" w14:textId="77777777" w:rsidR="00ED75E0" w:rsidRPr="005F03C1" w:rsidRDefault="00ED75E0" w:rsidP="005B2AF1">
            <w:pPr>
              <w:pStyle w:val="Tableheading"/>
              <w:spacing w:before="0" w:line="240" w:lineRule="auto"/>
              <w:rPr>
                <w:szCs w:val="20"/>
              </w:rPr>
            </w:pPr>
            <w:r w:rsidRPr="005F03C1">
              <w:rPr>
                <w:szCs w:val="20"/>
              </w:rPr>
              <w:t xml:space="preserve">No. per 1000 patients results of biopsy </w:t>
            </w:r>
            <w:r w:rsidRPr="00EE6AEA">
              <w:rPr>
                <w:szCs w:val="20"/>
              </w:rPr>
              <w:t>after</w:t>
            </w:r>
            <w:r w:rsidRPr="005F03C1">
              <w:rPr>
                <w:szCs w:val="20"/>
              </w:rPr>
              <w:t xml:space="preserve"> </w:t>
            </w:r>
            <w:proofErr w:type="spellStart"/>
            <w:r w:rsidRPr="005F03C1">
              <w:rPr>
                <w:szCs w:val="20"/>
              </w:rPr>
              <w:t>mpMRI</w:t>
            </w:r>
            <w:proofErr w:type="spellEnd"/>
          </w:p>
        </w:tc>
        <w:tc>
          <w:tcPr>
            <w:tcW w:w="605" w:type="pct"/>
          </w:tcPr>
          <w:p w14:paraId="75B90D69" w14:textId="77777777" w:rsidR="00ED75E0" w:rsidRPr="005F03C1" w:rsidRDefault="00ED75E0" w:rsidP="005B2AF1">
            <w:pPr>
              <w:pStyle w:val="Tableheading"/>
              <w:spacing w:before="0" w:line="240" w:lineRule="auto"/>
              <w:rPr>
                <w:szCs w:val="20"/>
              </w:rPr>
            </w:pPr>
            <w:r w:rsidRPr="005F03C1">
              <w:rPr>
                <w:szCs w:val="20"/>
              </w:rPr>
              <w:t>No. per 1000 patients with comparator (all patients get biopsy)</w:t>
            </w:r>
            <w:r w:rsidRPr="005F03C1">
              <w:rPr>
                <w:szCs w:val="20"/>
                <w:vertAlign w:val="superscript"/>
              </w:rPr>
              <w:t>c</w:t>
            </w:r>
          </w:p>
        </w:tc>
        <w:tc>
          <w:tcPr>
            <w:tcW w:w="1090" w:type="pct"/>
          </w:tcPr>
          <w:p w14:paraId="57447785" w14:textId="77777777" w:rsidR="00ED75E0" w:rsidRPr="005F03C1" w:rsidRDefault="00ED75E0" w:rsidP="005B2AF1">
            <w:pPr>
              <w:pStyle w:val="Tableheading"/>
              <w:spacing w:before="0" w:line="240" w:lineRule="auto"/>
              <w:rPr>
                <w:szCs w:val="20"/>
              </w:rPr>
            </w:pPr>
            <w:r w:rsidRPr="005F03C1">
              <w:rPr>
                <w:szCs w:val="20"/>
              </w:rPr>
              <w:t>Comments</w:t>
            </w:r>
          </w:p>
        </w:tc>
      </w:tr>
      <w:tr w:rsidR="00ED75E0" w:rsidRPr="005F03C1" w14:paraId="6E20A7DB" w14:textId="77777777" w:rsidTr="008E4C81">
        <w:trPr>
          <w:trHeight w:val="397"/>
        </w:trPr>
        <w:tc>
          <w:tcPr>
            <w:tcW w:w="755" w:type="pct"/>
          </w:tcPr>
          <w:p w14:paraId="2D986395" w14:textId="77777777" w:rsidR="00ED75E0" w:rsidRPr="005F03C1" w:rsidRDefault="00ED75E0" w:rsidP="005B2AF1">
            <w:pPr>
              <w:pStyle w:val="Tabletext"/>
              <w:spacing w:before="0" w:after="0"/>
            </w:pPr>
            <w:r w:rsidRPr="005F03C1">
              <w:t>True positives</w:t>
            </w:r>
          </w:p>
          <w:p w14:paraId="4A31245E" w14:textId="77777777" w:rsidR="00ED75E0" w:rsidRPr="005F03C1" w:rsidRDefault="00ED75E0" w:rsidP="005B2AF1">
            <w:pPr>
              <w:pStyle w:val="Tabletext"/>
              <w:spacing w:before="0" w:after="0"/>
            </w:pPr>
            <w:r w:rsidRPr="004108F7">
              <w:t>C</w:t>
            </w:r>
            <w:r w:rsidRPr="005F03C1">
              <w:t xml:space="preserve">linically significant </w:t>
            </w:r>
            <w:proofErr w:type="spellStart"/>
            <w:r w:rsidRPr="004108F7">
              <w:t>PCa</w:t>
            </w:r>
            <w:proofErr w:type="spellEnd"/>
          </w:p>
          <w:p w14:paraId="5A4D10CD" w14:textId="77777777" w:rsidR="00ED75E0" w:rsidRPr="005F03C1" w:rsidRDefault="00ED75E0" w:rsidP="005B2AF1">
            <w:pPr>
              <w:pStyle w:val="Tabletext"/>
              <w:spacing w:before="0" w:after="0"/>
            </w:pPr>
            <w:r w:rsidRPr="005F03C1">
              <w:t>PI-RADs 4/5</w:t>
            </w:r>
          </w:p>
        </w:tc>
        <w:tc>
          <w:tcPr>
            <w:tcW w:w="574" w:type="pct"/>
          </w:tcPr>
          <w:p w14:paraId="598A5C77" w14:textId="77777777" w:rsidR="00ED75E0" w:rsidRPr="005F03C1" w:rsidRDefault="00ED75E0" w:rsidP="005B2AF1">
            <w:pPr>
              <w:pStyle w:val="Tabletext"/>
              <w:spacing w:before="0" w:after="0"/>
            </w:pPr>
            <w:r w:rsidRPr="005F03C1">
              <w:t>1,024 patients</w:t>
            </w:r>
          </w:p>
          <w:p w14:paraId="2C0A32D3" w14:textId="77777777" w:rsidR="00ED75E0" w:rsidRPr="005F03C1" w:rsidRDefault="00ED75E0" w:rsidP="005B2AF1">
            <w:pPr>
              <w:pStyle w:val="Tabletext"/>
              <w:spacing w:before="0" w:after="0"/>
            </w:pPr>
            <w:r w:rsidRPr="005F03C1">
              <w:t>(4 studies)</w:t>
            </w:r>
          </w:p>
        </w:tc>
        <w:tc>
          <w:tcPr>
            <w:tcW w:w="517" w:type="pct"/>
          </w:tcPr>
          <w:p w14:paraId="1E4C8A38"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795F3758" w14:textId="77777777" w:rsidR="00ED75E0" w:rsidRPr="005F03C1" w:rsidRDefault="00ED75E0" w:rsidP="005B2AF1">
            <w:pPr>
              <w:pStyle w:val="Tabletext"/>
              <w:spacing w:before="0" w:after="0"/>
            </w:pPr>
            <w:r w:rsidRPr="005F03C1">
              <w:t>264</w:t>
            </w:r>
          </w:p>
        </w:tc>
        <w:tc>
          <w:tcPr>
            <w:tcW w:w="704" w:type="pct"/>
          </w:tcPr>
          <w:p w14:paraId="54DB233A" w14:textId="77777777" w:rsidR="00ED75E0" w:rsidRPr="005F03C1" w:rsidRDefault="00ED75E0" w:rsidP="005B2AF1">
            <w:pPr>
              <w:pStyle w:val="Tabletext"/>
              <w:spacing w:before="0" w:after="0"/>
            </w:pPr>
            <w:r w:rsidRPr="005F03C1">
              <w:t>215</w:t>
            </w:r>
          </w:p>
        </w:tc>
        <w:tc>
          <w:tcPr>
            <w:tcW w:w="605" w:type="pct"/>
          </w:tcPr>
          <w:p w14:paraId="75E35670" w14:textId="77777777" w:rsidR="00ED75E0" w:rsidRPr="005F03C1" w:rsidRDefault="00ED75E0" w:rsidP="005B2AF1">
            <w:pPr>
              <w:pStyle w:val="Tabletext"/>
              <w:spacing w:before="0" w:after="0"/>
            </w:pPr>
            <w:r w:rsidRPr="005F03C1">
              <w:t>270</w:t>
            </w:r>
          </w:p>
        </w:tc>
        <w:tc>
          <w:tcPr>
            <w:tcW w:w="1090" w:type="pct"/>
          </w:tcPr>
          <w:p w14:paraId="2D77F5E2"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5FC12084" w14:textId="77777777" w:rsidTr="008E4C81">
        <w:trPr>
          <w:trHeight w:val="397"/>
        </w:trPr>
        <w:tc>
          <w:tcPr>
            <w:tcW w:w="755" w:type="pct"/>
          </w:tcPr>
          <w:p w14:paraId="75D464B5" w14:textId="77777777" w:rsidR="00ED75E0" w:rsidRPr="005F03C1" w:rsidRDefault="00ED75E0" w:rsidP="005B2AF1">
            <w:pPr>
              <w:pStyle w:val="Tabletext"/>
              <w:spacing w:before="0" w:after="0"/>
            </w:pPr>
            <w:r w:rsidRPr="005F03C1">
              <w:t>False positives</w:t>
            </w:r>
          </w:p>
          <w:p w14:paraId="7028602C" w14:textId="77777777" w:rsidR="00ED75E0" w:rsidRPr="005F03C1" w:rsidRDefault="00ED75E0" w:rsidP="005B2AF1">
            <w:pPr>
              <w:pStyle w:val="Tabletext"/>
              <w:spacing w:before="0" w:after="0"/>
            </w:pPr>
            <w:r w:rsidRPr="004108F7">
              <w:t>N</w:t>
            </w:r>
            <w:r w:rsidRPr="005F03C1">
              <w:t xml:space="preserve">o </w:t>
            </w:r>
            <w:proofErr w:type="spellStart"/>
            <w:r w:rsidRPr="005F03C1">
              <w:t>PCa</w:t>
            </w:r>
            <w:proofErr w:type="spellEnd"/>
          </w:p>
          <w:p w14:paraId="57FE71E4" w14:textId="77777777" w:rsidR="00ED75E0" w:rsidRPr="005F03C1" w:rsidRDefault="00ED75E0" w:rsidP="005B2AF1">
            <w:pPr>
              <w:pStyle w:val="Tabletext"/>
              <w:spacing w:before="0" w:after="0"/>
            </w:pPr>
            <w:r w:rsidRPr="005F03C1">
              <w:t>PI-RADS 4/5</w:t>
            </w:r>
          </w:p>
        </w:tc>
        <w:tc>
          <w:tcPr>
            <w:tcW w:w="574" w:type="pct"/>
          </w:tcPr>
          <w:p w14:paraId="5764260C" w14:textId="77777777" w:rsidR="00ED75E0" w:rsidRPr="005F03C1" w:rsidRDefault="00ED75E0" w:rsidP="005B2AF1">
            <w:pPr>
              <w:pStyle w:val="Tabletext"/>
              <w:spacing w:before="0" w:after="0"/>
            </w:pPr>
            <w:r w:rsidRPr="005F03C1">
              <w:t>1,024 patients</w:t>
            </w:r>
          </w:p>
          <w:p w14:paraId="38147B9E" w14:textId="77777777" w:rsidR="00ED75E0" w:rsidRPr="005F03C1" w:rsidRDefault="00ED75E0" w:rsidP="005B2AF1">
            <w:pPr>
              <w:pStyle w:val="Tabletext"/>
              <w:spacing w:before="0" w:after="0"/>
            </w:pPr>
            <w:r w:rsidRPr="005F03C1">
              <w:t>(4 studies)</w:t>
            </w:r>
          </w:p>
        </w:tc>
        <w:tc>
          <w:tcPr>
            <w:tcW w:w="517" w:type="pct"/>
          </w:tcPr>
          <w:p w14:paraId="04D72D66"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DF56318" w14:textId="77777777" w:rsidR="00ED75E0" w:rsidRPr="005F03C1" w:rsidRDefault="00ED75E0" w:rsidP="005B2AF1">
            <w:pPr>
              <w:pStyle w:val="Tabletext"/>
              <w:spacing w:before="0" w:after="0"/>
            </w:pPr>
            <w:r w:rsidRPr="005F03C1">
              <w:t>32</w:t>
            </w:r>
          </w:p>
        </w:tc>
        <w:tc>
          <w:tcPr>
            <w:tcW w:w="704" w:type="pct"/>
          </w:tcPr>
          <w:p w14:paraId="59E75CAB" w14:textId="77777777" w:rsidR="00ED75E0" w:rsidRPr="005F03C1" w:rsidRDefault="00ED75E0" w:rsidP="005B2AF1">
            <w:pPr>
              <w:pStyle w:val="Tabletext"/>
              <w:spacing w:before="0" w:after="0"/>
            </w:pPr>
            <w:r w:rsidRPr="005F03C1">
              <w:t>0</w:t>
            </w:r>
          </w:p>
        </w:tc>
        <w:tc>
          <w:tcPr>
            <w:tcW w:w="605" w:type="pct"/>
          </w:tcPr>
          <w:p w14:paraId="1BDAFADE" w14:textId="77777777" w:rsidR="00ED75E0" w:rsidRPr="005F03C1" w:rsidRDefault="00ED75E0" w:rsidP="005B2AF1">
            <w:pPr>
              <w:pStyle w:val="Tabletext"/>
              <w:spacing w:before="0" w:after="0"/>
            </w:pPr>
            <w:r w:rsidRPr="005F03C1">
              <w:t>0</w:t>
            </w:r>
          </w:p>
        </w:tc>
        <w:tc>
          <w:tcPr>
            <w:tcW w:w="1090" w:type="pct"/>
          </w:tcPr>
          <w:p w14:paraId="3AD6DBF5"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4B14283D" w14:textId="77777777" w:rsidTr="008E4C81">
        <w:trPr>
          <w:trHeight w:val="397"/>
        </w:trPr>
        <w:tc>
          <w:tcPr>
            <w:tcW w:w="755" w:type="pct"/>
          </w:tcPr>
          <w:p w14:paraId="0F0951FB" w14:textId="77777777" w:rsidR="00ED75E0" w:rsidRPr="005F03C1" w:rsidRDefault="00ED75E0" w:rsidP="005B2AF1">
            <w:pPr>
              <w:pStyle w:val="Tabletext"/>
              <w:spacing w:before="0" w:after="0"/>
            </w:pPr>
            <w:r w:rsidRPr="005F03C1">
              <w:t>False positives</w:t>
            </w:r>
          </w:p>
          <w:p w14:paraId="739ABE7B" w14:textId="77777777" w:rsidR="00ED75E0" w:rsidRPr="005F03C1" w:rsidRDefault="00ED75E0" w:rsidP="005B2AF1">
            <w:pPr>
              <w:pStyle w:val="Tabletext"/>
              <w:spacing w:before="0" w:after="0"/>
            </w:pPr>
            <w:r w:rsidRPr="004108F7">
              <w:t>I</w:t>
            </w:r>
            <w:r w:rsidRPr="005F03C1">
              <w:t xml:space="preserve">nsignificant </w:t>
            </w:r>
            <w:proofErr w:type="spellStart"/>
            <w:r w:rsidRPr="005F03C1">
              <w:t>PCa</w:t>
            </w:r>
            <w:proofErr w:type="spellEnd"/>
          </w:p>
          <w:p w14:paraId="128A6CA6" w14:textId="77777777" w:rsidR="00ED75E0" w:rsidRPr="005F03C1" w:rsidRDefault="00ED75E0" w:rsidP="005B2AF1">
            <w:pPr>
              <w:pStyle w:val="Tabletext"/>
              <w:spacing w:before="0" w:after="0"/>
            </w:pPr>
            <w:r w:rsidRPr="005F03C1">
              <w:t>PI-RADS 4/5</w:t>
            </w:r>
          </w:p>
        </w:tc>
        <w:tc>
          <w:tcPr>
            <w:tcW w:w="574" w:type="pct"/>
          </w:tcPr>
          <w:p w14:paraId="6376C870" w14:textId="77777777" w:rsidR="00ED75E0" w:rsidRPr="005F03C1" w:rsidRDefault="00ED75E0" w:rsidP="005B2AF1">
            <w:pPr>
              <w:pStyle w:val="Tabletext"/>
              <w:spacing w:before="0" w:after="0"/>
            </w:pPr>
            <w:r w:rsidRPr="005F03C1">
              <w:t>1,024 patients</w:t>
            </w:r>
          </w:p>
          <w:p w14:paraId="5EF44A00" w14:textId="77777777" w:rsidR="00ED75E0" w:rsidRPr="005F03C1" w:rsidRDefault="00ED75E0" w:rsidP="005B2AF1">
            <w:pPr>
              <w:pStyle w:val="Tabletext"/>
              <w:spacing w:before="0" w:after="0"/>
            </w:pPr>
            <w:r w:rsidRPr="005F03C1">
              <w:t>(4 studies)</w:t>
            </w:r>
          </w:p>
        </w:tc>
        <w:tc>
          <w:tcPr>
            <w:tcW w:w="517" w:type="pct"/>
          </w:tcPr>
          <w:p w14:paraId="5CC7CF9E" w14:textId="77777777" w:rsidR="00ED75E0" w:rsidRPr="005F03C1" w:rsidRDefault="00ED75E0" w:rsidP="005B2AF1">
            <w:pPr>
              <w:pStyle w:val="Tabletext"/>
              <w:spacing w:before="0" w:after="0"/>
              <w:rPr>
                <w:rFonts w:ascii="Cambria Math" w:hAnsi="Cambria Math"/>
                <w:color w:val="00B050"/>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7874D6A2" w14:textId="77777777" w:rsidR="00ED75E0" w:rsidRPr="005F03C1" w:rsidRDefault="00ED75E0" w:rsidP="005B2AF1">
            <w:pPr>
              <w:pStyle w:val="Tabletext"/>
              <w:spacing w:before="0" w:after="0"/>
            </w:pPr>
            <w:r w:rsidRPr="005F03C1">
              <w:t xml:space="preserve">70 </w:t>
            </w:r>
          </w:p>
        </w:tc>
        <w:tc>
          <w:tcPr>
            <w:tcW w:w="704" w:type="pct"/>
          </w:tcPr>
          <w:p w14:paraId="355AF6D2" w14:textId="77777777" w:rsidR="00ED75E0" w:rsidRPr="005F03C1" w:rsidRDefault="00ED75E0" w:rsidP="005B2AF1">
            <w:pPr>
              <w:pStyle w:val="Tabletext"/>
              <w:spacing w:before="0" w:after="0"/>
            </w:pPr>
            <w:r w:rsidRPr="005F03C1">
              <w:t>80</w:t>
            </w:r>
          </w:p>
        </w:tc>
        <w:tc>
          <w:tcPr>
            <w:tcW w:w="605" w:type="pct"/>
          </w:tcPr>
          <w:p w14:paraId="7DBB9467" w14:textId="77777777" w:rsidR="00ED75E0" w:rsidRPr="005F03C1" w:rsidRDefault="00ED75E0" w:rsidP="005B2AF1">
            <w:pPr>
              <w:pStyle w:val="Tabletext"/>
              <w:spacing w:before="0" w:after="0"/>
            </w:pPr>
            <w:r w:rsidRPr="005F03C1">
              <w:t>174</w:t>
            </w:r>
          </w:p>
        </w:tc>
        <w:tc>
          <w:tcPr>
            <w:tcW w:w="1090" w:type="pct"/>
          </w:tcPr>
          <w:p w14:paraId="20392383" w14:textId="77777777" w:rsidR="00ED75E0" w:rsidRPr="005F03C1" w:rsidRDefault="00ED75E0" w:rsidP="005B2AF1">
            <w:pPr>
              <w:pStyle w:val="Tabletext"/>
              <w:spacing w:before="0" w:after="0"/>
            </w:pPr>
            <w:r w:rsidRPr="005F03C1">
              <w:t>Will undergo biopsy under both proposed and current pathways</w:t>
            </w:r>
          </w:p>
        </w:tc>
      </w:tr>
      <w:tr w:rsidR="00ED75E0" w:rsidRPr="005F03C1" w14:paraId="2B650B79" w14:textId="77777777" w:rsidTr="008E4C81">
        <w:trPr>
          <w:trHeight w:val="397"/>
        </w:trPr>
        <w:tc>
          <w:tcPr>
            <w:tcW w:w="755" w:type="pct"/>
          </w:tcPr>
          <w:p w14:paraId="5F588938" w14:textId="77777777" w:rsidR="00ED75E0" w:rsidRPr="005F03C1" w:rsidRDefault="00ED75E0" w:rsidP="005B2AF1">
            <w:pPr>
              <w:pStyle w:val="Tabletext"/>
              <w:spacing w:before="0" w:after="0"/>
            </w:pPr>
            <w:r w:rsidRPr="005F03C1">
              <w:t>True negatives</w:t>
            </w:r>
          </w:p>
          <w:p w14:paraId="62951A1C" w14:textId="77777777" w:rsidR="00ED75E0" w:rsidRPr="005F03C1" w:rsidRDefault="00ED75E0" w:rsidP="005B2AF1">
            <w:pPr>
              <w:pStyle w:val="Tabletext"/>
              <w:spacing w:before="0" w:after="0"/>
            </w:pPr>
            <w:r w:rsidRPr="004108F7">
              <w:t>N</w:t>
            </w:r>
            <w:r w:rsidRPr="005F03C1">
              <w:t xml:space="preserve">o </w:t>
            </w:r>
            <w:proofErr w:type="spellStart"/>
            <w:r w:rsidRPr="005F03C1">
              <w:t>PCa</w:t>
            </w:r>
            <w:proofErr w:type="spellEnd"/>
          </w:p>
          <w:p w14:paraId="0D178C2D" w14:textId="77777777" w:rsidR="00ED75E0" w:rsidRPr="005F03C1" w:rsidRDefault="00ED75E0" w:rsidP="005B2AF1">
            <w:pPr>
              <w:pStyle w:val="Tabletext"/>
              <w:spacing w:before="0" w:after="0"/>
            </w:pPr>
            <w:r w:rsidRPr="005F03C1">
              <w:t>PI-RADS 1-3</w:t>
            </w:r>
          </w:p>
        </w:tc>
        <w:tc>
          <w:tcPr>
            <w:tcW w:w="574" w:type="pct"/>
          </w:tcPr>
          <w:p w14:paraId="5B695251" w14:textId="77777777" w:rsidR="00ED75E0" w:rsidRPr="005F03C1" w:rsidRDefault="00ED75E0" w:rsidP="005B2AF1">
            <w:pPr>
              <w:pStyle w:val="Tabletext"/>
              <w:spacing w:before="0" w:after="0"/>
            </w:pPr>
            <w:r w:rsidRPr="005F03C1">
              <w:t>1,024 patients</w:t>
            </w:r>
          </w:p>
          <w:p w14:paraId="7287E190" w14:textId="77777777" w:rsidR="00ED75E0" w:rsidRPr="005F03C1" w:rsidRDefault="00ED75E0" w:rsidP="005B2AF1">
            <w:pPr>
              <w:pStyle w:val="Tabletext"/>
              <w:spacing w:before="0" w:after="0"/>
            </w:pPr>
            <w:r w:rsidRPr="005F03C1">
              <w:t>(4 studies)</w:t>
            </w:r>
          </w:p>
        </w:tc>
        <w:tc>
          <w:tcPr>
            <w:tcW w:w="517" w:type="pct"/>
          </w:tcPr>
          <w:p w14:paraId="61E53FFB"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32D464F7" w14:textId="77777777" w:rsidR="00ED75E0" w:rsidRPr="005F03C1" w:rsidRDefault="00ED75E0" w:rsidP="005B2AF1">
            <w:pPr>
              <w:pStyle w:val="Tabletext"/>
              <w:spacing w:before="0" w:after="0"/>
            </w:pPr>
            <w:r w:rsidRPr="005F03C1">
              <w:t>403</w:t>
            </w:r>
          </w:p>
        </w:tc>
        <w:tc>
          <w:tcPr>
            <w:tcW w:w="704" w:type="pct"/>
          </w:tcPr>
          <w:p w14:paraId="193216F9" w14:textId="77777777" w:rsidR="00ED75E0" w:rsidRPr="005F03C1" w:rsidRDefault="00ED75E0" w:rsidP="005B2AF1">
            <w:pPr>
              <w:pStyle w:val="Tabletext"/>
              <w:spacing w:before="0" w:after="0"/>
            </w:pPr>
            <w:r w:rsidRPr="005F03C1">
              <w:t>435</w:t>
            </w:r>
          </w:p>
        </w:tc>
        <w:tc>
          <w:tcPr>
            <w:tcW w:w="605" w:type="pct"/>
          </w:tcPr>
          <w:p w14:paraId="31A80D9F" w14:textId="77777777" w:rsidR="00ED75E0" w:rsidRPr="005F03C1" w:rsidRDefault="00ED75E0" w:rsidP="005B2AF1">
            <w:pPr>
              <w:pStyle w:val="Tabletext"/>
              <w:spacing w:before="0" w:after="0"/>
            </w:pPr>
            <w:r w:rsidRPr="005F03C1">
              <w:t>435</w:t>
            </w:r>
          </w:p>
        </w:tc>
        <w:tc>
          <w:tcPr>
            <w:tcW w:w="1090" w:type="pct"/>
          </w:tcPr>
          <w:p w14:paraId="171F6B53" w14:textId="77777777" w:rsidR="00ED75E0" w:rsidRPr="005F03C1" w:rsidRDefault="00ED75E0" w:rsidP="005B2AF1">
            <w:pPr>
              <w:pStyle w:val="Tabletext"/>
              <w:spacing w:before="0" w:after="0"/>
            </w:pPr>
            <w:r>
              <w:t>Potential to avoid biopsy</w:t>
            </w:r>
          </w:p>
        </w:tc>
      </w:tr>
      <w:tr w:rsidR="00ED75E0" w:rsidRPr="005F03C1" w14:paraId="74FAF93E" w14:textId="77777777" w:rsidTr="008E4C81">
        <w:trPr>
          <w:trHeight w:val="397"/>
        </w:trPr>
        <w:tc>
          <w:tcPr>
            <w:tcW w:w="755" w:type="pct"/>
          </w:tcPr>
          <w:p w14:paraId="5E75DCE6" w14:textId="77777777" w:rsidR="00ED75E0" w:rsidRPr="005F03C1" w:rsidRDefault="00ED75E0" w:rsidP="005B2AF1">
            <w:pPr>
              <w:pStyle w:val="Tabletext"/>
              <w:spacing w:before="0" w:after="0"/>
            </w:pPr>
            <w:r w:rsidRPr="005F03C1">
              <w:t>True negatives</w:t>
            </w:r>
          </w:p>
          <w:p w14:paraId="6AA84961" w14:textId="77777777" w:rsidR="00ED75E0" w:rsidRPr="005F03C1" w:rsidRDefault="00ED75E0" w:rsidP="005B2AF1">
            <w:pPr>
              <w:pStyle w:val="Tabletext"/>
              <w:spacing w:before="0" w:after="0"/>
            </w:pPr>
            <w:r w:rsidRPr="00253F0C">
              <w:t>I</w:t>
            </w:r>
            <w:r w:rsidRPr="005F03C1">
              <w:t xml:space="preserve">nsignificant </w:t>
            </w:r>
            <w:proofErr w:type="spellStart"/>
            <w:r w:rsidRPr="005F03C1">
              <w:t>PCa</w:t>
            </w:r>
            <w:proofErr w:type="spellEnd"/>
          </w:p>
          <w:p w14:paraId="551408AC" w14:textId="77777777" w:rsidR="00ED75E0" w:rsidRPr="005F03C1" w:rsidRDefault="00ED75E0" w:rsidP="005B2AF1">
            <w:pPr>
              <w:pStyle w:val="Tabletext"/>
              <w:spacing w:before="0" w:after="0"/>
            </w:pPr>
            <w:r w:rsidRPr="005F03C1">
              <w:t>PI-RADS 1-3</w:t>
            </w:r>
          </w:p>
        </w:tc>
        <w:tc>
          <w:tcPr>
            <w:tcW w:w="574" w:type="pct"/>
          </w:tcPr>
          <w:p w14:paraId="7C9D80AD" w14:textId="77777777" w:rsidR="00ED75E0" w:rsidRPr="005F03C1" w:rsidRDefault="00ED75E0" w:rsidP="005B2AF1">
            <w:pPr>
              <w:pStyle w:val="Tabletext"/>
              <w:spacing w:before="0" w:after="0"/>
            </w:pPr>
            <w:r w:rsidRPr="005F03C1">
              <w:t>1,024 patients</w:t>
            </w:r>
          </w:p>
          <w:p w14:paraId="415E7704" w14:textId="77777777" w:rsidR="00ED75E0" w:rsidRPr="005F03C1" w:rsidRDefault="00ED75E0" w:rsidP="005B2AF1">
            <w:pPr>
              <w:pStyle w:val="Tabletext"/>
              <w:spacing w:before="0" w:after="0"/>
            </w:pPr>
            <w:r w:rsidRPr="005F03C1">
              <w:t>(4 studies)</w:t>
            </w:r>
          </w:p>
        </w:tc>
        <w:tc>
          <w:tcPr>
            <w:tcW w:w="517" w:type="pct"/>
          </w:tcPr>
          <w:p w14:paraId="6008AC31" w14:textId="77777777" w:rsidR="00ED75E0" w:rsidRPr="005F03C1" w:rsidRDefault="00ED75E0" w:rsidP="005B2AF1">
            <w:pPr>
              <w:pStyle w:val="Tabletext"/>
              <w:spacing w:before="0" w:after="0"/>
              <w:rPr>
                <w:rFonts w:ascii="Cambria Math" w:hAnsi="Cambria Math"/>
                <w:color w:val="00B050"/>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7C2C88A" w14:textId="77777777" w:rsidR="00ED75E0" w:rsidRPr="005F03C1" w:rsidRDefault="00ED75E0" w:rsidP="005B2AF1">
            <w:pPr>
              <w:pStyle w:val="Tabletext"/>
              <w:spacing w:before="0" w:after="0"/>
            </w:pPr>
            <w:r w:rsidRPr="005F03C1">
              <w:t xml:space="preserve">140 </w:t>
            </w:r>
          </w:p>
          <w:p w14:paraId="16942FD3" w14:textId="77777777" w:rsidR="00ED75E0" w:rsidRPr="005F03C1" w:rsidRDefault="00ED75E0" w:rsidP="005B2AF1">
            <w:pPr>
              <w:pStyle w:val="Tabletext"/>
              <w:spacing w:before="0" w:after="0"/>
              <w:ind w:left="0"/>
            </w:pPr>
          </w:p>
        </w:tc>
        <w:tc>
          <w:tcPr>
            <w:tcW w:w="704" w:type="pct"/>
          </w:tcPr>
          <w:p w14:paraId="4DFB7563" w14:textId="77777777" w:rsidR="00ED75E0" w:rsidRPr="005F03C1" w:rsidRDefault="00ED75E0" w:rsidP="005B2AF1">
            <w:pPr>
              <w:pStyle w:val="Tabletext"/>
              <w:spacing w:before="0" w:after="0"/>
            </w:pPr>
            <w:r w:rsidRPr="005F03C1">
              <w:t>131</w:t>
            </w:r>
          </w:p>
        </w:tc>
        <w:tc>
          <w:tcPr>
            <w:tcW w:w="605" w:type="pct"/>
          </w:tcPr>
          <w:p w14:paraId="42D33899" w14:textId="77777777" w:rsidR="00ED75E0" w:rsidRPr="005F03C1" w:rsidRDefault="00ED75E0" w:rsidP="005B2AF1">
            <w:pPr>
              <w:pStyle w:val="Tabletext"/>
              <w:spacing w:before="0" w:after="0"/>
            </w:pPr>
            <w:r w:rsidRPr="005F03C1">
              <w:t>36</w:t>
            </w:r>
          </w:p>
        </w:tc>
        <w:tc>
          <w:tcPr>
            <w:tcW w:w="1090" w:type="pct"/>
          </w:tcPr>
          <w:p w14:paraId="3C2F130F" w14:textId="77777777" w:rsidR="00ED75E0" w:rsidRPr="005F03C1" w:rsidRDefault="00ED75E0" w:rsidP="005B2AF1">
            <w:pPr>
              <w:pStyle w:val="Tabletext"/>
              <w:spacing w:before="0" w:after="0"/>
            </w:pPr>
            <w:r>
              <w:t xml:space="preserve">Potential to avoid biopsy and </w:t>
            </w:r>
            <w:r w:rsidRPr="005F03C1">
              <w:t>adverse effects of overtreatment.</w:t>
            </w:r>
          </w:p>
        </w:tc>
      </w:tr>
      <w:tr w:rsidR="00ED75E0" w:rsidRPr="005F03C1" w14:paraId="757400A0" w14:textId="77777777" w:rsidTr="008E4C81">
        <w:trPr>
          <w:trHeight w:val="397"/>
        </w:trPr>
        <w:tc>
          <w:tcPr>
            <w:tcW w:w="755" w:type="pct"/>
          </w:tcPr>
          <w:p w14:paraId="5B38B4B6" w14:textId="77777777" w:rsidR="00ED75E0" w:rsidRPr="005F03C1" w:rsidRDefault="00ED75E0" w:rsidP="005B2AF1">
            <w:pPr>
              <w:pStyle w:val="Tabletext"/>
              <w:spacing w:before="0" w:after="0"/>
            </w:pPr>
            <w:r w:rsidRPr="005F03C1">
              <w:t xml:space="preserve">False negatives </w:t>
            </w:r>
          </w:p>
          <w:p w14:paraId="29798741" w14:textId="77777777" w:rsidR="00ED75E0" w:rsidRPr="005F03C1" w:rsidRDefault="00ED75E0" w:rsidP="005B2AF1">
            <w:pPr>
              <w:pStyle w:val="Tabletext"/>
              <w:spacing w:before="0" w:after="0"/>
            </w:pPr>
            <w:r w:rsidRPr="00EE6AEA">
              <w:t>C</w:t>
            </w:r>
            <w:r w:rsidRPr="005F03C1">
              <w:t xml:space="preserve">linically significant </w:t>
            </w:r>
            <w:proofErr w:type="spellStart"/>
            <w:r w:rsidRPr="00EE6AEA">
              <w:t>PCa</w:t>
            </w:r>
            <w:proofErr w:type="spellEnd"/>
          </w:p>
          <w:p w14:paraId="364699FC" w14:textId="77777777" w:rsidR="00ED75E0" w:rsidRPr="005F03C1" w:rsidRDefault="00ED75E0" w:rsidP="005B2AF1">
            <w:pPr>
              <w:pStyle w:val="Tabletext"/>
              <w:spacing w:before="0" w:after="0"/>
            </w:pPr>
            <w:r w:rsidRPr="005F03C1">
              <w:t>PI-RADS 1-3</w:t>
            </w:r>
          </w:p>
        </w:tc>
        <w:tc>
          <w:tcPr>
            <w:tcW w:w="574" w:type="pct"/>
          </w:tcPr>
          <w:p w14:paraId="4D8E3C6D" w14:textId="77777777" w:rsidR="00ED75E0" w:rsidRPr="005F03C1" w:rsidRDefault="00ED75E0" w:rsidP="005B2AF1">
            <w:pPr>
              <w:pStyle w:val="Tabletext"/>
              <w:spacing w:before="0" w:after="0"/>
            </w:pPr>
            <w:r w:rsidRPr="005F03C1">
              <w:t>1,024 patients</w:t>
            </w:r>
          </w:p>
          <w:p w14:paraId="64B1004E" w14:textId="77777777" w:rsidR="00ED75E0" w:rsidRPr="005F03C1" w:rsidRDefault="00ED75E0" w:rsidP="005B2AF1">
            <w:pPr>
              <w:pStyle w:val="Tabletext"/>
              <w:spacing w:before="0" w:after="0"/>
            </w:pPr>
            <w:r w:rsidRPr="005F03C1">
              <w:t>(4 studies)</w:t>
            </w:r>
          </w:p>
        </w:tc>
        <w:tc>
          <w:tcPr>
            <w:tcW w:w="517" w:type="pct"/>
          </w:tcPr>
          <w:p w14:paraId="7565A0F3"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56DC8AB4" w14:textId="77777777" w:rsidR="00ED75E0" w:rsidRPr="005F03C1" w:rsidRDefault="00ED75E0" w:rsidP="005B2AF1">
            <w:pPr>
              <w:pStyle w:val="Tabletext"/>
              <w:spacing w:before="0" w:after="0"/>
            </w:pPr>
            <w:r w:rsidRPr="005F03C1">
              <w:t xml:space="preserve">91 </w:t>
            </w:r>
          </w:p>
        </w:tc>
        <w:tc>
          <w:tcPr>
            <w:tcW w:w="704" w:type="pct"/>
          </w:tcPr>
          <w:p w14:paraId="65C2021E" w14:textId="77777777" w:rsidR="00ED75E0" w:rsidRPr="005F03C1" w:rsidRDefault="00ED75E0" w:rsidP="005B2AF1">
            <w:pPr>
              <w:pStyle w:val="Tabletext"/>
              <w:spacing w:before="0" w:after="0"/>
            </w:pPr>
            <w:r w:rsidRPr="005F03C1">
              <w:t>139</w:t>
            </w:r>
          </w:p>
        </w:tc>
        <w:tc>
          <w:tcPr>
            <w:tcW w:w="605" w:type="pct"/>
          </w:tcPr>
          <w:p w14:paraId="5ED813DC" w14:textId="77777777" w:rsidR="00ED75E0" w:rsidRPr="005F03C1" w:rsidRDefault="00ED75E0" w:rsidP="005B2AF1">
            <w:pPr>
              <w:pStyle w:val="Tabletext"/>
              <w:spacing w:before="0" w:after="0"/>
            </w:pPr>
            <w:r w:rsidRPr="005F03C1">
              <w:t>85</w:t>
            </w:r>
          </w:p>
        </w:tc>
        <w:tc>
          <w:tcPr>
            <w:tcW w:w="1090" w:type="pct"/>
          </w:tcPr>
          <w:p w14:paraId="227ECC65" w14:textId="77777777" w:rsidR="00ED75E0" w:rsidRPr="005F03C1" w:rsidRDefault="00ED75E0" w:rsidP="005B2AF1">
            <w:pPr>
              <w:pStyle w:val="Tabletext"/>
              <w:spacing w:before="0" w:after="0"/>
            </w:pPr>
            <w:r>
              <w:t>Potential to avoid biopsy.</w:t>
            </w:r>
            <w:r w:rsidRPr="005F03C1">
              <w:t xml:space="preserve"> These patients will experience a delay to treatment.</w:t>
            </w:r>
          </w:p>
        </w:tc>
      </w:tr>
      <w:tr w:rsidR="00ED75E0" w:rsidRPr="005F03C1" w14:paraId="165BF3C0" w14:textId="77777777" w:rsidTr="008E4C81">
        <w:trPr>
          <w:trHeight w:val="397"/>
        </w:trPr>
        <w:tc>
          <w:tcPr>
            <w:tcW w:w="755" w:type="pct"/>
          </w:tcPr>
          <w:p w14:paraId="7E48F454" w14:textId="77777777" w:rsidR="00ED75E0" w:rsidRPr="005F03C1" w:rsidRDefault="00ED75E0" w:rsidP="005B2AF1">
            <w:pPr>
              <w:pStyle w:val="Tabletext"/>
              <w:spacing w:before="0" w:after="0"/>
              <w:rPr>
                <w:rFonts w:cs="Arial"/>
              </w:rPr>
            </w:pPr>
            <w:r w:rsidRPr="005F03C1">
              <w:rPr>
                <w:rStyle w:val="label"/>
              </w:rPr>
              <w:t>Major infection</w:t>
            </w:r>
          </w:p>
        </w:tc>
        <w:tc>
          <w:tcPr>
            <w:tcW w:w="574" w:type="pct"/>
          </w:tcPr>
          <w:p w14:paraId="4FD2449C" w14:textId="77777777" w:rsidR="00ED75E0" w:rsidRPr="005F03C1" w:rsidRDefault="00ED75E0" w:rsidP="005B2AF1">
            <w:pPr>
              <w:pStyle w:val="Tabletext"/>
              <w:spacing w:before="0" w:after="0"/>
            </w:pPr>
            <w:r w:rsidRPr="005F03C1">
              <w:t xml:space="preserve">45,492 patients </w:t>
            </w:r>
          </w:p>
          <w:p w14:paraId="509EE585" w14:textId="77777777" w:rsidR="00ED75E0" w:rsidRPr="005F03C1" w:rsidRDefault="00ED75E0" w:rsidP="005B2AF1">
            <w:pPr>
              <w:pStyle w:val="Tabletext"/>
              <w:spacing w:before="0" w:after="0"/>
            </w:pPr>
            <w:r w:rsidRPr="005F03C1">
              <w:t>(8 studies)</w:t>
            </w:r>
          </w:p>
        </w:tc>
        <w:tc>
          <w:tcPr>
            <w:tcW w:w="517" w:type="pct"/>
          </w:tcPr>
          <w:p w14:paraId="7AD7F8C7" w14:textId="77777777" w:rsidR="00ED75E0" w:rsidRPr="005F03C1" w:rsidRDefault="00ED75E0" w:rsidP="005B2AF1">
            <w:pPr>
              <w:pStyle w:val="Tabletext"/>
              <w:spacing w:before="0" w:after="0"/>
              <w:rPr>
                <w:rFonts w:cs="Arial"/>
              </w:rPr>
            </w:pPr>
            <w:r w:rsidRPr="005F03C1">
              <w:rPr>
                <w:rFonts w:ascii="Cambria Math" w:hAnsi="Cambria Math"/>
                <w:color w:val="00B050"/>
              </w:rPr>
              <w:t>⨁⨁</w:t>
            </w:r>
            <w:r w:rsidRPr="005F03C1">
              <w:rPr>
                <w:rFonts w:ascii="Cambria Math" w:hAnsi="Cambria Math" w:cs="Cambria Math"/>
                <w:color w:val="C00000"/>
              </w:rPr>
              <w:t>⨀⨀</w:t>
            </w:r>
          </w:p>
        </w:tc>
        <w:tc>
          <w:tcPr>
            <w:tcW w:w="755" w:type="pct"/>
          </w:tcPr>
          <w:p w14:paraId="4A6FE5D9" w14:textId="77777777" w:rsidR="00ED75E0" w:rsidRPr="005F03C1" w:rsidRDefault="00ED75E0" w:rsidP="005B2AF1">
            <w:pPr>
              <w:pStyle w:val="Tabletext"/>
              <w:spacing w:before="0" w:after="0"/>
            </w:pPr>
            <w:r w:rsidRPr="005F03C1">
              <w:t>0</w:t>
            </w:r>
          </w:p>
        </w:tc>
        <w:tc>
          <w:tcPr>
            <w:tcW w:w="704" w:type="pct"/>
          </w:tcPr>
          <w:p w14:paraId="41D1A3E7" w14:textId="77777777" w:rsidR="00ED75E0" w:rsidRPr="005F03C1" w:rsidRDefault="00ED75E0" w:rsidP="005B2AF1">
            <w:pPr>
              <w:pStyle w:val="Tabletext"/>
              <w:spacing w:before="0" w:after="0"/>
            </w:pPr>
            <w:r>
              <w:t>NA</w:t>
            </w:r>
          </w:p>
        </w:tc>
        <w:tc>
          <w:tcPr>
            <w:tcW w:w="605" w:type="pct"/>
          </w:tcPr>
          <w:p w14:paraId="2289A83E" w14:textId="77777777" w:rsidR="00ED75E0" w:rsidRPr="005F03C1" w:rsidRDefault="00ED75E0" w:rsidP="005B2AF1">
            <w:pPr>
              <w:pStyle w:val="Tabletext"/>
              <w:spacing w:before="0" w:after="0"/>
            </w:pPr>
            <w:r w:rsidRPr="005F03C1">
              <w:t>TRUSGB: Range 0-20</w:t>
            </w:r>
          </w:p>
          <w:p w14:paraId="16080567" w14:textId="77777777" w:rsidR="00ED75E0" w:rsidRPr="005F03C1" w:rsidRDefault="00ED75E0" w:rsidP="005B2AF1">
            <w:pPr>
              <w:pStyle w:val="Tabletext"/>
              <w:spacing w:before="0" w:after="0"/>
            </w:pPr>
            <w:r w:rsidRPr="005F03C1">
              <w:t>TPUSGB: 0</w:t>
            </w:r>
          </w:p>
        </w:tc>
        <w:tc>
          <w:tcPr>
            <w:tcW w:w="1090" w:type="pct"/>
          </w:tcPr>
          <w:p w14:paraId="4CC400B5" w14:textId="77777777" w:rsidR="00ED75E0" w:rsidRPr="005F03C1" w:rsidRDefault="00ED75E0" w:rsidP="005B2AF1">
            <w:pPr>
              <w:pStyle w:val="Tabletext"/>
              <w:spacing w:before="0" w:after="0"/>
            </w:pPr>
            <w:r w:rsidRPr="005F03C1">
              <w:t>Adverse event associated with biopsy</w:t>
            </w:r>
          </w:p>
        </w:tc>
      </w:tr>
      <w:tr w:rsidR="00ED75E0" w:rsidRPr="005F03C1" w14:paraId="1269FE2F" w14:textId="77777777" w:rsidTr="008E4C81">
        <w:trPr>
          <w:trHeight w:val="397"/>
        </w:trPr>
        <w:tc>
          <w:tcPr>
            <w:tcW w:w="755" w:type="pct"/>
          </w:tcPr>
          <w:p w14:paraId="60A2D7FA" w14:textId="77777777" w:rsidR="00ED75E0" w:rsidRPr="005F03C1" w:rsidRDefault="00ED75E0" w:rsidP="005B2AF1">
            <w:pPr>
              <w:pStyle w:val="Tabletext"/>
              <w:spacing w:before="0" w:after="0"/>
            </w:pPr>
            <w:r w:rsidRPr="005F03C1">
              <w:t>Overall survival</w:t>
            </w:r>
          </w:p>
        </w:tc>
        <w:tc>
          <w:tcPr>
            <w:tcW w:w="574" w:type="pct"/>
          </w:tcPr>
          <w:p w14:paraId="624479BE" w14:textId="77777777" w:rsidR="00ED75E0" w:rsidRPr="005F03C1" w:rsidRDefault="00ED75E0" w:rsidP="005B2AF1">
            <w:pPr>
              <w:pStyle w:val="Tabletext"/>
              <w:spacing w:before="0" w:after="0"/>
              <w:rPr>
                <w:rFonts w:cs="Arial"/>
              </w:rPr>
            </w:pPr>
            <w:r w:rsidRPr="005F03C1">
              <w:t>41,146</w:t>
            </w:r>
            <w:r w:rsidRPr="005F03C1">
              <w:br/>
              <w:t>(5 studies)</w:t>
            </w:r>
          </w:p>
        </w:tc>
        <w:tc>
          <w:tcPr>
            <w:tcW w:w="517" w:type="pct"/>
          </w:tcPr>
          <w:p w14:paraId="77FF6BC0" w14:textId="77777777" w:rsidR="00ED75E0" w:rsidRDefault="00ED75E0" w:rsidP="005B2AF1">
            <w:pPr>
              <w:pStyle w:val="Tabletext"/>
              <w:spacing w:before="0" w:after="0"/>
              <w:rPr>
                <w:rFonts w:ascii="Cambria Math" w:hAnsi="Cambria Math" w:cs="Cambria Math"/>
                <w:color w:val="C00000"/>
              </w:rPr>
            </w:pPr>
            <w:r w:rsidRPr="005F03C1">
              <w:rPr>
                <w:rFonts w:ascii="Cambria Math" w:hAnsi="Cambria Math"/>
                <w:color w:val="00B050"/>
              </w:rPr>
              <w:t>⨁</w:t>
            </w:r>
            <w:r w:rsidRPr="005F03C1">
              <w:rPr>
                <w:rFonts w:ascii="Cambria Math" w:hAnsi="Cambria Math" w:cs="Cambria Math"/>
                <w:color w:val="C00000"/>
              </w:rPr>
              <w:t>⨀⨀⨀</w:t>
            </w:r>
          </w:p>
          <w:p w14:paraId="1CD59D03" w14:textId="77777777" w:rsidR="00ED75E0" w:rsidRPr="005F03C1" w:rsidRDefault="00ED75E0" w:rsidP="005B2AF1">
            <w:pPr>
              <w:pStyle w:val="Tabletext"/>
              <w:spacing w:before="0" w:after="0"/>
              <w:rPr>
                <w:rFonts w:cs="Arial"/>
              </w:rPr>
            </w:pPr>
          </w:p>
        </w:tc>
        <w:tc>
          <w:tcPr>
            <w:tcW w:w="755" w:type="pct"/>
          </w:tcPr>
          <w:p w14:paraId="49F54418" w14:textId="77777777" w:rsidR="00ED75E0" w:rsidRPr="005F03C1" w:rsidRDefault="00ED75E0" w:rsidP="005B2AF1">
            <w:pPr>
              <w:pStyle w:val="Tabletext"/>
              <w:spacing w:before="0" w:after="0"/>
            </w:pPr>
            <w:r w:rsidRPr="005F03C1">
              <w:t>NA</w:t>
            </w:r>
          </w:p>
        </w:tc>
        <w:tc>
          <w:tcPr>
            <w:tcW w:w="704" w:type="pct"/>
          </w:tcPr>
          <w:p w14:paraId="61423BE9" w14:textId="77777777" w:rsidR="00ED75E0" w:rsidRPr="005F03C1" w:rsidRDefault="00ED75E0" w:rsidP="005B2AF1">
            <w:pPr>
              <w:pStyle w:val="Tabletext"/>
              <w:spacing w:before="0" w:after="0"/>
            </w:pPr>
            <w:r>
              <w:t>NA</w:t>
            </w:r>
          </w:p>
        </w:tc>
        <w:tc>
          <w:tcPr>
            <w:tcW w:w="605" w:type="pct"/>
          </w:tcPr>
          <w:p w14:paraId="450148C3" w14:textId="77777777" w:rsidR="00ED75E0" w:rsidRPr="005F03C1" w:rsidRDefault="00ED75E0" w:rsidP="005B2AF1">
            <w:pPr>
              <w:pStyle w:val="Tabletext"/>
              <w:spacing w:before="0" w:after="0"/>
            </w:pPr>
            <w:r w:rsidRPr="005F03C1">
              <w:t>NA</w:t>
            </w:r>
          </w:p>
        </w:tc>
        <w:tc>
          <w:tcPr>
            <w:tcW w:w="1090" w:type="pct"/>
          </w:tcPr>
          <w:p w14:paraId="5D5148FD" w14:textId="77777777" w:rsidR="00ED75E0" w:rsidRPr="005F03C1" w:rsidRDefault="00ED75E0" w:rsidP="005B2AF1">
            <w:pPr>
              <w:pStyle w:val="Tabletext"/>
              <w:spacing w:before="0" w:after="0"/>
            </w:pPr>
            <w:r w:rsidRPr="005F03C1">
              <w:t xml:space="preserve">Treatment delay did not impact overall survival (results from 5 studies). </w:t>
            </w:r>
          </w:p>
        </w:tc>
      </w:tr>
      <w:tr w:rsidR="00ED75E0" w:rsidRPr="005F03C1" w14:paraId="293ADE86" w14:textId="77777777" w:rsidTr="008E4C81">
        <w:trPr>
          <w:trHeight w:val="397"/>
        </w:trPr>
        <w:tc>
          <w:tcPr>
            <w:tcW w:w="755" w:type="pct"/>
          </w:tcPr>
          <w:p w14:paraId="0749169D" w14:textId="77777777" w:rsidR="00ED75E0" w:rsidRPr="005F03C1" w:rsidRDefault="00ED75E0" w:rsidP="005B2AF1">
            <w:pPr>
              <w:pStyle w:val="Tabletext"/>
              <w:spacing w:before="0" w:after="0"/>
            </w:pPr>
            <w:r w:rsidRPr="005F03C1">
              <w:t>24 month impotence</w:t>
            </w:r>
          </w:p>
        </w:tc>
        <w:tc>
          <w:tcPr>
            <w:tcW w:w="574" w:type="pct"/>
          </w:tcPr>
          <w:p w14:paraId="19F527BB" w14:textId="77777777" w:rsidR="00ED75E0" w:rsidRPr="005F03C1" w:rsidRDefault="00ED75E0" w:rsidP="005B2AF1">
            <w:pPr>
              <w:pStyle w:val="Tabletext"/>
              <w:spacing w:before="0" w:after="0"/>
            </w:pPr>
            <w:r w:rsidRPr="005F03C1">
              <w:t>1 systematic review, 2,365 patients</w:t>
            </w:r>
          </w:p>
        </w:tc>
        <w:tc>
          <w:tcPr>
            <w:tcW w:w="517" w:type="pct"/>
          </w:tcPr>
          <w:p w14:paraId="6D01E83A" w14:textId="77777777" w:rsidR="00ED75E0" w:rsidRPr="005F03C1" w:rsidRDefault="00ED75E0" w:rsidP="005B2AF1">
            <w:pPr>
              <w:pStyle w:val="Tabletext"/>
              <w:spacing w:before="0" w:after="0"/>
              <w:rPr>
                <w:rFonts w:cs="Cambria Math"/>
              </w:rPr>
            </w:pPr>
            <w:r w:rsidRPr="008544C9">
              <w:rPr>
                <w:rFonts w:ascii="Cambria Math" w:hAnsi="Cambria Math"/>
                <w:color w:val="00B050"/>
              </w:rPr>
              <w:t>⨁⨁</w:t>
            </w:r>
            <w:r w:rsidRPr="008544C9">
              <w:rPr>
                <w:rFonts w:ascii="Cambria Math" w:hAnsi="Cambria Math" w:cs="Cambria Math"/>
                <w:color w:val="C00000"/>
              </w:rPr>
              <w:t>⨀⨀</w:t>
            </w:r>
            <w:r w:rsidRPr="005F03C1">
              <w:rPr>
                <w:rFonts w:cs="Cambria Math" w:hint="eastAsia"/>
              </w:rPr>
              <w:t xml:space="preserve"> </w:t>
            </w:r>
          </w:p>
          <w:p w14:paraId="7D36FB38" w14:textId="77777777" w:rsidR="00ED75E0" w:rsidRPr="005F03C1" w:rsidRDefault="00ED75E0" w:rsidP="005B2AF1">
            <w:pPr>
              <w:pStyle w:val="Tabletext"/>
              <w:spacing w:before="0" w:after="0"/>
              <w:rPr>
                <w:rFonts w:cs="Arial"/>
              </w:rPr>
            </w:pPr>
          </w:p>
        </w:tc>
        <w:tc>
          <w:tcPr>
            <w:tcW w:w="755" w:type="pct"/>
          </w:tcPr>
          <w:p w14:paraId="415080D0" w14:textId="77777777" w:rsidR="00ED75E0" w:rsidRPr="005F03C1" w:rsidRDefault="00ED75E0" w:rsidP="005B2AF1">
            <w:pPr>
              <w:pStyle w:val="Tabletext"/>
              <w:spacing w:before="0" w:after="0"/>
            </w:pPr>
            <w:r w:rsidRPr="005F03C1">
              <w:t>4-11 patients</w:t>
            </w:r>
          </w:p>
        </w:tc>
        <w:tc>
          <w:tcPr>
            <w:tcW w:w="704" w:type="pct"/>
          </w:tcPr>
          <w:p w14:paraId="486A93F0" w14:textId="77777777" w:rsidR="00ED75E0" w:rsidRPr="005F03C1" w:rsidRDefault="00ED75E0" w:rsidP="005B2AF1">
            <w:pPr>
              <w:pStyle w:val="Tabletext"/>
              <w:spacing w:before="0" w:after="0"/>
            </w:pPr>
            <w:r w:rsidRPr="005F03C1">
              <w:t>5-13 patients</w:t>
            </w:r>
          </w:p>
        </w:tc>
        <w:tc>
          <w:tcPr>
            <w:tcW w:w="605" w:type="pct"/>
          </w:tcPr>
          <w:p w14:paraId="3BBA3900" w14:textId="77777777" w:rsidR="00ED75E0" w:rsidRPr="005F03C1" w:rsidRDefault="00ED75E0" w:rsidP="005B2AF1">
            <w:pPr>
              <w:pStyle w:val="Tabletext"/>
              <w:spacing w:before="0" w:after="0"/>
            </w:pPr>
            <w:r w:rsidRPr="005F03C1">
              <w:t>11-27 patients</w:t>
            </w:r>
          </w:p>
          <w:p w14:paraId="72299488" w14:textId="77777777" w:rsidR="00ED75E0" w:rsidRPr="005F03C1" w:rsidRDefault="00ED75E0" w:rsidP="005B2AF1">
            <w:pPr>
              <w:pStyle w:val="Tabletext"/>
              <w:spacing w:before="0" w:after="0"/>
            </w:pPr>
          </w:p>
        </w:tc>
        <w:tc>
          <w:tcPr>
            <w:tcW w:w="1090" w:type="pct"/>
          </w:tcPr>
          <w:p w14:paraId="403415F3" w14:textId="77777777" w:rsidR="00ED75E0" w:rsidRPr="005F03C1" w:rsidRDefault="00ED75E0" w:rsidP="005B2AF1">
            <w:pPr>
              <w:pStyle w:val="Tabletext"/>
              <w:spacing w:before="0" w:after="0"/>
            </w:pPr>
            <w:r w:rsidRPr="005F03C1">
              <w:t xml:space="preserve">Erectile dysfunction experience by an additional 11-28% of patients following </w:t>
            </w:r>
            <w:proofErr w:type="spellStart"/>
            <w:r w:rsidRPr="005F03C1">
              <w:t>PCa</w:t>
            </w:r>
            <w:proofErr w:type="spellEnd"/>
            <w:r w:rsidRPr="005F03C1">
              <w:t xml:space="preserve"> treatment compared to those undergoing watchful waiting.</w:t>
            </w:r>
          </w:p>
        </w:tc>
      </w:tr>
      <w:tr w:rsidR="00ED75E0" w:rsidRPr="005F03C1" w14:paraId="5125BA90" w14:textId="77777777" w:rsidTr="008E4C81">
        <w:trPr>
          <w:trHeight w:val="397"/>
        </w:trPr>
        <w:tc>
          <w:tcPr>
            <w:tcW w:w="755" w:type="pct"/>
          </w:tcPr>
          <w:p w14:paraId="52778CF3" w14:textId="77777777" w:rsidR="00ED75E0" w:rsidRPr="005F03C1" w:rsidRDefault="00ED75E0" w:rsidP="005B2AF1">
            <w:pPr>
              <w:pStyle w:val="Tabletext"/>
              <w:spacing w:before="0" w:after="0"/>
            </w:pPr>
            <w:r w:rsidRPr="005F03C1">
              <w:t>24 month incontinence</w:t>
            </w:r>
          </w:p>
        </w:tc>
        <w:tc>
          <w:tcPr>
            <w:tcW w:w="574" w:type="pct"/>
          </w:tcPr>
          <w:p w14:paraId="4F67310D" w14:textId="77777777" w:rsidR="00ED75E0" w:rsidRPr="005F03C1" w:rsidRDefault="00ED75E0" w:rsidP="005B2AF1">
            <w:pPr>
              <w:pStyle w:val="Tabletext"/>
              <w:spacing w:before="0" w:after="0"/>
            </w:pPr>
            <w:r w:rsidRPr="005F03C1">
              <w:t>1 systematic review, 2,365 patients</w:t>
            </w:r>
          </w:p>
        </w:tc>
        <w:tc>
          <w:tcPr>
            <w:tcW w:w="517" w:type="pct"/>
          </w:tcPr>
          <w:p w14:paraId="44D19358" w14:textId="77777777" w:rsidR="00ED75E0" w:rsidRPr="005F03C1" w:rsidRDefault="00ED75E0" w:rsidP="005B2AF1">
            <w:pPr>
              <w:pStyle w:val="Tabletext"/>
              <w:spacing w:before="0" w:after="0"/>
              <w:rPr>
                <w:rFonts w:cs="Cambria Math"/>
              </w:rPr>
            </w:pPr>
            <w:r w:rsidRPr="008544C9">
              <w:rPr>
                <w:rFonts w:ascii="Cambria Math" w:hAnsi="Cambria Math"/>
                <w:color w:val="00B050"/>
              </w:rPr>
              <w:t>⨁⨁⨁</w:t>
            </w:r>
            <w:r w:rsidRPr="008544C9">
              <w:rPr>
                <w:rFonts w:ascii="Cambria Math" w:hAnsi="Cambria Math" w:cs="Cambria Math"/>
                <w:color w:val="C00000"/>
              </w:rPr>
              <w:t>⨀</w:t>
            </w:r>
            <w:r w:rsidRPr="005F03C1">
              <w:rPr>
                <w:rFonts w:cs="Cambria Math" w:hint="eastAsia"/>
              </w:rPr>
              <w:t xml:space="preserve"> </w:t>
            </w:r>
          </w:p>
          <w:p w14:paraId="370E65B8" w14:textId="77777777" w:rsidR="00ED75E0" w:rsidRPr="005F03C1" w:rsidRDefault="00ED75E0" w:rsidP="005B2AF1">
            <w:pPr>
              <w:pStyle w:val="Tabletext"/>
              <w:spacing w:before="0" w:after="0"/>
              <w:rPr>
                <w:rFonts w:cs="Arial"/>
              </w:rPr>
            </w:pPr>
          </w:p>
        </w:tc>
        <w:tc>
          <w:tcPr>
            <w:tcW w:w="755" w:type="pct"/>
          </w:tcPr>
          <w:p w14:paraId="3E611A03" w14:textId="77777777" w:rsidR="00ED75E0" w:rsidRPr="005F03C1" w:rsidRDefault="00ED75E0" w:rsidP="005B2AF1">
            <w:pPr>
              <w:pStyle w:val="Tabletext"/>
              <w:spacing w:before="0" w:after="0"/>
            </w:pPr>
            <w:r w:rsidRPr="005F03C1">
              <w:t>5-16 patients</w:t>
            </w:r>
          </w:p>
        </w:tc>
        <w:tc>
          <w:tcPr>
            <w:tcW w:w="704" w:type="pct"/>
          </w:tcPr>
          <w:p w14:paraId="2E2FBA96" w14:textId="77777777" w:rsidR="00ED75E0" w:rsidRPr="005F03C1" w:rsidRDefault="00ED75E0" w:rsidP="005B2AF1">
            <w:pPr>
              <w:pStyle w:val="Tabletext"/>
              <w:spacing w:before="0" w:after="0"/>
            </w:pPr>
            <w:r w:rsidRPr="005F03C1">
              <w:t>6-18 patients</w:t>
            </w:r>
          </w:p>
        </w:tc>
        <w:tc>
          <w:tcPr>
            <w:tcW w:w="605" w:type="pct"/>
          </w:tcPr>
          <w:p w14:paraId="7815C9A1" w14:textId="77777777" w:rsidR="00ED75E0" w:rsidRPr="005F03C1" w:rsidRDefault="00ED75E0" w:rsidP="005B2AF1">
            <w:pPr>
              <w:pStyle w:val="Tabletext"/>
              <w:spacing w:before="0" w:after="0"/>
            </w:pPr>
            <w:r w:rsidRPr="005F03C1">
              <w:t>12-39 patients</w:t>
            </w:r>
          </w:p>
        </w:tc>
        <w:tc>
          <w:tcPr>
            <w:tcW w:w="1090" w:type="pct"/>
          </w:tcPr>
          <w:p w14:paraId="76E52E14" w14:textId="77777777" w:rsidR="00ED75E0" w:rsidRPr="005F03C1" w:rsidRDefault="00ED75E0" w:rsidP="005B2AF1">
            <w:pPr>
              <w:pStyle w:val="Tabletext"/>
              <w:spacing w:before="0" w:after="0"/>
            </w:pPr>
            <w:r w:rsidRPr="005F03C1">
              <w:t xml:space="preserve">Urinary incontinence experience by an additional 12-40% of patients following </w:t>
            </w:r>
            <w:proofErr w:type="spellStart"/>
            <w:r w:rsidRPr="005F03C1">
              <w:t>PCa</w:t>
            </w:r>
            <w:proofErr w:type="spellEnd"/>
            <w:r w:rsidRPr="005F03C1">
              <w:t xml:space="preserve"> treatment compared to those undergoing watchful waiting.</w:t>
            </w:r>
          </w:p>
        </w:tc>
      </w:tr>
    </w:tbl>
    <w:p w14:paraId="2F73058C" w14:textId="77777777" w:rsidR="003440CE" w:rsidRPr="00376F27" w:rsidRDefault="00ED75E0" w:rsidP="005B2AF1">
      <w:pPr>
        <w:pStyle w:val="TableNotes"/>
        <w:keepLines w:val="0"/>
        <w:widowControl w:val="0"/>
        <w:spacing w:after="0" w:line="240" w:lineRule="auto"/>
        <w:rPr>
          <w:sz w:val="16"/>
          <w:szCs w:val="16"/>
        </w:rPr>
      </w:pPr>
      <w:r w:rsidRPr="00376F27">
        <w:rPr>
          <w:sz w:val="16"/>
          <w:szCs w:val="16"/>
          <w:vertAlign w:val="superscript"/>
        </w:rPr>
        <w:t xml:space="preserve">a </w:t>
      </w:r>
      <w:r w:rsidRPr="00376F27">
        <w:rPr>
          <w:sz w:val="16"/>
          <w:szCs w:val="16"/>
        </w:rPr>
        <w:t xml:space="preserve">GRADE Working Group grades of evidence </w:t>
      </w:r>
      <w:r w:rsidRPr="00376F27">
        <w:rPr>
          <w:sz w:val="16"/>
          <w:szCs w:val="16"/>
        </w:rPr>
        <w:fldChar w:fldCharType="begin"/>
      </w:r>
      <w:r w:rsidRPr="00376F27">
        <w:rPr>
          <w:sz w:val="16"/>
          <w:szCs w:val="16"/>
        </w:rPr>
        <w:instrText xml:space="preserve"> ADDIN EN.CITE &lt;EndNote&gt;&lt;Cite&gt;&lt;Author&gt;Guyatt&lt;/Author&gt;&lt;Year&gt;2013&lt;/Year&gt;&lt;RecNum&gt;166&lt;/RecNum&gt;&lt;DisplayText&gt;(Guyatt et al. 2013)&lt;/DisplayText&gt;&lt;record&gt;&lt;rec-number&gt;166&lt;/rec-number&gt;&lt;foreign-keys&gt;&lt;key app="EN" db-id="xzzrstesqpaavfe0te5p2zssvee5ervas2vt" timestamp="1469161165"&gt;166&lt;/key&gt;&lt;/foreign-keys&gt;&lt;ref-type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Epidemiol&lt;/full-title&gt;&lt;abbr-1&gt;Journal of clinical epidemiology&lt;/abbr-1&gt;&lt;/periodical&gt;&lt;pages&gt;151-157&lt;/pages&gt;&lt;volume&gt;66&lt;/volume&gt;&lt;number&gt;2&lt;/number&gt;&lt;dates&gt;&lt;year&gt;2013&lt;/year&gt;&lt;/dates&gt;&lt;urls&gt;&lt;/urls&gt;&lt;/record&gt;&lt;/Cite&gt;&lt;/EndNote&gt;</w:instrText>
      </w:r>
      <w:r w:rsidRPr="00376F27">
        <w:rPr>
          <w:sz w:val="16"/>
          <w:szCs w:val="16"/>
        </w:rPr>
        <w:fldChar w:fldCharType="separate"/>
      </w:r>
      <w:r w:rsidRPr="00376F27">
        <w:rPr>
          <w:noProof/>
          <w:sz w:val="16"/>
          <w:szCs w:val="16"/>
        </w:rPr>
        <w:t>(</w:t>
      </w:r>
      <w:hyperlink w:anchor="_ENREF_57" w:tooltip="Guyatt, 2013 #1" w:history="1">
        <w:r w:rsidRPr="00376F27">
          <w:rPr>
            <w:noProof/>
            <w:sz w:val="16"/>
            <w:szCs w:val="16"/>
          </w:rPr>
          <w:t>Guyatt et al. 2013</w:t>
        </w:r>
      </w:hyperlink>
      <w:r w:rsidRPr="00376F27">
        <w:rPr>
          <w:noProof/>
          <w:sz w:val="16"/>
          <w:szCs w:val="16"/>
        </w:rPr>
        <w:t>)</w:t>
      </w:r>
      <w:r w:rsidRPr="00376F27">
        <w:rPr>
          <w:sz w:val="16"/>
          <w:szCs w:val="16"/>
        </w:rPr>
        <w:fldChar w:fldCharType="end"/>
      </w:r>
      <w:r w:rsidRPr="00376F27">
        <w:rPr>
          <w:sz w:val="16"/>
          <w:szCs w:val="16"/>
        </w:rPr>
        <w:t>.</w:t>
      </w:r>
      <w:r w:rsidRPr="00376F27">
        <w:rPr>
          <w:sz w:val="16"/>
          <w:szCs w:val="16"/>
        </w:rPr>
        <w:br/>
        <w:t>Note the full version of this table is presented in Subsection B8</w:t>
      </w:r>
      <w:r w:rsidRPr="00376F27">
        <w:rPr>
          <w:sz w:val="16"/>
          <w:szCs w:val="16"/>
        </w:rPr>
        <w:br/>
      </w:r>
      <w:r w:rsidRPr="00376F27">
        <w:rPr>
          <w:rFonts w:ascii="Cambria Math" w:hAnsi="Cambria Math"/>
          <w:color w:val="00B050"/>
          <w:sz w:val="16"/>
          <w:szCs w:val="16"/>
        </w:rPr>
        <w:t xml:space="preserve">⨁⨁⨁⨁ </w:t>
      </w:r>
      <w:r w:rsidRPr="00376F27">
        <w:rPr>
          <w:b/>
          <w:bCs/>
          <w:sz w:val="16"/>
          <w:szCs w:val="16"/>
        </w:rPr>
        <w:t>High quality:</w:t>
      </w:r>
      <w:r w:rsidRPr="00376F27">
        <w:rPr>
          <w:sz w:val="16"/>
          <w:szCs w:val="16"/>
        </w:rPr>
        <w:t xml:space="preserve"> We are very confident that the true effect lies close to that of the estimate of effect. </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Moderate quality:</w:t>
      </w:r>
      <w:r w:rsidRPr="00376F27">
        <w:rPr>
          <w:sz w:val="16"/>
          <w:szCs w:val="16"/>
        </w:rPr>
        <w:t xml:space="preserve"> We are moderately confident in the effect estimate: The true effect is likely to be close to the estimate of the effect, but there is a possibility that it is substantially different. </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Low quality:</w:t>
      </w:r>
      <w:r w:rsidRPr="00376F27">
        <w:rPr>
          <w:sz w:val="16"/>
          <w:szCs w:val="16"/>
        </w:rPr>
        <w:t xml:space="preserve"> Our confidence in the effect estimate is limited: The true effect may be substantially different from the estimate of the effect.</w:t>
      </w:r>
      <w:r w:rsidRPr="00376F27">
        <w:rPr>
          <w:sz w:val="16"/>
          <w:szCs w:val="16"/>
        </w:rPr>
        <w:br/>
      </w:r>
      <w:r w:rsidRPr="00376F27">
        <w:rPr>
          <w:rFonts w:ascii="Cambria Math" w:hAnsi="Cambria Math"/>
          <w:color w:val="00B050"/>
          <w:sz w:val="16"/>
          <w:szCs w:val="16"/>
        </w:rPr>
        <w:t>⨁</w:t>
      </w:r>
      <w:r w:rsidRPr="00376F27">
        <w:rPr>
          <w:rFonts w:ascii="Cambria Math" w:hAnsi="Cambria Math" w:cs="Cambria Math"/>
          <w:color w:val="C00000"/>
          <w:sz w:val="16"/>
          <w:szCs w:val="16"/>
        </w:rPr>
        <w:t xml:space="preserve">⨀⨀⨀ </w:t>
      </w:r>
      <w:r w:rsidRPr="00376F27">
        <w:rPr>
          <w:b/>
          <w:bCs/>
          <w:sz w:val="16"/>
          <w:szCs w:val="16"/>
        </w:rPr>
        <w:t>Very low quality:</w:t>
      </w:r>
      <w:r w:rsidRPr="00376F27">
        <w:rPr>
          <w:sz w:val="16"/>
          <w:szCs w:val="16"/>
        </w:rPr>
        <w:t xml:space="preserve"> We have very little confidence in the effect estimate: The true effect is likely to be substantially different from the estimate of effect.</w:t>
      </w:r>
      <w:r w:rsidRPr="00376F27">
        <w:rPr>
          <w:sz w:val="16"/>
          <w:szCs w:val="16"/>
        </w:rPr>
        <w:br/>
      </w:r>
      <w:proofErr w:type="gramStart"/>
      <w:r w:rsidRPr="00376F27">
        <w:rPr>
          <w:sz w:val="16"/>
          <w:szCs w:val="16"/>
          <w:vertAlign w:val="superscript"/>
        </w:rPr>
        <w:t>b</w:t>
      </w:r>
      <w:proofErr w:type="gramEnd"/>
      <w:r w:rsidRPr="00376F27">
        <w:rPr>
          <w:sz w:val="16"/>
          <w:szCs w:val="16"/>
        </w:rPr>
        <w:t xml:space="preserve"> A prevalence of clinically significant </w:t>
      </w:r>
      <w:proofErr w:type="spellStart"/>
      <w:r w:rsidRPr="00376F27">
        <w:rPr>
          <w:sz w:val="16"/>
          <w:szCs w:val="16"/>
        </w:rPr>
        <w:t>PCa</w:t>
      </w:r>
      <w:proofErr w:type="spellEnd"/>
      <w:r w:rsidRPr="00376F27">
        <w:rPr>
          <w:sz w:val="16"/>
          <w:szCs w:val="16"/>
        </w:rPr>
        <w:t xml:space="preserve"> of 35.5% was sourced from </w:t>
      </w:r>
      <w:proofErr w:type="spellStart"/>
      <w:r w:rsidRPr="00376F27">
        <w:rPr>
          <w:sz w:val="16"/>
          <w:szCs w:val="16"/>
        </w:rPr>
        <w:t>Pokorny</w:t>
      </w:r>
      <w:proofErr w:type="spellEnd"/>
      <w:r w:rsidRPr="00376F27">
        <w:rPr>
          <w:sz w:val="16"/>
          <w:szCs w:val="16"/>
        </w:rPr>
        <w:t xml:space="preserve"> et al. For the detection of insignificant </w:t>
      </w:r>
      <w:proofErr w:type="spellStart"/>
      <w:r w:rsidRPr="00376F27">
        <w:rPr>
          <w:sz w:val="16"/>
          <w:szCs w:val="16"/>
        </w:rPr>
        <w:t>PCa</w:t>
      </w:r>
      <w:proofErr w:type="spellEnd"/>
      <w:r w:rsidRPr="00376F27">
        <w:rPr>
          <w:sz w:val="16"/>
          <w:szCs w:val="16"/>
        </w:rPr>
        <w:t xml:space="preserve"> </w:t>
      </w:r>
      <w:proofErr w:type="spellStart"/>
      <w:r w:rsidRPr="00376F27">
        <w:rPr>
          <w:sz w:val="16"/>
          <w:szCs w:val="16"/>
        </w:rPr>
        <w:t>mpMRI</w:t>
      </w:r>
      <w:proofErr w:type="spellEnd"/>
      <w:r w:rsidRPr="00376F27">
        <w:rPr>
          <w:sz w:val="16"/>
          <w:szCs w:val="16"/>
        </w:rPr>
        <w:t xml:space="preserve"> has a sensitivity of 0.332 (95% CI [0.195, 0.504]) </w:t>
      </w:r>
      <w:r w:rsidRPr="00376F27">
        <w:rPr>
          <w:sz w:val="16"/>
          <w:szCs w:val="16"/>
        </w:rPr>
        <w:br/>
      </w:r>
      <w:r w:rsidRPr="00376F27">
        <w:rPr>
          <w:sz w:val="16"/>
          <w:szCs w:val="16"/>
          <w:vertAlign w:val="superscript"/>
        </w:rPr>
        <w:t>c</w:t>
      </w:r>
      <w:r w:rsidRPr="00376F27">
        <w:rPr>
          <w:sz w:val="16"/>
          <w:szCs w:val="16"/>
        </w:rPr>
        <w:t xml:space="preserve"> Calculated using the reported sensitivity of TRUSGB biopsy for detection of significant </w:t>
      </w:r>
      <w:proofErr w:type="spellStart"/>
      <w:r w:rsidRPr="00376F27">
        <w:rPr>
          <w:sz w:val="16"/>
          <w:szCs w:val="16"/>
        </w:rPr>
        <w:t>PCa</w:t>
      </w:r>
      <w:proofErr w:type="spellEnd"/>
      <w:r w:rsidRPr="00376F27">
        <w:rPr>
          <w:sz w:val="16"/>
          <w:szCs w:val="16"/>
        </w:rPr>
        <w:t xml:space="preserve"> of 0.76 (95% CI [0.64, 0.84]), a sensitivity of 0.83 (95% CI [0.77, 0.87]) for the detection of insignificant disease and assuming TRUSGB had a specificity of 100%.</w:t>
      </w:r>
      <w:r w:rsidRPr="00376F27">
        <w:rPr>
          <w:sz w:val="16"/>
          <w:szCs w:val="16"/>
        </w:rPr>
        <w:br/>
        <w:t>TRUSGB = trans-rectal ultrasound-guided biopsy, TPUSGB = trans-</w:t>
      </w:r>
      <w:proofErr w:type="spellStart"/>
      <w:r w:rsidRPr="00376F27">
        <w:rPr>
          <w:sz w:val="16"/>
          <w:szCs w:val="16"/>
        </w:rPr>
        <w:t>perineal</w:t>
      </w:r>
      <w:proofErr w:type="spellEnd"/>
      <w:r w:rsidRPr="00376F27">
        <w:rPr>
          <w:sz w:val="16"/>
          <w:szCs w:val="16"/>
        </w:rPr>
        <w:t xml:space="preserve"> ultrasound-guided biopsy, NA = not applicable, CI = confidence interval.</w:t>
      </w:r>
    </w:p>
    <w:p w14:paraId="6AA8A087" w14:textId="77777777" w:rsidR="005B2AF1" w:rsidRDefault="005B2AF1" w:rsidP="005B2AF1">
      <w:pPr>
        <w:spacing w:before="240"/>
      </w:pPr>
      <w:r>
        <w:lastRenderedPageBreak/>
        <w:t xml:space="preserve">A selection of the </w:t>
      </w:r>
      <w:r w:rsidRPr="00366F69">
        <w:t xml:space="preserve">health outcomes associated </w:t>
      </w:r>
      <w:proofErr w:type="spellStart"/>
      <w:r w:rsidRPr="00366F69">
        <w:t>mpMRI</w:t>
      </w:r>
      <w:proofErr w:type="spellEnd"/>
      <w:r w:rsidRPr="00366F69">
        <w:t xml:space="preserve"> in </w:t>
      </w:r>
      <w:r w:rsidRPr="00EE6AEA">
        <w:rPr>
          <w:u w:val="single"/>
        </w:rPr>
        <w:t>Population 2</w:t>
      </w:r>
      <w:r w:rsidRPr="00366F69">
        <w:t xml:space="preserve"> are summarised in </w:t>
      </w:r>
      <w:r>
        <w:t>Table 5.</w:t>
      </w:r>
    </w:p>
    <w:p w14:paraId="7D2642F5" w14:textId="36C35877" w:rsidR="003440CE" w:rsidRPr="00366F69" w:rsidRDefault="00ED75E0" w:rsidP="00376F27">
      <w:pPr>
        <w:spacing w:before="240" w:after="240"/>
      </w:pPr>
      <w:r w:rsidRPr="00366F69">
        <w:t xml:space="preserve">Patients who have a false negative </w:t>
      </w:r>
      <w:proofErr w:type="spellStart"/>
      <w:r w:rsidRPr="00366F69">
        <w:t>mpMRI</w:t>
      </w:r>
      <w:proofErr w:type="spellEnd"/>
      <w:r w:rsidRPr="00366F69">
        <w:t xml:space="preserve"> will have their treatment delayed and remain on AS. One observational study was identified that assessed the impact of delayed treatment in this population and the quality of evidence was rated very low using the GRADE tool. </w:t>
      </w:r>
    </w:p>
    <w:p w14:paraId="1D348E74" w14:textId="7B75408F" w:rsidR="003440CE" w:rsidRPr="00366F69" w:rsidRDefault="00ED75E0" w:rsidP="00376F27">
      <w:pPr>
        <w:spacing w:after="240"/>
      </w:pPr>
      <w:r w:rsidRPr="00366F69">
        <w:t xml:space="preserve">Overall, assuming 30 per cent of patients in active surveillance programs will have their disease upgraded to require treatment, then for every 1,000 patients on surveillance programs, 358 patients will avoid a biopsy under the proposed </w:t>
      </w:r>
      <w:proofErr w:type="spellStart"/>
      <w:r w:rsidRPr="00366F69">
        <w:t>mpMRI</w:t>
      </w:r>
      <w:proofErr w:type="spellEnd"/>
      <w:r w:rsidRPr="00366F69">
        <w:t xml:space="preserve"> monitoring pathway. A total of 31 additional patients will experience a delay to disease upgrade being diagnosed under the proposed management. These numbers account for 20 per cent of patients with a negative </w:t>
      </w:r>
      <w:proofErr w:type="spellStart"/>
      <w:r w:rsidRPr="00366F69">
        <w:t>mpMRI</w:t>
      </w:r>
      <w:proofErr w:type="spellEnd"/>
      <w:r w:rsidRPr="00366F69">
        <w:t xml:space="preserve"> will have a biopsy due to meeting the criteria for ‘high concern’, as estimated by the applicant. If, as the applicant advises, the </w:t>
      </w:r>
      <w:proofErr w:type="gramStart"/>
      <w:r w:rsidRPr="00366F69">
        <w:t>incidence of disease upgrade</w:t>
      </w:r>
      <w:proofErr w:type="gramEnd"/>
      <w:r w:rsidRPr="00366F69">
        <w:t xml:space="preserve"> </w:t>
      </w:r>
      <w:r w:rsidR="002F3FCD">
        <w:t>decreases</w:t>
      </w:r>
      <w:r w:rsidRPr="00366F69">
        <w:t xml:space="preserve"> over time with better targeting of patients for active surveillance, then the number of avoided biopsies would be expected to increase. </w:t>
      </w:r>
    </w:p>
    <w:p w14:paraId="189A45F6" w14:textId="07A58A12" w:rsidR="003440CE" w:rsidRDefault="00ED75E0" w:rsidP="00376F27">
      <w:pPr>
        <w:spacing w:after="240"/>
      </w:pPr>
      <w:r w:rsidRPr="00366F69">
        <w:t xml:space="preserve">The relative safety of </w:t>
      </w:r>
      <w:proofErr w:type="spellStart"/>
      <w:r w:rsidRPr="00366F69">
        <w:t>mpMRI</w:t>
      </w:r>
      <w:proofErr w:type="spellEnd"/>
      <w:r w:rsidRPr="00366F69">
        <w:t xml:space="preserve"> and biopsy are discussed above for Population 1. There is no evidence that the relative harms associated with </w:t>
      </w:r>
      <w:proofErr w:type="spellStart"/>
      <w:r w:rsidRPr="00366F69">
        <w:t>mpMRI</w:t>
      </w:r>
      <w:proofErr w:type="spellEnd"/>
      <w:r w:rsidRPr="00366F69">
        <w:t xml:space="preserve"> and biopsy will be any different in Population 2 than those described above for Population 1, therefore </w:t>
      </w:r>
      <w:proofErr w:type="spellStart"/>
      <w:r w:rsidRPr="00366F69">
        <w:t>mpMRI</w:t>
      </w:r>
      <w:proofErr w:type="spellEnd"/>
      <w:r w:rsidRPr="00366F69">
        <w:t xml:space="preserve"> is suggested to have superior safety than TRUSGB and/or TPUSGB.</w:t>
      </w:r>
      <w:bookmarkStart w:id="16" w:name="_Ref457290198"/>
      <w:bookmarkStart w:id="17" w:name="_Toc470016488"/>
      <w:bookmarkStart w:id="18" w:name="_Toc471382700"/>
      <w:bookmarkStart w:id="19" w:name="_Toc456775909"/>
    </w:p>
    <w:p w14:paraId="0424176E" w14:textId="77777777" w:rsidR="00376F27" w:rsidRDefault="00376F27">
      <w:pPr>
        <w:rPr>
          <w:rFonts w:ascii="Arial Narrow" w:hAnsi="Arial Narrow" w:cs="Tahoma"/>
          <w:b/>
          <w:bCs/>
          <w:sz w:val="20"/>
          <w:szCs w:val="22"/>
        </w:rPr>
      </w:pPr>
      <w:r>
        <w:br w:type="page"/>
      </w:r>
    </w:p>
    <w:p w14:paraId="717AB698" w14:textId="1A21220D" w:rsidR="00ED75E0" w:rsidRPr="00466B3D" w:rsidRDefault="00ED75E0" w:rsidP="00111D72">
      <w:pPr>
        <w:pStyle w:val="Caption"/>
        <w:keepNext w:val="0"/>
        <w:widowControl w:val="0"/>
        <w:spacing w:after="0" w:line="240" w:lineRule="auto"/>
        <w:ind w:left="1134" w:hanging="1134"/>
        <w:jc w:val="left"/>
      </w:pPr>
      <w:r w:rsidRPr="00466B3D">
        <w:lastRenderedPageBreak/>
        <w:t xml:space="preserve">Table </w:t>
      </w:r>
      <w:bookmarkEnd w:id="16"/>
      <w:r w:rsidR="0037377A">
        <w:t>5</w:t>
      </w:r>
      <w:r>
        <w:rPr>
          <w:noProof/>
        </w:rPr>
        <w:tab/>
      </w:r>
      <w:r>
        <w:t xml:space="preserve">Population 2: Summary of findings for the linked evidence comparison of </w:t>
      </w:r>
      <w:proofErr w:type="spellStart"/>
      <w:r w:rsidRPr="00466B3D">
        <w:t>mpMRI</w:t>
      </w:r>
      <w:proofErr w:type="spellEnd"/>
      <w:r w:rsidRPr="00466B3D">
        <w:t>, relative to TRUSGB or TPUSGB, in patients on active surveillance with assumed pre-test probability (prevalence) for upgraded disease of 30%</w:t>
      </w:r>
      <w:bookmarkEnd w:id="17"/>
      <w:bookmarkEnd w:id="18"/>
      <w:r w:rsidRPr="00466B3D">
        <w:t xml:space="preserve"> </w:t>
      </w:r>
    </w:p>
    <w:tbl>
      <w:tblPr>
        <w:tblStyle w:val="TableGrid"/>
        <w:tblW w:w="5000" w:type="pct"/>
        <w:tblCellMar>
          <w:left w:w="28" w:type="dxa"/>
          <w:right w:w="28" w:type="dxa"/>
        </w:tblCellMar>
        <w:tblLook w:val="04A0" w:firstRow="1" w:lastRow="0" w:firstColumn="1" w:lastColumn="0" w:noHBand="0" w:noVBand="1"/>
        <w:tblDescription w:val="Summary of findings table for population 2 - selected relevant outcomes only "/>
      </w:tblPr>
      <w:tblGrid>
        <w:gridCol w:w="1226"/>
        <w:gridCol w:w="1493"/>
        <w:gridCol w:w="1181"/>
        <w:gridCol w:w="1055"/>
        <w:gridCol w:w="1217"/>
        <w:gridCol w:w="1217"/>
        <w:gridCol w:w="1693"/>
      </w:tblGrid>
      <w:tr w:rsidR="00ED75E0" w:rsidRPr="00BB5AAA" w14:paraId="0BB683A1" w14:textId="77777777" w:rsidTr="008E4C81">
        <w:trPr>
          <w:trHeight w:val="397"/>
          <w:tblHeader/>
        </w:trPr>
        <w:tc>
          <w:tcPr>
            <w:tcW w:w="675" w:type="pct"/>
          </w:tcPr>
          <w:p w14:paraId="0BBBE952" w14:textId="77777777" w:rsidR="00ED75E0" w:rsidRPr="00BB5AAA" w:rsidRDefault="00ED75E0" w:rsidP="005B2AF1">
            <w:pPr>
              <w:pStyle w:val="Tableheading"/>
              <w:spacing w:before="0" w:line="240" w:lineRule="auto"/>
            </w:pPr>
            <w:r w:rsidRPr="00BB5AAA">
              <w:t>Outcomes</w:t>
            </w:r>
          </w:p>
        </w:tc>
        <w:tc>
          <w:tcPr>
            <w:tcW w:w="822" w:type="pct"/>
          </w:tcPr>
          <w:p w14:paraId="42F2AB42" w14:textId="77777777" w:rsidR="00ED75E0" w:rsidRPr="00BB5AAA" w:rsidRDefault="00ED75E0" w:rsidP="005B2AF1">
            <w:pPr>
              <w:pStyle w:val="Tableheading"/>
              <w:spacing w:before="0" w:line="240" w:lineRule="auto"/>
            </w:pPr>
            <w:r w:rsidRPr="00BB5AAA">
              <w:t>Patients/Studies</w:t>
            </w:r>
          </w:p>
        </w:tc>
        <w:tc>
          <w:tcPr>
            <w:tcW w:w="650" w:type="pct"/>
          </w:tcPr>
          <w:p w14:paraId="72A0CCDA" w14:textId="77777777" w:rsidR="00ED75E0" w:rsidRPr="00BB5AAA" w:rsidRDefault="00ED75E0" w:rsidP="005B2AF1">
            <w:pPr>
              <w:pStyle w:val="Tableheading"/>
              <w:spacing w:before="0" w:line="240" w:lineRule="auto"/>
            </w:pPr>
            <w:r w:rsidRPr="00BB5AAA">
              <w:t xml:space="preserve">Quality of </w:t>
            </w:r>
            <w:proofErr w:type="spellStart"/>
            <w:r w:rsidRPr="00BB5AAA">
              <w:t>evidence</w:t>
            </w:r>
            <w:r w:rsidRPr="00BB5AAA">
              <w:rPr>
                <w:vertAlign w:val="superscript"/>
              </w:rPr>
              <w:t>a</w:t>
            </w:r>
            <w:proofErr w:type="spellEnd"/>
          </w:p>
        </w:tc>
        <w:tc>
          <w:tcPr>
            <w:tcW w:w="581" w:type="pct"/>
          </w:tcPr>
          <w:p w14:paraId="1DDFCB25" w14:textId="77777777" w:rsidR="00ED75E0" w:rsidRPr="00BB5AAA" w:rsidRDefault="00ED75E0" w:rsidP="005B2AF1">
            <w:pPr>
              <w:pStyle w:val="Tableheading"/>
              <w:spacing w:before="0" w:line="240" w:lineRule="auto"/>
              <w:rPr>
                <w:vertAlign w:val="superscript"/>
              </w:rPr>
            </w:pPr>
            <w:r w:rsidRPr="00BB5AAA">
              <w:t>No. per 100</w:t>
            </w:r>
            <w:r>
              <w:t>0</w:t>
            </w:r>
            <w:r w:rsidRPr="00BB5AAA">
              <w:t xml:space="preserve"> patients with </w:t>
            </w:r>
            <w:proofErr w:type="spellStart"/>
            <w:r>
              <w:t>mpMRI</w:t>
            </w:r>
            <w:r w:rsidRPr="00BB5AAA">
              <w:rPr>
                <w:vertAlign w:val="superscript"/>
              </w:rPr>
              <w:t>b</w:t>
            </w:r>
            <w:proofErr w:type="spellEnd"/>
          </w:p>
        </w:tc>
        <w:tc>
          <w:tcPr>
            <w:tcW w:w="670" w:type="pct"/>
          </w:tcPr>
          <w:p w14:paraId="2D811F56" w14:textId="77777777" w:rsidR="00ED75E0" w:rsidRPr="00BB5AAA" w:rsidRDefault="00ED75E0" w:rsidP="005B2AF1">
            <w:pPr>
              <w:pStyle w:val="Tableheading"/>
              <w:spacing w:before="0" w:line="240" w:lineRule="auto"/>
            </w:pPr>
            <w:r>
              <w:t xml:space="preserve">No. per 1000 patients with biopsy following </w:t>
            </w:r>
            <w:proofErr w:type="spellStart"/>
            <w:r>
              <w:t>mpMRI</w:t>
            </w:r>
            <w:proofErr w:type="spellEnd"/>
          </w:p>
        </w:tc>
        <w:tc>
          <w:tcPr>
            <w:tcW w:w="670" w:type="pct"/>
          </w:tcPr>
          <w:p w14:paraId="4D9BF85D" w14:textId="77777777" w:rsidR="00ED75E0" w:rsidRPr="00BB5AAA" w:rsidRDefault="00ED75E0" w:rsidP="005B2AF1">
            <w:pPr>
              <w:pStyle w:val="Tableheading"/>
              <w:spacing w:before="0" w:line="240" w:lineRule="auto"/>
              <w:rPr>
                <w:vertAlign w:val="superscript"/>
              </w:rPr>
            </w:pPr>
            <w:r w:rsidRPr="00BB5AAA">
              <w:t>No. per 100</w:t>
            </w:r>
            <w:r>
              <w:t>0</w:t>
            </w:r>
            <w:r w:rsidRPr="00BB5AAA">
              <w:t xml:space="preserve"> patients with </w:t>
            </w:r>
            <w:r>
              <w:t xml:space="preserve">biopsy </w:t>
            </w:r>
            <w:proofErr w:type="spellStart"/>
            <w:r>
              <w:t>only</w:t>
            </w:r>
            <w:r w:rsidRPr="00BB5AAA">
              <w:rPr>
                <w:vertAlign w:val="superscript"/>
              </w:rPr>
              <w:t>c</w:t>
            </w:r>
            <w:proofErr w:type="spellEnd"/>
          </w:p>
        </w:tc>
        <w:tc>
          <w:tcPr>
            <w:tcW w:w="932" w:type="pct"/>
          </w:tcPr>
          <w:p w14:paraId="7393E49E" w14:textId="77777777" w:rsidR="00ED75E0" w:rsidRPr="00BB5AAA" w:rsidRDefault="00ED75E0" w:rsidP="005B2AF1">
            <w:pPr>
              <w:pStyle w:val="Tableheading"/>
              <w:spacing w:before="0" w:line="240" w:lineRule="auto"/>
            </w:pPr>
            <w:r w:rsidRPr="00BB5AAA">
              <w:t>Comments</w:t>
            </w:r>
          </w:p>
        </w:tc>
      </w:tr>
      <w:tr w:rsidR="00ED75E0" w:rsidRPr="004A5C3A" w14:paraId="415EE99D" w14:textId="77777777" w:rsidTr="008E4C81">
        <w:trPr>
          <w:trHeight w:val="397"/>
        </w:trPr>
        <w:tc>
          <w:tcPr>
            <w:tcW w:w="675" w:type="pct"/>
          </w:tcPr>
          <w:p w14:paraId="73E45F46" w14:textId="77777777" w:rsidR="00ED75E0" w:rsidRPr="004A5C3A" w:rsidRDefault="00ED75E0" w:rsidP="005B2AF1">
            <w:pPr>
              <w:pStyle w:val="Tabletext"/>
              <w:spacing w:before="0" w:after="0"/>
            </w:pPr>
            <w:r w:rsidRPr="004A5C3A">
              <w:t>True positives</w:t>
            </w:r>
          </w:p>
        </w:tc>
        <w:tc>
          <w:tcPr>
            <w:tcW w:w="822" w:type="pct"/>
          </w:tcPr>
          <w:p w14:paraId="1B27EB94" w14:textId="77777777" w:rsidR="00ED75E0" w:rsidRPr="004A5C3A" w:rsidRDefault="00ED75E0" w:rsidP="005B2AF1">
            <w:pPr>
              <w:pStyle w:val="Tabletext"/>
              <w:spacing w:before="0" w:after="0"/>
            </w:pPr>
            <w:r w:rsidRPr="004A5C3A">
              <w:t>820 patients</w:t>
            </w:r>
          </w:p>
          <w:p w14:paraId="65855D03" w14:textId="77777777" w:rsidR="00ED75E0" w:rsidRPr="004A5C3A" w:rsidRDefault="00ED75E0" w:rsidP="005B2AF1">
            <w:pPr>
              <w:pStyle w:val="Tabletext"/>
              <w:spacing w:before="0" w:after="0"/>
            </w:pPr>
            <w:r>
              <w:t>(</w:t>
            </w:r>
            <w:r w:rsidRPr="004A5C3A">
              <w:t>6 studies</w:t>
            </w:r>
            <w:r>
              <w:t>).</w:t>
            </w:r>
          </w:p>
        </w:tc>
        <w:tc>
          <w:tcPr>
            <w:tcW w:w="650" w:type="pct"/>
          </w:tcPr>
          <w:p w14:paraId="484E2A89"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79C29991" w14:textId="77777777" w:rsidR="00ED75E0" w:rsidRPr="004A5C3A" w:rsidRDefault="00ED75E0" w:rsidP="005B2AF1">
            <w:pPr>
              <w:pStyle w:val="Tabletext"/>
              <w:spacing w:before="0" w:after="0"/>
            </w:pPr>
            <w:r>
              <w:t>238</w:t>
            </w:r>
          </w:p>
        </w:tc>
        <w:tc>
          <w:tcPr>
            <w:tcW w:w="670" w:type="pct"/>
          </w:tcPr>
          <w:p w14:paraId="398A3AAD" w14:textId="77777777" w:rsidR="00ED75E0" w:rsidRPr="004A5C3A" w:rsidDel="006B759A" w:rsidRDefault="00ED75E0" w:rsidP="005B2AF1">
            <w:pPr>
              <w:pStyle w:val="Tabletext"/>
              <w:spacing w:before="0" w:after="0"/>
            </w:pPr>
            <w:r>
              <w:t>190</w:t>
            </w:r>
          </w:p>
        </w:tc>
        <w:tc>
          <w:tcPr>
            <w:tcW w:w="670" w:type="pct"/>
          </w:tcPr>
          <w:p w14:paraId="06F9C103" w14:textId="77777777" w:rsidR="00ED75E0" w:rsidRPr="004A5C3A" w:rsidRDefault="00ED75E0" w:rsidP="005B2AF1">
            <w:pPr>
              <w:pStyle w:val="Tabletext"/>
              <w:spacing w:before="0" w:after="0"/>
            </w:pPr>
            <w:r>
              <w:t>280</w:t>
            </w:r>
          </w:p>
        </w:tc>
        <w:tc>
          <w:tcPr>
            <w:tcW w:w="932" w:type="pct"/>
          </w:tcPr>
          <w:p w14:paraId="366E527A" w14:textId="77777777" w:rsidR="00ED75E0" w:rsidRPr="004A5C3A" w:rsidRDefault="00ED75E0" w:rsidP="005B2AF1">
            <w:pPr>
              <w:pStyle w:val="Tabletext"/>
              <w:spacing w:before="0" w:after="0"/>
            </w:pPr>
            <w:r w:rsidRPr="004A5C3A">
              <w:t>Will undergo biopsy as under current management.</w:t>
            </w:r>
          </w:p>
        </w:tc>
      </w:tr>
      <w:tr w:rsidR="00ED75E0" w:rsidRPr="004A5C3A" w14:paraId="131694B0" w14:textId="77777777" w:rsidTr="008E4C81">
        <w:trPr>
          <w:trHeight w:val="397"/>
        </w:trPr>
        <w:tc>
          <w:tcPr>
            <w:tcW w:w="675" w:type="pct"/>
          </w:tcPr>
          <w:p w14:paraId="7134F6F6" w14:textId="77777777" w:rsidR="00ED75E0" w:rsidRPr="004A5C3A" w:rsidRDefault="00ED75E0" w:rsidP="005B2AF1">
            <w:pPr>
              <w:pStyle w:val="Tabletext"/>
              <w:spacing w:before="0" w:after="0"/>
            </w:pPr>
            <w:r w:rsidRPr="004A5C3A">
              <w:t>False positives</w:t>
            </w:r>
          </w:p>
        </w:tc>
        <w:tc>
          <w:tcPr>
            <w:tcW w:w="822" w:type="pct"/>
          </w:tcPr>
          <w:p w14:paraId="17F32DC9" w14:textId="77777777" w:rsidR="00ED75E0" w:rsidRPr="004A5C3A" w:rsidRDefault="00ED75E0" w:rsidP="005B2AF1">
            <w:pPr>
              <w:pStyle w:val="Tabletext"/>
              <w:spacing w:before="0" w:after="0"/>
            </w:pPr>
            <w:r w:rsidRPr="004A5C3A">
              <w:t>820 patients</w:t>
            </w:r>
          </w:p>
          <w:p w14:paraId="67303994" w14:textId="77777777" w:rsidR="00ED75E0" w:rsidRPr="004A5C3A" w:rsidRDefault="00ED75E0" w:rsidP="005B2AF1">
            <w:pPr>
              <w:pStyle w:val="Tabletext"/>
              <w:spacing w:before="0" w:after="0"/>
            </w:pPr>
            <w:r>
              <w:t>(</w:t>
            </w:r>
            <w:r w:rsidRPr="004A5C3A">
              <w:t>6 studies</w:t>
            </w:r>
            <w:r>
              <w:t>).</w:t>
            </w:r>
          </w:p>
        </w:tc>
        <w:tc>
          <w:tcPr>
            <w:tcW w:w="650" w:type="pct"/>
          </w:tcPr>
          <w:p w14:paraId="401DE07F"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553A3A08" w14:textId="77777777" w:rsidR="00ED75E0" w:rsidRPr="004A5C3A" w:rsidRDefault="00ED75E0" w:rsidP="005B2AF1">
            <w:pPr>
              <w:pStyle w:val="Tabletext"/>
              <w:spacing w:before="0" w:after="0"/>
            </w:pPr>
            <w:r w:rsidRPr="004A5C3A">
              <w:t>31</w:t>
            </w:r>
            <w:r>
              <w:t>4</w:t>
            </w:r>
          </w:p>
        </w:tc>
        <w:tc>
          <w:tcPr>
            <w:tcW w:w="670" w:type="pct"/>
          </w:tcPr>
          <w:p w14:paraId="35D13334" w14:textId="77777777" w:rsidR="00ED75E0" w:rsidRPr="004A5C3A" w:rsidRDefault="00ED75E0" w:rsidP="005B2AF1">
            <w:pPr>
              <w:pStyle w:val="Tabletext"/>
              <w:spacing w:before="0" w:after="0"/>
            </w:pPr>
            <w:r>
              <w:t>0</w:t>
            </w:r>
          </w:p>
        </w:tc>
        <w:tc>
          <w:tcPr>
            <w:tcW w:w="670" w:type="pct"/>
          </w:tcPr>
          <w:p w14:paraId="35A613C1" w14:textId="77777777" w:rsidR="00ED75E0" w:rsidRPr="004A5C3A" w:rsidRDefault="00ED75E0" w:rsidP="005B2AF1">
            <w:pPr>
              <w:pStyle w:val="Tabletext"/>
              <w:spacing w:before="0" w:after="0"/>
            </w:pPr>
            <w:r w:rsidRPr="004A5C3A">
              <w:t>0</w:t>
            </w:r>
          </w:p>
        </w:tc>
        <w:tc>
          <w:tcPr>
            <w:tcW w:w="932" w:type="pct"/>
          </w:tcPr>
          <w:p w14:paraId="3F509FFD" w14:textId="77777777" w:rsidR="00ED75E0" w:rsidRPr="004A5C3A" w:rsidRDefault="00ED75E0" w:rsidP="005B2AF1">
            <w:pPr>
              <w:pStyle w:val="Tabletext"/>
              <w:spacing w:before="0" w:after="0"/>
            </w:pPr>
            <w:r w:rsidRPr="004A5C3A">
              <w:t>Will undergo biopsy as under current management.</w:t>
            </w:r>
          </w:p>
        </w:tc>
      </w:tr>
      <w:tr w:rsidR="00ED75E0" w:rsidRPr="004A5C3A" w14:paraId="0812B0DB" w14:textId="77777777" w:rsidTr="008E4C81">
        <w:trPr>
          <w:trHeight w:val="397"/>
        </w:trPr>
        <w:tc>
          <w:tcPr>
            <w:tcW w:w="675" w:type="pct"/>
          </w:tcPr>
          <w:p w14:paraId="6452ED5E" w14:textId="77777777" w:rsidR="00ED75E0" w:rsidRPr="004A5C3A" w:rsidRDefault="00ED75E0" w:rsidP="005B2AF1">
            <w:pPr>
              <w:pStyle w:val="Tabletext"/>
              <w:spacing w:before="0" w:after="0"/>
            </w:pPr>
            <w:r w:rsidRPr="004A5C3A">
              <w:t>True negatives</w:t>
            </w:r>
          </w:p>
        </w:tc>
        <w:tc>
          <w:tcPr>
            <w:tcW w:w="822" w:type="pct"/>
          </w:tcPr>
          <w:p w14:paraId="5C690949" w14:textId="77777777" w:rsidR="00ED75E0" w:rsidRPr="004A5C3A" w:rsidRDefault="00ED75E0" w:rsidP="005B2AF1">
            <w:pPr>
              <w:pStyle w:val="Tabletext"/>
              <w:spacing w:before="0" w:after="0"/>
            </w:pPr>
            <w:r w:rsidRPr="004A5C3A">
              <w:t>820 patients</w:t>
            </w:r>
          </w:p>
          <w:p w14:paraId="44962311" w14:textId="77777777" w:rsidR="00ED75E0" w:rsidRPr="004A5C3A" w:rsidRDefault="00ED75E0" w:rsidP="005B2AF1">
            <w:pPr>
              <w:pStyle w:val="Tabletext"/>
              <w:spacing w:before="0" w:after="0"/>
            </w:pPr>
            <w:r>
              <w:t>(</w:t>
            </w:r>
            <w:r w:rsidRPr="004A5C3A">
              <w:t>6 studies</w:t>
            </w:r>
            <w:r>
              <w:t>).</w:t>
            </w:r>
          </w:p>
        </w:tc>
        <w:tc>
          <w:tcPr>
            <w:tcW w:w="650" w:type="pct"/>
          </w:tcPr>
          <w:p w14:paraId="4ECC0C15"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04F8515B" w14:textId="77777777" w:rsidR="00ED75E0" w:rsidRPr="004A5C3A" w:rsidRDefault="00ED75E0" w:rsidP="005B2AF1">
            <w:pPr>
              <w:pStyle w:val="Tabletext"/>
              <w:spacing w:before="0" w:after="0"/>
            </w:pPr>
            <w:r>
              <w:t>386</w:t>
            </w:r>
          </w:p>
        </w:tc>
        <w:tc>
          <w:tcPr>
            <w:tcW w:w="670" w:type="pct"/>
          </w:tcPr>
          <w:p w14:paraId="4555CDB9" w14:textId="77777777" w:rsidR="00ED75E0" w:rsidRPr="004A5C3A" w:rsidRDefault="00ED75E0" w:rsidP="005B2AF1">
            <w:pPr>
              <w:pStyle w:val="Tabletext"/>
              <w:spacing w:before="0" w:after="0"/>
            </w:pPr>
            <w:r>
              <w:t>386</w:t>
            </w:r>
          </w:p>
        </w:tc>
        <w:tc>
          <w:tcPr>
            <w:tcW w:w="670" w:type="pct"/>
          </w:tcPr>
          <w:p w14:paraId="07C21EDB" w14:textId="77777777" w:rsidR="00ED75E0" w:rsidRPr="004A5C3A" w:rsidRDefault="00ED75E0" w:rsidP="005B2AF1">
            <w:pPr>
              <w:pStyle w:val="Tabletext"/>
              <w:spacing w:before="0" w:after="0"/>
            </w:pPr>
            <w:r w:rsidRPr="004A5C3A">
              <w:t>65</w:t>
            </w:r>
            <w:r>
              <w:t>5</w:t>
            </w:r>
          </w:p>
        </w:tc>
        <w:tc>
          <w:tcPr>
            <w:tcW w:w="932" w:type="pct"/>
          </w:tcPr>
          <w:p w14:paraId="3D267992" w14:textId="77777777" w:rsidR="00ED75E0" w:rsidRPr="004A5C3A" w:rsidRDefault="00ED75E0" w:rsidP="005B2AF1">
            <w:pPr>
              <w:pStyle w:val="Tabletext"/>
              <w:spacing w:before="0" w:after="0"/>
            </w:pPr>
            <w:r>
              <w:t>Potential to avoid biopsy</w:t>
            </w:r>
          </w:p>
        </w:tc>
      </w:tr>
      <w:tr w:rsidR="00ED75E0" w:rsidRPr="004A5C3A" w14:paraId="1A402FB9" w14:textId="77777777" w:rsidTr="008E4C81">
        <w:trPr>
          <w:trHeight w:val="397"/>
        </w:trPr>
        <w:tc>
          <w:tcPr>
            <w:tcW w:w="675" w:type="pct"/>
          </w:tcPr>
          <w:p w14:paraId="50177ABA" w14:textId="77777777" w:rsidR="00ED75E0" w:rsidRPr="004A5C3A" w:rsidRDefault="00ED75E0" w:rsidP="005B2AF1">
            <w:pPr>
              <w:pStyle w:val="Tabletext"/>
              <w:spacing w:before="0" w:after="0"/>
            </w:pPr>
            <w:r w:rsidRPr="004A5C3A">
              <w:t xml:space="preserve">False negatives </w:t>
            </w:r>
          </w:p>
        </w:tc>
        <w:tc>
          <w:tcPr>
            <w:tcW w:w="822" w:type="pct"/>
          </w:tcPr>
          <w:p w14:paraId="2FCC221D" w14:textId="77777777" w:rsidR="00ED75E0" w:rsidRPr="004A5C3A" w:rsidRDefault="00ED75E0" w:rsidP="005B2AF1">
            <w:pPr>
              <w:pStyle w:val="Tabletext"/>
              <w:spacing w:before="0" w:after="0"/>
            </w:pPr>
            <w:r w:rsidRPr="004A5C3A">
              <w:t>820 patients</w:t>
            </w:r>
          </w:p>
          <w:p w14:paraId="454585A1" w14:textId="77777777" w:rsidR="00ED75E0" w:rsidRPr="004A5C3A" w:rsidRDefault="00ED75E0" w:rsidP="005B2AF1">
            <w:pPr>
              <w:pStyle w:val="Tabletext"/>
              <w:spacing w:before="0" w:after="0"/>
            </w:pPr>
            <w:r>
              <w:t>(</w:t>
            </w:r>
            <w:r w:rsidRPr="004A5C3A">
              <w:t>6 studies</w:t>
            </w:r>
            <w:r>
              <w:t>).</w:t>
            </w:r>
          </w:p>
        </w:tc>
        <w:tc>
          <w:tcPr>
            <w:tcW w:w="650" w:type="pct"/>
          </w:tcPr>
          <w:p w14:paraId="17245C30" w14:textId="77777777" w:rsidR="00ED75E0" w:rsidRPr="004A5C3A" w:rsidRDefault="00ED75E0" w:rsidP="005B2AF1">
            <w:pPr>
              <w:pStyle w:val="Tabletext"/>
              <w:spacing w:before="0" w:after="0"/>
            </w:pPr>
            <w:r w:rsidRPr="00D4733A">
              <w:rPr>
                <w:rFonts w:ascii="Cambria Math" w:hAnsi="Cambria Math"/>
                <w:color w:val="00B050"/>
              </w:rPr>
              <w:t>⨁⨁⨁⨁</w:t>
            </w:r>
          </w:p>
        </w:tc>
        <w:tc>
          <w:tcPr>
            <w:tcW w:w="581" w:type="pct"/>
          </w:tcPr>
          <w:p w14:paraId="68F16A16" w14:textId="77777777" w:rsidR="00ED75E0" w:rsidRPr="004A5C3A" w:rsidRDefault="00ED75E0" w:rsidP="005B2AF1">
            <w:pPr>
              <w:pStyle w:val="Tabletext"/>
              <w:spacing w:before="0" w:after="0"/>
            </w:pPr>
            <w:r>
              <w:t>62</w:t>
            </w:r>
          </w:p>
        </w:tc>
        <w:tc>
          <w:tcPr>
            <w:tcW w:w="670" w:type="pct"/>
          </w:tcPr>
          <w:p w14:paraId="107FC73B" w14:textId="77777777" w:rsidR="00ED75E0" w:rsidRPr="004A5C3A" w:rsidDel="006B759A" w:rsidRDefault="00ED75E0" w:rsidP="005B2AF1">
            <w:pPr>
              <w:pStyle w:val="Tabletext"/>
              <w:spacing w:before="0" w:after="0"/>
            </w:pPr>
            <w:r>
              <w:t>101</w:t>
            </w:r>
          </w:p>
        </w:tc>
        <w:tc>
          <w:tcPr>
            <w:tcW w:w="670" w:type="pct"/>
          </w:tcPr>
          <w:p w14:paraId="110AD1DE" w14:textId="77777777" w:rsidR="00ED75E0" w:rsidRPr="004A5C3A" w:rsidRDefault="00ED75E0" w:rsidP="005B2AF1">
            <w:pPr>
              <w:pStyle w:val="Tabletext"/>
              <w:spacing w:before="0" w:after="0"/>
            </w:pPr>
            <w:r>
              <w:t>70</w:t>
            </w:r>
          </w:p>
        </w:tc>
        <w:tc>
          <w:tcPr>
            <w:tcW w:w="932" w:type="pct"/>
          </w:tcPr>
          <w:p w14:paraId="6721E44C" w14:textId="77777777" w:rsidR="00ED75E0" w:rsidRPr="004A5C3A" w:rsidRDefault="00ED75E0" w:rsidP="005B2AF1">
            <w:pPr>
              <w:pStyle w:val="Tabletext"/>
              <w:spacing w:before="0" w:after="0"/>
            </w:pPr>
            <w:r>
              <w:t>Potential to avoid biopsy but</w:t>
            </w:r>
            <w:r w:rsidRPr="004A5C3A">
              <w:t xml:space="preserve"> possible detriment due to delayed treatment.</w:t>
            </w:r>
          </w:p>
        </w:tc>
      </w:tr>
      <w:tr w:rsidR="00ED75E0" w:rsidRPr="004A5C3A" w14:paraId="186B724D" w14:textId="77777777" w:rsidTr="008E4C81">
        <w:trPr>
          <w:trHeight w:val="397"/>
        </w:trPr>
        <w:tc>
          <w:tcPr>
            <w:tcW w:w="675" w:type="pct"/>
          </w:tcPr>
          <w:p w14:paraId="2B738634" w14:textId="77777777" w:rsidR="00ED75E0" w:rsidRPr="004A5C3A" w:rsidRDefault="00ED75E0" w:rsidP="005B2AF1">
            <w:pPr>
              <w:pStyle w:val="Tabletext"/>
              <w:spacing w:before="0" w:after="0"/>
            </w:pPr>
            <w:r w:rsidRPr="004A5C3A">
              <w:t>Positive surgical margins</w:t>
            </w:r>
          </w:p>
        </w:tc>
        <w:tc>
          <w:tcPr>
            <w:tcW w:w="822" w:type="pct"/>
          </w:tcPr>
          <w:p w14:paraId="09F04300" w14:textId="77777777" w:rsidR="00ED75E0" w:rsidRPr="004A5C3A" w:rsidRDefault="00ED75E0" w:rsidP="005B2AF1">
            <w:pPr>
              <w:pStyle w:val="Tabletext"/>
              <w:spacing w:before="0" w:after="0"/>
            </w:pPr>
            <w:r w:rsidRPr="004A5C3A">
              <w:t>219 patients</w:t>
            </w:r>
          </w:p>
          <w:p w14:paraId="6146FCC3" w14:textId="77777777" w:rsidR="00ED75E0" w:rsidRPr="004A5C3A" w:rsidRDefault="00ED75E0" w:rsidP="005B2AF1">
            <w:pPr>
              <w:pStyle w:val="Tabletext"/>
              <w:spacing w:before="0" w:after="0"/>
            </w:pPr>
            <w:r>
              <w:t>(</w:t>
            </w:r>
            <w:r w:rsidRPr="004A5C3A">
              <w:t>1 study</w:t>
            </w:r>
            <w:r>
              <w:t>).</w:t>
            </w:r>
          </w:p>
        </w:tc>
        <w:tc>
          <w:tcPr>
            <w:tcW w:w="650" w:type="pct"/>
          </w:tcPr>
          <w:p w14:paraId="7B5BB3A8" w14:textId="77777777" w:rsidR="00ED75E0" w:rsidRPr="004A5C3A" w:rsidRDefault="00ED75E0" w:rsidP="005B2AF1">
            <w:pPr>
              <w:pStyle w:val="Tabletext"/>
              <w:spacing w:before="0" w:after="0"/>
            </w:pPr>
            <w:r>
              <w:rPr>
                <w:rFonts w:ascii="Cambria Math" w:hAnsi="Cambria Math"/>
                <w:color w:val="00B050"/>
              </w:rPr>
              <w:t>⨁</w:t>
            </w:r>
            <w:r w:rsidRPr="00D4733A">
              <w:rPr>
                <w:rFonts w:ascii="Cambria Math" w:hAnsi="Cambria Math" w:cs="Cambria Math"/>
                <w:color w:val="C00000"/>
              </w:rPr>
              <w:t>⨀⨀⨀</w:t>
            </w:r>
          </w:p>
        </w:tc>
        <w:tc>
          <w:tcPr>
            <w:tcW w:w="581" w:type="pct"/>
          </w:tcPr>
          <w:p w14:paraId="080826AD" w14:textId="77777777" w:rsidR="00ED75E0" w:rsidRPr="004A5C3A" w:rsidRDefault="00ED75E0" w:rsidP="005B2AF1">
            <w:pPr>
              <w:pStyle w:val="Tabletext"/>
              <w:spacing w:before="0" w:after="0"/>
            </w:pPr>
            <w:r w:rsidRPr="009A4EBF">
              <w:t>NA</w:t>
            </w:r>
          </w:p>
        </w:tc>
        <w:tc>
          <w:tcPr>
            <w:tcW w:w="670" w:type="pct"/>
          </w:tcPr>
          <w:p w14:paraId="3BC06B07" w14:textId="77777777" w:rsidR="00ED75E0" w:rsidRPr="004A5C3A" w:rsidRDefault="00ED75E0" w:rsidP="005B2AF1">
            <w:pPr>
              <w:pStyle w:val="Tabletext"/>
              <w:spacing w:before="0" w:after="0"/>
            </w:pPr>
            <w:r>
              <w:t>NA</w:t>
            </w:r>
          </w:p>
        </w:tc>
        <w:tc>
          <w:tcPr>
            <w:tcW w:w="670" w:type="pct"/>
          </w:tcPr>
          <w:p w14:paraId="5FD6BD83" w14:textId="77777777" w:rsidR="00ED75E0" w:rsidRPr="004A5C3A" w:rsidRDefault="00ED75E0" w:rsidP="005B2AF1">
            <w:pPr>
              <w:pStyle w:val="Tabletext"/>
              <w:spacing w:before="0" w:after="0"/>
            </w:pPr>
            <w:r w:rsidRPr="004A5C3A">
              <w:t>NA</w:t>
            </w:r>
          </w:p>
        </w:tc>
        <w:tc>
          <w:tcPr>
            <w:tcW w:w="932" w:type="pct"/>
          </w:tcPr>
          <w:p w14:paraId="4C313FDA" w14:textId="77777777" w:rsidR="00ED75E0" w:rsidRPr="004A5C3A" w:rsidRDefault="00ED75E0" w:rsidP="005B2AF1">
            <w:pPr>
              <w:pStyle w:val="Tabletext"/>
              <w:spacing w:before="0" w:after="0"/>
            </w:pPr>
            <w:r w:rsidRPr="004A5C3A">
              <w:t>There is no evidence that delayed treatment increases the rate of positive surgical margins</w:t>
            </w:r>
            <w:r>
              <w:t>.</w:t>
            </w:r>
          </w:p>
        </w:tc>
      </w:tr>
    </w:tbl>
    <w:p w14:paraId="6D0CC139" w14:textId="77777777" w:rsidR="00ED75E0" w:rsidRPr="005B2AF1" w:rsidRDefault="00ED75E0" w:rsidP="005B2AF1">
      <w:pPr>
        <w:pStyle w:val="TableNotes"/>
        <w:spacing w:line="240" w:lineRule="auto"/>
      </w:pPr>
      <w:r w:rsidRPr="000401E7">
        <w:rPr>
          <w:vertAlign w:val="superscript"/>
        </w:rPr>
        <w:t>a</w:t>
      </w:r>
      <w:r>
        <w:t>:</w:t>
      </w:r>
      <w:r w:rsidRPr="000401E7">
        <w:t xml:space="preserve"> GRADE Working Group grades of evidence </w:t>
      </w:r>
      <w:r>
        <w:fldChar w:fldCharType="begin"/>
      </w:r>
      <w:r>
        <w:instrText xml:space="preserve"> ADDIN EN.CITE &lt;EndNote&gt;&lt;Cite&gt;&lt;Author&gt;Guyatt&lt;/Author&gt;&lt;Year&gt;2013&lt;/Year&gt;&lt;RecNum&gt;166&lt;/RecNum&gt;&lt;DisplayText&gt;(Guyatt et al. 2013)&lt;/DisplayText&gt;&lt;record&gt;&lt;rec-number&gt;166&lt;/rec-number&gt;&lt;foreign-keys&gt;&lt;key app="EN" db-id="xzzrstesqpaavfe0te5p2zssvee5ervas2vt" timestamp="1469161165"&gt;166&lt;/key&gt;&lt;/foreign-keys&gt;&lt;ref-type name="Journal Article"&gt;17&lt;/ref-type&gt;&lt;contributors&gt;&lt;authors&gt;&lt;author&gt;Guyatt, G,&lt;/author&gt;&lt;author&gt;Oxman, AD,&lt;/author&gt;&lt;author&gt;Sultan, S, Brozek, J, Glasziou, P, Alonso-Coello, P, Atkins, D, Kunz, R, Montori, V, Jaeschke, R, Rind, D, Dahm, P, Akl, EA, Meerpohl, J, Vist, G, Berliner, E, Norris, S, Falck-Ytter, Y &amp;amp; Schunemann, HJ&lt;/author&gt;&lt;/authors&gt;&lt;/contributors&gt;&lt;titles&gt;&lt;title&gt;GRADE guidelines: 11. Making an overall rating of confidence in effect estimates for a single outcome and for all outcomes&lt;/title&gt;&lt;secondary-title&gt;J Clin Epidemiol&lt;/secondary-title&gt;&lt;/titles&gt;&lt;periodical&gt;&lt;full-title&gt;J Clin Epidemiol&lt;/full-title&gt;&lt;abbr-1&gt;Journal of clinical epidemiology&lt;/abbr-1&gt;&lt;/periodical&gt;&lt;pages&gt;151-157&lt;/pages&gt;&lt;volume&gt;66&lt;/volume&gt;&lt;number&gt;2&lt;/number&gt;&lt;dates&gt;&lt;year&gt;2013&lt;/year&gt;&lt;/dates&gt;&lt;urls&gt;&lt;/urls&gt;&lt;/record&gt;&lt;/Cite&gt;&lt;/EndNote&gt;</w:instrText>
      </w:r>
      <w:r>
        <w:fldChar w:fldCharType="separate"/>
      </w:r>
      <w:r>
        <w:rPr>
          <w:noProof/>
        </w:rPr>
        <w:t>(</w:t>
      </w:r>
      <w:hyperlink w:anchor="_ENREF_57" w:tooltip="Guyatt, 2013 #1" w:history="1">
        <w:r>
          <w:rPr>
            <w:noProof/>
          </w:rPr>
          <w:t>Guyatt et al. 2013</w:t>
        </w:r>
      </w:hyperlink>
      <w:r>
        <w:rPr>
          <w:noProof/>
        </w:rPr>
        <w:t>)</w:t>
      </w:r>
      <w:r>
        <w:fldChar w:fldCharType="end"/>
      </w:r>
      <w:r>
        <w:t>.</w:t>
      </w:r>
      <w:r>
        <w:br/>
        <w:t>Note this is a summary of key outcomes, for the full table of outcomes see Subsection B8 of the report</w:t>
      </w:r>
      <w:r w:rsidRPr="000401E7">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r>
        <w:br/>
      </w:r>
      <w:proofErr w:type="gramStart"/>
      <w:r w:rsidRPr="00DE757E">
        <w:rPr>
          <w:vertAlign w:val="superscript"/>
        </w:rPr>
        <w:t>b</w:t>
      </w:r>
      <w:proofErr w:type="gramEnd"/>
      <w:r>
        <w:t xml:space="preserve">: A prevalence of </w:t>
      </w:r>
      <w:proofErr w:type="spellStart"/>
      <w:r>
        <w:t>PCa</w:t>
      </w:r>
      <w:proofErr w:type="spellEnd"/>
      <w:r>
        <w:t xml:space="preserve"> upgrade of 30% was provided by the Applicant. Only low-concern patients have been included in this assessment as there is no change in management for patients at high-concern, regardless of </w:t>
      </w:r>
      <w:proofErr w:type="spellStart"/>
      <w:r>
        <w:t>mpMRI</w:t>
      </w:r>
      <w:proofErr w:type="spellEnd"/>
      <w:r>
        <w:t xml:space="preserve"> results.</w:t>
      </w:r>
      <w:r>
        <w:br/>
      </w:r>
      <w:proofErr w:type="gramStart"/>
      <w:r w:rsidRPr="00882CD9">
        <w:rPr>
          <w:vertAlign w:val="superscript"/>
        </w:rPr>
        <w:t>c</w:t>
      </w:r>
      <w:proofErr w:type="gramEnd"/>
      <w:r>
        <w:t>:</w:t>
      </w:r>
      <w:r>
        <w:rPr>
          <w:b/>
          <w:vertAlign w:val="superscript"/>
        </w:rPr>
        <w:t xml:space="preserve"> </w:t>
      </w:r>
      <w:r>
        <w:t>Calculated using the reported sensitivity of TRUSGB biopsy of 0.81 (95% CI [0.70, 0.88]) and assuming TRUSGB had a specificity of 100%</w:t>
      </w:r>
      <w:r>
        <w:br/>
        <w:t>TRUSGB = trans-rectal ultrasound-guided biopsy, TPUSGB = trans-</w:t>
      </w:r>
      <w:proofErr w:type="spellStart"/>
      <w:r>
        <w:t>perineal</w:t>
      </w:r>
      <w:proofErr w:type="spellEnd"/>
      <w:r>
        <w:t xml:space="preserve"> ultrasound-guided biopsy, NA = not applicable, CI = confidence interval.</w:t>
      </w:r>
      <w:bookmarkEnd w:id="19"/>
    </w:p>
    <w:p w14:paraId="1D5D8BF7" w14:textId="77777777" w:rsidR="00ED75E0" w:rsidRDefault="00F37B9C" w:rsidP="00BA67A5">
      <w:pPr>
        <w:pStyle w:val="Heading2"/>
      </w:pPr>
      <w:r w:rsidRPr="00F37B9C">
        <w:t>Clinical Claim</w:t>
      </w:r>
    </w:p>
    <w:p w14:paraId="28CF37B5" w14:textId="2A711D3F" w:rsidR="00AF7A19" w:rsidRDefault="00D076CD" w:rsidP="00F715D1">
      <w:pPr>
        <w:tabs>
          <w:tab w:val="left" w:pos="720"/>
          <w:tab w:val="left" w:pos="1140"/>
        </w:tabs>
        <w:spacing w:after="240"/>
        <w:rPr>
          <w:b/>
          <w:szCs w:val="24"/>
        </w:rPr>
      </w:pPr>
      <w:r>
        <w:t>Prostate</w:t>
      </w:r>
      <w:r w:rsidRPr="0085332C">
        <w:t xml:space="preserve"> </w:t>
      </w:r>
      <w:proofErr w:type="spellStart"/>
      <w:r w:rsidRPr="0085332C">
        <w:t>mpMRI</w:t>
      </w:r>
      <w:proofErr w:type="spellEnd"/>
      <w:r w:rsidRPr="0085332C">
        <w:t xml:space="preserve"> </w:t>
      </w:r>
      <w:r>
        <w:t>is claimed to</w:t>
      </w:r>
      <w:r w:rsidRPr="0085332C">
        <w:t xml:space="preserve"> have </w:t>
      </w:r>
      <w:r w:rsidR="002F3FCD">
        <w:t>equivalent</w:t>
      </w:r>
      <w:r w:rsidR="002F3FCD" w:rsidRPr="0085332C">
        <w:t xml:space="preserve"> </w:t>
      </w:r>
      <w:r w:rsidRPr="0085332C">
        <w:t xml:space="preserve">diagnostic accuracy and </w:t>
      </w:r>
      <w:r>
        <w:t>an improved</w:t>
      </w:r>
      <w:r w:rsidRPr="0085332C">
        <w:t xml:space="preserve"> </w:t>
      </w:r>
      <w:r>
        <w:t>safety profile compared to</w:t>
      </w:r>
      <w:r w:rsidRPr="0085332C">
        <w:t xml:space="preserve"> the current approach. </w:t>
      </w:r>
      <w:r>
        <w:t>M</w:t>
      </w:r>
      <w:r w:rsidRPr="0085332C">
        <w:t xml:space="preserve">ore accurate selection of patients for biopsy </w:t>
      </w:r>
      <w:r>
        <w:t>will</w:t>
      </w:r>
      <w:r w:rsidRPr="0085332C">
        <w:t xml:space="preserve"> reduce diagnosis and</w:t>
      </w:r>
      <w:r>
        <w:t xml:space="preserve"> overtreatment of low-risk disease.</w:t>
      </w:r>
    </w:p>
    <w:p w14:paraId="3098DE57" w14:textId="77777777" w:rsidR="00BC1364" w:rsidRPr="00F715D1" w:rsidRDefault="00BC1364" w:rsidP="008E4C81">
      <w:pPr>
        <w:pStyle w:val="Heading1"/>
        <w:ind w:hanging="502"/>
      </w:pPr>
      <w:r w:rsidRPr="00F715D1">
        <w:t>Economic evaluation</w:t>
      </w:r>
    </w:p>
    <w:p w14:paraId="7037F6B0" w14:textId="6C74A997" w:rsidR="00376F27" w:rsidRDefault="005B2AF1" w:rsidP="006D0218">
      <w:r>
        <w:t>The application presented a cost-utility analysis</w:t>
      </w:r>
      <w:r w:rsidR="00D969BA">
        <w:t xml:space="preserve"> t</w:t>
      </w:r>
      <w:r w:rsidR="00D969BA" w:rsidRPr="009368A4">
        <w:t xml:space="preserve">o quantify the trade-off between </w:t>
      </w:r>
      <w:proofErr w:type="spellStart"/>
      <w:r w:rsidR="00D969BA" w:rsidRPr="009368A4">
        <w:t>mpMRI</w:t>
      </w:r>
      <w:proofErr w:type="spellEnd"/>
      <w:r w:rsidR="00D969BA" w:rsidRPr="009368A4">
        <w:t xml:space="preserve"> costs and benefits</w:t>
      </w:r>
      <w:r>
        <w:t xml:space="preserve">. </w:t>
      </w:r>
      <w:r w:rsidR="00D969BA">
        <w:t>A summary of the economic evaluation is shown in Table 6.</w:t>
      </w:r>
    </w:p>
    <w:p w14:paraId="529B071B" w14:textId="77777777" w:rsidR="00376F27" w:rsidRDefault="00376F27">
      <w:r>
        <w:br w:type="page"/>
      </w:r>
    </w:p>
    <w:p w14:paraId="2DFFB659" w14:textId="77777777" w:rsidR="00D969BA" w:rsidRPr="009368A4" w:rsidRDefault="00D969BA" w:rsidP="00D969BA">
      <w:pPr>
        <w:pStyle w:val="Caption"/>
        <w:spacing w:after="0" w:line="240" w:lineRule="auto"/>
      </w:pPr>
      <w:bookmarkStart w:id="20" w:name="_Ref379404328"/>
      <w:bookmarkStart w:id="21" w:name="_Ref379483368"/>
      <w:bookmarkStart w:id="22" w:name="_Ref394419656"/>
      <w:bookmarkStart w:id="23" w:name="_Toc456879145"/>
      <w:bookmarkStart w:id="24" w:name="_Toc459987893"/>
      <w:bookmarkStart w:id="25" w:name="_Toc470196820"/>
      <w:bookmarkStart w:id="26" w:name="_Toc471382701"/>
      <w:r w:rsidRPr="009368A4">
        <w:lastRenderedPageBreak/>
        <w:t xml:space="preserve">Table </w:t>
      </w:r>
      <w:bookmarkEnd w:id="20"/>
      <w:bookmarkEnd w:id="21"/>
      <w:r>
        <w:t>6</w:t>
      </w:r>
      <w:r w:rsidRPr="009368A4">
        <w:tab/>
      </w:r>
      <w:r w:rsidRPr="009368A4">
        <w:tab/>
        <w:t>Summary of the economic evaluation</w:t>
      </w:r>
      <w:bookmarkEnd w:id="22"/>
      <w:bookmarkEnd w:id="23"/>
      <w:bookmarkEnd w:id="24"/>
      <w:bookmarkEnd w:id="25"/>
      <w:bookmarkEnd w:id="26"/>
      <w:r w:rsidRPr="009368A4">
        <w:t xml:space="preserve"> </w:t>
      </w:r>
    </w:p>
    <w:tbl>
      <w:tblPr>
        <w:tblStyle w:val="TableGrid2"/>
        <w:tblW w:w="9112" w:type="dxa"/>
        <w:tblLook w:val="01E0" w:firstRow="1" w:lastRow="1" w:firstColumn="1" w:lastColumn="1" w:noHBand="0" w:noVBand="0"/>
        <w:tblDescription w:val="The key constructs of the economic evaluation that is provided in the assessment report."/>
      </w:tblPr>
      <w:tblGrid>
        <w:gridCol w:w="2847"/>
        <w:gridCol w:w="6265"/>
      </w:tblGrid>
      <w:tr w:rsidR="00D969BA" w:rsidRPr="00350F5D" w14:paraId="07A9E71C" w14:textId="77777777" w:rsidTr="00BA67A5">
        <w:trPr>
          <w:cnfStyle w:val="100000000000" w:firstRow="1" w:lastRow="0" w:firstColumn="0" w:lastColumn="0" w:oddVBand="0" w:evenVBand="0" w:oddHBand="0" w:evenHBand="0" w:firstRowFirstColumn="0" w:firstRowLastColumn="0" w:lastRowFirstColumn="0" w:lastRowLastColumn="0"/>
          <w:trHeight w:val="397"/>
          <w:tblHeader/>
        </w:trPr>
        <w:tc>
          <w:tcPr>
            <w:tcW w:w="2835" w:type="dxa"/>
          </w:tcPr>
          <w:p w14:paraId="46034A46" w14:textId="77777777" w:rsidR="00D969BA" w:rsidRPr="009368A4" w:rsidRDefault="00D969BA" w:rsidP="00D969BA">
            <w:pPr>
              <w:pStyle w:val="Tableheading"/>
              <w:spacing w:before="0" w:line="240" w:lineRule="auto"/>
            </w:pPr>
            <w:r w:rsidRPr="009368A4">
              <w:t>Perspective</w:t>
            </w:r>
          </w:p>
        </w:tc>
        <w:tc>
          <w:tcPr>
            <w:tcW w:w="6237" w:type="dxa"/>
          </w:tcPr>
          <w:p w14:paraId="07454663" w14:textId="77777777" w:rsidR="00D969BA" w:rsidRPr="009368A4" w:rsidRDefault="00D969BA" w:rsidP="00D969BA">
            <w:pPr>
              <w:pStyle w:val="Tabletext"/>
              <w:spacing w:before="0" w:after="0"/>
            </w:pPr>
            <w:r>
              <w:t>Health care perspective (Australia); Out of pocket costs for patients.</w:t>
            </w:r>
          </w:p>
        </w:tc>
      </w:tr>
      <w:tr w:rsidR="00D969BA" w:rsidRPr="00350F5D" w14:paraId="34F60C9B" w14:textId="77777777" w:rsidTr="00BA67A5">
        <w:trPr>
          <w:trHeight w:val="397"/>
        </w:trPr>
        <w:tc>
          <w:tcPr>
            <w:tcW w:w="2835" w:type="dxa"/>
          </w:tcPr>
          <w:p w14:paraId="1C13D7EB" w14:textId="77777777" w:rsidR="00D969BA" w:rsidRPr="00013641" w:rsidRDefault="00D969BA" w:rsidP="00D969BA">
            <w:pPr>
              <w:pStyle w:val="Tableheading"/>
              <w:spacing w:before="0" w:line="240" w:lineRule="auto"/>
            </w:pPr>
            <w:r w:rsidRPr="00013641">
              <w:t>Comparator</w:t>
            </w:r>
          </w:p>
        </w:tc>
        <w:tc>
          <w:tcPr>
            <w:tcW w:w="6237" w:type="dxa"/>
          </w:tcPr>
          <w:p w14:paraId="404F156F" w14:textId="77777777" w:rsidR="00D969BA" w:rsidRPr="00013641" w:rsidRDefault="00D969BA" w:rsidP="00D969BA">
            <w:pPr>
              <w:pStyle w:val="Tabletext"/>
              <w:spacing w:before="0" w:after="0"/>
            </w:pPr>
            <w:r w:rsidRPr="00013641">
              <w:t>TRUSGB/TPUSGB</w:t>
            </w:r>
          </w:p>
        </w:tc>
      </w:tr>
      <w:tr w:rsidR="00D969BA" w:rsidRPr="00350F5D" w14:paraId="4E81609C" w14:textId="77777777" w:rsidTr="00BA67A5">
        <w:trPr>
          <w:trHeight w:val="397"/>
        </w:trPr>
        <w:tc>
          <w:tcPr>
            <w:tcW w:w="2835" w:type="dxa"/>
          </w:tcPr>
          <w:p w14:paraId="5E4E6282" w14:textId="77777777" w:rsidR="00D969BA" w:rsidRPr="00013641" w:rsidRDefault="00D969BA" w:rsidP="00D969BA">
            <w:pPr>
              <w:pStyle w:val="Tableheading"/>
              <w:spacing w:before="0" w:line="240" w:lineRule="auto"/>
            </w:pPr>
            <w:r w:rsidRPr="00013641">
              <w:t>Type of economic evaluation</w:t>
            </w:r>
          </w:p>
        </w:tc>
        <w:tc>
          <w:tcPr>
            <w:tcW w:w="6237" w:type="dxa"/>
          </w:tcPr>
          <w:p w14:paraId="00260B05" w14:textId="77777777" w:rsidR="00D969BA" w:rsidRPr="00013641" w:rsidRDefault="00D969BA" w:rsidP="00D969BA">
            <w:pPr>
              <w:pStyle w:val="Tabletext"/>
              <w:spacing w:before="0" w:after="0"/>
            </w:pPr>
            <w:r w:rsidRPr="00013641">
              <w:t xml:space="preserve">Cost-utility analysis </w:t>
            </w:r>
          </w:p>
        </w:tc>
      </w:tr>
      <w:tr w:rsidR="00D969BA" w:rsidRPr="00350F5D" w14:paraId="10125174" w14:textId="77777777" w:rsidTr="00BA67A5">
        <w:trPr>
          <w:trHeight w:val="397"/>
        </w:trPr>
        <w:tc>
          <w:tcPr>
            <w:tcW w:w="2835" w:type="dxa"/>
          </w:tcPr>
          <w:p w14:paraId="54641770" w14:textId="77777777" w:rsidR="00D969BA" w:rsidRPr="00013641" w:rsidRDefault="00D969BA" w:rsidP="00D969BA">
            <w:pPr>
              <w:pStyle w:val="Tableheading"/>
              <w:spacing w:before="0" w:line="240" w:lineRule="auto"/>
            </w:pPr>
            <w:r w:rsidRPr="00013641">
              <w:t>Sources of evidence</w:t>
            </w:r>
          </w:p>
        </w:tc>
        <w:tc>
          <w:tcPr>
            <w:tcW w:w="6237" w:type="dxa"/>
          </w:tcPr>
          <w:p w14:paraId="1EE418F4" w14:textId="77777777" w:rsidR="00D969BA" w:rsidRPr="00013641" w:rsidRDefault="00D969BA" w:rsidP="00D969BA">
            <w:pPr>
              <w:pStyle w:val="Tabletext"/>
              <w:spacing w:before="0" w:after="0"/>
            </w:pPr>
            <w:r w:rsidRPr="00013641">
              <w:t xml:space="preserve">Systematic review and meta-analysis of clinical trials [Section B] </w:t>
            </w:r>
          </w:p>
          <w:p w14:paraId="2F9E0662" w14:textId="77777777" w:rsidR="00D969BA" w:rsidRPr="00013641" w:rsidRDefault="00D969BA" w:rsidP="00D969BA">
            <w:pPr>
              <w:pStyle w:val="Tabletext"/>
              <w:spacing w:before="0" w:after="0"/>
            </w:pPr>
            <w:r w:rsidRPr="00013641">
              <w:t>Targeted review for utility parameters [Section C]</w:t>
            </w:r>
          </w:p>
          <w:p w14:paraId="5C67AADA" w14:textId="77777777" w:rsidR="00D969BA" w:rsidRPr="00013641" w:rsidRDefault="00D969BA" w:rsidP="00D969BA">
            <w:pPr>
              <w:pStyle w:val="Tabletext"/>
              <w:spacing w:before="0" w:after="0"/>
            </w:pPr>
            <w:r w:rsidRPr="00013641">
              <w:t>Expert opinion was elicited where no data were available</w:t>
            </w:r>
          </w:p>
        </w:tc>
      </w:tr>
      <w:tr w:rsidR="00D969BA" w:rsidRPr="00350F5D" w14:paraId="30E232F6" w14:textId="77777777" w:rsidTr="00BA67A5">
        <w:trPr>
          <w:trHeight w:val="397"/>
        </w:trPr>
        <w:tc>
          <w:tcPr>
            <w:tcW w:w="2835" w:type="dxa"/>
            <w:hideMark/>
          </w:tcPr>
          <w:p w14:paraId="29CB83F7" w14:textId="77777777" w:rsidR="00D969BA" w:rsidRPr="00013641" w:rsidRDefault="00D969BA" w:rsidP="00D969BA">
            <w:pPr>
              <w:pStyle w:val="Tableheading"/>
              <w:spacing w:before="0" w:line="240" w:lineRule="auto"/>
            </w:pPr>
            <w:r w:rsidRPr="00013641">
              <w:t>Time horizon</w:t>
            </w:r>
          </w:p>
        </w:tc>
        <w:tc>
          <w:tcPr>
            <w:tcW w:w="6237" w:type="dxa"/>
            <w:hideMark/>
          </w:tcPr>
          <w:p w14:paraId="7F9276BD" w14:textId="77777777" w:rsidR="00D969BA" w:rsidRPr="00013641" w:rsidRDefault="00D969BA" w:rsidP="00D969BA">
            <w:pPr>
              <w:pStyle w:val="Tabletext"/>
              <w:spacing w:before="0" w:after="0"/>
            </w:pPr>
            <w:r w:rsidRPr="00013641">
              <w:t>Lifetime time horizon (25 years) in the model base-case</w:t>
            </w:r>
          </w:p>
        </w:tc>
      </w:tr>
      <w:tr w:rsidR="00D969BA" w:rsidRPr="00350F5D" w14:paraId="6D8B07A2" w14:textId="77777777" w:rsidTr="00BA67A5">
        <w:trPr>
          <w:trHeight w:val="397"/>
        </w:trPr>
        <w:tc>
          <w:tcPr>
            <w:tcW w:w="2835" w:type="dxa"/>
            <w:hideMark/>
          </w:tcPr>
          <w:p w14:paraId="70C9DC68" w14:textId="77777777" w:rsidR="00D969BA" w:rsidRPr="00013641" w:rsidRDefault="00D969BA" w:rsidP="00D969BA">
            <w:pPr>
              <w:pStyle w:val="Tableheading"/>
              <w:spacing w:before="0" w:line="240" w:lineRule="auto"/>
            </w:pPr>
            <w:r w:rsidRPr="00013641">
              <w:t>Outcomes</w:t>
            </w:r>
          </w:p>
        </w:tc>
        <w:tc>
          <w:tcPr>
            <w:tcW w:w="6237" w:type="dxa"/>
          </w:tcPr>
          <w:p w14:paraId="0B198835" w14:textId="77777777" w:rsidR="00D969BA" w:rsidRPr="00013641" w:rsidRDefault="00D969BA" w:rsidP="00D969BA">
            <w:pPr>
              <w:pStyle w:val="Tabletext"/>
              <w:spacing w:before="0" w:after="0"/>
            </w:pPr>
            <w:r w:rsidRPr="00013641">
              <w:t>QALYG</w:t>
            </w:r>
          </w:p>
        </w:tc>
      </w:tr>
      <w:tr w:rsidR="00D969BA" w:rsidRPr="00350F5D" w14:paraId="7DB80534" w14:textId="77777777" w:rsidTr="00BA67A5">
        <w:trPr>
          <w:trHeight w:val="397"/>
        </w:trPr>
        <w:tc>
          <w:tcPr>
            <w:tcW w:w="2835" w:type="dxa"/>
            <w:hideMark/>
          </w:tcPr>
          <w:p w14:paraId="09B0BC67" w14:textId="77777777" w:rsidR="00D969BA" w:rsidRPr="00013641" w:rsidRDefault="00D969BA" w:rsidP="00D969BA">
            <w:pPr>
              <w:pStyle w:val="Tableheading"/>
              <w:spacing w:before="0" w:line="240" w:lineRule="auto"/>
            </w:pPr>
            <w:r w:rsidRPr="00013641">
              <w:t>Methods used to generate results</w:t>
            </w:r>
          </w:p>
        </w:tc>
        <w:tc>
          <w:tcPr>
            <w:tcW w:w="6237" w:type="dxa"/>
          </w:tcPr>
          <w:p w14:paraId="5C387A48" w14:textId="77777777" w:rsidR="00D969BA" w:rsidRPr="00013641" w:rsidRDefault="00D969BA" w:rsidP="00D969BA">
            <w:pPr>
              <w:pStyle w:val="Tabletext"/>
              <w:spacing w:before="0" w:after="0"/>
            </w:pPr>
            <w:r w:rsidRPr="00013641">
              <w:t>Combined decision tree and Markov model using cohort expected value analysis</w:t>
            </w:r>
          </w:p>
        </w:tc>
      </w:tr>
      <w:tr w:rsidR="00D969BA" w:rsidRPr="00350F5D" w14:paraId="1214B779" w14:textId="77777777" w:rsidTr="00BA67A5">
        <w:trPr>
          <w:trHeight w:val="397"/>
        </w:trPr>
        <w:tc>
          <w:tcPr>
            <w:tcW w:w="2835" w:type="dxa"/>
          </w:tcPr>
          <w:p w14:paraId="17AC8F0F" w14:textId="77777777" w:rsidR="00D969BA" w:rsidRPr="00013641" w:rsidRDefault="00D969BA" w:rsidP="00D969BA">
            <w:pPr>
              <w:pStyle w:val="Tableheading"/>
              <w:spacing w:before="0" w:line="240" w:lineRule="auto"/>
            </w:pPr>
            <w:r w:rsidRPr="00013641">
              <w:t>Health states</w:t>
            </w:r>
          </w:p>
        </w:tc>
        <w:tc>
          <w:tcPr>
            <w:tcW w:w="6237" w:type="dxa"/>
          </w:tcPr>
          <w:p w14:paraId="51F8ECF8" w14:textId="77777777" w:rsidR="00D969BA" w:rsidRDefault="00D969BA" w:rsidP="00D969BA">
            <w:pPr>
              <w:pStyle w:val="Tabletext"/>
              <w:spacing w:before="0" w:after="0"/>
            </w:pPr>
            <w:r>
              <w:t>No prostate cancer</w:t>
            </w:r>
          </w:p>
          <w:p w14:paraId="55A7BA9D" w14:textId="77777777" w:rsidR="00D969BA" w:rsidRDefault="00D969BA" w:rsidP="00D969BA">
            <w:pPr>
              <w:pStyle w:val="Tabletext"/>
              <w:spacing w:before="0" w:after="0"/>
            </w:pPr>
            <w:r>
              <w:t>Insignificant prostate cancer, undiagnosed</w:t>
            </w:r>
          </w:p>
          <w:p w14:paraId="1EAEEEAE" w14:textId="77777777" w:rsidR="00D969BA" w:rsidRDefault="00D969BA" w:rsidP="00D969BA">
            <w:pPr>
              <w:pStyle w:val="Tabletext"/>
              <w:spacing w:before="0" w:after="0"/>
            </w:pPr>
            <w:r>
              <w:t>Insignificant prostate cancer, diagnosed: active surveillance</w:t>
            </w:r>
          </w:p>
          <w:p w14:paraId="3807544A" w14:textId="77777777" w:rsidR="00D969BA" w:rsidRDefault="00D969BA" w:rsidP="00D969BA">
            <w:pPr>
              <w:pStyle w:val="Tabletext"/>
              <w:spacing w:before="0" w:after="0"/>
            </w:pPr>
            <w:r>
              <w:t>Insignificant prostate cancer, diagnosed: treated</w:t>
            </w:r>
          </w:p>
          <w:p w14:paraId="0C3974E0" w14:textId="77777777" w:rsidR="00D969BA" w:rsidRDefault="00D969BA" w:rsidP="00D969BA">
            <w:pPr>
              <w:pStyle w:val="Tabletext"/>
              <w:spacing w:before="0" w:after="0"/>
            </w:pPr>
            <w:r>
              <w:t>Significant prostate cancer, undiagnosed</w:t>
            </w:r>
          </w:p>
          <w:p w14:paraId="13456EA0" w14:textId="77777777" w:rsidR="00D969BA" w:rsidRDefault="00D969BA" w:rsidP="00D969BA">
            <w:pPr>
              <w:pStyle w:val="Tabletext"/>
              <w:spacing w:before="0" w:after="0"/>
            </w:pPr>
            <w:r>
              <w:t>Significant prostate cancer, diagnosed</w:t>
            </w:r>
          </w:p>
          <w:p w14:paraId="69B19AE8" w14:textId="77777777" w:rsidR="00D969BA" w:rsidRDefault="00D969BA" w:rsidP="00D969BA">
            <w:pPr>
              <w:pStyle w:val="Tabletext"/>
              <w:spacing w:before="0" w:after="0"/>
            </w:pPr>
            <w:r>
              <w:t>Advanced prostate cancer</w:t>
            </w:r>
          </w:p>
          <w:p w14:paraId="5D90AB9E" w14:textId="77777777" w:rsidR="00D969BA" w:rsidRPr="00013641" w:rsidRDefault="00D969BA" w:rsidP="00D969BA">
            <w:pPr>
              <w:pStyle w:val="Tabletext"/>
              <w:spacing w:before="0" w:after="0"/>
            </w:pPr>
            <w:r>
              <w:t>Death</w:t>
            </w:r>
          </w:p>
        </w:tc>
      </w:tr>
      <w:tr w:rsidR="00D969BA" w:rsidRPr="00350F5D" w14:paraId="294B316E" w14:textId="77777777" w:rsidTr="00BA67A5">
        <w:trPr>
          <w:trHeight w:val="397"/>
        </w:trPr>
        <w:tc>
          <w:tcPr>
            <w:tcW w:w="2835" w:type="dxa"/>
            <w:hideMark/>
          </w:tcPr>
          <w:p w14:paraId="3FCF6616" w14:textId="77777777" w:rsidR="00D969BA" w:rsidRPr="00012A78" w:rsidRDefault="00D969BA" w:rsidP="00D969BA">
            <w:pPr>
              <w:pStyle w:val="Tableheading"/>
              <w:spacing w:before="0" w:line="240" w:lineRule="auto"/>
            </w:pPr>
            <w:r w:rsidRPr="00012A78">
              <w:t>Cycle length</w:t>
            </w:r>
          </w:p>
        </w:tc>
        <w:tc>
          <w:tcPr>
            <w:tcW w:w="6237" w:type="dxa"/>
          </w:tcPr>
          <w:p w14:paraId="128C3EA0" w14:textId="77777777" w:rsidR="00D969BA" w:rsidRPr="00012A78" w:rsidRDefault="00D969BA" w:rsidP="00D969BA">
            <w:pPr>
              <w:pStyle w:val="Tabletext"/>
              <w:spacing w:before="0" w:after="0"/>
            </w:pPr>
            <w:r w:rsidRPr="00012A78">
              <w:t>1 year</w:t>
            </w:r>
          </w:p>
        </w:tc>
      </w:tr>
      <w:tr w:rsidR="00D969BA" w:rsidRPr="00350F5D" w14:paraId="453E77BA" w14:textId="77777777" w:rsidTr="00BA67A5">
        <w:trPr>
          <w:trHeight w:val="397"/>
        </w:trPr>
        <w:tc>
          <w:tcPr>
            <w:tcW w:w="2835" w:type="dxa"/>
            <w:hideMark/>
          </w:tcPr>
          <w:p w14:paraId="44B4105E" w14:textId="77777777" w:rsidR="00D969BA" w:rsidRPr="00012A78" w:rsidRDefault="00D969BA" w:rsidP="00D969BA">
            <w:pPr>
              <w:pStyle w:val="Tableheading"/>
              <w:spacing w:before="0" w:line="240" w:lineRule="auto"/>
            </w:pPr>
            <w:r w:rsidRPr="00012A78">
              <w:t>Discount rate</w:t>
            </w:r>
          </w:p>
        </w:tc>
        <w:tc>
          <w:tcPr>
            <w:tcW w:w="6237" w:type="dxa"/>
          </w:tcPr>
          <w:p w14:paraId="4AE4C3F5" w14:textId="77777777" w:rsidR="00D969BA" w:rsidRPr="00012A78" w:rsidRDefault="00D969BA" w:rsidP="00D969BA">
            <w:pPr>
              <w:pStyle w:val="Tabletext"/>
              <w:spacing w:before="0" w:after="0"/>
            </w:pPr>
            <w:r w:rsidRPr="00012A78">
              <w:t>5% for costs and outcomes</w:t>
            </w:r>
          </w:p>
        </w:tc>
      </w:tr>
      <w:tr w:rsidR="00D969BA" w:rsidRPr="00350F5D" w14:paraId="63C06DCE" w14:textId="77777777" w:rsidTr="00BA67A5">
        <w:trPr>
          <w:trHeight w:val="397"/>
        </w:trPr>
        <w:tc>
          <w:tcPr>
            <w:tcW w:w="2835" w:type="dxa"/>
            <w:hideMark/>
          </w:tcPr>
          <w:p w14:paraId="0883FFBA" w14:textId="77777777" w:rsidR="00D969BA" w:rsidRPr="00012A78" w:rsidRDefault="00D969BA" w:rsidP="00D969BA">
            <w:pPr>
              <w:pStyle w:val="Tableheading"/>
              <w:spacing w:before="0" w:line="240" w:lineRule="auto"/>
            </w:pPr>
            <w:r w:rsidRPr="00012A78">
              <w:t>Software packages used</w:t>
            </w:r>
          </w:p>
        </w:tc>
        <w:tc>
          <w:tcPr>
            <w:tcW w:w="6237" w:type="dxa"/>
          </w:tcPr>
          <w:p w14:paraId="4AF63E4A" w14:textId="77777777" w:rsidR="00D969BA" w:rsidRPr="00012A78" w:rsidRDefault="00D969BA" w:rsidP="00D969BA">
            <w:pPr>
              <w:pStyle w:val="Tabletext"/>
              <w:spacing w:before="0" w:after="0"/>
            </w:pPr>
            <w:proofErr w:type="spellStart"/>
            <w:r w:rsidRPr="00012A78">
              <w:t>TreeAge</w:t>
            </w:r>
            <w:proofErr w:type="spellEnd"/>
            <w:r w:rsidRPr="00012A78">
              <w:t xml:space="preserve"> Pro 2015</w:t>
            </w:r>
          </w:p>
        </w:tc>
      </w:tr>
    </w:tbl>
    <w:p w14:paraId="2DE42024" w14:textId="206C7D63" w:rsidR="00D969BA" w:rsidRDefault="00D969BA" w:rsidP="00376F27">
      <w:pPr>
        <w:pStyle w:val="TableNotes"/>
        <w:spacing w:line="240" w:lineRule="auto"/>
      </w:pPr>
      <w:r w:rsidRPr="00012A78">
        <w:t>MBS = Medical Benefit Schedule, TRUSGB = Trans-rectal ultrasound guided biopsy, TPUSGB = Trans-</w:t>
      </w:r>
      <w:proofErr w:type="spellStart"/>
      <w:r w:rsidRPr="00012A78">
        <w:t>perineal</w:t>
      </w:r>
      <w:proofErr w:type="spellEnd"/>
      <w:r w:rsidRPr="00012A78">
        <w:t xml:space="preserve"> ultrasound guided biopsy; QALYG = Quality-adjusted life-years gained. </w:t>
      </w:r>
    </w:p>
    <w:p w14:paraId="77158DD2" w14:textId="5584DDA2" w:rsidR="00376F27" w:rsidRDefault="006D0218" w:rsidP="006D0218">
      <w:r>
        <w:t xml:space="preserve">The </w:t>
      </w:r>
      <w:proofErr w:type="spellStart"/>
      <w:r>
        <w:t>mpMRI</w:t>
      </w:r>
      <w:proofErr w:type="spellEnd"/>
      <w:r>
        <w:t xml:space="preserve"> can either be introduced in Population 1, or in Population 2, or in both. For each of these options, </w:t>
      </w:r>
      <w:r w:rsidR="0031528B">
        <w:t>T</w:t>
      </w:r>
      <w:r w:rsidR="0037377A">
        <w:t>able 6</w:t>
      </w:r>
      <w:r>
        <w:t xml:space="preserve"> provides t</w:t>
      </w:r>
      <w:r w:rsidRPr="00183E4D">
        <w:t>he overall costs</w:t>
      </w:r>
      <w:r>
        <w:t>,</w:t>
      </w:r>
      <w:r w:rsidRPr="00183E4D">
        <w:t xml:space="preserve"> outcomes, incremental cost</w:t>
      </w:r>
      <w:r>
        <w:t>s and incremental outcomes</w:t>
      </w:r>
      <w:r w:rsidRPr="00183E4D">
        <w:t xml:space="preserve"> </w:t>
      </w:r>
      <w:r>
        <w:t xml:space="preserve">for </w:t>
      </w:r>
      <w:proofErr w:type="spellStart"/>
      <w:r>
        <w:t>mpMRI</w:t>
      </w:r>
      <w:proofErr w:type="spellEnd"/>
      <w:r w:rsidRPr="00183E4D">
        <w:t xml:space="preserve"> </w:t>
      </w:r>
      <w:r>
        <w:t>and prostate biopsy</w:t>
      </w:r>
      <w:r w:rsidRPr="00183E4D">
        <w:t xml:space="preserve"> </w:t>
      </w:r>
      <w:r>
        <w:t>as per the model</w:t>
      </w:r>
      <w:r w:rsidRPr="00183E4D">
        <w:t>.</w:t>
      </w:r>
      <w:r>
        <w:t xml:space="preserve"> The table also provides the mean number of biopsies per patient in the model, for each of the strategies. A comparison of the findings from Gordon et al. (2016) and this assessment for Population 1 are also presented. </w:t>
      </w:r>
    </w:p>
    <w:p w14:paraId="6537856A" w14:textId="6F62DC08" w:rsidR="00376F27" w:rsidRDefault="005E1B36">
      <w:r>
        <w:rPr>
          <w:noProof/>
        </w:rPr>
        <w:lastRenderedPageBreak/>
        <w:drawing>
          <wp:inline distT="0" distB="0" distL="0" distR="0" wp14:anchorId="2736546C" wp14:editId="648A2E7F">
            <wp:extent cx="5821856" cy="8693624"/>
            <wp:effectExtent l="0" t="0" r="7620" b="0"/>
            <wp:docPr id="1" name="Picture 1" descr="Economic evaluation results shown for population 1 only, population 2 only and population 1 and 2. The ICER for population 1 was $40,363 saved per QALY lost with mpMRI, for population 2 was $232,269 saved per QALY lost with mpMRI and $43,684 saved per QALY lost with mpMRI in both populations. this was compared with the Gordon et al (2016) population where it dom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26926" cy="8701194"/>
                    </a:xfrm>
                    <a:prstGeom prst="rect">
                      <a:avLst/>
                    </a:prstGeom>
                  </pic:spPr>
                </pic:pic>
              </a:graphicData>
            </a:graphic>
          </wp:inline>
        </w:drawing>
      </w:r>
    </w:p>
    <w:p w14:paraId="7F74D27C" w14:textId="454BECB3" w:rsidR="008D179C" w:rsidRDefault="008D179C" w:rsidP="00376F27">
      <w:pPr>
        <w:spacing w:before="240" w:after="240"/>
      </w:pPr>
      <w:r>
        <w:lastRenderedPageBreak/>
        <w:t xml:space="preserve">The results in Table </w:t>
      </w:r>
      <w:r w:rsidR="002F3FCD">
        <w:t xml:space="preserve">7 </w:t>
      </w:r>
      <w:r>
        <w:t xml:space="preserve">show that the strategies with </w:t>
      </w:r>
      <w:proofErr w:type="spellStart"/>
      <w:r>
        <w:t>mpMRI</w:t>
      </w:r>
      <w:proofErr w:type="spellEnd"/>
      <w:r>
        <w:t xml:space="preserve"> are less expensive than the strategies without </w:t>
      </w:r>
      <w:proofErr w:type="spellStart"/>
      <w:r>
        <w:t>mpMRI</w:t>
      </w:r>
      <w:proofErr w:type="spellEnd"/>
      <w:r>
        <w:t>. This is</w:t>
      </w:r>
      <w:r w:rsidR="002F3FCD">
        <w:t xml:space="preserve"> predominantly</w:t>
      </w:r>
      <w:r>
        <w:t xml:space="preserve"> due to the avoided biopsies, which were assumed to cost substantially more ($2400) than an </w:t>
      </w:r>
      <w:proofErr w:type="spellStart"/>
      <w:r>
        <w:t>mpMRI</w:t>
      </w:r>
      <w:proofErr w:type="spellEnd"/>
      <w:r>
        <w:t xml:space="preserve"> ($600), </w:t>
      </w:r>
      <w:r w:rsidR="00F01167">
        <w:t xml:space="preserve">and associated services (e.g., hospitalisation, anaesthesia, pathology), </w:t>
      </w:r>
      <w:r>
        <w:t xml:space="preserve">based on data provided by the Department of Health and in the DAP. The introduction of </w:t>
      </w:r>
      <w:proofErr w:type="spellStart"/>
      <w:r>
        <w:t>mpMRI</w:t>
      </w:r>
      <w:proofErr w:type="spellEnd"/>
      <w:r>
        <w:t xml:space="preserve"> in Population 1 as well as Population 2 slightly reduces the overall number of QALYs. When </w:t>
      </w:r>
      <w:proofErr w:type="spellStart"/>
      <w:r>
        <w:t>mpMRI</w:t>
      </w:r>
      <w:proofErr w:type="spellEnd"/>
      <w:r>
        <w:t xml:space="preserve"> would be listed for use in both populations, this would save on average $</w:t>
      </w:r>
      <w:r w:rsidRPr="00A53097">
        <w:t>43,684</w:t>
      </w:r>
      <w:r>
        <w:t xml:space="preserve"> per QALY lost in the base case. </w:t>
      </w:r>
    </w:p>
    <w:p w14:paraId="3FBBCCBE" w14:textId="1E9D9D5E" w:rsidR="008D179C" w:rsidRPr="008D179C" w:rsidRDefault="008D179C" w:rsidP="008D179C">
      <w:pPr>
        <w:spacing w:after="240"/>
      </w:pPr>
      <w:r>
        <w:t xml:space="preserve">For each of the strategies, </w:t>
      </w:r>
      <w:proofErr w:type="spellStart"/>
      <w:r>
        <w:t>mpMRI</w:t>
      </w:r>
      <w:proofErr w:type="spellEnd"/>
      <w:r>
        <w:t xml:space="preserve"> reduces the average number of biopsies needed per patient. This reduction is largest where </w:t>
      </w:r>
      <w:proofErr w:type="spellStart"/>
      <w:r w:rsidRPr="00B75404">
        <w:t>mpMRI</w:t>
      </w:r>
      <w:proofErr w:type="spellEnd"/>
      <w:r w:rsidRPr="00B75404">
        <w:t xml:space="preserve"> is introduced </w:t>
      </w:r>
      <w:r>
        <w:t>for</w:t>
      </w:r>
      <w:r w:rsidRPr="00B75404">
        <w:t xml:space="preserve"> both </w:t>
      </w:r>
      <w:r>
        <w:t>Population 1</w:t>
      </w:r>
      <w:r w:rsidRPr="00B75404">
        <w:t xml:space="preserve"> and 2, resulting in an average of </w:t>
      </w:r>
      <w:r>
        <w:t>0.84</w:t>
      </w:r>
      <w:r w:rsidRPr="00B75404">
        <w:t xml:space="preserve"> biopsies avoided per patient. </w:t>
      </w:r>
      <w:r>
        <w:t xml:space="preserve">Key drivers of the economic model are </w:t>
      </w:r>
      <w:r w:rsidRPr="00F16714">
        <w:t xml:space="preserve">provided in </w:t>
      </w:r>
      <w:r w:rsidR="00F01167" w:rsidRPr="00AD085E">
        <w:fldChar w:fldCharType="begin"/>
      </w:r>
      <w:r w:rsidR="00F01167" w:rsidRPr="00F16714">
        <w:instrText xml:space="preserve"> REF _Ref457380671 \h </w:instrText>
      </w:r>
      <w:r w:rsidR="00F01167">
        <w:instrText xml:space="preserve"> \* MERGEFORMAT </w:instrText>
      </w:r>
      <w:r w:rsidR="00F01167" w:rsidRPr="00AD085E">
        <w:fldChar w:fldCharType="separate"/>
      </w:r>
      <w:r w:rsidR="00F01167">
        <w:t>Table 8</w:t>
      </w:r>
      <w:r w:rsidR="00F01167" w:rsidRPr="00AD085E">
        <w:fldChar w:fldCharType="end"/>
      </w:r>
      <w:r w:rsidRPr="00F16714">
        <w:t>.</w:t>
      </w:r>
      <w:bookmarkStart w:id="27" w:name="_Toc456879147"/>
    </w:p>
    <w:p w14:paraId="22AA6BDE" w14:textId="1FAAD3FA" w:rsidR="008D179C" w:rsidRPr="006C613F" w:rsidRDefault="008D179C" w:rsidP="008D179C">
      <w:pPr>
        <w:pStyle w:val="Caption"/>
        <w:spacing w:after="0" w:line="240" w:lineRule="auto"/>
        <w:ind w:left="1134" w:hanging="1134"/>
      </w:pPr>
      <w:bookmarkStart w:id="28" w:name="_Ref457380671"/>
      <w:bookmarkStart w:id="29" w:name="_Toc459987897"/>
      <w:bookmarkStart w:id="30" w:name="_Toc470196824"/>
      <w:bookmarkStart w:id="31" w:name="_Toc471382704"/>
      <w:r w:rsidRPr="00AD085E">
        <w:t xml:space="preserve">Table </w:t>
      </w:r>
      <w:bookmarkEnd w:id="28"/>
      <w:r w:rsidR="00F01167">
        <w:t>8</w:t>
      </w:r>
      <w:r w:rsidRPr="001507E9">
        <w:tab/>
      </w:r>
      <w:r w:rsidRPr="001507E9">
        <w:rPr>
          <w:rFonts w:cs="Arial"/>
          <w:snapToGrid w:val="0"/>
          <w:szCs w:val="16"/>
          <w:lang w:eastAsia="en-US"/>
        </w:rPr>
        <w:t>Key drivers of the economic model</w:t>
      </w:r>
      <w:bookmarkEnd w:id="27"/>
      <w:bookmarkEnd w:id="29"/>
      <w:bookmarkEnd w:id="30"/>
      <w:bookmarkEnd w:id="31"/>
    </w:p>
    <w:tbl>
      <w:tblPr>
        <w:tblStyle w:val="TableGrid2"/>
        <w:tblW w:w="9112" w:type="dxa"/>
        <w:tblLook w:val="04A0" w:firstRow="1" w:lastRow="0" w:firstColumn="1" w:lastColumn="0" w:noHBand="0" w:noVBand="1"/>
        <w:tblDescription w:val="Describes what factors and assumptions in the economic model affect the incremental cost-effectiveness to the greatest extent."/>
      </w:tblPr>
      <w:tblGrid>
        <w:gridCol w:w="2404"/>
        <w:gridCol w:w="4117"/>
        <w:gridCol w:w="2591"/>
      </w:tblGrid>
      <w:tr w:rsidR="008D179C" w:rsidRPr="00AD085E" w14:paraId="7914F53B" w14:textId="77777777" w:rsidTr="00BA67A5">
        <w:trPr>
          <w:cnfStyle w:val="100000000000" w:firstRow="1" w:lastRow="0" w:firstColumn="0" w:lastColumn="0" w:oddVBand="0" w:evenVBand="0" w:oddHBand="0" w:evenHBand="0" w:firstRowFirstColumn="0" w:firstRowLastColumn="0" w:lastRowFirstColumn="0" w:lastRowLastColumn="0"/>
          <w:trHeight w:val="332"/>
          <w:tblHeader/>
        </w:trPr>
        <w:tc>
          <w:tcPr>
            <w:tcW w:w="1319" w:type="pct"/>
          </w:tcPr>
          <w:p w14:paraId="7EF8EB20" w14:textId="77777777" w:rsidR="008D179C" w:rsidRPr="00705B2D" w:rsidRDefault="008D179C" w:rsidP="008D179C">
            <w:pPr>
              <w:pStyle w:val="Tableheading"/>
              <w:spacing w:before="0" w:line="240" w:lineRule="auto"/>
              <w:rPr>
                <w:snapToGrid w:val="0"/>
              </w:rPr>
            </w:pPr>
            <w:r w:rsidRPr="00705B2D">
              <w:rPr>
                <w:snapToGrid w:val="0"/>
              </w:rPr>
              <w:t>Description</w:t>
            </w:r>
          </w:p>
        </w:tc>
        <w:tc>
          <w:tcPr>
            <w:tcW w:w="2259" w:type="pct"/>
          </w:tcPr>
          <w:p w14:paraId="2E6135C5" w14:textId="77777777" w:rsidR="008D179C" w:rsidRPr="00705B2D" w:rsidRDefault="008D179C" w:rsidP="008D179C">
            <w:pPr>
              <w:pStyle w:val="Tableheading"/>
              <w:spacing w:before="0" w:line="240" w:lineRule="auto"/>
              <w:rPr>
                <w:snapToGrid w:val="0"/>
              </w:rPr>
            </w:pPr>
            <w:r w:rsidRPr="00705B2D">
              <w:rPr>
                <w:snapToGrid w:val="0"/>
              </w:rPr>
              <w:t>Method/Value</w:t>
            </w:r>
          </w:p>
        </w:tc>
        <w:tc>
          <w:tcPr>
            <w:tcW w:w="1422" w:type="pct"/>
          </w:tcPr>
          <w:p w14:paraId="625885E1" w14:textId="77777777" w:rsidR="008D179C" w:rsidRPr="00A70E72" w:rsidRDefault="008D179C" w:rsidP="008D179C">
            <w:pPr>
              <w:pStyle w:val="Tableheading"/>
              <w:spacing w:before="0" w:line="240" w:lineRule="auto"/>
              <w:rPr>
                <w:snapToGrid w:val="0"/>
              </w:rPr>
            </w:pPr>
            <w:r w:rsidRPr="00A70E72">
              <w:rPr>
                <w:snapToGrid w:val="0"/>
              </w:rPr>
              <w:t>Impact</w:t>
            </w:r>
          </w:p>
        </w:tc>
      </w:tr>
      <w:tr w:rsidR="008D179C" w:rsidRPr="00AD085E" w14:paraId="3EC2BA4C" w14:textId="77777777" w:rsidTr="00BA67A5">
        <w:trPr>
          <w:trHeight w:val="293"/>
        </w:trPr>
        <w:tc>
          <w:tcPr>
            <w:tcW w:w="1319" w:type="pct"/>
          </w:tcPr>
          <w:p w14:paraId="3410D93D" w14:textId="77777777" w:rsidR="008D179C" w:rsidRPr="00AD085E" w:rsidRDefault="008D179C" w:rsidP="008D179C">
            <w:pPr>
              <w:pStyle w:val="Tabletext"/>
              <w:spacing w:before="0" w:after="0"/>
              <w:rPr>
                <w:snapToGrid w:val="0"/>
              </w:rPr>
            </w:pPr>
            <w:r w:rsidRPr="00AD085E">
              <w:rPr>
                <w:snapToGrid w:val="0"/>
              </w:rPr>
              <w:t>Time horizon</w:t>
            </w:r>
          </w:p>
        </w:tc>
        <w:tc>
          <w:tcPr>
            <w:tcW w:w="2259" w:type="pct"/>
          </w:tcPr>
          <w:p w14:paraId="056AB5EE" w14:textId="77777777" w:rsidR="008D179C" w:rsidRPr="00AD085E" w:rsidRDefault="008D179C" w:rsidP="008D179C">
            <w:pPr>
              <w:pStyle w:val="Tabletext"/>
              <w:spacing w:before="0" w:after="0"/>
              <w:ind w:left="0"/>
              <w:rPr>
                <w:snapToGrid w:val="0"/>
              </w:rPr>
            </w:pPr>
            <w:r w:rsidRPr="00AD085E">
              <w:rPr>
                <w:snapToGrid w:val="0"/>
              </w:rPr>
              <w:t>5 and 10 years</w:t>
            </w:r>
            <w:r>
              <w:rPr>
                <w:snapToGrid w:val="0"/>
              </w:rPr>
              <w:t xml:space="preserve"> instead of 25</w:t>
            </w:r>
          </w:p>
        </w:tc>
        <w:tc>
          <w:tcPr>
            <w:tcW w:w="1422" w:type="pct"/>
          </w:tcPr>
          <w:p w14:paraId="69D22AD9" w14:textId="77777777" w:rsidR="008D179C" w:rsidRPr="00AD085E" w:rsidRDefault="008D179C" w:rsidP="008D179C">
            <w:pPr>
              <w:pStyle w:val="Tabletext"/>
              <w:spacing w:before="0" w:after="0"/>
              <w:rPr>
                <w:snapToGrid w:val="0"/>
              </w:rPr>
            </w:pPr>
            <w:r w:rsidRPr="00AD085E">
              <w:rPr>
                <w:snapToGrid w:val="0"/>
              </w:rPr>
              <w:t>High, favours intervention</w:t>
            </w:r>
          </w:p>
        </w:tc>
      </w:tr>
      <w:tr w:rsidR="008D179C" w:rsidRPr="00AD085E" w14:paraId="667544DE" w14:textId="77777777" w:rsidTr="00BA67A5">
        <w:trPr>
          <w:trHeight w:val="114"/>
        </w:trPr>
        <w:tc>
          <w:tcPr>
            <w:tcW w:w="1319" w:type="pct"/>
          </w:tcPr>
          <w:p w14:paraId="4F71CBED" w14:textId="77777777" w:rsidR="008D179C" w:rsidRPr="001D17BB" w:rsidRDefault="008D179C" w:rsidP="008D179C">
            <w:pPr>
              <w:pStyle w:val="Tabletext"/>
              <w:spacing w:before="0" w:after="0"/>
              <w:rPr>
                <w:snapToGrid w:val="0"/>
              </w:rPr>
            </w:pPr>
            <w:r w:rsidRPr="001D17BB">
              <w:rPr>
                <w:snapToGrid w:val="0"/>
              </w:rPr>
              <w:t xml:space="preserve">Cost </w:t>
            </w:r>
            <w:r>
              <w:rPr>
                <w:snapToGrid w:val="0"/>
              </w:rPr>
              <w:t>and disutility associated with prostate biopsies</w:t>
            </w:r>
          </w:p>
        </w:tc>
        <w:tc>
          <w:tcPr>
            <w:tcW w:w="2259" w:type="pct"/>
          </w:tcPr>
          <w:p w14:paraId="5BA92687" w14:textId="77777777" w:rsidR="008D179C" w:rsidRDefault="008D179C" w:rsidP="008D179C">
            <w:pPr>
              <w:pStyle w:val="Tabletext"/>
              <w:spacing w:before="0" w:after="0"/>
              <w:ind w:left="0"/>
              <w:rPr>
                <w:snapToGrid w:val="0"/>
              </w:rPr>
            </w:pPr>
            <w:r>
              <w:rPr>
                <w:snapToGrid w:val="0"/>
              </w:rPr>
              <w:t xml:space="preserve">$600 instead of </w:t>
            </w:r>
            <w:r w:rsidRPr="001D17BB">
              <w:rPr>
                <w:snapToGrid w:val="0"/>
              </w:rPr>
              <w:t>$2,400.00</w:t>
            </w:r>
          </w:p>
          <w:p w14:paraId="0337E44F" w14:textId="77777777" w:rsidR="008D179C" w:rsidRPr="001D17BB" w:rsidRDefault="008D179C" w:rsidP="008D179C">
            <w:pPr>
              <w:pStyle w:val="Tabletext"/>
              <w:spacing w:before="0" w:after="0"/>
              <w:ind w:left="0"/>
              <w:rPr>
                <w:snapToGrid w:val="0"/>
              </w:rPr>
            </w:pPr>
            <w:r>
              <w:rPr>
                <w:snapToGrid w:val="0"/>
              </w:rPr>
              <w:t>-0.05 instead of -0.035</w:t>
            </w:r>
          </w:p>
        </w:tc>
        <w:tc>
          <w:tcPr>
            <w:tcW w:w="1422" w:type="pct"/>
          </w:tcPr>
          <w:p w14:paraId="123E6752" w14:textId="77777777" w:rsidR="008D179C" w:rsidRDefault="008D179C" w:rsidP="008D179C">
            <w:pPr>
              <w:pStyle w:val="Tabletext"/>
              <w:spacing w:before="0" w:after="0"/>
              <w:rPr>
                <w:snapToGrid w:val="0"/>
              </w:rPr>
            </w:pPr>
            <w:r>
              <w:rPr>
                <w:snapToGrid w:val="0"/>
              </w:rPr>
              <w:t>Moderate</w:t>
            </w:r>
            <w:r w:rsidRPr="001D17BB">
              <w:rPr>
                <w:snapToGrid w:val="0"/>
              </w:rPr>
              <w:t>, favours intervention</w:t>
            </w:r>
          </w:p>
          <w:p w14:paraId="7F0E663E" w14:textId="77777777" w:rsidR="008D179C" w:rsidRPr="001D17BB" w:rsidRDefault="008D179C" w:rsidP="008D179C">
            <w:pPr>
              <w:pStyle w:val="Tabletext"/>
              <w:spacing w:before="0" w:after="0"/>
              <w:rPr>
                <w:snapToGrid w:val="0"/>
              </w:rPr>
            </w:pPr>
            <w:r>
              <w:rPr>
                <w:snapToGrid w:val="0"/>
              </w:rPr>
              <w:t>Moderate, favours comparator</w:t>
            </w:r>
          </w:p>
        </w:tc>
      </w:tr>
      <w:tr w:rsidR="008D179C" w:rsidRPr="00AD085E" w14:paraId="0B2E442D" w14:textId="77777777" w:rsidTr="00BA67A5">
        <w:trPr>
          <w:trHeight w:val="503"/>
        </w:trPr>
        <w:tc>
          <w:tcPr>
            <w:tcW w:w="1319" w:type="pct"/>
          </w:tcPr>
          <w:p w14:paraId="3BDFEBAA" w14:textId="77777777" w:rsidR="008D179C" w:rsidRPr="00AD085E" w:rsidRDefault="008D179C" w:rsidP="008D179C">
            <w:pPr>
              <w:pStyle w:val="Tabletext"/>
              <w:spacing w:before="0" w:after="0"/>
              <w:rPr>
                <w:snapToGrid w:val="0"/>
              </w:rPr>
            </w:pPr>
            <w:r>
              <w:rPr>
                <w:snapToGrid w:val="0"/>
              </w:rPr>
              <w:t>Probability of progression from insignificant to significant prostate cancer</w:t>
            </w:r>
          </w:p>
        </w:tc>
        <w:tc>
          <w:tcPr>
            <w:tcW w:w="2259" w:type="pct"/>
          </w:tcPr>
          <w:p w14:paraId="1860ABA2" w14:textId="77777777" w:rsidR="008D179C" w:rsidRPr="00AD085E" w:rsidRDefault="008D179C" w:rsidP="008D179C">
            <w:pPr>
              <w:pStyle w:val="Tabletext"/>
              <w:spacing w:before="0" w:after="0"/>
              <w:ind w:left="0"/>
              <w:rPr>
                <w:snapToGrid w:val="0"/>
              </w:rPr>
            </w:pPr>
            <w:r>
              <w:rPr>
                <w:snapToGrid w:val="0"/>
              </w:rPr>
              <w:t>0.05 instead of 0.088 per year</w:t>
            </w:r>
          </w:p>
        </w:tc>
        <w:tc>
          <w:tcPr>
            <w:tcW w:w="1422" w:type="pct"/>
          </w:tcPr>
          <w:p w14:paraId="4FA51548" w14:textId="77777777" w:rsidR="008D179C" w:rsidRPr="00AD085E" w:rsidRDefault="008D179C" w:rsidP="008D179C">
            <w:pPr>
              <w:pStyle w:val="Tabletext"/>
              <w:spacing w:before="0" w:after="0"/>
              <w:rPr>
                <w:snapToGrid w:val="0"/>
              </w:rPr>
            </w:pPr>
            <w:r>
              <w:rPr>
                <w:snapToGrid w:val="0"/>
              </w:rPr>
              <w:t>Moderate, favours comparator</w:t>
            </w:r>
          </w:p>
        </w:tc>
      </w:tr>
    </w:tbl>
    <w:p w14:paraId="08FA1DBC" w14:textId="77777777" w:rsidR="008D179C" w:rsidRPr="008D179C" w:rsidRDefault="008D179C" w:rsidP="006D0CA2">
      <w:pPr>
        <w:pStyle w:val="TableNotes"/>
        <w:spacing w:after="120" w:line="240" w:lineRule="auto"/>
        <w:rPr>
          <w:b/>
        </w:rPr>
      </w:pPr>
      <w:r w:rsidRPr="00AD085E">
        <w:t xml:space="preserve">MRIGB = magnetic resonance imaging guided biopsy; </w:t>
      </w:r>
      <w:proofErr w:type="spellStart"/>
      <w:r w:rsidRPr="00AD085E">
        <w:t>mpMRI</w:t>
      </w:r>
      <w:proofErr w:type="spellEnd"/>
      <w:r w:rsidRPr="00AD085E">
        <w:t xml:space="preserve"> = </w:t>
      </w:r>
      <w:proofErr w:type="spellStart"/>
      <w:r w:rsidRPr="00AD085E">
        <w:t>multiparametric</w:t>
      </w:r>
      <w:proofErr w:type="spellEnd"/>
      <w:r w:rsidRPr="00AD085E">
        <w:t xml:space="preserve"> MRI; PI-RADS = Prostate Imaging Reporting and Data System.</w:t>
      </w:r>
    </w:p>
    <w:p w14:paraId="61E15A59" w14:textId="685B61C1" w:rsidR="008D179C" w:rsidRPr="00183E4D" w:rsidRDefault="008D179C" w:rsidP="00376F27">
      <w:r>
        <w:t xml:space="preserve">Similar to the current assessment, Gordon et al. (2016) found a reduction in the number of QALYs associated with using </w:t>
      </w:r>
      <w:proofErr w:type="spellStart"/>
      <w:r>
        <w:t>mpMRI</w:t>
      </w:r>
      <w:proofErr w:type="spellEnd"/>
      <w:r>
        <w:t xml:space="preserve"> in Population 1. Gordon et al. (2016) did not evaluate the use of </w:t>
      </w:r>
      <w:proofErr w:type="spellStart"/>
      <w:r>
        <w:t>mpMRI</w:t>
      </w:r>
      <w:proofErr w:type="spellEnd"/>
      <w:r>
        <w:t xml:space="preserve"> in population 2. Contrary to the current assessment, Gordon et al. (2016) found that the use of </w:t>
      </w:r>
      <w:proofErr w:type="spellStart"/>
      <w:r>
        <w:t>mpMRI</w:t>
      </w:r>
      <w:proofErr w:type="spellEnd"/>
      <w:r>
        <w:t xml:space="preserve"> was associated with higher costs than prostate biopsy. Gordon et al. (2016) assumed an average cost of $600 instead of $2400 per TRUS-guided biopsy. The modelled mean numbers of biopsies avoided in Population 1 are higher (0.48) in the current assessment compared to in Gordon et al. 2016 (0.34).</w:t>
      </w:r>
    </w:p>
    <w:p w14:paraId="1D53FAE6" w14:textId="77777777" w:rsidR="00BC1364" w:rsidRPr="00F715D1" w:rsidRDefault="00BC1364" w:rsidP="008E4C81">
      <w:pPr>
        <w:pStyle w:val="Heading1"/>
        <w:ind w:hanging="502"/>
      </w:pPr>
      <w:r w:rsidRPr="00F715D1">
        <w:t>Financial/budgetary impacts</w:t>
      </w:r>
    </w:p>
    <w:p w14:paraId="39CD18FB" w14:textId="77777777" w:rsidR="008D179C" w:rsidRDefault="008D179C" w:rsidP="00FD7B90">
      <w:r w:rsidRPr="0041076A">
        <w:t xml:space="preserve">A combination of the market share approach (in Population 1 and 2) and the epidemiological approach (in Population 2) were used to estimate the financial implications of the introduction of </w:t>
      </w:r>
      <w:proofErr w:type="spellStart"/>
      <w:r w:rsidRPr="0041076A">
        <w:t>mpMRI</w:t>
      </w:r>
      <w:proofErr w:type="spellEnd"/>
      <w:r w:rsidRPr="00A70E72">
        <w:t xml:space="preserve">. The additional costs of </w:t>
      </w:r>
      <w:proofErr w:type="spellStart"/>
      <w:r w:rsidRPr="00A70E72">
        <w:t>mpMRI</w:t>
      </w:r>
      <w:proofErr w:type="spellEnd"/>
      <w:r w:rsidRPr="00A70E72">
        <w:t xml:space="preserve"> are </w:t>
      </w:r>
      <w:r w:rsidRPr="0041076A">
        <w:t>offset by a reduction in prostate biopsies.</w:t>
      </w:r>
    </w:p>
    <w:p w14:paraId="2C266960" w14:textId="14C20CB2" w:rsidR="00FD7B90" w:rsidRPr="00376F27" w:rsidRDefault="00FD7B90" w:rsidP="00376F27">
      <w:pPr>
        <w:spacing w:before="240"/>
      </w:pPr>
      <w:r w:rsidRPr="007F599F">
        <w:t xml:space="preserve">The financial implications to the MBS resulting from the proposed listing of </w:t>
      </w:r>
      <w:proofErr w:type="spellStart"/>
      <w:r w:rsidRPr="007F599F">
        <w:t>mpMRI</w:t>
      </w:r>
      <w:proofErr w:type="spellEnd"/>
      <w:r w:rsidRPr="007F599F">
        <w:t xml:space="preserve"> for prostate cancer are summarised in </w:t>
      </w:r>
      <w:r w:rsidR="00F0365B">
        <w:t>T</w:t>
      </w:r>
      <w:r w:rsidR="0037377A">
        <w:t xml:space="preserve">able </w:t>
      </w:r>
      <w:r w:rsidR="00F01167">
        <w:t>9</w:t>
      </w:r>
      <w:r w:rsidRPr="007F599F">
        <w:t xml:space="preserve">. </w:t>
      </w:r>
    </w:p>
    <w:p w14:paraId="58A54863" w14:textId="56C77E88" w:rsidR="00FD7B90" w:rsidRPr="007F599F" w:rsidRDefault="00FD7B90" w:rsidP="00ED6764">
      <w:pPr>
        <w:pStyle w:val="Caption"/>
        <w:spacing w:before="240" w:after="0" w:line="240" w:lineRule="auto"/>
        <w:jc w:val="left"/>
        <w:rPr>
          <w:rFonts w:ascii="Times New Roman" w:hAnsi="Times New Roman" w:cs="Times New Roman"/>
        </w:rPr>
      </w:pPr>
      <w:bookmarkStart w:id="32" w:name="_Ref457392153"/>
      <w:bookmarkStart w:id="33" w:name="_Toc459987898"/>
      <w:bookmarkStart w:id="34" w:name="_Toc470196825"/>
      <w:bookmarkStart w:id="35" w:name="_Toc471382705"/>
      <w:r w:rsidRPr="007F599F">
        <w:rPr>
          <w:rFonts w:ascii="Times New Roman" w:hAnsi="Times New Roman" w:cs="Times New Roman"/>
        </w:rPr>
        <w:lastRenderedPageBreak/>
        <w:t>Table</w:t>
      </w:r>
      <w:bookmarkEnd w:id="32"/>
      <w:r w:rsidR="0037377A">
        <w:rPr>
          <w:rFonts w:ascii="Times New Roman" w:hAnsi="Times New Roman" w:cs="Times New Roman"/>
        </w:rPr>
        <w:t xml:space="preserve"> </w:t>
      </w:r>
      <w:r w:rsidR="00F01167">
        <w:rPr>
          <w:rFonts w:ascii="Times New Roman" w:hAnsi="Times New Roman" w:cs="Times New Roman"/>
        </w:rPr>
        <w:t>9</w:t>
      </w:r>
      <w:r w:rsidRPr="007F599F">
        <w:rPr>
          <w:rFonts w:ascii="Times New Roman" w:hAnsi="Times New Roman" w:cs="Times New Roman"/>
        </w:rPr>
        <w:tab/>
        <w:t xml:space="preserve">Total costs to the MBS and other health care funders associated with </w:t>
      </w:r>
      <w:proofErr w:type="spellStart"/>
      <w:r w:rsidRPr="007F599F">
        <w:rPr>
          <w:rFonts w:ascii="Times New Roman" w:hAnsi="Times New Roman" w:cs="Times New Roman"/>
        </w:rPr>
        <w:t>mpMRI</w:t>
      </w:r>
      <w:proofErr w:type="spellEnd"/>
      <w:r w:rsidRPr="007F599F">
        <w:rPr>
          <w:rFonts w:ascii="Times New Roman" w:hAnsi="Times New Roman" w:cs="Times New Roman"/>
        </w:rPr>
        <w:t xml:space="preserve"> for prostate cancer.</w:t>
      </w:r>
      <w:bookmarkEnd w:id="33"/>
      <w:bookmarkEnd w:id="34"/>
      <w:bookmarkEnd w:id="35"/>
    </w:p>
    <w:tbl>
      <w:tblPr>
        <w:tblStyle w:val="TableGrid2"/>
        <w:tblW w:w="9606" w:type="dxa"/>
        <w:tblLayout w:type="fixed"/>
        <w:tblLook w:val="04A0" w:firstRow="1" w:lastRow="0" w:firstColumn="1" w:lastColumn="0" w:noHBand="0" w:noVBand="1"/>
        <w:tblDescription w:val="Total costs to the MBS and other health care funders associated with mpMRI for prostate cancer"/>
      </w:tblPr>
      <w:tblGrid>
        <w:gridCol w:w="1702"/>
        <w:gridCol w:w="1276"/>
        <w:gridCol w:w="1276"/>
        <w:gridCol w:w="1278"/>
        <w:gridCol w:w="1379"/>
        <w:gridCol w:w="1312"/>
        <w:gridCol w:w="1383"/>
      </w:tblGrid>
      <w:tr w:rsidR="00BA67A5" w:rsidRPr="00ED6764" w14:paraId="03AD5B62" w14:textId="77777777" w:rsidTr="00FA160B">
        <w:trPr>
          <w:cnfStyle w:val="100000000000" w:firstRow="1" w:lastRow="0" w:firstColumn="0" w:lastColumn="0" w:oddVBand="0" w:evenVBand="0" w:oddHBand="0" w:evenHBand="0" w:firstRowFirstColumn="0" w:firstRowLastColumn="0" w:lastRowFirstColumn="0" w:lastRowLastColumn="0"/>
          <w:trHeight w:val="279"/>
          <w:tblHeader/>
        </w:trPr>
        <w:tc>
          <w:tcPr>
            <w:tcW w:w="886" w:type="pct"/>
          </w:tcPr>
          <w:p w14:paraId="57D6E6DD" w14:textId="77777777" w:rsidR="00FD7B90" w:rsidRPr="00ED6764" w:rsidRDefault="00FD7B90" w:rsidP="008D179C">
            <w:pPr>
              <w:pStyle w:val="Tableheading"/>
              <w:keepNext/>
              <w:spacing w:before="0" w:line="240" w:lineRule="auto"/>
              <w:rPr>
                <w:rFonts w:cs="Times New Roman"/>
                <w:snapToGrid w:val="0"/>
                <w:szCs w:val="20"/>
              </w:rPr>
            </w:pPr>
          </w:p>
        </w:tc>
        <w:tc>
          <w:tcPr>
            <w:tcW w:w="1993" w:type="pct"/>
            <w:gridSpan w:val="3"/>
          </w:tcPr>
          <w:p w14:paraId="6A639183"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Yearly costs (Year 1 to Year 5)</w:t>
            </w:r>
          </w:p>
        </w:tc>
        <w:tc>
          <w:tcPr>
            <w:tcW w:w="2121" w:type="pct"/>
            <w:gridSpan w:val="3"/>
          </w:tcPr>
          <w:p w14:paraId="08D237A5"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Over 5 years (Total, Year 1-5)</w:t>
            </w:r>
          </w:p>
        </w:tc>
      </w:tr>
      <w:tr w:rsidR="00ED6764" w:rsidRPr="00ED6764" w14:paraId="414286E5" w14:textId="77777777" w:rsidTr="00FA160B">
        <w:trPr>
          <w:trHeight w:val="228"/>
        </w:trPr>
        <w:tc>
          <w:tcPr>
            <w:tcW w:w="886" w:type="pct"/>
          </w:tcPr>
          <w:p w14:paraId="2C97790C" w14:textId="695EAFE7" w:rsidR="00FD7B90" w:rsidRPr="00ED6764" w:rsidRDefault="00ED6764" w:rsidP="008D179C">
            <w:pPr>
              <w:pStyle w:val="Tableheading"/>
              <w:keepNext/>
              <w:spacing w:before="0" w:line="240" w:lineRule="auto"/>
              <w:rPr>
                <w:rFonts w:cs="Times New Roman"/>
                <w:snapToGrid w:val="0"/>
                <w:szCs w:val="20"/>
              </w:rPr>
            </w:pPr>
            <w:r w:rsidRPr="00ED6764">
              <w:rPr>
                <w:rFonts w:cs="Times New Roman"/>
                <w:iCs/>
                <w:szCs w:val="20"/>
              </w:rPr>
              <w:t xml:space="preserve">Costs of listing </w:t>
            </w:r>
            <w:proofErr w:type="spellStart"/>
            <w:r w:rsidRPr="00ED6764">
              <w:rPr>
                <w:rFonts w:cs="Times New Roman"/>
                <w:iCs/>
                <w:szCs w:val="20"/>
              </w:rPr>
              <w:t>mpMRI</w:t>
            </w:r>
            <w:proofErr w:type="spellEnd"/>
          </w:p>
        </w:tc>
        <w:tc>
          <w:tcPr>
            <w:tcW w:w="664" w:type="pct"/>
          </w:tcPr>
          <w:p w14:paraId="4A0B8EE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1</w:t>
            </w:r>
          </w:p>
        </w:tc>
        <w:tc>
          <w:tcPr>
            <w:tcW w:w="664" w:type="pct"/>
          </w:tcPr>
          <w:p w14:paraId="38765A6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2</w:t>
            </w:r>
          </w:p>
        </w:tc>
        <w:tc>
          <w:tcPr>
            <w:tcW w:w="665" w:type="pct"/>
          </w:tcPr>
          <w:p w14:paraId="2F7738D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 xml:space="preserve">Total </w:t>
            </w:r>
          </w:p>
        </w:tc>
        <w:tc>
          <w:tcPr>
            <w:tcW w:w="718" w:type="pct"/>
          </w:tcPr>
          <w:p w14:paraId="0BCCBA59"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1</w:t>
            </w:r>
          </w:p>
        </w:tc>
        <w:tc>
          <w:tcPr>
            <w:tcW w:w="683" w:type="pct"/>
          </w:tcPr>
          <w:p w14:paraId="48158FD2"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Population 2</w:t>
            </w:r>
          </w:p>
        </w:tc>
        <w:tc>
          <w:tcPr>
            <w:tcW w:w="719" w:type="pct"/>
          </w:tcPr>
          <w:p w14:paraId="7E3B3A8F" w14:textId="77777777" w:rsidR="00FD7B90" w:rsidRPr="00ED6764" w:rsidRDefault="00FD7B90" w:rsidP="008D179C">
            <w:pPr>
              <w:pStyle w:val="Tableheading"/>
              <w:keepNext/>
              <w:spacing w:before="0" w:line="240" w:lineRule="auto"/>
              <w:rPr>
                <w:rFonts w:cs="Times New Roman"/>
                <w:snapToGrid w:val="0"/>
                <w:szCs w:val="20"/>
              </w:rPr>
            </w:pPr>
            <w:r w:rsidRPr="00ED6764">
              <w:rPr>
                <w:rFonts w:cs="Times New Roman"/>
                <w:snapToGrid w:val="0"/>
                <w:szCs w:val="20"/>
              </w:rPr>
              <w:t xml:space="preserve">Total </w:t>
            </w:r>
          </w:p>
        </w:tc>
      </w:tr>
      <w:tr w:rsidR="00ED6764" w:rsidRPr="00ED6764" w14:paraId="24A5B69B" w14:textId="77777777" w:rsidTr="00FA160B">
        <w:trPr>
          <w:trHeight w:val="362"/>
        </w:trPr>
        <w:tc>
          <w:tcPr>
            <w:tcW w:w="886" w:type="pct"/>
          </w:tcPr>
          <w:p w14:paraId="1BD7D081" w14:textId="77777777" w:rsidR="00FD7B90" w:rsidRPr="00ED6764" w:rsidRDefault="00FD7B90" w:rsidP="008D179C">
            <w:pPr>
              <w:pStyle w:val="Tabletext"/>
              <w:keepNext/>
              <w:spacing w:before="0" w:after="0"/>
              <w:rPr>
                <w:snapToGrid w:val="0"/>
                <w:highlight w:val="yellow"/>
              </w:rPr>
            </w:pPr>
            <w:r w:rsidRPr="00ED6764">
              <w:t>Number of services (</w:t>
            </w:r>
            <w:proofErr w:type="spellStart"/>
            <w:r w:rsidRPr="00ED6764">
              <w:t>mpMRI</w:t>
            </w:r>
            <w:proofErr w:type="spellEnd"/>
            <w:r w:rsidRPr="00ED6764">
              <w:t>)</w:t>
            </w:r>
          </w:p>
        </w:tc>
        <w:tc>
          <w:tcPr>
            <w:tcW w:w="664" w:type="pct"/>
          </w:tcPr>
          <w:p w14:paraId="4166A6F3" w14:textId="77777777" w:rsidR="00FD7B90" w:rsidRPr="00ED6764" w:rsidRDefault="00FD7B90" w:rsidP="008D179C">
            <w:pPr>
              <w:pStyle w:val="Tabletext"/>
              <w:keepNext/>
              <w:spacing w:before="0" w:after="0"/>
              <w:rPr>
                <w:snapToGrid w:val="0"/>
              </w:rPr>
            </w:pPr>
            <w:r w:rsidRPr="00ED6764">
              <w:rPr>
                <w:snapToGrid w:val="0"/>
              </w:rPr>
              <w:t>13,276</w:t>
            </w:r>
          </w:p>
        </w:tc>
        <w:tc>
          <w:tcPr>
            <w:tcW w:w="664" w:type="pct"/>
          </w:tcPr>
          <w:p w14:paraId="1A1F9A10" w14:textId="77777777" w:rsidR="00FD7B90" w:rsidRPr="00ED6764" w:rsidRDefault="00FD7B90" w:rsidP="008D179C">
            <w:pPr>
              <w:pStyle w:val="Tabletext"/>
              <w:keepNext/>
              <w:spacing w:before="0" w:after="0"/>
              <w:rPr>
                <w:snapToGrid w:val="0"/>
              </w:rPr>
            </w:pPr>
            <w:r w:rsidRPr="00ED6764">
              <w:rPr>
                <w:snapToGrid w:val="0"/>
              </w:rPr>
              <w:t>6,873</w:t>
            </w:r>
          </w:p>
        </w:tc>
        <w:tc>
          <w:tcPr>
            <w:tcW w:w="665" w:type="pct"/>
          </w:tcPr>
          <w:p w14:paraId="49660CDD" w14:textId="77777777" w:rsidR="00FD7B90" w:rsidRPr="00ED6764" w:rsidRDefault="00FD7B90" w:rsidP="008D179C">
            <w:pPr>
              <w:pStyle w:val="Tabletext"/>
              <w:keepNext/>
              <w:spacing w:before="0" w:after="0"/>
              <w:rPr>
                <w:snapToGrid w:val="0"/>
              </w:rPr>
            </w:pPr>
            <w:r w:rsidRPr="00ED6764">
              <w:rPr>
                <w:snapToGrid w:val="0"/>
              </w:rPr>
              <w:t>20,149</w:t>
            </w:r>
          </w:p>
        </w:tc>
        <w:tc>
          <w:tcPr>
            <w:tcW w:w="718" w:type="pct"/>
          </w:tcPr>
          <w:p w14:paraId="6B0844D6" w14:textId="77777777" w:rsidR="00FD7B90" w:rsidRPr="00ED6764" w:rsidRDefault="00FD7B90" w:rsidP="008D179C">
            <w:pPr>
              <w:pStyle w:val="Tabletext"/>
              <w:keepNext/>
              <w:spacing w:before="0" w:after="0"/>
              <w:rPr>
                <w:snapToGrid w:val="0"/>
              </w:rPr>
            </w:pPr>
            <w:r w:rsidRPr="00ED6764">
              <w:rPr>
                <w:snapToGrid w:val="0"/>
              </w:rPr>
              <w:t>66,380</w:t>
            </w:r>
          </w:p>
        </w:tc>
        <w:tc>
          <w:tcPr>
            <w:tcW w:w="683" w:type="pct"/>
          </w:tcPr>
          <w:p w14:paraId="3745BBAE" w14:textId="77777777" w:rsidR="00FD7B90" w:rsidRPr="00ED6764" w:rsidRDefault="00FD7B90" w:rsidP="008D179C">
            <w:pPr>
              <w:pStyle w:val="Tabletext"/>
              <w:keepNext/>
              <w:spacing w:before="0" w:after="0"/>
              <w:rPr>
                <w:snapToGrid w:val="0"/>
              </w:rPr>
            </w:pPr>
            <w:r w:rsidRPr="00ED6764">
              <w:rPr>
                <w:snapToGrid w:val="0"/>
              </w:rPr>
              <w:t>34,365</w:t>
            </w:r>
          </w:p>
        </w:tc>
        <w:tc>
          <w:tcPr>
            <w:tcW w:w="719" w:type="pct"/>
          </w:tcPr>
          <w:p w14:paraId="093DD875" w14:textId="77777777" w:rsidR="00FD7B90" w:rsidRPr="00ED6764" w:rsidRDefault="00FD7B90" w:rsidP="008D179C">
            <w:pPr>
              <w:pStyle w:val="Tabletext"/>
              <w:keepNext/>
              <w:spacing w:before="0" w:after="0"/>
              <w:rPr>
                <w:snapToGrid w:val="0"/>
              </w:rPr>
            </w:pPr>
            <w:r w:rsidRPr="00ED6764">
              <w:rPr>
                <w:snapToGrid w:val="0"/>
              </w:rPr>
              <w:t>100,745</w:t>
            </w:r>
          </w:p>
        </w:tc>
      </w:tr>
      <w:tr w:rsidR="00ED6764" w:rsidRPr="00ED6764" w14:paraId="16132835" w14:textId="77777777" w:rsidTr="00FA160B">
        <w:trPr>
          <w:trHeight w:val="313"/>
        </w:trPr>
        <w:tc>
          <w:tcPr>
            <w:tcW w:w="886" w:type="pct"/>
          </w:tcPr>
          <w:p w14:paraId="045B1155" w14:textId="77777777" w:rsidR="00FD7B90" w:rsidRPr="00ED6764" w:rsidRDefault="00FD7B90" w:rsidP="008D179C">
            <w:pPr>
              <w:pStyle w:val="Tabletext"/>
              <w:keepNext/>
              <w:spacing w:before="0" w:after="0"/>
              <w:rPr>
                <w:snapToGrid w:val="0"/>
                <w:highlight w:val="yellow"/>
              </w:rPr>
            </w:pPr>
            <w:r w:rsidRPr="00ED6764">
              <w:t xml:space="preserve">Number of services (prostate biopsy, sig. </w:t>
            </w:r>
            <w:proofErr w:type="spellStart"/>
            <w:r w:rsidRPr="00ED6764">
              <w:t>PCa</w:t>
            </w:r>
            <w:proofErr w:type="spellEnd"/>
            <w:r w:rsidRPr="00ED6764">
              <w:t>)</w:t>
            </w:r>
          </w:p>
        </w:tc>
        <w:tc>
          <w:tcPr>
            <w:tcW w:w="664" w:type="pct"/>
          </w:tcPr>
          <w:p w14:paraId="34B4A61F" w14:textId="77777777" w:rsidR="00FD7B90" w:rsidRPr="00ED6764" w:rsidRDefault="00FD7B90" w:rsidP="008D179C">
            <w:pPr>
              <w:pStyle w:val="Tabletext"/>
              <w:keepNext/>
              <w:spacing w:before="0" w:after="0"/>
              <w:rPr>
                <w:snapToGrid w:val="0"/>
                <w:highlight w:val="yellow"/>
              </w:rPr>
            </w:pPr>
            <w:r w:rsidRPr="00ED6764">
              <w:t>6,904</w:t>
            </w:r>
          </w:p>
        </w:tc>
        <w:tc>
          <w:tcPr>
            <w:tcW w:w="664" w:type="pct"/>
          </w:tcPr>
          <w:p w14:paraId="1155CE9A" w14:textId="77777777" w:rsidR="00FD7B90" w:rsidRPr="00ED6764" w:rsidRDefault="00FD7B90" w:rsidP="008D179C">
            <w:pPr>
              <w:pStyle w:val="Tabletext"/>
              <w:keepNext/>
              <w:spacing w:before="0" w:after="0"/>
              <w:rPr>
                <w:snapToGrid w:val="0"/>
                <w:highlight w:val="yellow"/>
              </w:rPr>
            </w:pPr>
            <w:r w:rsidRPr="00ED6764">
              <w:t>4,080</w:t>
            </w:r>
          </w:p>
        </w:tc>
        <w:tc>
          <w:tcPr>
            <w:tcW w:w="665" w:type="pct"/>
          </w:tcPr>
          <w:p w14:paraId="23E3AD88" w14:textId="77777777" w:rsidR="00FD7B90" w:rsidRPr="00ED6764" w:rsidRDefault="00FD7B90" w:rsidP="008D179C">
            <w:pPr>
              <w:pStyle w:val="Tabletext"/>
              <w:keepNext/>
              <w:spacing w:before="0" w:after="0"/>
              <w:rPr>
                <w:snapToGrid w:val="0"/>
                <w:highlight w:val="yellow"/>
              </w:rPr>
            </w:pPr>
            <w:r w:rsidRPr="00ED6764">
              <w:t>10,984</w:t>
            </w:r>
          </w:p>
        </w:tc>
        <w:tc>
          <w:tcPr>
            <w:tcW w:w="718" w:type="pct"/>
          </w:tcPr>
          <w:p w14:paraId="70850E19" w14:textId="77777777" w:rsidR="00FD7B90" w:rsidRPr="00ED6764" w:rsidRDefault="00FD7B90" w:rsidP="008D179C">
            <w:pPr>
              <w:pStyle w:val="Tabletext"/>
              <w:keepNext/>
              <w:spacing w:before="0" w:after="0"/>
              <w:rPr>
                <w:snapToGrid w:val="0"/>
                <w:highlight w:val="yellow"/>
              </w:rPr>
            </w:pPr>
            <w:r w:rsidRPr="00ED6764">
              <w:t>34518</w:t>
            </w:r>
          </w:p>
        </w:tc>
        <w:tc>
          <w:tcPr>
            <w:tcW w:w="683" w:type="pct"/>
          </w:tcPr>
          <w:p w14:paraId="3B7AD12A" w14:textId="77777777" w:rsidR="00FD7B90" w:rsidRPr="00ED6764" w:rsidRDefault="00FD7B90" w:rsidP="008D179C">
            <w:pPr>
              <w:pStyle w:val="Tabletext"/>
              <w:keepNext/>
              <w:spacing w:before="0" w:after="0"/>
              <w:rPr>
                <w:snapToGrid w:val="0"/>
                <w:highlight w:val="yellow"/>
              </w:rPr>
            </w:pPr>
            <w:r w:rsidRPr="00ED6764">
              <w:t>20401</w:t>
            </w:r>
          </w:p>
        </w:tc>
        <w:tc>
          <w:tcPr>
            <w:tcW w:w="719" w:type="pct"/>
          </w:tcPr>
          <w:p w14:paraId="71B70A4D" w14:textId="77777777" w:rsidR="00FD7B90" w:rsidRPr="00ED6764" w:rsidRDefault="00FD7B90" w:rsidP="008D179C">
            <w:pPr>
              <w:pStyle w:val="Tabletext"/>
              <w:keepNext/>
              <w:spacing w:before="0" w:after="0"/>
              <w:rPr>
                <w:snapToGrid w:val="0"/>
                <w:highlight w:val="yellow"/>
              </w:rPr>
            </w:pPr>
            <w:r w:rsidRPr="00ED6764">
              <w:t>54,918</w:t>
            </w:r>
          </w:p>
        </w:tc>
      </w:tr>
      <w:tr w:rsidR="00ED6764" w:rsidRPr="00ED6764" w14:paraId="6E4D7181" w14:textId="77777777" w:rsidTr="00FA160B">
        <w:trPr>
          <w:trHeight w:val="313"/>
        </w:trPr>
        <w:tc>
          <w:tcPr>
            <w:tcW w:w="886" w:type="pct"/>
          </w:tcPr>
          <w:p w14:paraId="77FA3305" w14:textId="77777777" w:rsidR="00FD7B90" w:rsidRPr="00ED6764" w:rsidRDefault="00FD7B90" w:rsidP="008D179C">
            <w:pPr>
              <w:pStyle w:val="Tabletext"/>
              <w:keepNext/>
              <w:spacing w:before="0" w:after="0"/>
              <w:rPr>
                <w:snapToGrid w:val="0"/>
                <w:highlight w:val="yellow"/>
              </w:rPr>
            </w:pPr>
            <w:r w:rsidRPr="00ED6764">
              <w:t>Total MBS cost per year (</w:t>
            </w:r>
            <w:proofErr w:type="spellStart"/>
            <w:r w:rsidRPr="00ED6764">
              <w:t>mpMRI</w:t>
            </w:r>
            <w:proofErr w:type="spellEnd"/>
            <w:r w:rsidRPr="00ED6764">
              <w:t xml:space="preserve"> +prostate biopsy, significant </w:t>
            </w:r>
            <w:proofErr w:type="spellStart"/>
            <w:r w:rsidRPr="00ED6764">
              <w:t>PCa</w:t>
            </w:r>
            <w:proofErr w:type="spellEnd"/>
            <w:r w:rsidRPr="00ED6764">
              <w:t>)</w:t>
            </w:r>
          </w:p>
        </w:tc>
        <w:tc>
          <w:tcPr>
            <w:tcW w:w="664" w:type="pct"/>
          </w:tcPr>
          <w:p w14:paraId="548448BE" w14:textId="77777777" w:rsidR="00FD7B90" w:rsidRPr="00ED6764" w:rsidRDefault="00FD7B90" w:rsidP="008D179C">
            <w:pPr>
              <w:pStyle w:val="Tabletext"/>
              <w:keepNext/>
              <w:spacing w:before="0" w:after="0"/>
              <w:rPr>
                <w:snapToGrid w:val="0"/>
                <w:highlight w:val="yellow"/>
              </w:rPr>
            </w:pPr>
            <w:r w:rsidRPr="00ED6764">
              <w:t>$14,958,866</w:t>
            </w:r>
          </w:p>
        </w:tc>
        <w:tc>
          <w:tcPr>
            <w:tcW w:w="664" w:type="pct"/>
          </w:tcPr>
          <w:p w14:paraId="71E779A9" w14:textId="77777777" w:rsidR="00FD7B90" w:rsidRPr="00ED6764" w:rsidRDefault="00FD7B90" w:rsidP="008D179C">
            <w:pPr>
              <w:pStyle w:val="Tabletext"/>
              <w:keepNext/>
              <w:spacing w:before="0" w:after="0"/>
              <w:rPr>
                <w:snapToGrid w:val="0"/>
                <w:highlight w:val="yellow"/>
              </w:rPr>
            </w:pPr>
            <w:r w:rsidRPr="00ED6764">
              <w:t>$8,257,004</w:t>
            </w:r>
          </w:p>
        </w:tc>
        <w:tc>
          <w:tcPr>
            <w:tcW w:w="665" w:type="pct"/>
          </w:tcPr>
          <w:p w14:paraId="58334406" w14:textId="77777777" w:rsidR="00FD7B90" w:rsidRPr="00ED6764" w:rsidRDefault="00FD7B90" w:rsidP="008D179C">
            <w:pPr>
              <w:pStyle w:val="Tabletext"/>
              <w:keepNext/>
              <w:spacing w:before="0" w:after="0"/>
              <w:rPr>
                <w:snapToGrid w:val="0"/>
                <w:highlight w:val="yellow"/>
              </w:rPr>
            </w:pPr>
            <w:r w:rsidRPr="00ED6764">
              <w:t>$23,215,870</w:t>
            </w:r>
          </w:p>
        </w:tc>
        <w:tc>
          <w:tcPr>
            <w:tcW w:w="718" w:type="pct"/>
          </w:tcPr>
          <w:p w14:paraId="41C58F4B" w14:textId="77777777" w:rsidR="00FD7B90" w:rsidRPr="00ED6764" w:rsidRDefault="00FD7B90" w:rsidP="008D179C">
            <w:pPr>
              <w:pStyle w:val="Tabletext"/>
              <w:keepNext/>
              <w:spacing w:before="0" w:after="0"/>
              <w:rPr>
                <w:snapToGrid w:val="0"/>
                <w:highlight w:val="yellow"/>
              </w:rPr>
            </w:pPr>
            <w:r w:rsidRPr="00ED6764">
              <w:t>$74,794,329</w:t>
            </w:r>
          </w:p>
        </w:tc>
        <w:tc>
          <w:tcPr>
            <w:tcW w:w="683" w:type="pct"/>
          </w:tcPr>
          <w:p w14:paraId="5317066A" w14:textId="77777777" w:rsidR="00FD7B90" w:rsidRPr="00ED6764" w:rsidRDefault="00FD7B90" w:rsidP="008D179C">
            <w:pPr>
              <w:pStyle w:val="Tabletext"/>
              <w:keepNext/>
              <w:spacing w:before="0" w:after="0"/>
              <w:rPr>
                <w:snapToGrid w:val="0"/>
                <w:highlight w:val="yellow"/>
              </w:rPr>
            </w:pPr>
            <w:r w:rsidRPr="00ED6764">
              <w:t>$41,285,020</w:t>
            </w:r>
          </w:p>
        </w:tc>
        <w:tc>
          <w:tcPr>
            <w:tcW w:w="719" w:type="pct"/>
          </w:tcPr>
          <w:p w14:paraId="355DE601" w14:textId="77777777" w:rsidR="00FD7B90" w:rsidRPr="00ED6764" w:rsidRDefault="00FD7B90" w:rsidP="008D179C">
            <w:pPr>
              <w:pStyle w:val="Tabletext"/>
              <w:keepNext/>
              <w:spacing w:before="0" w:after="0"/>
              <w:rPr>
                <w:snapToGrid w:val="0"/>
                <w:highlight w:val="yellow"/>
              </w:rPr>
            </w:pPr>
            <w:r w:rsidRPr="00ED6764">
              <w:t>$116,079,349</w:t>
            </w:r>
          </w:p>
        </w:tc>
      </w:tr>
      <w:tr w:rsidR="00ED6764" w:rsidRPr="00ED6764" w14:paraId="00FCE697" w14:textId="77777777" w:rsidTr="00FA160B">
        <w:trPr>
          <w:trHeight w:val="313"/>
        </w:trPr>
        <w:tc>
          <w:tcPr>
            <w:tcW w:w="886" w:type="pct"/>
          </w:tcPr>
          <w:p w14:paraId="2C084419" w14:textId="77777777" w:rsidR="00FD7B90" w:rsidRPr="00ED6764" w:rsidRDefault="00FD7B90" w:rsidP="008D179C">
            <w:pPr>
              <w:pStyle w:val="Tabletext"/>
              <w:keepNext/>
              <w:spacing w:before="0" w:after="0"/>
              <w:rPr>
                <w:snapToGrid w:val="0"/>
                <w:highlight w:val="yellow"/>
              </w:rPr>
            </w:pPr>
            <w:r w:rsidRPr="00ED6764">
              <w:t>Total costs for other healthcare funders</w:t>
            </w:r>
          </w:p>
        </w:tc>
        <w:tc>
          <w:tcPr>
            <w:tcW w:w="664" w:type="pct"/>
          </w:tcPr>
          <w:p w14:paraId="54292BA7" w14:textId="77777777" w:rsidR="00FD7B90" w:rsidRPr="00ED6764" w:rsidRDefault="00FD7B90" w:rsidP="008D179C">
            <w:pPr>
              <w:pStyle w:val="Tabletext"/>
              <w:keepNext/>
              <w:spacing w:before="0" w:after="0"/>
              <w:rPr>
                <w:snapToGrid w:val="0"/>
                <w:highlight w:val="yellow"/>
              </w:rPr>
            </w:pPr>
            <w:r w:rsidRPr="00ED6764">
              <w:t>$6,972,332</w:t>
            </w:r>
          </w:p>
        </w:tc>
        <w:tc>
          <w:tcPr>
            <w:tcW w:w="664" w:type="pct"/>
          </w:tcPr>
          <w:p w14:paraId="4A7C84D4" w14:textId="77777777" w:rsidR="00FD7B90" w:rsidRPr="00ED6764" w:rsidRDefault="00FD7B90" w:rsidP="008D179C">
            <w:pPr>
              <w:pStyle w:val="Tabletext"/>
              <w:keepNext/>
              <w:spacing w:before="0" w:after="0"/>
              <w:rPr>
                <w:snapToGrid w:val="0"/>
                <w:highlight w:val="yellow"/>
              </w:rPr>
            </w:pPr>
            <w:r w:rsidRPr="00ED6764">
              <w:t>$4,120,831</w:t>
            </w:r>
          </w:p>
        </w:tc>
        <w:tc>
          <w:tcPr>
            <w:tcW w:w="665" w:type="pct"/>
          </w:tcPr>
          <w:p w14:paraId="260086B8" w14:textId="77777777" w:rsidR="00FD7B90" w:rsidRPr="00ED6764" w:rsidRDefault="00FD7B90" w:rsidP="008D179C">
            <w:pPr>
              <w:pStyle w:val="Tabletext"/>
              <w:keepNext/>
              <w:spacing w:before="0" w:after="0"/>
              <w:rPr>
                <w:snapToGrid w:val="0"/>
                <w:highlight w:val="yellow"/>
              </w:rPr>
            </w:pPr>
            <w:r w:rsidRPr="00ED6764">
              <w:t>$11,093,163</w:t>
            </w:r>
          </w:p>
        </w:tc>
        <w:tc>
          <w:tcPr>
            <w:tcW w:w="718" w:type="pct"/>
          </w:tcPr>
          <w:p w14:paraId="7D3D022E" w14:textId="77777777" w:rsidR="00FD7B90" w:rsidRPr="00ED6764" w:rsidRDefault="00FD7B90" w:rsidP="008D179C">
            <w:pPr>
              <w:pStyle w:val="Tabletext"/>
              <w:keepNext/>
              <w:spacing w:before="0" w:after="0"/>
              <w:rPr>
                <w:snapToGrid w:val="0"/>
                <w:highlight w:val="yellow"/>
              </w:rPr>
            </w:pPr>
            <w:r w:rsidRPr="00ED6764">
              <w:t>$34,861,658</w:t>
            </w:r>
          </w:p>
        </w:tc>
        <w:tc>
          <w:tcPr>
            <w:tcW w:w="683" w:type="pct"/>
          </w:tcPr>
          <w:p w14:paraId="2889878A" w14:textId="77777777" w:rsidR="00FD7B90" w:rsidRPr="00ED6764" w:rsidRDefault="00FD7B90" w:rsidP="008D179C">
            <w:pPr>
              <w:pStyle w:val="Tabletext"/>
              <w:keepNext/>
              <w:spacing w:before="0" w:after="0"/>
              <w:rPr>
                <w:snapToGrid w:val="0"/>
                <w:highlight w:val="yellow"/>
              </w:rPr>
            </w:pPr>
            <w:r w:rsidRPr="00ED6764">
              <w:t>$20,604,157</w:t>
            </w:r>
          </w:p>
        </w:tc>
        <w:tc>
          <w:tcPr>
            <w:tcW w:w="719" w:type="pct"/>
          </w:tcPr>
          <w:p w14:paraId="3F21711B" w14:textId="77777777" w:rsidR="00FD7B90" w:rsidRPr="00ED6764" w:rsidRDefault="00FD7B90" w:rsidP="008D179C">
            <w:pPr>
              <w:pStyle w:val="Tabletext"/>
              <w:keepNext/>
              <w:spacing w:before="0" w:after="0"/>
              <w:rPr>
                <w:snapToGrid w:val="0"/>
                <w:highlight w:val="yellow"/>
              </w:rPr>
            </w:pPr>
            <w:r w:rsidRPr="00ED6764">
              <w:t>$55,465,815</w:t>
            </w:r>
          </w:p>
        </w:tc>
      </w:tr>
      <w:tr w:rsidR="00ED6764" w:rsidRPr="00ED6764" w14:paraId="16E42CEB" w14:textId="77777777" w:rsidTr="00FA160B">
        <w:trPr>
          <w:trHeight w:val="313"/>
        </w:trPr>
        <w:tc>
          <w:tcPr>
            <w:tcW w:w="886" w:type="pct"/>
          </w:tcPr>
          <w:p w14:paraId="0126D0CD" w14:textId="77777777" w:rsidR="00FD7B90" w:rsidRPr="00ED6764" w:rsidRDefault="00FD7B90" w:rsidP="008D179C">
            <w:pPr>
              <w:pStyle w:val="Tabletext"/>
              <w:keepNext/>
              <w:spacing w:before="0" w:after="0"/>
              <w:rPr>
                <w:snapToGrid w:val="0"/>
                <w:highlight w:val="yellow"/>
              </w:rPr>
            </w:pPr>
            <w:r w:rsidRPr="00ED6764">
              <w:t>Total co-payments per year</w:t>
            </w:r>
          </w:p>
        </w:tc>
        <w:tc>
          <w:tcPr>
            <w:tcW w:w="664" w:type="pct"/>
          </w:tcPr>
          <w:p w14:paraId="492506D0" w14:textId="77777777" w:rsidR="00FD7B90" w:rsidRPr="00ED6764" w:rsidRDefault="00FD7B90" w:rsidP="008D179C">
            <w:pPr>
              <w:pStyle w:val="Tabletext"/>
              <w:keepNext/>
              <w:spacing w:before="0" w:after="0"/>
              <w:rPr>
                <w:snapToGrid w:val="0"/>
                <w:highlight w:val="yellow"/>
              </w:rPr>
            </w:pPr>
            <w:r w:rsidRPr="00ED6764">
              <w:t>$3,797,691</w:t>
            </w:r>
          </w:p>
        </w:tc>
        <w:tc>
          <w:tcPr>
            <w:tcW w:w="664" w:type="pct"/>
          </w:tcPr>
          <w:p w14:paraId="2C8343B3" w14:textId="77777777" w:rsidR="00FD7B90" w:rsidRPr="00ED6764" w:rsidRDefault="00FD7B90" w:rsidP="008D179C">
            <w:pPr>
              <w:pStyle w:val="Tabletext"/>
              <w:keepNext/>
              <w:spacing w:before="0" w:after="0"/>
              <w:rPr>
                <w:snapToGrid w:val="0"/>
                <w:highlight w:val="yellow"/>
              </w:rPr>
            </w:pPr>
            <w:r w:rsidRPr="00ED6764">
              <w:t>$2,156,923</w:t>
            </w:r>
          </w:p>
        </w:tc>
        <w:tc>
          <w:tcPr>
            <w:tcW w:w="665" w:type="pct"/>
          </w:tcPr>
          <w:p w14:paraId="42C8E4FF" w14:textId="77777777" w:rsidR="00FD7B90" w:rsidRPr="00ED6764" w:rsidRDefault="00FD7B90" w:rsidP="008D179C">
            <w:pPr>
              <w:pStyle w:val="Tabletext"/>
              <w:keepNext/>
              <w:spacing w:before="0" w:after="0"/>
              <w:rPr>
                <w:snapToGrid w:val="0"/>
                <w:highlight w:val="yellow"/>
              </w:rPr>
            </w:pPr>
            <w:r w:rsidRPr="00ED6764">
              <w:t>$5,954,614</w:t>
            </w:r>
          </w:p>
        </w:tc>
        <w:tc>
          <w:tcPr>
            <w:tcW w:w="718" w:type="pct"/>
          </w:tcPr>
          <w:p w14:paraId="3005E29B" w14:textId="77777777" w:rsidR="00FD7B90" w:rsidRPr="00ED6764" w:rsidRDefault="00FD7B90" w:rsidP="008D179C">
            <w:pPr>
              <w:pStyle w:val="Tabletext"/>
              <w:keepNext/>
              <w:spacing w:before="0" w:after="0"/>
              <w:rPr>
                <w:snapToGrid w:val="0"/>
                <w:highlight w:val="yellow"/>
              </w:rPr>
            </w:pPr>
            <w:r w:rsidRPr="00ED6764">
              <w:t>$18,988,453</w:t>
            </w:r>
          </w:p>
        </w:tc>
        <w:tc>
          <w:tcPr>
            <w:tcW w:w="683" w:type="pct"/>
          </w:tcPr>
          <w:p w14:paraId="6CD31139" w14:textId="77777777" w:rsidR="00FD7B90" w:rsidRPr="00ED6764" w:rsidRDefault="00FD7B90" w:rsidP="008D179C">
            <w:pPr>
              <w:pStyle w:val="Tabletext"/>
              <w:keepNext/>
              <w:spacing w:before="0" w:after="0"/>
              <w:rPr>
                <w:snapToGrid w:val="0"/>
                <w:highlight w:val="yellow"/>
              </w:rPr>
            </w:pPr>
            <w:r w:rsidRPr="00ED6764">
              <w:t>$10,784,616</w:t>
            </w:r>
          </w:p>
        </w:tc>
        <w:tc>
          <w:tcPr>
            <w:tcW w:w="719" w:type="pct"/>
          </w:tcPr>
          <w:p w14:paraId="7848AB65" w14:textId="77777777" w:rsidR="00FD7B90" w:rsidRPr="00ED6764" w:rsidRDefault="00FD7B90" w:rsidP="008D179C">
            <w:pPr>
              <w:pStyle w:val="Tabletext"/>
              <w:keepNext/>
              <w:spacing w:before="0" w:after="0"/>
              <w:rPr>
                <w:snapToGrid w:val="0"/>
                <w:highlight w:val="yellow"/>
              </w:rPr>
            </w:pPr>
            <w:r w:rsidRPr="00ED6764">
              <w:t>$29,773,069</w:t>
            </w:r>
          </w:p>
        </w:tc>
      </w:tr>
      <w:tr w:rsidR="00ED6764" w:rsidRPr="00ED6764" w14:paraId="344882B8" w14:textId="77777777" w:rsidTr="00FA160B">
        <w:trPr>
          <w:trHeight w:val="256"/>
        </w:trPr>
        <w:tc>
          <w:tcPr>
            <w:tcW w:w="886" w:type="pct"/>
          </w:tcPr>
          <w:p w14:paraId="4A9BE426" w14:textId="77777777" w:rsidR="00FD7B90" w:rsidRPr="00ED6764" w:rsidRDefault="00FD7B90" w:rsidP="008D179C">
            <w:pPr>
              <w:pStyle w:val="Tabletext"/>
              <w:keepNext/>
              <w:spacing w:before="0" w:after="0"/>
              <w:rPr>
                <w:snapToGrid w:val="0"/>
                <w:highlight w:val="yellow"/>
              </w:rPr>
            </w:pPr>
            <w:r w:rsidRPr="00ED6764">
              <w:t>Total direct costs</w:t>
            </w:r>
          </w:p>
        </w:tc>
        <w:tc>
          <w:tcPr>
            <w:tcW w:w="664" w:type="pct"/>
          </w:tcPr>
          <w:p w14:paraId="598C6929" w14:textId="77777777" w:rsidR="00FD7B90" w:rsidRPr="00ED6764" w:rsidRDefault="00FD7B90" w:rsidP="008D179C">
            <w:pPr>
              <w:pStyle w:val="Tabletext"/>
              <w:keepNext/>
              <w:spacing w:before="0" w:after="0"/>
              <w:rPr>
                <w:snapToGrid w:val="0"/>
                <w:highlight w:val="yellow"/>
              </w:rPr>
            </w:pPr>
            <w:r w:rsidRPr="00ED6764">
              <w:t>$25,728,888</w:t>
            </w:r>
          </w:p>
        </w:tc>
        <w:tc>
          <w:tcPr>
            <w:tcW w:w="664" w:type="pct"/>
          </w:tcPr>
          <w:p w14:paraId="7AAB1E30" w14:textId="77777777" w:rsidR="00FD7B90" w:rsidRPr="00ED6764" w:rsidRDefault="00FD7B90" w:rsidP="008D179C">
            <w:pPr>
              <w:pStyle w:val="Tabletext"/>
              <w:keepNext/>
              <w:spacing w:before="0" w:after="0"/>
              <w:rPr>
                <w:snapToGrid w:val="0"/>
                <w:highlight w:val="yellow"/>
              </w:rPr>
            </w:pPr>
            <w:r w:rsidRPr="00ED6764">
              <w:t>$14,534,759</w:t>
            </w:r>
          </w:p>
        </w:tc>
        <w:tc>
          <w:tcPr>
            <w:tcW w:w="665" w:type="pct"/>
          </w:tcPr>
          <w:p w14:paraId="11B1FE8B" w14:textId="77777777" w:rsidR="00FD7B90" w:rsidRPr="00ED6764" w:rsidRDefault="00FD7B90" w:rsidP="008D179C">
            <w:pPr>
              <w:pStyle w:val="Tabletext"/>
              <w:keepNext/>
              <w:spacing w:before="0" w:after="0"/>
              <w:rPr>
                <w:snapToGrid w:val="0"/>
                <w:highlight w:val="yellow"/>
              </w:rPr>
            </w:pPr>
            <w:r w:rsidRPr="00ED6764">
              <w:t>$40,263,647</w:t>
            </w:r>
          </w:p>
        </w:tc>
        <w:tc>
          <w:tcPr>
            <w:tcW w:w="718" w:type="pct"/>
          </w:tcPr>
          <w:p w14:paraId="747ECB92" w14:textId="77777777" w:rsidR="00FD7B90" w:rsidRPr="00ED6764" w:rsidRDefault="00FD7B90" w:rsidP="008D179C">
            <w:pPr>
              <w:pStyle w:val="Tabletext"/>
              <w:keepNext/>
              <w:spacing w:before="0" w:after="0"/>
              <w:rPr>
                <w:snapToGrid w:val="0"/>
                <w:highlight w:val="yellow"/>
              </w:rPr>
            </w:pPr>
            <w:r w:rsidRPr="00ED6764">
              <w:t>$128,644,440</w:t>
            </w:r>
          </w:p>
        </w:tc>
        <w:tc>
          <w:tcPr>
            <w:tcW w:w="683" w:type="pct"/>
          </w:tcPr>
          <w:p w14:paraId="3F549F45" w14:textId="77777777" w:rsidR="00FD7B90" w:rsidRPr="00ED6764" w:rsidRDefault="00FD7B90" w:rsidP="008D179C">
            <w:pPr>
              <w:pStyle w:val="Tabletext"/>
              <w:keepNext/>
              <w:spacing w:before="0" w:after="0"/>
              <w:rPr>
                <w:snapToGrid w:val="0"/>
                <w:highlight w:val="yellow"/>
              </w:rPr>
            </w:pPr>
            <w:r w:rsidRPr="00ED6764">
              <w:t>$72,673,793</w:t>
            </w:r>
          </w:p>
        </w:tc>
        <w:tc>
          <w:tcPr>
            <w:tcW w:w="719" w:type="pct"/>
          </w:tcPr>
          <w:p w14:paraId="2C6EDE07" w14:textId="77777777" w:rsidR="00FD7B90" w:rsidRPr="00ED6764" w:rsidRDefault="00FD7B90" w:rsidP="008D179C">
            <w:pPr>
              <w:pStyle w:val="Tabletext"/>
              <w:keepNext/>
              <w:spacing w:before="0" w:after="0"/>
              <w:rPr>
                <w:snapToGrid w:val="0"/>
                <w:highlight w:val="yellow"/>
              </w:rPr>
            </w:pPr>
            <w:r w:rsidRPr="00ED6764">
              <w:t>$201,318,233</w:t>
            </w:r>
          </w:p>
        </w:tc>
      </w:tr>
    </w:tbl>
    <w:p w14:paraId="4A90E92A" w14:textId="77777777" w:rsidR="00ED6764" w:rsidRDefault="00ED6764" w:rsidP="008D179C">
      <w:pPr>
        <w:pStyle w:val="TableNotes"/>
        <w:spacing w:after="0" w:line="240" w:lineRule="auto"/>
        <w:rPr>
          <w:b/>
          <w:snapToGrid w:val="0"/>
          <w:sz w:val="20"/>
          <w:szCs w:val="20"/>
        </w:rPr>
      </w:pPr>
    </w:p>
    <w:p w14:paraId="72BB889B" w14:textId="344DCBE5" w:rsidR="00FD7B90" w:rsidRPr="007F599F" w:rsidRDefault="00ED6764" w:rsidP="008D179C">
      <w:pPr>
        <w:pStyle w:val="TableNotes"/>
        <w:spacing w:after="0" w:line="240" w:lineRule="auto"/>
        <w:rPr>
          <w:rFonts w:ascii="Times New Roman" w:hAnsi="Times New Roman" w:cs="Times New Roman"/>
          <w:sz w:val="20"/>
          <w:szCs w:val="20"/>
        </w:rPr>
      </w:pPr>
      <w:r w:rsidRPr="00ED6764">
        <w:rPr>
          <w:b/>
          <w:snapToGrid w:val="0"/>
          <w:sz w:val="20"/>
          <w:szCs w:val="20"/>
        </w:rPr>
        <w:t xml:space="preserve">Cost of prostate biopsies minus cost of listing </w:t>
      </w:r>
      <w:proofErr w:type="spellStart"/>
      <w:r w:rsidRPr="00ED6764">
        <w:rPr>
          <w:b/>
          <w:snapToGrid w:val="0"/>
          <w:sz w:val="20"/>
          <w:szCs w:val="20"/>
        </w:rPr>
        <w:t>mpMRI</w:t>
      </w:r>
      <w:proofErr w:type="spellEnd"/>
    </w:p>
    <w:tbl>
      <w:tblPr>
        <w:tblStyle w:val="TableGrid2"/>
        <w:tblW w:w="9640" w:type="dxa"/>
        <w:tblInd w:w="-34" w:type="dxa"/>
        <w:tblLayout w:type="fixed"/>
        <w:tblLook w:val="04A0" w:firstRow="1" w:lastRow="0" w:firstColumn="1" w:lastColumn="0" w:noHBand="0" w:noVBand="1"/>
        <w:tblDescription w:val="Total costs to the MBS and other health care funders associated with mpMRI for prostate cancer"/>
      </w:tblPr>
      <w:tblGrid>
        <w:gridCol w:w="1562"/>
        <w:gridCol w:w="1276"/>
        <w:gridCol w:w="1276"/>
        <w:gridCol w:w="1278"/>
        <w:gridCol w:w="1433"/>
        <w:gridCol w:w="1396"/>
        <w:gridCol w:w="1419"/>
      </w:tblGrid>
      <w:tr w:rsidR="00ED6764" w:rsidRPr="00ED6764" w14:paraId="7512C986" w14:textId="77777777" w:rsidTr="00FA160B">
        <w:trPr>
          <w:cnfStyle w:val="100000000000" w:firstRow="1" w:lastRow="0" w:firstColumn="0" w:lastColumn="0" w:oddVBand="0" w:evenVBand="0" w:oddHBand="0" w:evenHBand="0" w:firstRowFirstColumn="0" w:firstRowLastColumn="0" w:lastRowFirstColumn="0" w:lastRowLastColumn="0"/>
          <w:trHeight w:val="178"/>
          <w:tblHeader/>
        </w:trPr>
        <w:tc>
          <w:tcPr>
            <w:tcW w:w="810" w:type="pct"/>
          </w:tcPr>
          <w:p w14:paraId="39F9189E" w14:textId="77777777" w:rsidR="00ED6764" w:rsidRPr="00ED6764" w:rsidRDefault="00ED6764" w:rsidP="005E1B36">
            <w:pPr>
              <w:pStyle w:val="Tabletext"/>
              <w:keepNext/>
              <w:spacing w:before="0" w:after="0"/>
              <w:rPr>
                <w:snapToGrid w:val="0"/>
                <w:highlight w:val="yellow"/>
              </w:rPr>
            </w:pPr>
            <w:r w:rsidRPr="00ED6764">
              <w:t>Cost to the MBS</w:t>
            </w:r>
          </w:p>
        </w:tc>
        <w:tc>
          <w:tcPr>
            <w:tcW w:w="662" w:type="pct"/>
          </w:tcPr>
          <w:p w14:paraId="24324156" w14:textId="77777777" w:rsidR="00ED6764" w:rsidRPr="00ED6764" w:rsidRDefault="00ED6764" w:rsidP="005E1B36">
            <w:pPr>
              <w:pStyle w:val="Tabletext"/>
              <w:keepNext/>
              <w:spacing w:before="0" w:after="0"/>
              <w:rPr>
                <w:snapToGrid w:val="0"/>
                <w:highlight w:val="yellow"/>
              </w:rPr>
            </w:pPr>
            <w:r w:rsidRPr="00ED6764">
              <w:t>$1,510,278</w:t>
            </w:r>
          </w:p>
        </w:tc>
        <w:tc>
          <w:tcPr>
            <w:tcW w:w="662" w:type="pct"/>
          </w:tcPr>
          <w:p w14:paraId="37015536" w14:textId="77777777" w:rsidR="00ED6764" w:rsidRPr="00ED6764" w:rsidRDefault="00ED6764" w:rsidP="005E1B36">
            <w:pPr>
              <w:pStyle w:val="Tabletext"/>
              <w:keepNext/>
              <w:spacing w:before="0" w:after="0"/>
              <w:rPr>
                <w:snapToGrid w:val="0"/>
                <w:highlight w:val="yellow"/>
              </w:rPr>
            </w:pPr>
            <w:r w:rsidRPr="00ED6764">
              <w:t>$1,294,655</w:t>
            </w:r>
          </w:p>
        </w:tc>
        <w:tc>
          <w:tcPr>
            <w:tcW w:w="663" w:type="pct"/>
          </w:tcPr>
          <w:p w14:paraId="492ED1B5" w14:textId="77777777" w:rsidR="00ED6764" w:rsidRPr="00ED6764" w:rsidRDefault="00ED6764" w:rsidP="005E1B36">
            <w:pPr>
              <w:pStyle w:val="Tabletext"/>
              <w:keepNext/>
              <w:spacing w:before="0" w:after="0"/>
              <w:rPr>
                <w:snapToGrid w:val="0"/>
                <w:highlight w:val="yellow"/>
              </w:rPr>
            </w:pPr>
            <w:r w:rsidRPr="00ED6764">
              <w:t>$2,804,933</w:t>
            </w:r>
          </w:p>
        </w:tc>
        <w:tc>
          <w:tcPr>
            <w:tcW w:w="743" w:type="pct"/>
          </w:tcPr>
          <w:p w14:paraId="242FE579" w14:textId="77777777" w:rsidR="00ED6764" w:rsidRPr="00ED6764" w:rsidRDefault="00ED6764" w:rsidP="005E1B36">
            <w:pPr>
              <w:pStyle w:val="Tabletext"/>
              <w:keepNext/>
              <w:spacing w:before="0" w:after="0"/>
              <w:rPr>
                <w:snapToGrid w:val="0"/>
                <w:highlight w:val="yellow"/>
              </w:rPr>
            </w:pPr>
            <w:r w:rsidRPr="00ED6764">
              <w:t>$7,551,389</w:t>
            </w:r>
          </w:p>
        </w:tc>
        <w:tc>
          <w:tcPr>
            <w:tcW w:w="724" w:type="pct"/>
          </w:tcPr>
          <w:p w14:paraId="5C8308D4" w14:textId="77777777" w:rsidR="00ED6764" w:rsidRPr="00ED6764" w:rsidRDefault="00ED6764" w:rsidP="005E1B36">
            <w:pPr>
              <w:pStyle w:val="Tabletext"/>
              <w:keepNext/>
              <w:spacing w:before="0" w:after="0"/>
              <w:rPr>
                <w:snapToGrid w:val="0"/>
                <w:highlight w:val="yellow"/>
              </w:rPr>
            </w:pPr>
            <w:r w:rsidRPr="00ED6764">
              <w:t>$6,473,275</w:t>
            </w:r>
          </w:p>
        </w:tc>
        <w:tc>
          <w:tcPr>
            <w:tcW w:w="736" w:type="pct"/>
          </w:tcPr>
          <w:p w14:paraId="29F69DDC" w14:textId="77777777" w:rsidR="00ED6764" w:rsidRPr="00ED6764" w:rsidRDefault="00ED6764" w:rsidP="005E1B36">
            <w:pPr>
              <w:pStyle w:val="Tabletext"/>
              <w:keepNext/>
              <w:spacing w:before="0" w:after="0"/>
              <w:rPr>
                <w:snapToGrid w:val="0"/>
                <w:highlight w:val="yellow"/>
              </w:rPr>
            </w:pPr>
            <w:r w:rsidRPr="00ED6764">
              <w:t>$14,024,664</w:t>
            </w:r>
          </w:p>
        </w:tc>
      </w:tr>
      <w:tr w:rsidR="00ED6764" w:rsidRPr="00ED6764" w14:paraId="0735AE78" w14:textId="77777777" w:rsidTr="00FA160B">
        <w:trPr>
          <w:trHeight w:val="313"/>
        </w:trPr>
        <w:tc>
          <w:tcPr>
            <w:tcW w:w="810" w:type="pct"/>
          </w:tcPr>
          <w:p w14:paraId="6CCA1A41" w14:textId="77777777" w:rsidR="00ED6764" w:rsidRPr="00ED6764" w:rsidRDefault="00ED6764" w:rsidP="005E1B36">
            <w:pPr>
              <w:pStyle w:val="Tabletext"/>
              <w:keepNext/>
              <w:spacing w:before="0" w:after="0"/>
              <w:rPr>
                <w:snapToGrid w:val="0"/>
                <w:highlight w:val="yellow"/>
              </w:rPr>
            </w:pPr>
            <w:r w:rsidRPr="00ED6764">
              <w:t>Cost savings to other health care funders</w:t>
            </w:r>
          </w:p>
        </w:tc>
        <w:tc>
          <w:tcPr>
            <w:tcW w:w="662" w:type="pct"/>
          </w:tcPr>
          <w:p w14:paraId="205E2421" w14:textId="77777777" w:rsidR="00ED6764" w:rsidRPr="00ED6764" w:rsidRDefault="00ED6764" w:rsidP="005E1B36">
            <w:pPr>
              <w:pStyle w:val="Tabletext"/>
              <w:keepNext/>
              <w:spacing w:before="0" w:after="0"/>
              <w:rPr>
                <w:snapToGrid w:val="0"/>
                <w:highlight w:val="yellow"/>
              </w:rPr>
            </w:pPr>
            <w:r w:rsidRPr="00ED6764">
              <w:t>-$6,435,998</w:t>
            </w:r>
          </w:p>
        </w:tc>
        <w:tc>
          <w:tcPr>
            <w:tcW w:w="662" w:type="pct"/>
          </w:tcPr>
          <w:p w14:paraId="569CCAD9" w14:textId="77777777" w:rsidR="00ED6764" w:rsidRPr="00ED6764" w:rsidRDefault="00ED6764" w:rsidP="005E1B36">
            <w:pPr>
              <w:pStyle w:val="Tabletext"/>
              <w:keepNext/>
              <w:spacing w:before="0" w:after="0"/>
              <w:rPr>
                <w:snapToGrid w:val="0"/>
                <w:highlight w:val="yellow"/>
              </w:rPr>
            </w:pPr>
            <w:r w:rsidRPr="00ED6764">
              <w:t>-$2,820,676</w:t>
            </w:r>
          </w:p>
        </w:tc>
        <w:tc>
          <w:tcPr>
            <w:tcW w:w="663" w:type="pct"/>
          </w:tcPr>
          <w:p w14:paraId="581EBDE6" w14:textId="77777777" w:rsidR="00ED6764" w:rsidRPr="00ED6764" w:rsidRDefault="00ED6764" w:rsidP="005E1B36">
            <w:pPr>
              <w:pStyle w:val="Tabletext"/>
              <w:keepNext/>
              <w:spacing w:before="0" w:after="0"/>
              <w:rPr>
                <w:snapToGrid w:val="0"/>
                <w:highlight w:val="yellow"/>
              </w:rPr>
            </w:pPr>
            <w:r w:rsidRPr="00ED6764">
              <w:t>-$9,256,675</w:t>
            </w:r>
          </w:p>
        </w:tc>
        <w:tc>
          <w:tcPr>
            <w:tcW w:w="743" w:type="pct"/>
          </w:tcPr>
          <w:p w14:paraId="2E67FCF1" w14:textId="77777777" w:rsidR="00ED6764" w:rsidRPr="00ED6764" w:rsidRDefault="00ED6764" w:rsidP="005E1B36">
            <w:pPr>
              <w:pStyle w:val="Tabletext"/>
              <w:keepNext/>
              <w:spacing w:before="0" w:after="0"/>
              <w:rPr>
                <w:snapToGrid w:val="0"/>
                <w:highlight w:val="yellow"/>
              </w:rPr>
            </w:pPr>
            <w:r w:rsidRPr="00ED6764">
              <w:t>-$32,179,992</w:t>
            </w:r>
          </w:p>
        </w:tc>
        <w:tc>
          <w:tcPr>
            <w:tcW w:w="724" w:type="pct"/>
          </w:tcPr>
          <w:p w14:paraId="665F81F7" w14:textId="77777777" w:rsidR="00ED6764" w:rsidRPr="00ED6764" w:rsidRDefault="00ED6764" w:rsidP="005E1B36">
            <w:pPr>
              <w:pStyle w:val="Tabletext"/>
              <w:keepNext/>
              <w:spacing w:before="0" w:after="0"/>
              <w:rPr>
                <w:snapToGrid w:val="0"/>
                <w:highlight w:val="yellow"/>
              </w:rPr>
            </w:pPr>
            <w:r w:rsidRPr="00ED6764">
              <w:t>-$14,103,380</w:t>
            </w:r>
          </w:p>
        </w:tc>
        <w:tc>
          <w:tcPr>
            <w:tcW w:w="736" w:type="pct"/>
          </w:tcPr>
          <w:p w14:paraId="7909C774" w14:textId="77777777" w:rsidR="00ED6764" w:rsidRPr="00ED6764" w:rsidRDefault="00ED6764" w:rsidP="005E1B36">
            <w:pPr>
              <w:pStyle w:val="Tabletext"/>
              <w:keepNext/>
              <w:spacing w:before="0" w:after="0"/>
              <w:rPr>
                <w:snapToGrid w:val="0"/>
                <w:highlight w:val="yellow"/>
              </w:rPr>
            </w:pPr>
            <w:r w:rsidRPr="00ED6764">
              <w:t>-$46,283,373</w:t>
            </w:r>
          </w:p>
        </w:tc>
      </w:tr>
      <w:tr w:rsidR="00ED6764" w:rsidRPr="00ED6764" w14:paraId="1A187FBD" w14:textId="77777777" w:rsidTr="00FA160B">
        <w:trPr>
          <w:trHeight w:val="313"/>
        </w:trPr>
        <w:tc>
          <w:tcPr>
            <w:tcW w:w="810" w:type="pct"/>
          </w:tcPr>
          <w:p w14:paraId="3172F8B4" w14:textId="77777777" w:rsidR="00ED6764" w:rsidRPr="00ED6764" w:rsidRDefault="00ED6764" w:rsidP="005E1B36">
            <w:pPr>
              <w:pStyle w:val="Tabletext"/>
              <w:keepNext/>
              <w:spacing w:before="0" w:after="0"/>
              <w:rPr>
                <w:snapToGrid w:val="0"/>
                <w:highlight w:val="yellow"/>
              </w:rPr>
            </w:pPr>
            <w:r w:rsidRPr="00ED6764">
              <w:t>Costs savings of total direct costs</w:t>
            </w:r>
          </w:p>
        </w:tc>
        <w:tc>
          <w:tcPr>
            <w:tcW w:w="662" w:type="pct"/>
          </w:tcPr>
          <w:p w14:paraId="22BBD354" w14:textId="77777777" w:rsidR="00ED6764" w:rsidRPr="00ED6764" w:rsidRDefault="00ED6764" w:rsidP="005E1B36">
            <w:pPr>
              <w:pStyle w:val="Tabletext"/>
              <w:keepNext/>
              <w:spacing w:before="0" w:after="0"/>
              <w:rPr>
                <w:snapToGrid w:val="0"/>
                <w:highlight w:val="yellow"/>
              </w:rPr>
            </w:pPr>
            <w:r w:rsidRPr="00ED6764">
              <w:t>-$6,133,512</w:t>
            </w:r>
          </w:p>
        </w:tc>
        <w:tc>
          <w:tcPr>
            <w:tcW w:w="662" w:type="pct"/>
          </w:tcPr>
          <w:p w14:paraId="1AA7115D" w14:textId="77777777" w:rsidR="00ED6764" w:rsidRPr="00ED6764" w:rsidRDefault="00ED6764" w:rsidP="005E1B36">
            <w:pPr>
              <w:pStyle w:val="Tabletext"/>
              <w:keepNext/>
              <w:spacing w:before="0" w:after="0"/>
              <w:rPr>
                <w:snapToGrid w:val="0"/>
                <w:highlight w:val="yellow"/>
              </w:rPr>
            </w:pPr>
            <w:r w:rsidRPr="00ED6764">
              <w:t>-$1,960,441</w:t>
            </w:r>
          </w:p>
        </w:tc>
        <w:tc>
          <w:tcPr>
            <w:tcW w:w="663" w:type="pct"/>
          </w:tcPr>
          <w:p w14:paraId="1651DA14" w14:textId="77777777" w:rsidR="00ED6764" w:rsidRPr="00ED6764" w:rsidRDefault="00ED6764" w:rsidP="005E1B36">
            <w:pPr>
              <w:pStyle w:val="Tabletext"/>
              <w:keepNext/>
              <w:spacing w:before="0" w:after="0"/>
              <w:rPr>
                <w:snapToGrid w:val="0"/>
                <w:highlight w:val="yellow"/>
              </w:rPr>
            </w:pPr>
            <w:r w:rsidRPr="00ED6764">
              <w:t>-$8,093,953</w:t>
            </w:r>
          </w:p>
        </w:tc>
        <w:tc>
          <w:tcPr>
            <w:tcW w:w="743" w:type="pct"/>
          </w:tcPr>
          <w:p w14:paraId="5D27FB12" w14:textId="77777777" w:rsidR="00ED6764" w:rsidRPr="00ED6764" w:rsidRDefault="00ED6764" w:rsidP="005E1B36">
            <w:pPr>
              <w:pStyle w:val="Tabletext"/>
              <w:keepNext/>
              <w:spacing w:before="0" w:after="0"/>
              <w:rPr>
                <w:snapToGrid w:val="0"/>
                <w:highlight w:val="yellow"/>
              </w:rPr>
            </w:pPr>
            <w:r w:rsidRPr="00ED6764">
              <w:t>-$30,667,560</w:t>
            </w:r>
          </w:p>
        </w:tc>
        <w:tc>
          <w:tcPr>
            <w:tcW w:w="724" w:type="pct"/>
          </w:tcPr>
          <w:p w14:paraId="61D7B828" w14:textId="77777777" w:rsidR="00ED6764" w:rsidRPr="00ED6764" w:rsidRDefault="00ED6764" w:rsidP="005E1B36">
            <w:pPr>
              <w:pStyle w:val="Tabletext"/>
              <w:keepNext/>
              <w:spacing w:before="0" w:after="0"/>
              <w:rPr>
                <w:snapToGrid w:val="0"/>
                <w:highlight w:val="yellow"/>
              </w:rPr>
            </w:pPr>
            <w:r w:rsidRPr="00ED6764">
              <w:t>-$9,802,207</w:t>
            </w:r>
          </w:p>
        </w:tc>
        <w:tc>
          <w:tcPr>
            <w:tcW w:w="736" w:type="pct"/>
          </w:tcPr>
          <w:p w14:paraId="2BC0AF79" w14:textId="77777777" w:rsidR="00ED6764" w:rsidRPr="00ED6764" w:rsidRDefault="00ED6764" w:rsidP="005E1B36">
            <w:pPr>
              <w:pStyle w:val="Tabletext"/>
              <w:keepNext/>
              <w:spacing w:before="0" w:after="0"/>
              <w:rPr>
                <w:snapToGrid w:val="0"/>
                <w:highlight w:val="yellow"/>
              </w:rPr>
            </w:pPr>
            <w:r w:rsidRPr="00ED6764">
              <w:t>-$40,469,767</w:t>
            </w:r>
          </w:p>
        </w:tc>
      </w:tr>
    </w:tbl>
    <w:p w14:paraId="7B0BDE13" w14:textId="77777777" w:rsidR="00ED6764" w:rsidRDefault="00ED6764" w:rsidP="00ED6764">
      <w:pPr>
        <w:rPr>
          <w:sz w:val="20"/>
        </w:rPr>
      </w:pPr>
      <w:proofErr w:type="spellStart"/>
      <w:proofErr w:type="gramStart"/>
      <w:r w:rsidRPr="007F599F">
        <w:rPr>
          <w:sz w:val="20"/>
        </w:rPr>
        <w:t>mpMRI</w:t>
      </w:r>
      <w:proofErr w:type="spellEnd"/>
      <w:proofErr w:type="gramEnd"/>
      <w:r w:rsidRPr="007F599F">
        <w:rPr>
          <w:sz w:val="20"/>
        </w:rPr>
        <w:t xml:space="preserve"> = </w:t>
      </w:r>
      <w:proofErr w:type="spellStart"/>
      <w:r w:rsidRPr="007F599F">
        <w:rPr>
          <w:sz w:val="20"/>
        </w:rPr>
        <w:t>multiparametric</w:t>
      </w:r>
      <w:proofErr w:type="spellEnd"/>
      <w:r w:rsidRPr="007F599F">
        <w:rPr>
          <w:sz w:val="20"/>
        </w:rPr>
        <w:t xml:space="preserve"> MRI, MBS = Med</w:t>
      </w:r>
      <w:r>
        <w:rPr>
          <w:sz w:val="20"/>
        </w:rPr>
        <w:t>icare</w:t>
      </w:r>
      <w:r w:rsidRPr="007F599F">
        <w:rPr>
          <w:sz w:val="20"/>
        </w:rPr>
        <w:t xml:space="preserve"> Benefits Schedule, </w:t>
      </w:r>
      <w:proofErr w:type="spellStart"/>
      <w:r w:rsidRPr="007F599F">
        <w:rPr>
          <w:sz w:val="20"/>
        </w:rPr>
        <w:t>PCa</w:t>
      </w:r>
      <w:proofErr w:type="spellEnd"/>
      <w:r w:rsidRPr="007F599F">
        <w:rPr>
          <w:sz w:val="20"/>
        </w:rPr>
        <w:t xml:space="preserve"> = prostate cancer.</w:t>
      </w:r>
    </w:p>
    <w:p w14:paraId="552174A7" w14:textId="11536FAC" w:rsidR="00FD7B90" w:rsidRDefault="00FD7B90" w:rsidP="00376F27">
      <w:pPr>
        <w:spacing w:before="240" w:after="240"/>
      </w:pPr>
      <w:r>
        <w:t>The assessment report state</w:t>
      </w:r>
      <w:r w:rsidR="008D179C">
        <w:t>d</w:t>
      </w:r>
      <w:r>
        <w:t xml:space="preserve"> that l</w:t>
      </w:r>
      <w:r w:rsidRPr="00705B2D">
        <w:t xml:space="preserve">isting </w:t>
      </w:r>
      <w:proofErr w:type="spellStart"/>
      <w:r w:rsidRPr="00705B2D">
        <w:t>mpMRI</w:t>
      </w:r>
      <w:proofErr w:type="spellEnd"/>
      <w:r w:rsidRPr="00705B2D">
        <w:t xml:space="preserve"> for Population 1 and 2 would result in a reduced number of biopsies and an estimated total savings of all direct costs of $8.</w:t>
      </w:r>
      <w:r>
        <w:t>1</w:t>
      </w:r>
      <w:r w:rsidRPr="00705B2D">
        <w:t xml:space="preserve"> million per year, which include</w:t>
      </w:r>
      <w:r>
        <w:t>s</w:t>
      </w:r>
      <w:r w:rsidRPr="00705B2D">
        <w:t xml:space="preserve"> those borne by the MBS, other health care funders and patient co-payments. </w:t>
      </w:r>
    </w:p>
    <w:p w14:paraId="2C0AEC69" w14:textId="68F37480" w:rsidR="0065346C" w:rsidRDefault="00FD7B90" w:rsidP="00376F27">
      <w:pPr>
        <w:spacing w:after="240"/>
      </w:pPr>
      <w:r w:rsidRPr="00705B2D">
        <w:t>The total cost to the MBS of listi</w:t>
      </w:r>
      <w:r w:rsidR="008D179C">
        <w:t xml:space="preserve">ng </w:t>
      </w:r>
      <w:proofErr w:type="spellStart"/>
      <w:r w:rsidR="008D179C">
        <w:t>mpMRI</w:t>
      </w:r>
      <w:proofErr w:type="spellEnd"/>
      <w:r w:rsidR="008D179C">
        <w:t xml:space="preserve"> for both populations was estimated to be</w:t>
      </w:r>
      <w:r w:rsidRPr="00705B2D">
        <w:t xml:space="preserve"> $23</w:t>
      </w:r>
      <w:r w:rsidR="008D179C">
        <w:t> </w:t>
      </w:r>
      <w:r w:rsidRPr="00705B2D">
        <w:t>million per year ($15</w:t>
      </w:r>
      <w:r>
        <w:t> </w:t>
      </w:r>
      <w:r w:rsidRPr="00705B2D">
        <w:t>million and $8.</w:t>
      </w:r>
      <w:r>
        <w:t>3</w:t>
      </w:r>
      <w:r w:rsidRPr="00705B2D">
        <w:t xml:space="preserve"> million per year for Population 1 and 2 respectively).</w:t>
      </w:r>
      <w:r>
        <w:t xml:space="preserve"> The financial implications are based on the assumption that 20,149 services for </w:t>
      </w:r>
      <w:proofErr w:type="spellStart"/>
      <w:r>
        <w:t>mpMRI</w:t>
      </w:r>
      <w:proofErr w:type="spellEnd"/>
      <w:r>
        <w:t xml:space="preserve"> would be claimed each year which is l</w:t>
      </w:r>
      <w:r w:rsidR="008D179C">
        <w:t>ikely to be an underestimation.</w:t>
      </w:r>
    </w:p>
    <w:p w14:paraId="3A1C40C0" w14:textId="3E4DFC73" w:rsidR="0065346C" w:rsidRPr="0065346C" w:rsidRDefault="0065346C" w:rsidP="0065346C">
      <w:r>
        <w:t xml:space="preserve">The </w:t>
      </w:r>
      <w:r w:rsidR="00F01167">
        <w:t xml:space="preserve">Applicant’s </w:t>
      </w:r>
      <w:r>
        <w:t>pre</w:t>
      </w:r>
      <w:r w:rsidR="00F01167">
        <w:t>-</w:t>
      </w:r>
      <w:r>
        <w:t>MSAC response queried whether the economic analysis may have underestimated the cost savings to the community and provided estimates of the yearly savings to the community to be between $24 million and $92 million per year.</w:t>
      </w:r>
    </w:p>
    <w:p w14:paraId="68ECDFF6" w14:textId="77777777" w:rsidR="006A0D97" w:rsidRPr="00F715D1" w:rsidRDefault="006A0D97" w:rsidP="008E4C81">
      <w:pPr>
        <w:pStyle w:val="Heading1"/>
        <w:ind w:hanging="502"/>
      </w:pPr>
      <w:r w:rsidRPr="00F715D1">
        <w:t>Key issues from ESC for MSAC</w:t>
      </w:r>
    </w:p>
    <w:p w14:paraId="6258D4E1" w14:textId="77777777" w:rsidR="00FD7B90" w:rsidRPr="00E42772" w:rsidRDefault="00FD7B90" w:rsidP="00FD7B90">
      <w:pPr>
        <w:pStyle w:val="BodyText"/>
        <w:rPr>
          <w:rFonts w:ascii="Times New Roman" w:hAnsi="Times New Roman"/>
          <w:sz w:val="24"/>
        </w:rPr>
      </w:pPr>
      <w:r w:rsidRPr="00E42772">
        <w:rPr>
          <w:rFonts w:ascii="Times New Roman" w:hAnsi="Times New Roman"/>
          <w:sz w:val="24"/>
        </w:rPr>
        <w:t xml:space="preserve">ESC noted that there are no significant safety concerns when using MRI in appropriately selected patients. ESC noted that </w:t>
      </w:r>
      <w:proofErr w:type="spellStart"/>
      <w:r w:rsidRPr="00E42772">
        <w:rPr>
          <w:rFonts w:ascii="Times New Roman" w:hAnsi="Times New Roman"/>
          <w:sz w:val="24"/>
        </w:rPr>
        <w:t>transrectal</w:t>
      </w:r>
      <w:proofErr w:type="spellEnd"/>
      <w:r w:rsidRPr="00E42772">
        <w:rPr>
          <w:rFonts w:ascii="Times New Roman" w:hAnsi="Times New Roman"/>
          <w:sz w:val="24"/>
        </w:rPr>
        <w:t xml:space="preserve"> ultrasound guided biopsy (TRUSGB) or </w:t>
      </w:r>
      <w:proofErr w:type="spellStart"/>
      <w:r w:rsidRPr="00E42772">
        <w:rPr>
          <w:rFonts w:ascii="Times New Roman" w:hAnsi="Times New Roman"/>
          <w:sz w:val="24"/>
        </w:rPr>
        <w:t>transperineal</w:t>
      </w:r>
      <w:proofErr w:type="spellEnd"/>
      <w:r w:rsidRPr="00E42772">
        <w:rPr>
          <w:rFonts w:ascii="Times New Roman" w:hAnsi="Times New Roman"/>
          <w:sz w:val="24"/>
        </w:rPr>
        <w:t xml:space="preserve"> ultrasound guided biopsy (TPUSGB) exposed men to risk of harms including infection, bleeding and urinary obstruction and that infection rates were lower for TPUSGB than TRUSGB.</w:t>
      </w:r>
    </w:p>
    <w:p w14:paraId="04EBA6E4" w14:textId="77777777" w:rsidR="00FD7B90" w:rsidRPr="00E42772" w:rsidRDefault="00FD7B90" w:rsidP="00FD7B90">
      <w:pPr>
        <w:pStyle w:val="BodyText"/>
        <w:rPr>
          <w:rFonts w:ascii="Times New Roman" w:hAnsi="Times New Roman"/>
          <w:sz w:val="24"/>
        </w:rPr>
      </w:pPr>
      <w:r w:rsidRPr="00E42772">
        <w:rPr>
          <w:rFonts w:ascii="Times New Roman" w:hAnsi="Times New Roman"/>
          <w:sz w:val="24"/>
        </w:rPr>
        <w:t xml:space="preserve">ESC noted that TRUSGB/TPUSGB </w:t>
      </w:r>
      <w:proofErr w:type="gramStart"/>
      <w:r w:rsidRPr="00E42772">
        <w:rPr>
          <w:rFonts w:ascii="Times New Roman" w:hAnsi="Times New Roman"/>
          <w:sz w:val="24"/>
        </w:rPr>
        <w:t>are</w:t>
      </w:r>
      <w:proofErr w:type="gramEnd"/>
      <w:r w:rsidRPr="00E42772">
        <w:rPr>
          <w:rFonts w:ascii="Times New Roman" w:hAnsi="Times New Roman"/>
          <w:sz w:val="24"/>
        </w:rPr>
        <w:t xml:space="preserve"> imperfect reference standards and that the impact this has upon the evaluation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is uncertain.</w:t>
      </w:r>
    </w:p>
    <w:p w14:paraId="5F6E2290"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noted that there are two populations included in this application:</w:t>
      </w:r>
    </w:p>
    <w:p w14:paraId="1F30CED3" w14:textId="77777777" w:rsidR="00FD7B90" w:rsidRPr="00E42772" w:rsidRDefault="00FD7B90" w:rsidP="00460D31">
      <w:pPr>
        <w:pStyle w:val="BodyText"/>
        <w:numPr>
          <w:ilvl w:val="0"/>
          <w:numId w:val="30"/>
        </w:numPr>
        <w:spacing w:before="0" w:line="240" w:lineRule="auto"/>
        <w:rPr>
          <w:rFonts w:ascii="Times New Roman" w:hAnsi="Times New Roman"/>
          <w:sz w:val="24"/>
        </w:rPr>
      </w:pPr>
      <w:r w:rsidRPr="00E42772">
        <w:rPr>
          <w:rFonts w:ascii="Times New Roman" w:hAnsi="Times New Roman"/>
          <w:sz w:val="24"/>
        </w:rPr>
        <w:lastRenderedPageBreak/>
        <w:t xml:space="preserve">Population 1 who are men suspected of having </w:t>
      </w:r>
      <w:proofErr w:type="spellStart"/>
      <w:r w:rsidRPr="00E42772">
        <w:rPr>
          <w:rFonts w:ascii="Times New Roman" w:hAnsi="Times New Roman"/>
          <w:sz w:val="24"/>
        </w:rPr>
        <w:t>PCa</w:t>
      </w:r>
      <w:proofErr w:type="spellEnd"/>
      <w:r w:rsidRPr="00E42772">
        <w:rPr>
          <w:rFonts w:ascii="Times New Roman" w:hAnsi="Times New Roman"/>
          <w:sz w:val="24"/>
        </w:rPr>
        <w:t xml:space="preserve"> on the basis of a high or concerning prostate-specific antigen (PSA) level. ESC noted that by definition these men had not previously undergone either TRUSGB or TPUSGB; and</w:t>
      </w:r>
    </w:p>
    <w:p w14:paraId="2E7B2655" w14:textId="77777777" w:rsidR="00FD7B90" w:rsidRPr="00E42772" w:rsidRDefault="00FD7B90" w:rsidP="00460D31">
      <w:pPr>
        <w:pStyle w:val="BodyText"/>
        <w:numPr>
          <w:ilvl w:val="0"/>
          <w:numId w:val="30"/>
        </w:numPr>
        <w:spacing w:before="0" w:line="240" w:lineRule="auto"/>
        <w:ind w:left="714" w:hanging="357"/>
        <w:rPr>
          <w:rFonts w:ascii="Times New Roman" w:hAnsi="Times New Roman"/>
          <w:sz w:val="24"/>
        </w:rPr>
      </w:pPr>
      <w:r w:rsidRPr="00E42772">
        <w:rPr>
          <w:rFonts w:ascii="Times New Roman" w:hAnsi="Times New Roman"/>
          <w:sz w:val="24"/>
        </w:rPr>
        <w:t xml:space="preserve">Population 2 who are men diagnosed with low or intermediate risk </w:t>
      </w:r>
      <w:proofErr w:type="spellStart"/>
      <w:r w:rsidRPr="00E42772">
        <w:rPr>
          <w:rFonts w:ascii="Times New Roman" w:hAnsi="Times New Roman"/>
          <w:sz w:val="24"/>
        </w:rPr>
        <w:t>PCa</w:t>
      </w:r>
      <w:proofErr w:type="spellEnd"/>
      <w:r w:rsidRPr="00E42772">
        <w:rPr>
          <w:rFonts w:ascii="Times New Roman" w:hAnsi="Times New Roman"/>
          <w:sz w:val="24"/>
        </w:rPr>
        <w:t xml:space="preserve"> on an active surveillance (AS) program. ESC noted that these men are a subset of population 1.</w:t>
      </w:r>
    </w:p>
    <w:p w14:paraId="457A4EC4" w14:textId="50DAA7D6"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primary outcome for population 1 was changed from diagnosis of </w:t>
      </w:r>
      <w:proofErr w:type="spellStart"/>
      <w:r w:rsidRPr="00E42772">
        <w:rPr>
          <w:rFonts w:ascii="Times New Roman" w:hAnsi="Times New Roman"/>
          <w:sz w:val="24"/>
        </w:rPr>
        <w:t>PCa</w:t>
      </w:r>
      <w:proofErr w:type="spellEnd"/>
      <w:r w:rsidRPr="00E42772">
        <w:rPr>
          <w:rFonts w:ascii="Times New Roman" w:hAnsi="Times New Roman"/>
          <w:sz w:val="24"/>
        </w:rPr>
        <w:t xml:space="preserve"> to diagnosis of clinically significant </w:t>
      </w:r>
      <w:proofErr w:type="spellStart"/>
      <w:r w:rsidRPr="00E42772">
        <w:rPr>
          <w:rFonts w:ascii="Times New Roman" w:hAnsi="Times New Roman"/>
          <w:sz w:val="24"/>
        </w:rPr>
        <w:t>PCa</w:t>
      </w:r>
      <w:proofErr w:type="spellEnd"/>
      <w:r w:rsidRPr="00E42772">
        <w:rPr>
          <w:rFonts w:ascii="Times New Roman" w:hAnsi="Times New Roman"/>
          <w:sz w:val="24"/>
        </w:rPr>
        <w:t xml:space="preserve"> after consultation with the </w:t>
      </w:r>
      <w:r w:rsidR="00F01167">
        <w:rPr>
          <w:rFonts w:ascii="Times New Roman" w:hAnsi="Times New Roman"/>
          <w:sz w:val="24"/>
        </w:rPr>
        <w:t>A</w:t>
      </w:r>
      <w:r w:rsidR="00F01167" w:rsidRPr="00E42772">
        <w:rPr>
          <w:rFonts w:ascii="Times New Roman" w:hAnsi="Times New Roman"/>
          <w:sz w:val="24"/>
        </w:rPr>
        <w:t xml:space="preserve">pplicant </w:t>
      </w:r>
      <w:r w:rsidRPr="00E42772">
        <w:rPr>
          <w:rFonts w:ascii="Times New Roman" w:hAnsi="Times New Roman"/>
          <w:sz w:val="24"/>
        </w:rPr>
        <w:t>and the Department.</w:t>
      </w:r>
    </w:p>
    <w:p w14:paraId="002C7E6A"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the sensitivity (74.4%; 95% confidence interval [CI] 51.0–89.1%) and specificity (84.1%; 95% CI 75.0–90.3%) of </w:t>
      </w:r>
      <w:proofErr w:type="spellStart"/>
      <w:r w:rsidRPr="00E42772">
        <w:rPr>
          <w:rFonts w:ascii="Times New Roman" w:hAnsi="Times New Roman"/>
          <w:sz w:val="24"/>
        </w:rPr>
        <w:t>mpMRI</w:t>
      </w:r>
      <w:proofErr w:type="spellEnd"/>
      <w:r w:rsidRPr="00E42772">
        <w:rPr>
          <w:rFonts w:ascii="Times New Roman" w:hAnsi="Times New Roman"/>
          <w:sz w:val="24"/>
        </w:rPr>
        <w:t xml:space="preserve"> for detecting clinically significant </w:t>
      </w:r>
      <w:proofErr w:type="spellStart"/>
      <w:r w:rsidRPr="00E42772">
        <w:rPr>
          <w:rFonts w:ascii="Times New Roman" w:hAnsi="Times New Roman"/>
          <w:sz w:val="24"/>
        </w:rPr>
        <w:t>PCa</w:t>
      </w:r>
      <w:proofErr w:type="spellEnd"/>
      <w:r w:rsidRPr="00E42772">
        <w:rPr>
          <w:rFonts w:ascii="Times New Roman" w:hAnsi="Times New Roman"/>
          <w:sz w:val="24"/>
        </w:rPr>
        <w:t xml:space="preserve"> in population 1 compared with biopsy. ESC noted that the confidence interval around the sensitivity point estimate was wide reflecting uncertainty and heterogeneity in the results.</w:t>
      </w:r>
    </w:p>
    <w:p w14:paraId="45FA4761"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had superior safety when compared with TRUSGB/TPUSGB in population 1. For every 1,000 men,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would avoid 505 biopsies and avoid overtreatment of insignificant disease in 94 men. However, it would result in a treatment delay of clinically significant disease in 54 men. ESC noted that the delayed diagnosis may not impact disease progression and mortality although the quality of evidence to support this was very low.</w:t>
      </w:r>
    </w:p>
    <w:p w14:paraId="2D9127C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 suggested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1 would be slightly less effective than biopsy</w:t>
      </w:r>
      <w:r>
        <w:rPr>
          <w:rFonts w:ascii="Times New Roman" w:hAnsi="Times New Roman"/>
          <w:sz w:val="24"/>
        </w:rPr>
        <w:t xml:space="preserve"> (0.039 QALY lost [~2.0 </w:t>
      </w:r>
      <w:proofErr w:type="spellStart"/>
      <w:r>
        <w:rPr>
          <w:rFonts w:ascii="Times New Roman" w:hAnsi="Times New Roman"/>
          <w:sz w:val="24"/>
        </w:rPr>
        <w:t>wk</w:t>
      </w:r>
      <w:proofErr w:type="spellEnd"/>
      <w:r>
        <w:rPr>
          <w:rFonts w:ascii="Times New Roman" w:hAnsi="Times New Roman"/>
          <w:sz w:val="24"/>
        </w:rPr>
        <w:t>])</w:t>
      </w:r>
      <w:r w:rsidRPr="00E42772">
        <w:rPr>
          <w:rFonts w:ascii="Times New Roman" w:hAnsi="Times New Roman"/>
          <w:sz w:val="24"/>
        </w:rPr>
        <w:t xml:space="preserve"> but less expensive.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1 saved $40,363 per QALY lost. ESC noted that listing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1 would result in a net cost of approximately $1.5 million per year to the MBS but a net saving of approximately $6.1 million to the health system as a whole (including costs to the MBS, other health funders and patient co-payments).</w:t>
      </w:r>
    </w:p>
    <w:p w14:paraId="34B02030"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 for population 1 relied on the assumptions that there will be a reduction in biopsies as a result of </w:t>
      </w:r>
      <w:proofErr w:type="spellStart"/>
      <w:r w:rsidRPr="00E42772">
        <w:rPr>
          <w:rFonts w:ascii="Times New Roman" w:hAnsi="Times New Roman"/>
          <w:sz w:val="24"/>
        </w:rPr>
        <w:t>mpMRI</w:t>
      </w:r>
      <w:proofErr w:type="spellEnd"/>
      <w:r w:rsidRPr="00E42772">
        <w:rPr>
          <w:rFonts w:ascii="Times New Roman" w:hAnsi="Times New Roman"/>
          <w:sz w:val="24"/>
        </w:rPr>
        <w:t xml:space="preserve"> and that there will be no repeat </w:t>
      </w:r>
      <w:proofErr w:type="spellStart"/>
      <w:r w:rsidRPr="00E42772">
        <w:rPr>
          <w:rFonts w:ascii="Times New Roman" w:hAnsi="Times New Roman"/>
          <w:sz w:val="24"/>
        </w:rPr>
        <w:t>mpMRI</w:t>
      </w:r>
      <w:proofErr w:type="spellEnd"/>
      <w:r w:rsidRPr="00E42772">
        <w:rPr>
          <w:rFonts w:ascii="Times New Roman" w:hAnsi="Times New Roman"/>
          <w:sz w:val="24"/>
        </w:rPr>
        <w:t xml:space="preserve">. ESC noted that while the prevalence of </w:t>
      </w:r>
      <w:proofErr w:type="spellStart"/>
      <w:r w:rsidRPr="00E42772">
        <w:rPr>
          <w:rFonts w:ascii="Times New Roman" w:hAnsi="Times New Roman"/>
          <w:sz w:val="24"/>
        </w:rPr>
        <w:t>PCa</w:t>
      </w:r>
      <w:proofErr w:type="spellEnd"/>
      <w:r w:rsidRPr="00E42772">
        <w:rPr>
          <w:rFonts w:ascii="Times New Roman" w:hAnsi="Times New Roman"/>
          <w:sz w:val="24"/>
        </w:rPr>
        <w:t xml:space="preserve"> has increased as the Australian population ages, the number of prostate biopsies has remained steady. ESC discussed whether this indicated that men were already accessing </w:t>
      </w:r>
      <w:proofErr w:type="spellStart"/>
      <w:r w:rsidRPr="00E42772">
        <w:rPr>
          <w:rFonts w:ascii="Times New Roman" w:hAnsi="Times New Roman"/>
          <w:sz w:val="24"/>
        </w:rPr>
        <w:t>mpMRI</w:t>
      </w:r>
      <w:proofErr w:type="spellEnd"/>
      <w:r w:rsidRPr="00E42772">
        <w:rPr>
          <w:rFonts w:ascii="Times New Roman" w:hAnsi="Times New Roman"/>
          <w:sz w:val="24"/>
        </w:rPr>
        <w:t xml:space="preserve"> to avoid biopsy or refusing biopsy altogether.</w:t>
      </w:r>
    </w:p>
    <w:p w14:paraId="63CFA6EE"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there was greater certainty around the diagnostic accuracy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than in population 1, as evidenced by narrower confidence intervals. When compared with biopsy, sensitivity was 79.3% (95% CI 74.6–83.3%) and specificity 55.1% (95% CI 50.4–59.8%) for </w:t>
      </w:r>
      <w:proofErr w:type="spellStart"/>
      <w:r w:rsidRPr="00E42772">
        <w:rPr>
          <w:rFonts w:ascii="Times New Roman" w:hAnsi="Times New Roman"/>
          <w:sz w:val="24"/>
        </w:rPr>
        <w:t>mpMRI</w:t>
      </w:r>
      <w:proofErr w:type="spellEnd"/>
      <w:r w:rsidRPr="00E42772">
        <w:rPr>
          <w:rFonts w:ascii="Times New Roman" w:hAnsi="Times New Roman"/>
          <w:sz w:val="24"/>
        </w:rPr>
        <w:t xml:space="preserve"> in detecting any upgrade in </w:t>
      </w:r>
      <w:proofErr w:type="spellStart"/>
      <w:r w:rsidRPr="00E42772">
        <w:rPr>
          <w:rFonts w:ascii="Times New Roman" w:hAnsi="Times New Roman"/>
          <w:sz w:val="24"/>
        </w:rPr>
        <w:t>PCa</w:t>
      </w:r>
      <w:proofErr w:type="spellEnd"/>
      <w:r w:rsidRPr="00E42772">
        <w:rPr>
          <w:rFonts w:ascii="Times New Roman" w:hAnsi="Times New Roman"/>
          <w:sz w:val="24"/>
        </w:rPr>
        <w:t xml:space="preserve">. While ESC noted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was less accurate than TRUSGB/TPUSGB in population 2, there was limited evidence that this would </w:t>
      </w:r>
      <w:r>
        <w:rPr>
          <w:rFonts w:ascii="Times New Roman" w:hAnsi="Times New Roman"/>
          <w:sz w:val="24"/>
        </w:rPr>
        <w:t xml:space="preserve">not </w:t>
      </w:r>
      <w:r w:rsidRPr="00E42772">
        <w:rPr>
          <w:rFonts w:ascii="Times New Roman" w:hAnsi="Times New Roman"/>
          <w:sz w:val="24"/>
        </w:rPr>
        <w:t>adversely affect patient outcomes.</w:t>
      </w:r>
    </w:p>
    <w:p w14:paraId="3043DBF8" w14:textId="0187231A"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suggested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had superior safety compared to TRUSGB/TPUSGB in population 2. The applicant had indicated that 30% of men in an AS program will have their disease upgraded by </w:t>
      </w:r>
      <w:proofErr w:type="spellStart"/>
      <w:r w:rsidRPr="00E42772">
        <w:rPr>
          <w:rFonts w:ascii="Times New Roman" w:hAnsi="Times New Roman"/>
          <w:sz w:val="24"/>
        </w:rPr>
        <w:t>mpMRI</w:t>
      </w:r>
      <w:proofErr w:type="spellEnd"/>
      <w:r w:rsidRPr="00E42772">
        <w:rPr>
          <w:rFonts w:ascii="Times New Roman" w:hAnsi="Times New Roman"/>
          <w:sz w:val="24"/>
        </w:rPr>
        <w:t xml:space="preserve">. ESC noted that this meant that for every 1,000 men in an AS program,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would avoid 358 biopsies but would result in a delay in diagnosing upgraded disease in 31 men.</w:t>
      </w:r>
    </w:p>
    <w:p w14:paraId="365A74F6"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 suggested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would be slightly less effective than biopsy </w:t>
      </w:r>
      <w:r>
        <w:rPr>
          <w:rFonts w:ascii="Times New Roman" w:hAnsi="Times New Roman"/>
          <w:sz w:val="24"/>
        </w:rPr>
        <w:t xml:space="preserve">(loss of 0.001 QALY [~0.3 day]) </w:t>
      </w:r>
      <w:r w:rsidRPr="00E42772">
        <w:rPr>
          <w:rFonts w:ascii="Times New Roman" w:hAnsi="Times New Roman"/>
          <w:sz w:val="24"/>
        </w:rPr>
        <w:t xml:space="preserve">but less expensive.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saved $232,269 per QALY lost. ESC noted that listing </w:t>
      </w:r>
      <w:proofErr w:type="spellStart"/>
      <w:r w:rsidRPr="00E42772">
        <w:rPr>
          <w:rFonts w:ascii="Times New Roman" w:hAnsi="Times New Roman"/>
          <w:sz w:val="24"/>
        </w:rPr>
        <w:t>mpMRI</w:t>
      </w:r>
      <w:proofErr w:type="spellEnd"/>
      <w:r w:rsidRPr="00E42772">
        <w:rPr>
          <w:rFonts w:ascii="Times New Roman" w:hAnsi="Times New Roman"/>
          <w:sz w:val="24"/>
        </w:rPr>
        <w:t xml:space="preserve"> in population 2 would result in a net cost of approximately $1.3 million per year to the MBS but a net saving of approximately $2.0 million to the health system as a whole (including costs to the MBS, other health funders and patient co-payments).</w:t>
      </w:r>
    </w:p>
    <w:p w14:paraId="4745E03A"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lastRenderedPageBreak/>
        <w:t xml:space="preserve">ESC noted the modelling for population 2 was based upon the assumption that 30% of men would have their disease upgraded by </w:t>
      </w:r>
      <w:proofErr w:type="spellStart"/>
      <w:r w:rsidRPr="00E42772">
        <w:rPr>
          <w:rFonts w:ascii="Times New Roman" w:hAnsi="Times New Roman"/>
          <w:sz w:val="24"/>
        </w:rPr>
        <w:t>mpMRI</w:t>
      </w:r>
      <w:proofErr w:type="spellEnd"/>
      <w:r w:rsidRPr="00E42772">
        <w:rPr>
          <w:rFonts w:ascii="Times New Roman" w:hAnsi="Times New Roman"/>
          <w:sz w:val="24"/>
        </w:rPr>
        <w:t xml:space="preserve">. ESC noted that if </w:t>
      </w:r>
      <w:proofErr w:type="spellStart"/>
      <w:r w:rsidRPr="00E42772">
        <w:rPr>
          <w:rFonts w:ascii="Times New Roman" w:hAnsi="Times New Roman"/>
          <w:sz w:val="24"/>
        </w:rPr>
        <w:t>mpMRI</w:t>
      </w:r>
      <w:proofErr w:type="spellEnd"/>
      <w:r w:rsidRPr="00E42772">
        <w:rPr>
          <w:rFonts w:ascii="Times New Roman" w:hAnsi="Times New Roman"/>
          <w:sz w:val="24"/>
        </w:rPr>
        <w:t xml:space="preserve"> is used in a broader population than currently, the proportion of men who are upgraded on </w:t>
      </w:r>
      <w:proofErr w:type="spellStart"/>
      <w:r w:rsidRPr="00E42772">
        <w:rPr>
          <w:rFonts w:ascii="Times New Roman" w:hAnsi="Times New Roman"/>
          <w:sz w:val="24"/>
        </w:rPr>
        <w:t>mpMRI</w:t>
      </w:r>
      <w:proofErr w:type="spellEnd"/>
      <w:r w:rsidRPr="00E42772">
        <w:rPr>
          <w:rFonts w:ascii="Times New Roman" w:hAnsi="Times New Roman"/>
          <w:sz w:val="24"/>
        </w:rPr>
        <w:t xml:space="preserve"> may fall. ESC suggested that a sensitivity analysis incorporating a 15% prevalence of upgrading would be helpful for decision making. </w:t>
      </w:r>
    </w:p>
    <w:p w14:paraId="5EB7E942"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the economic modelling for both population 1 and 2 was based upon a linked evidence approach. </w:t>
      </w:r>
    </w:p>
    <w:p w14:paraId="507C812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ESC questioned the suggested fee of $600, which is based upon the current market price, and is higher than the MBS fees for similar MRI procedures (e.g. item 63476 MRI scan of the pelvis for the initial staging of rectal cancer: ~$403).</w:t>
      </w:r>
    </w:p>
    <w:p w14:paraId="5373E938" w14:textId="179398E0"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that listing </w:t>
      </w:r>
      <w:proofErr w:type="spellStart"/>
      <w:r w:rsidRPr="00E42772">
        <w:rPr>
          <w:rFonts w:ascii="Times New Roman" w:hAnsi="Times New Roman"/>
          <w:sz w:val="24"/>
        </w:rPr>
        <w:t>mpMRI</w:t>
      </w:r>
      <w:proofErr w:type="spellEnd"/>
      <w:r w:rsidRPr="00E42772">
        <w:rPr>
          <w:rFonts w:ascii="Times New Roman" w:hAnsi="Times New Roman"/>
          <w:sz w:val="24"/>
        </w:rPr>
        <w:t xml:space="preserve"> for diagnosis of </w:t>
      </w:r>
      <w:proofErr w:type="spellStart"/>
      <w:r w:rsidRPr="00E42772">
        <w:rPr>
          <w:rFonts w:ascii="Times New Roman" w:hAnsi="Times New Roman"/>
          <w:sz w:val="24"/>
        </w:rPr>
        <w:t>PCa</w:t>
      </w:r>
      <w:proofErr w:type="spellEnd"/>
      <w:r w:rsidRPr="00E42772">
        <w:rPr>
          <w:rFonts w:ascii="Times New Roman" w:hAnsi="Times New Roman"/>
          <w:sz w:val="24"/>
        </w:rPr>
        <w:t xml:space="preserve"> could lead to its use outside these two populations. ESC noted that international and Australian guidelines suggest consideration of </w:t>
      </w:r>
      <w:proofErr w:type="spellStart"/>
      <w:r w:rsidRPr="00E42772">
        <w:rPr>
          <w:rFonts w:ascii="Times New Roman" w:hAnsi="Times New Roman"/>
          <w:sz w:val="24"/>
        </w:rPr>
        <w:t>mpMRI</w:t>
      </w:r>
      <w:proofErr w:type="spellEnd"/>
      <w:r w:rsidRPr="00E42772">
        <w:rPr>
          <w:rFonts w:ascii="Times New Roman" w:hAnsi="Times New Roman"/>
          <w:sz w:val="24"/>
        </w:rPr>
        <w:t xml:space="preserve"> in men after a negative biopsy to determine if another biopsy is required (</w:t>
      </w:r>
      <w:hyperlink r:id="rId12" w:anchor="assessment-2" w:tooltip="Link to NICE clinical guidelines for prostate cancer: diagnosis and management" w:history="1">
        <w:r w:rsidRPr="00E42772">
          <w:rPr>
            <w:rStyle w:val="Hyperlink"/>
            <w:rFonts w:ascii="Times New Roman" w:hAnsi="Times New Roman"/>
          </w:rPr>
          <w:t>NICE 2014</w:t>
        </w:r>
      </w:hyperlink>
      <w:r w:rsidRPr="00E42772">
        <w:rPr>
          <w:rFonts w:ascii="Times New Roman" w:hAnsi="Times New Roman"/>
          <w:sz w:val="24"/>
        </w:rPr>
        <w:t xml:space="preserve"> and </w:t>
      </w:r>
      <w:hyperlink r:id="rId13" w:tooltip="Link to prostate cancer foundation of Australia and Cancer Council clinical practice guidelines for PSA testing" w:history="1">
        <w:r w:rsidRPr="00E42772">
          <w:rPr>
            <w:rStyle w:val="Hyperlink"/>
            <w:rFonts w:ascii="Times New Roman" w:hAnsi="Times New Roman"/>
          </w:rPr>
          <w:t>PCFA/CCA 2016</w:t>
        </w:r>
      </w:hyperlink>
      <w:r w:rsidRPr="00E42772">
        <w:rPr>
          <w:rFonts w:ascii="Times New Roman" w:hAnsi="Times New Roman"/>
          <w:sz w:val="24"/>
        </w:rPr>
        <w:t xml:space="preserve">) or if there is continuing suspicion that the patient has </w:t>
      </w:r>
      <w:proofErr w:type="spellStart"/>
      <w:r w:rsidRPr="00E42772">
        <w:rPr>
          <w:rFonts w:ascii="Times New Roman" w:hAnsi="Times New Roman"/>
          <w:sz w:val="24"/>
        </w:rPr>
        <w:t>PCa</w:t>
      </w:r>
      <w:proofErr w:type="spellEnd"/>
      <w:r w:rsidRPr="00E42772">
        <w:rPr>
          <w:rFonts w:ascii="Times New Roman" w:hAnsi="Times New Roman"/>
          <w:sz w:val="24"/>
        </w:rPr>
        <w:t xml:space="preserve"> (</w:t>
      </w:r>
      <w:hyperlink r:id="rId14" w:tooltip="Link to American Urological Association clinical guidance for prostate MRI and MRI targeted biopsy" w:history="1">
        <w:r w:rsidRPr="00CB5A5A">
          <w:rPr>
            <w:rStyle w:val="Hyperlink"/>
            <w:rFonts w:ascii="Times New Roman" w:hAnsi="Times New Roman"/>
          </w:rPr>
          <w:t>AUA/SAR 2016</w:t>
        </w:r>
      </w:hyperlink>
      <w:r w:rsidRPr="00E42772">
        <w:rPr>
          <w:rFonts w:ascii="Times New Roman" w:hAnsi="Times New Roman"/>
          <w:sz w:val="24"/>
        </w:rPr>
        <w:t xml:space="preserve">). ESC advised that incorporating a limitation on the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after biopsy in the item descriptor may prevent such leakage. </w:t>
      </w:r>
    </w:p>
    <w:p w14:paraId="20C6F5B1"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Similarly, ESC expressed concern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may be used to stage </w:t>
      </w:r>
      <w:proofErr w:type="spellStart"/>
      <w:r w:rsidRPr="00E42772">
        <w:rPr>
          <w:rFonts w:ascii="Times New Roman" w:hAnsi="Times New Roman"/>
          <w:sz w:val="24"/>
        </w:rPr>
        <w:t>PCa</w:t>
      </w:r>
      <w:proofErr w:type="spellEnd"/>
      <w:r w:rsidRPr="00E42772">
        <w:rPr>
          <w:rFonts w:ascii="Times New Roman" w:hAnsi="Times New Roman"/>
          <w:sz w:val="24"/>
        </w:rPr>
        <w:t xml:space="preserve"> even if a decision to biopsy and treat has already been made after clinical examination. </w:t>
      </w:r>
    </w:p>
    <w:p w14:paraId="0BCC53CE"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In addition, ESC noted that the availability of </w:t>
      </w:r>
      <w:proofErr w:type="spellStart"/>
      <w:r w:rsidRPr="00E42772">
        <w:rPr>
          <w:rFonts w:ascii="Times New Roman" w:hAnsi="Times New Roman"/>
          <w:sz w:val="24"/>
        </w:rPr>
        <w:t>mpMRI</w:t>
      </w:r>
      <w:proofErr w:type="spellEnd"/>
      <w:r w:rsidRPr="00E42772">
        <w:rPr>
          <w:rFonts w:ascii="Times New Roman" w:hAnsi="Times New Roman"/>
          <w:sz w:val="24"/>
        </w:rPr>
        <w:t xml:space="preserve"> could increase the attractiveness of using PSA for screening and increase rates of PSA testing. ESC suggested that clinicians and men are less likely to be deterred from using PSA inappropriately as a screening test if the follow-up test is a non-invasive </w:t>
      </w:r>
      <w:proofErr w:type="spellStart"/>
      <w:r w:rsidRPr="00E42772">
        <w:rPr>
          <w:rFonts w:ascii="Times New Roman" w:hAnsi="Times New Roman"/>
          <w:sz w:val="24"/>
        </w:rPr>
        <w:t>mpMRI</w:t>
      </w:r>
      <w:proofErr w:type="spellEnd"/>
      <w:r w:rsidRPr="00E42772">
        <w:rPr>
          <w:rFonts w:ascii="Times New Roman" w:hAnsi="Times New Roman"/>
          <w:sz w:val="24"/>
        </w:rPr>
        <w:t xml:space="preserve"> instead of the invasive TRUSGB/TPUSGB. ESC noted that any increase in the use of PSA for screening could therefore increase the use of </w:t>
      </w:r>
      <w:proofErr w:type="spellStart"/>
      <w:r w:rsidRPr="00E42772">
        <w:rPr>
          <w:rFonts w:ascii="Times New Roman" w:hAnsi="Times New Roman"/>
          <w:sz w:val="24"/>
        </w:rPr>
        <w:t>mpMRI</w:t>
      </w:r>
      <w:proofErr w:type="spellEnd"/>
      <w:r w:rsidRPr="00E42772">
        <w:rPr>
          <w:rFonts w:ascii="Times New Roman" w:hAnsi="Times New Roman"/>
          <w:sz w:val="24"/>
        </w:rPr>
        <w:t xml:space="preserve"> over and above that estimated in the application.</w:t>
      </w:r>
    </w:p>
    <w:p w14:paraId="38B7CAC5"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noted there may be issues with inter-reader reliability when using </w:t>
      </w:r>
      <w:proofErr w:type="spellStart"/>
      <w:r w:rsidRPr="00E42772">
        <w:rPr>
          <w:rFonts w:ascii="Times New Roman" w:hAnsi="Times New Roman"/>
          <w:sz w:val="24"/>
        </w:rPr>
        <w:t>mpMRI</w:t>
      </w:r>
      <w:proofErr w:type="spellEnd"/>
      <w:r w:rsidRPr="00E42772">
        <w:rPr>
          <w:rFonts w:ascii="Times New Roman" w:hAnsi="Times New Roman"/>
          <w:sz w:val="24"/>
        </w:rPr>
        <w:t xml:space="preserve"> to determine Prostate Imaging Reporting and Data System (PI-RADS) scores. In studies in which different readers reviewed the same </w:t>
      </w:r>
      <w:proofErr w:type="spellStart"/>
      <w:r w:rsidRPr="00E42772">
        <w:rPr>
          <w:rFonts w:ascii="Times New Roman" w:hAnsi="Times New Roman"/>
          <w:sz w:val="24"/>
        </w:rPr>
        <w:t>mpMRI</w:t>
      </w:r>
      <w:proofErr w:type="spellEnd"/>
      <w:r w:rsidRPr="00E42772">
        <w:rPr>
          <w:rFonts w:ascii="Times New Roman" w:hAnsi="Times New Roman"/>
          <w:sz w:val="24"/>
        </w:rPr>
        <w:t xml:space="preserve"> images and separately assigned a PI-RADS score, agreement as measured by the kappa statistic ranged from 0.48 to 0.81 (a kappa of 1.0 indicates complete agreement between readers). ESC considered that radiologists and centres offering </w:t>
      </w:r>
      <w:proofErr w:type="spellStart"/>
      <w:r w:rsidRPr="00E42772">
        <w:rPr>
          <w:rFonts w:ascii="Times New Roman" w:hAnsi="Times New Roman"/>
          <w:sz w:val="24"/>
        </w:rPr>
        <w:t>mpMRI</w:t>
      </w:r>
      <w:proofErr w:type="spellEnd"/>
      <w:r w:rsidRPr="00E42772">
        <w:rPr>
          <w:rFonts w:ascii="Times New Roman" w:hAnsi="Times New Roman"/>
          <w:sz w:val="24"/>
        </w:rPr>
        <w:t xml:space="preserve"> should participate in rigorous training and ongoing quality assurance.</w:t>
      </w:r>
    </w:p>
    <w:p w14:paraId="7DEAC599"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ESC suggested including a limit on the number of </w:t>
      </w:r>
      <w:proofErr w:type="spellStart"/>
      <w:r w:rsidRPr="00E42772">
        <w:rPr>
          <w:rFonts w:ascii="Times New Roman" w:hAnsi="Times New Roman"/>
          <w:sz w:val="24"/>
        </w:rPr>
        <w:t>mpMRI</w:t>
      </w:r>
      <w:proofErr w:type="spellEnd"/>
      <w:r w:rsidRPr="00E42772">
        <w:rPr>
          <w:rFonts w:ascii="Times New Roman" w:hAnsi="Times New Roman"/>
          <w:sz w:val="24"/>
        </w:rPr>
        <w:t xml:space="preserve"> scans claimed per patient per year in the item descriptor. ESC also noted that if </w:t>
      </w:r>
      <w:proofErr w:type="spellStart"/>
      <w:r w:rsidRPr="00E42772">
        <w:rPr>
          <w:rFonts w:ascii="Times New Roman" w:hAnsi="Times New Roman"/>
          <w:sz w:val="24"/>
        </w:rPr>
        <w:t>mpMRI</w:t>
      </w:r>
      <w:proofErr w:type="spellEnd"/>
      <w:r w:rsidRPr="00E42772">
        <w:rPr>
          <w:rFonts w:ascii="Times New Roman" w:hAnsi="Times New Roman"/>
          <w:sz w:val="24"/>
        </w:rPr>
        <w:t xml:space="preserve"> </w:t>
      </w:r>
      <w:r>
        <w:rPr>
          <w:rFonts w:ascii="Times New Roman" w:hAnsi="Times New Roman"/>
          <w:sz w:val="24"/>
        </w:rPr>
        <w:t>were</w:t>
      </w:r>
      <w:r w:rsidRPr="00E42772">
        <w:rPr>
          <w:rFonts w:ascii="Times New Roman" w:hAnsi="Times New Roman"/>
          <w:sz w:val="24"/>
        </w:rPr>
        <w:t xml:space="preserve"> MBS-listed, the item descriptors would need to accurately describe the populations of men who could benefit from use of </w:t>
      </w:r>
      <w:proofErr w:type="spellStart"/>
      <w:r w:rsidRPr="00E42772">
        <w:rPr>
          <w:rFonts w:ascii="Times New Roman" w:hAnsi="Times New Roman"/>
          <w:sz w:val="24"/>
        </w:rPr>
        <w:t>mpMRI</w:t>
      </w:r>
      <w:proofErr w:type="spellEnd"/>
      <w:r w:rsidRPr="00E42772">
        <w:rPr>
          <w:rFonts w:ascii="Times New Roman" w:hAnsi="Times New Roman"/>
          <w:sz w:val="24"/>
        </w:rPr>
        <w:t>.</w:t>
      </w:r>
    </w:p>
    <w:p w14:paraId="32AB7D36" w14:textId="77777777" w:rsidR="00FD7B90" w:rsidRPr="00E42772" w:rsidRDefault="00FD7B90" w:rsidP="00460D31">
      <w:pPr>
        <w:pStyle w:val="BodyText"/>
        <w:spacing w:line="240" w:lineRule="auto"/>
        <w:rPr>
          <w:rFonts w:ascii="Times New Roman" w:hAnsi="Times New Roman"/>
          <w:sz w:val="24"/>
        </w:rPr>
      </w:pPr>
      <w:r w:rsidRPr="00E42772">
        <w:rPr>
          <w:rFonts w:ascii="Times New Roman" w:hAnsi="Times New Roman"/>
          <w:sz w:val="24"/>
        </w:rPr>
        <w:t xml:space="preserve">From a consumer perspective, ESC noted that </w:t>
      </w:r>
      <w:proofErr w:type="spellStart"/>
      <w:r w:rsidRPr="00E42772">
        <w:rPr>
          <w:rFonts w:ascii="Times New Roman" w:hAnsi="Times New Roman"/>
          <w:sz w:val="24"/>
        </w:rPr>
        <w:t>mpMRI</w:t>
      </w:r>
      <w:proofErr w:type="spellEnd"/>
      <w:r w:rsidRPr="00E42772">
        <w:rPr>
          <w:rFonts w:ascii="Times New Roman" w:hAnsi="Times New Roman"/>
          <w:sz w:val="24"/>
        </w:rPr>
        <w:t xml:space="preserve"> was likely to be more acceptable to patients than biopsy and that some consumers were already paying for the procedure privately. ESC noted that there is potential for </w:t>
      </w:r>
      <w:proofErr w:type="spellStart"/>
      <w:r w:rsidRPr="00E42772">
        <w:rPr>
          <w:rFonts w:ascii="Times New Roman" w:hAnsi="Times New Roman"/>
          <w:sz w:val="24"/>
        </w:rPr>
        <w:t>mpMRI</w:t>
      </w:r>
      <w:proofErr w:type="spellEnd"/>
      <w:r w:rsidRPr="00E42772">
        <w:rPr>
          <w:rFonts w:ascii="Times New Roman" w:hAnsi="Times New Roman"/>
          <w:sz w:val="24"/>
        </w:rPr>
        <w:t xml:space="preserve"> to be used to reassure clinicians and men that they do not have significant </w:t>
      </w:r>
      <w:proofErr w:type="spellStart"/>
      <w:r w:rsidRPr="00E42772">
        <w:rPr>
          <w:rFonts w:ascii="Times New Roman" w:hAnsi="Times New Roman"/>
          <w:sz w:val="24"/>
        </w:rPr>
        <w:t>PCa</w:t>
      </w:r>
      <w:proofErr w:type="spellEnd"/>
      <w:r w:rsidRPr="00E42772">
        <w:rPr>
          <w:rFonts w:ascii="Times New Roman" w:hAnsi="Times New Roman"/>
          <w:sz w:val="24"/>
        </w:rPr>
        <w:t xml:space="preserve"> rather than for diagnostic purposes. </w:t>
      </w:r>
    </w:p>
    <w:p w14:paraId="77EF598E" w14:textId="77777777" w:rsidR="00D90A38" w:rsidRPr="00F715D1" w:rsidRDefault="00BC1364" w:rsidP="008E4C81">
      <w:pPr>
        <w:pStyle w:val="Heading1"/>
        <w:ind w:hanging="502"/>
      </w:pPr>
      <w:r w:rsidRPr="00F715D1">
        <w:t>Other significant factors</w:t>
      </w:r>
    </w:p>
    <w:p w14:paraId="344B8DBB" w14:textId="77777777" w:rsidR="00BC1364" w:rsidRPr="008E4C81" w:rsidRDefault="00BC1364" w:rsidP="00F715D1">
      <w:pPr>
        <w:spacing w:after="240"/>
        <w:rPr>
          <w:szCs w:val="24"/>
        </w:rPr>
      </w:pPr>
      <w:r w:rsidRPr="008E4C81">
        <w:rPr>
          <w:szCs w:val="24"/>
        </w:rPr>
        <w:t>Nil</w:t>
      </w:r>
    </w:p>
    <w:p w14:paraId="5188FD33" w14:textId="77777777" w:rsidR="00BC1364" w:rsidRPr="00F715D1" w:rsidRDefault="00BC1364" w:rsidP="008E4C81">
      <w:pPr>
        <w:pStyle w:val="Heading1"/>
        <w:ind w:hanging="502"/>
      </w:pPr>
      <w:r w:rsidRPr="00F715D1">
        <w:t xml:space="preserve">Applicant’s comments on MSAC’s </w:t>
      </w:r>
      <w:r w:rsidR="00DA56AA" w:rsidRPr="00F715D1">
        <w:t>Public Summary Document</w:t>
      </w:r>
    </w:p>
    <w:p w14:paraId="3A801A56" w14:textId="5AB29FE7" w:rsidR="006F6052" w:rsidRPr="00481442" w:rsidRDefault="006F6052" w:rsidP="006F6052">
      <w:pPr>
        <w:pStyle w:val="NoSpacing"/>
      </w:pPr>
      <w:r>
        <w:t>Australian m</w:t>
      </w:r>
      <w:r w:rsidRPr="00117355">
        <w:t xml:space="preserve">en with financial resources are undergoing imaging of the prostate in increasing numbers, and those without </w:t>
      </w:r>
      <w:r>
        <w:t xml:space="preserve">financial </w:t>
      </w:r>
      <w:r w:rsidRPr="00117355">
        <w:t xml:space="preserve">resources are still undergoing blind TRUS biopsy of the </w:t>
      </w:r>
      <w:r w:rsidRPr="00117355">
        <w:lastRenderedPageBreak/>
        <w:t>prostate.</w:t>
      </w:r>
      <w:r>
        <w:t xml:space="preserve">  Australian m</w:t>
      </w:r>
      <w:r w:rsidRPr="00B85293">
        <w:t xml:space="preserve">en should have </w:t>
      </w:r>
      <w:r>
        <w:t>equity of</w:t>
      </w:r>
      <w:r w:rsidRPr="00B85293">
        <w:t xml:space="preserve"> access </w:t>
      </w:r>
      <w:r>
        <w:t xml:space="preserve">to </w:t>
      </w:r>
      <w:r w:rsidRPr="00B85293">
        <w:t>state of the art diagnostic imaging in prostate cancer.</w:t>
      </w:r>
      <w:r>
        <w:t xml:space="preserve">  In relation to MSAC’s concern that the number of </w:t>
      </w:r>
      <w:proofErr w:type="spellStart"/>
      <w:r>
        <w:t>mpMRIs</w:t>
      </w:r>
      <w:proofErr w:type="spellEnd"/>
      <w:r>
        <w:t xml:space="preserve"> would likely be higher than estimated in the application due to use outside the proposed populations,</w:t>
      </w:r>
      <w:r w:rsidRPr="009C4F05">
        <w:t xml:space="preserve"> </w:t>
      </w:r>
      <w:r>
        <w:t>i</w:t>
      </w:r>
      <w:r w:rsidRPr="009C4F05">
        <w:t xml:space="preserve">t is agreed that a small cohort </w:t>
      </w:r>
      <w:r>
        <w:t xml:space="preserve">of </w:t>
      </w:r>
      <w:r w:rsidRPr="009C4F05">
        <w:t xml:space="preserve">men with treatment failure (after radiation or surgery) may need </w:t>
      </w:r>
      <w:proofErr w:type="spellStart"/>
      <w:r w:rsidRPr="009C4F05">
        <w:t>mpMRI</w:t>
      </w:r>
      <w:proofErr w:type="spellEnd"/>
      <w:r w:rsidRPr="009C4F05">
        <w:t xml:space="preserve"> to assess the presence or absence of local recurrence.   Currently, PSMAGa68 Nuclear Scanning is </w:t>
      </w:r>
      <w:r>
        <w:t xml:space="preserve">evolving as </w:t>
      </w:r>
      <w:r w:rsidRPr="009C4F05">
        <w:t>the first line</w:t>
      </w:r>
      <w:r>
        <w:t xml:space="preserve"> imaging</w:t>
      </w:r>
      <w:r w:rsidRPr="009C4F05">
        <w:t xml:space="preserve"> investigation of recurrence.</w:t>
      </w:r>
      <w:r>
        <w:t xml:space="preserve">  </w:t>
      </w:r>
      <w:r w:rsidRPr="009C4F05">
        <w:t>These numbers would be predicted to be very small compared</w:t>
      </w:r>
      <w:r>
        <w:t xml:space="preserve"> to the two defined populations. In relation to MSAC’s concern that the proposed fee of $600 is too high and should be reduced to $400, we consider that $600 is an appropriate fee for this service. We consider the comparison to rectal MRI is questionable as the sequences for </w:t>
      </w:r>
      <w:proofErr w:type="spellStart"/>
      <w:r>
        <w:t>mpMRI</w:t>
      </w:r>
      <w:proofErr w:type="spellEnd"/>
      <w:r>
        <w:t xml:space="preserve"> prostate are more time consuming to perform and to read. The applicants also respectfully question the methodology on the cost evaluation. It appears that an assumption made in assessing the comparator (TRUSGB) was that the number of biopsies equated to the number of </w:t>
      </w:r>
      <w:r w:rsidRPr="00481442">
        <w:t xml:space="preserve">new diagnoses per year. In this historical comparison, </w:t>
      </w:r>
      <w:r>
        <w:t xml:space="preserve">the </w:t>
      </w:r>
      <w:r w:rsidRPr="00481442">
        <w:t>positive diagnosis rate or “hit rate” is not 100%.If only TRUS were being done, the estimate for the number of biopsies needed to diagnose 20,000 cases would be about 50,000 biopsies, based on detection rates (39-42%) reported in a systematic review of 11 997 participants</w:t>
      </w:r>
      <w:r>
        <w:t xml:space="preserve">. </w:t>
      </w:r>
      <w:r w:rsidRPr="00481442">
        <w:t>Thus, at the cost of $600/</w:t>
      </w:r>
      <w:proofErr w:type="spellStart"/>
      <w:r w:rsidRPr="00481442">
        <w:t>mpMRI</w:t>
      </w:r>
      <w:proofErr w:type="spellEnd"/>
      <w:r w:rsidRPr="00481442">
        <w:t xml:space="preserve"> and $2,400 per TRUGB, the </w:t>
      </w:r>
      <w:r>
        <w:t xml:space="preserve">overall </w:t>
      </w:r>
      <w:r w:rsidRPr="00481442">
        <w:t xml:space="preserve">savings in health costs would be projected to be </w:t>
      </w:r>
      <w:r>
        <w:t>around</w:t>
      </w:r>
      <w:r w:rsidRPr="00481442">
        <w:t xml:space="preserve"> $80million over 5 years instead of the calculated </w:t>
      </w:r>
      <w:r>
        <w:t xml:space="preserve">saving of </w:t>
      </w:r>
      <w:r w:rsidRPr="00481442">
        <w:t>$40million</w:t>
      </w:r>
      <w:r>
        <w:t xml:space="preserve"> over 5 years.</w:t>
      </w:r>
      <w:r w:rsidRPr="00481442">
        <w:t xml:space="preserve"> </w:t>
      </w:r>
    </w:p>
    <w:p w14:paraId="6644F692" w14:textId="77777777" w:rsidR="00BC1364" w:rsidRPr="00F715D1" w:rsidRDefault="00271F18" w:rsidP="008E4C81">
      <w:pPr>
        <w:pStyle w:val="Heading1"/>
        <w:ind w:hanging="502"/>
      </w:pPr>
      <w:r w:rsidRPr="00F715D1">
        <w:t>Further information on MSAC</w:t>
      </w:r>
    </w:p>
    <w:p w14:paraId="7EB41CD9" w14:textId="3587FC7D"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316ED4" w15:done="0"/>
  <w15:commentEx w15:paraId="3575A62A" w15:done="0"/>
  <w15:commentEx w15:paraId="7D74695A" w15:done="0"/>
  <w15:commentEx w15:paraId="75FAA890" w15:done="0"/>
  <w15:commentEx w15:paraId="2C219AB8" w15:done="0"/>
  <w15:commentEx w15:paraId="203948CE" w15:done="0"/>
  <w15:commentEx w15:paraId="50AAD702" w15:done="0"/>
  <w15:commentEx w15:paraId="094ED057" w15:done="0"/>
  <w15:commentEx w15:paraId="236497C5" w15:done="0"/>
  <w15:commentEx w15:paraId="651F18C3" w15:done="0"/>
  <w15:commentEx w15:paraId="7505D384" w15:done="0"/>
  <w15:commentEx w15:paraId="7B90779E" w15:done="0"/>
  <w15:commentEx w15:paraId="7049F496" w15:done="0"/>
  <w15:commentEx w15:paraId="0980EE3E" w15:done="0"/>
  <w15:commentEx w15:paraId="32408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A53C2" w14:textId="77777777" w:rsidR="005E1B36" w:rsidRDefault="005E1B36" w:rsidP="00065623">
      <w:r>
        <w:separator/>
      </w:r>
    </w:p>
  </w:endnote>
  <w:endnote w:type="continuationSeparator" w:id="0">
    <w:p w14:paraId="4FF4BA08" w14:textId="77777777" w:rsidR="005E1B36" w:rsidRDefault="005E1B3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umanist521BT-Roman">
    <w:panose1 w:val="00000000000000000000"/>
    <w:charset w:val="4D"/>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D5EC10B" w14:textId="77777777" w:rsidR="005E1B36" w:rsidRDefault="005E1B36">
        <w:pPr>
          <w:pStyle w:val="Footer"/>
          <w:jc w:val="right"/>
        </w:pPr>
        <w:r>
          <w:fldChar w:fldCharType="begin"/>
        </w:r>
        <w:r>
          <w:instrText xml:space="preserve"> PAGE   \* MERGEFORMAT </w:instrText>
        </w:r>
        <w:r>
          <w:fldChar w:fldCharType="separate"/>
        </w:r>
        <w:r w:rsidR="00AD1228">
          <w:rPr>
            <w:noProof/>
          </w:rPr>
          <w:t>1</w:t>
        </w:r>
        <w:r>
          <w:rPr>
            <w:noProof/>
          </w:rPr>
          <w:fldChar w:fldCharType="end"/>
        </w:r>
      </w:p>
    </w:sdtContent>
  </w:sdt>
  <w:p w14:paraId="272096C5" w14:textId="77777777" w:rsidR="005E1B36" w:rsidRDefault="005E1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09DE9" w14:textId="77777777" w:rsidR="005E1B36" w:rsidRDefault="005E1B36" w:rsidP="00065623">
      <w:r>
        <w:separator/>
      </w:r>
    </w:p>
  </w:footnote>
  <w:footnote w:type="continuationSeparator" w:id="0">
    <w:p w14:paraId="2C8453E1" w14:textId="77777777" w:rsidR="005E1B36" w:rsidRDefault="005E1B36"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7430932"/>
    <w:multiLevelType w:val="hybridMultilevel"/>
    <w:tmpl w:val="24D66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41172B"/>
    <w:multiLevelType w:val="hybridMultilevel"/>
    <w:tmpl w:val="3404D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420EFC"/>
    <w:multiLevelType w:val="hybridMultilevel"/>
    <w:tmpl w:val="130E83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277B17"/>
    <w:multiLevelType w:val="hybridMultilevel"/>
    <w:tmpl w:val="DA3E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AD5212"/>
    <w:multiLevelType w:val="hybridMultilevel"/>
    <w:tmpl w:val="D0D4D7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987B36"/>
    <w:multiLevelType w:val="hybridMultilevel"/>
    <w:tmpl w:val="0EB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5565CE4"/>
    <w:multiLevelType w:val="hybridMultilevel"/>
    <w:tmpl w:val="76A07508"/>
    <w:lvl w:ilvl="0" w:tplc="2F961DC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EA3061"/>
    <w:multiLevelType w:val="hybridMultilevel"/>
    <w:tmpl w:val="45E6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3A76CB"/>
    <w:multiLevelType w:val="hybridMultilevel"/>
    <w:tmpl w:val="41723F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C66486"/>
    <w:multiLevelType w:val="hybridMultilevel"/>
    <w:tmpl w:val="48A6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6F7E0C94"/>
    <w:multiLevelType w:val="hybridMultilevel"/>
    <w:tmpl w:val="7E364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210722"/>
    <w:multiLevelType w:val="hybridMultilevel"/>
    <w:tmpl w:val="CA0CD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E13A15"/>
    <w:multiLevelType w:val="hybridMultilevel"/>
    <w:tmpl w:val="C8480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
  </w:num>
  <w:num w:numId="4">
    <w:abstractNumId w:val="25"/>
  </w:num>
  <w:num w:numId="5">
    <w:abstractNumId w:val="16"/>
  </w:num>
  <w:num w:numId="6">
    <w:abstractNumId w:val="24"/>
  </w:num>
  <w:num w:numId="7">
    <w:abstractNumId w:val="28"/>
  </w:num>
  <w:num w:numId="8">
    <w:abstractNumId w:val="19"/>
  </w:num>
  <w:num w:numId="9">
    <w:abstractNumId w:val="37"/>
  </w:num>
  <w:num w:numId="10">
    <w:abstractNumId w:val="0"/>
  </w:num>
  <w:num w:numId="11">
    <w:abstractNumId w:val="27"/>
  </w:num>
  <w:num w:numId="12">
    <w:abstractNumId w:val="29"/>
  </w:num>
  <w:num w:numId="13">
    <w:abstractNumId w:val="6"/>
  </w:num>
  <w:num w:numId="14">
    <w:abstractNumId w:val="33"/>
  </w:num>
  <w:num w:numId="15">
    <w:abstractNumId w:val="26"/>
  </w:num>
  <w:num w:numId="16">
    <w:abstractNumId w:val="30"/>
  </w:num>
  <w:num w:numId="17">
    <w:abstractNumId w:val="20"/>
  </w:num>
  <w:num w:numId="18">
    <w:abstractNumId w:val="21"/>
  </w:num>
  <w:num w:numId="19">
    <w:abstractNumId w:val="32"/>
  </w:num>
  <w:num w:numId="20">
    <w:abstractNumId w:val="31"/>
  </w:num>
  <w:num w:numId="21">
    <w:abstractNumId w:val="3"/>
  </w:num>
  <w:num w:numId="22">
    <w:abstractNumId w:val="15"/>
  </w:num>
  <w:num w:numId="23">
    <w:abstractNumId w:val="2"/>
  </w:num>
  <w:num w:numId="24">
    <w:abstractNumId w:val="13"/>
  </w:num>
  <w:num w:numId="25">
    <w:abstractNumId w:val="8"/>
  </w:num>
  <w:num w:numId="26">
    <w:abstractNumId w:val="17"/>
  </w:num>
  <w:num w:numId="27">
    <w:abstractNumId w:val="14"/>
  </w:num>
  <w:num w:numId="28">
    <w:abstractNumId w:val="14"/>
    <w:lvlOverride w:ilvl="0">
      <w:startOverride w:val="1"/>
    </w:lvlOverride>
  </w:num>
  <w:num w:numId="29">
    <w:abstractNumId w:val="5"/>
  </w:num>
  <w:num w:numId="30">
    <w:abstractNumId w:val="12"/>
  </w:num>
  <w:num w:numId="31">
    <w:abstractNumId w:val="4"/>
  </w:num>
  <w:num w:numId="32">
    <w:abstractNumId w:val="9"/>
  </w:num>
  <w:num w:numId="33">
    <w:abstractNumId w:val="22"/>
  </w:num>
  <w:num w:numId="34">
    <w:abstractNumId w:val="36"/>
  </w:num>
  <w:num w:numId="35">
    <w:abstractNumId w:val="35"/>
  </w:num>
  <w:num w:numId="36">
    <w:abstractNumId w:val="18"/>
  </w:num>
  <w:num w:numId="37">
    <w:abstractNumId w:val="11"/>
  </w:num>
  <w:num w:numId="38">
    <w:abstractNumId w:val="7"/>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53A66"/>
    <w:rsid w:val="000557D4"/>
    <w:rsid w:val="0005797A"/>
    <w:rsid w:val="00065623"/>
    <w:rsid w:val="000756B9"/>
    <w:rsid w:val="00083478"/>
    <w:rsid w:val="00096B67"/>
    <w:rsid w:val="00096DAF"/>
    <w:rsid w:val="000B62D0"/>
    <w:rsid w:val="000C2F47"/>
    <w:rsid w:val="000D6C00"/>
    <w:rsid w:val="000E4E04"/>
    <w:rsid w:val="000F14B4"/>
    <w:rsid w:val="000F75DF"/>
    <w:rsid w:val="001023DC"/>
    <w:rsid w:val="00107E43"/>
    <w:rsid w:val="00111D72"/>
    <w:rsid w:val="001237BD"/>
    <w:rsid w:val="001328FA"/>
    <w:rsid w:val="00147AAF"/>
    <w:rsid w:val="001552C0"/>
    <w:rsid w:val="001640B1"/>
    <w:rsid w:val="0018435E"/>
    <w:rsid w:val="00190A28"/>
    <w:rsid w:val="001F23DE"/>
    <w:rsid w:val="002041A1"/>
    <w:rsid w:val="002054F0"/>
    <w:rsid w:val="00230D6B"/>
    <w:rsid w:val="00232068"/>
    <w:rsid w:val="002330F2"/>
    <w:rsid w:val="00243D9E"/>
    <w:rsid w:val="00253B66"/>
    <w:rsid w:val="00261DF1"/>
    <w:rsid w:val="00265BC9"/>
    <w:rsid w:val="00271F18"/>
    <w:rsid w:val="00282779"/>
    <w:rsid w:val="0028334D"/>
    <w:rsid w:val="002A6B9C"/>
    <w:rsid w:val="002B7FFA"/>
    <w:rsid w:val="002C2BCF"/>
    <w:rsid w:val="002F279D"/>
    <w:rsid w:val="002F3FCD"/>
    <w:rsid w:val="002F43B8"/>
    <w:rsid w:val="003011B1"/>
    <w:rsid w:val="0031528B"/>
    <w:rsid w:val="00336856"/>
    <w:rsid w:val="003440CE"/>
    <w:rsid w:val="0034554D"/>
    <w:rsid w:val="00352224"/>
    <w:rsid w:val="00353DB0"/>
    <w:rsid w:val="003671E6"/>
    <w:rsid w:val="00367765"/>
    <w:rsid w:val="0037377A"/>
    <w:rsid w:val="00376F27"/>
    <w:rsid w:val="00384272"/>
    <w:rsid w:val="00386D67"/>
    <w:rsid w:val="003945B8"/>
    <w:rsid w:val="003D2CBB"/>
    <w:rsid w:val="003D7F29"/>
    <w:rsid w:val="00405A6B"/>
    <w:rsid w:val="00407B1F"/>
    <w:rsid w:val="0041184F"/>
    <w:rsid w:val="00414C57"/>
    <w:rsid w:val="0041758C"/>
    <w:rsid w:val="004539DE"/>
    <w:rsid w:val="00460D31"/>
    <w:rsid w:val="004A2CF1"/>
    <w:rsid w:val="004C3035"/>
    <w:rsid w:val="004C307F"/>
    <w:rsid w:val="004C4085"/>
    <w:rsid w:val="004E4BA8"/>
    <w:rsid w:val="004F340F"/>
    <w:rsid w:val="004F55CE"/>
    <w:rsid w:val="004F7B7C"/>
    <w:rsid w:val="0050052C"/>
    <w:rsid w:val="00502B6F"/>
    <w:rsid w:val="00521610"/>
    <w:rsid w:val="0052243D"/>
    <w:rsid w:val="00532435"/>
    <w:rsid w:val="00550354"/>
    <w:rsid w:val="00551DBA"/>
    <w:rsid w:val="00571236"/>
    <w:rsid w:val="0057678B"/>
    <w:rsid w:val="005953A1"/>
    <w:rsid w:val="005A4362"/>
    <w:rsid w:val="005B2AF1"/>
    <w:rsid w:val="005C0CFA"/>
    <w:rsid w:val="005C26F1"/>
    <w:rsid w:val="005D0332"/>
    <w:rsid w:val="005D0D8C"/>
    <w:rsid w:val="005E1B36"/>
    <w:rsid w:val="0064363C"/>
    <w:rsid w:val="0065346C"/>
    <w:rsid w:val="006776AE"/>
    <w:rsid w:val="006A0D97"/>
    <w:rsid w:val="006B1F86"/>
    <w:rsid w:val="006C0A91"/>
    <w:rsid w:val="006D0218"/>
    <w:rsid w:val="006D0CA2"/>
    <w:rsid w:val="006F6052"/>
    <w:rsid w:val="007054BB"/>
    <w:rsid w:val="00705867"/>
    <w:rsid w:val="00707064"/>
    <w:rsid w:val="00716D3B"/>
    <w:rsid w:val="00730683"/>
    <w:rsid w:val="0075261F"/>
    <w:rsid w:val="0075468E"/>
    <w:rsid w:val="007665D8"/>
    <w:rsid w:val="00766E36"/>
    <w:rsid w:val="007765F4"/>
    <w:rsid w:val="00776633"/>
    <w:rsid w:val="00784D53"/>
    <w:rsid w:val="00797797"/>
    <w:rsid w:val="007A63C9"/>
    <w:rsid w:val="007B32D1"/>
    <w:rsid w:val="007B7095"/>
    <w:rsid w:val="007C2061"/>
    <w:rsid w:val="007D24E1"/>
    <w:rsid w:val="007D6288"/>
    <w:rsid w:val="007E46A9"/>
    <w:rsid w:val="007F4CE9"/>
    <w:rsid w:val="007F4E20"/>
    <w:rsid w:val="00822C7E"/>
    <w:rsid w:val="00847060"/>
    <w:rsid w:val="00847A36"/>
    <w:rsid w:val="00856A33"/>
    <w:rsid w:val="00892620"/>
    <w:rsid w:val="00892FC3"/>
    <w:rsid w:val="008C7D37"/>
    <w:rsid w:val="008D179C"/>
    <w:rsid w:val="008D5885"/>
    <w:rsid w:val="008E4C81"/>
    <w:rsid w:val="009067FB"/>
    <w:rsid w:val="00923FA2"/>
    <w:rsid w:val="00934907"/>
    <w:rsid w:val="0096060D"/>
    <w:rsid w:val="00974A50"/>
    <w:rsid w:val="0097585A"/>
    <w:rsid w:val="00980342"/>
    <w:rsid w:val="009924B0"/>
    <w:rsid w:val="009942C9"/>
    <w:rsid w:val="009B35C4"/>
    <w:rsid w:val="009C630A"/>
    <w:rsid w:val="009E0D98"/>
    <w:rsid w:val="009F154B"/>
    <w:rsid w:val="009F3DCD"/>
    <w:rsid w:val="00A068A1"/>
    <w:rsid w:val="00A11A2F"/>
    <w:rsid w:val="00A1207D"/>
    <w:rsid w:val="00A12FD8"/>
    <w:rsid w:val="00A346FC"/>
    <w:rsid w:val="00A80509"/>
    <w:rsid w:val="00A846F2"/>
    <w:rsid w:val="00A84F93"/>
    <w:rsid w:val="00AB1AC5"/>
    <w:rsid w:val="00AB3BFC"/>
    <w:rsid w:val="00AC4F2E"/>
    <w:rsid w:val="00AD0C37"/>
    <w:rsid w:val="00AD1228"/>
    <w:rsid w:val="00AD385F"/>
    <w:rsid w:val="00AE6E2A"/>
    <w:rsid w:val="00AF7A19"/>
    <w:rsid w:val="00B31E9C"/>
    <w:rsid w:val="00B35595"/>
    <w:rsid w:val="00B51C6D"/>
    <w:rsid w:val="00B630A6"/>
    <w:rsid w:val="00B83DD2"/>
    <w:rsid w:val="00B86D64"/>
    <w:rsid w:val="00BA4AC5"/>
    <w:rsid w:val="00BA67A5"/>
    <w:rsid w:val="00BC1364"/>
    <w:rsid w:val="00BC2667"/>
    <w:rsid w:val="00BC7DE9"/>
    <w:rsid w:val="00BF479B"/>
    <w:rsid w:val="00BF5478"/>
    <w:rsid w:val="00BF5936"/>
    <w:rsid w:val="00C02577"/>
    <w:rsid w:val="00C204FB"/>
    <w:rsid w:val="00C20BEE"/>
    <w:rsid w:val="00C2158D"/>
    <w:rsid w:val="00C27211"/>
    <w:rsid w:val="00C607B4"/>
    <w:rsid w:val="00C67DD2"/>
    <w:rsid w:val="00C725CB"/>
    <w:rsid w:val="00C76F5C"/>
    <w:rsid w:val="00C96BAD"/>
    <w:rsid w:val="00CA6944"/>
    <w:rsid w:val="00CB0F8E"/>
    <w:rsid w:val="00CB303A"/>
    <w:rsid w:val="00CB5A5A"/>
    <w:rsid w:val="00CB7E7D"/>
    <w:rsid w:val="00CC2911"/>
    <w:rsid w:val="00CF0C6D"/>
    <w:rsid w:val="00CF7307"/>
    <w:rsid w:val="00CF7C68"/>
    <w:rsid w:val="00D076CD"/>
    <w:rsid w:val="00D124FA"/>
    <w:rsid w:val="00D336A4"/>
    <w:rsid w:val="00D340DE"/>
    <w:rsid w:val="00D55723"/>
    <w:rsid w:val="00D62FAD"/>
    <w:rsid w:val="00D64355"/>
    <w:rsid w:val="00D67204"/>
    <w:rsid w:val="00D70450"/>
    <w:rsid w:val="00D83BFD"/>
    <w:rsid w:val="00D90A38"/>
    <w:rsid w:val="00D969BA"/>
    <w:rsid w:val="00DA0515"/>
    <w:rsid w:val="00DA171E"/>
    <w:rsid w:val="00DA56AA"/>
    <w:rsid w:val="00DB5833"/>
    <w:rsid w:val="00DD2858"/>
    <w:rsid w:val="00E02E68"/>
    <w:rsid w:val="00E03E33"/>
    <w:rsid w:val="00E059E0"/>
    <w:rsid w:val="00E3642A"/>
    <w:rsid w:val="00E415C4"/>
    <w:rsid w:val="00E50016"/>
    <w:rsid w:val="00E50EAA"/>
    <w:rsid w:val="00E656D6"/>
    <w:rsid w:val="00E977EE"/>
    <w:rsid w:val="00EA2F24"/>
    <w:rsid w:val="00EA67A2"/>
    <w:rsid w:val="00EB3C8F"/>
    <w:rsid w:val="00EB630F"/>
    <w:rsid w:val="00EB6B6F"/>
    <w:rsid w:val="00EC4F98"/>
    <w:rsid w:val="00ED6764"/>
    <w:rsid w:val="00ED7587"/>
    <w:rsid w:val="00ED75E0"/>
    <w:rsid w:val="00F01167"/>
    <w:rsid w:val="00F0365B"/>
    <w:rsid w:val="00F12F02"/>
    <w:rsid w:val="00F156F4"/>
    <w:rsid w:val="00F22152"/>
    <w:rsid w:val="00F32E0D"/>
    <w:rsid w:val="00F35134"/>
    <w:rsid w:val="00F37B9C"/>
    <w:rsid w:val="00F41812"/>
    <w:rsid w:val="00F548BE"/>
    <w:rsid w:val="00F55111"/>
    <w:rsid w:val="00F576DA"/>
    <w:rsid w:val="00F608B5"/>
    <w:rsid w:val="00F715D1"/>
    <w:rsid w:val="00F72715"/>
    <w:rsid w:val="00F73333"/>
    <w:rsid w:val="00F77297"/>
    <w:rsid w:val="00F80F5E"/>
    <w:rsid w:val="00F84800"/>
    <w:rsid w:val="00F95D8F"/>
    <w:rsid w:val="00FA160B"/>
    <w:rsid w:val="00FB350A"/>
    <w:rsid w:val="00FB4C5D"/>
    <w:rsid w:val="00FD0DA1"/>
    <w:rsid w:val="00FD7B90"/>
    <w:rsid w:val="00FE1C3F"/>
    <w:rsid w:val="00FE4623"/>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744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076C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FD7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F3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9F3D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D75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076CD"/>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1237BD"/>
    <w:pPr>
      <w:keepNext/>
      <w:spacing w:after="240" w:line="312" w:lineRule="auto"/>
      <w:jc w:val="both"/>
    </w:pPr>
    <w:rPr>
      <w:rFonts w:ascii="Arial Narrow" w:hAnsi="Arial Narrow" w:cs="Tahoma"/>
      <w:b/>
      <w:bCs/>
      <w:sz w:val="20"/>
      <w:szCs w:val="22"/>
    </w:rPr>
  </w:style>
  <w:style w:type="paragraph" w:customStyle="1" w:styleId="Tabletext">
    <w:name w:val="Table text"/>
    <w:basedOn w:val="Normal"/>
    <w:link w:val="TabletextChar"/>
    <w:qFormat/>
    <w:rsid w:val="001237BD"/>
    <w:pPr>
      <w:spacing w:before="40" w:after="40"/>
      <w:ind w:left="57" w:right="57"/>
    </w:pPr>
    <w:rPr>
      <w:rFonts w:ascii="Arial Narrow" w:hAnsi="Arial Narrow" w:cs="Tahoma"/>
      <w:sz w:val="20"/>
    </w:rPr>
  </w:style>
  <w:style w:type="character" w:customStyle="1" w:styleId="TabletextChar">
    <w:name w:val="Table text Char"/>
    <w:link w:val="Tabletext"/>
    <w:rsid w:val="001237BD"/>
    <w:rPr>
      <w:rFonts w:ascii="Arial Narrow" w:eastAsia="Times New Roman" w:hAnsi="Arial Narrow" w:cs="Tahoma"/>
      <w:sz w:val="20"/>
      <w:szCs w:val="20"/>
    </w:rPr>
  </w:style>
  <w:style w:type="paragraph" w:customStyle="1" w:styleId="Tableheading">
    <w:name w:val="Table heading"/>
    <w:basedOn w:val="Normal"/>
    <w:link w:val="TableheadingChar"/>
    <w:qFormat/>
    <w:rsid w:val="001237BD"/>
    <w:pPr>
      <w:tabs>
        <w:tab w:val="left" w:pos="2835"/>
      </w:tabs>
      <w:spacing w:before="40" w:line="276" w:lineRule="auto"/>
      <w:ind w:left="6"/>
    </w:pPr>
    <w:rPr>
      <w:rFonts w:ascii="Arial Narrow" w:eastAsia="SimSun" w:hAnsi="Arial Narrow" w:cs="Tahoma"/>
      <w:b/>
      <w:sz w:val="20"/>
      <w:szCs w:val="18"/>
      <w:lang w:val="en-US" w:eastAsia="zh-CN"/>
    </w:rPr>
  </w:style>
  <w:style w:type="character" w:customStyle="1" w:styleId="TableheadingChar">
    <w:name w:val="Table heading Char"/>
    <w:basedOn w:val="DefaultParagraphFont"/>
    <w:link w:val="Tableheading"/>
    <w:rsid w:val="001237BD"/>
    <w:rPr>
      <w:rFonts w:ascii="Arial Narrow" w:eastAsia="SimSun" w:hAnsi="Arial Narrow" w:cs="Tahoma"/>
      <w:b/>
      <w:sz w:val="20"/>
      <w:szCs w:val="18"/>
      <w:lang w:val="en-US" w:eastAsia="zh-CN"/>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rsid w:val="001237BD"/>
    <w:rPr>
      <w:rFonts w:ascii="Arial Narrow" w:eastAsia="Times New Roman" w:hAnsi="Arial Narrow" w:cs="Tahoma"/>
      <w:b/>
      <w:bCs/>
      <w:sz w:val="20"/>
    </w:rPr>
  </w:style>
  <w:style w:type="paragraph" w:customStyle="1" w:styleId="TableNotes">
    <w:name w:val="TableNotes"/>
    <w:basedOn w:val="Normal"/>
    <w:link w:val="TableNotesChar"/>
    <w:qFormat/>
    <w:rsid w:val="00265BC9"/>
    <w:pPr>
      <w:keepLines/>
      <w:spacing w:after="360" w:line="312" w:lineRule="auto"/>
      <w:contextualSpacing/>
    </w:pPr>
    <w:rPr>
      <w:rFonts w:ascii="Arial Narrow" w:hAnsi="Arial Narrow" w:cs="Tahoma"/>
      <w:sz w:val="18"/>
      <w:szCs w:val="22"/>
    </w:rPr>
  </w:style>
  <w:style w:type="character" w:customStyle="1" w:styleId="TableNotesChar">
    <w:name w:val="TableNotes Char"/>
    <w:link w:val="TableNotes"/>
    <w:rsid w:val="00265BC9"/>
    <w:rPr>
      <w:rFonts w:ascii="Arial Narrow" w:eastAsia="Times New Roman" w:hAnsi="Arial Narrow" w:cs="Tahoma"/>
      <w:sz w:val="18"/>
    </w:rPr>
  </w:style>
  <w:style w:type="table" w:customStyle="1" w:styleId="TableGrid2">
    <w:name w:val="Table Grid2"/>
    <w:basedOn w:val="TableNormal"/>
    <w:next w:val="TableGrid"/>
    <w:rsid w:val="006D021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aliases w:val="Table Gridbeth"/>
    <w:basedOn w:val="TableNormal"/>
    <w:uiPriority w:val="59"/>
    <w:locked/>
    <w:rsid w:val="006D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D7B90"/>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FD7B9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D7B90"/>
    <w:rPr>
      <w:rFonts w:asciiTheme="minorHAnsi" w:eastAsia="Times New Roman" w:hAnsiTheme="minorHAnsi"/>
      <w:sz w:val="20"/>
      <w:szCs w:val="24"/>
    </w:rPr>
  </w:style>
  <w:style w:type="paragraph" w:customStyle="1" w:styleId="TableText0">
    <w:name w:val="Table Text"/>
    <w:basedOn w:val="Normal"/>
    <w:link w:val="TableTextChar0"/>
    <w:qFormat/>
    <w:rsid w:val="00FD7B90"/>
    <w:pPr>
      <w:keepNext/>
      <w:spacing w:before="40" w:after="40"/>
      <w:ind w:left="57"/>
      <w:jc w:val="both"/>
    </w:pPr>
    <w:rPr>
      <w:rFonts w:ascii="Arial Narrow" w:hAnsi="Arial Narrow" w:cs="Tahoma"/>
      <w:sz w:val="20"/>
      <w:szCs w:val="22"/>
      <w:lang w:eastAsia="en-US"/>
    </w:rPr>
  </w:style>
  <w:style w:type="character" w:customStyle="1" w:styleId="TableTextChar0">
    <w:name w:val="Table Text Char"/>
    <w:link w:val="TableText0"/>
    <w:rsid w:val="00FD7B90"/>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9F3DCD"/>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9F3DCD"/>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rsid w:val="00ED75E0"/>
    <w:rPr>
      <w:rFonts w:asciiTheme="majorHAnsi" w:eastAsiaTheme="majorEastAsia" w:hAnsiTheme="majorHAnsi" w:cstheme="majorBidi"/>
      <w:i/>
      <w:iCs/>
      <w:color w:val="243F60" w:themeColor="accent1" w:themeShade="7F"/>
      <w:sz w:val="24"/>
      <w:szCs w:val="20"/>
    </w:rPr>
  </w:style>
  <w:style w:type="character" w:customStyle="1" w:styleId="label">
    <w:name w:val="label"/>
    <w:basedOn w:val="DefaultParagraphFont"/>
    <w:rsid w:val="00ED75E0"/>
  </w:style>
  <w:style w:type="character" w:customStyle="1" w:styleId="HighlightGreen">
    <w:name w:val="Highlight Green"/>
    <w:basedOn w:val="DefaultParagraphFont"/>
    <w:uiPriority w:val="75"/>
    <w:qFormat/>
    <w:rsid w:val="00D67204"/>
    <w:rPr>
      <w:color w:val="81BD41"/>
    </w:rPr>
  </w:style>
  <w:style w:type="character" w:customStyle="1" w:styleId="ListParagraphChar">
    <w:name w:val="List Paragraph Char"/>
    <w:basedOn w:val="DefaultParagraphFont"/>
    <w:link w:val="ListParagraph"/>
    <w:uiPriority w:val="34"/>
    <w:locked/>
    <w:rsid w:val="008E4C81"/>
    <w:rPr>
      <w:rFonts w:eastAsia="Times New Roman"/>
      <w:sz w:val="24"/>
      <w:szCs w:val="20"/>
    </w:rPr>
  </w:style>
  <w:style w:type="paragraph" w:customStyle="1" w:styleId="TableCentre">
    <w:name w:val="Table Centre"/>
    <w:basedOn w:val="Normal"/>
    <w:uiPriority w:val="99"/>
    <w:qFormat/>
    <w:rsid w:val="001F23DE"/>
    <w:pPr>
      <w:jc w:val="center"/>
    </w:pPr>
    <w:rPr>
      <w:rFonts w:ascii="Candara" w:eastAsiaTheme="majorEastAsia" w:hAnsi="Candara" w:cstheme="majorBidi"/>
      <w:sz w:val="20"/>
      <w:szCs w:val="22"/>
      <w:lang w:eastAsia="en-US" w:bidi="en-US"/>
    </w:rPr>
  </w:style>
  <w:style w:type="paragraph" w:styleId="NoSpacing">
    <w:name w:val="No Spacing"/>
    <w:uiPriority w:val="1"/>
    <w:qFormat/>
    <w:rsid w:val="006F605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D076C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FD7B9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F3DC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9F3DC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ED75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D076CD"/>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locked/>
    <w:rsid w:val="001237BD"/>
    <w:pPr>
      <w:keepNext/>
      <w:spacing w:after="240" w:line="312" w:lineRule="auto"/>
      <w:jc w:val="both"/>
    </w:pPr>
    <w:rPr>
      <w:rFonts w:ascii="Arial Narrow" w:hAnsi="Arial Narrow" w:cs="Tahoma"/>
      <w:b/>
      <w:bCs/>
      <w:sz w:val="20"/>
      <w:szCs w:val="22"/>
    </w:rPr>
  </w:style>
  <w:style w:type="paragraph" w:customStyle="1" w:styleId="Tabletext">
    <w:name w:val="Table text"/>
    <w:basedOn w:val="Normal"/>
    <w:link w:val="TabletextChar"/>
    <w:qFormat/>
    <w:rsid w:val="001237BD"/>
    <w:pPr>
      <w:spacing w:before="40" w:after="40"/>
      <w:ind w:left="57" w:right="57"/>
    </w:pPr>
    <w:rPr>
      <w:rFonts w:ascii="Arial Narrow" w:hAnsi="Arial Narrow" w:cs="Tahoma"/>
      <w:sz w:val="20"/>
    </w:rPr>
  </w:style>
  <w:style w:type="character" w:customStyle="1" w:styleId="TabletextChar">
    <w:name w:val="Table text Char"/>
    <w:link w:val="Tabletext"/>
    <w:rsid w:val="001237BD"/>
    <w:rPr>
      <w:rFonts w:ascii="Arial Narrow" w:eastAsia="Times New Roman" w:hAnsi="Arial Narrow" w:cs="Tahoma"/>
      <w:sz w:val="20"/>
      <w:szCs w:val="20"/>
    </w:rPr>
  </w:style>
  <w:style w:type="paragraph" w:customStyle="1" w:styleId="Tableheading">
    <w:name w:val="Table heading"/>
    <w:basedOn w:val="Normal"/>
    <w:link w:val="TableheadingChar"/>
    <w:qFormat/>
    <w:rsid w:val="001237BD"/>
    <w:pPr>
      <w:tabs>
        <w:tab w:val="left" w:pos="2835"/>
      </w:tabs>
      <w:spacing w:before="40" w:line="276" w:lineRule="auto"/>
      <w:ind w:left="6"/>
    </w:pPr>
    <w:rPr>
      <w:rFonts w:ascii="Arial Narrow" w:eastAsia="SimSun" w:hAnsi="Arial Narrow" w:cs="Tahoma"/>
      <w:b/>
      <w:sz w:val="20"/>
      <w:szCs w:val="18"/>
      <w:lang w:val="en-US" w:eastAsia="zh-CN"/>
    </w:rPr>
  </w:style>
  <w:style w:type="character" w:customStyle="1" w:styleId="TableheadingChar">
    <w:name w:val="Table heading Char"/>
    <w:basedOn w:val="DefaultParagraphFont"/>
    <w:link w:val="Tableheading"/>
    <w:rsid w:val="001237BD"/>
    <w:rPr>
      <w:rFonts w:ascii="Arial Narrow" w:eastAsia="SimSun" w:hAnsi="Arial Narrow" w:cs="Tahoma"/>
      <w:b/>
      <w:sz w:val="20"/>
      <w:szCs w:val="18"/>
      <w:lang w:val="en-US" w:eastAsia="zh-CN"/>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uiPriority w:val="35"/>
    <w:rsid w:val="001237BD"/>
    <w:rPr>
      <w:rFonts w:ascii="Arial Narrow" w:eastAsia="Times New Roman" w:hAnsi="Arial Narrow" w:cs="Tahoma"/>
      <w:b/>
      <w:bCs/>
      <w:sz w:val="20"/>
    </w:rPr>
  </w:style>
  <w:style w:type="paragraph" w:customStyle="1" w:styleId="TableNotes">
    <w:name w:val="TableNotes"/>
    <w:basedOn w:val="Normal"/>
    <w:link w:val="TableNotesChar"/>
    <w:qFormat/>
    <w:rsid w:val="00265BC9"/>
    <w:pPr>
      <w:keepLines/>
      <w:spacing w:after="360" w:line="312" w:lineRule="auto"/>
      <w:contextualSpacing/>
    </w:pPr>
    <w:rPr>
      <w:rFonts w:ascii="Arial Narrow" w:hAnsi="Arial Narrow" w:cs="Tahoma"/>
      <w:sz w:val="18"/>
      <w:szCs w:val="22"/>
    </w:rPr>
  </w:style>
  <w:style w:type="character" w:customStyle="1" w:styleId="TableNotesChar">
    <w:name w:val="TableNotes Char"/>
    <w:link w:val="TableNotes"/>
    <w:rsid w:val="00265BC9"/>
    <w:rPr>
      <w:rFonts w:ascii="Arial Narrow" w:eastAsia="Times New Roman" w:hAnsi="Arial Narrow" w:cs="Tahoma"/>
      <w:sz w:val="18"/>
    </w:rPr>
  </w:style>
  <w:style w:type="table" w:customStyle="1" w:styleId="TableGrid2">
    <w:name w:val="Table Grid2"/>
    <w:basedOn w:val="TableNormal"/>
    <w:next w:val="TableGrid"/>
    <w:rsid w:val="006D0218"/>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521BT-Roman" w:hAnsi="Humanist521BT-Roman"/>
        <w:b w:val="0"/>
        <w:sz w:val="20"/>
      </w:rPr>
    </w:tblStylePr>
  </w:style>
  <w:style w:type="table" w:styleId="TableGrid">
    <w:name w:val="Table Grid"/>
    <w:aliases w:val="Table Gridbeth"/>
    <w:basedOn w:val="TableNormal"/>
    <w:uiPriority w:val="59"/>
    <w:locked/>
    <w:rsid w:val="006D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D7B90"/>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1"/>
    <w:qFormat/>
    <w:rsid w:val="00FD7B90"/>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D7B90"/>
    <w:rPr>
      <w:rFonts w:asciiTheme="minorHAnsi" w:eastAsia="Times New Roman" w:hAnsiTheme="minorHAnsi"/>
      <w:sz w:val="20"/>
      <w:szCs w:val="24"/>
    </w:rPr>
  </w:style>
  <w:style w:type="paragraph" w:customStyle="1" w:styleId="TableText0">
    <w:name w:val="Table Text"/>
    <w:basedOn w:val="Normal"/>
    <w:link w:val="TableTextChar0"/>
    <w:qFormat/>
    <w:rsid w:val="00FD7B90"/>
    <w:pPr>
      <w:keepNext/>
      <w:spacing w:before="40" w:after="40"/>
      <w:ind w:left="57"/>
      <w:jc w:val="both"/>
    </w:pPr>
    <w:rPr>
      <w:rFonts w:ascii="Arial Narrow" w:hAnsi="Arial Narrow" w:cs="Tahoma"/>
      <w:sz w:val="20"/>
      <w:szCs w:val="22"/>
      <w:lang w:eastAsia="en-US"/>
    </w:rPr>
  </w:style>
  <w:style w:type="character" w:customStyle="1" w:styleId="TableTextChar0">
    <w:name w:val="Table Text Char"/>
    <w:link w:val="TableText0"/>
    <w:rsid w:val="00FD7B90"/>
    <w:rPr>
      <w:rFonts w:ascii="Arial Narrow" w:eastAsia="Times New Roman" w:hAnsi="Arial Narrow" w:cs="Tahoma"/>
      <w:sz w:val="20"/>
      <w:lang w:eastAsia="en-US"/>
    </w:rPr>
  </w:style>
  <w:style w:type="character" w:customStyle="1" w:styleId="Heading5Char">
    <w:name w:val="Heading 5 Char"/>
    <w:basedOn w:val="DefaultParagraphFont"/>
    <w:link w:val="Heading5"/>
    <w:semiHidden/>
    <w:rsid w:val="009F3DCD"/>
    <w:rPr>
      <w:rFonts w:asciiTheme="majorHAnsi" w:eastAsiaTheme="majorEastAsia" w:hAnsiTheme="majorHAnsi" w:cstheme="majorBidi"/>
      <w:color w:val="243F60" w:themeColor="accent1" w:themeShade="7F"/>
      <w:sz w:val="24"/>
      <w:szCs w:val="20"/>
    </w:rPr>
  </w:style>
  <w:style w:type="character" w:customStyle="1" w:styleId="Heading4Char">
    <w:name w:val="Heading 4 Char"/>
    <w:basedOn w:val="DefaultParagraphFont"/>
    <w:link w:val="Heading4"/>
    <w:rsid w:val="009F3DCD"/>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rsid w:val="00ED75E0"/>
    <w:rPr>
      <w:rFonts w:asciiTheme="majorHAnsi" w:eastAsiaTheme="majorEastAsia" w:hAnsiTheme="majorHAnsi" w:cstheme="majorBidi"/>
      <w:i/>
      <w:iCs/>
      <w:color w:val="243F60" w:themeColor="accent1" w:themeShade="7F"/>
      <w:sz w:val="24"/>
      <w:szCs w:val="20"/>
    </w:rPr>
  </w:style>
  <w:style w:type="character" w:customStyle="1" w:styleId="label">
    <w:name w:val="label"/>
    <w:basedOn w:val="DefaultParagraphFont"/>
    <w:rsid w:val="00ED75E0"/>
  </w:style>
  <w:style w:type="character" w:customStyle="1" w:styleId="HighlightGreen">
    <w:name w:val="Highlight Green"/>
    <w:basedOn w:val="DefaultParagraphFont"/>
    <w:uiPriority w:val="75"/>
    <w:qFormat/>
    <w:rsid w:val="00D67204"/>
    <w:rPr>
      <w:color w:val="81BD41"/>
    </w:rPr>
  </w:style>
  <w:style w:type="character" w:customStyle="1" w:styleId="ListParagraphChar">
    <w:name w:val="List Paragraph Char"/>
    <w:basedOn w:val="DefaultParagraphFont"/>
    <w:link w:val="ListParagraph"/>
    <w:uiPriority w:val="34"/>
    <w:locked/>
    <w:rsid w:val="008E4C81"/>
    <w:rPr>
      <w:rFonts w:eastAsia="Times New Roman"/>
      <w:sz w:val="24"/>
      <w:szCs w:val="20"/>
    </w:rPr>
  </w:style>
  <w:style w:type="paragraph" w:customStyle="1" w:styleId="TableCentre">
    <w:name w:val="Table Centre"/>
    <w:basedOn w:val="Normal"/>
    <w:uiPriority w:val="99"/>
    <w:qFormat/>
    <w:rsid w:val="001F23DE"/>
    <w:pPr>
      <w:jc w:val="center"/>
    </w:pPr>
    <w:rPr>
      <w:rFonts w:ascii="Candara" w:eastAsiaTheme="majorEastAsia" w:hAnsi="Candara" w:cstheme="majorBidi"/>
      <w:sz w:val="20"/>
      <w:szCs w:val="22"/>
      <w:lang w:eastAsia="en-US" w:bidi="en-US"/>
    </w:rPr>
  </w:style>
  <w:style w:type="paragraph" w:styleId="NoSpacing">
    <w:name w:val="No Spacing"/>
    <w:uiPriority w:val="1"/>
    <w:qFormat/>
    <w:rsid w:val="006F605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tate.org.au/media/612113/PSA-Testing-Guidelin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CG175/chapter/1-Recommend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msac.gov.au/" TargetMode="Externa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anet.org/guidelines/prostate-mri-and-mri-targeted-biop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E513-20EA-450D-B7D8-C205E043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8116</Words>
  <Characters>46473</Characters>
  <Application>Microsoft Office Word</Application>
  <DocSecurity>0</DocSecurity>
  <Lines>387</Lines>
  <Paragraphs>108</Paragraphs>
  <ScaleCrop>false</ScaleCrop>
  <Company/>
  <LinksUpToDate>false</LinksUpToDate>
  <CharactersWithSpaces>54481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1397-FinalPSD-accessible</dc:title>
  <dc:creator/>
  <cp:lastModifiedBy/>
  <cp:revision>1</cp:revision>
  <dcterms:created xsi:type="dcterms:W3CDTF">2017-07-05T22:29:00Z</dcterms:created>
  <dcterms:modified xsi:type="dcterms:W3CDTF">2017-07-05T22:30:00Z</dcterms:modified>
</cp:coreProperties>
</file>