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985B" w14:textId="6EF9207F" w:rsidR="00337B03" w:rsidRDefault="0093087D" w:rsidP="0093087D">
      <w:pPr>
        <w:pStyle w:val="OutlineHeading1"/>
      </w:pPr>
      <w:bookmarkStart w:id="0" w:name="_Hlk89082727"/>
      <w:bookmarkStart w:id="1" w:name="_Toc51080563"/>
      <w:r w:rsidRPr="00A36DE2">
        <w:rPr>
          <w:noProof/>
        </w:rPr>
        <w:drawing>
          <wp:inline distT="0" distB="0" distL="0" distR="0" wp14:anchorId="562E2102" wp14:editId="42B51CBF">
            <wp:extent cx="5731510" cy="1805940"/>
            <wp:effectExtent l="0" t="0" r="0" b="0"/>
            <wp:docPr id="6" name="Picture 6" descr="M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5940"/>
                    </a:xfrm>
                    <a:prstGeom prst="rect">
                      <a:avLst/>
                    </a:prstGeom>
                    <a:noFill/>
                    <a:ln>
                      <a:noFill/>
                    </a:ln>
                  </pic:spPr>
                </pic:pic>
              </a:graphicData>
            </a:graphic>
          </wp:inline>
        </w:drawing>
      </w:r>
      <w:bookmarkEnd w:id="0"/>
      <w:bookmarkEnd w:id="1"/>
    </w:p>
    <w:p w14:paraId="67250CE9" w14:textId="169CEBC7" w:rsidR="00404C00" w:rsidRPr="0093087D" w:rsidRDefault="00CD7B52" w:rsidP="0093087D">
      <w:pPr>
        <w:pStyle w:val="NormalWeb"/>
        <w:spacing w:before="0" w:after="0" w:line="210" w:lineRule="atLeast"/>
        <w:jc w:val="center"/>
        <w:rPr>
          <w:rFonts w:ascii="Arial" w:hAnsi="Arial" w:cs="Arial"/>
          <w:b/>
          <w:bCs/>
          <w:i/>
          <w:color w:val="000080"/>
          <w:sz w:val="28"/>
          <w:szCs w:val="28"/>
          <w:lang w:val="en-AU" w:eastAsia="en-AU"/>
        </w:rPr>
      </w:pPr>
      <w:bookmarkStart w:id="2" w:name="_Hlk78872376"/>
      <w:r>
        <w:rPr>
          <w:rFonts w:ascii="Arial" w:hAnsi="Arial" w:cs="Arial"/>
          <w:b/>
          <w:bCs/>
          <w:i/>
          <w:color w:val="000080"/>
          <w:sz w:val="28"/>
          <w:szCs w:val="28"/>
          <w:lang w:val="en-AU" w:eastAsia="en-AU"/>
        </w:rPr>
        <w:t xml:space="preserve">Application </w:t>
      </w:r>
      <w:r w:rsidR="00404C00" w:rsidRPr="0093087D">
        <w:rPr>
          <w:rFonts w:ascii="Arial" w:hAnsi="Arial" w:cs="Arial"/>
          <w:b/>
          <w:bCs/>
          <w:i/>
          <w:color w:val="000080"/>
          <w:sz w:val="28"/>
          <w:szCs w:val="28"/>
          <w:lang w:val="en-AU" w:eastAsia="en-AU"/>
        </w:rPr>
        <w:t>1660 – Diagnostic testing for MET exon 14 skipping alterations in non-small cell lung cancer to determine PBS eligibility for tepotinib treatment</w:t>
      </w:r>
      <w:bookmarkEnd w:id="2"/>
    </w:p>
    <w:p w14:paraId="103B5DA1" w14:textId="47553CCB" w:rsidR="00404C00" w:rsidRPr="0093087D" w:rsidRDefault="00404C00" w:rsidP="0093087D">
      <w:pPr>
        <w:tabs>
          <w:tab w:val="left" w:pos="3402"/>
        </w:tabs>
        <w:spacing w:before="240" w:after="0"/>
        <w:jc w:val="left"/>
        <w:rPr>
          <w:rFonts w:ascii="Arial" w:eastAsia="Times New Roman" w:hAnsi="Arial" w:cs="Arial"/>
          <w:b/>
          <w:color w:val="auto"/>
          <w:szCs w:val="24"/>
          <w:lang w:eastAsia="en-AU"/>
        </w:rPr>
      </w:pPr>
      <w:r w:rsidRPr="0093087D">
        <w:rPr>
          <w:rFonts w:ascii="Arial" w:eastAsia="Times New Roman" w:hAnsi="Arial" w:cs="Arial"/>
          <w:b/>
          <w:color w:val="auto"/>
          <w:szCs w:val="24"/>
          <w:lang w:eastAsia="en-AU"/>
        </w:rPr>
        <w:t xml:space="preserve">Applicant: </w:t>
      </w:r>
      <w:r w:rsidR="0093087D">
        <w:rPr>
          <w:rFonts w:ascii="Arial" w:eastAsia="Times New Roman" w:hAnsi="Arial" w:cs="Arial"/>
          <w:b/>
          <w:color w:val="auto"/>
          <w:szCs w:val="24"/>
          <w:lang w:eastAsia="en-AU"/>
        </w:rPr>
        <w:tab/>
      </w:r>
      <w:r w:rsidRPr="0093087D">
        <w:rPr>
          <w:rFonts w:ascii="Arial" w:eastAsia="Times New Roman" w:hAnsi="Arial" w:cs="Arial"/>
          <w:b/>
          <w:color w:val="auto"/>
          <w:szCs w:val="24"/>
          <w:lang w:eastAsia="en-AU"/>
        </w:rPr>
        <w:t>Merck Healthcare</w:t>
      </w:r>
    </w:p>
    <w:p w14:paraId="7663D968" w14:textId="77777777" w:rsidR="0093087D" w:rsidRPr="00D30E9C" w:rsidRDefault="0093087D" w:rsidP="0093087D">
      <w:pPr>
        <w:tabs>
          <w:tab w:val="left" w:pos="3420"/>
        </w:tabs>
        <w:spacing w:before="240"/>
        <w:jc w:val="left"/>
        <w:rPr>
          <w:rFonts w:ascii="Arial" w:hAnsi="Arial" w:cs="Arial"/>
          <w:b/>
          <w:szCs w:val="24"/>
        </w:rPr>
      </w:pPr>
      <w:bookmarkStart w:id="3" w:name="_Hlk89082761"/>
      <w:r w:rsidRPr="00D30E9C">
        <w:rPr>
          <w:rFonts w:ascii="Arial" w:hAnsi="Arial" w:cs="Arial"/>
          <w:b/>
          <w:szCs w:val="24"/>
        </w:rPr>
        <w:t xml:space="preserve">Date of </w:t>
      </w:r>
      <w:r>
        <w:rPr>
          <w:rFonts w:ascii="Arial" w:hAnsi="Arial" w:cs="Arial"/>
          <w:b/>
          <w:szCs w:val="24"/>
        </w:rPr>
        <w:t>MSAC</w:t>
      </w:r>
      <w:r w:rsidRPr="00D30E9C">
        <w:rPr>
          <w:rFonts w:ascii="Arial" w:hAnsi="Arial" w:cs="Arial"/>
          <w:b/>
          <w:szCs w:val="24"/>
        </w:rPr>
        <w:t xml:space="preserve"> consideration: </w:t>
      </w:r>
      <w:bookmarkStart w:id="4" w:name="_Hlk89076073"/>
      <w:r>
        <w:rPr>
          <w:rFonts w:ascii="Arial" w:hAnsi="Arial" w:cs="Arial"/>
          <w:b/>
          <w:szCs w:val="24"/>
        </w:rPr>
        <w:t>83</w:t>
      </w:r>
      <w:r w:rsidRPr="00747517">
        <w:rPr>
          <w:rFonts w:ascii="Arial" w:hAnsi="Arial" w:cs="Arial"/>
          <w:b/>
          <w:szCs w:val="24"/>
          <w:vertAlign w:val="superscript"/>
        </w:rPr>
        <w:t>rd</w:t>
      </w:r>
      <w:r>
        <w:rPr>
          <w:rFonts w:ascii="Arial" w:hAnsi="Arial" w:cs="Arial"/>
          <w:b/>
          <w:szCs w:val="24"/>
        </w:rPr>
        <w:t xml:space="preserve"> MSAC Meeting, 25-26 November 2021</w:t>
      </w:r>
      <w:bookmarkEnd w:id="4"/>
    </w:p>
    <w:p w14:paraId="6F9869DB" w14:textId="2A3065AF" w:rsidR="0093087D" w:rsidRPr="0093087D" w:rsidRDefault="0093087D" w:rsidP="0093087D">
      <w:pPr>
        <w:spacing w:before="240" w:after="360"/>
        <w:jc w:val="left"/>
        <w:rPr>
          <w:rFonts w:ascii="Times New Roman" w:hAnsi="Times New Roman" w:cs="Times New Roman"/>
          <w:color w:val="0000FF"/>
          <w:szCs w:val="24"/>
          <w:u w:val="single"/>
        </w:rPr>
      </w:pPr>
      <w:bookmarkStart w:id="5" w:name="_Hlk89076079"/>
      <w:r w:rsidRPr="0093087D">
        <w:rPr>
          <w:rFonts w:ascii="Times New Roman" w:hAnsi="Times New Roman" w:cs="Times New Roman"/>
          <w:szCs w:val="24"/>
        </w:rPr>
        <w:t xml:space="preserve">Context for decision: MSAC makes its advice in accordance with its Terms of Reference, </w:t>
      </w:r>
      <w:hyperlink r:id="rId9" w:tooltip="Link to Medical Services Advisory Committee website" w:history="1">
        <w:r w:rsidRPr="0093087D">
          <w:rPr>
            <w:rStyle w:val="Hyperlink"/>
            <w:rFonts w:ascii="Times New Roman" w:hAnsi="Times New Roman" w:cs="Times New Roman"/>
          </w:rPr>
          <w:t>visit the MSAC website</w:t>
        </w:r>
      </w:hyperlink>
    </w:p>
    <w:bookmarkEnd w:id="3"/>
    <w:bookmarkEnd w:id="5"/>
    <w:p w14:paraId="5120EE06" w14:textId="77777777" w:rsidR="00404C00" w:rsidRPr="0093087D" w:rsidRDefault="00404C00" w:rsidP="0093087D">
      <w:pPr>
        <w:pStyle w:val="Heading1"/>
        <w:numPr>
          <w:ilvl w:val="0"/>
          <w:numId w:val="4"/>
        </w:numPr>
        <w:spacing w:before="360" w:after="120" w:line="240" w:lineRule="auto"/>
        <w:ind w:left="720" w:hanging="720"/>
        <w:rPr>
          <w:rFonts w:ascii="Arial" w:hAnsi="Arial" w:cs="Arial"/>
          <w:bCs/>
          <w:szCs w:val="28"/>
        </w:rPr>
      </w:pPr>
      <w:r w:rsidRPr="0093087D">
        <w:rPr>
          <w:rFonts w:ascii="Arial" w:hAnsi="Arial" w:cs="Arial"/>
          <w:bCs/>
          <w:szCs w:val="28"/>
        </w:rPr>
        <w:t>Purpose of application</w:t>
      </w:r>
    </w:p>
    <w:p w14:paraId="7758362A" w14:textId="42E733F1" w:rsidR="00404C00" w:rsidRPr="00404C00" w:rsidRDefault="00404C00" w:rsidP="0093087D">
      <w:pPr>
        <w:spacing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An applicant-developed assessment report (ADAR) was received from Merck Healthcare by the Department of Health, which </w:t>
      </w:r>
      <w:r w:rsidR="00B36D35">
        <w:rPr>
          <w:rFonts w:ascii="Times New Roman" w:eastAsia="Times New Roman" w:hAnsi="Times New Roman" w:cs="Times New Roman"/>
          <w:color w:val="auto"/>
          <w:szCs w:val="20"/>
          <w:lang w:eastAsia="en-AU"/>
        </w:rPr>
        <w:t xml:space="preserve">comprised </w:t>
      </w:r>
      <w:r w:rsidRPr="00404C00">
        <w:rPr>
          <w:rFonts w:ascii="Times New Roman" w:eastAsia="Times New Roman" w:hAnsi="Times New Roman" w:cs="Times New Roman"/>
          <w:color w:val="auto"/>
          <w:szCs w:val="20"/>
          <w:lang w:eastAsia="en-AU"/>
        </w:rPr>
        <w:t xml:space="preserve">an integrated codependent </w:t>
      </w:r>
      <w:r w:rsidR="00B36D35">
        <w:rPr>
          <w:rFonts w:ascii="Times New Roman" w:eastAsia="Times New Roman" w:hAnsi="Times New Roman" w:cs="Times New Roman"/>
          <w:color w:val="auto"/>
          <w:szCs w:val="20"/>
          <w:lang w:eastAsia="en-AU"/>
        </w:rPr>
        <w:t>submission</w:t>
      </w:r>
      <w:r w:rsidRPr="00404C00">
        <w:rPr>
          <w:rFonts w:ascii="Times New Roman" w:eastAsia="Times New Roman" w:hAnsi="Times New Roman" w:cs="Times New Roman"/>
          <w:color w:val="auto"/>
          <w:szCs w:val="20"/>
          <w:lang w:eastAsia="en-AU"/>
        </w:rPr>
        <w:t xml:space="preserve"> for:</w:t>
      </w:r>
    </w:p>
    <w:p w14:paraId="0E22EF3C" w14:textId="6AA935D7" w:rsidR="00404C00" w:rsidRPr="00404C00" w:rsidRDefault="00404C00" w:rsidP="0093087D">
      <w:pPr>
        <w:pStyle w:val="ListParagraph"/>
        <w:numPr>
          <w:ilvl w:val="0"/>
          <w:numId w:val="50"/>
        </w:numPr>
        <w:spacing w:after="120"/>
        <w:jc w:val="left"/>
        <w:rPr>
          <w:rFonts w:ascii="Times New Roman" w:eastAsia="Calibri" w:hAnsi="Times New Roman" w:cs="Times New Roman"/>
          <w:color w:val="auto"/>
        </w:rPr>
      </w:pPr>
      <w:r w:rsidRPr="00404C00">
        <w:rPr>
          <w:rFonts w:ascii="Times New Roman" w:eastAsia="Calibri" w:hAnsi="Times New Roman" w:cs="Times New Roman"/>
          <w:color w:val="auto"/>
        </w:rPr>
        <w:t>Medicare Benefits Schedule (MBS) listing of tumour tissue testing for the purpose of detecting MET proto-oncogene, receptor tyrosine kinase (</w:t>
      </w:r>
      <w:r w:rsidRPr="00404C00">
        <w:rPr>
          <w:rFonts w:ascii="Times New Roman" w:eastAsia="Calibri" w:hAnsi="Times New Roman" w:cs="Times New Roman"/>
          <w:i/>
          <w:iCs/>
          <w:color w:val="auto"/>
        </w:rPr>
        <w:t>MET</w:t>
      </w:r>
      <w:r w:rsidRPr="00404C00">
        <w:rPr>
          <w:rFonts w:ascii="Times New Roman" w:eastAsia="Calibri" w:hAnsi="Times New Roman" w:cs="Times New Roman"/>
          <w:color w:val="auto"/>
        </w:rPr>
        <w:t xml:space="preserve">) exon 14 skipping alterations </w:t>
      </w:r>
      <w:r w:rsidR="00D67680" w:rsidRPr="00404C00">
        <w:rPr>
          <w:rFonts w:ascii="Times New Roman" w:eastAsia="Calibri" w:hAnsi="Times New Roman" w:cs="Times New Roman"/>
          <w:color w:val="auto"/>
        </w:rPr>
        <w:t>(</w:t>
      </w:r>
      <w:r w:rsidR="00D67680" w:rsidRPr="00404C00">
        <w:rPr>
          <w:rFonts w:ascii="Times New Roman" w:eastAsia="Calibri" w:hAnsi="Times New Roman" w:cs="Times New Roman"/>
          <w:i/>
          <w:iCs/>
          <w:color w:val="auto"/>
        </w:rPr>
        <w:t>MET</w:t>
      </w:r>
      <w:r w:rsidR="00D67680" w:rsidRPr="00404C00">
        <w:rPr>
          <w:rFonts w:ascii="Times New Roman" w:eastAsia="Calibri" w:hAnsi="Times New Roman" w:cs="Times New Roman"/>
          <w:color w:val="auto"/>
        </w:rPr>
        <w:t xml:space="preserve">ex14sk) </w:t>
      </w:r>
      <w:r w:rsidRPr="00404C00">
        <w:rPr>
          <w:rFonts w:ascii="Times New Roman" w:eastAsia="Calibri" w:hAnsi="Times New Roman" w:cs="Times New Roman"/>
          <w:color w:val="auto"/>
        </w:rPr>
        <w:t xml:space="preserve">to determine eligibility for treatment with </w:t>
      </w:r>
      <w:r w:rsidRPr="00404C00">
        <w:rPr>
          <w:rFonts w:ascii="Times New Roman" w:eastAsia="Calibri" w:hAnsi="Times New Roman" w:cs="Times New Roman"/>
          <w:color w:val="000000"/>
        </w:rPr>
        <w:t>tepotinib</w:t>
      </w:r>
      <w:r w:rsidRPr="00404C00">
        <w:rPr>
          <w:rFonts w:ascii="Times New Roman" w:eastAsia="Calibri" w:hAnsi="Times New Roman" w:cs="Times New Roman"/>
          <w:color w:val="auto"/>
        </w:rPr>
        <w:t xml:space="preserve"> in patients with advanced non-small cell lung cancer (</w:t>
      </w:r>
      <w:proofErr w:type="spellStart"/>
      <w:r w:rsidRPr="00404C00">
        <w:rPr>
          <w:rFonts w:ascii="Times New Roman" w:eastAsia="Calibri" w:hAnsi="Times New Roman" w:cs="Times New Roman"/>
          <w:color w:val="auto"/>
        </w:rPr>
        <w:t>aNSCLC</w:t>
      </w:r>
      <w:proofErr w:type="spellEnd"/>
      <w:r w:rsidRPr="00404C00">
        <w:rPr>
          <w:rFonts w:ascii="Times New Roman" w:eastAsia="Calibri" w:hAnsi="Times New Roman" w:cs="Times New Roman"/>
          <w:color w:val="auto"/>
        </w:rPr>
        <w:t>)</w:t>
      </w:r>
      <w:r w:rsidRPr="00404C00">
        <w:rPr>
          <w:rFonts w:ascii="Times New Roman" w:eastAsia="Calibri" w:hAnsi="Times New Roman" w:cs="Times New Roman"/>
          <w:color w:val="000000"/>
        </w:rPr>
        <w:t>.</w:t>
      </w:r>
    </w:p>
    <w:p w14:paraId="5DD1D21A" w14:textId="4B7C56E6" w:rsidR="00404C00" w:rsidRPr="0093087D" w:rsidRDefault="00404C00" w:rsidP="0093087D">
      <w:pPr>
        <w:pStyle w:val="ListParagraph"/>
        <w:numPr>
          <w:ilvl w:val="0"/>
          <w:numId w:val="50"/>
        </w:numPr>
        <w:spacing w:after="0"/>
        <w:jc w:val="left"/>
        <w:rPr>
          <w:rFonts w:ascii="Times New Roman" w:eastAsia="Calibri" w:hAnsi="Times New Roman" w:cs="Times New Roman"/>
          <w:color w:val="auto"/>
        </w:rPr>
      </w:pPr>
      <w:r w:rsidRPr="00404C00">
        <w:rPr>
          <w:rFonts w:ascii="Times New Roman" w:eastAsia="Calibri" w:hAnsi="Times New Roman" w:cs="Times New Roman"/>
          <w:color w:val="auto"/>
        </w:rPr>
        <w:t xml:space="preserve">Pharmaceutical Benefits Scheme (PBS) General Schedule Authority Required (STREAMLINED) listing for treatment with </w:t>
      </w:r>
      <w:proofErr w:type="spellStart"/>
      <w:r w:rsidRPr="00404C00">
        <w:rPr>
          <w:rFonts w:ascii="Times New Roman" w:eastAsia="Calibri" w:hAnsi="Times New Roman" w:cs="Times New Roman"/>
          <w:color w:val="auto"/>
        </w:rPr>
        <w:t>tepotinib</w:t>
      </w:r>
      <w:proofErr w:type="spellEnd"/>
      <w:r w:rsidRPr="00404C00">
        <w:rPr>
          <w:rFonts w:ascii="Times New Roman" w:eastAsia="Calibri" w:hAnsi="Times New Roman" w:cs="Times New Roman"/>
          <w:color w:val="auto"/>
        </w:rPr>
        <w:t xml:space="preserve"> for </w:t>
      </w:r>
      <w:proofErr w:type="spellStart"/>
      <w:r w:rsidRPr="00404C00">
        <w:rPr>
          <w:rFonts w:ascii="Times New Roman" w:eastAsia="Calibri" w:hAnsi="Times New Roman" w:cs="Times New Roman"/>
          <w:color w:val="auto"/>
        </w:rPr>
        <w:t>aNSCLC</w:t>
      </w:r>
      <w:proofErr w:type="spellEnd"/>
      <w:r w:rsidRPr="00404C00">
        <w:rPr>
          <w:rFonts w:ascii="Times New Roman" w:eastAsia="Calibri" w:hAnsi="Times New Roman" w:cs="Times New Roman"/>
          <w:color w:val="auto"/>
        </w:rPr>
        <w:t xml:space="preserve"> in patients who have evidence of</w:t>
      </w:r>
      <w:r w:rsidRPr="00404C00">
        <w:rPr>
          <w:rFonts w:ascii="Times New Roman" w:eastAsia="Calibri" w:hAnsi="Times New Roman" w:cs="Times New Roman"/>
          <w:i/>
          <w:iCs/>
          <w:color w:val="auto"/>
        </w:rPr>
        <w:t xml:space="preserve"> MET</w:t>
      </w:r>
      <w:r w:rsidRPr="00404C00">
        <w:rPr>
          <w:rFonts w:ascii="Times New Roman" w:eastAsia="Calibri" w:hAnsi="Times New Roman" w:cs="Times New Roman"/>
          <w:color w:val="auto"/>
        </w:rPr>
        <w:t>ex14sk.</w:t>
      </w:r>
    </w:p>
    <w:p w14:paraId="1213AD6E" w14:textId="77777777" w:rsidR="0093087D" w:rsidRPr="0093087D" w:rsidRDefault="0093087D" w:rsidP="0093087D">
      <w:pPr>
        <w:pStyle w:val="Heading1"/>
        <w:numPr>
          <w:ilvl w:val="0"/>
          <w:numId w:val="4"/>
        </w:numPr>
        <w:spacing w:before="240" w:after="240" w:line="240" w:lineRule="auto"/>
        <w:ind w:left="720" w:hanging="720"/>
        <w:rPr>
          <w:rFonts w:ascii="Arial" w:hAnsi="Arial" w:cs="Arial"/>
          <w:bCs/>
          <w:szCs w:val="28"/>
        </w:rPr>
      </w:pPr>
      <w:bookmarkStart w:id="6" w:name="_Hlk89076481"/>
      <w:r w:rsidRPr="0093087D">
        <w:rPr>
          <w:rFonts w:ascii="Arial" w:hAnsi="Arial" w:cs="Arial"/>
          <w:bCs/>
          <w:szCs w:val="28"/>
        </w:rPr>
        <w:t>MSAC’s advice to the Minister</w:t>
      </w:r>
    </w:p>
    <w:p w14:paraId="7370C653" w14:textId="5BD6C00B" w:rsidR="001C399F" w:rsidRPr="002F38D7" w:rsidRDefault="001C399F" w:rsidP="002F38D7">
      <w:pPr>
        <w:spacing w:after="0"/>
        <w:jc w:val="left"/>
        <w:rPr>
          <w:rFonts w:ascii="Times New Roman" w:eastAsia="Times New Roman" w:hAnsi="Times New Roman" w:cs="Times New Roman"/>
          <w:color w:val="auto"/>
          <w:szCs w:val="20"/>
          <w:lang w:eastAsia="en-AU"/>
        </w:rPr>
      </w:pPr>
      <w:r w:rsidRPr="002F38D7">
        <w:rPr>
          <w:rFonts w:ascii="Times New Roman" w:eastAsia="Times New Roman" w:hAnsi="Times New Roman" w:cs="Times New Roman"/>
          <w:color w:val="auto"/>
          <w:szCs w:val="20"/>
          <w:lang w:eastAsia="en-AU"/>
        </w:rPr>
        <w:t xml:space="preserve">After considering the strength of the available evidence in relation to comparative safety, clinical effectiveness and cost-effectiveness, MSAC supported the creation of a new MBS item for </w:t>
      </w:r>
      <w:r w:rsidRPr="002F38D7">
        <w:rPr>
          <w:rFonts w:ascii="Times New Roman" w:eastAsia="Times New Roman" w:hAnsi="Times New Roman" w:cs="Times New Roman"/>
          <w:i/>
          <w:iCs/>
          <w:color w:val="auto"/>
          <w:szCs w:val="20"/>
          <w:lang w:eastAsia="en-AU"/>
        </w:rPr>
        <w:t>MET</w:t>
      </w:r>
      <w:r w:rsidRPr="002F38D7">
        <w:rPr>
          <w:rFonts w:ascii="Times New Roman" w:eastAsia="Times New Roman" w:hAnsi="Times New Roman" w:cs="Times New Roman"/>
          <w:color w:val="auto"/>
          <w:szCs w:val="20"/>
          <w:lang w:eastAsia="en-AU"/>
        </w:rPr>
        <w:t>ex14</w:t>
      </w:r>
      <w:r w:rsidR="002F38D7">
        <w:rPr>
          <w:rFonts w:ascii="Times New Roman" w:eastAsia="Times New Roman" w:hAnsi="Times New Roman" w:cs="Times New Roman"/>
          <w:color w:val="auto"/>
          <w:szCs w:val="20"/>
          <w:lang w:eastAsia="en-AU"/>
        </w:rPr>
        <w:t>sk</w:t>
      </w:r>
      <w:r w:rsidRPr="002F38D7">
        <w:rPr>
          <w:rFonts w:ascii="Times New Roman" w:eastAsia="Times New Roman" w:hAnsi="Times New Roman" w:cs="Times New Roman"/>
          <w:color w:val="auto"/>
          <w:szCs w:val="20"/>
          <w:lang w:eastAsia="en-AU"/>
        </w:rPr>
        <w:t xml:space="preserve"> testing in patients with </w:t>
      </w:r>
      <w:proofErr w:type="spellStart"/>
      <w:r w:rsidR="00B36D35">
        <w:rPr>
          <w:rFonts w:ascii="Times New Roman" w:eastAsia="Times New Roman" w:hAnsi="Times New Roman" w:cs="Times New Roman"/>
          <w:color w:val="auto"/>
          <w:szCs w:val="20"/>
          <w:lang w:eastAsia="en-AU"/>
        </w:rPr>
        <w:t>a</w:t>
      </w:r>
      <w:r w:rsidRPr="002F38D7">
        <w:rPr>
          <w:rFonts w:ascii="Times New Roman" w:eastAsia="Times New Roman" w:hAnsi="Times New Roman" w:cs="Times New Roman"/>
          <w:color w:val="auto"/>
          <w:szCs w:val="20"/>
          <w:lang w:eastAsia="en-AU"/>
        </w:rPr>
        <w:t>NSCLC</w:t>
      </w:r>
      <w:proofErr w:type="spellEnd"/>
      <w:r w:rsidR="002F38D7">
        <w:rPr>
          <w:rFonts w:ascii="Times New Roman" w:eastAsia="Times New Roman" w:hAnsi="Times New Roman" w:cs="Times New Roman"/>
          <w:color w:val="auto"/>
          <w:szCs w:val="20"/>
          <w:lang w:eastAsia="en-AU"/>
        </w:rPr>
        <w:t>,</w:t>
      </w:r>
      <w:r w:rsidRPr="002F38D7">
        <w:rPr>
          <w:rFonts w:ascii="Times New Roman" w:eastAsia="Times New Roman" w:hAnsi="Times New Roman" w:cs="Times New Roman"/>
          <w:color w:val="auto"/>
          <w:szCs w:val="20"/>
          <w:lang w:eastAsia="en-AU"/>
        </w:rPr>
        <w:t xml:space="preserve"> to determine eligibility for tepotinib. MSAC advised that patients diagnosed with locally advanced or metastatic NSCLC (stage IIIB or IV) with non-squamous </w:t>
      </w:r>
      <w:r w:rsidR="002F38D7">
        <w:rPr>
          <w:rFonts w:ascii="Times New Roman" w:eastAsia="Times New Roman" w:hAnsi="Times New Roman" w:cs="Times New Roman"/>
          <w:color w:val="auto"/>
          <w:szCs w:val="20"/>
          <w:lang w:eastAsia="en-AU"/>
        </w:rPr>
        <w:t xml:space="preserve">(NSQ) </w:t>
      </w:r>
      <w:r w:rsidRPr="002F38D7">
        <w:rPr>
          <w:rFonts w:ascii="Times New Roman" w:eastAsia="Times New Roman" w:hAnsi="Times New Roman" w:cs="Times New Roman"/>
          <w:color w:val="auto"/>
          <w:szCs w:val="20"/>
          <w:lang w:eastAsia="en-AU"/>
        </w:rPr>
        <w:t>or not</w:t>
      </w:r>
      <w:r w:rsidR="002F38D7">
        <w:rPr>
          <w:rFonts w:ascii="Times New Roman" w:eastAsia="Times New Roman" w:hAnsi="Times New Roman" w:cs="Times New Roman"/>
          <w:color w:val="auto"/>
          <w:szCs w:val="20"/>
          <w:lang w:eastAsia="en-AU"/>
        </w:rPr>
        <w:t>-</w:t>
      </w:r>
      <w:r w:rsidRPr="002F38D7">
        <w:rPr>
          <w:rFonts w:ascii="Times New Roman" w:eastAsia="Times New Roman" w:hAnsi="Times New Roman" w:cs="Times New Roman"/>
          <w:color w:val="auto"/>
          <w:szCs w:val="20"/>
          <w:lang w:eastAsia="en-AU"/>
        </w:rPr>
        <w:t>otherwise</w:t>
      </w:r>
      <w:r w:rsidR="002F38D7">
        <w:rPr>
          <w:rFonts w:ascii="Times New Roman" w:eastAsia="Times New Roman" w:hAnsi="Times New Roman" w:cs="Times New Roman"/>
          <w:color w:val="auto"/>
          <w:szCs w:val="20"/>
          <w:lang w:eastAsia="en-AU"/>
        </w:rPr>
        <w:t>-</w:t>
      </w:r>
      <w:r w:rsidRPr="002F38D7">
        <w:rPr>
          <w:rFonts w:ascii="Times New Roman" w:eastAsia="Times New Roman" w:hAnsi="Times New Roman" w:cs="Times New Roman"/>
          <w:color w:val="auto"/>
          <w:szCs w:val="20"/>
          <w:lang w:eastAsia="en-AU"/>
        </w:rPr>
        <w:t xml:space="preserve">specified </w:t>
      </w:r>
      <w:r w:rsidR="002F38D7">
        <w:rPr>
          <w:rFonts w:ascii="Times New Roman" w:eastAsia="Times New Roman" w:hAnsi="Times New Roman" w:cs="Times New Roman"/>
          <w:color w:val="auto"/>
          <w:szCs w:val="20"/>
          <w:lang w:eastAsia="en-AU"/>
        </w:rPr>
        <w:t xml:space="preserve">(NOS) </w:t>
      </w:r>
      <w:r w:rsidRPr="002F38D7">
        <w:rPr>
          <w:rFonts w:ascii="Times New Roman" w:eastAsia="Times New Roman" w:hAnsi="Times New Roman" w:cs="Times New Roman"/>
          <w:color w:val="auto"/>
          <w:szCs w:val="20"/>
          <w:lang w:eastAsia="en-AU"/>
        </w:rPr>
        <w:t>histology should be eligible for this test. MSAC preferred not to support testing in patients with squamous (SQ) histology due to insufficient evidence supporting the clinical effectiveness of tepotinib in patients with SQ histology, consistency with testing for other biomarkers (</w:t>
      </w:r>
      <w:r w:rsidRPr="002F38D7">
        <w:rPr>
          <w:rFonts w:ascii="Times New Roman" w:eastAsia="Times New Roman" w:hAnsi="Times New Roman" w:cs="Times New Roman"/>
          <w:i/>
          <w:iCs/>
          <w:color w:val="auto"/>
          <w:szCs w:val="20"/>
          <w:lang w:eastAsia="en-AU"/>
        </w:rPr>
        <w:t>EGFR</w:t>
      </w:r>
      <w:r w:rsidRPr="002F38D7">
        <w:rPr>
          <w:rFonts w:ascii="Times New Roman" w:eastAsia="Times New Roman" w:hAnsi="Times New Roman" w:cs="Times New Roman"/>
          <w:color w:val="auto"/>
          <w:szCs w:val="20"/>
          <w:lang w:eastAsia="en-AU"/>
        </w:rPr>
        <w:t xml:space="preserve">, </w:t>
      </w:r>
      <w:r w:rsidRPr="008E6FBC">
        <w:rPr>
          <w:rFonts w:ascii="Times New Roman" w:eastAsia="Times New Roman" w:hAnsi="Times New Roman" w:cs="Times New Roman"/>
          <w:i/>
          <w:iCs/>
          <w:color w:val="auto"/>
          <w:szCs w:val="20"/>
          <w:lang w:eastAsia="en-AU"/>
        </w:rPr>
        <w:t>ALK</w:t>
      </w:r>
      <w:r w:rsidRPr="002F38D7">
        <w:rPr>
          <w:rFonts w:ascii="Times New Roman" w:eastAsia="Times New Roman" w:hAnsi="Times New Roman" w:cs="Times New Roman"/>
          <w:color w:val="auto"/>
          <w:szCs w:val="20"/>
          <w:lang w:eastAsia="en-AU"/>
        </w:rPr>
        <w:t xml:space="preserve"> and </w:t>
      </w:r>
      <w:r w:rsidRPr="008E6FBC">
        <w:rPr>
          <w:rFonts w:ascii="Times New Roman" w:eastAsia="Times New Roman" w:hAnsi="Times New Roman" w:cs="Times New Roman"/>
          <w:i/>
          <w:iCs/>
          <w:color w:val="auto"/>
          <w:szCs w:val="20"/>
          <w:lang w:eastAsia="en-AU"/>
        </w:rPr>
        <w:t>ROS1</w:t>
      </w:r>
      <w:r w:rsidRPr="002F38D7">
        <w:rPr>
          <w:rFonts w:ascii="Times New Roman" w:eastAsia="Times New Roman" w:hAnsi="Times New Roman" w:cs="Times New Roman"/>
          <w:color w:val="auto"/>
          <w:szCs w:val="20"/>
          <w:lang w:eastAsia="en-AU"/>
        </w:rPr>
        <w:t xml:space="preserve">) and other targeted therapies in NSCLC, and the low prevalence of the </w:t>
      </w:r>
      <w:r w:rsidRPr="002F38D7">
        <w:rPr>
          <w:rFonts w:ascii="Times New Roman" w:eastAsia="Times New Roman" w:hAnsi="Times New Roman" w:cs="Times New Roman"/>
          <w:i/>
          <w:iCs/>
          <w:color w:val="auto"/>
          <w:szCs w:val="20"/>
          <w:lang w:eastAsia="en-AU"/>
        </w:rPr>
        <w:t>MET</w:t>
      </w:r>
      <w:r w:rsidRPr="002F38D7">
        <w:rPr>
          <w:rFonts w:ascii="Times New Roman" w:eastAsia="Times New Roman" w:hAnsi="Times New Roman" w:cs="Times New Roman"/>
          <w:color w:val="auto"/>
          <w:szCs w:val="20"/>
          <w:lang w:eastAsia="en-AU"/>
        </w:rPr>
        <w:t xml:space="preserve">ex14sk biomarker amongst patients with SQ histology. MSAC advised that the absence of these other NSCLC biomarkers need not be a pre-requisite for </w:t>
      </w:r>
      <w:r w:rsidRPr="002F38D7">
        <w:rPr>
          <w:rFonts w:ascii="Times New Roman" w:eastAsia="Times New Roman" w:hAnsi="Times New Roman" w:cs="Times New Roman"/>
          <w:i/>
          <w:iCs/>
          <w:color w:val="auto"/>
          <w:szCs w:val="20"/>
          <w:lang w:eastAsia="en-AU"/>
        </w:rPr>
        <w:t>MET</w:t>
      </w:r>
      <w:r w:rsidRPr="002F38D7">
        <w:rPr>
          <w:rFonts w:ascii="Times New Roman" w:eastAsia="Times New Roman" w:hAnsi="Times New Roman" w:cs="Times New Roman"/>
          <w:color w:val="auto"/>
          <w:szCs w:val="20"/>
          <w:lang w:eastAsia="en-AU"/>
        </w:rPr>
        <w:t>ex14sk testing. MSAC advised that the test should not be pathologist-determinable.</w:t>
      </w:r>
    </w:p>
    <w:p w14:paraId="4875616D" w14:textId="58924B99" w:rsidR="001C399F" w:rsidRPr="002F38D7" w:rsidRDefault="001C399F" w:rsidP="002F38D7">
      <w:pPr>
        <w:spacing w:after="0"/>
        <w:jc w:val="left"/>
        <w:rPr>
          <w:rFonts w:ascii="Times New Roman" w:eastAsia="Times New Roman" w:hAnsi="Times New Roman" w:cs="Times New Roman"/>
          <w:color w:val="auto"/>
          <w:szCs w:val="20"/>
          <w:lang w:eastAsia="en-AU"/>
        </w:rPr>
      </w:pPr>
      <w:r w:rsidRPr="002F38D7">
        <w:rPr>
          <w:rFonts w:ascii="Times New Roman" w:eastAsia="Times New Roman" w:hAnsi="Times New Roman" w:cs="Times New Roman"/>
          <w:color w:val="auto"/>
          <w:szCs w:val="20"/>
          <w:lang w:eastAsia="en-AU"/>
        </w:rPr>
        <w:t>MSAC supported the following MBS item descriptor</w:t>
      </w:r>
      <w:r w:rsidR="00D43D8D">
        <w:rPr>
          <w:rFonts w:ascii="Times New Roman" w:eastAsia="Times New Roman" w:hAnsi="Times New Roman" w:cs="Times New Roman"/>
          <w:color w:val="auto"/>
          <w:szCs w:val="20"/>
          <w:lang w:eastAsia="en-AU"/>
        </w:rPr>
        <w:t xml:space="preserve"> (</w:t>
      </w:r>
      <w:r w:rsidR="008374EF">
        <w:rPr>
          <w:rFonts w:ascii="Times New Roman" w:eastAsia="Times New Roman" w:hAnsi="Times New Roman" w:cs="Times New Roman"/>
          <w:color w:val="auto"/>
          <w:szCs w:val="20"/>
          <w:lang w:eastAsia="en-AU"/>
        </w:rPr>
        <w:fldChar w:fldCharType="begin"/>
      </w:r>
      <w:r w:rsidR="008374EF">
        <w:rPr>
          <w:rFonts w:ascii="Times New Roman" w:eastAsia="Times New Roman" w:hAnsi="Times New Roman" w:cs="Times New Roman"/>
          <w:color w:val="auto"/>
          <w:szCs w:val="20"/>
          <w:lang w:eastAsia="en-AU"/>
        </w:rPr>
        <w:instrText xml:space="preserve"> REF _Ref90039755  \* MERGEFORMAT </w:instrText>
      </w:r>
      <w:r w:rsidR="008374EF">
        <w:rPr>
          <w:rFonts w:ascii="Times New Roman" w:eastAsia="Times New Roman" w:hAnsi="Times New Roman" w:cs="Times New Roman"/>
          <w:color w:val="auto"/>
          <w:szCs w:val="20"/>
          <w:lang w:eastAsia="en-AU"/>
        </w:rPr>
        <w:fldChar w:fldCharType="separate"/>
      </w:r>
      <w:r w:rsidR="00EF30D4" w:rsidRPr="00EF30D4">
        <w:rPr>
          <w:rFonts w:ascii="Times New Roman" w:eastAsia="Times New Roman" w:hAnsi="Times New Roman" w:cs="Times New Roman"/>
          <w:color w:val="auto"/>
          <w:szCs w:val="20"/>
          <w:lang w:eastAsia="en-AU"/>
        </w:rPr>
        <w:t>Table 1</w:t>
      </w:r>
      <w:r w:rsidR="008374EF">
        <w:rPr>
          <w:rFonts w:ascii="Times New Roman" w:eastAsia="Times New Roman" w:hAnsi="Times New Roman" w:cs="Times New Roman"/>
          <w:color w:val="auto"/>
          <w:szCs w:val="20"/>
          <w:lang w:eastAsia="en-AU"/>
        </w:rPr>
        <w:fldChar w:fldCharType="end"/>
      </w:r>
      <w:r w:rsidR="00D43D8D">
        <w:rPr>
          <w:rFonts w:ascii="Times New Roman" w:eastAsia="Times New Roman" w:hAnsi="Times New Roman" w:cs="Times New Roman"/>
          <w:color w:val="auto"/>
          <w:szCs w:val="20"/>
          <w:lang w:eastAsia="en-AU"/>
        </w:rPr>
        <w:t>).</w:t>
      </w:r>
    </w:p>
    <w:p w14:paraId="03719AE7" w14:textId="7E16DAC3" w:rsidR="00D43D8D" w:rsidRDefault="00D43D8D" w:rsidP="00D43D8D">
      <w:pPr>
        <w:pStyle w:val="Caption"/>
      </w:pPr>
      <w:bookmarkStart w:id="7" w:name="_Ref90039755"/>
      <w:r>
        <w:lastRenderedPageBreak/>
        <w:t xml:space="preserve">Table </w:t>
      </w:r>
      <w:fldSimple w:instr=" SEQ Table \* ARABIC ">
        <w:r w:rsidR="00EF30D4">
          <w:rPr>
            <w:noProof/>
          </w:rPr>
          <w:t>1</w:t>
        </w:r>
      </w:fldSimple>
      <w:bookmarkEnd w:id="7"/>
      <w:r>
        <w:tab/>
        <w:t xml:space="preserve">MSAC’s supported </w:t>
      </w:r>
      <w:r w:rsidR="003C0691">
        <w:t xml:space="preserve">MBS </w:t>
      </w:r>
      <w:r>
        <w:t xml:space="preserve">item for </w:t>
      </w:r>
      <w:r>
        <w:rPr>
          <w:i/>
        </w:rPr>
        <w:t>MET</w:t>
      </w:r>
      <w:r>
        <w:t>ex14sk testing</w:t>
      </w:r>
    </w:p>
    <w:tbl>
      <w:tblPr>
        <w:tblStyle w:val="HTATableshaded"/>
        <w:tblW w:w="9201" w:type="dxa"/>
        <w:tblInd w:w="-20" w:type="dxa"/>
        <w:tblLook w:val="0020" w:firstRow="1" w:lastRow="0" w:firstColumn="0" w:lastColumn="0" w:noHBand="0" w:noVBand="0"/>
      </w:tblPr>
      <w:tblGrid>
        <w:gridCol w:w="9201"/>
      </w:tblGrid>
      <w:tr w:rsidR="002F38D7" w:rsidRPr="002F38D7" w14:paraId="278F1869" w14:textId="77777777" w:rsidTr="00EB22EA">
        <w:trPr>
          <w:cnfStyle w:val="100000000000" w:firstRow="1" w:lastRow="0" w:firstColumn="0" w:lastColumn="0" w:oddVBand="0" w:evenVBand="0" w:oddHBand="0" w:evenHBand="0" w:firstRowFirstColumn="0" w:firstRowLastColumn="0" w:lastRowFirstColumn="0" w:lastRowLastColumn="0"/>
          <w:trHeight w:val="266"/>
        </w:trPr>
        <w:tc>
          <w:tcPr>
            <w:tcW w:w="9201" w:type="dxa"/>
          </w:tcPr>
          <w:p w14:paraId="4DFABF70" w14:textId="422E2E13" w:rsidR="002F38D7" w:rsidRPr="002F38D7" w:rsidRDefault="002F38D7" w:rsidP="002F38D7">
            <w:pPr>
              <w:pStyle w:val="Tabletext0"/>
              <w:jc w:val="right"/>
              <w:rPr>
                <w:rStyle w:val="Emphasis"/>
                <w:rFonts w:ascii="Times New Roman" w:hAnsi="Times New Roman"/>
                <w:i w:val="0"/>
                <w:iCs w:val="0"/>
              </w:rPr>
            </w:pPr>
            <w:r w:rsidRPr="002F38D7">
              <w:t xml:space="preserve">Category </w:t>
            </w:r>
            <w:r w:rsidR="002C5802">
              <w:t>6</w:t>
            </w:r>
            <w:r w:rsidRPr="002F38D7">
              <w:t xml:space="preserve"> – </w:t>
            </w:r>
            <w:r w:rsidR="002C5802" w:rsidRPr="002F38D7">
              <w:t>PATHOLOGY</w:t>
            </w:r>
            <w:r w:rsidR="002C5802">
              <w:t xml:space="preserve"> SERVICES</w:t>
            </w:r>
            <w:r w:rsidR="002C5802">
              <w:br/>
              <w:t>Group P7 –</w:t>
            </w:r>
            <w:r w:rsidRPr="002F38D7">
              <w:t xml:space="preserve"> </w:t>
            </w:r>
            <w:r w:rsidR="002C5802">
              <w:t>G</w:t>
            </w:r>
            <w:r w:rsidRPr="002F38D7">
              <w:t>enetics</w:t>
            </w:r>
          </w:p>
        </w:tc>
      </w:tr>
      <w:tr w:rsidR="002F38D7" w:rsidRPr="002F38D7" w14:paraId="0C6CE97D" w14:textId="77777777" w:rsidTr="00EB22EA">
        <w:trPr>
          <w:trHeight w:val="1022"/>
        </w:trPr>
        <w:tc>
          <w:tcPr>
            <w:tcW w:w="9201" w:type="dxa"/>
          </w:tcPr>
          <w:p w14:paraId="480895F0" w14:textId="095825DC" w:rsidR="002F38D7" w:rsidRPr="002F38D7" w:rsidRDefault="002F38D7" w:rsidP="003C0691">
            <w:pPr>
              <w:pStyle w:val="Tabletext0"/>
            </w:pPr>
            <w:r w:rsidRPr="002F38D7">
              <w:t>A test of tumour tissue from a patient diagnosed with locally advanced or metastatic non-small cell lung cancer</w:t>
            </w:r>
            <w:r w:rsidR="00721CB3">
              <w:t>,</w:t>
            </w:r>
            <w:r w:rsidRPr="002F38D7">
              <w:t xml:space="preserve"> shown to have non-squamous histology or histology not otherwise specified</w:t>
            </w:r>
            <w:r w:rsidR="00307661">
              <w:t>,</w:t>
            </w:r>
            <w:r w:rsidRPr="002F38D7">
              <w:t xml:space="preserve"> requested by, or on behalf of, a specialist or consultant physician to determine if the requirements relating to </w:t>
            </w:r>
            <w:r w:rsidRPr="002C5802">
              <w:rPr>
                <w:i/>
                <w:iCs/>
              </w:rPr>
              <w:t>MET</w:t>
            </w:r>
            <w:r w:rsidRPr="002F38D7">
              <w:t xml:space="preserve"> exon 14 skipping alteration status for access to tepotinib are fulfilled under the Pharmaceutical Benefits Scheme (PBS).</w:t>
            </w:r>
          </w:p>
        </w:tc>
      </w:tr>
      <w:tr w:rsidR="002F38D7" w:rsidRPr="002F38D7" w14:paraId="32CABBEF" w14:textId="77777777" w:rsidTr="00EB22EA">
        <w:trPr>
          <w:trHeight w:val="253"/>
        </w:trPr>
        <w:tc>
          <w:tcPr>
            <w:tcW w:w="9201" w:type="dxa"/>
          </w:tcPr>
          <w:p w14:paraId="5DAC371A" w14:textId="5DE02A0A" w:rsidR="002F38D7" w:rsidRPr="002F38D7" w:rsidRDefault="002F38D7" w:rsidP="002F38D7">
            <w:pPr>
              <w:pStyle w:val="Tabletext0"/>
            </w:pPr>
            <w:r w:rsidRPr="002F38D7">
              <w:t>Fee: $397.35 Benefit: 85% = $337.75</w:t>
            </w:r>
          </w:p>
        </w:tc>
      </w:tr>
    </w:tbl>
    <w:p w14:paraId="220A7908" w14:textId="77777777" w:rsidR="002F38D7" w:rsidRPr="002F38D7" w:rsidRDefault="002F38D7" w:rsidP="001C399F">
      <w:pPr>
        <w:rPr>
          <w:rStyle w:val="Emphasis"/>
          <w:rFonts w:ascii="Times New Roman" w:hAnsi="Times New Roman" w:cs="Times New Roman"/>
          <w:i w:val="0"/>
          <w:iCs w:val="0"/>
        </w:rPr>
      </w:pPr>
    </w:p>
    <w:p w14:paraId="7889DA6A" w14:textId="77777777" w:rsidR="001C399F" w:rsidRDefault="001C399F" w:rsidP="00D0789B">
      <w:pPr>
        <w:pStyle w:val="BoxHeading"/>
        <w:pBdr>
          <w:bottom w:val="single" w:sz="4" w:space="9" w:color="000000"/>
        </w:pBdr>
      </w:pPr>
      <w:r>
        <w:t>Consumer summary</w:t>
      </w:r>
    </w:p>
    <w:p w14:paraId="5B8D0C77" w14:textId="3A7D756E" w:rsidR="001C399F" w:rsidRDefault="001C399F" w:rsidP="00D0789B">
      <w:pPr>
        <w:pStyle w:val="BoxText"/>
        <w:pBdr>
          <w:bottom w:val="single" w:sz="4" w:space="9" w:color="000000"/>
        </w:pBdr>
      </w:pPr>
      <w:r>
        <w:t xml:space="preserve">This application was from Merck Healthcare, to create a Medicare Benefits Schedule (MBS) item to test tumour samples </w:t>
      </w:r>
      <w:r w:rsidR="009B012C">
        <w:t xml:space="preserve">from patients </w:t>
      </w:r>
      <w:r w:rsidR="002C5802">
        <w:t>who have</w:t>
      </w:r>
      <w:r w:rsidR="009B012C">
        <w:t xml:space="preserve"> locally advanced or metastatic non-small cell lung cancer </w:t>
      </w:r>
      <w:r>
        <w:t xml:space="preserve">for </w:t>
      </w:r>
      <w:r w:rsidR="009B012C">
        <w:t xml:space="preserve">a particular type of genetic </w:t>
      </w:r>
      <w:r>
        <w:t xml:space="preserve">alteration. Patients found to have </w:t>
      </w:r>
      <w:r w:rsidR="009B012C">
        <w:t xml:space="preserve">these </w:t>
      </w:r>
      <w:r>
        <w:t>alterations would then be eligible to access a drug called tepotinib on the Pharmaceutical Benefits Scheme (PBS).</w:t>
      </w:r>
    </w:p>
    <w:p w14:paraId="4D242A17" w14:textId="795A1AD4" w:rsidR="001C399F" w:rsidRDefault="009B012C" w:rsidP="00D0789B">
      <w:pPr>
        <w:pStyle w:val="BoxText"/>
        <w:pBdr>
          <w:bottom w:val="single" w:sz="4" w:space="9" w:color="000000"/>
        </w:pBdr>
      </w:pPr>
      <w:r>
        <w:t xml:space="preserve">These </w:t>
      </w:r>
      <w:r w:rsidR="002C5802">
        <w:t>genetic</w:t>
      </w:r>
      <w:r>
        <w:t xml:space="preserve"> alterations are called </w:t>
      </w:r>
      <w:r w:rsidRPr="009B012C">
        <w:rPr>
          <w:i/>
          <w:iCs/>
        </w:rPr>
        <w:t>MET</w:t>
      </w:r>
      <w:r>
        <w:t xml:space="preserve"> exon 14 skipping </w:t>
      </w:r>
      <w:r w:rsidRPr="009B012C">
        <w:t>alterations</w:t>
      </w:r>
      <w:r w:rsidR="00D67680">
        <w:t xml:space="preserve"> (or </w:t>
      </w:r>
      <w:r w:rsidR="00D67680" w:rsidRPr="009B012C">
        <w:rPr>
          <w:i/>
          <w:iCs/>
        </w:rPr>
        <w:t>MET</w:t>
      </w:r>
      <w:r w:rsidR="00D67680">
        <w:t>ex14sk)</w:t>
      </w:r>
      <w:r>
        <w:t xml:space="preserve">. </w:t>
      </w:r>
      <w:r w:rsidR="001C399F" w:rsidRPr="009B012C">
        <w:rPr>
          <w:i/>
          <w:iCs/>
        </w:rPr>
        <w:t>MET</w:t>
      </w:r>
      <w:r w:rsidR="001C399F">
        <w:rPr>
          <w:i/>
          <w:iCs/>
        </w:rPr>
        <w:t xml:space="preserve"> </w:t>
      </w:r>
      <w:r w:rsidR="001C399F">
        <w:t xml:space="preserve">is a proto-oncogene. This means that, </w:t>
      </w:r>
      <w:r>
        <w:t xml:space="preserve">if </w:t>
      </w:r>
      <w:r w:rsidR="001C399F">
        <w:t>it is altered, it can make tumours grow faster.</w:t>
      </w:r>
      <w:r w:rsidR="001C399F">
        <w:rPr>
          <w:i/>
          <w:iCs/>
        </w:rPr>
        <w:t xml:space="preserve"> MET</w:t>
      </w:r>
      <w:r w:rsidR="001C399F">
        <w:t xml:space="preserve">ex14sk are a specific type of genetic variation that results in </w:t>
      </w:r>
      <w:r w:rsidR="002C5802">
        <w:t>a</w:t>
      </w:r>
      <w:r>
        <w:t xml:space="preserve"> </w:t>
      </w:r>
      <w:r w:rsidR="001C399F">
        <w:t xml:space="preserve">particular </w:t>
      </w:r>
      <w:r>
        <w:t xml:space="preserve">region </w:t>
      </w:r>
      <w:r w:rsidR="001C399F">
        <w:t xml:space="preserve">of the gene (called exon 14) </w:t>
      </w:r>
      <w:r>
        <w:t xml:space="preserve">not </w:t>
      </w:r>
      <w:r w:rsidR="001C399F">
        <w:t xml:space="preserve">being </w:t>
      </w:r>
      <w:r>
        <w:t>used, which changes the MET protein</w:t>
      </w:r>
      <w:r w:rsidR="002C5802">
        <w:t xml:space="preserve"> to make it more active</w:t>
      </w:r>
      <w:r>
        <w:t xml:space="preserve"> and can result in cancer growth</w:t>
      </w:r>
      <w:r w:rsidR="001C399F">
        <w:t>.</w:t>
      </w:r>
    </w:p>
    <w:p w14:paraId="7F6F8DAB" w14:textId="53A6A428" w:rsidR="001C399F" w:rsidRPr="00072C33" w:rsidRDefault="001C399F" w:rsidP="00D0789B">
      <w:pPr>
        <w:pStyle w:val="BoxText"/>
        <w:pBdr>
          <w:bottom w:val="single" w:sz="4" w:space="9" w:color="000000"/>
        </w:pBdr>
      </w:pPr>
      <w:r>
        <w:t xml:space="preserve">Patients with </w:t>
      </w:r>
      <w:r>
        <w:rPr>
          <w:i/>
          <w:iCs/>
        </w:rPr>
        <w:t>MET</w:t>
      </w:r>
      <w:r>
        <w:t>ex14sk have a worse prognosis than those without the</w:t>
      </w:r>
      <w:r w:rsidR="002C5802">
        <w:t>se</w:t>
      </w:r>
      <w:r>
        <w:t xml:space="preserve"> alterations. Tepotinib is a targeted drug that can improve health outcomes in patients </w:t>
      </w:r>
      <w:r w:rsidR="002C5802">
        <w:t xml:space="preserve">who have </w:t>
      </w:r>
      <w:r>
        <w:rPr>
          <w:i/>
          <w:iCs/>
        </w:rPr>
        <w:t>MET</w:t>
      </w:r>
      <w:r>
        <w:t>ex14sk.</w:t>
      </w:r>
      <w:r w:rsidR="008302AA" w:rsidRPr="008302AA">
        <w:t xml:space="preserve"> </w:t>
      </w:r>
      <w:r w:rsidR="00072C33">
        <w:t xml:space="preserve">For patients with </w:t>
      </w:r>
      <w:r w:rsidR="00072C33">
        <w:rPr>
          <w:i/>
          <w:iCs/>
        </w:rPr>
        <w:t>MET</w:t>
      </w:r>
      <w:r w:rsidR="00072C33">
        <w:t>ex14sk, treatment with tepotinib should provide similar health outcomes to the treatment currently available.</w:t>
      </w:r>
    </w:p>
    <w:p w14:paraId="759AC6BD" w14:textId="2401F526" w:rsidR="001C399F" w:rsidRDefault="001C399F" w:rsidP="00D0789B">
      <w:pPr>
        <w:pStyle w:val="BoxText"/>
        <w:pBdr>
          <w:bottom w:val="single" w:sz="4" w:space="9" w:color="000000"/>
        </w:pBdr>
      </w:pPr>
      <w:r>
        <w:t xml:space="preserve">MSAC </w:t>
      </w:r>
      <w:r w:rsidR="009B012C">
        <w:t xml:space="preserve">advised </w:t>
      </w:r>
      <w:r>
        <w:t xml:space="preserve">that tumour testing to identify </w:t>
      </w:r>
      <w:r>
        <w:rPr>
          <w:i/>
          <w:iCs/>
        </w:rPr>
        <w:t>MET</w:t>
      </w:r>
      <w:r>
        <w:t>ex14sk was effective and safe.</w:t>
      </w:r>
    </w:p>
    <w:p w14:paraId="6E94C11A" w14:textId="6C9B030F" w:rsidR="001C399F" w:rsidRDefault="001C399F" w:rsidP="00D0789B">
      <w:pPr>
        <w:pStyle w:val="BoxText"/>
        <w:pBdr>
          <w:bottom w:val="single" w:sz="4" w:space="9" w:color="000000"/>
        </w:pBdr>
      </w:pPr>
      <w:r>
        <w:t xml:space="preserve">MSAC recommended that only patients with non-squamous </w:t>
      </w:r>
      <w:r w:rsidR="009B012C">
        <w:t xml:space="preserve">histology </w:t>
      </w:r>
      <w:r>
        <w:t>or histology not</w:t>
      </w:r>
      <w:r w:rsidR="009B012C">
        <w:t>-otherwise-</w:t>
      </w:r>
      <w:r>
        <w:t xml:space="preserve">specified </w:t>
      </w:r>
      <w:r w:rsidR="009B012C">
        <w:t xml:space="preserve">types of non-small cell lung </w:t>
      </w:r>
      <w:r>
        <w:t>cancer be eligible for</w:t>
      </w:r>
      <w:r w:rsidR="002F38D7">
        <w:t xml:space="preserve"> this</w:t>
      </w:r>
      <w:r>
        <w:t xml:space="preserve"> testing, </w:t>
      </w:r>
      <w:r w:rsidR="002C5802">
        <w:t xml:space="preserve">because </w:t>
      </w:r>
      <w:r>
        <w:t>these patients benefit the most from testing and treatment with tepotinib</w:t>
      </w:r>
      <w:r w:rsidR="002F38D7">
        <w:t xml:space="preserve">, and this would be consistent with other targeted treatments for </w:t>
      </w:r>
      <w:r w:rsidR="002C5802">
        <w:t xml:space="preserve">patients with </w:t>
      </w:r>
      <w:r w:rsidR="002F38D7">
        <w:t>non-small cell lung cancer</w:t>
      </w:r>
      <w:r>
        <w:t xml:space="preserve">. There are very few patients with squamous cancer that have </w:t>
      </w:r>
      <w:r>
        <w:rPr>
          <w:i/>
          <w:iCs/>
        </w:rPr>
        <w:t>MET</w:t>
      </w:r>
      <w:r>
        <w:t xml:space="preserve">ex14sk, and </w:t>
      </w:r>
      <w:r w:rsidR="002C5802">
        <w:t>it is not clear that tepotinib</w:t>
      </w:r>
      <w:r>
        <w:t xml:space="preserve"> would benefit this group of people.</w:t>
      </w:r>
      <w:r w:rsidR="002F38D7">
        <w:t xml:space="preserve"> MSAC also recommended that patients should not have to first test negative for other biomarkers for targeted treatments</w:t>
      </w:r>
      <w:r w:rsidR="002C5802">
        <w:t xml:space="preserve">, before having </w:t>
      </w:r>
      <w:r w:rsidR="002C5802">
        <w:rPr>
          <w:i/>
          <w:iCs/>
        </w:rPr>
        <w:t>MET</w:t>
      </w:r>
      <w:r w:rsidR="002C5802">
        <w:t>ex14sk testing</w:t>
      </w:r>
      <w:r w:rsidR="002F38D7">
        <w:t>.</w:t>
      </w:r>
    </w:p>
    <w:p w14:paraId="5BC0E9B2" w14:textId="405730DF" w:rsidR="001C399F" w:rsidRDefault="001C399F" w:rsidP="00D0789B">
      <w:pPr>
        <w:pStyle w:val="BoxName"/>
        <w:pBdr>
          <w:bottom w:val="single" w:sz="4" w:space="9" w:color="000000"/>
        </w:pBdr>
      </w:pPr>
      <w:r>
        <w:t>MSAC’s advice to the Commonwealth Minister for Health</w:t>
      </w:r>
    </w:p>
    <w:p w14:paraId="12D23732" w14:textId="6F26FEAD" w:rsidR="001C399F" w:rsidRDefault="001C399F" w:rsidP="00D0789B">
      <w:pPr>
        <w:pStyle w:val="BoxText"/>
        <w:pBdr>
          <w:bottom w:val="single" w:sz="4" w:space="9" w:color="000000"/>
        </w:pBdr>
      </w:pPr>
      <w:r>
        <w:t xml:space="preserve">MSAC recommended that a new MBS item be created for tumour testing for </w:t>
      </w:r>
      <w:r>
        <w:rPr>
          <w:i/>
          <w:iCs/>
        </w:rPr>
        <w:t>MET</w:t>
      </w:r>
      <w:r>
        <w:t>ex14sk in patients with locally advanced or metastatic non-small cell lung cancer, and with non-squamous or histology not</w:t>
      </w:r>
      <w:r w:rsidR="002F38D7">
        <w:t>-otherwise-</w:t>
      </w:r>
      <w:r>
        <w:t>specified, to access tepotinib on the PBS. This recommendation is based on the testing being effective and safe.</w:t>
      </w:r>
    </w:p>
    <w:p w14:paraId="1436C9DD" w14:textId="3299D288" w:rsidR="0093087D" w:rsidRDefault="0093087D" w:rsidP="0093087D">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Summary of consideration and rationale for MSAC’s advice</w:t>
      </w:r>
    </w:p>
    <w:p w14:paraId="7B96AFAD" w14:textId="513814AB" w:rsidR="00554E12" w:rsidRDefault="00554E12" w:rsidP="00554E12">
      <w:pPr>
        <w:pStyle w:val="MSACESParagraph"/>
        <w:rPr>
          <w:lang w:eastAsia="en-AU"/>
        </w:rPr>
      </w:pPr>
      <w:r>
        <w:rPr>
          <w:lang w:eastAsia="en-AU"/>
        </w:rPr>
        <w:t xml:space="preserve">MSAC noted that this application from Merck Healthcare was for the creation of a new MBS item for testing of tumour samples for the presence of </w:t>
      </w:r>
      <w:r w:rsidRPr="002C5802">
        <w:rPr>
          <w:i/>
          <w:iCs/>
          <w:lang w:eastAsia="en-AU"/>
        </w:rPr>
        <w:t>MET</w:t>
      </w:r>
      <w:r>
        <w:rPr>
          <w:lang w:eastAsia="en-AU"/>
        </w:rPr>
        <w:t>ex14sk in patients with NSCLC</w:t>
      </w:r>
      <w:r w:rsidR="002C5802">
        <w:rPr>
          <w:lang w:eastAsia="en-AU"/>
        </w:rPr>
        <w:t>,</w:t>
      </w:r>
      <w:r>
        <w:rPr>
          <w:lang w:eastAsia="en-AU"/>
        </w:rPr>
        <w:t xml:space="preserve"> to determine eligibility for tepotinib on the PBS.</w:t>
      </w:r>
    </w:p>
    <w:p w14:paraId="5EDE7CD4" w14:textId="3AF47CC8" w:rsidR="00554E12" w:rsidRDefault="00554E12" w:rsidP="00554E12">
      <w:pPr>
        <w:pStyle w:val="MSACESParagraph"/>
        <w:rPr>
          <w:lang w:eastAsia="en-AU"/>
        </w:rPr>
      </w:pPr>
      <w:r>
        <w:rPr>
          <w:lang w:eastAsia="en-AU"/>
        </w:rPr>
        <w:lastRenderedPageBreak/>
        <w:t xml:space="preserve">MSAC noted the Pharmaceutical Benefits Advisory Committee (PBAC) </w:t>
      </w:r>
      <w:r w:rsidR="00545A42">
        <w:rPr>
          <w:lang w:eastAsia="en-AU"/>
        </w:rPr>
        <w:t xml:space="preserve">had </w:t>
      </w:r>
      <w:r>
        <w:rPr>
          <w:lang w:eastAsia="en-AU"/>
        </w:rPr>
        <w:t xml:space="preserve">deferred its decision on tepotinib at its November 2021 meeting, with a mind to accept pending MSAC </w:t>
      </w:r>
      <w:r w:rsidR="002C5802">
        <w:rPr>
          <w:lang w:eastAsia="en-AU"/>
        </w:rPr>
        <w:t>advice</w:t>
      </w:r>
      <w:r w:rsidR="004A48D9">
        <w:rPr>
          <w:lang w:eastAsia="en-AU"/>
        </w:rPr>
        <w:t xml:space="preserve"> </w:t>
      </w:r>
      <w:r w:rsidR="00395572">
        <w:rPr>
          <w:lang w:eastAsia="en-AU"/>
        </w:rPr>
        <w:t>on the funding of the codependent</w:t>
      </w:r>
      <w:r w:rsidR="004A48D9">
        <w:rPr>
          <w:lang w:eastAsia="en-AU"/>
        </w:rPr>
        <w:t xml:space="preserve"> </w:t>
      </w:r>
      <w:r w:rsidR="004A48D9" w:rsidRPr="00404C00">
        <w:rPr>
          <w:rFonts w:eastAsia="Calibri" w:cs="Times New Roman"/>
          <w:i/>
          <w:iCs/>
        </w:rPr>
        <w:t>MET</w:t>
      </w:r>
      <w:r w:rsidR="004A48D9" w:rsidRPr="00404C00">
        <w:rPr>
          <w:rFonts w:eastAsia="Calibri" w:cs="Times New Roman"/>
        </w:rPr>
        <w:t>ex14sk</w:t>
      </w:r>
      <w:r w:rsidR="004A48D9">
        <w:rPr>
          <w:rFonts w:eastAsia="Calibri" w:cs="Times New Roman"/>
        </w:rPr>
        <w:t xml:space="preserve"> testing</w:t>
      </w:r>
      <w:r>
        <w:rPr>
          <w:lang w:eastAsia="en-AU"/>
        </w:rPr>
        <w:t>.</w:t>
      </w:r>
    </w:p>
    <w:p w14:paraId="1867A9F5" w14:textId="38D38AA1" w:rsidR="00554E12" w:rsidRDefault="00554E12" w:rsidP="00554E12">
      <w:pPr>
        <w:pStyle w:val="MSACESParagraph"/>
        <w:rPr>
          <w:lang w:eastAsia="en-AU"/>
        </w:rPr>
      </w:pPr>
      <w:r>
        <w:rPr>
          <w:lang w:eastAsia="en-AU"/>
        </w:rPr>
        <w:t xml:space="preserve">MSAC noted that it was becoming more common for patients with cancer to undergo molecular testing, to detect activating alterations in oncogenic driver genes and </w:t>
      </w:r>
      <w:r w:rsidR="00395572">
        <w:rPr>
          <w:lang w:eastAsia="en-AU"/>
        </w:rPr>
        <w:t xml:space="preserve">thus to </w:t>
      </w:r>
      <w:r>
        <w:rPr>
          <w:lang w:eastAsia="en-AU"/>
        </w:rPr>
        <w:t>treat with specific targeted therapies upfront</w:t>
      </w:r>
      <w:r w:rsidR="002C5802">
        <w:rPr>
          <w:lang w:eastAsia="en-AU"/>
        </w:rPr>
        <w:t>,</w:t>
      </w:r>
      <w:r>
        <w:rPr>
          <w:lang w:eastAsia="en-AU"/>
        </w:rPr>
        <w:t xml:space="preserve"> instead of chemotherapy. Currently, </w:t>
      </w:r>
      <w:r w:rsidR="0064746E">
        <w:rPr>
          <w:lang w:eastAsia="en-AU"/>
        </w:rPr>
        <w:t xml:space="preserve">testing of </w:t>
      </w:r>
      <w:r>
        <w:rPr>
          <w:lang w:eastAsia="en-AU"/>
        </w:rPr>
        <w:t xml:space="preserve">epidermal growth factor </w:t>
      </w:r>
      <w:r w:rsidR="00395572">
        <w:rPr>
          <w:lang w:eastAsia="en-AU"/>
        </w:rPr>
        <w:t xml:space="preserve">receptor </w:t>
      </w:r>
      <w:r>
        <w:rPr>
          <w:lang w:eastAsia="en-AU"/>
        </w:rPr>
        <w:t>(</w:t>
      </w:r>
      <w:r w:rsidRPr="0064746E">
        <w:rPr>
          <w:i/>
          <w:iCs/>
          <w:lang w:eastAsia="en-AU"/>
        </w:rPr>
        <w:t>EGFR</w:t>
      </w:r>
      <w:r>
        <w:rPr>
          <w:lang w:eastAsia="en-AU"/>
        </w:rPr>
        <w:t>), anaplastic lymphoma kinase (</w:t>
      </w:r>
      <w:r w:rsidRPr="00395572">
        <w:rPr>
          <w:i/>
          <w:iCs/>
          <w:lang w:eastAsia="en-AU"/>
        </w:rPr>
        <w:t>ALK</w:t>
      </w:r>
      <w:r>
        <w:rPr>
          <w:lang w:eastAsia="en-AU"/>
        </w:rPr>
        <w:t>) and c-ROS oncogene (</w:t>
      </w:r>
      <w:r w:rsidRPr="00395572">
        <w:rPr>
          <w:i/>
          <w:iCs/>
          <w:lang w:eastAsia="en-AU"/>
        </w:rPr>
        <w:t>ROS1</w:t>
      </w:r>
      <w:r>
        <w:rPr>
          <w:lang w:eastAsia="en-AU"/>
        </w:rPr>
        <w:t>) are MBS-listed</w:t>
      </w:r>
      <w:r w:rsidR="0064746E">
        <w:rPr>
          <w:lang w:eastAsia="en-AU"/>
        </w:rPr>
        <w:t xml:space="preserve"> for patients with NSCLC</w:t>
      </w:r>
      <w:r>
        <w:rPr>
          <w:lang w:eastAsia="en-AU"/>
        </w:rPr>
        <w:t>, with corresponding target</w:t>
      </w:r>
      <w:r w:rsidR="00062DDB">
        <w:rPr>
          <w:lang w:eastAsia="en-AU"/>
        </w:rPr>
        <w:t>ed</w:t>
      </w:r>
      <w:r>
        <w:rPr>
          <w:lang w:eastAsia="en-AU"/>
        </w:rPr>
        <w:t xml:space="preserve"> therapies </w:t>
      </w:r>
      <w:r w:rsidR="0064746E">
        <w:rPr>
          <w:lang w:eastAsia="en-AU"/>
        </w:rPr>
        <w:t xml:space="preserve">funded </w:t>
      </w:r>
      <w:r>
        <w:rPr>
          <w:lang w:eastAsia="en-AU"/>
        </w:rPr>
        <w:t>on the PBS.</w:t>
      </w:r>
    </w:p>
    <w:p w14:paraId="5BEFE6C8" w14:textId="51DA2F59" w:rsidR="00554E12" w:rsidRDefault="00F40BBE" w:rsidP="00554E12">
      <w:pPr>
        <w:pStyle w:val="MSACESParagraph"/>
        <w:rPr>
          <w:lang w:eastAsia="en-AU"/>
        </w:rPr>
      </w:pPr>
      <w:r>
        <w:rPr>
          <w:lang w:eastAsia="en-AU"/>
        </w:rPr>
        <w:t xml:space="preserve">In relation to </w:t>
      </w:r>
      <w:r w:rsidR="00554E12">
        <w:rPr>
          <w:lang w:eastAsia="en-AU"/>
        </w:rPr>
        <w:t>the proposed item descriptor and fee</w:t>
      </w:r>
      <w:r w:rsidR="0064746E">
        <w:rPr>
          <w:lang w:eastAsia="en-AU"/>
        </w:rPr>
        <w:t>,</w:t>
      </w:r>
      <w:r w:rsidR="00554E12">
        <w:rPr>
          <w:lang w:eastAsia="en-AU"/>
        </w:rPr>
        <w:t xml:space="preserve"> MSAC </w:t>
      </w:r>
      <w:r w:rsidR="0064746E">
        <w:rPr>
          <w:lang w:eastAsia="en-AU"/>
        </w:rPr>
        <w:t xml:space="preserve">advised </w:t>
      </w:r>
      <w:r w:rsidR="00554E12">
        <w:rPr>
          <w:lang w:eastAsia="en-AU"/>
        </w:rPr>
        <w:t xml:space="preserve">that testing </w:t>
      </w:r>
      <w:r w:rsidR="0064746E">
        <w:rPr>
          <w:lang w:eastAsia="en-AU"/>
        </w:rPr>
        <w:t xml:space="preserve">should </w:t>
      </w:r>
      <w:r w:rsidR="00554E12">
        <w:rPr>
          <w:lang w:eastAsia="en-AU"/>
        </w:rPr>
        <w:t>be limited to locally advanced/metastatic cancers (Stage III</w:t>
      </w:r>
      <w:r w:rsidR="0064746E">
        <w:rPr>
          <w:lang w:eastAsia="en-AU"/>
        </w:rPr>
        <w:t>B</w:t>
      </w:r>
      <w:r w:rsidR="00554E12">
        <w:rPr>
          <w:lang w:eastAsia="en-AU"/>
        </w:rPr>
        <w:t xml:space="preserve">/IV), in line with the </w:t>
      </w:r>
      <w:r w:rsidR="0064746E">
        <w:rPr>
          <w:lang w:eastAsia="en-AU"/>
        </w:rPr>
        <w:t>applicant’s proposal in the pre-</w:t>
      </w:r>
      <w:r w:rsidR="00095BEA">
        <w:rPr>
          <w:lang w:eastAsia="en-AU"/>
        </w:rPr>
        <w:t xml:space="preserve">ESC response and with the </w:t>
      </w:r>
      <w:r w:rsidR="00554E12">
        <w:rPr>
          <w:lang w:eastAsia="en-AU"/>
        </w:rPr>
        <w:t>VISION trial.</w:t>
      </w:r>
      <w:r w:rsidR="00721CB3" w:rsidRPr="00721CB3">
        <w:rPr>
          <w:lang w:eastAsia="en-AU"/>
        </w:rPr>
        <w:t xml:space="preserve"> </w:t>
      </w:r>
      <w:r w:rsidR="00721CB3">
        <w:rPr>
          <w:lang w:eastAsia="en-AU"/>
        </w:rPr>
        <w:t xml:space="preserve">MSAC agreed with ESC that this item should not be pathologist-determinable, as this risks </w:t>
      </w:r>
      <w:r>
        <w:rPr>
          <w:lang w:eastAsia="en-AU"/>
        </w:rPr>
        <w:t>a</w:t>
      </w:r>
      <w:r w:rsidR="00721CB3">
        <w:rPr>
          <w:lang w:eastAsia="en-AU"/>
        </w:rPr>
        <w:t xml:space="preserve"> lack of input from the treating clinician.</w:t>
      </w:r>
      <w:r w:rsidR="00721CB3" w:rsidRPr="00721CB3">
        <w:rPr>
          <w:lang w:eastAsia="en-AU"/>
        </w:rPr>
        <w:t xml:space="preserve"> </w:t>
      </w:r>
      <w:r w:rsidR="00721CB3">
        <w:rPr>
          <w:lang w:eastAsia="en-AU"/>
        </w:rPr>
        <w:t xml:space="preserve">MSAC agreed that the </w:t>
      </w:r>
      <w:r w:rsidR="001F718B">
        <w:rPr>
          <w:lang w:eastAsia="en-AU"/>
        </w:rPr>
        <w:t xml:space="preserve">test </w:t>
      </w:r>
      <w:r w:rsidR="00721CB3">
        <w:rPr>
          <w:lang w:eastAsia="en-AU"/>
        </w:rPr>
        <w:t xml:space="preserve">fee should be $397.35, in line with </w:t>
      </w:r>
      <w:r w:rsidR="001F718B">
        <w:rPr>
          <w:lang w:eastAsia="en-AU"/>
        </w:rPr>
        <w:t>the fee</w:t>
      </w:r>
      <w:r w:rsidR="00B421AE">
        <w:rPr>
          <w:lang w:eastAsia="en-AU"/>
        </w:rPr>
        <w:t>s</w:t>
      </w:r>
      <w:r w:rsidR="001F718B">
        <w:rPr>
          <w:lang w:eastAsia="en-AU"/>
        </w:rPr>
        <w:t xml:space="preserve"> for similar</w:t>
      </w:r>
      <w:r w:rsidR="00721CB3">
        <w:rPr>
          <w:lang w:eastAsia="en-AU"/>
        </w:rPr>
        <w:t xml:space="preserve"> MBS </w:t>
      </w:r>
      <w:r w:rsidR="00E743D8">
        <w:rPr>
          <w:lang w:eastAsia="en-AU"/>
        </w:rPr>
        <w:t>items</w:t>
      </w:r>
      <w:r w:rsidR="00721CB3">
        <w:rPr>
          <w:lang w:eastAsia="en-AU"/>
        </w:rPr>
        <w:t>.</w:t>
      </w:r>
    </w:p>
    <w:p w14:paraId="46A84E9E" w14:textId="6EDC5DB0" w:rsidR="00545A42" w:rsidRDefault="00545A42" w:rsidP="00545A42">
      <w:pPr>
        <w:pStyle w:val="MSACESParagraph"/>
        <w:rPr>
          <w:lang w:eastAsia="en-AU"/>
        </w:rPr>
      </w:pPr>
      <w:r>
        <w:rPr>
          <w:lang w:eastAsia="en-AU"/>
        </w:rPr>
        <w:t xml:space="preserve">MSAC noted that the prognostic evidence from the VISION trial showed that, although not statistically significant, patients with </w:t>
      </w:r>
      <w:r w:rsidRPr="001F718B">
        <w:rPr>
          <w:i/>
          <w:iCs/>
          <w:lang w:eastAsia="en-AU"/>
        </w:rPr>
        <w:t>MET</w:t>
      </w:r>
      <w:r>
        <w:rPr>
          <w:lang w:eastAsia="en-AU"/>
        </w:rPr>
        <w:t>ex14</w:t>
      </w:r>
      <w:r w:rsidR="001F718B">
        <w:rPr>
          <w:lang w:eastAsia="en-AU"/>
        </w:rPr>
        <w:t>sk</w:t>
      </w:r>
      <w:r>
        <w:rPr>
          <w:lang w:eastAsia="en-AU"/>
        </w:rPr>
        <w:t xml:space="preserve"> have worse prognoses than those without the variant. </w:t>
      </w:r>
      <w:r w:rsidR="004741BD">
        <w:rPr>
          <w:lang w:eastAsia="en-AU"/>
        </w:rPr>
        <w:t xml:space="preserve">Using a matched-adjusted indirect treatment comparison (VISION trial versus KN189 trial), MSAC noted that PBAC had accepted that first-line treatment with tepotinib provided similar health outcomes to </w:t>
      </w:r>
      <w:r w:rsidR="004741BD">
        <w:t>pembrolizumab in combination with chemotherapy in the proposed population</w:t>
      </w:r>
      <w:r w:rsidR="00786E62">
        <w:t xml:space="preserve"> of </w:t>
      </w:r>
      <w:r w:rsidR="00786E62">
        <w:rPr>
          <w:lang w:eastAsia="en-AU"/>
        </w:rPr>
        <w:t>patients with Stage IIIB/IV NSCLC</w:t>
      </w:r>
      <w:r w:rsidR="004741BD">
        <w:t>.</w:t>
      </w:r>
    </w:p>
    <w:p w14:paraId="00C5B54C" w14:textId="42384132" w:rsidR="006B1218" w:rsidRDefault="00545A42" w:rsidP="00545A42">
      <w:pPr>
        <w:pStyle w:val="MSACESParagraph"/>
        <w:rPr>
          <w:lang w:eastAsia="en-AU"/>
        </w:rPr>
      </w:pPr>
      <w:r>
        <w:rPr>
          <w:lang w:eastAsia="en-AU"/>
        </w:rPr>
        <w:t>MSAC noted that of 152 patients</w:t>
      </w:r>
      <w:r w:rsidR="00786E62">
        <w:rPr>
          <w:lang w:eastAsia="en-AU"/>
        </w:rPr>
        <w:t xml:space="preserve"> in the VISION trial</w:t>
      </w:r>
      <w:r>
        <w:rPr>
          <w:lang w:eastAsia="en-AU"/>
        </w:rPr>
        <w:t xml:space="preserve">, only 16 (10.5%) had SQ histology, and the remainder had NSQ histology. MSAC noted that of the Stage IIIB/IV cases in the study, most </w:t>
      </w:r>
      <w:r w:rsidRPr="00F259E7">
        <w:rPr>
          <w:i/>
          <w:iCs/>
          <w:lang w:eastAsia="en-AU"/>
        </w:rPr>
        <w:t>EGFR</w:t>
      </w:r>
      <w:r>
        <w:rPr>
          <w:lang w:eastAsia="en-AU"/>
        </w:rPr>
        <w:t xml:space="preserve">, </w:t>
      </w:r>
      <w:r w:rsidRPr="00F40BBE">
        <w:rPr>
          <w:i/>
          <w:iCs/>
          <w:lang w:eastAsia="en-AU"/>
        </w:rPr>
        <w:t>ALK</w:t>
      </w:r>
      <w:r>
        <w:rPr>
          <w:lang w:eastAsia="en-AU"/>
        </w:rPr>
        <w:t xml:space="preserve">, </w:t>
      </w:r>
      <w:r w:rsidRPr="00F40BBE">
        <w:rPr>
          <w:i/>
          <w:iCs/>
          <w:lang w:eastAsia="en-AU"/>
        </w:rPr>
        <w:t>ROS1</w:t>
      </w:r>
      <w:r>
        <w:rPr>
          <w:lang w:eastAsia="en-AU"/>
        </w:rPr>
        <w:t xml:space="preserve"> and </w:t>
      </w:r>
      <w:r w:rsidRPr="00F259E7">
        <w:rPr>
          <w:i/>
          <w:iCs/>
          <w:lang w:eastAsia="en-AU"/>
        </w:rPr>
        <w:t>MET</w:t>
      </w:r>
      <w:r>
        <w:rPr>
          <w:lang w:eastAsia="en-AU"/>
        </w:rPr>
        <w:t xml:space="preserve">ex14sk </w:t>
      </w:r>
      <w:r w:rsidR="00F40BBE">
        <w:rPr>
          <w:lang w:eastAsia="en-AU"/>
        </w:rPr>
        <w:t xml:space="preserve">biomarkers </w:t>
      </w:r>
      <w:r>
        <w:rPr>
          <w:lang w:eastAsia="en-AU"/>
        </w:rPr>
        <w:t xml:space="preserve">were detected in patients with NSQ histology. MSAC noted that the applicant had requested funding </w:t>
      </w:r>
      <w:r w:rsidR="00786E62">
        <w:rPr>
          <w:lang w:eastAsia="en-AU"/>
        </w:rPr>
        <w:t xml:space="preserve">of testing </w:t>
      </w:r>
      <w:r>
        <w:rPr>
          <w:lang w:eastAsia="en-AU"/>
        </w:rPr>
        <w:t xml:space="preserve">for patients irrespective of histology, in line with PBAC’s </w:t>
      </w:r>
      <w:r w:rsidR="00786E62">
        <w:rPr>
          <w:lang w:eastAsia="en-AU"/>
        </w:rPr>
        <w:t xml:space="preserve">proposed </w:t>
      </w:r>
      <w:r>
        <w:rPr>
          <w:lang w:eastAsia="en-AU"/>
        </w:rPr>
        <w:t>silence on histology for the PBS listing</w:t>
      </w:r>
      <w:r w:rsidR="00786E62">
        <w:rPr>
          <w:lang w:eastAsia="en-AU"/>
        </w:rPr>
        <w:t xml:space="preserve"> of tepotinib</w:t>
      </w:r>
      <w:r>
        <w:rPr>
          <w:lang w:eastAsia="en-AU"/>
        </w:rPr>
        <w:t>, and with the inclusion of patients with SQ histology in the VISION trial. However, MSAC considered that the trial did not provide sufficient evidence for the clinical effectiveness of tepotinib in patients with SQ histology. MSAC noted that the SQ population was not included in the PICO</w:t>
      </w:r>
      <w:r w:rsidR="000C3C55">
        <w:rPr>
          <w:lang w:eastAsia="en-AU"/>
        </w:rPr>
        <w:t>-defined population</w:t>
      </w:r>
      <w:r>
        <w:rPr>
          <w:lang w:eastAsia="en-AU"/>
        </w:rPr>
        <w:t xml:space="preserve">, </w:t>
      </w:r>
      <w:r w:rsidR="000C3C55">
        <w:rPr>
          <w:lang w:eastAsia="en-AU"/>
        </w:rPr>
        <w:t>nor</w:t>
      </w:r>
      <w:r>
        <w:rPr>
          <w:lang w:eastAsia="en-AU"/>
        </w:rPr>
        <w:t xml:space="preserve"> eligible for </w:t>
      </w:r>
      <w:r w:rsidRPr="00F40BBE">
        <w:rPr>
          <w:i/>
          <w:iCs/>
          <w:lang w:eastAsia="en-AU"/>
        </w:rPr>
        <w:t>EGFR</w:t>
      </w:r>
      <w:r>
        <w:rPr>
          <w:lang w:eastAsia="en-AU"/>
        </w:rPr>
        <w:t>/</w:t>
      </w:r>
      <w:r w:rsidRPr="00F40BBE">
        <w:rPr>
          <w:i/>
          <w:iCs/>
          <w:lang w:eastAsia="en-AU"/>
        </w:rPr>
        <w:t>ALK</w:t>
      </w:r>
      <w:r>
        <w:rPr>
          <w:lang w:eastAsia="en-AU"/>
        </w:rPr>
        <w:t>/</w:t>
      </w:r>
      <w:r w:rsidRPr="00F40BBE">
        <w:rPr>
          <w:i/>
          <w:iCs/>
          <w:lang w:eastAsia="en-AU"/>
        </w:rPr>
        <w:t>ROS1</w:t>
      </w:r>
      <w:r>
        <w:rPr>
          <w:lang w:eastAsia="en-AU"/>
        </w:rPr>
        <w:t xml:space="preserve"> testing (</w:t>
      </w:r>
      <w:r>
        <w:rPr>
          <w:lang w:eastAsia="en-AU"/>
        </w:rPr>
        <w:fldChar w:fldCharType="begin"/>
      </w:r>
      <w:r>
        <w:rPr>
          <w:lang w:eastAsia="en-AU"/>
        </w:rPr>
        <w:instrText xml:space="preserve"> REF _Ref90019068 </w:instrText>
      </w:r>
      <w:r>
        <w:rPr>
          <w:lang w:eastAsia="en-AU"/>
        </w:rPr>
        <w:fldChar w:fldCharType="separate"/>
      </w:r>
      <w:r w:rsidR="00EF30D4">
        <w:t xml:space="preserve">Table </w:t>
      </w:r>
      <w:r w:rsidR="00EF30D4">
        <w:rPr>
          <w:noProof/>
        </w:rPr>
        <w:t>2</w:t>
      </w:r>
      <w:r>
        <w:rPr>
          <w:lang w:eastAsia="en-AU"/>
        </w:rPr>
        <w:fldChar w:fldCharType="end"/>
      </w:r>
      <w:r>
        <w:rPr>
          <w:lang w:eastAsia="en-AU"/>
        </w:rPr>
        <w:t xml:space="preserve">). However, MSAC noted that the ADAR stated that the </w:t>
      </w:r>
      <w:r w:rsidRPr="00B4158A">
        <w:rPr>
          <w:i/>
          <w:iCs/>
          <w:lang w:eastAsia="en-AU"/>
        </w:rPr>
        <w:t>MET</w:t>
      </w:r>
      <w:r>
        <w:rPr>
          <w:lang w:eastAsia="en-AU"/>
        </w:rPr>
        <w:t xml:space="preserve">ex14sk </w:t>
      </w:r>
      <w:r w:rsidR="000C3C55">
        <w:rPr>
          <w:lang w:eastAsia="en-AU"/>
        </w:rPr>
        <w:t>frequency</w:t>
      </w:r>
      <w:r>
        <w:rPr>
          <w:lang w:eastAsia="en-AU"/>
        </w:rPr>
        <w:t xml:space="preserve"> in patients with SQ histology is 1.6% compared with 4.4% in patients with NSQ/NOS histology. MSAC noted </w:t>
      </w:r>
      <w:r w:rsidR="00E152F5">
        <w:rPr>
          <w:lang w:eastAsia="en-AU"/>
        </w:rPr>
        <w:t>the lower prevalence in patients with</w:t>
      </w:r>
      <w:r>
        <w:rPr>
          <w:lang w:eastAsia="en-AU"/>
        </w:rPr>
        <w:t xml:space="preserve"> SQ histology</w:t>
      </w:r>
      <w:r w:rsidR="006B1218">
        <w:rPr>
          <w:lang w:eastAsia="en-AU"/>
        </w:rPr>
        <w:t>, and considered that excluding SQ histology</w:t>
      </w:r>
      <w:r>
        <w:rPr>
          <w:lang w:eastAsia="en-AU"/>
        </w:rPr>
        <w:t xml:space="preserve"> would </w:t>
      </w:r>
      <w:r w:rsidR="00E152F5">
        <w:rPr>
          <w:lang w:eastAsia="en-AU"/>
        </w:rPr>
        <w:t xml:space="preserve">alter </w:t>
      </w:r>
      <w:r>
        <w:rPr>
          <w:lang w:eastAsia="en-AU"/>
        </w:rPr>
        <w:t xml:space="preserve">the cost-effectiveness of the testing. MSAC considered it appropriate for </w:t>
      </w:r>
      <w:r w:rsidRPr="00B4158A">
        <w:rPr>
          <w:i/>
          <w:iCs/>
          <w:lang w:eastAsia="en-AU"/>
        </w:rPr>
        <w:t>MET</w:t>
      </w:r>
      <w:r>
        <w:rPr>
          <w:lang w:eastAsia="en-AU"/>
        </w:rPr>
        <w:t xml:space="preserve">ex14sk testing to be consistent with other NSCLC </w:t>
      </w:r>
      <w:r w:rsidR="00365F54">
        <w:rPr>
          <w:lang w:eastAsia="en-AU"/>
        </w:rPr>
        <w:t>biomarker</w:t>
      </w:r>
      <w:r>
        <w:rPr>
          <w:lang w:eastAsia="en-AU"/>
        </w:rPr>
        <w:t xml:space="preserve"> testing, which is universally limited to NSQ</w:t>
      </w:r>
      <w:r w:rsidR="006B1218">
        <w:rPr>
          <w:lang w:eastAsia="en-AU"/>
        </w:rPr>
        <w:t xml:space="preserve"> and NOS histology</w:t>
      </w:r>
      <w:r w:rsidR="00365F54">
        <w:rPr>
          <w:lang w:eastAsia="en-AU"/>
        </w:rPr>
        <w:t xml:space="preserve">. The </w:t>
      </w:r>
      <w:r w:rsidR="00DD4D05">
        <w:rPr>
          <w:lang w:eastAsia="en-AU"/>
        </w:rPr>
        <w:t xml:space="preserve">codependent </w:t>
      </w:r>
      <w:r w:rsidR="00365F54">
        <w:rPr>
          <w:lang w:eastAsia="en-AU"/>
        </w:rPr>
        <w:t xml:space="preserve">PBS restrictions are similarly limited </w:t>
      </w:r>
      <w:r w:rsidR="006B1218">
        <w:rPr>
          <w:lang w:eastAsia="en-AU"/>
        </w:rPr>
        <w:t xml:space="preserve">except for </w:t>
      </w:r>
      <w:proofErr w:type="spellStart"/>
      <w:r w:rsidR="006B1218">
        <w:rPr>
          <w:lang w:eastAsia="en-AU"/>
        </w:rPr>
        <w:t>osimertinib</w:t>
      </w:r>
      <w:proofErr w:type="spellEnd"/>
      <w:r w:rsidR="006B1218">
        <w:rPr>
          <w:lang w:eastAsia="en-AU"/>
        </w:rPr>
        <w:t>.</w:t>
      </w:r>
      <w:r w:rsidR="00A7671F">
        <w:rPr>
          <w:lang w:eastAsia="en-AU"/>
        </w:rPr>
        <w:t xml:space="preserve"> </w:t>
      </w:r>
      <w:r w:rsidR="006B1218">
        <w:rPr>
          <w:lang w:eastAsia="en-AU"/>
        </w:rPr>
        <w:t xml:space="preserve">MSAC noted </w:t>
      </w:r>
      <w:r w:rsidR="007D409B">
        <w:rPr>
          <w:lang w:eastAsia="en-AU"/>
        </w:rPr>
        <w:t xml:space="preserve">that </w:t>
      </w:r>
      <w:r w:rsidR="006B1218">
        <w:rPr>
          <w:lang w:eastAsia="en-AU"/>
        </w:rPr>
        <w:t xml:space="preserve">when </w:t>
      </w:r>
      <w:proofErr w:type="spellStart"/>
      <w:r w:rsidR="00A7671F">
        <w:rPr>
          <w:lang w:eastAsia="en-AU"/>
        </w:rPr>
        <w:t>osimertinib</w:t>
      </w:r>
      <w:proofErr w:type="spellEnd"/>
      <w:r w:rsidR="006B1218">
        <w:rPr>
          <w:lang w:eastAsia="en-AU"/>
        </w:rPr>
        <w:t xml:space="preserve"> was </w:t>
      </w:r>
      <w:r w:rsidR="007D409B">
        <w:rPr>
          <w:lang w:eastAsia="en-AU"/>
        </w:rPr>
        <w:t>originally listed</w:t>
      </w:r>
      <w:r w:rsidR="00E0299A">
        <w:rPr>
          <w:lang w:eastAsia="en-AU"/>
        </w:rPr>
        <w:t xml:space="preserve"> as</w:t>
      </w:r>
      <w:r w:rsidR="007D409B">
        <w:rPr>
          <w:lang w:eastAsia="en-AU"/>
        </w:rPr>
        <w:t xml:space="preserve"> </w:t>
      </w:r>
      <w:r w:rsidR="006B1218">
        <w:rPr>
          <w:lang w:eastAsia="en-AU"/>
        </w:rPr>
        <w:t>a second</w:t>
      </w:r>
      <w:r w:rsidR="00A7671F">
        <w:rPr>
          <w:lang w:eastAsia="en-AU"/>
        </w:rPr>
        <w:t>-</w:t>
      </w:r>
      <w:r w:rsidR="006B1218">
        <w:rPr>
          <w:lang w:eastAsia="en-AU"/>
        </w:rPr>
        <w:t xml:space="preserve">line treatment, it had been implicit that the patient had </w:t>
      </w:r>
      <w:r w:rsidR="00E0299A">
        <w:rPr>
          <w:lang w:eastAsia="en-AU"/>
        </w:rPr>
        <w:t>met the PBS criteria for first-line treatment, which was limited to NSQ or NOS histology</w:t>
      </w:r>
      <w:r w:rsidR="00A7671F">
        <w:rPr>
          <w:lang w:eastAsia="en-AU"/>
        </w:rPr>
        <w:t>.</w:t>
      </w:r>
      <w:r w:rsidR="006B1218">
        <w:rPr>
          <w:lang w:eastAsia="en-AU"/>
        </w:rPr>
        <w:t xml:space="preserve"> </w:t>
      </w:r>
      <w:r w:rsidR="00A7671F">
        <w:rPr>
          <w:lang w:eastAsia="en-AU"/>
        </w:rPr>
        <w:t>MSAC</w:t>
      </w:r>
      <w:r w:rsidR="006B1218">
        <w:rPr>
          <w:lang w:eastAsia="en-AU"/>
        </w:rPr>
        <w:t xml:space="preserve"> considered that </w:t>
      </w:r>
      <w:r w:rsidR="00E0299A">
        <w:rPr>
          <w:lang w:eastAsia="en-AU"/>
        </w:rPr>
        <w:t xml:space="preserve">the </w:t>
      </w:r>
      <w:r w:rsidR="006B1218">
        <w:rPr>
          <w:lang w:eastAsia="en-AU"/>
        </w:rPr>
        <w:t xml:space="preserve">inconsistency </w:t>
      </w:r>
      <w:r w:rsidR="00E0299A">
        <w:rPr>
          <w:lang w:eastAsia="en-AU"/>
        </w:rPr>
        <w:t xml:space="preserve">with the subsequent first-line </w:t>
      </w:r>
      <w:proofErr w:type="spellStart"/>
      <w:r w:rsidR="006B1218">
        <w:rPr>
          <w:lang w:eastAsia="en-AU"/>
        </w:rPr>
        <w:t>osimertinib</w:t>
      </w:r>
      <w:proofErr w:type="spellEnd"/>
      <w:r w:rsidR="006B1218">
        <w:rPr>
          <w:lang w:eastAsia="en-AU"/>
        </w:rPr>
        <w:t xml:space="preserve"> </w:t>
      </w:r>
      <w:r w:rsidR="00E0299A">
        <w:rPr>
          <w:lang w:eastAsia="en-AU"/>
        </w:rPr>
        <w:t xml:space="preserve">listing </w:t>
      </w:r>
      <w:r w:rsidR="00156038">
        <w:rPr>
          <w:lang w:eastAsia="en-AU"/>
        </w:rPr>
        <w:t>likely arose</w:t>
      </w:r>
      <w:r w:rsidR="00E0299A">
        <w:rPr>
          <w:lang w:eastAsia="en-AU"/>
        </w:rPr>
        <w:t xml:space="preserve"> </w:t>
      </w:r>
      <w:r w:rsidR="00156038">
        <w:rPr>
          <w:lang w:eastAsia="en-AU"/>
        </w:rPr>
        <w:t xml:space="preserve">in the absence of </w:t>
      </w:r>
      <w:r w:rsidR="00E0299A">
        <w:rPr>
          <w:lang w:eastAsia="en-AU"/>
        </w:rPr>
        <w:t>a</w:t>
      </w:r>
      <w:r w:rsidR="00156038">
        <w:rPr>
          <w:lang w:eastAsia="en-AU"/>
        </w:rPr>
        <w:t xml:space="preserve"> codependent submission because the MBS item for </w:t>
      </w:r>
      <w:r w:rsidR="00156038" w:rsidRPr="00156038">
        <w:rPr>
          <w:i/>
          <w:iCs/>
          <w:lang w:eastAsia="en-AU"/>
        </w:rPr>
        <w:t>EGFR</w:t>
      </w:r>
      <w:r w:rsidR="00156038">
        <w:rPr>
          <w:lang w:eastAsia="en-AU"/>
        </w:rPr>
        <w:t xml:space="preserve"> testing no longer lists individual drugs</w:t>
      </w:r>
      <w:r w:rsidR="006B1218">
        <w:rPr>
          <w:lang w:eastAsia="en-AU"/>
        </w:rPr>
        <w:t xml:space="preserve">. </w:t>
      </w:r>
      <w:r w:rsidR="00156038">
        <w:rPr>
          <w:lang w:eastAsia="en-AU"/>
        </w:rPr>
        <w:t xml:space="preserve">Overall, </w:t>
      </w:r>
      <w:r w:rsidR="006B1218">
        <w:rPr>
          <w:lang w:eastAsia="en-AU"/>
        </w:rPr>
        <w:t xml:space="preserve">MSAC advised PBAC that it preferred to remain consistent across </w:t>
      </w:r>
      <w:r w:rsidR="00A7671F">
        <w:rPr>
          <w:lang w:eastAsia="en-AU"/>
        </w:rPr>
        <w:t xml:space="preserve">testing for </w:t>
      </w:r>
      <w:r w:rsidR="006B1218">
        <w:rPr>
          <w:lang w:eastAsia="en-AU"/>
        </w:rPr>
        <w:t>all tyrosine kinase inhibitors (TKIs), ALK, ROS1 and MET inhibitor</w:t>
      </w:r>
      <w:r w:rsidR="00A7671F">
        <w:rPr>
          <w:lang w:eastAsia="en-AU"/>
        </w:rPr>
        <w:t xml:space="preserve"> NSCLC treatment</w:t>
      </w:r>
      <w:r w:rsidR="006B1218">
        <w:rPr>
          <w:lang w:eastAsia="en-AU"/>
        </w:rPr>
        <w:t>s, with respect to disease stage and histology.</w:t>
      </w:r>
      <w:r>
        <w:rPr>
          <w:lang w:eastAsia="en-AU"/>
        </w:rPr>
        <w:t xml:space="preserve"> </w:t>
      </w:r>
      <w:r w:rsidR="006B1218">
        <w:t xml:space="preserve">MSAC noted that PBAC was silent with respect to histology for tepotinib access, and advised that it preferred </w:t>
      </w:r>
      <w:r w:rsidR="006B1218">
        <w:rPr>
          <w:i/>
          <w:iCs/>
        </w:rPr>
        <w:t>MET</w:t>
      </w:r>
      <w:r w:rsidR="006B1218">
        <w:t>ex14sk testing be only for patients with NSQ/NOS histology.</w:t>
      </w:r>
      <w:r w:rsidR="00156038">
        <w:t xml:space="preserve"> However, </w:t>
      </w:r>
      <w:r w:rsidR="00156038">
        <w:lastRenderedPageBreak/>
        <w:t xml:space="preserve">should PBAC still decide to include SQ histology, MSAC advised that the MBS item for </w:t>
      </w:r>
      <w:r w:rsidR="00156038">
        <w:rPr>
          <w:i/>
          <w:iCs/>
        </w:rPr>
        <w:t>MET</w:t>
      </w:r>
      <w:r w:rsidR="00156038">
        <w:t>ex14sk testing should be consistent</w:t>
      </w:r>
      <w:r w:rsidR="00812148">
        <w:t xml:space="preserve"> on this aspect</w:t>
      </w:r>
      <w:r w:rsidR="00156038">
        <w:t>.</w:t>
      </w:r>
    </w:p>
    <w:p w14:paraId="525990BC" w14:textId="7AA9248B" w:rsidR="00545A42" w:rsidRDefault="00A7671F" w:rsidP="00545A42">
      <w:pPr>
        <w:pStyle w:val="Caption"/>
      </w:pPr>
      <w:bookmarkStart w:id="8" w:name="_Ref90019068"/>
      <w:r>
        <w:t xml:space="preserve">Table </w:t>
      </w:r>
      <w:fldSimple w:instr=" SEQ Table \* ARABIC ">
        <w:r w:rsidR="00EF30D4">
          <w:rPr>
            <w:noProof/>
          </w:rPr>
          <w:t>2</w:t>
        </w:r>
      </w:fldSimple>
      <w:bookmarkEnd w:id="8"/>
      <w:r>
        <w:tab/>
        <w:t xml:space="preserve">Publicly funded targeted therapies </w:t>
      </w:r>
      <w:r w:rsidR="007D409B">
        <w:t xml:space="preserve">and biomarker testing related to </w:t>
      </w:r>
      <w:r>
        <w:t>NSCLC</w:t>
      </w:r>
    </w:p>
    <w:tbl>
      <w:tblPr>
        <w:tblStyle w:val="HTATableshaded"/>
        <w:tblW w:w="0" w:type="auto"/>
        <w:tblCellMar>
          <w:left w:w="0" w:type="dxa"/>
          <w:right w:w="0" w:type="dxa"/>
        </w:tblCellMar>
        <w:tblLook w:val="04A0" w:firstRow="1" w:lastRow="0" w:firstColumn="1" w:lastColumn="0" w:noHBand="0" w:noVBand="1"/>
      </w:tblPr>
      <w:tblGrid>
        <w:gridCol w:w="1124"/>
        <w:gridCol w:w="1970"/>
        <w:gridCol w:w="1971"/>
        <w:gridCol w:w="1970"/>
        <w:gridCol w:w="1971"/>
      </w:tblGrid>
      <w:tr w:rsidR="00545A42" w14:paraId="4280C707" w14:textId="77777777" w:rsidTr="008E6FBC">
        <w:trPr>
          <w:cnfStyle w:val="100000000000" w:firstRow="1" w:lastRow="0" w:firstColumn="0" w:lastColumn="0" w:oddVBand="0" w:evenVBand="0" w:oddHBand="0" w:evenHBand="0" w:firstRowFirstColumn="0" w:firstRowLastColumn="0" w:lastRowFirstColumn="0" w:lastRowLastColumn="0"/>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1260DA" w14:textId="51F86E80" w:rsidR="00545A42" w:rsidRPr="00F259E7" w:rsidRDefault="00E0299A" w:rsidP="004C18FD">
            <w:pPr>
              <w:pStyle w:val="TableText"/>
              <w:spacing w:before="0" w:after="0"/>
              <w:rPr>
                <w:b/>
                <w:bCs/>
                <w:color w:val="auto"/>
              </w:rPr>
            </w:pPr>
            <w:r>
              <w:rPr>
                <w:b/>
                <w:bCs/>
              </w:rPr>
              <w:t>Biomarker</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A5BE5" w14:textId="606E1FE9" w:rsidR="00545A42" w:rsidRPr="00E0299A" w:rsidRDefault="00545A42" w:rsidP="004C18FD">
            <w:pPr>
              <w:pStyle w:val="TableText"/>
              <w:spacing w:before="0" w:after="0"/>
              <w:rPr>
                <w:b/>
                <w:bCs/>
              </w:rPr>
            </w:pPr>
            <w:r w:rsidRPr="00F40BBE">
              <w:rPr>
                <w:b/>
                <w:bCs/>
                <w:i/>
                <w:iCs/>
              </w:rPr>
              <w:t>ALK</w:t>
            </w:r>
            <w:r w:rsidR="00E0299A">
              <w:rPr>
                <w:b/>
                <w:bCs/>
              </w:rPr>
              <w:t xml:space="preserve"> rearrangement</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442BB9" w14:textId="13E2F75D" w:rsidR="00545A42" w:rsidRPr="00F40BBE" w:rsidRDefault="00545A42" w:rsidP="004C18FD">
            <w:pPr>
              <w:pStyle w:val="TableText"/>
              <w:spacing w:before="0" w:after="0"/>
              <w:rPr>
                <w:b/>
                <w:bCs/>
                <w:i/>
                <w:iCs/>
              </w:rPr>
            </w:pPr>
            <w:r w:rsidRPr="00F40BBE">
              <w:rPr>
                <w:b/>
                <w:bCs/>
                <w:i/>
                <w:iCs/>
              </w:rPr>
              <w:t>ROS1</w:t>
            </w:r>
            <w:r w:rsidR="00E0299A">
              <w:rPr>
                <w:b/>
                <w:bCs/>
              </w:rPr>
              <w:t xml:space="preserve"> rearrangement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E0F48" w14:textId="14D66C4A" w:rsidR="00545A42" w:rsidRPr="00F40BBE" w:rsidRDefault="00545A42" w:rsidP="004C18FD">
            <w:pPr>
              <w:pStyle w:val="TableText"/>
              <w:spacing w:before="0" w:after="0"/>
              <w:rPr>
                <w:b/>
                <w:bCs/>
                <w:i/>
                <w:iCs/>
              </w:rPr>
            </w:pPr>
            <w:r w:rsidRPr="00F40BBE">
              <w:rPr>
                <w:b/>
                <w:bCs/>
                <w:i/>
                <w:iCs/>
              </w:rPr>
              <w:t>EGFR</w:t>
            </w:r>
            <w:r w:rsidR="00E0299A">
              <w:rPr>
                <w:b/>
                <w:bCs/>
              </w:rPr>
              <w:t xml:space="preserve"> activating mutation</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D040B" w14:textId="2C7A2A30" w:rsidR="00545A42" w:rsidRPr="00BC253C" w:rsidRDefault="00545A42" w:rsidP="004C18FD">
            <w:pPr>
              <w:pStyle w:val="TableText"/>
              <w:spacing w:before="0" w:after="0"/>
              <w:rPr>
                <w:b/>
                <w:bCs/>
              </w:rPr>
            </w:pPr>
            <w:r w:rsidRPr="00BC253C">
              <w:rPr>
                <w:b/>
                <w:bCs/>
                <w:i/>
                <w:iCs/>
              </w:rPr>
              <w:t>MET</w:t>
            </w:r>
            <w:r w:rsidRPr="00BC253C">
              <w:rPr>
                <w:b/>
                <w:bCs/>
              </w:rPr>
              <w:t>ex14sk</w:t>
            </w:r>
          </w:p>
        </w:tc>
      </w:tr>
      <w:tr w:rsidR="00545A42" w14:paraId="17202210" w14:textId="77777777" w:rsidTr="008E6FB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037C0" w14:textId="45EBD764" w:rsidR="00545A42" w:rsidRPr="00F259E7" w:rsidRDefault="008374EF" w:rsidP="004C18FD">
            <w:pPr>
              <w:pStyle w:val="TableText"/>
              <w:spacing w:before="0" w:after="0"/>
              <w:rPr>
                <w:b/>
                <w:bCs/>
              </w:rPr>
            </w:pPr>
            <w:r>
              <w:rPr>
                <w:b/>
                <w:bCs/>
              </w:rPr>
              <w:t xml:space="preserve">Reference </w:t>
            </w:r>
            <w:r w:rsidR="00E0299A">
              <w:rPr>
                <w:b/>
                <w:bCs/>
              </w:rPr>
              <w:t>drug</w:t>
            </w:r>
          </w:p>
        </w:tc>
        <w:tc>
          <w:tcPr>
            <w:tcW w:w="1970" w:type="dxa"/>
            <w:tcBorders>
              <w:top w:val="nil"/>
              <w:left w:val="nil"/>
              <w:bottom w:val="single" w:sz="8" w:space="0" w:color="auto"/>
              <w:right w:val="single" w:sz="8" w:space="0" w:color="auto"/>
            </w:tcBorders>
            <w:tcMar>
              <w:top w:w="0" w:type="dxa"/>
              <w:left w:w="108" w:type="dxa"/>
              <w:bottom w:w="0" w:type="dxa"/>
              <w:right w:w="108" w:type="dxa"/>
            </w:tcMar>
            <w:hideMark/>
          </w:tcPr>
          <w:p w14:paraId="4347BA49" w14:textId="77777777" w:rsidR="00545A42" w:rsidRDefault="00545A42" w:rsidP="004C18FD">
            <w:pPr>
              <w:pStyle w:val="TableText"/>
              <w:spacing w:before="0" w:after="0"/>
            </w:pPr>
            <w:proofErr w:type="spellStart"/>
            <w:r>
              <w:t>alectinib</w:t>
            </w:r>
            <w:proofErr w:type="spellEnd"/>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31C24DD3" w14:textId="77777777" w:rsidR="00545A42" w:rsidRDefault="00545A42" w:rsidP="004C18FD">
            <w:pPr>
              <w:pStyle w:val="TableText"/>
              <w:spacing w:before="0" w:after="0"/>
            </w:pPr>
            <w:proofErr w:type="spellStart"/>
            <w:r>
              <w:t>entrectinib</w:t>
            </w:r>
            <w:proofErr w:type="spellEnd"/>
          </w:p>
        </w:tc>
        <w:tc>
          <w:tcPr>
            <w:tcW w:w="1970" w:type="dxa"/>
            <w:tcBorders>
              <w:top w:val="nil"/>
              <w:left w:val="nil"/>
              <w:bottom w:val="single" w:sz="8" w:space="0" w:color="auto"/>
              <w:right w:val="single" w:sz="8" w:space="0" w:color="auto"/>
            </w:tcBorders>
            <w:tcMar>
              <w:top w:w="0" w:type="dxa"/>
              <w:left w:w="108" w:type="dxa"/>
              <w:bottom w:w="0" w:type="dxa"/>
              <w:right w:w="108" w:type="dxa"/>
            </w:tcMar>
            <w:hideMark/>
          </w:tcPr>
          <w:p w14:paraId="06306030" w14:textId="77777777" w:rsidR="00545A42" w:rsidRDefault="00545A42" w:rsidP="004C18FD">
            <w:pPr>
              <w:pStyle w:val="TableText"/>
              <w:spacing w:before="0" w:after="0"/>
            </w:pPr>
            <w:proofErr w:type="spellStart"/>
            <w:r>
              <w:t>osimertinib</w:t>
            </w:r>
            <w:proofErr w:type="spellEnd"/>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08E6BE53" w14:textId="2FAD8CA3" w:rsidR="00545A42" w:rsidRDefault="00545A42" w:rsidP="004C18FD">
            <w:pPr>
              <w:pStyle w:val="TableText"/>
              <w:spacing w:before="0" w:after="0"/>
            </w:pPr>
            <w:r>
              <w:t>tepotinib</w:t>
            </w:r>
          </w:p>
        </w:tc>
      </w:tr>
      <w:tr w:rsidR="00545A42" w14:paraId="5B886334" w14:textId="77777777" w:rsidTr="008E6FB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8439" w14:textId="317F5743" w:rsidR="00545A42" w:rsidRPr="00F259E7" w:rsidRDefault="00545A42" w:rsidP="004C18FD">
            <w:pPr>
              <w:pStyle w:val="TableText"/>
              <w:spacing w:before="0" w:after="0"/>
              <w:rPr>
                <w:b/>
                <w:bCs/>
              </w:rPr>
            </w:pPr>
            <w:r w:rsidRPr="00F259E7">
              <w:rPr>
                <w:b/>
                <w:bCs/>
              </w:rPr>
              <w:t xml:space="preserve">TGA </w:t>
            </w:r>
            <w:r w:rsidR="00A90B45" w:rsidRPr="00F259E7">
              <w:rPr>
                <w:b/>
                <w:bCs/>
              </w:rPr>
              <w:t>i</w:t>
            </w:r>
            <w:r w:rsidRPr="00F259E7">
              <w:rPr>
                <w:b/>
                <w:bCs/>
              </w:rPr>
              <w:t>ndication</w:t>
            </w:r>
          </w:p>
        </w:tc>
        <w:tc>
          <w:tcPr>
            <w:tcW w:w="1970" w:type="dxa"/>
            <w:tcBorders>
              <w:top w:val="nil"/>
              <w:left w:val="nil"/>
              <w:bottom w:val="single" w:sz="8" w:space="0" w:color="auto"/>
              <w:right w:val="single" w:sz="8" w:space="0" w:color="auto"/>
            </w:tcBorders>
            <w:tcMar>
              <w:top w:w="0" w:type="dxa"/>
              <w:left w:w="108" w:type="dxa"/>
              <w:bottom w:w="0" w:type="dxa"/>
              <w:right w:w="108" w:type="dxa"/>
            </w:tcMar>
            <w:hideMark/>
          </w:tcPr>
          <w:p w14:paraId="6F285253" w14:textId="77777777" w:rsidR="00545A42" w:rsidRDefault="00545A42" w:rsidP="004C18FD">
            <w:pPr>
              <w:pStyle w:val="TableText"/>
              <w:spacing w:before="0" w:after="0"/>
            </w:pPr>
            <w:r>
              <w:t>Locally advanced or metastatic NSCLC</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78EB2F43" w14:textId="77777777" w:rsidR="00545A42" w:rsidRDefault="00545A42" w:rsidP="004C18FD">
            <w:pPr>
              <w:pStyle w:val="TableText"/>
              <w:spacing w:before="0" w:after="0"/>
            </w:pPr>
            <w:r>
              <w:t>Advanced NSCLC</w:t>
            </w:r>
          </w:p>
        </w:tc>
        <w:tc>
          <w:tcPr>
            <w:tcW w:w="1970" w:type="dxa"/>
            <w:tcBorders>
              <w:top w:val="nil"/>
              <w:left w:val="nil"/>
              <w:bottom w:val="single" w:sz="8" w:space="0" w:color="auto"/>
              <w:right w:val="single" w:sz="8" w:space="0" w:color="auto"/>
            </w:tcBorders>
            <w:tcMar>
              <w:top w:w="0" w:type="dxa"/>
              <w:left w:w="108" w:type="dxa"/>
              <w:bottom w:w="0" w:type="dxa"/>
              <w:right w:w="108" w:type="dxa"/>
            </w:tcMar>
            <w:hideMark/>
          </w:tcPr>
          <w:p w14:paraId="718119F1" w14:textId="77777777" w:rsidR="00545A42" w:rsidRDefault="00545A42" w:rsidP="004C18FD">
            <w:pPr>
              <w:pStyle w:val="TableText"/>
              <w:spacing w:before="0" w:after="0"/>
            </w:pPr>
            <w:r>
              <w:t>Locally advanced or metastatic NSCLC</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00CD3574" w14:textId="77777777" w:rsidR="00545A42" w:rsidRDefault="00545A42" w:rsidP="004C18FD">
            <w:pPr>
              <w:pStyle w:val="TableText"/>
              <w:spacing w:before="0" w:after="0"/>
            </w:pPr>
            <w:r>
              <w:t>Locally advanced or metastatic NSCLC</w:t>
            </w:r>
          </w:p>
        </w:tc>
      </w:tr>
      <w:tr w:rsidR="006E1445" w14:paraId="102B763E" w14:textId="77777777" w:rsidTr="008E6FB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57E78" w14:textId="055333D8" w:rsidR="006E1445" w:rsidRPr="00F259E7" w:rsidRDefault="008C5B09" w:rsidP="004C18FD">
            <w:pPr>
              <w:pStyle w:val="TableText"/>
              <w:spacing w:before="0" w:after="0"/>
              <w:rPr>
                <w:b/>
                <w:bCs/>
              </w:rPr>
            </w:pPr>
            <w:r w:rsidRPr="008374EF">
              <w:rPr>
                <w:b/>
                <w:bCs/>
              </w:rPr>
              <w:t>MBS listing for test</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1481CB3D" w14:textId="77777777" w:rsidR="006E1445" w:rsidRDefault="006E1445" w:rsidP="004C18FD">
            <w:pPr>
              <w:pStyle w:val="TableText"/>
              <w:spacing w:before="0" w:after="0"/>
            </w:pPr>
            <w:r>
              <w:t>Locally advanced or metastatic NSCLC</w:t>
            </w:r>
          </w:p>
          <w:p w14:paraId="525EB08F" w14:textId="77777777" w:rsidR="006E1445" w:rsidRDefault="006E1445" w:rsidP="004C18FD">
            <w:pPr>
              <w:pStyle w:val="TableText"/>
              <w:spacing w:before="0" w:after="0"/>
            </w:pPr>
          </w:p>
          <w:p w14:paraId="15A85025" w14:textId="77777777" w:rsidR="006E1445" w:rsidRDefault="006E1445" w:rsidP="004C18FD">
            <w:pPr>
              <w:pStyle w:val="TableText"/>
              <w:spacing w:before="0" w:after="0"/>
            </w:pPr>
          </w:p>
          <w:p w14:paraId="75174805" w14:textId="77777777" w:rsidR="006E1445" w:rsidRDefault="006E1445" w:rsidP="004C18FD">
            <w:pPr>
              <w:pStyle w:val="TableText"/>
              <w:spacing w:before="0" w:after="0"/>
            </w:pPr>
            <w:r>
              <w:t>Histology NSQ or NOS</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14:paraId="1932EAF2" w14:textId="77777777" w:rsidR="006E1445" w:rsidRDefault="006E1445" w:rsidP="004C18FD">
            <w:pPr>
              <w:pStyle w:val="TableText"/>
              <w:spacing w:before="0" w:after="0"/>
            </w:pPr>
            <w:r>
              <w:t>Locally advanced or metastatic NSCLC</w:t>
            </w:r>
          </w:p>
          <w:p w14:paraId="516BF498" w14:textId="77777777" w:rsidR="006E1445" w:rsidRDefault="006E1445" w:rsidP="004C18FD">
            <w:pPr>
              <w:pStyle w:val="TableText"/>
              <w:spacing w:before="0" w:after="0"/>
            </w:pPr>
          </w:p>
          <w:p w14:paraId="35934B47" w14:textId="77777777" w:rsidR="006E1445" w:rsidRDefault="006E1445" w:rsidP="004C18FD">
            <w:pPr>
              <w:pStyle w:val="TableText"/>
              <w:spacing w:before="0" w:after="0"/>
            </w:pPr>
          </w:p>
          <w:p w14:paraId="6EBBB762" w14:textId="77777777" w:rsidR="006E1445" w:rsidRDefault="006E1445" w:rsidP="004C18FD">
            <w:pPr>
              <w:pStyle w:val="TableText"/>
              <w:spacing w:before="0" w:after="0"/>
            </w:pPr>
            <w:r>
              <w:t>Histology NSQ or NOS</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32772D94" w14:textId="328EBBEC" w:rsidR="006E1445" w:rsidRDefault="006E1445" w:rsidP="004C18FD">
            <w:pPr>
              <w:pStyle w:val="TableText"/>
              <w:spacing w:before="0" w:after="0"/>
            </w:pPr>
            <w:r>
              <w:t>NSCLC</w:t>
            </w:r>
          </w:p>
          <w:p w14:paraId="211C4DBA" w14:textId="77777777" w:rsidR="006E1445" w:rsidRDefault="006E1445" w:rsidP="004C18FD">
            <w:pPr>
              <w:pStyle w:val="TableText"/>
              <w:spacing w:before="0" w:after="0"/>
            </w:pPr>
          </w:p>
          <w:p w14:paraId="55DE8C92" w14:textId="77777777" w:rsidR="006E1445" w:rsidRDefault="006E1445" w:rsidP="004C18FD">
            <w:pPr>
              <w:pStyle w:val="TableText"/>
              <w:spacing w:before="0" w:after="0"/>
            </w:pPr>
          </w:p>
          <w:p w14:paraId="55C39920" w14:textId="77777777" w:rsidR="006E1445" w:rsidRDefault="006E1445" w:rsidP="004C18FD">
            <w:pPr>
              <w:pStyle w:val="TableText"/>
              <w:spacing w:before="0" w:after="0"/>
            </w:pPr>
          </w:p>
          <w:p w14:paraId="4BD64388" w14:textId="77777777" w:rsidR="006E1445" w:rsidRDefault="006E1445" w:rsidP="004C18FD">
            <w:pPr>
              <w:pStyle w:val="TableText"/>
              <w:spacing w:before="0" w:after="0"/>
              <w:rPr>
                <w:rFonts w:cs="Calibri"/>
                <w:color w:val="auto"/>
              </w:rPr>
            </w:pPr>
            <w:r>
              <w:t>Histology NSQ or NOS</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14:paraId="75E98940" w14:textId="77777777" w:rsidR="006E1445" w:rsidRDefault="006E1445" w:rsidP="004C18FD">
            <w:pPr>
              <w:pStyle w:val="TableText"/>
              <w:spacing w:before="0" w:after="0"/>
            </w:pPr>
            <w:r>
              <w:t>Requested: locally advanced or metastatic NSCLC</w:t>
            </w:r>
          </w:p>
          <w:p w14:paraId="1B435C15" w14:textId="77777777" w:rsidR="006E1445" w:rsidRDefault="006E1445" w:rsidP="004C18FD">
            <w:pPr>
              <w:pStyle w:val="TableText"/>
              <w:spacing w:before="0" w:after="0"/>
            </w:pPr>
          </w:p>
          <w:p w14:paraId="0230409D" w14:textId="77777777" w:rsidR="006E1445" w:rsidRDefault="006E1445" w:rsidP="004C18FD">
            <w:pPr>
              <w:pStyle w:val="TableText"/>
              <w:spacing w:before="0" w:after="0"/>
            </w:pPr>
            <w:r w:rsidRPr="006E1445">
              <w:rPr>
                <w:color w:val="FF0000"/>
              </w:rPr>
              <w:t>Requested</w:t>
            </w:r>
            <w:r>
              <w:t>: histology SQ or NSQ or NOS</w:t>
            </w:r>
          </w:p>
        </w:tc>
      </w:tr>
      <w:tr w:rsidR="006E1445" w14:paraId="6259553C" w14:textId="77777777" w:rsidTr="008E6FBC">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6F737" w14:textId="63F8A694" w:rsidR="006E1445" w:rsidRPr="00F259E7" w:rsidRDefault="008C5B09" w:rsidP="004C18FD">
            <w:pPr>
              <w:pStyle w:val="TableText"/>
              <w:spacing w:before="0" w:after="0"/>
              <w:rPr>
                <w:b/>
                <w:bCs/>
              </w:rPr>
            </w:pPr>
            <w:r w:rsidRPr="008374EF">
              <w:rPr>
                <w:b/>
                <w:bCs/>
              </w:rPr>
              <w:t>PBS listing for drug</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3D337D82" w14:textId="77777777" w:rsidR="00A7671F" w:rsidRDefault="00A7671F" w:rsidP="00A7671F">
            <w:pPr>
              <w:pStyle w:val="TableText"/>
              <w:spacing w:before="0" w:after="0"/>
            </w:pPr>
            <w:r>
              <w:t>Stage IIIB (locally advanced) or Stage IV (metastatic) NSCLC</w:t>
            </w:r>
          </w:p>
          <w:p w14:paraId="703672BD" w14:textId="77777777" w:rsidR="006E1445" w:rsidRDefault="006E1445" w:rsidP="004C18FD">
            <w:pPr>
              <w:pStyle w:val="TableText"/>
              <w:spacing w:before="0" w:after="0"/>
            </w:pPr>
          </w:p>
          <w:p w14:paraId="73DCABC7" w14:textId="0915F6BB" w:rsidR="006E1445" w:rsidRDefault="006E1445" w:rsidP="004C18FD">
            <w:pPr>
              <w:pStyle w:val="TableText"/>
              <w:spacing w:before="0" w:after="0"/>
            </w:pPr>
            <w:r>
              <w:t>Histology NSQ</w:t>
            </w:r>
            <w:r w:rsidR="007D409B">
              <w:t> or NOS</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14:paraId="73B6D984" w14:textId="77777777" w:rsidR="006E1445" w:rsidRDefault="006E1445" w:rsidP="004C18FD">
            <w:pPr>
              <w:pStyle w:val="TableText"/>
              <w:spacing w:before="0" w:after="0"/>
            </w:pPr>
            <w:r>
              <w:t>Stage IIIB (locally advanced) or Stage IV (metastatic) NSCLC</w:t>
            </w:r>
          </w:p>
          <w:p w14:paraId="48C39044" w14:textId="77777777" w:rsidR="006E1445" w:rsidRDefault="006E1445" w:rsidP="004C18FD">
            <w:pPr>
              <w:pStyle w:val="TableText"/>
              <w:spacing w:before="0" w:after="0"/>
            </w:pPr>
          </w:p>
          <w:p w14:paraId="11826F86" w14:textId="72B20148" w:rsidR="006E1445" w:rsidRDefault="006E1445" w:rsidP="004C18FD">
            <w:pPr>
              <w:pStyle w:val="TableText"/>
              <w:spacing w:before="0" w:after="0"/>
            </w:pPr>
            <w:r>
              <w:t>Histology NSQ</w:t>
            </w:r>
            <w:r w:rsidR="007D409B">
              <w:t> or NOS</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53FD33F5" w14:textId="77777777" w:rsidR="006E1445" w:rsidRDefault="006E1445" w:rsidP="004C18FD">
            <w:pPr>
              <w:pStyle w:val="TableText"/>
              <w:spacing w:before="0" w:after="0"/>
            </w:pPr>
            <w:r>
              <w:t>Stage IIIB (locally advanced) or Stage IV (metastatic) NSCLC</w:t>
            </w:r>
          </w:p>
          <w:p w14:paraId="33BF1466" w14:textId="77777777" w:rsidR="006E1445" w:rsidRDefault="006E1445" w:rsidP="004C18FD">
            <w:pPr>
              <w:pStyle w:val="TableText"/>
              <w:spacing w:before="0" w:after="0"/>
            </w:pPr>
          </w:p>
          <w:p w14:paraId="447E5117" w14:textId="77777777" w:rsidR="006E1445" w:rsidRDefault="006E1445" w:rsidP="004C18FD">
            <w:pPr>
              <w:pStyle w:val="TableText"/>
              <w:spacing w:before="0" w:after="0"/>
            </w:pPr>
            <w:r>
              <w:t>Silent on histology</w:t>
            </w:r>
          </w:p>
          <w:p w14:paraId="3CF9B67F" w14:textId="675DF24A" w:rsidR="006E1445" w:rsidRDefault="006E1445" w:rsidP="004C18FD">
            <w:pPr>
              <w:pStyle w:val="TableText"/>
              <w:spacing w:before="0" w:after="0"/>
            </w:pPr>
            <w:r w:rsidRPr="0050294D">
              <w:rPr>
                <w:color w:val="FF0000"/>
              </w:rPr>
              <w:t>(</w:t>
            </w:r>
            <w:r w:rsidR="007D409B" w:rsidRPr="0050294D">
              <w:rPr>
                <w:color w:val="FF0000"/>
              </w:rPr>
              <w:t>e</w:t>
            </w:r>
            <w:r w:rsidRPr="0050294D">
              <w:rPr>
                <w:color w:val="FF0000"/>
              </w:rPr>
              <w:t>rlotinib and gefitinib remain limited to NSQ or NOS histology)</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14:paraId="52DB097E" w14:textId="77777777" w:rsidR="006E1445" w:rsidRDefault="006E1445" w:rsidP="004C18FD">
            <w:pPr>
              <w:pStyle w:val="TableText"/>
              <w:spacing w:before="0" w:after="0"/>
            </w:pPr>
            <w:r>
              <w:t>Stage IIIB (locally advanced) or Stage IV (metastatic) NSCLC</w:t>
            </w:r>
          </w:p>
          <w:p w14:paraId="3807FB12" w14:textId="77777777" w:rsidR="006E1445" w:rsidRDefault="006E1445" w:rsidP="004C18FD">
            <w:pPr>
              <w:pStyle w:val="TableText"/>
              <w:spacing w:before="0" w:after="0"/>
            </w:pPr>
          </w:p>
          <w:p w14:paraId="2537A247" w14:textId="77777777" w:rsidR="006E1445" w:rsidRDefault="006E1445" w:rsidP="004C18FD">
            <w:pPr>
              <w:pStyle w:val="TableText"/>
              <w:spacing w:before="0" w:after="0"/>
            </w:pPr>
            <w:r w:rsidRPr="0050294D">
              <w:rPr>
                <w:color w:val="FF0000"/>
              </w:rPr>
              <w:t xml:space="preserve">PBAC proposed: </w:t>
            </w:r>
            <w:r>
              <w:t>silent on histology</w:t>
            </w:r>
          </w:p>
        </w:tc>
      </w:tr>
    </w:tbl>
    <w:p w14:paraId="48260B95" w14:textId="3A57505C" w:rsidR="006E1445" w:rsidRDefault="006E1445" w:rsidP="00545A42">
      <w:pPr>
        <w:pStyle w:val="TableFooter"/>
        <w:rPr>
          <w:lang w:eastAsia="en-AU"/>
        </w:rPr>
      </w:pPr>
      <w:r w:rsidRPr="00A90B45">
        <w:rPr>
          <w:i/>
          <w:iCs/>
          <w:lang w:eastAsia="en-AU"/>
        </w:rPr>
        <w:t>ALK</w:t>
      </w:r>
      <w:r>
        <w:rPr>
          <w:lang w:eastAsia="en-AU"/>
        </w:rPr>
        <w:t xml:space="preserve"> = anaplastic lymphoma kinase; </w:t>
      </w:r>
      <w:r w:rsidRPr="00A90B45">
        <w:rPr>
          <w:i/>
          <w:iCs/>
          <w:lang w:eastAsia="en-AU"/>
        </w:rPr>
        <w:t>EGFR</w:t>
      </w:r>
      <w:r>
        <w:rPr>
          <w:lang w:eastAsia="en-AU"/>
        </w:rPr>
        <w:t xml:space="preserve"> = epidermal growth factor</w:t>
      </w:r>
      <w:r w:rsidR="00A90B45">
        <w:rPr>
          <w:lang w:eastAsia="en-AU"/>
        </w:rPr>
        <w:t xml:space="preserve"> receptor</w:t>
      </w:r>
      <w:r>
        <w:rPr>
          <w:lang w:eastAsia="en-AU"/>
        </w:rPr>
        <w:t xml:space="preserve">; </w:t>
      </w:r>
      <w:r w:rsidR="00A7671F">
        <w:rPr>
          <w:lang w:eastAsia="en-AU"/>
        </w:rPr>
        <w:t>locally advanced</w:t>
      </w:r>
      <w:r w:rsidR="00A7671F" w:rsidRPr="00A7671F">
        <w:rPr>
          <w:lang w:eastAsia="en-AU"/>
        </w:rPr>
        <w:t xml:space="preserve"> </w:t>
      </w:r>
      <w:r w:rsidR="00A7671F">
        <w:rPr>
          <w:lang w:eastAsia="en-AU"/>
        </w:rPr>
        <w:t xml:space="preserve">= stage IIIB; metastatic = stage IV; </w:t>
      </w:r>
      <w:r w:rsidRPr="006E1445">
        <w:rPr>
          <w:i/>
          <w:iCs/>
          <w:lang w:eastAsia="en-AU"/>
        </w:rPr>
        <w:t>MET</w:t>
      </w:r>
      <w:r>
        <w:rPr>
          <w:lang w:eastAsia="en-AU"/>
        </w:rPr>
        <w:t xml:space="preserve">ex14sk = </w:t>
      </w:r>
      <w:r w:rsidRPr="006E1445">
        <w:rPr>
          <w:i/>
          <w:iCs/>
          <w:lang w:eastAsia="en-AU"/>
        </w:rPr>
        <w:t>MET</w:t>
      </w:r>
      <w:r>
        <w:rPr>
          <w:lang w:eastAsia="en-AU"/>
        </w:rPr>
        <w:t xml:space="preserve"> exon 14 skipping</w:t>
      </w:r>
      <w:r w:rsidR="00D67680">
        <w:rPr>
          <w:lang w:eastAsia="en-AU"/>
        </w:rPr>
        <w:t xml:space="preserve"> alterations</w:t>
      </w:r>
      <w:r>
        <w:rPr>
          <w:lang w:eastAsia="en-AU"/>
        </w:rPr>
        <w:t xml:space="preserve">; </w:t>
      </w:r>
      <w:r>
        <w:rPr>
          <w:i/>
          <w:iCs/>
          <w:lang w:eastAsia="en-AU"/>
        </w:rPr>
        <w:t>MET</w:t>
      </w:r>
      <w:r>
        <w:rPr>
          <w:lang w:eastAsia="en-AU"/>
        </w:rPr>
        <w:t xml:space="preserve"> = MET proto-oncogene, receptor tyrosine kinase gene; </w:t>
      </w:r>
      <w:r w:rsidRPr="006E1445">
        <w:rPr>
          <w:lang w:eastAsia="en-AU"/>
        </w:rPr>
        <w:t>NOS</w:t>
      </w:r>
      <w:r>
        <w:rPr>
          <w:lang w:eastAsia="en-AU"/>
        </w:rPr>
        <w:t xml:space="preserve"> = histology not-otherwise-specified; NSCLC = non-small cell lung cancer; NSQ = non-squamous histology; </w:t>
      </w:r>
      <w:r w:rsidRPr="00A90B45">
        <w:rPr>
          <w:i/>
          <w:iCs/>
          <w:lang w:eastAsia="en-AU"/>
        </w:rPr>
        <w:t>ROS1</w:t>
      </w:r>
      <w:r>
        <w:rPr>
          <w:lang w:eastAsia="en-AU"/>
        </w:rPr>
        <w:t xml:space="preserve"> = c-ROS oncogene 1; SQ = squamous histology; TGA = Therapeutic Goods </w:t>
      </w:r>
      <w:r w:rsidR="00E743D8">
        <w:rPr>
          <w:lang w:eastAsia="en-AU"/>
        </w:rPr>
        <w:t>Administration</w:t>
      </w:r>
      <w:r>
        <w:rPr>
          <w:lang w:eastAsia="en-AU"/>
        </w:rPr>
        <w:t>.</w:t>
      </w:r>
    </w:p>
    <w:p w14:paraId="4EAD806F" w14:textId="77777777" w:rsidR="00A7671F" w:rsidRPr="0093087D" w:rsidRDefault="00A7671F" w:rsidP="00A7671F">
      <w:pPr>
        <w:pStyle w:val="TableFooter"/>
        <w:rPr>
          <w:lang w:eastAsia="en-AU"/>
        </w:rPr>
      </w:pPr>
      <w:r>
        <w:rPr>
          <w:lang w:eastAsia="en-AU"/>
        </w:rPr>
        <w:t>Source: MSAC.</w:t>
      </w:r>
    </w:p>
    <w:p w14:paraId="51DF7DDC" w14:textId="42B2A9E5" w:rsidR="00554E12" w:rsidRDefault="00721CB3" w:rsidP="00554E12">
      <w:pPr>
        <w:pStyle w:val="MSACESParagraph"/>
        <w:rPr>
          <w:lang w:eastAsia="en-AU"/>
        </w:rPr>
      </w:pPr>
      <w:r>
        <w:rPr>
          <w:lang w:eastAsia="en-AU"/>
        </w:rPr>
        <w:t xml:space="preserve">MSAC </w:t>
      </w:r>
      <w:r w:rsidR="000F78F0">
        <w:rPr>
          <w:lang w:eastAsia="en-AU"/>
        </w:rPr>
        <w:t xml:space="preserve">also </w:t>
      </w:r>
      <w:r>
        <w:rPr>
          <w:lang w:eastAsia="en-AU"/>
        </w:rPr>
        <w:t xml:space="preserve">noted that laboratories are increasingly utilising panel and </w:t>
      </w:r>
      <w:r w:rsidR="001C79D0">
        <w:rPr>
          <w:lang w:eastAsia="en-AU"/>
        </w:rPr>
        <w:t>parallel</w:t>
      </w:r>
      <w:r>
        <w:rPr>
          <w:lang w:eastAsia="en-AU"/>
        </w:rPr>
        <w:t xml:space="preserve"> genetic testing</w:t>
      </w:r>
      <w:r w:rsidR="00F259E7">
        <w:rPr>
          <w:lang w:eastAsia="en-AU"/>
        </w:rPr>
        <w:t>,</w:t>
      </w:r>
      <w:r>
        <w:rPr>
          <w:lang w:eastAsia="en-AU"/>
        </w:rPr>
        <w:t xml:space="preserve"> and that MSAC application 1634</w:t>
      </w:r>
      <w:r w:rsidR="00F259E7">
        <w:rPr>
          <w:lang w:eastAsia="en-AU"/>
        </w:rPr>
        <w:t>,</w:t>
      </w:r>
      <w:r>
        <w:rPr>
          <w:lang w:eastAsia="en-AU"/>
        </w:rPr>
        <w:t xml:space="preserve"> for a gene panel test for </w:t>
      </w:r>
      <w:r w:rsidR="00F259E7">
        <w:rPr>
          <w:lang w:eastAsia="en-AU"/>
        </w:rPr>
        <w:t xml:space="preserve">patients with NSQ/NOS </w:t>
      </w:r>
      <w:r>
        <w:rPr>
          <w:lang w:eastAsia="en-AU"/>
        </w:rPr>
        <w:t>NSCLC</w:t>
      </w:r>
      <w:r w:rsidR="00F259E7">
        <w:rPr>
          <w:lang w:eastAsia="en-AU"/>
        </w:rPr>
        <w:t>, has entered the MSAC process</w:t>
      </w:r>
      <w:r>
        <w:rPr>
          <w:lang w:eastAsia="en-AU"/>
        </w:rPr>
        <w:t xml:space="preserve">. </w:t>
      </w:r>
      <w:r w:rsidR="000F78F0">
        <w:rPr>
          <w:lang w:eastAsia="en-AU"/>
        </w:rPr>
        <w:t xml:space="preserve">As such, </w:t>
      </w:r>
      <w:r>
        <w:rPr>
          <w:lang w:eastAsia="en-AU"/>
        </w:rPr>
        <w:t xml:space="preserve">MSAC considered that </w:t>
      </w:r>
      <w:r w:rsidR="000F78F0">
        <w:rPr>
          <w:lang w:eastAsia="en-AU"/>
        </w:rPr>
        <w:t xml:space="preserve">any MBS funding of a gene panel in lung cancer would be </w:t>
      </w:r>
      <w:r w:rsidR="001C79D0">
        <w:rPr>
          <w:lang w:eastAsia="en-AU"/>
        </w:rPr>
        <w:t xml:space="preserve">a parallel test </w:t>
      </w:r>
      <w:r w:rsidR="000F78F0">
        <w:rPr>
          <w:lang w:eastAsia="en-AU"/>
        </w:rPr>
        <w:t>consistent</w:t>
      </w:r>
      <w:r w:rsidR="001C79D0">
        <w:rPr>
          <w:lang w:eastAsia="en-AU"/>
        </w:rPr>
        <w:t>ly defined</w:t>
      </w:r>
      <w:r w:rsidR="000F78F0">
        <w:rPr>
          <w:lang w:eastAsia="en-AU"/>
        </w:rPr>
        <w:t xml:space="preserve"> across cancer histology types</w:t>
      </w:r>
      <w:r w:rsidR="001C79D0">
        <w:rPr>
          <w:lang w:eastAsia="en-AU"/>
        </w:rPr>
        <w:t xml:space="preserve"> </w:t>
      </w:r>
      <w:r w:rsidR="00834F9C">
        <w:rPr>
          <w:lang w:eastAsia="en-AU"/>
        </w:rPr>
        <w:t xml:space="preserve">for </w:t>
      </w:r>
      <w:r w:rsidR="001C79D0">
        <w:rPr>
          <w:lang w:eastAsia="en-AU"/>
        </w:rPr>
        <w:t>the minimal set of genes tested. For now, unless specified differently in an item descriptor, the timing and order of testing should be determined by the requesting clinician and pathology laboratory as deemed appropriate</w:t>
      </w:r>
      <w:r w:rsidR="000F78F0">
        <w:rPr>
          <w:lang w:eastAsia="en-AU"/>
        </w:rPr>
        <w:t>.</w:t>
      </w:r>
      <w:r w:rsidR="001C79D0">
        <w:rPr>
          <w:lang w:eastAsia="en-AU"/>
        </w:rPr>
        <w:t xml:space="preserve"> Accordingly, MSAC also </w:t>
      </w:r>
      <w:r>
        <w:rPr>
          <w:lang w:eastAsia="en-AU"/>
        </w:rPr>
        <w:t>advised that the absence of other biomarkers (</w:t>
      </w:r>
      <w:r>
        <w:rPr>
          <w:i/>
          <w:iCs/>
          <w:lang w:eastAsia="en-AU"/>
        </w:rPr>
        <w:t>EGFR</w:t>
      </w:r>
      <w:r>
        <w:rPr>
          <w:lang w:eastAsia="en-AU"/>
        </w:rPr>
        <w:t xml:space="preserve">, </w:t>
      </w:r>
      <w:r w:rsidRPr="008E6FBC">
        <w:rPr>
          <w:i/>
          <w:iCs/>
          <w:lang w:eastAsia="en-AU"/>
        </w:rPr>
        <w:t>ALK</w:t>
      </w:r>
      <w:r>
        <w:rPr>
          <w:lang w:eastAsia="en-AU"/>
        </w:rPr>
        <w:t xml:space="preserve"> and </w:t>
      </w:r>
      <w:r w:rsidRPr="008E6FBC">
        <w:rPr>
          <w:i/>
          <w:iCs/>
          <w:lang w:eastAsia="en-AU"/>
        </w:rPr>
        <w:t>ROS</w:t>
      </w:r>
      <w:r w:rsidR="001500B3" w:rsidRPr="008E6FBC">
        <w:rPr>
          <w:i/>
          <w:iCs/>
          <w:lang w:eastAsia="en-AU"/>
        </w:rPr>
        <w:t>1</w:t>
      </w:r>
      <w:r>
        <w:rPr>
          <w:lang w:eastAsia="en-AU"/>
        </w:rPr>
        <w:t xml:space="preserve">) need not be a pre-requisite for </w:t>
      </w:r>
      <w:r>
        <w:rPr>
          <w:i/>
          <w:iCs/>
          <w:lang w:eastAsia="en-AU"/>
        </w:rPr>
        <w:t>MET</w:t>
      </w:r>
      <w:r>
        <w:rPr>
          <w:lang w:eastAsia="en-AU"/>
        </w:rPr>
        <w:t>ex14sk testing.</w:t>
      </w:r>
      <w:r w:rsidR="00F259E7">
        <w:rPr>
          <w:lang w:eastAsia="en-AU"/>
        </w:rPr>
        <w:t xml:space="preserve"> MSAC considered that requiring a documented absence of other biomarkers would effectively mandate sequential testing, and advised that this was not warranted.</w:t>
      </w:r>
      <w:r w:rsidR="001500B3">
        <w:rPr>
          <w:lang w:eastAsia="en-AU"/>
        </w:rPr>
        <w:t xml:space="preserve"> </w:t>
      </w:r>
      <w:r w:rsidR="00554E12">
        <w:rPr>
          <w:lang w:eastAsia="en-AU"/>
        </w:rPr>
        <w:t xml:space="preserve">MSAC also noted </w:t>
      </w:r>
      <w:r>
        <w:rPr>
          <w:lang w:eastAsia="en-AU"/>
        </w:rPr>
        <w:t xml:space="preserve">the ASPIRATION </w:t>
      </w:r>
      <w:r w:rsidR="00554E12">
        <w:rPr>
          <w:lang w:eastAsia="en-AU"/>
        </w:rPr>
        <w:t xml:space="preserve">observational study evaluating the effectiveness of gene </w:t>
      </w:r>
      <w:r>
        <w:rPr>
          <w:lang w:eastAsia="en-AU"/>
        </w:rPr>
        <w:t xml:space="preserve">panel testing in patients with </w:t>
      </w:r>
      <w:r w:rsidR="00554E12">
        <w:rPr>
          <w:lang w:eastAsia="en-AU"/>
        </w:rPr>
        <w:t xml:space="preserve">NSCLC, which may provide </w:t>
      </w:r>
      <w:r>
        <w:rPr>
          <w:lang w:eastAsia="en-AU"/>
        </w:rPr>
        <w:t xml:space="preserve">further </w:t>
      </w:r>
      <w:r w:rsidR="00554E12">
        <w:rPr>
          <w:lang w:eastAsia="en-AU"/>
        </w:rPr>
        <w:t>information about parallel</w:t>
      </w:r>
      <w:r>
        <w:rPr>
          <w:lang w:eastAsia="en-AU"/>
        </w:rPr>
        <w:t xml:space="preserve"> versus </w:t>
      </w:r>
      <w:r w:rsidR="00554E12">
        <w:rPr>
          <w:lang w:eastAsia="en-AU"/>
        </w:rPr>
        <w:t>sequential testing</w:t>
      </w:r>
      <w:r w:rsidR="001C79D0">
        <w:rPr>
          <w:lang w:eastAsia="en-AU"/>
        </w:rPr>
        <w:t xml:space="preserve"> for biomarkers</w:t>
      </w:r>
      <w:r w:rsidR="00554E12">
        <w:rPr>
          <w:lang w:eastAsia="en-AU"/>
        </w:rPr>
        <w:t>.</w:t>
      </w:r>
    </w:p>
    <w:p w14:paraId="0F2E2B0A" w14:textId="582396AB" w:rsidR="004320E1" w:rsidRDefault="00554E12" w:rsidP="004320E1">
      <w:pPr>
        <w:pStyle w:val="MSACESParagraph"/>
        <w:rPr>
          <w:lang w:eastAsia="en-AU"/>
        </w:rPr>
      </w:pPr>
      <w:r>
        <w:rPr>
          <w:lang w:eastAsia="en-AU"/>
        </w:rPr>
        <w:t>MSAC noted PASC’s advice that the evidentiary standard should be that used in the VISION study, a</w:t>
      </w:r>
      <w:r w:rsidR="00786E62">
        <w:rPr>
          <w:lang w:eastAsia="en-AU"/>
        </w:rPr>
        <w:t>nd that</w:t>
      </w:r>
      <w:r>
        <w:rPr>
          <w:lang w:eastAsia="en-AU"/>
        </w:rPr>
        <w:t xml:space="preserve"> there </w:t>
      </w:r>
      <w:r w:rsidR="00F259E7">
        <w:rPr>
          <w:lang w:eastAsia="en-AU"/>
        </w:rPr>
        <w:t xml:space="preserve">is </w:t>
      </w:r>
      <w:r>
        <w:rPr>
          <w:lang w:eastAsia="en-AU"/>
        </w:rPr>
        <w:t xml:space="preserve">no gold standard testing for </w:t>
      </w:r>
      <w:r w:rsidRPr="00DB5BBA">
        <w:rPr>
          <w:i/>
          <w:iCs/>
          <w:lang w:eastAsia="en-AU"/>
        </w:rPr>
        <w:t>MET</w:t>
      </w:r>
      <w:r>
        <w:rPr>
          <w:lang w:eastAsia="en-AU"/>
        </w:rPr>
        <w:t>ex14</w:t>
      </w:r>
      <w:r w:rsidR="00DB5BBA">
        <w:rPr>
          <w:lang w:eastAsia="en-AU"/>
        </w:rPr>
        <w:t>sk</w:t>
      </w:r>
      <w:r>
        <w:rPr>
          <w:lang w:eastAsia="en-AU"/>
        </w:rPr>
        <w:t>. The trial tested</w:t>
      </w:r>
      <w:r w:rsidR="00DB5BBA">
        <w:rPr>
          <w:lang w:eastAsia="en-AU"/>
        </w:rPr>
        <w:t xml:space="preserve"> for</w:t>
      </w:r>
      <w:r>
        <w:rPr>
          <w:lang w:eastAsia="en-AU"/>
        </w:rPr>
        <w:t xml:space="preserve"> </w:t>
      </w:r>
      <w:r w:rsidRPr="00DB5BBA">
        <w:rPr>
          <w:i/>
          <w:iCs/>
          <w:lang w:eastAsia="en-AU"/>
        </w:rPr>
        <w:t>MET</w:t>
      </w:r>
      <w:r>
        <w:rPr>
          <w:lang w:eastAsia="en-AU"/>
        </w:rPr>
        <w:t>ex14</w:t>
      </w:r>
      <w:r w:rsidR="00DB5BBA">
        <w:rPr>
          <w:lang w:eastAsia="en-AU"/>
        </w:rPr>
        <w:t>sk</w:t>
      </w:r>
      <w:r>
        <w:rPr>
          <w:lang w:eastAsia="en-AU"/>
        </w:rPr>
        <w:t xml:space="preserve"> </w:t>
      </w:r>
      <w:r w:rsidR="00F259E7">
        <w:rPr>
          <w:lang w:eastAsia="en-AU"/>
        </w:rPr>
        <w:t>using</w:t>
      </w:r>
      <w:r w:rsidR="00DB5BBA">
        <w:rPr>
          <w:lang w:eastAsia="en-AU"/>
        </w:rPr>
        <w:t xml:space="preserve"> either of two methods: </w:t>
      </w:r>
      <w:r w:rsidR="001500B3">
        <w:rPr>
          <w:lang w:eastAsia="en-AU"/>
        </w:rPr>
        <w:t xml:space="preserve">testing </w:t>
      </w:r>
      <w:r>
        <w:rPr>
          <w:lang w:eastAsia="en-AU"/>
        </w:rPr>
        <w:t xml:space="preserve">FFPE tissue </w:t>
      </w:r>
      <w:r w:rsidR="00F259E7">
        <w:rPr>
          <w:lang w:eastAsia="en-AU"/>
        </w:rPr>
        <w:t xml:space="preserve">with </w:t>
      </w:r>
      <w:r>
        <w:rPr>
          <w:lang w:eastAsia="en-AU"/>
        </w:rPr>
        <w:t xml:space="preserve">the </w:t>
      </w:r>
      <w:proofErr w:type="spellStart"/>
      <w:r>
        <w:rPr>
          <w:lang w:eastAsia="en-AU"/>
        </w:rPr>
        <w:t>Oncomine</w:t>
      </w:r>
      <w:proofErr w:type="spellEnd"/>
      <w:r>
        <w:rPr>
          <w:lang w:eastAsia="en-AU"/>
        </w:rPr>
        <w:t xml:space="preserve"> Focus Assay (OFA), a</w:t>
      </w:r>
      <w:r w:rsidR="001500B3">
        <w:rPr>
          <w:lang w:eastAsia="en-AU"/>
        </w:rPr>
        <w:t>n</w:t>
      </w:r>
      <w:r>
        <w:rPr>
          <w:lang w:eastAsia="en-AU"/>
        </w:rPr>
        <w:t xml:space="preserve"> off-the-shelf</w:t>
      </w:r>
      <w:r w:rsidR="00F259E7">
        <w:rPr>
          <w:lang w:eastAsia="en-AU"/>
        </w:rPr>
        <w:t>,</w:t>
      </w:r>
      <w:r>
        <w:rPr>
          <w:lang w:eastAsia="en-AU"/>
        </w:rPr>
        <w:t xml:space="preserve"> </w:t>
      </w:r>
      <w:r w:rsidR="001500B3">
        <w:rPr>
          <w:lang w:eastAsia="en-AU"/>
        </w:rPr>
        <w:t xml:space="preserve">hybrid DNA/RNA </w:t>
      </w:r>
      <w:r>
        <w:rPr>
          <w:lang w:eastAsia="en-AU"/>
        </w:rPr>
        <w:t xml:space="preserve">next-generation sequencing (NGS) </w:t>
      </w:r>
      <w:r w:rsidR="00DB5BBA">
        <w:rPr>
          <w:lang w:eastAsia="en-AU"/>
        </w:rPr>
        <w:t xml:space="preserve">52-gene panel assay, </w:t>
      </w:r>
      <w:r>
        <w:rPr>
          <w:lang w:eastAsia="en-AU"/>
        </w:rPr>
        <w:t xml:space="preserve">or </w:t>
      </w:r>
      <w:r w:rsidR="001500B3">
        <w:rPr>
          <w:lang w:eastAsia="en-AU"/>
        </w:rPr>
        <w:t xml:space="preserve">testing </w:t>
      </w:r>
      <w:r>
        <w:rPr>
          <w:lang w:eastAsia="en-AU"/>
        </w:rPr>
        <w:t>blood for circulating tumour</w:t>
      </w:r>
      <w:r w:rsidR="001500B3">
        <w:rPr>
          <w:lang w:eastAsia="en-AU"/>
        </w:rPr>
        <w:t xml:space="preserve"> DNA</w:t>
      </w:r>
      <w:r>
        <w:rPr>
          <w:lang w:eastAsia="en-AU"/>
        </w:rPr>
        <w:t xml:space="preserve"> using NGS.</w:t>
      </w:r>
      <w:r w:rsidR="001500B3">
        <w:rPr>
          <w:lang w:eastAsia="en-AU"/>
        </w:rPr>
        <w:t xml:space="preserve"> </w:t>
      </w:r>
      <w:r w:rsidR="004320E1">
        <w:rPr>
          <w:lang w:eastAsia="en-AU"/>
        </w:rPr>
        <w:t xml:space="preserve">MSAC noted analytical validity concerns for DNA- and RNA-based </w:t>
      </w:r>
      <w:r w:rsidR="004320E1">
        <w:rPr>
          <w:i/>
          <w:iCs/>
          <w:lang w:eastAsia="en-AU"/>
        </w:rPr>
        <w:t>MET</w:t>
      </w:r>
      <w:r w:rsidR="004320E1">
        <w:rPr>
          <w:lang w:eastAsia="en-AU"/>
        </w:rPr>
        <w:t xml:space="preserve">ex14sk testing, but considered that this </w:t>
      </w:r>
      <w:r w:rsidR="004320E1" w:rsidRPr="00E152F5">
        <w:rPr>
          <w:lang w:eastAsia="en-AU"/>
        </w:rPr>
        <w:t>requirement</w:t>
      </w:r>
      <w:r w:rsidR="004320E1">
        <w:rPr>
          <w:lang w:eastAsia="en-AU"/>
        </w:rPr>
        <w:t xml:space="preserve"> would form part of quality assurance, and so advised that laboratories performing this test should be NATA-accredited with a quality assurance program in place, as is a standard requirement for genetic testing. On balance, MSAC supported a method-</w:t>
      </w:r>
      <w:r w:rsidR="004320E1">
        <w:rPr>
          <w:lang w:eastAsia="en-AU"/>
        </w:rPr>
        <w:lastRenderedPageBreak/>
        <w:t>agnostic item descriptor to allow the requested testing to be on either a DNA or RNA</w:t>
      </w:r>
      <w:r w:rsidR="000D5D52">
        <w:rPr>
          <w:lang w:eastAsia="en-AU"/>
        </w:rPr>
        <w:t xml:space="preserve"> or hybrid</w:t>
      </w:r>
      <w:r w:rsidR="004320E1">
        <w:rPr>
          <w:lang w:eastAsia="en-AU"/>
        </w:rPr>
        <w:t xml:space="preserve"> basis.</w:t>
      </w:r>
    </w:p>
    <w:p w14:paraId="409F7E72" w14:textId="2CCF7942" w:rsidR="00554E12" w:rsidRDefault="00554E12" w:rsidP="00554E12">
      <w:pPr>
        <w:pStyle w:val="MSACESParagraph"/>
        <w:rPr>
          <w:lang w:eastAsia="en-AU"/>
        </w:rPr>
      </w:pPr>
      <w:r>
        <w:rPr>
          <w:lang w:eastAsia="en-AU"/>
        </w:rPr>
        <w:t xml:space="preserve">MSAC noted that patients whose testing </w:t>
      </w:r>
      <w:r w:rsidR="00545A42">
        <w:rPr>
          <w:lang w:eastAsia="en-AU"/>
        </w:rPr>
        <w:t>used</w:t>
      </w:r>
      <w:r>
        <w:rPr>
          <w:lang w:eastAsia="en-AU"/>
        </w:rPr>
        <w:t xml:space="preserve"> tissue had better overall survival (OS) than those who</w:t>
      </w:r>
      <w:r w:rsidR="006B1218">
        <w:rPr>
          <w:lang w:eastAsia="en-AU"/>
        </w:rPr>
        <w:t>se testing used</w:t>
      </w:r>
      <w:r>
        <w:rPr>
          <w:lang w:eastAsia="en-AU"/>
        </w:rPr>
        <w:t xml:space="preserve"> </w:t>
      </w:r>
      <w:r w:rsidR="00545A42">
        <w:rPr>
          <w:lang w:eastAsia="en-AU"/>
        </w:rPr>
        <w:t>blood samples</w:t>
      </w:r>
      <w:r w:rsidR="00786E62">
        <w:rPr>
          <w:lang w:eastAsia="en-AU"/>
        </w:rPr>
        <w:t>, and supported the requested limitation in the item descriptor for testing of tumour tissue only</w:t>
      </w:r>
      <w:r>
        <w:rPr>
          <w:lang w:eastAsia="en-AU"/>
        </w:rPr>
        <w:t xml:space="preserve">. MSAC </w:t>
      </w:r>
      <w:r w:rsidR="00B421AE">
        <w:rPr>
          <w:lang w:eastAsia="en-AU"/>
        </w:rPr>
        <w:t xml:space="preserve">also supported </w:t>
      </w:r>
      <w:r>
        <w:rPr>
          <w:lang w:eastAsia="en-AU"/>
        </w:rPr>
        <w:t>the applicant</w:t>
      </w:r>
      <w:r w:rsidR="00B421AE">
        <w:rPr>
          <w:lang w:eastAsia="en-AU"/>
        </w:rPr>
        <w:t>’s</w:t>
      </w:r>
      <w:r>
        <w:rPr>
          <w:lang w:eastAsia="en-AU"/>
        </w:rPr>
        <w:t xml:space="preserve"> </w:t>
      </w:r>
      <w:r w:rsidR="00545A42">
        <w:rPr>
          <w:lang w:eastAsia="en-AU"/>
        </w:rPr>
        <w:t xml:space="preserve">pre-PBAC response </w:t>
      </w:r>
      <w:r>
        <w:rPr>
          <w:lang w:eastAsia="en-AU"/>
        </w:rPr>
        <w:t>accept</w:t>
      </w:r>
      <w:r w:rsidR="00B421AE">
        <w:rPr>
          <w:lang w:eastAsia="en-AU"/>
        </w:rPr>
        <w:t>ance of</w:t>
      </w:r>
      <w:r>
        <w:rPr>
          <w:lang w:eastAsia="en-AU"/>
        </w:rPr>
        <w:t xml:space="preserve"> a 7% re-test rate </w:t>
      </w:r>
      <w:r w:rsidR="00B421AE">
        <w:rPr>
          <w:lang w:eastAsia="en-AU"/>
        </w:rPr>
        <w:t xml:space="preserve">being </w:t>
      </w:r>
      <w:r w:rsidR="00545A42">
        <w:rPr>
          <w:lang w:eastAsia="en-AU"/>
        </w:rPr>
        <w:t xml:space="preserve">incorporated </w:t>
      </w:r>
      <w:r>
        <w:rPr>
          <w:lang w:eastAsia="en-AU"/>
        </w:rPr>
        <w:t xml:space="preserve">into the </w:t>
      </w:r>
      <w:r w:rsidR="00812148">
        <w:rPr>
          <w:lang w:eastAsia="en-AU"/>
        </w:rPr>
        <w:t>cost-minimisation approach</w:t>
      </w:r>
      <w:r>
        <w:rPr>
          <w:lang w:eastAsia="en-AU"/>
        </w:rPr>
        <w:t xml:space="preserve"> to </w:t>
      </w:r>
      <w:r w:rsidR="00545A42">
        <w:rPr>
          <w:lang w:eastAsia="en-AU"/>
        </w:rPr>
        <w:t>account for justifying the use of tissue over blood samples</w:t>
      </w:r>
      <w:r>
        <w:rPr>
          <w:lang w:eastAsia="en-AU"/>
        </w:rPr>
        <w:t>.</w:t>
      </w:r>
    </w:p>
    <w:bookmarkEnd w:id="6"/>
    <w:p w14:paraId="55761AAB" w14:textId="77777777" w:rsidR="00404C00" w:rsidRPr="0093087D" w:rsidRDefault="00404C00" w:rsidP="0093087D">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Background</w:t>
      </w:r>
    </w:p>
    <w:p w14:paraId="2EE9E930" w14:textId="0F4B8362"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Genetic testing for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 for access to tepotinib has not previously been considered by MSAC. PASC considered the PICO Confirmation for Application 1660 at its April 2021 meeting.</w:t>
      </w:r>
    </w:p>
    <w:p w14:paraId="0AD16FE8" w14:textId="2DC31F84" w:rsidR="00404C00" w:rsidRPr="0093087D" w:rsidRDefault="00404C00" w:rsidP="0093087D">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A related application is Application 1634 – Comprehensive genomic profiling of non-small cell lung cancer tumour tissue specimens using next generation sequencing assays. This application was considered by PASC in April 2021, and proposes a gene panel test for NSCLC biomarkers.</w:t>
      </w:r>
    </w:p>
    <w:p w14:paraId="1FBECBE2" w14:textId="77777777" w:rsidR="00404C00" w:rsidRPr="0093087D" w:rsidRDefault="00404C00" w:rsidP="0093087D">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Prerequisites to implementation of any funding advice</w:t>
      </w:r>
    </w:p>
    <w:p w14:paraId="75A06435" w14:textId="1847AE66"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stated that in-vitro diagnostic (IVD) tests are listed on the ARTG as class III medical devices. As the intervention is ‘test agnostic’, the applicant suggested that commercially available platforms will be able to detect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Laboratories would also be able to develop in-house tests to test 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 and receive accreditation through the National Association of Testing Authorities (NATA).</w:t>
      </w:r>
      <w:r w:rsidRPr="00404C00">
        <w:rPr>
          <w:rFonts w:ascii="Times New Roman" w:eastAsia="Times New Roman" w:hAnsi="Times New Roman" w:cs="Times New Roman"/>
          <w:b/>
          <w:color w:val="auto"/>
          <w:szCs w:val="20"/>
          <w:lang w:eastAsia="en-AU"/>
        </w:rPr>
        <w:t xml:space="preserve"> </w:t>
      </w:r>
      <w:r w:rsidRPr="00404C00">
        <w:rPr>
          <w:rFonts w:ascii="Times New Roman" w:eastAsia="Times New Roman" w:hAnsi="Times New Roman" w:cs="Times New Roman"/>
          <w:color w:val="auto"/>
          <w:szCs w:val="20"/>
          <w:lang w:eastAsia="en-AU"/>
        </w:rPr>
        <w:t>The commentary stated it is unclear if these tests are currently conducted in conjunction with an appropriate quality assurance program (QAP), and that</w:t>
      </w:r>
      <w:r w:rsidRPr="00404C00">
        <w:rPr>
          <w:rFonts w:ascii="Times New Roman" w:eastAsia="Times New Roman" w:hAnsi="Times New Roman" w:cs="Times New Roman"/>
          <w:iCs/>
          <w:color w:val="auto"/>
          <w:szCs w:val="20"/>
          <w:lang w:eastAsia="en-AU"/>
        </w:rPr>
        <w:t xml:space="preserve"> a QAP would be required as not all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ex14sk are detected by all panels, and a QAP will ensure that the panels used for testing have been designed to detect all variants</w:t>
      </w:r>
      <w:r w:rsidR="006036A0">
        <w:rPr>
          <w:rFonts w:ascii="Times New Roman" w:eastAsia="Times New Roman" w:hAnsi="Times New Roman" w:cs="Times New Roman"/>
          <w:iCs/>
          <w:color w:val="auto"/>
          <w:szCs w:val="20"/>
          <w:lang w:eastAsia="en-AU"/>
        </w:rPr>
        <w:t xml:space="preserve"> leading the deletion of </w:t>
      </w:r>
      <w:r w:rsidR="000C3C55">
        <w:rPr>
          <w:rFonts w:ascii="Times New Roman" w:eastAsia="Times New Roman" w:hAnsi="Times New Roman" w:cs="Times New Roman"/>
          <w:iCs/>
          <w:color w:val="auto"/>
          <w:szCs w:val="20"/>
          <w:lang w:eastAsia="en-AU"/>
        </w:rPr>
        <w:t>e</w:t>
      </w:r>
      <w:r w:rsidR="006036A0">
        <w:rPr>
          <w:rFonts w:ascii="Times New Roman" w:eastAsia="Times New Roman" w:hAnsi="Times New Roman" w:cs="Times New Roman"/>
          <w:iCs/>
          <w:color w:val="auto"/>
          <w:szCs w:val="20"/>
          <w:lang w:eastAsia="en-AU"/>
        </w:rPr>
        <w:t xml:space="preserve">xon 14 in </w:t>
      </w:r>
      <w:r w:rsidR="00F60ECE">
        <w:rPr>
          <w:rFonts w:ascii="Times New Roman" w:eastAsia="Times New Roman" w:hAnsi="Times New Roman" w:cs="Times New Roman"/>
          <w:iCs/>
          <w:color w:val="auto"/>
          <w:szCs w:val="20"/>
          <w:lang w:eastAsia="en-AU"/>
        </w:rPr>
        <w:t xml:space="preserve">mature </w:t>
      </w:r>
      <w:r w:rsidR="006036A0" w:rsidRPr="006036A0">
        <w:rPr>
          <w:rFonts w:ascii="Times New Roman" w:eastAsia="Times New Roman" w:hAnsi="Times New Roman" w:cs="Times New Roman"/>
          <w:i/>
          <w:color w:val="auto"/>
          <w:szCs w:val="20"/>
          <w:lang w:eastAsia="en-AU"/>
        </w:rPr>
        <w:t>MET</w:t>
      </w:r>
      <w:r w:rsidR="006036A0">
        <w:rPr>
          <w:rFonts w:ascii="Times New Roman" w:eastAsia="Times New Roman" w:hAnsi="Times New Roman" w:cs="Times New Roman"/>
          <w:iCs/>
          <w:color w:val="auto"/>
          <w:szCs w:val="20"/>
          <w:lang w:eastAsia="en-AU"/>
        </w:rPr>
        <w:t xml:space="preserve"> </w:t>
      </w:r>
      <w:r w:rsidR="00F60ECE">
        <w:rPr>
          <w:rFonts w:ascii="Times New Roman" w:eastAsia="Times New Roman" w:hAnsi="Times New Roman" w:cs="Times New Roman"/>
          <w:iCs/>
          <w:color w:val="auto"/>
          <w:szCs w:val="20"/>
          <w:lang w:eastAsia="en-AU"/>
        </w:rPr>
        <w:t>mRNA</w:t>
      </w:r>
      <w:r w:rsidR="000C3C55">
        <w:rPr>
          <w:rFonts w:ascii="Times New Roman" w:eastAsia="Times New Roman" w:hAnsi="Times New Roman" w:cs="Times New Roman"/>
          <w:iCs/>
          <w:color w:val="auto"/>
          <w:szCs w:val="20"/>
          <w:lang w:eastAsia="en-AU"/>
        </w:rPr>
        <w:t xml:space="preserve"> </w:t>
      </w:r>
      <w:r w:rsidR="006036A0">
        <w:rPr>
          <w:rFonts w:ascii="Times New Roman" w:eastAsia="Times New Roman" w:hAnsi="Times New Roman" w:cs="Times New Roman"/>
          <w:iCs/>
          <w:color w:val="auto"/>
          <w:szCs w:val="20"/>
          <w:lang w:eastAsia="en-AU"/>
        </w:rPr>
        <w:t>transcript</w:t>
      </w:r>
      <w:r w:rsidR="000C3C55">
        <w:rPr>
          <w:rFonts w:ascii="Times New Roman" w:eastAsia="Times New Roman" w:hAnsi="Times New Roman" w:cs="Times New Roman"/>
          <w:iCs/>
          <w:color w:val="auto"/>
          <w:szCs w:val="20"/>
          <w:lang w:eastAsia="en-AU"/>
        </w:rPr>
        <w:t>s</w:t>
      </w:r>
      <w:r w:rsidRPr="00404C00">
        <w:rPr>
          <w:rFonts w:ascii="Times New Roman" w:eastAsia="Times New Roman" w:hAnsi="Times New Roman" w:cs="Times New Roman"/>
          <w:color w:val="auto"/>
          <w:szCs w:val="20"/>
          <w:lang w:eastAsia="en-AU"/>
        </w:rPr>
        <w:t>.</w:t>
      </w:r>
    </w:p>
    <w:p w14:paraId="1B58839E" w14:textId="5CC548E7" w:rsidR="00404C00" w:rsidRPr="00404C00" w:rsidRDefault="00404C00" w:rsidP="0093087D">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4"/>
          <w:lang w:eastAsia="en-AU"/>
        </w:rPr>
        <w:t xml:space="preserve">The </w:t>
      </w:r>
      <w:r w:rsidRPr="00404C00">
        <w:rPr>
          <w:rFonts w:ascii="Times New Roman" w:eastAsia="Times New Roman" w:hAnsi="Times New Roman" w:cs="Times New Roman"/>
          <w:noProof/>
          <w:color w:val="auto"/>
          <w:szCs w:val="24"/>
          <w:lang w:eastAsia="en-AU"/>
        </w:rPr>
        <w:t>National Pathology Accreditation Advisory Council (NPAAC) advised that t</w:t>
      </w:r>
      <w:r w:rsidRPr="00404C00">
        <w:rPr>
          <w:rFonts w:ascii="Times New Roman" w:eastAsia="Times New Roman" w:hAnsi="Times New Roman" w:cs="Times New Roman"/>
          <w:color w:val="auto"/>
          <w:szCs w:val="24"/>
          <w:lang w:eastAsia="en-AU"/>
        </w:rPr>
        <w:t>he major consideration is the conduct of the molecular testing. If RNA-based testing is used, the sample must be sufficient and of good quality to allow a conclusion to be reached. If that is not the case the report must specify the need for a repeat sample to be collected. A DNA-based test is more robust but will not detect all relevant variants. The testing algorithm will need to be specified. NPAAC also advised that EQA programs, while not yet available from RCPA QAP, are offered by international providers, e.g. EMQN or NEQAS.</w:t>
      </w:r>
    </w:p>
    <w:p w14:paraId="2DBE0E34" w14:textId="77777777" w:rsidR="00404C00" w:rsidRPr="0093087D" w:rsidRDefault="00404C00" w:rsidP="0093087D">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Proposal for public funding</w:t>
      </w:r>
    </w:p>
    <w:p w14:paraId="24A2703E" w14:textId="06B8BAF7" w:rsidR="00572EE9" w:rsidRPr="00572EE9" w:rsidRDefault="00404C00" w:rsidP="00572EE9">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The MBS item proposed in the ADAR is shown in</w:t>
      </w:r>
      <w:r w:rsidR="00B66322">
        <w:rPr>
          <w:rFonts w:ascii="Times New Roman" w:eastAsia="Times New Roman" w:hAnsi="Times New Roman" w:cs="Times New Roman"/>
          <w:color w:val="auto"/>
          <w:szCs w:val="20"/>
          <w:lang w:eastAsia="en-AU"/>
        </w:rPr>
        <w:t xml:space="preserve"> Table 3</w:t>
      </w:r>
      <w:r w:rsidRPr="00404C00">
        <w:rPr>
          <w:rFonts w:ascii="Times New Roman" w:eastAsia="Times New Roman" w:hAnsi="Times New Roman" w:cs="Times New Roman"/>
          <w:color w:val="auto"/>
          <w:szCs w:val="20"/>
          <w:lang w:eastAsia="en-AU"/>
        </w:rPr>
        <w:t>.</w:t>
      </w:r>
      <w:bookmarkStart w:id="9" w:name="_Ref84001473"/>
      <w:r w:rsidR="00572EE9">
        <w:rPr>
          <w:rFonts w:ascii="Arial Narrow" w:eastAsia="Times New Roman" w:hAnsi="Arial Narrow" w:cs="Arial"/>
          <w:b/>
          <w:bCs/>
          <w:iCs/>
          <w:color w:val="auto"/>
          <w:sz w:val="20"/>
          <w:szCs w:val="20"/>
        </w:rPr>
        <w:br w:type="page"/>
      </w:r>
    </w:p>
    <w:p w14:paraId="48FF6F79" w14:textId="4CD864DE" w:rsidR="00404C00" w:rsidRPr="00404C00" w:rsidRDefault="00404C00" w:rsidP="0093087D">
      <w:pPr>
        <w:keepNext/>
        <w:spacing w:before="240" w:after="40"/>
        <w:jc w:val="left"/>
        <w:outlineLvl w:val="4"/>
        <w:rPr>
          <w:rFonts w:ascii="Arial Narrow" w:eastAsia="Times New Roman" w:hAnsi="Arial Narrow" w:cs="Arial"/>
          <w:b/>
          <w:color w:val="auto"/>
          <w:sz w:val="20"/>
          <w:szCs w:val="18"/>
        </w:rPr>
      </w:pPr>
      <w:r w:rsidRPr="00404C00">
        <w:rPr>
          <w:rFonts w:ascii="Arial Narrow" w:eastAsia="Times New Roman" w:hAnsi="Arial Narrow" w:cs="Arial"/>
          <w:b/>
          <w:bCs/>
          <w:iCs/>
          <w:color w:val="auto"/>
          <w:sz w:val="20"/>
          <w:szCs w:val="20"/>
        </w:rPr>
        <w:lastRenderedPageBreak/>
        <w:t xml:space="preserve">Table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Table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3</w:t>
      </w:r>
      <w:r w:rsidRPr="00404C00">
        <w:rPr>
          <w:rFonts w:ascii="Arial Narrow" w:eastAsia="Times New Roman" w:hAnsi="Arial Narrow" w:cs="Arial"/>
          <w:b/>
          <w:bCs/>
          <w:iCs/>
          <w:noProof/>
          <w:color w:val="auto"/>
          <w:sz w:val="20"/>
          <w:szCs w:val="20"/>
        </w:rPr>
        <w:fldChar w:fldCharType="end"/>
      </w:r>
      <w:bookmarkEnd w:id="9"/>
      <w:r w:rsidRPr="00404C00">
        <w:rPr>
          <w:rFonts w:ascii="Arial Narrow" w:eastAsia="Times New Roman" w:hAnsi="Arial Narrow" w:cs="Arial"/>
          <w:b/>
          <w:bCs/>
          <w:iCs/>
          <w:color w:val="auto"/>
          <w:sz w:val="20"/>
          <w:szCs w:val="20"/>
        </w:rPr>
        <w:tab/>
      </w:r>
      <w:r w:rsidRPr="00404C00">
        <w:rPr>
          <w:rFonts w:ascii="Arial Narrow" w:eastAsia="Times New Roman" w:hAnsi="Arial Narrow" w:cs="Arial"/>
          <w:b/>
          <w:color w:val="auto"/>
          <w:sz w:val="20"/>
          <w:szCs w:val="18"/>
        </w:rPr>
        <w:t>MBS listing proposed in the ADAR</w:t>
      </w:r>
    </w:p>
    <w:tbl>
      <w:tblPr>
        <w:tblStyle w:val="HTATableshade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MBS listing proposed in the ADAR"/>
      </w:tblPr>
      <w:tblGrid>
        <w:gridCol w:w="9016"/>
      </w:tblGrid>
      <w:tr w:rsidR="00404C00" w:rsidRPr="00404C00" w14:paraId="47D33B64" w14:textId="77777777" w:rsidTr="00404C00">
        <w:trPr>
          <w:cnfStyle w:val="100000000000" w:firstRow="1" w:lastRow="0" w:firstColumn="0" w:lastColumn="0" w:oddVBand="0" w:evenVBand="0" w:oddHBand="0" w:evenHBand="0" w:firstRowFirstColumn="0" w:firstRowLastColumn="0" w:lastRowFirstColumn="0" w:lastRowLastColumn="0"/>
        </w:trPr>
        <w:tc>
          <w:tcPr>
            <w:tcW w:w="5000" w:type="pct"/>
          </w:tcPr>
          <w:p w14:paraId="0A646068"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Category 6 or 7 – Pathology or genetics service</w:t>
            </w:r>
          </w:p>
        </w:tc>
      </w:tr>
      <w:tr w:rsidR="00404C00" w:rsidRPr="00404C00" w14:paraId="04B14F62" w14:textId="77777777" w:rsidTr="00404C00">
        <w:tc>
          <w:tcPr>
            <w:tcW w:w="5000" w:type="pct"/>
          </w:tcPr>
          <w:p w14:paraId="0D9A3B5B"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b/>
                <w:color w:val="auto"/>
                <w:sz w:val="20"/>
                <w:szCs w:val="20"/>
              </w:rPr>
              <w:t xml:space="preserve">Proposed item descriptor: </w:t>
            </w:r>
            <w:r w:rsidRPr="00404C00">
              <w:rPr>
                <w:rFonts w:ascii="Arial Narrow" w:hAnsi="Arial Narrow"/>
                <w:color w:val="auto"/>
                <w:sz w:val="20"/>
                <w:szCs w:val="20"/>
              </w:rPr>
              <w:t>A test of tumour tissue from a patient diagnosed with non-small cell lung cancer with the following characteristics:</w:t>
            </w:r>
          </w:p>
          <w:p w14:paraId="70E3C53B"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Either:</w:t>
            </w:r>
          </w:p>
          <w:p w14:paraId="6D126AF5"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 shown to have squamous histology or;</w:t>
            </w:r>
          </w:p>
          <w:p w14:paraId="769E2306"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 shown to have non-squamous histology or histology not otherwise specified, and with documented absence of activating mutations of the epidermal growth factor receptor (</w:t>
            </w:r>
            <w:r w:rsidRPr="00404C00">
              <w:rPr>
                <w:rFonts w:ascii="Arial Narrow" w:hAnsi="Arial Narrow"/>
                <w:i/>
                <w:iCs/>
                <w:color w:val="auto"/>
                <w:sz w:val="20"/>
                <w:szCs w:val="20"/>
              </w:rPr>
              <w:t>EGFR</w:t>
            </w:r>
            <w:r w:rsidRPr="00404C00">
              <w:rPr>
                <w:rFonts w:ascii="Arial Narrow" w:hAnsi="Arial Narrow"/>
                <w:color w:val="auto"/>
                <w:sz w:val="20"/>
                <w:szCs w:val="20"/>
              </w:rPr>
              <w:t>) gene.</w:t>
            </w:r>
          </w:p>
          <w:p w14:paraId="2BB29E48"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 xml:space="preserve">The test is requested by or on behalf of, a specialist or consultant physician or determinable by a pathologist, to determine: </w:t>
            </w:r>
          </w:p>
          <w:p w14:paraId="7E6F08CB"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 xml:space="preserve">If the requirements relating to </w:t>
            </w:r>
            <w:r w:rsidRPr="00404C00">
              <w:rPr>
                <w:rFonts w:ascii="Arial Narrow" w:hAnsi="Arial Narrow"/>
                <w:i/>
                <w:iCs/>
                <w:color w:val="auto"/>
                <w:sz w:val="20"/>
                <w:szCs w:val="20"/>
              </w:rPr>
              <w:t>MET</w:t>
            </w:r>
            <w:r w:rsidRPr="00404C00">
              <w:rPr>
                <w:rFonts w:ascii="Arial Narrow" w:hAnsi="Arial Narrow"/>
                <w:color w:val="auto"/>
                <w:sz w:val="20"/>
                <w:szCs w:val="20"/>
              </w:rPr>
              <w:t xml:space="preserve"> exon 14 skipping alteration status for access to tepotinib are fulfilled under the Pharmaceutical Benefits Scheme (PBS).</w:t>
            </w:r>
          </w:p>
        </w:tc>
      </w:tr>
      <w:tr w:rsidR="00404C00" w:rsidRPr="00404C00" w14:paraId="0A956215" w14:textId="77777777" w:rsidTr="00404C00">
        <w:tc>
          <w:tcPr>
            <w:tcW w:w="5000" w:type="pct"/>
          </w:tcPr>
          <w:p w14:paraId="213F0AFD" w14:textId="77777777" w:rsidR="00404C00" w:rsidRPr="00404C00" w:rsidRDefault="00404C00" w:rsidP="0093087D">
            <w:pPr>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Fee: $397.35 Benefit: 85% = $337.75</w:t>
            </w:r>
          </w:p>
        </w:tc>
      </w:tr>
    </w:tbl>
    <w:p w14:paraId="1FE06EC3" w14:textId="6E58C2E7" w:rsidR="00404C00" w:rsidRPr="00404C00" w:rsidRDefault="00404C00" w:rsidP="0093087D">
      <w:pPr>
        <w:widowControl w:val="0"/>
        <w:spacing w:before="0" w:after="240"/>
        <w:jc w:val="left"/>
        <w:rPr>
          <w:rFonts w:ascii="Arial Narrow" w:eastAsia="Times New Roman" w:hAnsi="Arial Narrow" w:cs="Arial"/>
          <w:b/>
          <w:iCs/>
          <w:snapToGrid w:val="0"/>
          <w:color w:val="auto"/>
          <w:sz w:val="20"/>
          <w:szCs w:val="18"/>
        </w:rPr>
      </w:pPr>
      <w:r w:rsidRPr="00404C00">
        <w:rPr>
          <w:rFonts w:ascii="Arial Narrow" w:eastAsia="Times New Roman" w:hAnsi="Arial Narrow" w:cs="Arial"/>
          <w:snapToGrid w:val="0"/>
          <w:color w:val="auto"/>
          <w:sz w:val="18"/>
          <w:szCs w:val="20"/>
        </w:rPr>
        <w:t xml:space="preserve">Source: Commentary, </w:t>
      </w:r>
      <w:r w:rsidRPr="00404C00">
        <w:rPr>
          <w:rFonts w:ascii="Arial Narrow" w:eastAsia="Times New Roman" w:hAnsi="Arial Narrow" w:cs="Arial"/>
          <w:snapToGrid w:val="0"/>
          <w:color w:val="auto"/>
          <w:sz w:val="18"/>
          <w:szCs w:val="18"/>
        </w:rPr>
        <w:t>Table MSAC.</w:t>
      </w:r>
      <w:r w:rsidRPr="00404C00">
        <w:rPr>
          <w:rFonts w:ascii="Arial Narrow" w:eastAsia="Times New Roman" w:hAnsi="Arial Narrow" w:cs="Arial"/>
          <w:snapToGrid w:val="0"/>
          <w:color w:val="auto"/>
          <w:sz w:val="18"/>
          <w:szCs w:val="18"/>
        </w:rPr>
        <w:fldChar w:fldCharType="begin"/>
      </w:r>
      <w:r w:rsidRPr="00404C00">
        <w:rPr>
          <w:rFonts w:ascii="Arial Narrow" w:eastAsia="Times New Roman" w:hAnsi="Arial Narrow" w:cs="Arial"/>
          <w:snapToGrid w:val="0"/>
          <w:color w:val="auto"/>
          <w:sz w:val="18"/>
          <w:szCs w:val="18"/>
        </w:rPr>
        <w:instrText xml:space="preserve"> SEQ Table_MSAC. \* ARABIC </w:instrText>
      </w:r>
      <w:r w:rsidRPr="00404C00">
        <w:rPr>
          <w:rFonts w:ascii="Arial Narrow" w:eastAsia="Times New Roman" w:hAnsi="Arial Narrow" w:cs="Arial"/>
          <w:snapToGrid w:val="0"/>
          <w:color w:val="auto"/>
          <w:sz w:val="18"/>
          <w:szCs w:val="18"/>
        </w:rPr>
        <w:fldChar w:fldCharType="separate"/>
      </w:r>
      <w:r w:rsidR="00EF30D4">
        <w:rPr>
          <w:rFonts w:ascii="Arial Narrow" w:eastAsia="Times New Roman" w:hAnsi="Arial Narrow" w:cs="Arial"/>
          <w:noProof/>
          <w:snapToGrid w:val="0"/>
          <w:color w:val="auto"/>
          <w:sz w:val="18"/>
          <w:szCs w:val="18"/>
        </w:rPr>
        <w:t>1</w:t>
      </w:r>
      <w:r w:rsidRPr="00404C00">
        <w:rPr>
          <w:rFonts w:ascii="Arial Narrow" w:eastAsia="Times New Roman" w:hAnsi="Arial Narrow" w:cs="Arial"/>
          <w:snapToGrid w:val="0"/>
          <w:color w:val="auto"/>
          <w:sz w:val="18"/>
          <w:szCs w:val="18"/>
        </w:rPr>
        <w:fldChar w:fldCharType="end"/>
      </w:r>
      <w:r w:rsidRPr="00404C00">
        <w:rPr>
          <w:rFonts w:ascii="Arial Narrow" w:eastAsia="Times New Roman" w:hAnsi="Arial Narrow" w:cs="Arial"/>
          <w:snapToGrid w:val="0"/>
          <w:color w:val="auto"/>
          <w:sz w:val="18"/>
          <w:szCs w:val="20"/>
        </w:rPr>
        <w:t>.</w:t>
      </w:r>
    </w:p>
    <w:p w14:paraId="0005EBFC" w14:textId="49DDF656" w:rsidR="00404C00" w:rsidRPr="00404C00" w:rsidRDefault="00404C00" w:rsidP="0093087D">
      <w:pPr>
        <w:spacing w:before="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color w:val="auto"/>
          <w:szCs w:val="20"/>
          <w:lang w:eastAsia="en-AU"/>
        </w:rPr>
        <w:t xml:space="preserve">The ADAR stated that a test method-specific test descriptor (i.e. RNA- versus DNA-based testing) was not needed, as testing should be considered method-agnostic with reliance on NATA accreditation to consider which test would be appropriate. The commentary stated that </w:t>
      </w:r>
      <w:r w:rsidRPr="00404C00">
        <w:rPr>
          <w:rFonts w:ascii="Times New Roman" w:eastAsia="Times New Roman" w:hAnsi="Times New Roman" w:cs="Times New Roman"/>
          <w:iCs/>
          <w:color w:val="auto"/>
          <w:szCs w:val="20"/>
          <w:lang w:eastAsia="en-AU"/>
        </w:rPr>
        <w:t>this does not take into consideration which of the testing methods used in Australia are more concordant with the evidentiary standard (for which clinical utility has been demonstrated through its use in selecting patients for access to tepotinib).</w:t>
      </w:r>
    </w:p>
    <w:p w14:paraId="3373675F" w14:textId="77777777" w:rsidR="00404C00" w:rsidRPr="00404C00" w:rsidRDefault="00404C00" w:rsidP="0093087D">
      <w:pPr>
        <w:spacing w:before="240" w:after="0"/>
        <w:jc w:val="left"/>
        <w:rPr>
          <w:rFonts w:ascii="Times New Roman" w:eastAsia="Times New Roman" w:hAnsi="Times New Roman" w:cs="Times New Roman"/>
          <w:i/>
          <w:color w:val="auto"/>
          <w:szCs w:val="20"/>
          <w:lang w:eastAsia="en-AU"/>
        </w:rPr>
      </w:pPr>
      <w:r w:rsidRPr="00404C00">
        <w:rPr>
          <w:rFonts w:ascii="Times New Roman" w:eastAsia="Times New Roman" w:hAnsi="Times New Roman" w:cs="Times New Roman"/>
          <w:color w:val="auto"/>
          <w:szCs w:val="20"/>
          <w:lang w:eastAsia="en-AU"/>
        </w:rPr>
        <w:t>The ADAR proposed requestors be limited to a specialist, consultant physician or determinable by a pathologist. The commentary considered this to be appropriate.</w:t>
      </w:r>
    </w:p>
    <w:p w14:paraId="66F3D85F" w14:textId="11F33633" w:rsidR="00404C00" w:rsidRPr="00404C00" w:rsidRDefault="00404C00" w:rsidP="0093087D">
      <w:pPr>
        <w:spacing w:before="24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The commentary observed a discrepancy in histology between the MBS item population proposed in the ADAR from that in the PICO confirmation: the PICO confirmation limited the test population to patients with NSQ</w:t>
      </w:r>
      <w:r w:rsidR="00AC3641">
        <w:rPr>
          <w:rFonts w:ascii="Times New Roman" w:eastAsia="Times New Roman" w:hAnsi="Times New Roman" w:cs="Times New Roman"/>
          <w:iCs/>
          <w:color w:val="auto"/>
          <w:szCs w:val="20"/>
          <w:lang w:eastAsia="en-AU"/>
        </w:rPr>
        <w:t xml:space="preserve"> or NOS</w:t>
      </w:r>
      <w:r w:rsidRPr="00404C00">
        <w:rPr>
          <w:rFonts w:ascii="Times New Roman" w:eastAsia="Times New Roman" w:hAnsi="Times New Roman" w:cs="Times New Roman"/>
          <w:iCs/>
          <w:color w:val="auto"/>
          <w:szCs w:val="20"/>
          <w:lang w:eastAsia="en-AU"/>
        </w:rPr>
        <w:t xml:space="preserve"> histology only, whereas the proposed MBS item descriptor in the ADAR also included patients with </w:t>
      </w:r>
      <w:r w:rsidR="00AC3641">
        <w:rPr>
          <w:rFonts w:ascii="Times New Roman" w:eastAsia="Times New Roman" w:hAnsi="Times New Roman" w:cs="Times New Roman"/>
          <w:iCs/>
          <w:color w:val="auto"/>
          <w:szCs w:val="20"/>
          <w:lang w:eastAsia="en-AU"/>
        </w:rPr>
        <w:t>SQ</w:t>
      </w:r>
      <w:r w:rsidRPr="00404C00">
        <w:rPr>
          <w:rFonts w:ascii="Times New Roman" w:eastAsia="Times New Roman" w:hAnsi="Times New Roman" w:cs="Times New Roman"/>
          <w:iCs/>
          <w:color w:val="auto"/>
          <w:szCs w:val="20"/>
          <w:lang w:eastAsia="en-AU"/>
        </w:rPr>
        <w:t xml:space="preserve"> histology. The applicant’s pre-ESC response reiterated its proposal that patients with SQ histology be included too, in line with the VISION trial.</w:t>
      </w:r>
    </w:p>
    <w:p w14:paraId="33C09CBD" w14:textId="319CD4D5" w:rsidR="00404C00" w:rsidRPr="00404C00" w:rsidRDefault="00404C00" w:rsidP="00AC3641">
      <w:pPr>
        <w:spacing w:before="24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stated the population in the submission’s MBS item descriptor includes patients of all stages of disease, whereas the population as described in the PICO limits the testing population to patients with confirmed locally advanced or metastatic NSCLC only. PASC noted that for </w:t>
      </w:r>
      <w:r w:rsidRPr="00404C00">
        <w:rPr>
          <w:rFonts w:ascii="Times New Roman" w:eastAsia="Times New Roman" w:hAnsi="Times New Roman" w:cs="Times New Roman"/>
          <w:i/>
          <w:color w:val="auto"/>
          <w:szCs w:val="20"/>
          <w:lang w:eastAsia="en-AU"/>
        </w:rPr>
        <w:t>ROS-1</w:t>
      </w:r>
      <w:r w:rsidRPr="00404C00">
        <w:rPr>
          <w:rFonts w:ascii="Times New Roman" w:eastAsia="Times New Roman" w:hAnsi="Times New Roman" w:cs="Times New Roman"/>
          <w:iCs/>
          <w:color w:val="auto"/>
          <w:szCs w:val="20"/>
          <w:lang w:eastAsia="en-AU"/>
        </w:rPr>
        <w:t xml:space="preserve"> (MSAC Application 1454), ESC had advised that additional analyses on the cost of testing at initial diagnosis would be informative. PASC therefore recommended assessing both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testing at any time after diagnosis of NSCLC (i.e. not limited to those with locally advanced or metastatic disease), and also only testing </w:t>
      </w:r>
      <w:r w:rsidR="008406D9">
        <w:rPr>
          <w:rFonts w:ascii="Times New Roman" w:eastAsia="Times New Roman" w:hAnsi="Times New Roman" w:cs="Times New Roman"/>
          <w:iCs/>
          <w:color w:val="auto"/>
          <w:szCs w:val="20"/>
          <w:lang w:eastAsia="en-AU"/>
        </w:rPr>
        <w:t xml:space="preserve">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w:t>
      </w:r>
      <w:r w:rsidR="008406D9">
        <w:rPr>
          <w:rFonts w:ascii="Times New Roman" w:eastAsia="Times New Roman" w:hAnsi="Times New Roman" w:cs="Times New Roman"/>
          <w:iCs/>
          <w:color w:val="auto"/>
          <w:szCs w:val="20"/>
          <w:lang w:eastAsia="en-AU"/>
        </w:rPr>
        <w:t xml:space="preserve">in </w:t>
      </w:r>
      <w:r w:rsidRPr="00404C00">
        <w:rPr>
          <w:rFonts w:ascii="Times New Roman" w:eastAsia="Times New Roman" w:hAnsi="Times New Roman" w:cs="Times New Roman"/>
          <w:iCs/>
          <w:color w:val="auto"/>
          <w:szCs w:val="20"/>
          <w:lang w:eastAsia="en-AU"/>
        </w:rPr>
        <w:t xml:space="preserve">patients with locally advanced or metastatic disease. PASC recommended the applicant justify its proposed timing of testing and present the alternative testing scenario as well (1660 PICO, </w:t>
      </w:r>
      <w:proofErr w:type="spellStart"/>
      <w:r w:rsidRPr="00404C00">
        <w:rPr>
          <w:rFonts w:ascii="Times New Roman" w:eastAsia="Times New Roman" w:hAnsi="Times New Roman" w:cs="Times New Roman"/>
          <w:iCs/>
          <w:color w:val="auto"/>
          <w:szCs w:val="20"/>
          <w:lang w:eastAsia="en-AU"/>
        </w:rPr>
        <w:t>pg</w:t>
      </w:r>
      <w:proofErr w:type="spellEnd"/>
      <w:r w:rsidRPr="00404C00">
        <w:rPr>
          <w:rFonts w:ascii="Times New Roman" w:eastAsia="Times New Roman" w:hAnsi="Times New Roman" w:cs="Times New Roman"/>
          <w:iCs/>
          <w:color w:val="auto"/>
          <w:szCs w:val="20"/>
          <w:lang w:eastAsia="en-AU"/>
        </w:rPr>
        <w:t xml:space="preserve"> 4). The applicant responded that it “is requesting funding for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ex14[</w:t>
      </w:r>
      <w:proofErr w:type="spellStart"/>
      <w:r w:rsidRPr="00404C00">
        <w:rPr>
          <w:rFonts w:ascii="Times New Roman" w:eastAsia="Times New Roman" w:hAnsi="Times New Roman" w:cs="Times New Roman"/>
          <w:iCs/>
          <w:color w:val="auto"/>
          <w:szCs w:val="20"/>
          <w:lang w:eastAsia="en-AU"/>
        </w:rPr>
        <w:t>sk</w:t>
      </w:r>
      <w:proofErr w:type="spellEnd"/>
      <w:r w:rsidRPr="00404C00">
        <w:rPr>
          <w:rFonts w:ascii="Times New Roman" w:eastAsia="Times New Roman" w:hAnsi="Times New Roman" w:cs="Times New Roman"/>
          <w:iCs/>
          <w:color w:val="auto"/>
          <w:szCs w:val="20"/>
          <w:lang w:eastAsia="en-AU"/>
        </w:rPr>
        <w:t xml:space="preserve">] testing of patients independent of histology i.e., including SQ, NSQ, and NOS patients, to ensure alignment with the requested tepotinib listing following advice at the PASC and Pre-PBAC meetings.” (1660 PICO, </w:t>
      </w:r>
      <w:proofErr w:type="spellStart"/>
      <w:r w:rsidRPr="00404C00">
        <w:rPr>
          <w:rFonts w:ascii="Times New Roman" w:eastAsia="Times New Roman" w:hAnsi="Times New Roman" w:cs="Times New Roman"/>
          <w:iCs/>
          <w:color w:val="auto"/>
          <w:szCs w:val="20"/>
          <w:lang w:eastAsia="en-AU"/>
        </w:rPr>
        <w:t>pg</w:t>
      </w:r>
      <w:proofErr w:type="spellEnd"/>
      <w:r w:rsidRPr="00404C00">
        <w:rPr>
          <w:rFonts w:ascii="Times New Roman" w:eastAsia="Times New Roman" w:hAnsi="Times New Roman" w:cs="Times New Roman"/>
          <w:iCs/>
          <w:color w:val="auto"/>
          <w:szCs w:val="20"/>
          <w:lang w:eastAsia="en-AU"/>
        </w:rPr>
        <w:t xml:space="preserve"> 20)</w:t>
      </w:r>
    </w:p>
    <w:p w14:paraId="4D122E8B" w14:textId="77777777" w:rsidR="00404C00" w:rsidRPr="00404C00" w:rsidRDefault="00404C00" w:rsidP="0093087D">
      <w:pPr>
        <w:spacing w:before="240" w:after="0"/>
        <w:jc w:val="left"/>
        <w:rPr>
          <w:rFonts w:ascii="Times New Roman" w:eastAsia="Times New Roman" w:hAnsi="Times New Roman" w:cs="Times New Roman"/>
          <w:i/>
          <w:color w:val="auto"/>
          <w:szCs w:val="20"/>
          <w:lang w:eastAsia="en-AU"/>
        </w:rPr>
      </w:pPr>
      <w:r w:rsidRPr="00404C00">
        <w:rPr>
          <w:rFonts w:ascii="Times New Roman" w:eastAsia="Times New Roman" w:hAnsi="Times New Roman" w:cs="Times New Roman"/>
          <w:color w:val="auto"/>
          <w:szCs w:val="20"/>
          <w:lang w:eastAsia="en-AU"/>
        </w:rPr>
        <w:t xml:space="preserve">The ADAR stated that the MBS fee is the same as the fee for testing for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gene status.</w:t>
      </w:r>
      <w:r w:rsidRPr="00404C00">
        <w:rPr>
          <w:rFonts w:ascii="Times New Roman" w:eastAsia="Times New Roman" w:hAnsi="Times New Roman" w:cs="Times New Roman"/>
          <w:i/>
          <w:color w:val="auto"/>
          <w:szCs w:val="20"/>
          <w:lang w:eastAsia="en-AU"/>
        </w:rPr>
        <w:t xml:space="preserve"> </w:t>
      </w:r>
      <w:r w:rsidRPr="00404C00">
        <w:rPr>
          <w:rFonts w:ascii="Times New Roman" w:eastAsia="Times New Roman" w:hAnsi="Times New Roman" w:cs="Times New Roman"/>
          <w:color w:val="auto"/>
          <w:szCs w:val="20"/>
          <w:lang w:eastAsia="en-AU"/>
        </w:rPr>
        <w:t>The commentary considered this to be appropriate.</w:t>
      </w:r>
    </w:p>
    <w:p w14:paraId="3AB322E5" w14:textId="77777777" w:rsidR="00404C00" w:rsidRPr="00404C00" w:rsidRDefault="00404C00" w:rsidP="0093087D">
      <w:pPr>
        <w:spacing w:before="24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PASC queried whether there should be a frequency restriction to once per lifetime (consistent with MBS item number 73295) or once per primary tumour diagnosis (consistent with MBS </w:t>
      </w:r>
      <w:r w:rsidRPr="00404C00">
        <w:rPr>
          <w:rFonts w:ascii="Times New Roman" w:eastAsia="Times New Roman" w:hAnsi="Times New Roman" w:cs="Times New Roman"/>
          <w:iCs/>
          <w:color w:val="auto"/>
          <w:szCs w:val="20"/>
          <w:lang w:eastAsia="en-AU"/>
        </w:rPr>
        <w:lastRenderedPageBreak/>
        <w:t>item number 73301 or 73302) in the proposed item. PASC noted that the specific criteria to be set out in the item descriptor should prevent leakage into untargeted populations.</w:t>
      </w:r>
    </w:p>
    <w:p w14:paraId="6E0C2964" w14:textId="2A18E9A4" w:rsidR="00404C00" w:rsidRPr="00404C00" w:rsidRDefault="00404C00" w:rsidP="0093087D">
      <w:pPr>
        <w:spacing w:before="24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applicant’s pre-ESC response proposed a revised MBS item descriptor, which differs from that proposed in the ADAR in that it seeks to restrict the proposed testing to patients with locally advanced or metastatic NSCLC, and also that it adds a requirement for negative </w:t>
      </w:r>
      <w:r w:rsidRPr="008E6FBC">
        <w:rPr>
          <w:rFonts w:ascii="Times New Roman" w:eastAsia="Times New Roman" w:hAnsi="Times New Roman" w:cs="Times New Roman"/>
          <w:i/>
          <w:color w:val="auto"/>
          <w:szCs w:val="20"/>
          <w:lang w:eastAsia="en-AU"/>
        </w:rPr>
        <w:t>ALK</w:t>
      </w:r>
      <w:r w:rsidRPr="00404C00">
        <w:rPr>
          <w:rFonts w:ascii="Times New Roman" w:eastAsia="Times New Roman" w:hAnsi="Times New Roman" w:cs="Times New Roman"/>
          <w:iCs/>
          <w:color w:val="auto"/>
          <w:szCs w:val="20"/>
          <w:lang w:eastAsia="en-AU"/>
        </w:rPr>
        <w:t xml:space="preserve"> and </w:t>
      </w:r>
      <w:r w:rsidRPr="008E6FBC">
        <w:rPr>
          <w:rFonts w:ascii="Times New Roman" w:eastAsia="Times New Roman" w:hAnsi="Times New Roman" w:cs="Times New Roman"/>
          <w:i/>
          <w:color w:val="auto"/>
          <w:szCs w:val="20"/>
          <w:lang w:eastAsia="en-AU"/>
        </w:rPr>
        <w:t>ROS1</w:t>
      </w:r>
      <w:r w:rsidRPr="00404C00">
        <w:rPr>
          <w:rFonts w:ascii="Times New Roman" w:eastAsia="Times New Roman" w:hAnsi="Times New Roman" w:cs="Times New Roman"/>
          <w:iCs/>
          <w:color w:val="auto"/>
          <w:szCs w:val="20"/>
          <w:lang w:eastAsia="en-AU"/>
        </w:rPr>
        <w:t xml:space="preserve"> biomarker tests (whether via immunohistochemistry and </w:t>
      </w:r>
      <w:r w:rsidRPr="00404C00">
        <w:rPr>
          <w:rFonts w:ascii="Times New Roman" w:eastAsia="Times New Roman" w:hAnsi="Times New Roman" w:cs="Times New Roman"/>
          <w:color w:val="auto"/>
          <w:szCs w:val="20"/>
          <w:lang w:eastAsia="en-AU"/>
        </w:rPr>
        <w:t xml:space="preserve">fluorescence </w:t>
      </w:r>
      <w:r w:rsidRPr="00404C00">
        <w:rPr>
          <w:rFonts w:ascii="Times New Roman" w:eastAsia="Times New Roman" w:hAnsi="Times New Roman" w:cs="Times New Roman"/>
          <w:i/>
          <w:color w:val="auto"/>
          <w:szCs w:val="20"/>
          <w:lang w:eastAsia="en-AU"/>
        </w:rPr>
        <w:t>in situ</w:t>
      </w:r>
      <w:r w:rsidRPr="00404C00">
        <w:rPr>
          <w:rFonts w:ascii="Times New Roman" w:eastAsia="Times New Roman" w:hAnsi="Times New Roman" w:cs="Times New Roman"/>
          <w:color w:val="auto"/>
          <w:szCs w:val="20"/>
          <w:lang w:eastAsia="en-AU"/>
        </w:rPr>
        <w:t xml:space="preserve"> hybridisation)</w:t>
      </w:r>
      <w:r w:rsidRPr="00404C00">
        <w:rPr>
          <w:rFonts w:ascii="Times New Roman" w:eastAsia="Times New Roman" w:hAnsi="Times New Roman" w:cs="Times New Roman"/>
          <w:iCs/>
          <w:color w:val="auto"/>
          <w:szCs w:val="20"/>
          <w:lang w:eastAsia="en-AU"/>
        </w:rPr>
        <w:t>.</w:t>
      </w:r>
    </w:p>
    <w:p w14:paraId="639CD71D" w14:textId="77777777" w:rsidR="00404C00" w:rsidRPr="0093087D" w:rsidRDefault="00404C00" w:rsidP="0093087D">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Summary of public consultation feedback/consumer issues</w:t>
      </w:r>
    </w:p>
    <w:p w14:paraId="12F5620F" w14:textId="77777777"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PASC noted that the Royal College of Pathologists of Australasia (RCPA) expressed support for parallel testing (e.g. MSAC 1634) rather than sequential testing. PASC noted that letters of support from Rare Cancers Australia and Genomics for Life were received with the application.</w:t>
      </w:r>
    </w:p>
    <w:p w14:paraId="6ABF89DA" w14:textId="6B24B83E"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Consultation feedback was also received from a specialist who currently performs diagnostic pathology testing for patients with NSCLC including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upon request. The specialist supported the proposed testing, including supporting both parallel and sequential testing in accordance with the PICO’s testing algorithm. In addition, the specialist </w:t>
      </w:r>
      <w:r w:rsidR="00C63DBB" w:rsidRPr="00404C00">
        <w:rPr>
          <w:rFonts w:ascii="Times New Roman" w:eastAsia="Times New Roman" w:hAnsi="Times New Roman" w:cs="Times New Roman"/>
          <w:color w:val="auto"/>
          <w:szCs w:val="20"/>
          <w:lang w:eastAsia="en-AU"/>
        </w:rPr>
        <w:t>supported including</w:t>
      </w:r>
      <w:r w:rsidRPr="00404C00">
        <w:rPr>
          <w:rFonts w:ascii="Times New Roman" w:eastAsia="Times New Roman" w:hAnsi="Times New Roman" w:cs="Times New Roman"/>
          <w:color w:val="auto"/>
          <w:szCs w:val="20"/>
          <w:lang w:eastAsia="en-AU"/>
        </w:rPr>
        <w:t xml:space="preserve"> the SQ population 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 testing, as proposed in the ADAR.</w:t>
      </w:r>
    </w:p>
    <w:p w14:paraId="51185712" w14:textId="77777777"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No consumer feedback/consumer comments were received for this application.</w:t>
      </w:r>
    </w:p>
    <w:p w14:paraId="2DD13671" w14:textId="77777777" w:rsidR="00404C00" w:rsidRPr="0093087D" w:rsidRDefault="00404C00" w:rsidP="0093087D">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Proposed intervention’s place in clinical management</w:t>
      </w:r>
    </w:p>
    <w:p w14:paraId="4E224BEA" w14:textId="77777777"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iCs/>
          <w:color w:val="auto"/>
          <w:szCs w:val="20"/>
          <w:lang w:eastAsia="en-AU"/>
        </w:rPr>
        <w:t>Lung cancer is the fifth most common cancer in Australia, with an estimated 13,604 cases in 202</w:t>
      </w:r>
      <w:r w:rsidRPr="00404C00">
        <w:rPr>
          <w:rFonts w:ascii="Times New Roman" w:eastAsia="Times New Roman" w:hAnsi="Times New Roman" w:cs="Times New Roman"/>
          <w:color w:val="auto"/>
          <w:szCs w:val="20"/>
          <w:lang w:eastAsia="en-AU"/>
        </w:rPr>
        <w:t>0.</w:t>
      </w:r>
      <w:r w:rsidRPr="00404C00">
        <w:rPr>
          <w:rFonts w:ascii="Times New Roman" w:eastAsia="Times New Roman" w:hAnsi="Times New Roman" w:cs="Times New Roman"/>
          <w:color w:val="auto"/>
          <w:szCs w:val="20"/>
          <w:vertAlign w:val="superscript"/>
          <w:lang w:eastAsia="en-AU"/>
        </w:rPr>
        <w:footnoteReference w:id="1"/>
      </w:r>
      <w:r w:rsidRPr="00404C00">
        <w:rPr>
          <w:rFonts w:ascii="Times New Roman" w:eastAsia="Times New Roman" w:hAnsi="Times New Roman" w:cs="Times New Roman"/>
          <w:color w:val="auto"/>
          <w:szCs w:val="20"/>
          <w:lang w:eastAsia="en-AU"/>
        </w:rPr>
        <w:t xml:space="preserve"> The ADAR sought listing for use in all histological subtypes of NSCLC, which accounts for approximately 85% of all lung cancer cases.</w:t>
      </w:r>
      <w:r w:rsidRPr="00404C00">
        <w:rPr>
          <w:rFonts w:ascii="Times New Roman" w:eastAsia="Times New Roman" w:hAnsi="Times New Roman" w:cs="Times New Roman"/>
          <w:color w:val="auto"/>
          <w:szCs w:val="20"/>
          <w:vertAlign w:val="superscript"/>
          <w:lang w:eastAsia="en-AU"/>
        </w:rPr>
        <w:footnoteReference w:id="2"/>
      </w:r>
      <w:r w:rsidRPr="00404C00">
        <w:rPr>
          <w:rFonts w:ascii="Times New Roman" w:eastAsia="Times New Roman" w:hAnsi="Times New Roman" w:cs="Times New Roman"/>
          <w:i/>
          <w:color w:val="auto"/>
          <w:szCs w:val="20"/>
          <w:lang w:eastAsia="en-AU"/>
        </w:rPr>
        <w:t xml:space="preserve"> EGFR</w:t>
      </w:r>
      <w:r w:rsidRPr="00404C00">
        <w:rPr>
          <w:rFonts w:ascii="Times New Roman" w:eastAsia="Times New Roman" w:hAnsi="Times New Roman" w:cs="Times New Roman"/>
          <w:color w:val="auto"/>
          <w:szCs w:val="20"/>
          <w:lang w:eastAsia="en-AU"/>
        </w:rPr>
        <w:t xml:space="preserve"> is the most common NSCLC biomarker.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and </w:t>
      </w:r>
      <w:r w:rsidRPr="00404C00">
        <w:rPr>
          <w:rFonts w:ascii="Times New Roman" w:eastAsia="Times New Roman" w:hAnsi="Times New Roman" w:cs="Times New Roman"/>
          <w:i/>
          <w:color w:val="auto"/>
          <w:szCs w:val="20"/>
          <w:lang w:eastAsia="en-AU"/>
        </w:rPr>
        <w:t>ALK</w:t>
      </w:r>
      <w:r w:rsidRPr="00404C00">
        <w:rPr>
          <w:rFonts w:ascii="Times New Roman" w:eastAsia="Times New Roman" w:hAnsi="Times New Roman" w:cs="Times New Roman"/>
          <w:color w:val="auto"/>
          <w:szCs w:val="20"/>
          <w:lang w:eastAsia="en-AU"/>
        </w:rPr>
        <w:t xml:space="preserve"> variants are less prevalent, and </w:t>
      </w:r>
      <w:r w:rsidRPr="00404C00">
        <w:rPr>
          <w:rFonts w:ascii="Times New Roman" w:eastAsia="Times New Roman" w:hAnsi="Times New Roman" w:cs="Times New Roman"/>
          <w:i/>
          <w:color w:val="auto"/>
          <w:szCs w:val="20"/>
          <w:lang w:eastAsia="en-AU"/>
        </w:rPr>
        <w:t>ROS-1</w:t>
      </w:r>
      <w:r w:rsidRPr="00404C00">
        <w:rPr>
          <w:rFonts w:ascii="Times New Roman" w:eastAsia="Times New Roman" w:hAnsi="Times New Roman" w:cs="Times New Roman"/>
          <w:color w:val="auto"/>
          <w:szCs w:val="20"/>
          <w:lang w:eastAsia="en-AU"/>
        </w:rPr>
        <w:t xml:space="preserve"> is the least prevalent of these four biomarkers.</w:t>
      </w:r>
    </w:p>
    <w:p w14:paraId="39E4C140" w14:textId="0B643981" w:rsidR="00404C00" w:rsidRPr="00404C00" w:rsidRDefault="00404C00" w:rsidP="0093087D">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The MET proto-oncogene, receptor tyrosine kinase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 gene is located on chromosome 7, bands 7q21-31 and is approximately 125 kilobases long, with 21 exons. It encodes a protein receptor tyrosine kinase, which is part of the hepatocyte growth factor (HGF) receptor family, and is a critical regulator of cell growth and development. In patients with NSCLC, abnormal activation of the tyrosine-protein kinase MET (c-MET) pathway can occur </w:t>
      </w:r>
      <w:r w:rsidR="00C63DBB" w:rsidRPr="00404C00">
        <w:rPr>
          <w:rFonts w:ascii="Times New Roman" w:eastAsia="Times New Roman" w:hAnsi="Times New Roman" w:cs="Times New Roman"/>
          <w:color w:val="auto"/>
          <w:szCs w:val="20"/>
          <w:lang w:eastAsia="en-AU"/>
        </w:rPr>
        <w:t>through</w:t>
      </w:r>
      <w:r w:rsidRPr="00404C00">
        <w:rPr>
          <w:rFonts w:ascii="Times New Roman" w:eastAsia="Times New Roman" w:hAnsi="Times New Roman" w:cs="Times New Roman"/>
          <w:color w:val="auto"/>
          <w:szCs w:val="20"/>
          <w:lang w:eastAsia="en-AU"/>
        </w:rPr>
        <w:t xml:space="preserve"> a variety of mechanisms. One of these mechanisms has been described as a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w:t>
      </w:r>
      <w:r w:rsidR="00436674">
        <w:rPr>
          <w:rFonts w:ascii="Times New Roman" w:eastAsia="Times New Roman" w:hAnsi="Times New Roman" w:cs="Times New Roman"/>
          <w:color w:val="auto"/>
          <w:szCs w:val="20"/>
          <w:lang w:eastAsia="en-AU"/>
        </w:rPr>
        <w:t>sk</w:t>
      </w:r>
      <w:r w:rsidRPr="00404C00">
        <w:rPr>
          <w:rFonts w:ascii="Times New Roman" w:eastAsia="Times New Roman" w:hAnsi="Times New Roman" w:cs="Times New Roman"/>
          <w:color w:val="auto"/>
          <w:szCs w:val="20"/>
          <w:lang w:eastAsia="en-AU"/>
        </w:rPr>
        <w:t xml:space="preserve"> at RNA splice acceptor or donor sites, leading to alternative splicing, which results in exon 14 skipping in the subsequent mRNA</w:t>
      </w:r>
      <w:r w:rsidR="00A53282">
        <w:rPr>
          <w:rFonts w:ascii="Times New Roman" w:eastAsia="Times New Roman" w:hAnsi="Times New Roman" w:cs="Times New Roman"/>
          <w:color w:val="auto"/>
          <w:szCs w:val="20"/>
          <w:lang w:eastAsia="en-AU"/>
        </w:rPr>
        <w:t>,</w:t>
      </w:r>
      <w:r w:rsidRPr="00404C00">
        <w:rPr>
          <w:rFonts w:ascii="Times New Roman" w:eastAsia="Times New Roman" w:hAnsi="Times New Roman" w:cs="Times New Roman"/>
          <w:color w:val="auto"/>
          <w:szCs w:val="20"/>
          <w:lang w:eastAsia="en-AU"/>
        </w:rPr>
        <w:t xml:space="preserve"> though genetic alterations outside splice sites can also cause exon 14 skipping. This leads to a shortened c-MET receptor lacking a </w:t>
      </w:r>
      <w:proofErr w:type="spellStart"/>
      <w:r w:rsidRPr="00404C00">
        <w:rPr>
          <w:rFonts w:ascii="Times New Roman" w:eastAsia="Times New Roman" w:hAnsi="Times New Roman" w:cs="Times New Roman"/>
          <w:color w:val="auto"/>
          <w:szCs w:val="20"/>
          <w:lang w:eastAsia="en-AU"/>
        </w:rPr>
        <w:t>juxtamembrane</w:t>
      </w:r>
      <w:proofErr w:type="spellEnd"/>
      <w:r w:rsidRPr="00404C00">
        <w:rPr>
          <w:rFonts w:ascii="Times New Roman" w:eastAsia="Times New Roman" w:hAnsi="Times New Roman" w:cs="Times New Roman"/>
          <w:color w:val="auto"/>
          <w:szCs w:val="20"/>
          <w:lang w:eastAsia="en-AU"/>
        </w:rPr>
        <w:t xml:space="preserve"> domain, but still has affinity for HGF.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can occur via diverse genetic aberrations involving the splice sites and other locations, resultant in in-frame skipping of the </w:t>
      </w:r>
      <w:proofErr w:type="spellStart"/>
      <w:r w:rsidRPr="00404C00">
        <w:rPr>
          <w:rFonts w:ascii="Times New Roman" w:eastAsia="Times New Roman" w:hAnsi="Times New Roman" w:cs="Times New Roman"/>
          <w:color w:val="auto"/>
          <w:szCs w:val="20"/>
          <w:lang w:eastAsia="en-AU"/>
        </w:rPr>
        <w:t>juxtamembrane</w:t>
      </w:r>
      <w:proofErr w:type="spellEnd"/>
      <w:r w:rsidRPr="00404C00">
        <w:rPr>
          <w:rFonts w:ascii="Times New Roman" w:eastAsia="Times New Roman" w:hAnsi="Times New Roman" w:cs="Times New Roman"/>
          <w:color w:val="auto"/>
          <w:szCs w:val="20"/>
          <w:lang w:eastAsia="en-AU"/>
        </w:rPr>
        <w:t xml:space="preserve"> domain encoding exon 14. This increases the stability of c-MET and consequently the induction of cell proliferation and tumour growth.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 abnormalities have been associated with rapid tumour growth, aggressively invasive disease</w:t>
      </w:r>
      <w:r w:rsidR="00A53282">
        <w:rPr>
          <w:rFonts w:ascii="Times New Roman" w:eastAsia="Times New Roman" w:hAnsi="Times New Roman" w:cs="Times New Roman"/>
          <w:color w:val="auto"/>
          <w:szCs w:val="20"/>
          <w:lang w:eastAsia="en-AU"/>
        </w:rPr>
        <w:t>,</w:t>
      </w:r>
      <w:r w:rsidRPr="00404C00">
        <w:rPr>
          <w:rFonts w:ascii="Times New Roman" w:eastAsia="Times New Roman" w:hAnsi="Times New Roman" w:cs="Times New Roman"/>
          <w:color w:val="auto"/>
          <w:szCs w:val="20"/>
          <w:lang w:eastAsia="en-AU"/>
        </w:rPr>
        <w:t xml:space="preserve"> and a poor prognosis</w:t>
      </w:r>
      <w:r w:rsidRPr="00404C00">
        <w:rPr>
          <w:rFonts w:ascii="Times New Roman" w:eastAsia="Times New Roman" w:hAnsi="Times New Roman" w:cs="Times New Roman"/>
          <w:color w:val="auto"/>
          <w:szCs w:val="20"/>
          <w:vertAlign w:val="superscript"/>
          <w:lang w:eastAsia="en-AU"/>
        </w:rPr>
        <w:footnoteReference w:id="3"/>
      </w:r>
      <w:r w:rsidRPr="00404C00">
        <w:rPr>
          <w:rFonts w:ascii="Times New Roman" w:eastAsia="Times New Roman" w:hAnsi="Times New Roman" w:cs="Times New Roman"/>
          <w:color w:val="auto"/>
          <w:szCs w:val="20"/>
          <w:lang w:eastAsia="en-AU"/>
        </w:rPr>
        <w:t>.</w:t>
      </w:r>
    </w:p>
    <w:p w14:paraId="1E212E01" w14:textId="12A85998" w:rsidR="00404C00" w:rsidRPr="00404C00" w:rsidRDefault="00404C00" w:rsidP="0093087D">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lastRenderedPageBreak/>
        <w:t xml:space="preserve">To test for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 RNA and/or DNA</w:t>
      </w:r>
      <w:r w:rsidR="00357238">
        <w:rPr>
          <w:rFonts w:ascii="Times New Roman" w:eastAsia="Times New Roman" w:hAnsi="Times New Roman" w:cs="Times New Roman"/>
          <w:color w:val="auto"/>
          <w:szCs w:val="20"/>
          <w:lang w:eastAsia="en-AU"/>
        </w:rPr>
        <w:t xml:space="preserve"> extracted</w:t>
      </w:r>
      <w:r w:rsidRPr="00404C00">
        <w:rPr>
          <w:rFonts w:ascii="Times New Roman" w:eastAsia="Times New Roman" w:hAnsi="Times New Roman" w:cs="Times New Roman"/>
          <w:color w:val="auto"/>
          <w:szCs w:val="20"/>
          <w:lang w:eastAsia="en-AU"/>
        </w:rPr>
        <w:t xml:space="preserve"> from tumour tissue is </w:t>
      </w:r>
      <w:r w:rsidR="00357238">
        <w:rPr>
          <w:rFonts w:ascii="Times New Roman" w:eastAsia="Times New Roman" w:hAnsi="Times New Roman" w:cs="Times New Roman"/>
          <w:color w:val="auto"/>
          <w:szCs w:val="20"/>
          <w:lang w:eastAsia="en-AU"/>
        </w:rPr>
        <w:t>analysed</w:t>
      </w:r>
      <w:r w:rsidRPr="00404C00">
        <w:rPr>
          <w:rFonts w:ascii="Times New Roman" w:eastAsia="Times New Roman" w:hAnsi="Times New Roman" w:cs="Times New Roman"/>
          <w:color w:val="auto"/>
          <w:szCs w:val="20"/>
          <w:lang w:eastAsia="en-AU"/>
        </w:rPr>
        <w:t xml:space="preserve"> using commercially available platforms or laboratory-accredited in-house tests (e.g. polymerase chain reaction (PCR) or next generation sequencing (NGS)).</w:t>
      </w:r>
    </w:p>
    <w:p w14:paraId="500E1CE8" w14:textId="6AF6803C" w:rsidR="00404C00" w:rsidRPr="00404C00" w:rsidRDefault="00404C00" w:rsidP="0093087D">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proposed testing for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after </w:t>
      </w:r>
      <w:r w:rsidRPr="00404C00">
        <w:rPr>
          <w:rFonts w:ascii="Times New Roman" w:eastAsia="Times New Roman" w:hAnsi="Times New Roman" w:cs="Times New Roman"/>
          <w:i/>
          <w:color w:val="auto"/>
          <w:szCs w:val="20"/>
          <w:lang w:eastAsia="en-AU"/>
        </w:rPr>
        <w:t>EGFR</w:t>
      </w:r>
      <w:r w:rsidRPr="00404C00">
        <w:rPr>
          <w:rFonts w:ascii="Times New Roman" w:eastAsia="Times New Roman" w:hAnsi="Times New Roman" w:cs="Times New Roman"/>
          <w:color w:val="auto"/>
          <w:szCs w:val="20"/>
          <w:lang w:eastAsia="en-AU"/>
        </w:rPr>
        <w:t xml:space="preserve"> testing and receiving a negative result (and testing for </w:t>
      </w:r>
      <w:r w:rsidRPr="008406D9">
        <w:rPr>
          <w:rFonts w:ascii="Times New Roman" w:eastAsia="Times New Roman" w:hAnsi="Times New Roman" w:cs="Times New Roman"/>
          <w:iCs/>
          <w:color w:val="auto"/>
          <w:szCs w:val="20"/>
          <w:lang w:eastAsia="en-AU"/>
        </w:rPr>
        <w:t>ALK and ROS-1</w:t>
      </w:r>
      <w:r w:rsidRPr="00404C00">
        <w:rPr>
          <w:rFonts w:ascii="Times New Roman" w:eastAsia="Times New Roman" w:hAnsi="Times New Roman" w:cs="Times New Roman"/>
          <w:color w:val="auto"/>
          <w:szCs w:val="20"/>
          <w:lang w:eastAsia="en-AU"/>
        </w:rPr>
        <w:t xml:space="preserve"> </w:t>
      </w:r>
      <w:r w:rsidR="008406D9">
        <w:rPr>
          <w:rFonts w:ascii="Times New Roman" w:eastAsia="Times New Roman" w:hAnsi="Times New Roman" w:cs="Times New Roman"/>
          <w:color w:val="auto"/>
          <w:szCs w:val="20"/>
          <w:lang w:eastAsia="en-AU"/>
        </w:rPr>
        <w:t>expression</w:t>
      </w:r>
      <w:r w:rsidRPr="00404C00">
        <w:rPr>
          <w:rFonts w:ascii="Times New Roman" w:eastAsia="Times New Roman" w:hAnsi="Times New Roman" w:cs="Times New Roman"/>
          <w:color w:val="auto"/>
          <w:szCs w:val="20"/>
          <w:lang w:eastAsia="en-AU"/>
        </w:rPr>
        <w:t xml:space="preserve"> via immunohistochemistry triage if no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is detected). Testing for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 is proposed as an addition to the currently available tests and investigations.</w:t>
      </w:r>
    </w:p>
    <w:p w14:paraId="1DFCD0C0" w14:textId="7CEF8DCF" w:rsidR="00404C00" w:rsidRPr="00404C00" w:rsidRDefault="00404C00" w:rsidP="00EB22EA">
      <w:pPr>
        <w:spacing w:before="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ADAR’s </w:t>
      </w:r>
      <w:r w:rsidRPr="0093087D">
        <w:rPr>
          <w:rFonts w:ascii="Times New Roman" w:eastAsia="Times New Roman" w:hAnsi="Times New Roman" w:cs="Times New Roman"/>
          <w:color w:val="auto"/>
          <w:szCs w:val="24"/>
          <w:lang w:eastAsia="en-AU"/>
        </w:rPr>
        <w:t>current (</w:t>
      </w:r>
      <w:r w:rsidRPr="0093087D">
        <w:rPr>
          <w:rFonts w:ascii="Times New Roman" w:eastAsia="Times New Roman" w:hAnsi="Times New Roman" w:cs="Times New Roman"/>
          <w:color w:val="auto"/>
          <w:szCs w:val="24"/>
          <w:lang w:eastAsia="en-AU"/>
        </w:rPr>
        <w:fldChar w:fldCharType="begin"/>
      </w:r>
      <w:r w:rsidRPr="0093087D">
        <w:rPr>
          <w:rFonts w:ascii="Times New Roman" w:eastAsia="Times New Roman" w:hAnsi="Times New Roman" w:cs="Times New Roman"/>
          <w:color w:val="auto"/>
          <w:szCs w:val="24"/>
          <w:lang w:eastAsia="en-AU"/>
        </w:rPr>
        <w:instrText xml:space="preserve"> REF _Ref84003746 </w:instrText>
      </w:r>
      <w:r w:rsidR="0093087D" w:rsidRPr="0093087D">
        <w:rPr>
          <w:rFonts w:ascii="Times New Roman" w:eastAsia="Times New Roman" w:hAnsi="Times New Roman" w:cs="Times New Roman"/>
          <w:color w:val="auto"/>
          <w:szCs w:val="24"/>
          <w:lang w:eastAsia="en-AU"/>
        </w:rPr>
        <w:instrText xml:space="preserve"> \* MERGEFORMAT </w:instrText>
      </w:r>
      <w:r w:rsidRPr="0093087D">
        <w:rPr>
          <w:rFonts w:ascii="Times New Roman" w:eastAsia="Times New Roman" w:hAnsi="Times New Roman" w:cs="Times New Roman"/>
          <w:color w:val="auto"/>
          <w:szCs w:val="24"/>
          <w:lang w:eastAsia="en-AU"/>
        </w:rPr>
        <w:fldChar w:fldCharType="separate"/>
      </w:r>
      <w:r w:rsidR="00EF30D4" w:rsidRPr="00EF30D4">
        <w:rPr>
          <w:rFonts w:ascii="Times New Roman" w:eastAsia="Times New Roman" w:hAnsi="Times New Roman" w:cs="Times New Roman"/>
          <w:iCs/>
          <w:color w:val="auto"/>
          <w:szCs w:val="24"/>
        </w:rPr>
        <w:t xml:space="preserve">Figure </w:t>
      </w:r>
      <w:r w:rsidR="00EF30D4" w:rsidRPr="00EF30D4">
        <w:rPr>
          <w:rFonts w:ascii="Times New Roman" w:eastAsia="Times New Roman" w:hAnsi="Times New Roman" w:cs="Times New Roman"/>
          <w:iCs/>
          <w:noProof/>
          <w:color w:val="auto"/>
          <w:szCs w:val="24"/>
        </w:rPr>
        <w:t>1</w:t>
      </w:r>
      <w:r w:rsidRPr="0093087D">
        <w:rPr>
          <w:rFonts w:ascii="Times New Roman" w:eastAsia="Times New Roman" w:hAnsi="Times New Roman" w:cs="Times New Roman"/>
          <w:noProof/>
          <w:color w:val="auto"/>
          <w:szCs w:val="24"/>
          <w:lang w:eastAsia="en-AU"/>
        </w:rPr>
        <w:fldChar w:fldCharType="end"/>
      </w:r>
      <w:r w:rsidRPr="0093087D">
        <w:rPr>
          <w:rFonts w:ascii="Times New Roman" w:eastAsia="Times New Roman" w:hAnsi="Times New Roman" w:cs="Times New Roman"/>
          <w:color w:val="auto"/>
          <w:szCs w:val="24"/>
          <w:lang w:eastAsia="en-AU"/>
        </w:rPr>
        <w:t>) and proposed (</w:t>
      </w:r>
      <w:r w:rsidRPr="0093087D">
        <w:rPr>
          <w:rFonts w:ascii="Times New Roman" w:eastAsia="Times New Roman" w:hAnsi="Times New Roman" w:cs="Times New Roman"/>
          <w:color w:val="auto"/>
          <w:szCs w:val="24"/>
          <w:lang w:eastAsia="en-AU"/>
        </w:rPr>
        <w:fldChar w:fldCharType="begin"/>
      </w:r>
      <w:r w:rsidRPr="0093087D">
        <w:rPr>
          <w:rFonts w:ascii="Times New Roman" w:eastAsia="Times New Roman" w:hAnsi="Times New Roman" w:cs="Times New Roman"/>
          <w:color w:val="auto"/>
          <w:szCs w:val="24"/>
          <w:lang w:eastAsia="en-AU"/>
        </w:rPr>
        <w:instrText xml:space="preserve"> REF _Ref84003752 </w:instrText>
      </w:r>
      <w:r w:rsidR="0093087D" w:rsidRPr="0093087D">
        <w:rPr>
          <w:rFonts w:ascii="Times New Roman" w:eastAsia="Times New Roman" w:hAnsi="Times New Roman" w:cs="Times New Roman"/>
          <w:color w:val="auto"/>
          <w:szCs w:val="24"/>
          <w:lang w:eastAsia="en-AU"/>
        </w:rPr>
        <w:instrText xml:space="preserve"> \* MERGEFORMAT </w:instrText>
      </w:r>
      <w:r w:rsidRPr="0093087D">
        <w:rPr>
          <w:rFonts w:ascii="Times New Roman" w:eastAsia="Times New Roman" w:hAnsi="Times New Roman" w:cs="Times New Roman"/>
          <w:color w:val="auto"/>
          <w:szCs w:val="24"/>
          <w:lang w:eastAsia="en-AU"/>
        </w:rPr>
        <w:fldChar w:fldCharType="separate"/>
      </w:r>
      <w:r w:rsidR="00EF30D4" w:rsidRPr="00EF30D4">
        <w:rPr>
          <w:rFonts w:ascii="Times New Roman" w:eastAsia="Times New Roman" w:hAnsi="Times New Roman" w:cs="Times New Roman"/>
          <w:iCs/>
          <w:color w:val="auto"/>
          <w:szCs w:val="24"/>
        </w:rPr>
        <w:t xml:space="preserve">Figure </w:t>
      </w:r>
      <w:r w:rsidR="00EF30D4" w:rsidRPr="00EF30D4">
        <w:rPr>
          <w:rFonts w:ascii="Times New Roman" w:eastAsia="Times New Roman" w:hAnsi="Times New Roman" w:cs="Times New Roman"/>
          <w:iCs/>
          <w:noProof/>
          <w:color w:val="auto"/>
          <w:szCs w:val="24"/>
        </w:rPr>
        <w:t>2</w:t>
      </w:r>
      <w:r w:rsidRPr="0093087D">
        <w:rPr>
          <w:rFonts w:ascii="Times New Roman" w:eastAsia="Times New Roman" w:hAnsi="Times New Roman" w:cs="Times New Roman"/>
          <w:noProof/>
          <w:color w:val="auto"/>
          <w:szCs w:val="24"/>
          <w:lang w:eastAsia="en-AU"/>
        </w:rPr>
        <w:fldChar w:fldCharType="end"/>
      </w:r>
      <w:r w:rsidRPr="0093087D">
        <w:rPr>
          <w:rFonts w:ascii="Times New Roman" w:eastAsia="Times New Roman" w:hAnsi="Times New Roman" w:cs="Times New Roman"/>
          <w:color w:val="auto"/>
          <w:szCs w:val="24"/>
          <w:lang w:eastAsia="en-AU"/>
        </w:rPr>
        <w:t>) clinical</w:t>
      </w:r>
      <w:r w:rsidRPr="00404C00">
        <w:rPr>
          <w:rFonts w:ascii="Times New Roman" w:eastAsia="Times New Roman" w:hAnsi="Times New Roman" w:cs="Times New Roman"/>
          <w:color w:val="auto"/>
          <w:szCs w:val="20"/>
          <w:lang w:eastAsia="en-AU"/>
        </w:rPr>
        <w:t xml:space="preserve"> management algorithms are shown below.</w:t>
      </w:r>
    </w:p>
    <w:p w14:paraId="06E11059" w14:textId="77777777" w:rsidR="00404C00" w:rsidRPr="00404C00" w:rsidRDefault="00404C00" w:rsidP="0093087D">
      <w:pPr>
        <w:keepNext/>
        <w:keepLines/>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noProof/>
          <w:color w:val="auto"/>
          <w:szCs w:val="20"/>
          <w:lang w:eastAsia="en-AU"/>
        </w:rPr>
        <w:drawing>
          <wp:inline distT="0" distB="0" distL="0" distR="0" wp14:anchorId="0A6500A6" wp14:editId="36F0612D">
            <wp:extent cx="5009751" cy="4448175"/>
            <wp:effectExtent l="0" t="0" r="635" b="0"/>
            <wp:docPr id="4" name="Picture 4" descr="Current clinical management algorithm for testing and treatment for advanced NSCLC NSQ/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rrent clinical management algorithm for testing and treatment for advanced NSCLC NSQ/NOS"/>
                    <pic:cNvPicPr/>
                  </pic:nvPicPr>
                  <pic:blipFill>
                    <a:blip r:embed="rId10">
                      <a:extLst>
                        <a:ext uri="{28A0092B-C50C-407E-A947-70E740481C1C}">
                          <a14:useLocalDpi xmlns:a14="http://schemas.microsoft.com/office/drawing/2010/main" val="0"/>
                        </a:ext>
                      </a:extLst>
                    </a:blip>
                    <a:stretch>
                      <a:fillRect/>
                    </a:stretch>
                  </pic:blipFill>
                  <pic:spPr>
                    <a:xfrm>
                      <a:off x="0" y="0"/>
                      <a:ext cx="5009751" cy="4448175"/>
                    </a:xfrm>
                    <a:prstGeom prst="rect">
                      <a:avLst/>
                    </a:prstGeom>
                  </pic:spPr>
                </pic:pic>
              </a:graphicData>
            </a:graphic>
          </wp:inline>
        </w:drawing>
      </w:r>
    </w:p>
    <w:p w14:paraId="033CDB76" w14:textId="2F6A1D49" w:rsidR="00404C00" w:rsidRPr="00404C00" w:rsidRDefault="00404C00" w:rsidP="0093087D">
      <w:pPr>
        <w:keepNext/>
        <w:keepLines/>
        <w:spacing w:before="0" w:after="40"/>
        <w:jc w:val="left"/>
        <w:outlineLvl w:val="4"/>
        <w:rPr>
          <w:rFonts w:ascii="Arial Narrow" w:eastAsia="Times New Roman" w:hAnsi="Arial Narrow" w:cs="Arial"/>
          <w:bCs/>
          <w:iCs/>
          <w:color w:val="auto"/>
          <w:sz w:val="20"/>
          <w:szCs w:val="20"/>
        </w:rPr>
      </w:pPr>
      <w:bookmarkStart w:id="10" w:name="_Ref84003746"/>
      <w:r w:rsidRPr="00404C00">
        <w:rPr>
          <w:rFonts w:ascii="Arial Narrow" w:eastAsia="Times New Roman" w:hAnsi="Arial Narrow" w:cs="Arial"/>
          <w:b/>
          <w:bCs/>
          <w:iCs/>
          <w:color w:val="auto"/>
          <w:sz w:val="20"/>
          <w:szCs w:val="20"/>
        </w:rPr>
        <w:t xml:space="preserve">Figure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Figure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1</w:t>
      </w:r>
      <w:r w:rsidRPr="00404C00">
        <w:rPr>
          <w:rFonts w:ascii="Arial Narrow" w:eastAsia="Times New Roman" w:hAnsi="Arial Narrow" w:cs="Arial"/>
          <w:b/>
          <w:bCs/>
          <w:iCs/>
          <w:noProof/>
          <w:color w:val="auto"/>
          <w:sz w:val="20"/>
          <w:szCs w:val="20"/>
        </w:rPr>
        <w:fldChar w:fldCharType="end"/>
      </w:r>
      <w:bookmarkEnd w:id="10"/>
      <w:r w:rsidRPr="00404C00">
        <w:rPr>
          <w:rFonts w:ascii="Arial Narrow" w:eastAsia="Times New Roman" w:hAnsi="Arial Narrow" w:cs="Arial"/>
          <w:b/>
          <w:bCs/>
          <w:iCs/>
          <w:color w:val="auto"/>
          <w:sz w:val="20"/>
          <w:szCs w:val="20"/>
        </w:rPr>
        <w:tab/>
      </w:r>
      <w:r w:rsidRPr="00404C00">
        <w:rPr>
          <w:rFonts w:ascii="Arial Narrow" w:eastAsia="Times New Roman" w:hAnsi="Arial Narrow" w:cs="Arial"/>
          <w:b/>
          <w:bCs/>
          <w:iCs/>
          <w:color w:val="auto"/>
          <w:sz w:val="20"/>
          <w:szCs w:val="20"/>
          <w:u w:val="single"/>
        </w:rPr>
        <w:t>Current</w:t>
      </w:r>
      <w:r w:rsidRPr="00404C00">
        <w:rPr>
          <w:rFonts w:ascii="Arial Narrow" w:eastAsia="Times New Roman" w:hAnsi="Arial Narrow" w:cs="Arial"/>
          <w:b/>
          <w:bCs/>
          <w:iCs/>
          <w:color w:val="auto"/>
          <w:sz w:val="20"/>
          <w:szCs w:val="20"/>
        </w:rPr>
        <w:t xml:space="preserve"> clinical management algorithm</w:t>
      </w:r>
      <w:r w:rsidRPr="00404C00">
        <w:rPr>
          <w:rFonts w:ascii="Calibri" w:eastAsia="Times New Roman" w:hAnsi="Calibri" w:cs="Times New Roman"/>
          <w:color w:val="auto"/>
          <w:szCs w:val="20"/>
          <w:lang w:eastAsia="en-AU"/>
        </w:rPr>
        <w:t xml:space="preserve"> </w:t>
      </w:r>
      <w:r w:rsidRPr="00404C00">
        <w:rPr>
          <w:rFonts w:ascii="Arial Narrow" w:eastAsia="Times New Roman" w:hAnsi="Arial Narrow" w:cs="Arial"/>
          <w:b/>
          <w:bCs/>
          <w:iCs/>
          <w:color w:val="auto"/>
          <w:sz w:val="20"/>
          <w:szCs w:val="20"/>
        </w:rPr>
        <w:t>for testing and treatment for advanced NSCLC NSQ/NOS</w:t>
      </w:r>
    </w:p>
    <w:p w14:paraId="50BBE906" w14:textId="0DA27F6D" w:rsidR="00404C00" w:rsidRPr="00404C00" w:rsidRDefault="00404C00" w:rsidP="0093087D">
      <w:pPr>
        <w:keepNext/>
        <w:keepLines/>
        <w:widowControl w:val="0"/>
        <w:spacing w:before="0" w:after="240"/>
        <w:contextualSpacing/>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rPr>
        <w:t xml:space="preserve">Abbreviations: </w:t>
      </w:r>
      <w:r w:rsidRPr="00404C00">
        <w:rPr>
          <w:rFonts w:ascii="Arial Narrow" w:eastAsia="Times New Roman" w:hAnsi="Arial Narrow" w:cs="Arial"/>
          <w:i/>
          <w:snapToGrid w:val="0"/>
          <w:color w:val="auto"/>
          <w:sz w:val="18"/>
          <w:szCs w:val="20"/>
        </w:rPr>
        <w:t>ALK</w:t>
      </w:r>
      <w:r w:rsidRPr="00404C00">
        <w:rPr>
          <w:rFonts w:ascii="Arial Narrow" w:eastAsia="Times New Roman" w:hAnsi="Arial Narrow" w:cs="Arial"/>
          <w:snapToGrid w:val="0"/>
          <w:color w:val="auto"/>
          <w:sz w:val="18"/>
          <w:szCs w:val="20"/>
        </w:rPr>
        <w:t xml:space="preserve">=anaplastic lymphoma kinase; alt=alteration; </w:t>
      </w:r>
      <w:r w:rsidRPr="00404C00">
        <w:rPr>
          <w:rFonts w:ascii="Arial Narrow" w:eastAsia="Times New Roman" w:hAnsi="Arial Narrow" w:cs="Arial"/>
          <w:i/>
          <w:snapToGrid w:val="0"/>
          <w:color w:val="auto"/>
          <w:sz w:val="18"/>
          <w:szCs w:val="20"/>
        </w:rPr>
        <w:t>EGFR</w:t>
      </w:r>
      <w:r w:rsidRPr="00404C00">
        <w:rPr>
          <w:rFonts w:ascii="Arial Narrow" w:eastAsia="Times New Roman" w:hAnsi="Arial Narrow" w:cs="Arial"/>
          <w:snapToGrid w:val="0"/>
          <w:color w:val="auto"/>
          <w:sz w:val="18"/>
          <w:szCs w:val="20"/>
        </w:rPr>
        <w:t>=epidermal growth factor receptor;</w:t>
      </w:r>
      <w:r w:rsidRPr="00404C00">
        <w:rPr>
          <w:rFonts w:ascii="Arial Narrow" w:eastAsia="Times New Roman" w:hAnsi="Arial Narrow" w:cs="Arial"/>
          <w:i/>
          <w:snapToGrid w:val="0"/>
          <w:color w:val="auto"/>
          <w:sz w:val="18"/>
          <w:szCs w:val="20"/>
        </w:rPr>
        <w:t xml:space="preserve"> </w:t>
      </w:r>
      <w:r w:rsidRPr="00436674">
        <w:rPr>
          <w:rFonts w:ascii="Arial Narrow" w:eastAsia="Times New Roman" w:hAnsi="Arial Narrow" w:cs="Arial"/>
          <w:iCs/>
          <w:snapToGrid w:val="0"/>
          <w:color w:val="auto"/>
          <w:sz w:val="18"/>
          <w:szCs w:val="20"/>
        </w:rPr>
        <w:t>FISH</w:t>
      </w:r>
      <w:r w:rsidRPr="00404C00">
        <w:rPr>
          <w:rFonts w:ascii="Arial Narrow" w:eastAsia="Times New Roman" w:hAnsi="Arial Narrow" w:cs="Arial"/>
          <w:snapToGrid w:val="0"/>
          <w:color w:val="auto"/>
          <w:sz w:val="18"/>
          <w:szCs w:val="20"/>
        </w:rPr>
        <w:t xml:space="preserve">=fluorescence </w:t>
      </w:r>
      <w:r w:rsidRPr="00404C00">
        <w:rPr>
          <w:rFonts w:ascii="Arial Narrow" w:eastAsia="Times New Roman" w:hAnsi="Arial Narrow" w:cs="Arial"/>
          <w:i/>
          <w:snapToGrid w:val="0"/>
          <w:color w:val="auto"/>
          <w:sz w:val="18"/>
          <w:szCs w:val="20"/>
        </w:rPr>
        <w:t>in situ</w:t>
      </w:r>
      <w:r w:rsidRPr="00404C00">
        <w:rPr>
          <w:rFonts w:ascii="Arial Narrow" w:eastAsia="Times New Roman" w:hAnsi="Arial Narrow" w:cs="Arial"/>
          <w:snapToGrid w:val="0"/>
          <w:color w:val="auto"/>
          <w:sz w:val="18"/>
          <w:szCs w:val="20"/>
        </w:rPr>
        <w:t xml:space="preserve"> hybridisation; IHC=immunohistochemistry; NSCLC=non-small cell lung cancer; </w:t>
      </w:r>
      <w:r w:rsidRPr="00404C00">
        <w:rPr>
          <w:rFonts w:ascii="Arial Narrow" w:eastAsia="Times New Roman" w:hAnsi="Arial Narrow" w:cs="Arial"/>
          <w:i/>
          <w:snapToGrid w:val="0"/>
          <w:color w:val="auto"/>
          <w:sz w:val="18"/>
          <w:szCs w:val="20"/>
        </w:rPr>
        <w:t>ROS-1</w:t>
      </w:r>
      <w:r w:rsidRPr="00404C00">
        <w:rPr>
          <w:rFonts w:ascii="Arial Narrow" w:eastAsia="Times New Roman" w:hAnsi="Arial Narrow" w:cs="Arial"/>
          <w:snapToGrid w:val="0"/>
          <w:color w:val="auto"/>
          <w:sz w:val="18"/>
          <w:szCs w:val="20"/>
        </w:rPr>
        <w:t>=ROS-1 receptor tyrosine kinase; TKI=tyrosine kinase inhibitor</w:t>
      </w:r>
      <w:r w:rsidRPr="00404C00">
        <w:rPr>
          <w:rFonts w:ascii="Arial Narrow" w:eastAsia="Times New Roman" w:hAnsi="Arial Narrow" w:cs="Arial"/>
          <w:snapToGrid w:val="0"/>
          <w:color w:val="auto"/>
          <w:sz w:val="18"/>
          <w:szCs w:val="20"/>
          <w:lang w:val="en-GB" w:eastAsia="ja-JP"/>
        </w:rPr>
        <w:t xml:space="preserve">. Pembrolizumab is listed on the PBS for treatment naïve patients with metastatic NSCLC, who have no </w:t>
      </w:r>
      <w:r w:rsidRPr="00404C00">
        <w:rPr>
          <w:rFonts w:ascii="Arial Narrow" w:eastAsia="Times New Roman" w:hAnsi="Arial Narrow" w:cs="Arial"/>
          <w:snapToGrid w:val="0"/>
          <w:color w:val="auto"/>
          <w:sz w:val="18"/>
          <w:szCs w:val="20"/>
        </w:rPr>
        <w:t xml:space="preserve">evidence of </w:t>
      </w:r>
      <w:r w:rsidRPr="00404C00">
        <w:rPr>
          <w:rFonts w:ascii="Arial Narrow" w:eastAsia="Times New Roman" w:hAnsi="Arial Narrow" w:cs="Arial"/>
          <w:i/>
          <w:snapToGrid w:val="0"/>
          <w:color w:val="auto"/>
          <w:sz w:val="18"/>
          <w:szCs w:val="20"/>
        </w:rPr>
        <w:t>EGFR</w:t>
      </w:r>
      <w:r w:rsidRPr="00404C00">
        <w:rPr>
          <w:rFonts w:ascii="Arial Narrow" w:eastAsia="Times New Roman" w:hAnsi="Arial Narrow" w:cs="Arial"/>
          <w:snapToGrid w:val="0"/>
          <w:color w:val="auto"/>
          <w:sz w:val="18"/>
          <w:szCs w:val="20"/>
        </w:rPr>
        <w:t xml:space="preserve"> </w:t>
      </w:r>
      <w:r w:rsidR="00436674">
        <w:rPr>
          <w:rFonts w:ascii="Arial Narrow" w:eastAsia="Times New Roman" w:hAnsi="Arial Narrow" w:cs="Arial"/>
          <w:snapToGrid w:val="0"/>
          <w:color w:val="auto"/>
          <w:sz w:val="18"/>
          <w:szCs w:val="20"/>
        </w:rPr>
        <w:t>patho</w:t>
      </w:r>
      <w:r w:rsidRPr="00404C00">
        <w:rPr>
          <w:rFonts w:ascii="Arial Narrow" w:eastAsia="Times New Roman" w:hAnsi="Arial Narrow" w:cs="Arial"/>
          <w:snapToGrid w:val="0"/>
          <w:color w:val="auto"/>
          <w:sz w:val="18"/>
          <w:szCs w:val="20"/>
        </w:rPr>
        <w:t>gen</w:t>
      </w:r>
      <w:r w:rsidR="00436674">
        <w:rPr>
          <w:rFonts w:ascii="Arial Narrow" w:eastAsia="Times New Roman" w:hAnsi="Arial Narrow" w:cs="Arial"/>
          <w:snapToGrid w:val="0"/>
          <w:color w:val="auto"/>
          <w:sz w:val="18"/>
          <w:szCs w:val="20"/>
        </w:rPr>
        <w:t>ic variant</w:t>
      </w:r>
      <w:r w:rsidRPr="00404C00">
        <w:rPr>
          <w:rFonts w:ascii="Arial Narrow" w:eastAsia="Times New Roman" w:hAnsi="Arial Narrow" w:cs="Arial"/>
          <w:snapToGrid w:val="0"/>
          <w:color w:val="auto"/>
          <w:sz w:val="18"/>
          <w:szCs w:val="20"/>
        </w:rPr>
        <w:t xml:space="preserve">, </w:t>
      </w:r>
      <w:r w:rsidRPr="00404C00">
        <w:rPr>
          <w:rFonts w:ascii="Arial Narrow" w:eastAsia="Times New Roman" w:hAnsi="Arial Narrow" w:cs="Arial"/>
          <w:i/>
          <w:snapToGrid w:val="0"/>
          <w:color w:val="auto"/>
          <w:sz w:val="18"/>
          <w:szCs w:val="20"/>
        </w:rPr>
        <w:t>ALK</w:t>
      </w:r>
      <w:r w:rsidRPr="00404C00">
        <w:rPr>
          <w:rFonts w:ascii="Arial Narrow" w:eastAsia="Times New Roman" w:hAnsi="Arial Narrow" w:cs="Arial"/>
          <w:snapToGrid w:val="0"/>
          <w:color w:val="auto"/>
          <w:sz w:val="18"/>
          <w:szCs w:val="20"/>
        </w:rPr>
        <w:t xml:space="preserve"> gene rearrangement or a </w:t>
      </w:r>
      <w:r w:rsidRPr="00404C00">
        <w:rPr>
          <w:rFonts w:ascii="Arial Narrow" w:eastAsia="Times New Roman" w:hAnsi="Arial Narrow" w:cs="Arial"/>
          <w:i/>
          <w:snapToGrid w:val="0"/>
          <w:color w:val="auto"/>
          <w:sz w:val="18"/>
          <w:szCs w:val="20"/>
        </w:rPr>
        <w:t>ROS-1</w:t>
      </w:r>
      <w:r w:rsidRPr="00404C00">
        <w:rPr>
          <w:rFonts w:ascii="Arial Narrow" w:eastAsia="Times New Roman" w:hAnsi="Arial Narrow" w:cs="Arial"/>
          <w:snapToGrid w:val="0"/>
          <w:color w:val="auto"/>
          <w:sz w:val="18"/>
          <w:szCs w:val="20"/>
        </w:rPr>
        <w:t xml:space="preserve"> gene rearrangement</w:t>
      </w:r>
    </w:p>
    <w:p w14:paraId="53E77CFF" w14:textId="77777777" w:rsidR="00404C00" w:rsidRPr="00404C00" w:rsidRDefault="00404C00" w:rsidP="003C0691">
      <w:pPr>
        <w:widowControl w:val="0"/>
        <w:spacing w:before="0" w:after="240"/>
        <w:contextualSpacing/>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rPr>
        <w:t>Source: ADAR, Figure 1-5.</w:t>
      </w:r>
    </w:p>
    <w:p w14:paraId="72B3301B" w14:textId="77777777" w:rsidR="00404C00" w:rsidRPr="00404C00" w:rsidRDefault="00404C00" w:rsidP="0093087D">
      <w:pPr>
        <w:keepNext/>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noProof/>
          <w:color w:val="auto"/>
          <w:szCs w:val="20"/>
          <w:lang w:eastAsia="en-AU"/>
        </w:rPr>
        <w:lastRenderedPageBreak/>
        <w:drawing>
          <wp:inline distT="0" distB="0" distL="0" distR="0" wp14:anchorId="4806D946" wp14:editId="43C57369">
            <wp:extent cx="5482893" cy="5451895"/>
            <wp:effectExtent l="0" t="0" r="3810" b="0"/>
            <wp:docPr id="1" name="Picture 1" descr="ADAR-proposed clinical management for testing and treatment of aNSCLC after inclusion of METexon14 skipping alteration test for NSQ/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AR-proposed clinical management for testing and treatment of aNSCLC after inclusion of METexon14 skipping alteration test for NSQ/NOS"/>
                    <pic:cNvPicPr/>
                  </pic:nvPicPr>
                  <pic:blipFill>
                    <a:blip r:embed="rId11">
                      <a:extLst>
                        <a:ext uri="{28A0092B-C50C-407E-A947-70E740481C1C}">
                          <a14:useLocalDpi xmlns:a14="http://schemas.microsoft.com/office/drawing/2010/main" val="0"/>
                        </a:ext>
                      </a:extLst>
                    </a:blip>
                    <a:stretch>
                      <a:fillRect/>
                    </a:stretch>
                  </pic:blipFill>
                  <pic:spPr>
                    <a:xfrm>
                      <a:off x="0" y="0"/>
                      <a:ext cx="5482893" cy="5451895"/>
                    </a:xfrm>
                    <a:prstGeom prst="rect">
                      <a:avLst/>
                    </a:prstGeom>
                  </pic:spPr>
                </pic:pic>
              </a:graphicData>
            </a:graphic>
          </wp:inline>
        </w:drawing>
      </w:r>
    </w:p>
    <w:p w14:paraId="5F49641B" w14:textId="2DFF355E" w:rsidR="00404C00" w:rsidRPr="00404C00" w:rsidRDefault="00404C00" w:rsidP="0093087D">
      <w:pPr>
        <w:keepNext/>
        <w:spacing w:before="0" w:after="40"/>
        <w:jc w:val="left"/>
        <w:outlineLvl w:val="4"/>
        <w:rPr>
          <w:rFonts w:ascii="Arial Narrow" w:eastAsia="Times New Roman" w:hAnsi="Arial Narrow" w:cs="Arial"/>
          <w:bCs/>
          <w:iCs/>
          <w:color w:val="auto"/>
          <w:sz w:val="20"/>
          <w:szCs w:val="20"/>
        </w:rPr>
      </w:pPr>
      <w:bookmarkStart w:id="11" w:name="_Ref84003752"/>
      <w:r w:rsidRPr="00404C00">
        <w:rPr>
          <w:rFonts w:ascii="Arial Narrow" w:eastAsia="Times New Roman" w:hAnsi="Arial Narrow" w:cs="Arial"/>
          <w:b/>
          <w:bCs/>
          <w:iCs/>
          <w:color w:val="auto"/>
          <w:sz w:val="20"/>
          <w:szCs w:val="20"/>
        </w:rPr>
        <w:t xml:space="preserve">Figure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Figure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2</w:t>
      </w:r>
      <w:r w:rsidRPr="00404C00">
        <w:rPr>
          <w:rFonts w:ascii="Arial Narrow" w:eastAsia="Times New Roman" w:hAnsi="Arial Narrow" w:cs="Arial"/>
          <w:b/>
          <w:bCs/>
          <w:iCs/>
          <w:noProof/>
          <w:color w:val="auto"/>
          <w:sz w:val="20"/>
          <w:szCs w:val="20"/>
        </w:rPr>
        <w:fldChar w:fldCharType="end"/>
      </w:r>
      <w:bookmarkEnd w:id="11"/>
      <w:r w:rsidRPr="00404C00">
        <w:rPr>
          <w:rFonts w:ascii="Arial Narrow" w:eastAsia="Times New Roman" w:hAnsi="Arial Narrow" w:cs="Arial"/>
          <w:b/>
          <w:bCs/>
          <w:iCs/>
          <w:color w:val="auto"/>
          <w:sz w:val="20"/>
          <w:szCs w:val="20"/>
        </w:rPr>
        <w:tab/>
      </w:r>
      <w:r w:rsidR="002D4671">
        <w:rPr>
          <w:rFonts w:ascii="Arial Narrow" w:eastAsia="Times New Roman" w:hAnsi="Arial Narrow" w:cs="Arial"/>
          <w:b/>
          <w:bCs/>
          <w:iCs/>
          <w:color w:val="auto"/>
          <w:sz w:val="20"/>
          <w:szCs w:val="20"/>
        </w:rPr>
        <w:t>ADAR-</w:t>
      </w:r>
      <w:r w:rsidR="002D4671" w:rsidRPr="00404C00">
        <w:rPr>
          <w:rFonts w:ascii="Arial Narrow" w:eastAsia="Times New Roman" w:hAnsi="Arial Narrow" w:cs="Arial"/>
          <w:b/>
          <w:bCs/>
          <w:iCs/>
          <w:color w:val="auto"/>
          <w:sz w:val="20"/>
          <w:szCs w:val="20"/>
          <w:u w:val="single"/>
        </w:rPr>
        <w:t>p</w:t>
      </w:r>
      <w:r w:rsidRPr="00404C00">
        <w:rPr>
          <w:rFonts w:ascii="Arial Narrow" w:eastAsia="Times New Roman" w:hAnsi="Arial Narrow" w:cs="Arial"/>
          <w:b/>
          <w:bCs/>
          <w:iCs/>
          <w:color w:val="auto"/>
          <w:sz w:val="20"/>
          <w:szCs w:val="20"/>
          <w:u w:val="single"/>
        </w:rPr>
        <w:t>roposed</w:t>
      </w:r>
      <w:r w:rsidRPr="00404C00">
        <w:rPr>
          <w:rFonts w:ascii="Arial Narrow" w:eastAsia="Times New Roman" w:hAnsi="Arial Narrow" w:cs="Arial"/>
          <w:b/>
          <w:bCs/>
          <w:iCs/>
          <w:color w:val="auto"/>
          <w:sz w:val="20"/>
          <w:szCs w:val="20"/>
        </w:rPr>
        <w:t xml:space="preserve"> clinical management for testing and treatment of </w:t>
      </w:r>
      <w:proofErr w:type="spellStart"/>
      <w:r w:rsidRPr="00404C00">
        <w:rPr>
          <w:rFonts w:ascii="Arial Narrow" w:eastAsia="Times New Roman" w:hAnsi="Arial Narrow" w:cs="Arial"/>
          <w:b/>
          <w:bCs/>
          <w:iCs/>
          <w:color w:val="auto"/>
          <w:sz w:val="20"/>
          <w:szCs w:val="20"/>
        </w:rPr>
        <w:t>aNSCLC</w:t>
      </w:r>
      <w:proofErr w:type="spellEnd"/>
      <w:r w:rsidRPr="00404C00">
        <w:rPr>
          <w:rFonts w:ascii="Arial Narrow" w:eastAsia="Times New Roman" w:hAnsi="Arial Narrow" w:cs="Arial"/>
          <w:b/>
          <w:bCs/>
          <w:iCs/>
          <w:color w:val="auto"/>
          <w:sz w:val="20"/>
          <w:szCs w:val="20"/>
        </w:rPr>
        <w:t xml:space="preserve"> after inclusion of </w:t>
      </w:r>
      <w:r w:rsidRPr="00404C00">
        <w:rPr>
          <w:rFonts w:ascii="Arial Narrow" w:eastAsia="Times New Roman" w:hAnsi="Arial Narrow" w:cs="Arial"/>
          <w:b/>
          <w:bCs/>
          <w:i/>
          <w:iCs/>
          <w:color w:val="auto"/>
          <w:sz w:val="20"/>
          <w:szCs w:val="20"/>
        </w:rPr>
        <w:t>MET</w:t>
      </w:r>
      <w:r w:rsidRPr="00404C00">
        <w:rPr>
          <w:rFonts w:ascii="Arial Narrow" w:eastAsia="Times New Roman" w:hAnsi="Arial Narrow" w:cs="Arial"/>
          <w:b/>
          <w:bCs/>
          <w:iCs/>
          <w:color w:val="auto"/>
          <w:sz w:val="20"/>
          <w:szCs w:val="20"/>
        </w:rPr>
        <w:t>exon14</w:t>
      </w:r>
      <w:r w:rsidR="00436674">
        <w:rPr>
          <w:rFonts w:ascii="Arial Narrow" w:eastAsia="Times New Roman" w:hAnsi="Arial Narrow" w:cs="Arial"/>
          <w:b/>
          <w:bCs/>
          <w:iCs/>
          <w:color w:val="auto"/>
          <w:sz w:val="20"/>
          <w:szCs w:val="20"/>
        </w:rPr>
        <w:t>sk</w:t>
      </w:r>
      <w:r w:rsidRPr="00404C00">
        <w:rPr>
          <w:rFonts w:ascii="Arial Narrow" w:eastAsia="Times New Roman" w:hAnsi="Arial Narrow" w:cs="Arial"/>
          <w:b/>
          <w:bCs/>
          <w:iCs/>
          <w:color w:val="auto"/>
          <w:sz w:val="20"/>
          <w:szCs w:val="20"/>
        </w:rPr>
        <w:t xml:space="preserve"> test for NSQ/NOS</w:t>
      </w:r>
    </w:p>
    <w:p w14:paraId="1D925A05" w14:textId="29CABE6F" w:rsidR="00404C00" w:rsidRPr="00404C00" w:rsidRDefault="00404C00" w:rsidP="0093087D">
      <w:pPr>
        <w:widowControl w:val="0"/>
        <w:spacing w:before="0" w:after="240"/>
        <w:contextualSpacing/>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lang w:val="en-GB" w:eastAsia="ja-JP"/>
        </w:rPr>
        <w:t xml:space="preserve">Abbreviations: </w:t>
      </w:r>
      <w:r w:rsidRPr="00404C00">
        <w:rPr>
          <w:rFonts w:ascii="Arial Narrow" w:eastAsia="Times New Roman" w:hAnsi="Arial Narrow" w:cs="Arial"/>
          <w:i/>
          <w:snapToGrid w:val="0"/>
          <w:color w:val="auto"/>
          <w:sz w:val="18"/>
          <w:szCs w:val="20"/>
        </w:rPr>
        <w:t>ALK</w:t>
      </w:r>
      <w:r w:rsidRPr="00404C00">
        <w:rPr>
          <w:rFonts w:ascii="Arial Narrow" w:eastAsia="Times New Roman" w:hAnsi="Arial Narrow" w:cs="Arial"/>
          <w:snapToGrid w:val="0"/>
          <w:color w:val="auto"/>
          <w:sz w:val="18"/>
          <w:szCs w:val="20"/>
        </w:rPr>
        <w:t xml:space="preserve">=anaplastic lymphoma kinase; alt=alteration; </w:t>
      </w:r>
      <w:r w:rsidRPr="00404C00">
        <w:rPr>
          <w:rFonts w:ascii="Arial Narrow" w:eastAsia="Times New Roman" w:hAnsi="Arial Narrow" w:cs="Arial"/>
          <w:i/>
          <w:snapToGrid w:val="0"/>
          <w:color w:val="auto"/>
          <w:sz w:val="18"/>
          <w:szCs w:val="20"/>
        </w:rPr>
        <w:t>EGFR</w:t>
      </w:r>
      <w:r w:rsidRPr="00404C00">
        <w:rPr>
          <w:rFonts w:ascii="Arial Narrow" w:eastAsia="Times New Roman" w:hAnsi="Arial Narrow" w:cs="Arial"/>
          <w:snapToGrid w:val="0"/>
          <w:color w:val="auto"/>
          <w:sz w:val="18"/>
          <w:szCs w:val="20"/>
        </w:rPr>
        <w:t>=epidermal growth factor receptor;</w:t>
      </w:r>
      <w:r w:rsidRPr="00404C00">
        <w:rPr>
          <w:rFonts w:ascii="Arial Narrow" w:eastAsia="Times New Roman" w:hAnsi="Arial Narrow" w:cs="Arial"/>
          <w:i/>
          <w:snapToGrid w:val="0"/>
          <w:color w:val="auto"/>
          <w:sz w:val="18"/>
          <w:szCs w:val="20"/>
        </w:rPr>
        <w:t xml:space="preserve"> FISH</w:t>
      </w:r>
      <w:r w:rsidRPr="00404C00">
        <w:rPr>
          <w:rFonts w:ascii="Arial Narrow" w:eastAsia="Times New Roman" w:hAnsi="Arial Narrow" w:cs="Arial"/>
          <w:snapToGrid w:val="0"/>
          <w:color w:val="auto"/>
          <w:sz w:val="18"/>
          <w:szCs w:val="20"/>
        </w:rPr>
        <w:t xml:space="preserve">=fluorescence </w:t>
      </w:r>
      <w:r w:rsidRPr="00404C00">
        <w:rPr>
          <w:rFonts w:ascii="Arial Narrow" w:eastAsia="Times New Roman" w:hAnsi="Arial Narrow" w:cs="Arial"/>
          <w:i/>
          <w:snapToGrid w:val="0"/>
          <w:color w:val="auto"/>
          <w:sz w:val="18"/>
          <w:szCs w:val="20"/>
        </w:rPr>
        <w:t>in situ</w:t>
      </w:r>
      <w:r w:rsidRPr="00404C00">
        <w:rPr>
          <w:rFonts w:ascii="Arial Narrow" w:eastAsia="Times New Roman" w:hAnsi="Arial Narrow" w:cs="Arial"/>
          <w:snapToGrid w:val="0"/>
          <w:color w:val="auto"/>
          <w:sz w:val="18"/>
          <w:szCs w:val="20"/>
        </w:rPr>
        <w:t xml:space="preserve"> hybridisation; IHC=immunohistochemistry; </w:t>
      </w:r>
      <w:r w:rsidRPr="00404C00">
        <w:rPr>
          <w:rFonts w:ascii="Arial Narrow" w:eastAsia="Times New Roman" w:hAnsi="Arial Narrow" w:cs="Arial"/>
          <w:i/>
          <w:snapToGrid w:val="0"/>
          <w:color w:val="auto"/>
          <w:sz w:val="18"/>
          <w:szCs w:val="20"/>
        </w:rPr>
        <w:t>MET</w:t>
      </w:r>
      <w:r w:rsidRPr="00404C00">
        <w:rPr>
          <w:rFonts w:ascii="Arial Narrow" w:eastAsia="Times New Roman" w:hAnsi="Arial Narrow" w:cs="Arial"/>
          <w:snapToGrid w:val="0"/>
          <w:color w:val="auto"/>
          <w:sz w:val="18"/>
          <w:szCs w:val="20"/>
        </w:rPr>
        <w:t>ex14</w:t>
      </w:r>
      <w:r w:rsidR="00436674">
        <w:rPr>
          <w:rFonts w:ascii="Arial Narrow" w:eastAsia="Times New Roman" w:hAnsi="Arial Narrow" w:cs="Arial"/>
          <w:snapToGrid w:val="0"/>
          <w:color w:val="auto"/>
          <w:sz w:val="18"/>
          <w:szCs w:val="20"/>
        </w:rPr>
        <w:t>sk</w:t>
      </w:r>
      <w:r w:rsidRPr="00404C00">
        <w:rPr>
          <w:rFonts w:ascii="Arial Narrow" w:eastAsia="Times New Roman" w:hAnsi="Arial Narrow" w:cs="Arial"/>
          <w:snapToGrid w:val="0"/>
          <w:color w:val="auto"/>
          <w:sz w:val="18"/>
          <w:szCs w:val="20"/>
        </w:rPr>
        <w:t xml:space="preserve">=mesenchymal-epithelial transition exon 14 skipping alteration; NSCLC=non-small cell lung cancer; </w:t>
      </w:r>
      <w:r w:rsidRPr="00404C00">
        <w:rPr>
          <w:rFonts w:ascii="Arial Narrow" w:eastAsia="Times New Roman" w:hAnsi="Arial Narrow" w:cs="Arial"/>
          <w:i/>
          <w:snapToGrid w:val="0"/>
          <w:color w:val="auto"/>
          <w:sz w:val="18"/>
          <w:szCs w:val="20"/>
        </w:rPr>
        <w:t>ROS-1</w:t>
      </w:r>
      <w:r w:rsidRPr="00404C00">
        <w:rPr>
          <w:rFonts w:ascii="Arial Narrow" w:eastAsia="Times New Roman" w:hAnsi="Arial Narrow" w:cs="Arial"/>
          <w:snapToGrid w:val="0"/>
          <w:color w:val="auto"/>
          <w:sz w:val="18"/>
          <w:szCs w:val="20"/>
        </w:rPr>
        <w:t>=ROS-1 receptor tyrosine kinase; TKI=tyrosine kinase inhibitor</w:t>
      </w:r>
    </w:p>
    <w:p w14:paraId="12942F1C" w14:textId="32AF168A" w:rsidR="00404C00" w:rsidRPr="00404C00" w:rsidRDefault="00404C00" w:rsidP="0093087D">
      <w:pPr>
        <w:widowControl w:val="0"/>
        <w:spacing w:before="0" w:after="240"/>
        <w:contextualSpacing/>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lang w:val="en-GB"/>
        </w:rPr>
        <w:t xml:space="preserve">Pembrolizumab is listed on the PBS for treatment naïve patients with metastatic NSCLC, who have no </w:t>
      </w:r>
      <w:r w:rsidRPr="00404C00">
        <w:rPr>
          <w:rFonts w:ascii="Arial Narrow" w:eastAsia="Times New Roman" w:hAnsi="Arial Narrow" w:cs="Arial"/>
          <w:snapToGrid w:val="0"/>
          <w:color w:val="auto"/>
          <w:sz w:val="18"/>
          <w:szCs w:val="20"/>
        </w:rPr>
        <w:t xml:space="preserve">evidence of </w:t>
      </w:r>
      <w:r w:rsidRPr="00404C00">
        <w:rPr>
          <w:rFonts w:ascii="Arial Narrow" w:eastAsia="Times New Roman" w:hAnsi="Arial Narrow" w:cs="Arial"/>
          <w:i/>
          <w:snapToGrid w:val="0"/>
          <w:color w:val="auto"/>
          <w:sz w:val="18"/>
          <w:szCs w:val="20"/>
        </w:rPr>
        <w:t>EGFR</w:t>
      </w:r>
      <w:r w:rsidRPr="00404C00">
        <w:rPr>
          <w:rFonts w:ascii="Arial Narrow" w:eastAsia="Times New Roman" w:hAnsi="Arial Narrow" w:cs="Arial"/>
          <w:snapToGrid w:val="0"/>
          <w:color w:val="auto"/>
          <w:sz w:val="18"/>
          <w:szCs w:val="20"/>
        </w:rPr>
        <w:t xml:space="preserve"> </w:t>
      </w:r>
      <w:r w:rsidR="00436674">
        <w:rPr>
          <w:rFonts w:ascii="Arial Narrow" w:eastAsia="Times New Roman" w:hAnsi="Arial Narrow" w:cs="Arial"/>
          <w:snapToGrid w:val="0"/>
          <w:color w:val="auto"/>
          <w:sz w:val="18"/>
          <w:szCs w:val="20"/>
        </w:rPr>
        <w:t>patho</w:t>
      </w:r>
      <w:r w:rsidRPr="00404C00">
        <w:rPr>
          <w:rFonts w:ascii="Arial Narrow" w:eastAsia="Times New Roman" w:hAnsi="Arial Narrow" w:cs="Arial"/>
          <w:snapToGrid w:val="0"/>
          <w:color w:val="auto"/>
          <w:sz w:val="18"/>
          <w:szCs w:val="20"/>
        </w:rPr>
        <w:t>gen</w:t>
      </w:r>
      <w:r w:rsidR="00436674">
        <w:rPr>
          <w:rFonts w:ascii="Arial Narrow" w:eastAsia="Times New Roman" w:hAnsi="Arial Narrow" w:cs="Arial"/>
          <w:snapToGrid w:val="0"/>
          <w:color w:val="auto"/>
          <w:sz w:val="18"/>
          <w:szCs w:val="20"/>
        </w:rPr>
        <w:t>ic variant</w:t>
      </w:r>
      <w:r w:rsidRPr="00404C00">
        <w:rPr>
          <w:rFonts w:ascii="Arial Narrow" w:eastAsia="Times New Roman" w:hAnsi="Arial Narrow" w:cs="Arial"/>
          <w:snapToGrid w:val="0"/>
          <w:color w:val="auto"/>
          <w:sz w:val="18"/>
          <w:szCs w:val="20"/>
        </w:rPr>
        <w:t xml:space="preserve">, </w:t>
      </w:r>
      <w:r w:rsidRPr="00404C00">
        <w:rPr>
          <w:rFonts w:ascii="Arial Narrow" w:eastAsia="Times New Roman" w:hAnsi="Arial Narrow" w:cs="Arial"/>
          <w:i/>
          <w:snapToGrid w:val="0"/>
          <w:color w:val="auto"/>
          <w:sz w:val="18"/>
          <w:szCs w:val="20"/>
        </w:rPr>
        <w:t>ALK</w:t>
      </w:r>
      <w:r w:rsidRPr="00404C00">
        <w:rPr>
          <w:rFonts w:ascii="Arial Narrow" w:eastAsia="Times New Roman" w:hAnsi="Arial Narrow" w:cs="Arial"/>
          <w:snapToGrid w:val="0"/>
          <w:color w:val="auto"/>
          <w:sz w:val="18"/>
          <w:szCs w:val="20"/>
        </w:rPr>
        <w:t xml:space="preserve"> gene rearrangement or a </w:t>
      </w:r>
      <w:r w:rsidRPr="00404C00">
        <w:rPr>
          <w:rFonts w:ascii="Arial Narrow" w:eastAsia="Times New Roman" w:hAnsi="Arial Narrow" w:cs="Arial"/>
          <w:i/>
          <w:snapToGrid w:val="0"/>
          <w:color w:val="auto"/>
          <w:sz w:val="18"/>
          <w:szCs w:val="20"/>
        </w:rPr>
        <w:t>ROS-1</w:t>
      </w:r>
      <w:r w:rsidRPr="00404C00">
        <w:rPr>
          <w:rFonts w:ascii="Arial Narrow" w:eastAsia="Times New Roman" w:hAnsi="Arial Narrow" w:cs="Arial"/>
          <w:snapToGrid w:val="0"/>
          <w:color w:val="auto"/>
          <w:sz w:val="18"/>
          <w:szCs w:val="20"/>
        </w:rPr>
        <w:t xml:space="preserve"> gene rearrangement.</w:t>
      </w:r>
    </w:p>
    <w:p w14:paraId="59E00EFA" w14:textId="77777777" w:rsidR="00404C00" w:rsidRPr="00404C00" w:rsidRDefault="00404C00" w:rsidP="0093087D">
      <w:pPr>
        <w:widowControl w:val="0"/>
        <w:spacing w:before="0" w:after="240"/>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rPr>
        <w:t>Source: ADAR, Figure 1-6.</w:t>
      </w:r>
    </w:p>
    <w:p w14:paraId="03AB6371" w14:textId="0200793D"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proposed that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testing should be done at the time of diagnosis; it did not propose restricting use of the test to those with locally advanced or metastatic disease. The commentary stated that this corresponds with the MBS item for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testing (73337), which is also not restricted to patients with locally advanced or metastatic disease. However</w:t>
      </w:r>
      <w:r w:rsidR="00357238">
        <w:rPr>
          <w:rFonts w:ascii="Times New Roman" w:eastAsia="Times New Roman" w:hAnsi="Times New Roman" w:cs="Times New Roman"/>
          <w:color w:val="auto"/>
          <w:szCs w:val="20"/>
          <w:lang w:eastAsia="en-AU"/>
        </w:rPr>
        <w:t>,</w:t>
      </w:r>
      <w:r w:rsidRPr="00404C00">
        <w:rPr>
          <w:rFonts w:ascii="Times New Roman" w:eastAsia="Times New Roman" w:hAnsi="Times New Roman" w:cs="Times New Roman"/>
          <w:color w:val="auto"/>
          <w:szCs w:val="20"/>
          <w:lang w:eastAsia="en-AU"/>
        </w:rPr>
        <w:t xml:space="preserve"> it does not correspond with the population in the ADAR’s PICO, or the ADAR’s proposed financial impacts, which limited the testing population to adults (18 years or older) with confirmed locally advanced or metastatic NSCLC.</w:t>
      </w:r>
    </w:p>
    <w:p w14:paraId="21762345" w14:textId="77777777" w:rsidR="00404C00" w:rsidRPr="00404C00" w:rsidRDefault="00404C00" w:rsidP="0093087D">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In its pre-ESC response, the applicant stated that MBS funding for the test is being sought for patients with locally advanced or metastatic disease only. The applicant also added a proposed requirement for negative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w:t>
      </w:r>
      <w:r w:rsidRPr="00404C00">
        <w:rPr>
          <w:rFonts w:ascii="Times New Roman" w:eastAsia="Times New Roman" w:hAnsi="Times New Roman" w:cs="Times New Roman"/>
          <w:i/>
          <w:iCs/>
          <w:color w:val="auto"/>
          <w:szCs w:val="20"/>
          <w:lang w:eastAsia="en-AU"/>
        </w:rPr>
        <w:t>ALK</w:t>
      </w:r>
      <w:r w:rsidRPr="00404C00">
        <w:rPr>
          <w:rFonts w:ascii="Times New Roman" w:eastAsia="Times New Roman" w:hAnsi="Times New Roman" w:cs="Times New Roman"/>
          <w:color w:val="auto"/>
          <w:szCs w:val="20"/>
          <w:lang w:eastAsia="en-AU"/>
        </w:rPr>
        <w:t xml:space="preserve">, and </w:t>
      </w:r>
      <w:r w:rsidRPr="00404C00">
        <w:rPr>
          <w:rFonts w:ascii="Times New Roman" w:eastAsia="Times New Roman" w:hAnsi="Times New Roman" w:cs="Times New Roman"/>
          <w:i/>
          <w:iCs/>
          <w:color w:val="auto"/>
          <w:szCs w:val="20"/>
          <w:lang w:eastAsia="en-AU"/>
        </w:rPr>
        <w:t>ROS1</w:t>
      </w:r>
      <w:r w:rsidRPr="00404C00">
        <w:rPr>
          <w:rFonts w:ascii="Times New Roman" w:eastAsia="Times New Roman" w:hAnsi="Times New Roman" w:cs="Times New Roman"/>
          <w:color w:val="auto"/>
          <w:szCs w:val="20"/>
          <w:lang w:eastAsia="en-AU"/>
        </w:rPr>
        <w:t xml:space="preserve"> biomarker test results, which would reposition this test after those three biomarkers in the clinical management algorithm.</w:t>
      </w:r>
    </w:p>
    <w:p w14:paraId="291EDE7D" w14:textId="006D24D9" w:rsidR="00404C00" w:rsidRPr="00404C00" w:rsidRDefault="00404C00" w:rsidP="0093087D">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iCs/>
          <w:color w:val="auto"/>
          <w:szCs w:val="20"/>
          <w:lang w:eastAsia="en-AU"/>
        </w:rPr>
        <w:lastRenderedPageBreak/>
        <w:t xml:space="preserve">The commentary noted that in the future, testing for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exon14sk may be performed as part of the comprehensive genomic profiling of NSCLC patients, as proposed in MSAC application 1634</w:t>
      </w:r>
      <w:r w:rsidRPr="00404C00">
        <w:rPr>
          <w:rFonts w:ascii="Times New Roman" w:eastAsia="Times New Roman" w:hAnsi="Times New Roman" w:cs="Times New Roman"/>
          <w:iCs/>
          <w:color w:val="000000"/>
          <w:szCs w:val="20"/>
          <w:lang w:eastAsia="en-AU"/>
        </w:rPr>
        <w:t>.</w:t>
      </w:r>
      <w:r w:rsidRPr="00404C00">
        <w:rPr>
          <w:rFonts w:ascii="Times New Roman" w:eastAsia="Times New Roman" w:hAnsi="Times New Roman" w:cs="Times New Roman"/>
          <w:i/>
          <w:color w:val="000000"/>
          <w:szCs w:val="20"/>
          <w:lang w:eastAsia="en-AU"/>
        </w:rPr>
        <w:t xml:space="preserve"> </w:t>
      </w:r>
      <w:r w:rsidRPr="00404C00">
        <w:rPr>
          <w:rFonts w:ascii="Times New Roman" w:eastAsia="Times New Roman" w:hAnsi="Times New Roman" w:cs="Times New Roman"/>
          <w:iCs/>
          <w:color w:val="auto"/>
          <w:szCs w:val="20"/>
          <w:lang w:eastAsia="en-AU"/>
        </w:rPr>
        <w:t xml:space="preserve">Under the proposed item descriptor for application 1634, NSQ and NOS NSCLC patients would be eligible for comprehensive genomic profiling by NGS at the time of initial diagnosis, without restrictions based on stage of disease – replacing the proposed sequential testing algorithm with simultaneous testing. Although application 1634 is </w:t>
      </w:r>
      <w:r w:rsidR="00A53282">
        <w:rPr>
          <w:rFonts w:ascii="Times New Roman" w:eastAsia="Times New Roman" w:hAnsi="Times New Roman" w:cs="Times New Roman"/>
          <w:iCs/>
          <w:color w:val="auto"/>
          <w:szCs w:val="20"/>
          <w:lang w:eastAsia="en-AU"/>
        </w:rPr>
        <w:t>only for variants clinically actionable to be reported on for codependent medicines (</w:t>
      </w:r>
      <w:r w:rsidRPr="00404C00">
        <w:rPr>
          <w:rFonts w:ascii="Times New Roman" w:eastAsia="Times New Roman" w:hAnsi="Times New Roman" w:cs="Times New Roman"/>
          <w:iCs/>
          <w:color w:val="auto"/>
          <w:szCs w:val="20"/>
          <w:lang w:eastAsia="en-AU"/>
        </w:rPr>
        <w:t xml:space="preserve">currently only for the detection of </w:t>
      </w:r>
      <w:r w:rsidRPr="00404C00">
        <w:rPr>
          <w:rFonts w:ascii="Times New Roman" w:eastAsia="Times New Roman" w:hAnsi="Times New Roman" w:cs="Times New Roman"/>
          <w:i/>
          <w:color w:val="auto"/>
          <w:szCs w:val="20"/>
          <w:lang w:eastAsia="en-AU"/>
        </w:rPr>
        <w:t>EGFR</w:t>
      </w:r>
      <w:r w:rsidRPr="00404C00">
        <w:rPr>
          <w:rFonts w:ascii="Times New Roman" w:eastAsia="Times New Roman" w:hAnsi="Times New Roman" w:cs="Times New Roman"/>
          <w:iCs/>
          <w:color w:val="auto"/>
          <w:szCs w:val="20"/>
          <w:lang w:eastAsia="en-AU"/>
        </w:rPr>
        <w:t xml:space="preserve">, </w:t>
      </w:r>
      <w:r w:rsidRPr="00404C00">
        <w:rPr>
          <w:rFonts w:ascii="Times New Roman" w:eastAsia="Times New Roman" w:hAnsi="Times New Roman" w:cs="Times New Roman"/>
          <w:i/>
          <w:color w:val="auto"/>
          <w:szCs w:val="20"/>
          <w:lang w:eastAsia="en-AU"/>
        </w:rPr>
        <w:t>ALK</w:t>
      </w:r>
      <w:r w:rsidRPr="00404C00">
        <w:rPr>
          <w:rFonts w:ascii="Times New Roman" w:eastAsia="Times New Roman" w:hAnsi="Times New Roman" w:cs="Times New Roman"/>
          <w:iCs/>
          <w:color w:val="auto"/>
          <w:szCs w:val="20"/>
          <w:lang w:eastAsia="en-AU"/>
        </w:rPr>
        <w:t xml:space="preserve"> and </w:t>
      </w:r>
      <w:r w:rsidRPr="00404C00">
        <w:rPr>
          <w:rFonts w:ascii="Times New Roman" w:eastAsia="Times New Roman" w:hAnsi="Times New Roman" w:cs="Times New Roman"/>
          <w:i/>
          <w:color w:val="auto"/>
          <w:szCs w:val="20"/>
          <w:lang w:eastAsia="en-AU"/>
        </w:rPr>
        <w:t>ROS1</w:t>
      </w:r>
      <w:r w:rsidRPr="00404C00">
        <w:rPr>
          <w:rFonts w:ascii="Times New Roman" w:eastAsia="Times New Roman" w:hAnsi="Times New Roman" w:cs="Times New Roman"/>
          <w:iCs/>
          <w:color w:val="auto"/>
          <w:szCs w:val="20"/>
          <w:lang w:eastAsia="en-AU"/>
        </w:rPr>
        <w:t xml:space="preserve"> biomarkers</w:t>
      </w:r>
      <w:r w:rsidR="00A53282">
        <w:rPr>
          <w:rFonts w:ascii="Times New Roman" w:eastAsia="Times New Roman" w:hAnsi="Times New Roman" w:cs="Times New Roman"/>
          <w:iCs/>
          <w:color w:val="auto"/>
          <w:szCs w:val="20"/>
          <w:lang w:eastAsia="en-AU"/>
        </w:rPr>
        <w:t>)</w:t>
      </w:r>
      <w:r w:rsidRPr="00404C00">
        <w:rPr>
          <w:rFonts w:ascii="Times New Roman" w:eastAsia="Times New Roman" w:hAnsi="Times New Roman" w:cs="Times New Roman"/>
          <w:iCs/>
          <w:color w:val="auto"/>
          <w:szCs w:val="20"/>
          <w:lang w:eastAsia="en-AU"/>
        </w:rPr>
        <w:t xml:space="preserve">, PASC noted that the applicant foreshadowed additional biomarkers could </w:t>
      </w:r>
      <w:r w:rsidR="00A53282">
        <w:rPr>
          <w:rFonts w:ascii="Times New Roman" w:eastAsia="Times New Roman" w:hAnsi="Times New Roman" w:cs="Times New Roman"/>
          <w:iCs/>
          <w:color w:val="auto"/>
          <w:szCs w:val="20"/>
          <w:lang w:eastAsia="en-AU"/>
        </w:rPr>
        <w:t xml:space="preserve">also </w:t>
      </w:r>
      <w:r w:rsidRPr="00404C00">
        <w:rPr>
          <w:rFonts w:ascii="Times New Roman" w:eastAsia="Times New Roman" w:hAnsi="Times New Roman" w:cs="Times New Roman"/>
          <w:iCs/>
          <w:color w:val="auto"/>
          <w:szCs w:val="20"/>
          <w:lang w:eastAsia="en-AU"/>
        </w:rPr>
        <w:t xml:space="preserve">be reported on in the near future. If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 xml:space="preserve"> is included in the comprehensive genomic profiling, its cost would be included in the NGS fee.</w:t>
      </w:r>
    </w:p>
    <w:p w14:paraId="59E1BD4B" w14:textId="6E94A263" w:rsidR="00404C00" w:rsidRPr="0093087D" w:rsidRDefault="00404C00" w:rsidP="0093087D">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Comparator</w:t>
      </w:r>
    </w:p>
    <w:p w14:paraId="44BBB542" w14:textId="197F7339" w:rsidR="00404C00" w:rsidRPr="0093087D"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As the proposed test is used in addition to currently available tests, the comparator is no genetic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 testing.</w:t>
      </w:r>
    </w:p>
    <w:p w14:paraId="69878935" w14:textId="3248C688" w:rsidR="00404C00" w:rsidRPr="00191AEE" w:rsidRDefault="00404C00" w:rsidP="00191AEE">
      <w:pPr>
        <w:pStyle w:val="Heading1"/>
        <w:numPr>
          <w:ilvl w:val="0"/>
          <w:numId w:val="4"/>
        </w:numPr>
        <w:spacing w:before="240" w:after="240" w:line="240" w:lineRule="auto"/>
        <w:ind w:left="720" w:hanging="720"/>
        <w:rPr>
          <w:rFonts w:ascii="Arial" w:hAnsi="Arial" w:cs="Arial"/>
          <w:bCs/>
          <w:szCs w:val="28"/>
        </w:rPr>
      </w:pPr>
      <w:r w:rsidRPr="0093087D">
        <w:rPr>
          <w:rFonts w:ascii="Arial" w:hAnsi="Arial" w:cs="Arial"/>
          <w:bCs/>
          <w:szCs w:val="28"/>
        </w:rPr>
        <w:t>Comparative safety</w:t>
      </w:r>
    </w:p>
    <w:p w14:paraId="0FA7A9B9" w14:textId="77777777" w:rsidR="00404C00" w:rsidRPr="00404C00" w:rsidRDefault="00404C00" w:rsidP="0093087D">
      <w:pPr>
        <w:keepNext/>
        <w:keepLines/>
        <w:spacing w:before="0" w:after="40"/>
        <w:jc w:val="left"/>
        <w:outlineLvl w:val="1"/>
        <w:rPr>
          <w:rFonts w:ascii="Times New Roman" w:eastAsia="Times New Roman" w:hAnsi="Times New Roman" w:cs="Times New Roman"/>
          <w:b/>
          <w:bCs/>
          <w:color w:val="auto"/>
          <w:szCs w:val="26"/>
          <w:lang w:eastAsia="en-AU"/>
        </w:rPr>
      </w:pPr>
      <w:r w:rsidRPr="00404C00">
        <w:rPr>
          <w:rFonts w:ascii="Times New Roman" w:eastAsia="Times New Roman" w:hAnsi="Times New Roman" w:cs="Times New Roman"/>
          <w:b/>
          <w:bCs/>
          <w:color w:val="auto"/>
          <w:szCs w:val="26"/>
          <w:lang w:eastAsia="en-AU"/>
        </w:rPr>
        <w:t>Adverse events from testing</w:t>
      </w:r>
    </w:p>
    <w:p w14:paraId="2E26CE2A" w14:textId="77777777" w:rsidR="00404C00" w:rsidRPr="00404C00" w:rsidRDefault="00404C00" w:rsidP="0093087D">
      <w:pPr>
        <w:spacing w:before="0" w:after="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No safety issues were discussed in the ADAR, and no patient-relevant safety outcomes regarding the testing were specified in the PICO Confirmation. </w:t>
      </w:r>
      <w:r w:rsidRPr="00404C00">
        <w:rPr>
          <w:rFonts w:ascii="Times New Roman" w:eastAsia="Times New Roman" w:hAnsi="Times New Roman" w:cs="Times New Roman"/>
          <w:iCs/>
          <w:color w:val="auto"/>
          <w:szCs w:val="20"/>
          <w:lang w:eastAsia="en-AU"/>
        </w:rPr>
        <w:t>The commentary stated that no reported harms from the proposed test were identified, apart from the indirect harms produced when test results were inaccurate and led to inappropriately targeted treatment.</w:t>
      </w:r>
    </w:p>
    <w:p w14:paraId="21BFDE54" w14:textId="77777777" w:rsidR="00404C00" w:rsidRPr="00404C00" w:rsidRDefault="00404C00" w:rsidP="0093087D">
      <w:pPr>
        <w:spacing w:before="0" w:after="0"/>
        <w:jc w:val="left"/>
        <w:rPr>
          <w:rFonts w:ascii="Times New Roman" w:eastAsia="Times New Roman" w:hAnsi="Times New Roman" w:cs="Times New Roman"/>
          <w:i/>
          <w:color w:val="auto"/>
          <w:szCs w:val="20"/>
          <w:lang w:eastAsia="en-AU"/>
        </w:rPr>
      </w:pPr>
      <w:r w:rsidRPr="00404C00">
        <w:rPr>
          <w:rFonts w:ascii="Times New Roman" w:eastAsia="Times New Roman" w:hAnsi="Times New Roman" w:cs="Times New Roman"/>
          <w:iCs/>
          <w:color w:val="auto"/>
          <w:szCs w:val="20"/>
          <w:lang w:eastAsia="en-AU"/>
        </w:rPr>
        <w:t xml:space="preserve">The commentary stated that a re-biopsy should only be necessary if insufficient tumour material is available for the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exon14sk test. Any procedure where the skin is penetrated carries a risk of bleeding or infection or other complications. Re-biopsy rates have previously been considered by MSAC to be around 8–12%. However, as this is lung cancer, re-biopsy is associated with a higher rate of adverse events: one study reported that 30% of patients undergoing a lung biopsy suffered at least one Patient-Safety Indicator (PSI) event during their hospitalisation</w:t>
      </w:r>
      <w:r w:rsidRPr="00404C00">
        <w:rPr>
          <w:rFonts w:ascii="Times New Roman" w:eastAsia="Times New Roman" w:hAnsi="Times New Roman" w:cs="Times New Roman"/>
          <w:iCs/>
          <w:color w:val="auto"/>
          <w:szCs w:val="20"/>
          <w:vertAlign w:val="superscript"/>
          <w:lang w:eastAsia="en-AU"/>
        </w:rPr>
        <w:footnoteReference w:id="4"/>
      </w:r>
      <w:r w:rsidRPr="00404C00">
        <w:rPr>
          <w:rFonts w:ascii="Times New Roman" w:eastAsia="Times New Roman" w:hAnsi="Times New Roman" w:cs="Times New Roman"/>
          <w:iCs/>
          <w:color w:val="auto"/>
          <w:szCs w:val="20"/>
          <w:lang w:eastAsia="en-AU"/>
        </w:rPr>
        <w:t>. The most common PSIs reported were iatrogenic pneumothorax (10.9%), postoperative respiratory failure (9.8%), secondary diabetes or acute kidney failure (5.0%), and postoperative deep vein thrombosis or pulmonary embolus (4.0%).</w:t>
      </w:r>
    </w:p>
    <w:p w14:paraId="7CFA527C" w14:textId="77777777" w:rsidR="00404C00" w:rsidRPr="00404C00" w:rsidRDefault="00404C00" w:rsidP="00191AEE">
      <w:pPr>
        <w:keepNext/>
        <w:keepLines/>
        <w:spacing w:before="240" w:after="40"/>
        <w:jc w:val="left"/>
        <w:outlineLvl w:val="1"/>
        <w:rPr>
          <w:rFonts w:ascii="Times New Roman" w:eastAsia="Times New Roman" w:hAnsi="Times New Roman" w:cs="Times New Roman"/>
          <w:b/>
          <w:bCs/>
          <w:snapToGrid w:val="0"/>
          <w:color w:val="auto"/>
          <w:szCs w:val="26"/>
          <w:lang w:eastAsia="en-AU"/>
        </w:rPr>
      </w:pPr>
      <w:r w:rsidRPr="00404C00">
        <w:rPr>
          <w:rFonts w:ascii="Times New Roman" w:eastAsia="Times New Roman" w:hAnsi="Times New Roman" w:cs="Times New Roman"/>
          <w:b/>
          <w:bCs/>
          <w:snapToGrid w:val="0"/>
          <w:color w:val="auto"/>
          <w:szCs w:val="26"/>
          <w:lang w:eastAsia="en-AU"/>
        </w:rPr>
        <w:t>Adverse events from changes in management</w:t>
      </w:r>
    </w:p>
    <w:p w14:paraId="2A3B5D3A" w14:textId="77777777"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stated that tepotinib safety data from the VISION trial demonstrated a likely favourable adverse event profile compared to pembrolizumab + chemotherapy from the KN189 trial. The most common treatment emergent adverse event (TEAE) of Grade ≥3 severity associated with tepotinib was peripheral oedema, reported in 20 patients (7.8%). Other frequently reported TEAEs of Grade ≥3 severity were </w:t>
      </w:r>
      <w:proofErr w:type="spellStart"/>
      <w:r w:rsidRPr="00404C00">
        <w:rPr>
          <w:rFonts w:ascii="Times New Roman" w:eastAsia="Times New Roman" w:hAnsi="Times New Roman" w:cs="Times New Roman"/>
          <w:color w:val="auto"/>
          <w:szCs w:val="20"/>
          <w:lang w:eastAsia="en-AU"/>
        </w:rPr>
        <w:t>hypoalbuminaemia</w:t>
      </w:r>
      <w:proofErr w:type="spellEnd"/>
      <w:r w:rsidRPr="00404C00">
        <w:rPr>
          <w:rFonts w:ascii="Times New Roman" w:eastAsia="Times New Roman" w:hAnsi="Times New Roman" w:cs="Times New Roman"/>
          <w:color w:val="auto"/>
          <w:szCs w:val="20"/>
          <w:lang w:eastAsia="en-AU"/>
        </w:rPr>
        <w:t xml:space="preserve"> (14 patients; 5.5%), pleural effusion (13 patients; 5.1%), disease progression (12 patients; 4.7%), and pneumonia (11 patients; 4.3%). Compared to tepotinib, pembrolizumab + chemotherapy was associated with significantly higher rates of asthenia, diarrhoea, fatigue, neutropenia, anaemia and thrombocytopenia.</w:t>
      </w:r>
    </w:p>
    <w:p w14:paraId="3473A260" w14:textId="27820979" w:rsidR="00404C00" w:rsidRPr="00191AEE" w:rsidRDefault="00404C00" w:rsidP="00191AEE">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commentary considered that the naïve comparison of tepotinib and pembrolizumab + chemotherapy supports the ADAR’s claim of non-inferior safety. None of the safety data </w:t>
      </w:r>
      <w:r w:rsidRPr="00404C00">
        <w:rPr>
          <w:rFonts w:ascii="Times New Roman" w:eastAsia="Times New Roman" w:hAnsi="Times New Roman" w:cs="Times New Roman"/>
          <w:color w:val="auto"/>
          <w:szCs w:val="20"/>
          <w:lang w:eastAsia="en-AU"/>
        </w:rPr>
        <w:lastRenderedPageBreak/>
        <w:t xml:space="preserve">addressed the issue of false positive and false negative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test results, and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 status was unknown for the safety data from KN189.</w:t>
      </w:r>
    </w:p>
    <w:p w14:paraId="6AFD2BC8" w14:textId="0C75CEA9" w:rsidR="00404C00" w:rsidRPr="00191AEE" w:rsidRDefault="00404C00" w:rsidP="00191AEE">
      <w:pPr>
        <w:pStyle w:val="Heading1"/>
        <w:numPr>
          <w:ilvl w:val="0"/>
          <w:numId w:val="4"/>
        </w:numPr>
        <w:spacing w:before="240" w:after="240" w:line="240" w:lineRule="auto"/>
        <w:ind w:left="720" w:hanging="720"/>
        <w:rPr>
          <w:rFonts w:ascii="Arial" w:hAnsi="Arial" w:cs="Arial"/>
          <w:bCs/>
          <w:szCs w:val="28"/>
        </w:rPr>
      </w:pPr>
      <w:r w:rsidRPr="00191AEE">
        <w:rPr>
          <w:rFonts w:ascii="Arial" w:hAnsi="Arial" w:cs="Arial"/>
          <w:bCs/>
          <w:szCs w:val="28"/>
        </w:rPr>
        <w:t>Comparative effectiveness</w:t>
      </w:r>
    </w:p>
    <w:p w14:paraId="0D8589A0" w14:textId="77777777" w:rsidR="00404C00" w:rsidRPr="00404C00" w:rsidRDefault="00404C00" w:rsidP="0093087D">
      <w:pPr>
        <w:keepNext/>
        <w:keepLines/>
        <w:spacing w:before="0" w:after="40"/>
        <w:jc w:val="left"/>
        <w:outlineLvl w:val="1"/>
        <w:rPr>
          <w:rFonts w:ascii="Times New Roman" w:eastAsia="Times New Roman" w:hAnsi="Times New Roman" w:cs="Times New Roman"/>
          <w:b/>
          <w:bCs/>
          <w:snapToGrid w:val="0"/>
          <w:color w:val="auto"/>
          <w:szCs w:val="26"/>
          <w:lang w:eastAsia="en-AU"/>
        </w:rPr>
      </w:pPr>
      <w:r w:rsidRPr="00404C00">
        <w:rPr>
          <w:rFonts w:ascii="Times New Roman" w:eastAsia="Times New Roman" w:hAnsi="Times New Roman" w:cs="Times New Roman"/>
          <w:b/>
          <w:bCs/>
          <w:snapToGrid w:val="0"/>
          <w:color w:val="auto"/>
          <w:szCs w:val="26"/>
          <w:lang w:eastAsia="en-AU"/>
        </w:rPr>
        <w:t>Overview of the evidence base</w:t>
      </w:r>
    </w:p>
    <w:p w14:paraId="55BA7D40" w14:textId="622B40F7"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approach taken in the ADAR was to present linked evidence to support the claim that targeting of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 </w:t>
      </w:r>
      <w:r w:rsidR="00CD2E02">
        <w:rPr>
          <w:rFonts w:ascii="Times New Roman" w:eastAsia="Times New Roman" w:hAnsi="Times New Roman" w:cs="Times New Roman"/>
          <w:color w:val="auto"/>
          <w:szCs w:val="20"/>
          <w:lang w:eastAsia="en-AU"/>
        </w:rPr>
        <w:t>hyperactivation</w:t>
      </w:r>
      <w:r w:rsidRPr="00404C00">
        <w:rPr>
          <w:rFonts w:ascii="Times New Roman" w:eastAsia="Times New Roman" w:hAnsi="Times New Roman" w:cs="Times New Roman"/>
          <w:color w:val="auto"/>
          <w:szCs w:val="20"/>
          <w:lang w:eastAsia="en-AU"/>
        </w:rPr>
        <w:t xml:space="preserve"> with tepotinib will improve patient outcomes.</w:t>
      </w:r>
    </w:p>
    <w:p w14:paraId="6E63F642" w14:textId="1354BFE3" w:rsidR="00404C00" w:rsidRPr="00404C00" w:rsidRDefault="00404C00" w:rsidP="00191AEE">
      <w:pPr>
        <w:keepNext/>
        <w:spacing w:before="240" w:after="40"/>
        <w:jc w:val="left"/>
        <w:outlineLvl w:val="4"/>
        <w:rPr>
          <w:rFonts w:ascii="Arial Narrow" w:eastAsia="Times New Roman" w:hAnsi="Arial Narrow" w:cs="Arial"/>
          <w:b/>
          <w:bCs/>
          <w:iCs/>
          <w:color w:val="auto"/>
          <w:sz w:val="20"/>
          <w:szCs w:val="20"/>
        </w:rPr>
      </w:pPr>
      <w:r w:rsidRPr="00404C00">
        <w:rPr>
          <w:rFonts w:ascii="Arial Narrow" w:eastAsia="Times New Roman" w:hAnsi="Arial Narrow" w:cs="Arial"/>
          <w:b/>
          <w:bCs/>
          <w:iCs/>
          <w:color w:val="auto"/>
          <w:sz w:val="20"/>
          <w:szCs w:val="20"/>
        </w:rPr>
        <w:t xml:space="preserve">Table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Table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4</w:t>
      </w:r>
      <w:r w:rsidRPr="00404C00">
        <w:rPr>
          <w:rFonts w:ascii="Arial Narrow" w:eastAsia="Times New Roman" w:hAnsi="Arial Narrow" w:cs="Arial"/>
          <w:b/>
          <w:bCs/>
          <w:iCs/>
          <w:noProof/>
          <w:color w:val="auto"/>
          <w:sz w:val="20"/>
          <w:szCs w:val="20"/>
        </w:rPr>
        <w:fldChar w:fldCharType="end"/>
      </w:r>
      <w:r w:rsidRPr="00404C00">
        <w:rPr>
          <w:rFonts w:ascii="Arial Narrow" w:eastAsia="Times New Roman" w:hAnsi="Arial Narrow" w:cs="Arial"/>
          <w:b/>
          <w:bCs/>
          <w:iCs/>
          <w:color w:val="auto"/>
          <w:sz w:val="20"/>
          <w:szCs w:val="20"/>
        </w:rPr>
        <w:tab/>
        <w:t>Summary</w:t>
      </w:r>
      <w:r w:rsidRPr="00404C00">
        <w:rPr>
          <w:rFonts w:ascii="Arial Narrow" w:eastAsia="Times New Roman" w:hAnsi="Arial Narrow" w:cs="Arial"/>
          <w:bCs/>
          <w:color w:val="auto"/>
          <w:sz w:val="20"/>
          <w:szCs w:val="18"/>
        </w:rPr>
        <w:t xml:space="preserve"> </w:t>
      </w:r>
      <w:r w:rsidRPr="00404C00">
        <w:rPr>
          <w:rFonts w:ascii="Arial Narrow" w:eastAsia="Times New Roman" w:hAnsi="Arial Narrow" w:cs="Arial"/>
          <w:b/>
          <w:color w:val="auto"/>
          <w:sz w:val="20"/>
          <w:szCs w:val="18"/>
        </w:rPr>
        <w:t>of the linked evidence approach</w:t>
      </w:r>
    </w:p>
    <w:tbl>
      <w:tblPr>
        <w:tblStyle w:val="HTATableshaded"/>
        <w:tblW w:w="5000" w:type="pct"/>
        <w:tblLook w:val="04A0" w:firstRow="1" w:lastRow="0" w:firstColumn="1" w:lastColumn="0" w:noHBand="0" w:noVBand="1"/>
        <w:tblDescription w:val="Summary of the linked evidence approach"/>
      </w:tblPr>
      <w:tblGrid>
        <w:gridCol w:w="1979"/>
        <w:gridCol w:w="3403"/>
        <w:gridCol w:w="1697"/>
        <w:gridCol w:w="1937"/>
      </w:tblGrid>
      <w:tr w:rsidR="00404C00" w:rsidRPr="00404C00" w14:paraId="5362A586" w14:textId="77777777" w:rsidTr="003C0691">
        <w:trPr>
          <w:cnfStyle w:val="100000000000" w:firstRow="1" w:lastRow="0" w:firstColumn="0" w:lastColumn="0" w:oddVBand="0" w:evenVBand="0" w:oddHBand="0" w:evenHBand="0" w:firstRowFirstColumn="0" w:firstRowLastColumn="0" w:lastRowFirstColumn="0" w:lastRowLastColumn="0"/>
          <w:cantSplit/>
        </w:trPr>
        <w:tc>
          <w:tcPr>
            <w:tcW w:w="1098" w:type="pct"/>
            <w:vAlign w:val="bottom"/>
          </w:tcPr>
          <w:p w14:paraId="0BEB4568" w14:textId="77777777" w:rsidR="00404C00" w:rsidRPr="00404C00" w:rsidRDefault="00404C00" w:rsidP="00E92ED0">
            <w:pPr>
              <w:keepNext/>
              <w:keepLines/>
              <w:widowControl w:val="0"/>
              <w:spacing w:before="0" w:after="0"/>
              <w:jc w:val="left"/>
              <w:rPr>
                <w:rFonts w:ascii="Arial Narrow" w:hAnsi="Arial Narrow"/>
                <w:b/>
                <w:color w:val="auto"/>
                <w:sz w:val="20"/>
                <w:szCs w:val="20"/>
              </w:rPr>
            </w:pPr>
          </w:p>
        </w:tc>
        <w:tc>
          <w:tcPr>
            <w:tcW w:w="1887" w:type="pct"/>
            <w:vAlign w:val="bottom"/>
            <w:hideMark/>
          </w:tcPr>
          <w:p w14:paraId="5BD24AF8" w14:textId="77777777" w:rsidR="00404C00" w:rsidRPr="00404C00" w:rsidRDefault="00404C00" w:rsidP="00E92ED0">
            <w:pPr>
              <w:keepNext/>
              <w:keepLines/>
              <w:widowControl w:val="0"/>
              <w:spacing w:before="0" w:after="0"/>
              <w:jc w:val="left"/>
              <w:rPr>
                <w:rFonts w:ascii="Arial Narrow" w:hAnsi="Arial Narrow"/>
                <w:b/>
                <w:color w:val="auto"/>
                <w:sz w:val="20"/>
                <w:szCs w:val="20"/>
              </w:rPr>
            </w:pPr>
            <w:r w:rsidRPr="00404C00">
              <w:rPr>
                <w:rFonts w:ascii="Arial Narrow" w:hAnsi="Arial Narrow"/>
                <w:b/>
                <w:color w:val="auto"/>
                <w:sz w:val="20"/>
                <w:szCs w:val="20"/>
              </w:rPr>
              <w:t>Type of evidence supplied</w:t>
            </w:r>
          </w:p>
        </w:tc>
        <w:tc>
          <w:tcPr>
            <w:tcW w:w="941" w:type="pct"/>
            <w:vAlign w:val="bottom"/>
            <w:hideMark/>
          </w:tcPr>
          <w:p w14:paraId="2D930208" w14:textId="77777777" w:rsidR="00404C00" w:rsidRPr="00404C00" w:rsidRDefault="00404C00" w:rsidP="00E92ED0">
            <w:pPr>
              <w:keepNext/>
              <w:keepLines/>
              <w:widowControl w:val="0"/>
              <w:spacing w:before="0" w:after="0"/>
              <w:jc w:val="left"/>
              <w:rPr>
                <w:rFonts w:ascii="Arial Narrow" w:hAnsi="Arial Narrow"/>
                <w:b/>
                <w:color w:val="auto"/>
                <w:sz w:val="20"/>
                <w:szCs w:val="20"/>
              </w:rPr>
            </w:pPr>
            <w:r w:rsidRPr="00404C00">
              <w:rPr>
                <w:rFonts w:ascii="Arial Narrow" w:hAnsi="Arial Narrow"/>
                <w:b/>
                <w:color w:val="auto"/>
                <w:sz w:val="20"/>
                <w:szCs w:val="20"/>
              </w:rPr>
              <w:t>Extent of evidence identified by the commentary</w:t>
            </w:r>
          </w:p>
        </w:tc>
        <w:tc>
          <w:tcPr>
            <w:tcW w:w="1074" w:type="pct"/>
            <w:vAlign w:val="bottom"/>
            <w:hideMark/>
          </w:tcPr>
          <w:p w14:paraId="7BC1C2FF" w14:textId="77777777" w:rsidR="00404C00" w:rsidRPr="00404C00" w:rsidRDefault="00404C00" w:rsidP="00E92ED0">
            <w:pPr>
              <w:keepNext/>
              <w:keepLines/>
              <w:widowControl w:val="0"/>
              <w:spacing w:before="0" w:after="0"/>
              <w:jc w:val="left"/>
              <w:rPr>
                <w:rFonts w:ascii="Arial Narrow" w:hAnsi="Arial Narrow"/>
                <w:b/>
                <w:color w:val="auto"/>
                <w:sz w:val="20"/>
                <w:szCs w:val="20"/>
              </w:rPr>
            </w:pPr>
            <w:r w:rsidRPr="00404C00">
              <w:rPr>
                <w:rFonts w:ascii="Arial Narrow" w:hAnsi="Arial Narrow"/>
                <w:b/>
                <w:color w:val="auto"/>
                <w:sz w:val="20"/>
                <w:szCs w:val="20"/>
              </w:rPr>
              <w:t>Overall risk of bias in clinical trials</w:t>
            </w:r>
          </w:p>
        </w:tc>
      </w:tr>
      <w:tr w:rsidR="00404C00" w:rsidRPr="00404C00" w14:paraId="1E68192D" w14:textId="77777777" w:rsidTr="003C0691">
        <w:trPr>
          <w:cantSplit/>
        </w:trPr>
        <w:tc>
          <w:tcPr>
            <w:tcW w:w="1098" w:type="pct"/>
            <w:tcBorders>
              <w:top w:val="single" w:sz="4" w:space="0" w:color="auto"/>
              <w:left w:val="single" w:sz="4" w:space="0" w:color="auto"/>
              <w:bottom w:val="single" w:sz="4" w:space="0" w:color="auto"/>
              <w:right w:val="single" w:sz="4" w:space="0" w:color="auto"/>
            </w:tcBorders>
            <w:hideMark/>
          </w:tcPr>
          <w:p w14:paraId="0A74ED4F"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Accuracy and performance of the test (analytical validity)</w:t>
            </w:r>
          </w:p>
        </w:tc>
        <w:tc>
          <w:tcPr>
            <w:tcW w:w="1887" w:type="pct"/>
            <w:tcBorders>
              <w:top w:val="single" w:sz="4" w:space="0" w:color="auto"/>
              <w:left w:val="single" w:sz="4" w:space="0" w:color="auto"/>
              <w:bottom w:val="single" w:sz="4" w:space="0" w:color="auto"/>
              <w:right w:val="single" w:sz="4" w:space="0" w:color="auto"/>
            </w:tcBorders>
            <w:hideMark/>
          </w:tcPr>
          <w:p w14:paraId="42C0AB31"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One case-control study (level III-3) and two comparative studies (level III-2)</w:t>
            </w:r>
          </w:p>
        </w:tc>
        <w:tc>
          <w:tcPr>
            <w:tcW w:w="941" w:type="pct"/>
            <w:tcBorders>
              <w:top w:val="single" w:sz="4" w:space="0" w:color="auto"/>
              <w:left w:val="single" w:sz="4" w:space="0" w:color="auto"/>
              <w:bottom w:val="single" w:sz="4" w:space="0" w:color="auto"/>
              <w:right w:val="single" w:sz="4" w:space="0" w:color="auto"/>
            </w:tcBorders>
            <w:hideMark/>
          </w:tcPr>
          <w:p w14:paraId="7474592E" w14:textId="39DF127B" w:rsidR="00404C00" w:rsidRPr="00404C00" w:rsidRDefault="00DC29E5" w:rsidP="00E92ED0">
            <w:pPr>
              <w:keepNext/>
              <w:keepLines/>
              <w:widowControl w:val="0"/>
              <w:spacing w:before="0" w:after="0"/>
              <w:ind w:left="280" w:hanging="280"/>
              <w:jc w:val="left"/>
              <w:rPr>
                <w:rFonts w:ascii="Arial Narrow" w:hAnsi="Arial Narrow"/>
                <w:color w:val="auto"/>
                <w:sz w:val="20"/>
                <w:szCs w:val="20"/>
              </w:rPr>
            </w:pPr>
            <w:sdt>
              <w:sdtPr>
                <w:rPr>
                  <w:rFonts w:ascii="Arial Narrow" w:hAnsi="Arial Narrow"/>
                  <w:color w:val="auto"/>
                  <w:sz w:val="20"/>
                  <w:szCs w:val="20"/>
                </w:rPr>
                <w:id w:val="114959281"/>
                <w14:checkbox>
                  <w14:checked w14:val="1"/>
                  <w14:checkedState w14:val="2612" w14:font="MS Gothic"/>
                  <w14:uncheckedState w14:val="2610" w14:font="MS Gothic"/>
                </w14:checkbox>
              </w:sdtPr>
              <w:sdtEndPr/>
              <w:sdtContent>
                <w:r w:rsidR="00404C00" w:rsidRPr="00404C00">
                  <w:rPr>
                    <w:rFonts w:ascii="Segoe UI Symbol" w:hAnsi="Segoe UI Symbol" w:cs="Segoe UI Symbol"/>
                    <w:color w:val="auto"/>
                    <w:sz w:val="20"/>
                    <w:szCs w:val="20"/>
                  </w:rPr>
                  <w:t>☒</w:t>
                </w:r>
              </w:sdtContent>
            </w:sdt>
            <w:r w:rsidR="00404C00" w:rsidRPr="00404C00">
              <w:rPr>
                <w:rFonts w:ascii="Arial Narrow" w:hAnsi="Arial Narrow"/>
                <w:color w:val="auto"/>
                <w:sz w:val="20"/>
                <w:szCs w:val="20"/>
              </w:rPr>
              <w:tab/>
              <w:t>k=3</w:t>
            </w:r>
            <w:r w:rsidR="00404C00" w:rsidRPr="00404C00">
              <w:rPr>
                <w:rFonts w:ascii="Arial Narrow" w:hAnsi="Arial Narrow"/>
                <w:color w:val="auto"/>
                <w:sz w:val="20"/>
                <w:szCs w:val="20"/>
              </w:rPr>
              <w:tab/>
              <w:t>n=387</w:t>
            </w:r>
          </w:p>
        </w:tc>
        <w:tc>
          <w:tcPr>
            <w:tcW w:w="1074" w:type="pct"/>
            <w:tcBorders>
              <w:top w:val="single" w:sz="4" w:space="0" w:color="auto"/>
              <w:left w:val="single" w:sz="4" w:space="0" w:color="auto"/>
              <w:bottom w:val="single" w:sz="4" w:space="0" w:color="auto"/>
              <w:right w:val="single" w:sz="4" w:space="0" w:color="auto"/>
            </w:tcBorders>
            <w:hideMark/>
          </w:tcPr>
          <w:p w14:paraId="2E8E2682"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Medium to high risk of bias</w:t>
            </w:r>
          </w:p>
        </w:tc>
      </w:tr>
      <w:tr w:rsidR="00404C00" w:rsidRPr="00404C00" w14:paraId="0D9E30AC" w14:textId="77777777" w:rsidTr="003C0691">
        <w:trPr>
          <w:cantSplit/>
        </w:trPr>
        <w:tc>
          <w:tcPr>
            <w:tcW w:w="1098" w:type="pct"/>
            <w:tcBorders>
              <w:top w:val="single" w:sz="4" w:space="0" w:color="auto"/>
              <w:left w:val="single" w:sz="4" w:space="0" w:color="auto"/>
              <w:bottom w:val="single" w:sz="4" w:space="0" w:color="auto"/>
              <w:right w:val="single" w:sz="4" w:space="0" w:color="auto"/>
            </w:tcBorders>
            <w:hideMark/>
          </w:tcPr>
          <w:p w14:paraId="1A9AA5EC"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Prognostic evidence</w:t>
            </w:r>
          </w:p>
        </w:tc>
        <w:tc>
          <w:tcPr>
            <w:tcW w:w="1887" w:type="pct"/>
            <w:tcBorders>
              <w:top w:val="single" w:sz="4" w:space="0" w:color="auto"/>
              <w:left w:val="single" w:sz="4" w:space="0" w:color="auto"/>
              <w:bottom w:val="single" w:sz="4" w:space="0" w:color="auto"/>
              <w:right w:val="single" w:sz="4" w:space="0" w:color="auto"/>
            </w:tcBorders>
            <w:hideMark/>
          </w:tcPr>
          <w:p w14:paraId="39DC08A8"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 xml:space="preserve">Comparison of outcomes in patients receiving </w:t>
            </w:r>
            <w:r w:rsidRPr="00404C00">
              <w:rPr>
                <w:rFonts w:ascii="Arial Narrow" w:hAnsi="Arial Narrow"/>
                <w:color w:val="auto"/>
                <w:sz w:val="20"/>
                <w:szCs w:val="20"/>
                <w:u w:val="single"/>
              </w:rPr>
              <w:t>usual care</w:t>
            </w:r>
            <w:r w:rsidRPr="00404C00">
              <w:rPr>
                <w:rFonts w:ascii="Arial Narrow" w:hAnsi="Arial Narrow"/>
                <w:color w:val="auto"/>
                <w:sz w:val="20"/>
                <w:szCs w:val="20"/>
              </w:rPr>
              <w:t xml:space="preserve"> conditioned on the presence or absence of biomarker positive status</w:t>
            </w:r>
          </w:p>
        </w:tc>
        <w:tc>
          <w:tcPr>
            <w:tcW w:w="941" w:type="pct"/>
            <w:tcBorders>
              <w:top w:val="single" w:sz="4" w:space="0" w:color="auto"/>
              <w:left w:val="single" w:sz="4" w:space="0" w:color="auto"/>
              <w:bottom w:val="single" w:sz="4" w:space="0" w:color="auto"/>
              <w:right w:val="single" w:sz="4" w:space="0" w:color="auto"/>
            </w:tcBorders>
            <w:hideMark/>
          </w:tcPr>
          <w:p w14:paraId="7125B9DE" w14:textId="3E7B9A10" w:rsidR="00404C00" w:rsidRPr="00404C00" w:rsidRDefault="00DC29E5" w:rsidP="00E92ED0">
            <w:pPr>
              <w:keepNext/>
              <w:keepLines/>
              <w:widowControl w:val="0"/>
              <w:spacing w:before="0" w:after="0"/>
              <w:ind w:left="280" w:hanging="280"/>
              <w:jc w:val="left"/>
              <w:rPr>
                <w:rFonts w:ascii="Arial Narrow" w:hAnsi="Arial Narrow"/>
                <w:color w:val="auto"/>
                <w:sz w:val="20"/>
                <w:szCs w:val="20"/>
              </w:rPr>
            </w:pPr>
            <w:sdt>
              <w:sdtPr>
                <w:rPr>
                  <w:rFonts w:ascii="Arial Narrow" w:hAnsi="Arial Narrow"/>
                  <w:color w:val="auto"/>
                  <w:sz w:val="20"/>
                  <w:szCs w:val="20"/>
                </w:rPr>
                <w:id w:val="-2011739845"/>
                <w14:checkbox>
                  <w14:checked w14:val="1"/>
                  <w14:checkedState w14:val="2612" w14:font="MS Gothic"/>
                  <w14:uncheckedState w14:val="2610" w14:font="MS Gothic"/>
                </w14:checkbox>
              </w:sdtPr>
              <w:sdtEndPr/>
              <w:sdtContent>
                <w:r w:rsidR="00404C00" w:rsidRPr="00404C00">
                  <w:rPr>
                    <w:rFonts w:ascii="Segoe UI Symbol" w:hAnsi="Segoe UI Symbol" w:cs="Segoe UI Symbol"/>
                    <w:color w:val="auto"/>
                    <w:sz w:val="20"/>
                    <w:szCs w:val="20"/>
                  </w:rPr>
                  <w:t>☒</w:t>
                </w:r>
              </w:sdtContent>
            </w:sdt>
            <w:r w:rsidR="00404C00" w:rsidRPr="00404C00">
              <w:rPr>
                <w:rFonts w:ascii="Arial Narrow" w:hAnsi="Arial Narrow"/>
                <w:color w:val="auto"/>
                <w:sz w:val="20"/>
                <w:szCs w:val="20"/>
              </w:rPr>
              <w:tab/>
              <w:t>k=6</w:t>
            </w:r>
            <w:r w:rsidR="003C0691" w:rsidRPr="00404C00">
              <w:rPr>
                <w:rFonts w:ascii="Arial Narrow" w:hAnsi="Arial Narrow"/>
                <w:color w:val="auto"/>
                <w:sz w:val="20"/>
                <w:szCs w:val="20"/>
              </w:rPr>
              <w:tab/>
            </w:r>
            <w:r w:rsidR="00404C00" w:rsidRPr="00404C00">
              <w:rPr>
                <w:rFonts w:ascii="Arial Narrow" w:hAnsi="Arial Narrow"/>
                <w:color w:val="auto"/>
                <w:sz w:val="20"/>
                <w:szCs w:val="20"/>
              </w:rPr>
              <w:t>n=1,741</w:t>
            </w:r>
          </w:p>
        </w:tc>
        <w:tc>
          <w:tcPr>
            <w:tcW w:w="1074" w:type="pct"/>
            <w:tcBorders>
              <w:top w:val="single" w:sz="4" w:space="0" w:color="auto"/>
              <w:left w:val="single" w:sz="4" w:space="0" w:color="auto"/>
              <w:bottom w:val="single" w:sz="4" w:space="0" w:color="auto"/>
              <w:right w:val="single" w:sz="4" w:space="0" w:color="auto"/>
            </w:tcBorders>
            <w:hideMark/>
          </w:tcPr>
          <w:p w14:paraId="4F586818"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Medium risk of bias</w:t>
            </w:r>
          </w:p>
        </w:tc>
      </w:tr>
      <w:tr w:rsidR="00404C00" w:rsidRPr="00404C00" w14:paraId="7350AFD0" w14:textId="77777777" w:rsidTr="003C0691">
        <w:trPr>
          <w:cantSplit/>
        </w:trPr>
        <w:tc>
          <w:tcPr>
            <w:tcW w:w="1098" w:type="pct"/>
            <w:tcBorders>
              <w:top w:val="single" w:sz="4" w:space="0" w:color="auto"/>
              <w:left w:val="single" w:sz="4" w:space="0" w:color="auto"/>
              <w:bottom w:val="single" w:sz="4" w:space="0" w:color="auto"/>
              <w:right w:val="single" w:sz="4" w:space="0" w:color="auto"/>
            </w:tcBorders>
            <w:hideMark/>
          </w:tcPr>
          <w:p w14:paraId="08BDE2B2"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Change in patient management</w:t>
            </w:r>
          </w:p>
        </w:tc>
        <w:tc>
          <w:tcPr>
            <w:tcW w:w="1887" w:type="pct"/>
            <w:tcBorders>
              <w:top w:val="single" w:sz="4" w:space="0" w:color="auto"/>
              <w:left w:val="single" w:sz="4" w:space="0" w:color="auto"/>
              <w:bottom w:val="single" w:sz="4" w:space="0" w:color="auto"/>
              <w:right w:val="single" w:sz="4" w:space="0" w:color="auto"/>
            </w:tcBorders>
            <w:hideMark/>
          </w:tcPr>
          <w:p w14:paraId="77AE8095"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No evidence provided.</w:t>
            </w:r>
          </w:p>
        </w:tc>
        <w:tc>
          <w:tcPr>
            <w:tcW w:w="941" w:type="pct"/>
            <w:tcBorders>
              <w:top w:val="single" w:sz="4" w:space="0" w:color="auto"/>
              <w:left w:val="single" w:sz="4" w:space="0" w:color="auto"/>
              <w:bottom w:val="single" w:sz="4" w:space="0" w:color="auto"/>
              <w:right w:val="single" w:sz="4" w:space="0" w:color="auto"/>
            </w:tcBorders>
            <w:hideMark/>
          </w:tcPr>
          <w:p w14:paraId="7C87BDA0" w14:textId="1FC03DA2" w:rsidR="00404C00" w:rsidRPr="00404C00" w:rsidRDefault="00DC29E5" w:rsidP="00E92ED0">
            <w:pPr>
              <w:keepNext/>
              <w:keepLines/>
              <w:widowControl w:val="0"/>
              <w:spacing w:before="0" w:after="0"/>
              <w:ind w:left="280" w:hanging="280"/>
              <w:jc w:val="left"/>
              <w:rPr>
                <w:rFonts w:ascii="Arial Narrow" w:hAnsi="Arial Narrow"/>
                <w:color w:val="auto"/>
                <w:sz w:val="20"/>
                <w:szCs w:val="20"/>
              </w:rPr>
            </w:pPr>
            <w:sdt>
              <w:sdtPr>
                <w:rPr>
                  <w:rFonts w:ascii="Arial Narrow" w:hAnsi="Arial Narrow"/>
                  <w:color w:val="auto"/>
                  <w:sz w:val="20"/>
                  <w:szCs w:val="20"/>
                </w:rPr>
                <w:id w:val="-1522624954"/>
                <w14:checkbox>
                  <w14:checked w14:val="0"/>
                  <w14:checkedState w14:val="2612" w14:font="MS Gothic"/>
                  <w14:uncheckedState w14:val="2610" w14:font="MS Gothic"/>
                </w14:checkbox>
              </w:sdtPr>
              <w:sdtEndPr/>
              <w:sdtContent>
                <w:r w:rsidR="00404C00" w:rsidRPr="00404C00">
                  <w:rPr>
                    <w:rFonts w:ascii="Segoe UI Symbol" w:hAnsi="Segoe UI Symbol" w:cs="Segoe UI Symbol"/>
                    <w:color w:val="auto"/>
                    <w:sz w:val="20"/>
                    <w:szCs w:val="20"/>
                  </w:rPr>
                  <w:t>☐</w:t>
                </w:r>
              </w:sdtContent>
            </w:sdt>
            <w:r w:rsidR="00404C00" w:rsidRPr="00404C00">
              <w:rPr>
                <w:rFonts w:ascii="Arial Narrow" w:hAnsi="Arial Narrow"/>
                <w:color w:val="auto"/>
                <w:sz w:val="20"/>
                <w:szCs w:val="20"/>
              </w:rPr>
              <w:tab/>
              <w:t>k=0</w:t>
            </w:r>
            <w:r w:rsidR="00404C00" w:rsidRPr="00404C00">
              <w:rPr>
                <w:rFonts w:ascii="Arial Narrow" w:hAnsi="Arial Narrow"/>
                <w:color w:val="auto"/>
                <w:sz w:val="20"/>
                <w:szCs w:val="20"/>
              </w:rPr>
              <w:tab/>
              <w:t>n=0</w:t>
            </w:r>
          </w:p>
        </w:tc>
        <w:tc>
          <w:tcPr>
            <w:tcW w:w="1074" w:type="pct"/>
            <w:tcBorders>
              <w:top w:val="single" w:sz="4" w:space="0" w:color="auto"/>
              <w:left w:val="single" w:sz="4" w:space="0" w:color="auto"/>
              <w:bottom w:val="single" w:sz="4" w:space="0" w:color="auto"/>
              <w:right w:val="single" w:sz="4" w:space="0" w:color="auto"/>
            </w:tcBorders>
            <w:hideMark/>
          </w:tcPr>
          <w:p w14:paraId="7E8299BC"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w:t>
            </w:r>
          </w:p>
        </w:tc>
      </w:tr>
      <w:tr w:rsidR="00404C00" w:rsidRPr="00404C00" w14:paraId="2C26FC0C" w14:textId="77777777" w:rsidTr="003C0691">
        <w:trPr>
          <w:cantSplit/>
        </w:trPr>
        <w:tc>
          <w:tcPr>
            <w:tcW w:w="1098" w:type="pct"/>
            <w:tcBorders>
              <w:top w:val="single" w:sz="4" w:space="0" w:color="auto"/>
              <w:left w:val="single" w:sz="4" w:space="0" w:color="auto"/>
              <w:bottom w:val="nil"/>
              <w:right w:val="single" w:sz="4" w:space="0" w:color="auto"/>
            </w:tcBorders>
          </w:tcPr>
          <w:p w14:paraId="7975BBC4"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Treatment effectiveness</w:t>
            </w:r>
          </w:p>
        </w:tc>
        <w:tc>
          <w:tcPr>
            <w:tcW w:w="1887" w:type="pct"/>
            <w:tcBorders>
              <w:top w:val="single" w:sz="4" w:space="0" w:color="auto"/>
              <w:left w:val="single" w:sz="4" w:space="0" w:color="auto"/>
              <w:bottom w:val="nil"/>
              <w:right w:val="single" w:sz="4" w:space="0" w:color="auto"/>
            </w:tcBorders>
          </w:tcPr>
          <w:p w14:paraId="34B13C20" w14:textId="33197468"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 xml:space="preserve">Efficacy data from the first-line treatment subgroup in the key VISION trial, which enrolled patients with </w:t>
            </w:r>
            <w:r w:rsidRPr="00404C00">
              <w:rPr>
                <w:rFonts w:ascii="Arial Narrow" w:hAnsi="Arial Narrow"/>
                <w:i/>
                <w:color w:val="auto"/>
                <w:sz w:val="20"/>
                <w:szCs w:val="20"/>
              </w:rPr>
              <w:t>MET</w:t>
            </w:r>
            <w:r w:rsidRPr="00404C00">
              <w:rPr>
                <w:rFonts w:ascii="Arial Narrow" w:hAnsi="Arial Narrow"/>
                <w:color w:val="auto"/>
                <w:sz w:val="20"/>
                <w:szCs w:val="20"/>
              </w:rPr>
              <w:t xml:space="preserve">ex14sk, were indirectly compared to the pembrolizumab + chemotherapy arm of KN189, which enrolled patients who were negative for </w:t>
            </w:r>
            <w:r w:rsidRPr="00404C00">
              <w:rPr>
                <w:rFonts w:ascii="Arial Narrow" w:hAnsi="Arial Narrow"/>
                <w:i/>
                <w:color w:val="auto"/>
                <w:sz w:val="20"/>
                <w:szCs w:val="20"/>
              </w:rPr>
              <w:t>EGFR</w:t>
            </w:r>
            <w:r w:rsidRPr="00404C00">
              <w:rPr>
                <w:rFonts w:ascii="Arial Narrow" w:hAnsi="Arial Narrow"/>
                <w:color w:val="auto"/>
                <w:sz w:val="20"/>
                <w:szCs w:val="20"/>
              </w:rPr>
              <w:t xml:space="preserve"> and </w:t>
            </w:r>
            <w:r w:rsidRPr="00404C00">
              <w:rPr>
                <w:rFonts w:ascii="Arial Narrow" w:hAnsi="Arial Narrow"/>
                <w:i/>
                <w:color w:val="auto"/>
                <w:sz w:val="20"/>
                <w:szCs w:val="20"/>
              </w:rPr>
              <w:t>ALK</w:t>
            </w:r>
            <w:r w:rsidRPr="00404C00">
              <w:rPr>
                <w:rFonts w:ascii="Arial Narrow" w:hAnsi="Arial Narrow"/>
                <w:color w:val="auto"/>
                <w:sz w:val="20"/>
                <w:szCs w:val="20"/>
              </w:rPr>
              <w:t xml:space="preserve">; it is unknown how many, if any, harboured a </w:t>
            </w:r>
            <w:r w:rsidRPr="00404C00">
              <w:rPr>
                <w:rFonts w:ascii="Arial Narrow" w:hAnsi="Arial Narrow"/>
                <w:i/>
                <w:color w:val="auto"/>
                <w:sz w:val="20"/>
                <w:szCs w:val="20"/>
              </w:rPr>
              <w:t>MET</w:t>
            </w:r>
            <w:r w:rsidRPr="00404C00">
              <w:rPr>
                <w:rFonts w:ascii="Arial Narrow" w:hAnsi="Arial Narrow"/>
                <w:color w:val="auto"/>
                <w:sz w:val="20"/>
                <w:szCs w:val="20"/>
              </w:rPr>
              <w:t>ex14sk.</w:t>
            </w:r>
          </w:p>
        </w:tc>
        <w:tc>
          <w:tcPr>
            <w:tcW w:w="941" w:type="pct"/>
            <w:tcBorders>
              <w:top w:val="single" w:sz="4" w:space="0" w:color="auto"/>
              <w:left w:val="single" w:sz="4" w:space="0" w:color="auto"/>
              <w:bottom w:val="nil"/>
              <w:right w:val="single" w:sz="4" w:space="0" w:color="auto"/>
            </w:tcBorders>
          </w:tcPr>
          <w:p w14:paraId="0E5C5D16" w14:textId="1F0AC6A4" w:rsidR="00404C00" w:rsidRPr="00404C00" w:rsidRDefault="00DC29E5" w:rsidP="00E92ED0">
            <w:pPr>
              <w:keepNext/>
              <w:keepLines/>
              <w:widowControl w:val="0"/>
              <w:spacing w:before="0" w:after="0"/>
              <w:ind w:left="280" w:hanging="280"/>
              <w:jc w:val="left"/>
              <w:rPr>
                <w:rFonts w:ascii="Arial Narrow" w:hAnsi="Arial Narrow"/>
                <w:color w:val="auto"/>
                <w:sz w:val="20"/>
                <w:szCs w:val="20"/>
              </w:rPr>
            </w:pPr>
            <w:sdt>
              <w:sdtPr>
                <w:rPr>
                  <w:rFonts w:ascii="Arial Narrow" w:hAnsi="Arial Narrow"/>
                  <w:color w:val="auto"/>
                  <w:sz w:val="20"/>
                  <w:szCs w:val="20"/>
                </w:rPr>
                <w:id w:val="-491025089"/>
                <w14:checkbox>
                  <w14:checked w14:val="1"/>
                  <w14:checkedState w14:val="2612" w14:font="MS Gothic"/>
                  <w14:uncheckedState w14:val="2610" w14:font="MS Gothic"/>
                </w14:checkbox>
              </w:sdtPr>
              <w:sdtEndPr/>
              <w:sdtContent>
                <w:r w:rsidR="00404C00" w:rsidRPr="00404C00">
                  <w:rPr>
                    <w:rFonts w:ascii="Segoe UI Symbol" w:hAnsi="Segoe UI Symbol" w:cs="Segoe UI Symbol"/>
                    <w:color w:val="auto"/>
                    <w:sz w:val="20"/>
                    <w:szCs w:val="20"/>
                  </w:rPr>
                  <w:t>☒</w:t>
                </w:r>
              </w:sdtContent>
            </w:sdt>
            <w:r w:rsidR="00404C00" w:rsidRPr="00404C00">
              <w:rPr>
                <w:rFonts w:ascii="Arial Narrow" w:hAnsi="Arial Narrow"/>
                <w:color w:val="auto"/>
                <w:sz w:val="20"/>
                <w:szCs w:val="20"/>
              </w:rPr>
              <w:tab/>
              <w:t>k=2</w:t>
            </w:r>
            <w:r w:rsidR="00404C00" w:rsidRPr="00404C00">
              <w:rPr>
                <w:rFonts w:ascii="Arial Narrow" w:hAnsi="Arial Narrow"/>
                <w:color w:val="auto"/>
                <w:sz w:val="20"/>
                <w:szCs w:val="20"/>
              </w:rPr>
              <w:tab/>
              <w:t>n=65+410</w:t>
            </w:r>
          </w:p>
        </w:tc>
        <w:tc>
          <w:tcPr>
            <w:tcW w:w="1074" w:type="pct"/>
            <w:tcBorders>
              <w:top w:val="single" w:sz="4" w:space="0" w:color="auto"/>
              <w:left w:val="single" w:sz="4" w:space="0" w:color="auto"/>
              <w:bottom w:val="nil"/>
              <w:right w:val="single" w:sz="4" w:space="0" w:color="auto"/>
            </w:tcBorders>
            <w:vAlign w:val="center"/>
            <w:hideMark/>
          </w:tcPr>
          <w:p w14:paraId="086BD715"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Each trial was determined to be at a low risk of bias, however the inherent limitations of VISION, as a single-arm Phase II trial, must be acknowledged. An unanchored, match-adjusted indirect treatment comparison (MAITC) was performed.</w:t>
            </w:r>
          </w:p>
        </w:tc>
      </w:tr>
      <w:tr w:rsidR="00404C00" w:rsidRPr="00404C00" w14:paraId="56A1CD9E" w14:textId="77777777" w:rsidTr="003C0691">
        <w:trPr>
          <w:cantSplit/>
        </w:trPr>
        <w:tc>
          <w:tcPr>
            <w:tcW w:w="1098" w:type="pct"/>
            <w:tcBorders>
              <w:top w:val="nil"/>
              <w:left w:val="single" w:sz="4" w:space="0" w:color="auto"/>
              <w:bottom w:val="nil"/>
              <w:right w:val="single" w:sz="4" w:space="0" w:color="auto"/>
            </w:tcBorders>
          </w:tcPr>
          <w:p w14:paraId="6EA033C5"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Predictive effect</w:t>
            </w:r>
          </w:p>
          <w:p w14:paraId="12EEFD7D"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(treatment effect variation)</w:t>
            </w:r>
          </w:p>
          <w:p w14:paraId="757F4DB1" w14:textId="77777777" w:rsidR="00404C00" w:rsidRPr="00404C00" w:rsidRDefault="00404C00" w:rsidP="00E92ED0">
            <w:pPr>
              <w:keepNext/>
              <w:keepLines/>
              <w:widowControl w:val="0"/>
              <w:spacing w:before="0" w:after="0"/>
              <w:jc w:val="left"/>
              <w:rPr>
                <w:rFonts w:ascii="Arial Narrow" w:hAnsi="Arial Narrow"/>
                <w:color w:val="auto"/>
                <w:sz w:val="20"/>
                <w:szCs w:val="20"/>
              </w:rPr>
            </w:pPr>
          </w:p>
        </w:tc>
        <w:tc>
          <w:tcPr>
            <w:tcW w:w="1887" w:type="pct"/>
            <w:tcBorders>
              <w:top w:val="nil"/>
              <w:left w:val="single" w:sz="4" w:space="0" w:color="auto"/>
              <w:bottom w:val="nil"/>
              <w:right w:val="single" w:sz="4" w:space="0" w:color="auto"/>
            </w:tcBorders>
          </w:tcPr>
          <w:p w14:paraId="2FD482BA" w14:textId="4A6811E0"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 xml:space="preserve">No evidence for the predictive effect in patients with and without </w:t>
            </w:r>
            <w:r w:rsidR="008406D9">
              <w:rPr>
                <w:rFonts w:ascii="Arial Narrow" w:hAnsi="Arial Narrow"/>
                <w:color w:val="auto"/>
                <w:sz w:val="20"/>
                <w:szCs w:val="20"/>
              </w:rPr>
              <w:t>a</w:t>
            </w:r>
            <w:r w:rsidRPr="00404C00">
              <w:rPr>
                <w:rFonts w:ascii="Arial Narrow" w:hAnsi="Arial Narrow"/>
                <w:color w:val="auto"/>
                <w:sz w:val="20"/>
                <w:szCs w:val="20"/>
              </w:rPr>
              <w:t xml:space="preserve"> </w:t>
            </w:r>
            <w:r w:rsidRPr="00404C00">
              <w:rPr>
                <w:rFonts w:ascii="Arial Narrow" w:hAnsi="Arial Narrow"/>
                <w:i/>
                <w:color w:val="auto"/>
                <w:sz w:val="20"/>
                <w:szCs w:val="20"/>
              </w:rPr>
              <w:t>MET</w:t>
            </w:r>
            <w:r w:rsidRPr="00404C00">
              <w:rPr>
                <w:rFonts w:ascii="Arial Narrow" w:hAnsi="Arial Narrow"/>
                <w:color w:val="auto"/>
                <w:sz w:val="20"/>
                <w:szCs w:val="20"/>
              </w:rPr>
              <w:t>ex14sk were provided.</w:t>
            </w:r>
          </w:p>
        </w:tc>
        <w:tc>
          <w:tcPr>
            <w:tcW w:w="941" w:type="pct"/>
            <w:tcBorders>
              <w:top w:val="nil"/>
              <w:left w:val="single" w:sz="4" w:space="0" w:color="auto"/>
              <w:bottom w:val="nil"/>
              <w:right w:val="single" w:sz="4" w:space="0" w:color="auto"/>
            </w:tcBorders>
          </w:tcPr>
          <w:p w14:paraId="06A7E421" w14:textId="77777777" w:rsidR="00404C00" w:rsidRPr="00404C00" w:rsidRDefault="00404C00" w:rsidP="00E92ED0">
            <w:pPr>
              <w:keepNext/>
              <w:keepLines/>
              <w:widowControl w:val="0"/>
              <w:spacing w:before="0" w:after="0"/>
              <w:ind w:left="280" w:hanging="280"/>
              <w:jc w:val="left"/>
              <w:rPr>
                <w:rFonts w:ascii="Arial Narrow" w:hAnsi="Arial Narrow"/>
                <w:color w:val="auto"/>
                <w:sz w:val="20"/>
                <w:szCs w:val="20"/>
              </w:rPr>
            </w:pPr>
          </w:p>
        </w:tc>
        <w:tc>
          <w:tcPr>
            <w:tcW w:w="1074" w:type="pct"/>
            <w:tcBorders>
              <w:top w:val="nil"/>
              <w:left w:val="single" w:sz="4" w:space="0" w:color="auto"/>
              <w:bottom w:val="nil"/>
              <w:right w:val="single" w:sz="4" w:space="0" w:color="auto"/>
            </w:tcBorders>
          </w:tcPr>
          <w:p w14:paraId="71E76F32" w14:textId="77777777" w:rsidR="00404C00" w:rsidRPr="00404C00" w:rsidRDefault="00404C00" w:rsidP="00E92ED0">
            <w:pPr>
              <w:keepNext/>
              <w:keepLines/>
              <w:widowControl w:val="0"/>
              <w:spacing w:before="0" w:after="0"/>
              <w:jc w:val="left"/>
              <w:rPr>
                <w:rFonts w:ascii="Arial Narrow" w:hAnsi="Arial Narrow"/>
                <w:color w:val="auto"/>
                <w:sz w:val="20"/>
                <w:szCs w:val="20"/>
              </w:rPr>
            </w:pPr>
          </w:p>
        </w:tc>
      </w:tr>
      <w:tr w:rsidR="00404C00" w:rsidRPr="00404C00" w14:paraId="75779712" w14:textId="77777777" w:rsidTr="003C0691">
        <w:trPr>
          <w:cantSplit/>
        </w:trPr>
        <w:tc>
          <w:tcPr>
            <w:tcW w:w="1098" w:type="pct"/>
            <w:tcBorders>
              <w:top w:val="nil"/>
              <w:left w:val="single" w:sz="4" w:space="0" w:color="auto"/>
              <w:bottom w:val="single" w:sz="4" w:space="0" w:color="auto"/>
              <w:right w:val="single" w:sz="4" w:space="0" w:color="auto"/>
            </w:tcBorders>
          </w:tcPr>
          <w:p w14:paraId="185A1B5D"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Treatment effect (enriched)</w:t>
            </w:r>
          </w:p>
        </w:tc>
        <w:tc>
          <w:tcPr>
            <w:tcW w:w="1887" w:type="pct"/>
            <w:tcBorders>
              <w:top w:val="nil"/>
              <w:left w:val="single" w:sz="4" w:space="0" w:color="auto"/>
              <w:bottom w:val="single" w:sz="4" w:space="0" w:color="auto"/>
              <w:right w:val="single" w:sz="4" w:space="0" w:color="auto"/>
            </w:tcBorders>
          </w:tcPr>
          <w:p w14:paraId="53D88704"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No single randomised controlled trial of tepotinib vs usual care in patients that are test positive in both arms was provided.</w:t>
            </w:r>
          </w:p>
        </w:tc>
        <w:tc>
          <w:tcPr>
            <w:tcW w:w="941" w:type="pct"/>
            <w:tcBorders>
              <w:top w:val="nil"/>
              <w:left w:val="single" w:sz="4" w:space="0" w:color="auto"/>
              <w:bottom w:val="single" w:sz="4" w:space="0" w:color="auto"/>
              <w:right w:val="single" w:sz="4" w:space="0" w:color="auto"/>
            </w:tcBorders>
          </w:tcPr>
          <w:p w14:paraId="34C08230" w14:textId="6D3F48E4" w:rsidR="00404C00" w:rsidRPr="00404C00" w:rsidRDefault="00DC29E5" w:rsidP="00E92ED0">
            <w:pPr>
              <w:keepNext/>
              <w:keepLines/>
              <w:widowControl w:val="0"/>
              <w:spacing w:before="0" w:after="0"/>
              <w:ind w:left="280" w:hanging="280"/>
              <w:jc w:val="left"/>
              <w:rPr>
                <w:rFonts w:ascii="Arial Narrow" w:hAnsi="Arial Narrow"/>
                <w:color w:val="auto"/>
                <w:sz w:val="20"/>
                <w:szCs w:val="20"/>
              </w:rPr>
            </w:pPr>
            <w:sdt>
              <w:sdtPr>
                <w:rPr>
                  <w:rFonts w:ascii="Arial Narrow" w:hAnsi="Arial Narrow"/>
                  <w:color w:val="auto"/>
                  <w:sz w:val="20"/>
                  <w:szCs w:val="20"/>
                </w:rPr>
                <w:id w:val="-2103797349"/>
                <w14:checkbox>
                  <w14:checked w14:val="0"/>
                  <w14:checkedState w14:val="2612" w14:font="MS Gothic"/>
                  <w14:uncheckedState w14:val="2610" w14:font="MS Gothic"/>
                </w14:checkbox>
              </w:sdtPr>
              <w:sdtEndPr/>
              <w:sdtContent>
                <w:r w:rsidR="00404C00" w:rsidRPr="00404C00">
                  <w:rPr>
                    <w:rFonts w:ascii="Segoe UI Symbol" w:hAnsi="Segoe UI Symbol" w:cs="Segoe UI Symbol"/>
                    <w:color w:val="auto"/>
                    <w:sz w:val="20"/>
                    <w:szCs w:val="20"/>
                  </w:rPr>
                  <w:t>☐</w:t>
                </w:r>
              </w:sdtContent>
            </w:sdt>
            <w:r w:rsidR="00404C00" w:rsidRPr="00404C00">
              <w:rPr>
                <w:rFonts w:ascii="Arial Narrow" w:hAnsi="Arial Narrow"/>
                <w:color w:val="auto"/>
                <w:sz w:val="20"/>
                <w:szCs w:val="20"/>
              </w:rPr>
              <w:tab/>
              <w:t>k=0</w:t>
            </w:r>
            <w:r w:rsidR="00404C00" w:rsidRPr="00404C00">
              <w:rPr>
                <w:rFonts w:ascii="Arial Narrow" w:hAnsi="Arial Narrow"/>
                <w:color w:val="auto"/>
                <w:sz w:val="20"/>
                <w:szCs w:val="20"/>
              </w:rPr>
              <w:tab/>
              <w:t>n=0</w:t>
            </w:r>
          </w:p>
        </w:tc>
        <w:tc>
          <w:tcPr>
            <w:tcW w:w="1074" w:type="pct"/>
            <w:tcBorders>
              <w:top w:val="nil"/>
              <w:left w:val="single" w:sz="4" w:space="0" w:color="auto"/>
              <w:bottom w:val="single" w:sz="4" w:space="0" w:color="auto"/>
              <w:right w:val="single" w:sz="4" w:space="0" w:color="auto"/>
            </w:tcBorders>
          </w:tcPr>
          <w:p w14:paraId="584F4E31" w14:textId="77777777" w:rsidR="00404C00" w:rsidRPr="00404C00" w:rsidRDefault="00404C00" w:rsidP="00E92ED0">
            <w:pPr>
              <w:keepNext/>
              <w:keepLines/>
              <w:widowControl w:val="0"/>
              <w:spacing w:before="0" w:after="0"/>
              <w:jc w:val="left"/>
              <w:rPr>
                <w:rFonts w:ascii="Arial Narrow" w:hAnsi="Arial Narrow"/>
                <w:color w:val="auto"/>
                <w:sz w:val="20"/>
                <w:szCs w:val="20"/>
              </w:rPr>
            </w:pPr>
          </w:p>
        </w:tc>
      </w:tr>
      <w:tr w:rsidR="00404C00" w:rsidRPr="00404C00" w14:paraId="7C688E4C" w14:textId="77777777" w:rsidTr="003C0691">
        <w:trPr>
          <w:cantSplit/>
        </w:trPr>
        <w:tc>
          <w:tcPr>
            <w:tcW w:w="1098" w:type="pct"/>
            <w:tcBorders>
              <w:top w:val="single" w:sz="4" w:space="0" w:color="auto"/>
              <w:left w:val="single" w:sz="4" w:space="0" w:color="auto"/>
              <w:bottom w:val="single" w:sz="4" w:space="0" w:color="auto"/>
              <w:right w:val="single" w:sz="4" w:space="0" w:color="auto"/>
            </w:tcBorders>
            <w:hideMark/>
          </w:tcPr>
          <w:p w14:paraId="07EB959D"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Other</w:t>
            </w:r>
          </w:p>
        </w:tc>
        <w:tc>
          <w:tcPr>
            <w:tcW w:w="1887" w:type="pct"/>
            <w:tcBorders>
              <w:top w:val="single" w:sz="4" w:space="0" w:color="auto"/>
              <w:left w:val="single" w:sz="4" w:space="0" w:color="auto"/>
              <w:bottom w:val="single" w:sz="4" w:space="0" w:color="auto"/>
              <w:right w:val="single" w:sz="4" w:space="0" w:color="auto"/>
            </w:tcBorders>
          </w:tcPr>
          <w:p w14:paraId="73D7561D" w14:textId="0CB48E12"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 xml:space="preserve">An indirect treatment comparison was performed on efficacy outcomes in the VISION trial and a small South Korean study of chemotherapy in patients with </w:t>
            </w:r>
            <w:r w:rsidR="008406D9">
              <w:rPr>
                <w:rFonts w:ascii="Arial Narrow" w:hAnsi="Arial Narrow"/>
                <w:color w:val="auto"/>
                <w:sz w:val="20"/>
                <w:szCs w:val="20"/>
              </w:rPr>
              <w:t xml:space="preserve">a </w:t>
            </w:r>
            <w:r w:rsidRPr="00404C00">
              <w:rPr>
                <w:rFonts w:ascii="Arial Narrow" w:hAnsi="Arial Narrow"/>
                <w:i/>
                <w:color w:val="auto"/>
                <w:sz w:val="20"/>
                <w:szCs w:val="20"/>
              </w:rPr>
              <w:t>MET</w:t>
            </w:r>
            <w:r w:rsidRPr="00404C00">
              <w:rPr>
                <w:rFonts w:ascii="Arial Narrow" w:hAnsi="Arial Narrow"/>
                <w:color w:val="auto"/>
                <w:sz w:val="20"/>
                <w:szCs w:val="20"/>
              </w:rPr>
              <w:t>ex14sk.</w:t>
            </w:r>
          </w:p>
        </w:tc>
        <w:tc>
          <w:tcPr>
            <w:tcW w:w="941" w:type="pct"/>
            <w:tcBorders>
              <w:top w:val="single" w:sz="4" w:space="0" w:color="auto"/>
              <w:left w:val="single" w:sz="4" w:space="0" w:color="auto"/>
              <w:bottom w:val="single" w:sz="4" w:space="0" w:color="auto"/>
              <w:right w:val="single" w:sz="4" w:space="0" w:color="auto"/>
            </w:tcBorders>
            <w:hideMark/>
          </w:tcPr>
          <w:p w14:paraId="270F8B93" w14:textId="7BA3CBC2" w:rsidR="00404C00" w:rsidRPr="00404C00" w:rsidRDefault="00DC29E5" w:rsidP="00E92ED0">
            <w:pPr>
              <w:keepNext/>
              <w:keepLines/>
              <w:widowControl w:val="0"/>
              <w:spacing w:before="0" w:after="0"/>
              <w:ind w:left="280" w:hanging="280"/>
              <w:jc w:val="left"/>
              <w:rPr>
                <w:rFonts w:ascii="Arial Narrow" w:hAnsi="Arial Narrow"/>
                <w:color w:val="auto"/>
                <w:sz w:val="20"/>
                <w:szCs w:val="20"/>
              </w:rPr>
            </w:pPr>
            <w:sdt>
              <w:sdtPr>
                <w:rPr>
                  <w:rFonts w:ascii="Arial Narrow" w:hAnsi="Arial Narrow"/>
                  <w:color w:val="auto"/>
                  <w:sz w:val="20"/>
                  <w:szCs w:val="20"/>
                </w:rPr>
                <w:id w:val="-420495483"/>
                <w14:checkbox>
                  <w14:checked w14:val="1"/>
                  <w14:checkedState w14:val="2612" w14:font="MS Gothic"/>
                  <w14:uncheckedState w14:val="2610" w14:font="MS Gothic"/>
                </w14:checkbox>
              </w:sdtPr>
              <w:sdtEndPr/>
              <w:sdtContent>
                <w:r w:rsidR="00404C00" w:rsidRPr="00404C00">
                  <w:rPr>
                    <w:rFonts w:ascii="Segoe UI Symbol" w:hAnsi="Segoe UI Symbol" w:cs="Segoe UI Symbol"/>
                    <w:color w:val="auto"/>
                    <w:sz w:val="20"/>
                    <w:szCs w:val="20"/>
                  </w:rPr>
                  <w:t>☒</w:t>
                </w:r>
              </w:sdtContent>
            </w:sdt>
            <w:r w:rsidR="00404C00" w:rsidRPr="00404C00">
              <w:rPr>
                <w:rFonts w:ascii="Arial Narrow" w:hAnsi="Arial Narrow"/>
                <w:color w:val="auto"/>
                <w:sz w:val="20"/>
                <w:szCs w:val="20"/>
              </w:rPr>
              <w:tab/>
              <w:t>k=2</w:t>
            </w:r>
            <w:r w:rsidR="00404C00" w:rsidRPr="00404C00">
              <w:rPr>
                <w:rFonts w:ascii="Arial Narrow" w:hAnsi="Arial Narrow"/>
                <w:color w:val="auto"/>
                <w:sz w:val="20"/>
                <w:szCs w:val="20"/>
              </w:rPr>
              <w:tab/>
              <w:t>n=65+15</w:t>
            </w:r>
          </w:p>
        </w:tc>
        <w:tc>
          <w:tcPr>
            <w:tcW w:w="1074" w:type="pct"/>
            <w:tcBorders>
              <w:top w:val="single" w:sz="4" w:space="0" w:color="auto"/>
              <w:left w:val="single" w:sz="4" w:space="0" w:color="auto"/>
              <w:bottom w:val="single" w:sz="4" w:space="0" w:color="auto"/>
              <w:right w:val="single" w:sz="4" w:space="0" w:color="auto"/>
            </w:tcBorders>
          </w:tcPr>
          <w:p w14:paraId="1A6A55C1" w14:textId="77777777" w:rsidR="00404C00" w:rsidRPr="00404C00" w:rsidRDefault="00404C00" w:rsidP="00E92ED0">
            <w:pPr>
              <w:keepNext/>
              <w:keepLines/>
              <w:widowControl w:val="0"/>
              <w:spacing w:before="0" w:after="0"/>
              <w:jc w:val="left"/>
              <w:rPr>
                <w:rFonts w:ascii="Arial Narrow" w:hAnsi="Arial Narrow"/>
                <w:color w:val="auto"/>
                <w:sz w:val="20"/>
                <w:szCs w:val="20"/>
              </w:rPr>
            </w:pPr>
            <w:r w:rsidRPr="00404C00">
              <w:rPr>
                <w:rFonts w:ascii="Arial Narrow" w:hAnsi="Arial Narrow"/>
                <w:color w:val="auto"/>
                <w:sz w:val="20"/>
                <w:szCs w:val="20"/>
              </w:rPr>
              <w:t>High; the low numbers of the comparator trial, combined with limited baseline characteristics, made this comparison vulnerable to confounders.</w:t>
            </w:r>
          </w:p>
        </w:tc>
      </w:tr>
    </w:tbl>
    <w:p w14:paraId="5227FADC" w14:textId="77777777" w:rsidR="00404C00" w:rsidRPr="00404C00" w:rsidRDefault="00404C00" w:rsidP="0093087D">
      <w:pPr>
        <w:keepNext/>
        <w:keepLines/>
        <w:widowControl w:val="0"/>
        <w:spacing w:before="0" w:after="240"/>
        <w:contextualSpacing/>
        <w:jc w:val="left"/>
        <w:rPr>
          <w:rFonts w:ascii="Arial Narrow" w:eastAsia="Times New Roman" w:hAnsi="Arial Narrow" w:cs="Arial"/>
          <w:snapToGrid w:val="0"/>
          <w:color w:val="000000"/>
          <w:sz w:val="18"/>
          <w:szCs w:val="20"/>
        </w:rPr>
      </w:pPr>
      <w:r w:rsidRPr="00404C00">
        <w:rPr>
          <w:rFonts w:ascii="Arial Narrow" w:eastAsia="Times New Roman" w:hAnsi="Arial Narrow" w:cs="Arial"/>
          <w:snapToGrid w:val="0"/>
          <w:color w:val="000000"/>
          <w:sz w:val="18"/>
          <w:szCs w:val="20"/>
        </w:rPr>
        <w:t xml:space="preserve">ALK = anaplastic lymphoma kinase; EGFR = epidermal growth factor receptor; k = number of studies; KN189 = Keynote 189; MAITC = match-adjusted indirect treatment comparison; </w:t>
      </w:r>
      <w:r w:rsidRPr="00404C00">
        <w:rPr>
          <w:rFonts w:ascii="Arial Narrow" w:eastAsia="Times New Roman" w:hAnsi="Arial Narrow" w:cs="Arial"/>
          <w:i/>
          <w:snapToGrid w:val="0"/>
          <w:color w:val="000000"/>
          <w:sz w:val="18"/>
          <w:szCs w:val="20"/>
        </w:rPr>
        <w:t>MET</w:t>
      </w:r>
      <w:r w:rsidRPr="00404C00">
        <w:rPr>
          <w:rFonts w:ascii="Arial Narrow" w:eastAsia="Times New Roman" w:hAnsi="Arial Narrow" w:cs="Arial"/>
          <w:snapToGrid w:val="0"/>
          <w:color w:val="000000"/>
          <w:sz w:val="18"/>
          <w:szCs w:val="20"/>
        </w:rPr>
        <w:t xml:space="preserve">ex14sk = </w:t>
      </w:r>
      <w:r w:rsidRPr="00404C00">
        <w:rPr>
          <w:rFonts w:ascii="Arial Narrow" w:eastAsia="Times New Roman" w:hAnsi="Arial Narrow" w:cs="Arial"/>
          <w:iCs/>
          <w:snapToGrid w:val="0"/>
          <w:color w:val="000000"/>
          <w:sz w:val="18"/>
          <w:szCs w:val="20"/>
        </w:rPr>
        <w:t>MET proto-oncogene, receptor tyrosine kinase</w:t>
      </w:r>
      <w:r w:rsidRPr="00404C00">
        <w:rPr>
          <w:rFonts w:ascii="Arial Narrow" w:eastAsia="Times New Roman" w:hAnsi="Arial Narrow" w:cs="Arial"/>
          <w:i/>
          <w:iCs/>
          <w:snapToGrid w:val="0"/>
          <w:color w:val="000000"/>
          <w:sz w:val="18"/>
          <w:szCs w:val="20"/>
        </w:rPr>
        <w:t xml:space="preserve"> </w:t>
      </w:r>
      <w:r w:rsidRPr="00404C00">
        <w:rPr>
          <w:rFonts w:ascii="Arial Narrow" w:eastAsia="Times New Roman" w:hAnsi="Arial Narrow" w:cs="Arial"/>
          <w:snapToGrid w:val="0"/>
          <w:color w:val="000000"/>
          <w:sz w:val="18"/>
          <w:szCs w:val="20"/>
        </w:rPr>
        <w:t>gene alteration that causes skipping of exon 14; k=number of studies, n=number of patients.</w:t>
      </w:r>
    </w:p>
    <w:p w14:paraId="45BFAE4F" w14:textId="3F021F57" w:rsidR="00517363" w:rsidRPr="00191AEE" w:rsidRDefault="00404C00" w:rsidP="00191AEE">
      <w:pPr>
        <w:keepNext/>
        <w:keepLines/>
        <w:widowControl w:val="0"/>
        <w:spacing w:before="0" w:after="240"/>
        <w:jc w:val="left"/>
        <w:rPr>
          <w:rFonts w:ascii="Arial Narrow" w:eastAsia="Times New Roman" w:hAnsi="Arial Narrow" w:cs="Arial"/>
          <w:snapToGrid w:val="0"/>
          <w:color w:val="000000"/>
          <w:sz w:val="18"/>
          <w:szCs w:val="20"/>
        </w:rPr>
      </w:pPr>
      <w:r w:rsidRPr="00404C00">
        <w:rPr>
          <w:rFonts w:ascii="Arial Narrow" w:eastAsia="Times New Roman" w:hAnsi="Arial Narrow" w:cs="Arial"/>
          <w:snapToGrid w:val="0"/>
          <w:color w:val="000000"/>
          <w:sz w:val="18"/>
          <w:szCs w:val="20"/>
        </w:rPr>
        <w:t xml:space="preserve">Source: Commentary, </w:t>
      </w:r>
      <w:r w:rsidRPr="00404C00">
        <w:rPr>
          <w:rFonts w:ascii="Arial Narrow" w:eastAsia="Times New Roman" w:hAnsi="Arial Narrow" w:cs="Arial"/>
          <w:snapToGrid w:val="0"/>
          <w:color w:val="000000"/>
          <w:sz w:val="18"/>
          <w:szCs w:val="18"/>
        </w:rPr>
        <w:t xml:space="preserve">Table MSAC.4 </w:t>
      </w:r>
    </w:p>
    <w:p w14:paraId="54B2EB86" w14:textId="340BFE9C" w:rsidR="00404C00" w:rsidRPr="00404C00" w:rsidRDefault="00404C00" w:rsidP="0093087D">
      <w:pPr>
        <w:spacing w:before="0" w:after="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presented evidence to address parts of the analytic framework as </w:t>
      </w:r>
      <w:r w:rsidRPr="00191AEE">
        <w:rPr>
          <w:rFonts w:ascii="Times New Roman" w:eastAsia="Times New Roman" w:hAnsi="Times New Roman" w:cs="Times New Roman"/>
          <w:color w:val="auto"/>
          <w:szCs w:val="24"/>
          <w:lang w:eastAsia="en-AU"/>
        </w:rPr>
        <w:t xml:space="preserve">outlined in </w:t>
      </w:r>
      <w:r w:rsidRPr="00191AEE">
        <w:rPr>
          <w:rFonts w:ascii="Times New Roman" w:eastAsia="Times New Roman" w:hAnsi="Times New Roman" w:cs="Times New Roman"/>
          <w:color w:val="auto"/>
          <w:szCs w:val="24"/>
          <w:lang w:eastAsia="en-AU"/>
        </w:rPr>
        <w:fldChar w:fldCharType="begin"/>
      </w:r>
      <w:r w:rsidRPr="00191AEE">
        <w:rPr>
          <w:rFonts w:ascii="Times New Roman" w:eastAsia="Times New Roman" w:hAnsi="Times New Roman" w:cs="Times New Roman"/>
          <w:color w:val="auto"/>
          <w:szCs w:val="24"/>
          <w:lang w:eastAsia="en-AU"/>
        </w:rPr>
        <w:instrText xml:space="preserve"> REF _Ref84008680 </w:instrText>
      </w:r>
      <w:r w:rsidR="0093087D" w:rsidRPr="00191AEE">
        <w:rPr>
          <w:rFonts w:ascii="Times New Roman" w:eastAsia="Times New Roman" w:hAnsi="Times New Roman" w:cs="Times New Roman"/>
          <w:color w:val="auto"/>
          <w:szCs w:val="24"/>
          <w:lang w:eastAsia="en-AU"/>
        </w:rPr>
        <w:instrText xml:space="preserve"> \* MERGEFORMAT </w:instrText>
      </w:r>
      <w:r w:rsidRPr="00191AEE">
        <w:rPr>
          <w:rFonts w:ascii="Times New Roman" w:eastAsia="Times New Roman" w:hAnsi="Times New Roman" w:cs="Times New Roman"/>
          <w:color w:val="auto"/>
          <w:szCs w:val="24"/>
          <w:lang w:eastAsia="en-AU"/>
        </w:rPr>
        <w:fldChar w:fldCharType="separate"/>
      </w:r>
      <w:r w:rsidR="00EF30D4" w:rsidRPr="00EF30D4">
        <w:rPr>
          <w:rFonts w:ascii="Times New Roman" w:eastAsia="Times New Roman" w:hAnsi="Times New Roman" w:cs="Times New Roman"/>
          <w:iCs/>
          <w:color w:val="auto"/>
          <w:szCs w:val="24"/>
        </w:rPr>
        <w:t>Table 5</w:t>
      </w:r>
      <w:r w:rsidRPr="00191AEE">
        <w:rPr>
          <w:rFonts w:ascii="Times New Roman" w:eastAsia="Times New Roman" w:hAnsi="Times New Roman" w:cs="Times New Roman"/>
          <w:noProof/>
          <w:color w:val="auto"/>
          <w:szCs w:val="24"/>
          <w:lang w:eastAsia="en-AU"/>
        </w:rPr>
        <w:fldChar w:fldCharType="end"/>
      </w:r>
      <w:r w:rsidRPr="00191AEE">
        <w:rPr>
          <w:rFonts w:ascii="Times New Roman" w:eastAsia="Times New Roman" w:hAnsi="Times New Roman" w:cs="Times New Roman"/>
          <w:color w:val="auto"/>
          <w:szCs w:val="24"/>
          <w:lang w:eastAsia="en-AU"/>
        </w:rPr>
        <w:t>. The evidence provided in the ADAR, in addition to the evidence identifie</w:t>
      </w:r>
      <w:r w:rsidRPr="00404C00">
        <w:rPr>
          <w:rFonts w:ascii="Times New Roman" w:eastAsia="Times New Roman" w:hAnsi="Times New Roman" w:cs="Times New Roman"/>
          <w:color w:val="auto"/>
          <w:szCs w:val="20"/>
          <w:lang w:eastAsia="en-AU"/>
        </w:rPr>
        <w:t xml:space="preserve">d by the commentary, is presented below. As tepotinib is targeted against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it would be </w:t>
      </w:r>
      <w:r w:rsidRPr="00404C00">
        <w:rPr>
          <w:rFonts w:ascii="Times New Roman" w:eastAsia="Times New Roman" w:hAnsi="Times New Roman" w:cs="Times New Roman"/>
          <w:color w:val="auto"/>
          <w:szCs w:val="20"/>
          <w:lang w:eastAsia="en-AU"/>
        </w:rPr>
        <w:lastRenderedPageBreak/>
        <w:t xml:space="preserve">inappropriate to administer it to a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negative population. The ADAR did not provide any data on the efficacy of pembrolizumab in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positive or negative populations, however the likely prevalence of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 in KN189 may have been approximately 3%.</w:t>
      </w:r>
    </w:p>
    <w:p w14:paraId="6F026964" w14:textId="749810EF" w:rsidR="00404C00" w:rsidRPr="00404C00" w:rsidRDefault="00404C00" w:rsidP="0093087D">
      <w:pPr>
        <w:keepNext/>
        <w:spacing w:before="0" w:after="40"/>
        <w:jc w:val="left"/>
        <w:outlineLvl w:val="4"/>
        <w:rPr>
          <w:rFonts w:ascii="Arial Narrow" w:eastAsia="Times New Roman" w:hAnsi="Arial Narrow" w:cs="Arial"/>
          <w:b/>
          <w:bCs/>
          <w:iCs/>
          <w:color w:val="auto"/>
          <w:sz w:val="20"/>
          <w:szCs w:val="20"/>
        </w:rPr>
      </w:pPr>
      <w:bookmarkStart w:id="12" w:name="_Ref84008680"/>
      <w:r w:rsidRPr="00404C00">
        <w:rPr>
          <w:rFonts w:ascii="Arial Narrow" w:eastAsia="Times New Roman" w:hAnsi="Arial Narrow" w:cs="Arial"/>
          <w:b/>
          <w:bCs/>
          <w:iCs/>
          <w:color w:val="auto"/>
          <w:sz w:val="20"/>
          <w:szCs w:val="20"/>
        </w:rPr>
        <w:t xml:space="preserve">Table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Table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5</w:t>
      </w:r>
      <w:r w:rsidRPr="00404C00">
        <w:rPr>
          <w:rFonts w:ascii="Arial Narrow" w:eastAsia="Times New Roman" w:hAnsi="Arial Narrow" w:cs="Arial"/>
          <w:b/>
          <w:bCs/>
          <w:iCs/>
          <w:noProof/>
          <w:color w:val="auto"/>
          <w:sz w:val="20"/>
          <w:szCs w:val="20"/>
        </w:rPr>
        <w:fldChar w:fldCharType="end"/>
      </w:r>
      <w:bookmarkEnd w:id="12"/>
      <w:r w:rsidRPr="00404C00">
        <w:rPr>
          <w:rFonts w:ascii="Arial Narrow" w:eastAsia="Times New Roman" w:hAnsi="Arial Narrow" w:cs="Arial"/>
          <w:b/>
          <w:bCs/>
          <w:iCs/>
          <w:color w:val="auto"/>
          <w:sz w:val="20"/>
          <w:szCs w:val="20"/>
        </w:rPr>
        <w:tab/>
        <w:t>Data</w:t>
      </w:r>
      <w:r w:rsidRPr="00404C00">
        <w:rPr>
          <w:rFonts w:ascii="Arial Narrow" w:eastAsia="Times New Roman" w:hAnsi="Arial Narrow" w:cs="Arial"/>
          <w:bCs/>
          <w:color w:val="auto"/>
          <w:sz w:val="20"/>
          <w:szCs w:val="18"/>
        </w:rPr>
        <w:t xml:space="preserve"> </w:t>
      </w:r>
      <w:r w:rsidRPr="00404C00">
        <w:rPr>
          <w:rFonts w:ascii="Arial Narrow" w:eastAsia="Times New Roman" w:hAnsi="Arial Narrow" w:cs="Arial"/>
          <w:b/>
          <w:color w:val="auto"/>
          <w:sz w:val="20"/>
          <w:szCs w:val="18"/>
        </w:rPr>
        <w:t>availability to inform comparisons</w:t>
      </w:r>
    </w:p>
    <w:tbl>
      <w:tblPr>
        <w:tblStyle w:val="HTATableshade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ata availability to inform comparisons"/>
      </w:tblPr>
      <w:tblGrid>
        <w:gridCol w:w="2193"/>
        <w:gridCol w:w="3134"/>
        <w:gridCol w:w="3689"/>
      </w:tblGrid>
      <w:tr w:rsidR="00404C00" w:rsidRPr="00404C00" w14:paraId="5E206186" w14:textId="77777777" w:rsidTr="00404C00">
        <w:trPr>
          <w:cnfStyle w:val="100000000000" w:firstRow="1" w:lastRow="0" w:firstColumn="0" w:lastColumn="0" w:oddVBand="0" w:evenVBand="0" w:oddHBand="0" w:evenHBand="0" w:firstRowFirstColumn="0" w:firstRowLastColumn="0" w:lastRowFirstColumn="0" w:lastRowLastColumn="0"/>
        </w:trPr>
        <w:tc>
          <w:tcPr>
            <w:tcW w:w="1216" w:type="pct"/>
            <w:tcBorders>
              <w:top w:val="single" w:sz="4" w:space="0" w:color="000000"/>
              <w:left w:val="single" w:sz="4" w:space="0" w:color="000000"/>
              <w:bottom w:val="single" w:sz="4" w:space="0" w:color="000000"/>
              <w:right w:val="single" w:sz="4" w:space="0" w:color="000000"/>
            </w:tcBorders>
            <w:hideMark/>
          </w:tcPr>
          <w:p w14:paraId="4A9208E1"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Proposed test vs alternative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5F6B7AC6"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DNA-NGS vs Hybrid DNA/RNA NGS: 1 case-control study</w:t>
            </w:r>
          </w:p>
          <w:p w14:paraId="3951F25E"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Sanger sequencing vs Hybrid DNA/RNA NGS: 1 case-control and 1 comparative study</w:t>
            </w:r>
          </w:p>
          <w:p w14:paraId="17CBE455"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proofErr w:type="spellStart"/>
            <w:r w:rsidRPr="00404C00">
              <w:rPr>
                <w:rFonts w:ascii="Arial Narrow" w:hAnsi="Arial Narrow"/>
                <w:iCs/>
                <w:color w:val="auto"/>
                <w:sz w:val="20"/>
                <w:szCs w:val="20"/>
              </w:rPr>
              <w:t>qRT</w:t>
            </w:r>
            <w:proofErr w:type="spellEnd"/>
            <w:r w:rsidRPr="00404C00">
              <w:rPr>
                <w:rFonts w:ascii="Arial Narrow" w:hAnsi="Arial Narrow"/>
                <w:iCs/>
                <w:color w:val="auto"/>
                <w:sz w:val="20"/>
                <w:szCs w:val="20"/>
              </w:rPr>
              <w:t>-PCR vs Hybrid DNA/RNA NGS: 1 case-control and 1 comparative study</w:t>
            </w:r>
          </w:p>
          <w:p w14:paraId="04033EBD"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proofErr w:type="spellStart"/>
            <w:r w:rsidRPr="00404C00">
              <w:rPr>
                <w:rFonts w:ascii="Arial Narrow" w:hAnsi="Arial Narrow"/>
                <w:iCs/>
                <w:color w:val="auto"/>
                <w:sz w:val="20"/>
                <w:szCs w:val="20"/>
              </w:rPr>
              <w:t>ArcherDX</w:t>
            </w:r>
            <w:proofErr w:type="spellEnd"/>
            <w:r w:rsidRPr="00404C00">
              <w:rPr>
                <w:rFonts w:ascii="Arial Narrow" w:hAnsi="Arial Narrow"/>
                <w:iCs/>
                <w:color w:val="auto"/>
                <w:sz w:val="20"/>
                <w:szCs w:val="20"/>
              </w:rPr>
              <w:t xml:space="preserve"> RNA NGS vs Hybrid DNA/RNA NGS: 1 case-control study</w:t>
            </w:r>
          </w:p>
          <w:p w14:paraId="0B8A926F"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DNA-NGS vs RNA-NGS: 1 comparative study</w:t>
            </w:r>
          </w:p>
        </w:tc>
      </w:tr>
      <w:tr w:rsidR="00404C00" w:rsidRPr="00404C00" w14:paraId="2FE1598D" w14:textId="77777777" w:rsidTr="00404C00">
        <w:tc>
          <w:tcPr>
            <w:tcW w:w="1216" w:type="pct"/>
            <w:tcBorders>
              <w:top w:val="single" w:sz="4" w:space="0" w:color="000000"/>
              <w:left w:val="single" w:sz="4" w:space="0" w:color="000000"/>
              <w:bottom w:val="single" w:sz="4" w:space="0" w:color="000000"/>
              <w:right w:val="single" w:sz="4" w:space="0" w:color="000000"/>
            </w:tcBorders>
          </w:tcPr>
          <w:p w14:paraId="1B4A2A2C"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p>
        </w:tc>
        <w:tc>
          <w:tcPr>
            <w:tcW w:w="1738" w:type="pct"/>
            <w:tcBorders>
              <w:top w:val="single" w:sz="4" w:space="0" w:color="000000"/>
              <w:left w:val="single" w:sz="4" w:space="0" w:color="000000"/>
              <w:bottom w:val="single" w:sz="4" w:space="0" w:color="000000"/>
              <w:right w:val="single" w:sz="4" w:space="0" w:color="000000"/>
            </w:tcBorders>
            <w:hideMark/>
          </w:tcPr>
          <w:p w14:paraId="0740A152"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Tepotinib</w:t>
            </w:r>
          </w:p>
        </w:tc>
        <w:tc>
          <w:tcPr>
            <w:tcW w:w="2046" w:type="pct"/>
            <w:tcBorders>
              <w:top w:val="single" w:sz="4" w:space="0" w:color="000000"/>
              <w:left w:val="single" w:sz="4" w:space="0" w:color="000000"/>
              <w:bottom w:val="single" w:sz="4" w:space="0" w:color="000000"/>
              <w:right w:val="single" w:sz="4" w:space="0" w:color="000000"/>
            </w:tcBorders>
            <w:hideMark/>
          </w:tcPr>
          <w:p w14:paraId="55797744"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Pembrolizumab + chemotherapy</w:t>
            </w:r>
          </w:p>
        </w:tc>
      </w:tr>
      <w:tr w:rsidR="00404C00" w:rsidRPr="00404C00" w14:paraId="42D9A1B3" w14:textId="77777777" w:rsidTr="00404C00">
        <w:tc>
          <w:tcPr>
            <w:tcW w:w="1216" w:type="pct"/>
            <w:tcBorders>
              <w:top w:val="single" w:sz="4" w:space="0" w:color="000000"/>
              <w:left w:val="single" w:sz="4" w:space="0" w:color="000000"/>
              <w:bottom w:val="single" w:sz="4" w:space="0" w:color="000000"/>
              <w:right w:val="single" w:sz="4" w:space="0" w:color="000000"/>
            </w:tcBorders>
            <w:hideMark/>
          </w:tcPr>
          <w:p w14:paraId="733534A3"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Biomarker test positive</w:t>
            </w:r>
          </w:p>
        </w:tc>
        <w:tc>
          <w:tcPr>
            <w:tcW w:w="1738" w:type="pct"/>
            <w:tcBorders>
              <w:top w:val="single" w:sz="4" w:space="0" w:color="000000"/>
              <w:left w:val="single" w:sz="4" w:space="0" w:color="000000"/>
              <w:bottom w:val="single" w:sz="4" w:space="0" w:color="000000"/>
              <w:right w:val="single" w:sz="4" w:space="0" w:color="000000"/>
            </w:tcBorders>
            <w:hideMark/>
          </w:tcPr>
          <w:p w14:paraId="5B3136D1"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VISION trial</w:t>
            </w:r>
          </w:p>
        </w:tc>
        <w:tc>
          <w:tcPr>
            <w:tcW w:w="2046" w:type="pct"/>
            <w:tcBorders>
              <w:top w:val="single" w:sz="4" w:space="0" w:color="000000"/>
              <w:left w:val="single" w:sz="4" w:space="0" w:color="000000"/>
              <w:bottom w:val="single" w:sz="4" w:space="0" w:color="000000"/>
              <w:right w:val="single" w:sz="4" w:space="0" w:color="000000"/>
            </w:tcBorders>
            <w:hideMark/>
          </w:tcPr>
          <w:p w14:paraId="0A10D575"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NA</w:t>
            </w:r>
          </w:p>
        </w:tc>
      </w:tr>
      <w:tr w:rsidR="00404C00" w:rsidRPr="00404C00" w14:paraId="089B74DE" w14:textId="77777777" w:rsidTr="00404C00">
        <w:tc>
          <w:tcPr>
            <w:tcW w:w="1216" w:type="pct"/>
            <w:tcBorders>
              <w:top w:val="single" w:sz="4" w:space="0" w:color="000000"/>
              <w:left w:val="single" w:sz="4" w:space="0" w:color="000000"/>
              <w:bottom w:val="single" w:sz="4" w:space="0" w:color="000000"/>
              <w:right w:val="single" w:sz="4" w:space="0" w:color="000000"/>
            </w:tcBorders>
            <w:hideMark/>
          </w:tcPr>
          <w:p w14:paraId="321D32B6" w14:textId="33AF38EF"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Biomarker test negative</w:t>
            </w:r>
          </w:p>
        </w:tc>
        <w:tc>
          <w:tcPr>
            <w:tcW w:w="1738" w:type="pct"/>
            <w:tcBorders>
              <w:top w:val="single" w:sz="4" w:space="0" w:color="000000"/>
              <w:left w:val="single" w:sz="4" w:space="0" w:color="000000"/>
              <w:bottom w:val="single" w:sz="4" w:space="0" w:color="000000"/>
              <w:right w:val="single" w:sz="4" w:space="0" w:color="000000"/>
            </w:tcBorders>
            <w:hideMark/>
          </w:tcPr>
          <w:p w14:paraId="252F2C10"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NA</w:t>
            </w:r>
          </w:p>
        </w:tc>
        <w:tc>
          <w:tcPr>
            <w:tcW w:w="2046" w:type="pct"/>
            <w:tcBorders>
              <w:top w:val="single" w:sz="4" w:space="0" w:color="000000"/>
              <w:left w:val="single" w:sz="4" w:space="0" w:color="000000"/>
              <w:bottom w:val="single" w:sz="4" w:space="0" w:color="000000"/>
              <w:right w:val="single" w:sz="4" w:space="0" w:color="000000"/>
            </w:tcBorders>
            <w:hideMark/>
          </w:tcPr>
          <w:p w14:paraId="1DBA2147"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NA</w:t>
            </w:r>
          </w:p>
        </w:tc>
      </w:tr>
      <w:tr w:rsidR="00404C00" w:rsidRPr="00404C00" w14:paraId="0C79D38C" w14:textId="77777777" w:rsidTr="00404C00">
        <w:tc>
          <w:tcPr>
            <w:tcW w:w="1216" w:type="pct"/>
            <w:tcBorders>
              <w:top w:val="single" w:sz="4" w:space="0" w:color="000000"/>
              <w:left w:val="single" w:sz="4" w:space="0" w:color="000000"/>
              <w:bottom w:val="single" w:sz="4" w:space="0" w:color="000000"/>
              <w:right w:val="single" w:sz="4" w:space="0" w:color="000000"/>
            </w:tcBorders>
          </w:tcPr>
          <w:p w14:paraId="4EDF147B"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Unselected</w:t>
            </w:r>
          </w:p>
        </w:tc>
        <w:tc>
          <w:tcPr>
            <w:tcW w:w="1738" w:type="pct"/>
            <w:tcBorders>
              <w:top w:val="single" w:sz="4" w:space="0" w:color="000000"/>
              <w:left w:val="single" w:sz="4" w:space="0" w:color="000000"/>
              <w:bottom w:val="single" w:sz="4" w:space="0" w:color="000000"/>
              <w:right w:val="single" w:sz="4" w:space="0" w:color="000000"/>
            </w:tcBorders>
          </w:tcPr>
          <w:p w14:paraId="5F21967D" w14:textId="77777777"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NA</w:t>
            </w:r>
          </w:p>
        </w:tc>
        <w:tc>
          <w:tcPr>
            <w:tcW w:w="2046" w:type="pct"/>
            <w:tcBorders>
              <w:top w:val="single" w:sz="4" w:space="0" w:color="000000"/>
              <w:left w:val="single" w:sz="4" w:space="0" w:color="000000"/>
              <w:bottom w:val="single" w:sz="4" w:space="0" w:color="000000"/>
              <w:right w:val="single" w:sz="4" w:space="0" w:color="000000"/>
            </w:tcBorders>
          </w:tcPr>
          <w:p w14:paraId="26971127" w14:textId="6427F733" w:rsidR="00404C00" w:rsidRPr="00404C00" w:rsidRDefault="00404C00" w:rsidP="0093087D">
            <w:pPr>
              <w:keepNext/>
              <w:keepLines/>
              <w:widowControl w:val="0"/>
              <w:spacing w:before="40" w:after="40"/>
              <w:jc w:val="left"/>
              <w:rPr>
                <w:rFonts w:ascii="Arial Narrow" w:hAnsi="Arial Narrow"/>
                <w:iCs/>
                <w:color w:val="auto"/>
                <w:sz w:val="20"/>
                <w:szCs w:val="20"/>
              </w:rPr>
            </w:pPr>
            <w:r w:rsidRPr="00404C00">
              <w:rPr>
                <w:rFonts w:ascii="Arial Narrow" w:hAnsi="Arial Narrow"/>
                <w:iCs/>
                <w:color w:val="auto"/>
                <w:sz w:val="20"/>
                <w:szCs w:val="20"/>
              </w:rPr>
              <w:t xml:space="preserve">Keynote189 ITT population, where approximately 3% may have had </w:t>
            </w:r>
            <w:r w:rsidRPr="00404C00">
              <w:rPr>
                <w:rFonts w:ascii="Arial Narrow" w:hAnsi="Arial Narrow"/>
                <w:i/>
                <w:color w:val="auto"/>
                <w:sz w:val="20"/>
                <w:szCs w:val="20"/>
              </w:rPr>
              <w:t>MET</w:t>
            </w:r>
            <w:r w:rsidRPr="00404C00">
              <w:rPr>
                <w:rFonts w:ascii="Arial Narrow" w:hAnsi="Arial Narrow"/>
                <w:iCs/>
                <w:color w:val="auto"/>
                <w:sz w:val="20"/>
                <w:szCs w:val="20"/>
              </w:rPr>
              <w:t>ex14sk</w:t>
            </w:r>
          </w:p>
        </w:tc>
      </w:tr>
    </w:tbl>
    <w:p w14:paraId="38B55530" w14:textId="77777777" w:rsidR="00404C00" w:rsidRPr="00404C00" w:rsidRDefault="00404C00" w:rsidP="0093087D">
      <w:pPr>
        <w:keepNext/>
        <w:keepLines/>
        <w:widowControl w:val="0"/>
        <w:spacing w:before="0" w:after="240"/>
        <w:contextualSpacing/>
        <w:jc w:val="left"/>
        <w:rPr>
          <w:rFonts w:ascii="Arial Narrow" w:eastAsia="Times New Roman" w:hAnsi="Arial Narrow" w:cs="Arial"/>
          <w:iCs/>
          <w:snapToGrid w:val="0"/>
          <w:color w:val="auto"/>
          <w:sz w:val="18"/>
          <w:szCs w:val="20"/>
          <w:lang w:eastAsia="en-AU"/>
        </w:rPr>
      </w:pPr>
      <w:r w:rsidRPr="00404C00">
        <w:rPr>
          <w:rFonts w:ascii="Arial Narrow" w:eastAsia="Times New Roman" w:hAnsi="Arial Narrow" w:cs="Arial"/>
          <w:iCs/>
          <w:snapToGrid w:val="0"/>
          <w:color w:val="auto"/>
          <w:sz w:val="18"/>
          <w:szCs w:val="20"/>
          <w:lang w:eastAsia="en-AU"/>
        </w:rPr>
        <w:t xml:space="preserve">DNA = deoxyribonucleic acid; ITT = intention to treat; </w:t>
      </w:r>
      <w:r w:rsidRPr="00404C00">
        <w:rPr>
          <w:rFonts w:ascii="Arial Narrow" w:eastAsia="Times New Roman" w:hAnsi="Arial Narrow" w:cs="Arial"/>
          <w:i/>
          <w:snapToGrid w:val="0"/>
          <w:color w:val="auto"/>
          <w:sz w:val="18"/>
          <w:szCs w:val="20"/>
          <w:lang w:eastAsia="en-AU"/>
        </w:rPr>
        <w:t>MET</w:t>
      </w:r>
      <w:r w:rsidRPr="00404C00">
        <w:rPr>
          <w:rFonts w:ascii="Arial Narrow" w:eastAsia="Times New Roman" w:hAnsi="Arial Narrow" w:cs="Arial"/>
          <w:iCs/>
          <w:snapToGrid w:val="0"/>
          <w:color w:val="auto"/>
          <w:sz w:val="18"/>
          <w:szCs w:val="20"/>
          <w:lang w:eastAsia="en-AU"/>
        </w:rPr>
        <w:t xml:space="preserve">ex14sk = MET proto-oncogene, receptor tyrosine kinase gene alteration that causes skipping of exon 14; NA = not applicable; NGS = next generation sequencing; PCR = polymerase chain reaction; </w:t>
      </w:r>
      <w:proofErr w:type="spellStart"/>
      <w:r w:rsidRPr="00404C00">
        <w:rPr>
          <w:rFonts w:ascii="Arial Narrow" w:eastAsia="Times New Roman" w:hAnsi="Arial Narrow" w:cs="Arial"/>
          <w:iCs/>
          <w:snapToGrid w:val="0"/>
          <w:color w:val="auto"/>
          <w:sz w:val="18"/>
          <w:szCs w:val="20"/>
          <w:lang w:eastAsia="en-AU"/>
        </w:rPr>
        <w:t>qRT</w:t>
      </w:r>
      <w:proofErr w:type="spellEnd"/>
      <w:r w:rsidRPr="00404C00">
        <w:rPr>
          <w:rFonts w:ascii="Arial Narrow" w:eastAsia="Times New Roman" w:hAnsi="Arial Narrow" w:cs="Arial"/>
          <w:iCs/>
          <w:snapToGrid w:val="0"/>
          <w:color w:val="auto"/>
          <w:sz w:val="18"/>
          <w:szCs w:val="20"/>
          <w:lang w:eastAsia="en-AU"/>
        </w:rPr>
        <w:t>-PCR = quantitative real-time polymerase chain reaction; RNA = ribonucleic acid.</w:t>
      </w:r>
    </w:p>
    <w:p w14:paraId="1F91D62D" w14:textId="77777777" w:rsidR="00404C00" w:rsidRPr="00404C00" w:rsidRDefault="00404C00" w:rsidP="00191AEE">
      <w:pPr>
        <w:keepNext/>
        <w:keepLines/>
        <w:widowControl w:val="0"/>
        <w:spacing w:before="0" w:after="240"/>
        <w:jc w:val="left"/>
        <w:rPr>
          <w:rFonts w:ascii="Arial Narrow" w:eastAsia="Times New Roman" w:hAnsi="Arial Narrow" w:cs="Arial"/>
          <w:snapToGrid w:val="0"/>
          <w:color w:val="auto"/>
          <w:sz w:val="18"/>
          <w:szCs w:val="20"/>
          <w:lang w:eastAsia="en-AU"/>
        </w:rPr>
      </w:pPr>
      <w:r w:rsidRPr="00404C00">
        <w:rPr>
          <w:rFonts w:ascii="Arial Narrow" w:eastAsia="Times New Roman" w:hAnsi="Arial Narrow" w:cs="Arial"/>
          <w:snapToGrid w:val="0"/>
          <w:color w:val="auto"/>
          <w:sz w:val="18"/>
          <w:szCs w:val="20"/>
          <w:lang w:eastAsia="en-AU"/>
        </w:rPr>
        <w:t xml:space="preserve">Source: Commentary, </w:t>
      </w:r>
      <w:r w:rsidRPr="00404C00">
        <w:rPr>
          <w:rFonts w:ascii="Arial Narrow" w:eastAsia="Times New Roman" w:hAnsi="Arial Narrow" w:cs="Times New Roman"/>
          <w:color w:val="auto"/>
          <w:sz w:val="18"/>
          <w:szCs w:val="18"/>
          <w:lang w:eastAsia="en-AU"/>
        </w:rPr>
        <w:t xml:space="preserve">Table MSAC.5 </w:t>
      </w:r>
    </w:p>
    <w:p w14:paraId="73AC75DF" w14:textId="522FEAFA"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The commentary stated that the populations, tests</w:t>
      </w:r>
      <w:r w:rsidR="00A03361">
        <w:rPr>
          <w:rFonts w:ascii="Times New Roman" w:eastAsia="Times New Roman" w:hAnsi="Times New Roman" w:cs="Times New Roman"/>
          <w:iCs/>
          <w:color w:val="auto"/>
          <w:szCs w:val="20"/>
          <w:lang w:eastAsia="en-AU"/>
        </w:rPr>
        <w:t>,</w:t>
      </w:r>
      <w:r w:rsidRPr="00404C00">
        <w:rPr>
          <w:rFonts w:ascii="Times New Roman" w:eastAsia="Times New Roman" w:hAnsi="Times New Roman" w:cs="Times New Roman"/>
          <w:iCs/>
          <w:color w:val="auto"/>
          <w:szCs w:val="20"/>
          <w:lang w:eastAsia="en-AU"/>
        </w:rPr>
        <w:t xml:space="preserve"> and treatment regimens were not always transferrable across the evidence linkages, as they varied considerably. The application stated that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are stable (so testing should select the same patients for treatment, regardless of timing of testing). However, the commentary noted that no evidence was provided on the stability of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w:t>
      </w:r>
    </w:p>
    <w:p w14:paraId="3A32E52C" w14:textId="77777777"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also stated that it was unclear whether patient/disease characteristics differed between the test accuracy studies, as the reporting on patient characteristics in the different studies was very limited. It is therefore unclear whether there are likely to be transitivity issues between the test accuracy studies and treatment effectiveness studies. </w:t>
      </w:r>
    </w:p>
    <w:p w14:paraId="4D8E97E2" w14:textId="77777777" w:rsidR="00404C00" w:rsidRPr="00404C00" w:rsidRDefault="00404C00" w:rsidP="0093087D">
      <w:pPr>
        <w:spacing w:before="0" w:after="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The ADAR stated that the key VISION trial was a single-arm Phase II open-label study; the internal study design was judged to be of low risk of bias, acknowledging the lack of a randomised study population, or a placebo/comparator arm make the efficacy results vulnerable to unknown confounders. Comparatively, the KN189 trial was a robust Phase III randomised, placebo-controlled double-blinded trial which demonstrated convincing superiority of pembrolizumab + chemotherapy compared to placebo + chemotherapy. The match-adjusted indirect treatment comparison (MAITC) was unanchored, making it vulnerable to unknown confounders, and the two trials were on patients with different genetic pathophysiology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NSCLC in VISION, compared to the general </w:t>
      </w:r>
      <w:r w:rsidRPr="00404C00">
        <w:rPr>
          <w:rFonts w:ascii="Times New Roman" w:eastAsia="Times New Roman" w:hAnsi="Times New Roman" w:cs="Times New Roman"/>
          <w:i/>
          <w:color w:val="auto"/>
          <w:szCs w:val="20"/>
          <w:lang w:eastAsia="en-AU"/>
        </w:rPr>
        <w:t>EGFR/ALK</w:t>
      </w:r>
      <w:r w:rsidRPr="00404C00">
        <w:rPr>
          <w:rFonts w:ascii="Times New Roman" w:eastAsia="Times New Roman" w:hAnsi="Times New Roman" w:cs="Times New Roman"/>
          <w:color w:val="auto"/>
          <w:szCs w:val="20"/>
          <w:lang w:eastAsia="en-AU"/>
        </w:rPr>
        <w:t>-negative Stage IV NSCLC population of KN189). These differences gave the MAITC a high risk of bias.</w:t>
      </w:r>
    </w:p>
    <w:p w14:paraId="3F4CC781" w14:textId="7B171825" w:rsidR="00404C00" w:rsidRPr="00191AEE" w:rsidRDefault="00404C00" w:rsidP="00191AEE">
      <w:pPr>
        <w:keepNext/>
        <w:keepLines/>
        <w:spacing w:after="40"/>
        <w:jc w:val="left"/>
        <w:outlineLvl w:val="1"/>
        <w:rPr>
          <w:rFonts w:ascii="Times New Roman" w:eastAsia="Times New Roman" w:hAnsi="Times New Roman" w:cs="Times New Roman"/>
          <w:b/>
          <w:bCs/>
          <w:snapToGrid w:val="0"/>
          <w:color w:val="auto"/>
          <w:szCs w:val="26"/>
          <w:lang w:eastAsia="en-AU"/>
        </w:rPr>
      </w:pPr>
      <w:r w:rsidRPr="00404C00">
        <w:rPr>
          <w:rFonts w:ascii="Times New Roman" w:eastAsia="Times New Roman" w:hAnsi="Times New Roman" w:cs="Times New Roman"/>
          <w:b/>
          <w:bCs/>
          <w:snapToGrid w:val="0"/>
          <w:color w:val="auto"/>
          <w:szCs w:val="26"/>
          <w:lang w:eastAsia="en-AU"/>
        </w:rPr>
        <w:t>Effectiveness (based on linked evidence)</w:t>
      </w:r>
    </w:p>
    <w:p w14:paraId="7F8E8430" w14:textId="77777777" w:rsidR="00404C00" w:rsidRPr="00404C00" w:rsidRDefault="00404C00" w:rsidP="00191AEE">
      <w:pPr>
        <w:keepNext/>
        <w:keepLines/>
        <w:spacing w:after="40"/>
        <w:jc w:val="left"/>
        <w:outlineLvl w:val="2"/>
        <w:rPr>
          <w:rFonts w:ascii="Times New Roman" w:eastAsia="Times New Roman" w:hAnsi="Times New Roman" w:cs="Times New Roman"/>
          <w:bCs/>
          <w:snapToGrid w:val="0"/>
          <w:color w:val="auto"/>
          <w:szCs w:val="24"/>
          <w:u w:val="single"/>
          <w:lang w:eastAsia="en-AU"/>
        </w:rPr>
      </w:pPr>
      <w:r w:rsidRPr="00404C00">
        <w:rPr>
          <w:rFonts w:ascii="Times New Roman" w:eastAsia="Times New Roman" w:hAnsi="Times New Roman" w:cs="Times New Roman"/>
          <w:bCs/>
          <w:snapToGrid w:val="0"/>
          <w:color w:val="auto"/>
          <w:szCs w:val="24"/>
          <w:u w:val="single"/>
          <w:lang w:eastAsia="en-AU"/>
        </w:rPr>
        <w:t>Prognostic evidence</w:t>
      </w:r>
    </w:p>
    <w:p w14:paraId="19722DF6" w14:textId="1E50FB30"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color w:val="auto"/>
          <w:szCs w:val="20"/>
          <w:lang w:eastAsia="en-AU"/>
        </w:rPr>
        <w:t xml:space="preserve">Five studies were identified by the ADAR that provided prognostic evidence, and one study was added by the commentary. </w:t>
      </w:r>
      <w:r w:rsidRPr="00404C00">
        <w:rPr>
          <w:rFonts w:ascii="Times New Roman" w:eastAsia="Times New Roman" w:hAnsi="Times New Roman" w:cs="Times New Roman"/>
          <w:iCs/>
          <w:color w:val="auto"/>
          <w:szCs w:val="20"/>
          <w:lang w:eastAsia="en-AU"/>
        </w:rPr>
        <w:t xml:space="preserve">The commentary stated that the available prognostic evidence was limited.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are closely correlated with poor prognostic factors: patients with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are generally older than patients without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and are more likely to have </w:t>
      </w:r>
      <w:r w:rsidRPr="00404C00">
        <w:rPr>
          <w:rFonts w:ascii="Times New Roman" w:eastAsia="Times New Roman" w:hAnsi="Times New Roman" w:cs="Times New Roman"/>
          <w:iCs/>
          <w:color w:val="auto"/>
          <w:szCs w:val="20"/>
          <w:lang w:eastAsia="en-AU"/>
        </w:rPr>
        <w:lastRenderedPageBreak/>
        <w:t>two or more metastases at the time of diagnosis</w:t>
      </w:r>
      <w:r w:rsidRPr="00404C00">
        <w:rPr>
          <w:rFonts w:ascii="Times New Roman" w:eastAsia="Times New Roman" w:hAnsi="Times New Roman" w:cs="Times New Roman"/>
          <w:iCs/>
          <w:color w:val="auto"/>
          <w:szCs w:val="20"/>
          <w:vertAlign w:val="superscript"/>
          <w:lang w:eastAsia="en-AU"/>
        </w:rPr>
        <w:footnoteReference w:id="5"/>
      </w:r>
      <w:r w:rsidRPr="00404C00">
        <w:rPr>
          <w:rFonts w:ascii="Times New Roman" w:eastAsia="Times New Roman" w:hAnsi="Times New Roman" w:cs="Times New Roman"/>
          <w:iCs/>
          <w:color w:val="auto"/>
          <w:szCs w:val="20"/>
          <w:lang w:eastAsia="en-AU"/>
        </w:rPr>
        <w:t xml:space="preserve">. This would suggest that, generally, patients with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(eligible for receiving tepotinib) would already have a worse prognosis at baseline compared to patients without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(receiving the comparator treatment). In univariate analyses, having a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therefore appears related to a poor prognosis.</w:t>
      </w:r>
    </w:p>
    <w:p w14:paraId="4C59E80B" w14:textId="44FFBD52"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To control for other prognostic factors, the commentary conducted a pooled analysis including all prognostic studies with multivariate analyses (adjusting for other prognostic factors). Studies were not limited on disease stage or histology (i.e. patients of all stages of NSCLC were included). The overall pooled result for the six studies was not statistically significant, but there was a trend suggesting that those with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ex14sk have a worse prognosis than those without variants (HR = 1.38, 95%CI 0.81, 2.34, I</w:t>
      </w:r>
      <w:r w:rsidRPr="00404C00">
        <w:rPr>
          <w:rFonts w:ascii="Times New Roman" w:eastAsia="Times New Roman" w:hAnsi="Times New Roman" w:cs="Times New Roman"/>
          <w:iCs/>
          <w:color w:val="auto"/>
          <w:szCs w:val="20"/>
          <w:vertAlign w:val="superscript"/>
          <w:lang w:eastAsia="en-AU"/>
        </w:rPr>
        <w:t xml:space="preserve">2 </w:t>
      </w:r>
      <w:r w:rsidRPr="00404C00">
        <w:rPr>
          <w:rFonts w:ascii="Times New Roman" w:eastAsia="Times New Roman" w:hAnsi="Times New Roman" w:cs="Times New Roman"/>
          <w:iCs/>
          <w:color w:val="auto"/>
          <w:szCs w:val="20"/>
          <w:lang w:eastAsia="en-AU"/>
        </w:rPr>
        <w:t xml:space="preserve">= 46.6%). However, when the two studies that only included patients with advanced disease were pooled, no prognostic effect of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 xml:space="preserve">ex14sk was observed (HR = 1.02, 95%CI 0.67, 1.54). The commentary stated it is therefore unclear whether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ex14sk are an independent prognostic factor.</w:t>
      </w:r>
    </w:p>
    <w:p w14:paraId="3027D83F" w14:textId="77777777" w:rsidR="00404C00" w:rsidRPr="00404C00" w:rsidRDefault="00404C00" w:rsidP="0093087D">
      <w:pPr>
        <w:keepNext/>
        <w:keepLines/>
        <w:spacing w:before="0" w:after="40"/>
        <w:jc w:val="left"/>
        <w:outlineLvl w:val="2"/>
        <w:rPr>
          <w:rFonts w:ascii="Times New Roman" w:eastAsia="Times New Roman" w:hAnsi="Times New Roman" w:cs="Times New Roman"/>
          <w:bCs/>
          <w:snapToGrid w:val="0"/>
          <w:color w:val="auto"/>
          <w:szCs w:val="24"/>
          <w:u w:val="single"/>
          <w:lang w:eastAsia="en-AU"/>
        </w:rPr>
      </w:pPr>
      <w:r w:rsidRPr="00404C00">
        <w:rPr>
          <w:rFonts w:ascii="Times New Roman" w:eastAsia="Times New Roman" w:hAnsi="Times New Roman" w:cs="Times New Roman"/>
          <w:bCs/>
          <w:snapToGrid w:val="0"/>
          <w:color w:val="auto"/>
          <w:szCs w:val="24"/>
          <w:u w:val="single"/>
          <w:lang w:eastAsia="en-AU"/>
        </w:rPr>
        <w:t>Predictive evidence</w:t>
      </w:r>
    </w:p>
    <w:p w14:paraId="039FB218" w14:textId="2D9EE4B9" w:rsidR="00404C00" w:rsidRPr="00404C00" w:rsidRDefault="00404C00" w:rsidP="0093087D">
      <w:pPr>
        <w:spacing w:before="0" w:after="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stated there is a strong biological rationale for the use of tepotinib in patients whose tumours harbour a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There was no direct evidence comparing efficacy outcomes of patients with a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who were treated with tepotinib verses pembrolizumab + chemotherapy. The commentary stated that the ADAR specified chemotherapy as a secondary comparator, for patients unable to receive an immune checkpoint inhibitor. It provided an indirect treatment comparison (ITC) between the VISION trial and a small South Korean trial, which measured the response to pemetrexed-based chemotherapy of 15 patients with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color w:val="auto"/>
          <w:szCs w:val="20"/>
          <w:vertAlign w:val="superscript"/>
          <w:lang w:eastAsia="en-AU"/>
        </w:rPr>
        <w:footnoteReference w:id="6"/>
      </w:r>
      <w:r w:rsidRPr="00404C00">
        <w:rPr>
          <w:rFonts w:ascii="Times New Roman" w:eastAsia="Times New Roman" w:hAnsi="Times New Roman" w:cs="Times New Roman"/>
          <w:color w:val="auto"/>
          <w:szCs w:val="20"/>
          <w:lang w:eastAsia="en-AU"/>
        </w:rPr>
        <w:t>. This ITC found tepotinib was superior in terms of efficacy, however its validity was limited due to low numbers and limited baseline characteristic data in the chemotherapy trial.</w:t>
      </w:r>
    </w:p>
    <w:p w14:paraId="208007F4" w14:textId="77777777" w:rsidR="00404C00" w:rsidRPr="00404C00" w:rsidRDefault="00404C00" w:rsidP="0093087D">
      <w:pPr>
        <w:keepNext/>
        <w:keepLines/>
        <w:spacing w:before="0" w:after="40"/>
        <w:jc w:val="left"/>
        <w:outlineLvl w:val="2"/>
        <w:rPr>
          <w:rFonts w:ascii="Times New Roman" w:eastAsia="Times New Roman" w:hAnsi="Times New Roman" w:cs="Times New Roman"/>
          <w:bCs/>
          <w:snapToGrid w:val="0"/>
          <w:color w:val="auto"/>
          <w:szCs w:val="24"/>
          <w:u w:val="single"/>
          <w:lang w:eastAsia="en-AU"/>
        </w:rPr>
      </w:pPr>
      <w:r w:rsidRPr="00404C00">
        <w:rPr>
          <w:rFonts w:ascii="Times New Roman" w:eastAsia="Times New Roman" w:hAnsi="Times New Roman" w:cs="Times New Roman"/>
          <w:bCs/>
          <w:snapToGrid w:val="0"/>
          <w:color w:val="auto"/>
          <w:szCs w:val="24"/>
          <w:u w:val="single"/>
          <w:lang w:eastAsia="en-AU"/>
        </w:rPr>
        <w:t>Comparative analytical performance</w:t>
      </w:r>
    </w:p>
    <w:p w14:paraId="6ABDEF2F" w14:textId="43B9464D"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stated that there is no gold standard nor routine testing for testing for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 in Australia. The testing method with OFA (</w:t>
      </w:r>
      <w:proofErr w:type="spellStart"/>
      <w:r w:rsidRPr="00404C00">
        <w:rPr>
          <w:rFonts w:ascii="Times New Roman" w:eastAsia="Times New Roman" w:hAnsi="Times New Roman" w:cs="Times New Roman"/>
          <w:color w:val="auto"/>
          <w:szCs w:val="20"/>
          <w:lang w:eastAsia="en-AU"/>
        </w:rPr>
        <w:t>Oncomine</w:t>
      </w:r>
      <w:proofErr w:type="spellEnd"/>
      <w:r w:rsidRPr="00404C00">
        <w:rPr>
          <w:rFonts w:ascii="Times New Roman" w:eastAsia="Times New Roman" w:hAnsi="Times New Roman" w:cs="Times New Roman"/>
          <w:color w:val="auto"/>
          <w:szCs w:val="20"/>
          <w:lang w:eastAsia="en-AU"/>
        </w:rPr>
        <w:t xml:space="preserve"> Focus Assay) is considered the evidentiary standard. This is an Ion Torrent off-the-shelf NGS panel, developed by Life Technologies, Inc. (now part of Thermo Fisher). The assay is designed to simultaneously detect various genetic alterations in DNA and RNA from extracted formalin-fixed, paraffin-embedded (FFPE) tumour tissue specimens.</w:t>
      </w:r>
    </w:p>
    <w:p w14:paraId="5701CDF8" w14:textId="4E373D5E" w:rsidR="00404C00" w:rsidRPr="00404C00" w:rsidRDefault="00404C00" w:rsidP="00191AEE">
      <w:pPr>
        <w:spacing w:before="24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stated that when the evidentiary standard is used for measures of test performance, the terms ‘sensitivity’ and ‘specificity’ should not be used. Positive and negative percent agreements (PPA and NPA) between the evidentiary standard and other assays were presented in the commentary. </w:t>
      </w:r>
      <w:r w:rsidRPr="00404C00">
        <w:rPr>
          <w:rFonts w:ascii="Times New Roman" w:eastAsia="Times New Roman" w:hAnsi="Times New Roman" w:cs="Times New Roman"/>
          <w:color w:val="auto"/>
          <w:szCs w:val="20"/>
          <w:lang w:eastAsia="en-AU"/>
        </w:rPr>
        <w:t>The ADAR did not provide a list of included studies and discussed the results of one study only.</w:t>
      </w:r>
      <w:bookmarkStart w:id="13" w:name="_Ref81397483"/>
      <w:r w:rsidRPr="00404C00">
        <w:rPr>
          <w:rFonts w:ascii="Times New Roman" w:eastAsia="Times New Roman" w:hAnsi="Times New Roman" w:cs="Times New Roman"/>
          <w:color w:val="auto"/>
          <w:szCs w:val="20"/>
          <w:vertAlign w:val="superscript"/>
          <w:lang w:eastAsia="en-AU"/>
        </w:rPr>
        <w:footnoteReference w:id="7"/>
      </w:r>
      <w:bookmarkEnd w:id="13"/>
      <w:r w:rsidRPr="00404C00">
        <w:rPr>
          <w:rFonts w:ascii="Times New Roman" w:eastAsia="Times New Roman" w:hAnsi="Times New Roman" w:cs="Times New Roman"/>
          <w:color w:val="auto"/>
          <w:szCs w:val="20"/>
          <w:lang w:eastAsia="en-AU"/>
        </w:rPr>
        <w:t xml:space="preserve"> A literature search conducted by the </w:t>
      </w:r>
      <w:r w:rsidRPr="00404C00">
        <w:rPr>
          <w:rFonts w:ascii="Times New Roman" w:eastAsia="Times New Roman" w:hAnsi="Times New Roman" w:cs="Times New Roman"/>
          <w:color w:val="auto"/>
          <w:szCs w:val="20"/>
          <w:lang w:eastAsia="en-AU"/>
        </w:rPr>
        <w:lastRenderedPageBreak/>
        <w:t>commentary identified two additional studies on test performance.</w:t>
      </w:r>
      <w:bookmarkStart w:id="14" w:name="_Ref81397599"/>
      <w:r w:rsidRPr="00404C00">
        <w:rPr>
          <w:rFonts w:ascii="Times New Roman" w:eastAsia="Times New Roman" w:hAnsi="Times New Roman" w:cs="Times New Roman"/>
          <w:color w:val="auto"/>
          <w:szCs w:val="20"/>
          <w:vertAlign w:val="superscript"/>
          <w:lang w:eastAsia="en-AU"/>
        </w:rPr>
        <w:footnoteReference w:id="8"/>
      </w:r>
      <w:bookmarkEnd w:id="14"/>
      <w:r w:rsidRPr="00404C00">
        <w:rPr>
          <w:rFonts w:ascii="Times New Roman" w:eastAsia="Times New Roman" w:hAnsi="Times New Roman" w:cs="Times New Roman"/>
          <w:color w:val="auto"/>
          <w:szCs w:val="20"/>
          <w:vertAlign w:val="superscript"/>
          <w:lang w:eastAsia="en-AU"/>
        </w:rPr>
        <w:t>,</w:t>
      </w:r>
      <w:bookmarkStart w:id="15" w:name="_Ref81397619"/>
      <w:r w:rsidRPr="00404C00">
        <w:rPr>
          <w:rFonts w:ascii="Times New Roman" w:eastAsia="Times New Roman" w:hAnsi="Times New Roman" w:cs="Times New Roman"/>
          <w:color w:val="auto"/>
          <w:szCs w:val="20"/>
          <w:vertAlign w:val="superscript"/>
          <w:lang w:eastAsia="en-AU"/>
        </w:rPr>
        <w:footnoteReference w:id="9"/>
      </w:r>
      <w:bookmarkEnd w:id="15"/>
      <w:r w:rsidRPr="00404C00">
        <w:rPr>
          <w:rFonts w:ascii="Times New Roman" w:eastAsia="Times New Roman" w:hAnsi="Times New Roman" w:cs="Times New Roman"/>
          <w:iCs/>
          <w:color w:val="auto"/>
          <w:szCs w:val="20"/>
          <w:lang w:eastAsia="en-AU"/>
        </w:rPr>
        <w:t xml:space="preserve"> The PPA and NPA of assays compared to the evidentiary standard are presented </w:t>
      </w:r>
      <w:r w:rsidRPr="00191AEE">
        <w:rPr>
          <w:rFonts w:ascii="Times New Roman" w:eastAsia="Times New Roman" w:hAnsi="Times New Roman" w:cs="Times New Roman"/>
          <w:iCs/>
          <w:color w:val="auto"/>
          <w:szCs w:val="24"/>
          <w:lang w:eastAsia="en-AU"/>
        </w:rPr>
        <w:t xml:space="preserve">below in </w:t>
      </w:r>
      <w:r w:rsidRPr="00191AEE">
        <w:rPr>
          <w:rFonts w:ascii="Times New Roman" w:eastAsia="Times New Roman" w:hAnsi="Times New Roman" w:cs="Times New Roman"/>
          <w:iCs/>
          <w:color w:val="auto"/>
          <w:szCs w:val="24"/>
          <w:lang w:eastAsia="en-AU"/>
        </w:rPr>
        <w:fldChar w:fldCharType="begin"/>
      </w:r>
      <w:r w:rsidRPr="00191AEE">
        <w:rPr>
          <w:rFonts w:ascii="Times New Roman" w:eastAsia="Times New Roman" w:hAnsi="Times New Roman" w:cs="Times New Roman"/>
          <w:iCs/>
          <w:color w:val="auto"/>
          <w:szCs w:val="24"/>
          <w:lang w:eastAsia="en-AU"/>
        </w:rPr>
        <w:instrText xml:space="preserve"> REF _Ref84010421 </w:instrText>
      </w:r>
      <w:r w:rsidR="0093087D" w:rsidRPr="00191AEE">
        <w:rPr>
          <w:rFonts w:ascii="Times New Roman" w:eastAsia="Times New Roman" w:hAnsi="Times New Roman" w:cs="Times New Roman"/>
          <w:iCs/>
          <w:color w:val="auto"/>
          <w:szCs w:val="24"/>
          <w:lang w:eastAsia="en-AU"/>
        </w:rPr>
        <w:instrText xml:space="preserve"> \* MERGEFORMAT </w:instrText>
      </w:r>
      <w:r w:rsidRPr="00191AEE">
        <w:rPr>
          <w:rFonts w:ascii="Times New Roman" w:eastAsia="Times New Roman" w:hAnsi="Times New Roman" w:cs="Times New Roman"/>
          <w:iCs/>
          <w:color w:val="auto"/>
          <w:szCs w:val="24"/>
          <w:lang w:eastAsia="en-AU"/>
        </w:rPr>
        <w:fldChar w:fldCharType="separate"/>
      </w:r>
      <w:r w:rsidR="00EF30D4" w:rsidRPr="00EF30D4">
        <w:rPr>
          <w:rFonts w:ascii="Times New Roman" w:eastAsia="Times New Roman" w:hAnsi="Times New Roman" w:cs="Times New Roman"/>
          <w:iCs/>
          <w:color w:val="auto"/>
          <w:szCs w:val="24"/>
        </w:rPr>
        <w:t>Table 6</w:t>
      </w:r>
      <w:r w:rsidRPr="00191AEE">
        <w:rPr>
          <w:rFonts w:ascii="Times New Roman" w:eastAsia="Times New Roman" w:hAnsi="Times New Roman" w:cs="Times New Roman"/>
          <w:iCs/>
          <w:color w:val="auto"/>
          <w:szCs w:val="24"/>
          <w:lang w:eastAsia="en-AU"/>
        </w:rPr>
        <w:fldChar w:fldCharType="end"/>
      </w:r>
      <w:r w:rsidRPr="00404C00">
        <w:rPr>
          <w:rFonts w:ascii="Times New Roman" w:eastAsia="Times New Roman" w:hAnsi="Times New Roman" w:cs="Times New Roman"/>
          <w:iCs/>
          <w:color w:val="auto"/>
          <w:szCs w:val="20"/>
          <w:lang w:eastAsia="en-AU"/>
        </w:rPr>
        <w:t>.</w:t>
      </w:r>
    </w:p>
    <w:p w14:paraId="7B478A1E" w14:textId="4B70B64A" w:rsidR="00404C00" w:rsidRPr="00404C00" w:rsidRDefault="00404C00" w:rsidP="00191AEE">
      <w:pPr>
        <w:keepNext/>
        <w:spacing w:before="240" w:after="40"/>
        <w:jc w:val="left"/>
        <w:outlineLvl w:val="4"/>
        <w:rPr>
          <w:rFonts w:ascii="Arial Narrow" w:eastAsia="Times New Roman" w:hAnsi="Arial Narrow" w:cs="Arial"/>
          <w:b/>
          <w:bCs/>
          <w:iCs/>
          <w:color w:val="auto"/>
          <w:sz w:val="20"/>
          <w:szCs w:val="20"/>
        </w:rPr>
      </w:pPr>
      <w:bookmarkStart w:id="16" w:name="_Ref84010421"/>
      <w:r w:rsidRPr="00404C00">
        <w:rPr>
          <w:rFonts w:ascii="Arial Narrow" w:eastAsia="Times New Roman" w:hAnsi="Arial Narrow" w:cs="Arial"/>
          <w:b/>
          <w:bCs/>
          <w:iCs/>
          <w:color w:val="auto"/>
          <w:sz w:val="20"/>
          <w:szCs w:val="20"/>
        </w:rPr>
        <w:t xml:space="preserve">Table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Table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6</w:t>
      </w:r>
      <w:r w:rsidRPr="00404C00">
        <w:rPr>
          <w:rFonts w:ascii="Arial Narrow" w:eastAsia="Times New Roman" w:hAnsi="Arial Narrow" w:cs="Arial"/>
          <w:b/>
          <w:bCs/>
          <w:iCs/>
          <w:noProof/>
          <w:color w:val="auto"/>
          <w:sz w:val="20"/>
          <w:szCs w:val="20"/>
        </w:rPr>
        <w:fldChar w:fldCharType="end"/>
      </w:r>
      <w:bookmarkEnd w:id="16"/>
      <w:r w:rsidRPr="00404C00">
        <w:rPr>
          <w:rFonts w:ascii="Arial Narrow" w:eastAsia="Times New Roman" w:hAnsi="Arial Narrow" w:cs="Arial"/>
          <w:b/>
          <w:bCs/>
          <w:iCs/>
          <w:color w:val="auto"/>
          <w:sz w:val="20"/>
          <w:szCs w:val="20"/>
        </w:rPr>
        <w:tab/>
      </w:r>
      <w:r w:rsidRPr="00404C00">
        <w:rPr>
          <w:rFonts w:ascii="Arial Narrow" w:eastAsia="Times New Roman" w:hAnsi="Arial Narrow" w:cs="Arial"/>
          <w:b/>
          <w:color w:val="auto"/>
          <w:sz w:val="20"/>
          <w:szCs w:val="18"/>
        </w:rPr>
        <w:t>PPA and NPA of assays compared to RNA-NGS or hybrid DNA/RNA NGS</w:t>
      </w:r>
    </w:p>
    <w:tbl>
      <w:tblPr>
        <w:tblStyle w:val="PBACTableStyle13"/>
        <w:tblW w:w="9067" w:type="dxa"/>
        <w:tblLook w:val="04A0" w:firstRow="1" w:lastRow="0" w:firstColumn="1" w:lastColumn="0" w:noHBand="0" w:noVBand="1"/>
      </w:tblPr>
      <w:tblGrid>
        <w:gridCol w:w="5524"/>
        <w:gridCol w:w="1842"/>
        <w:gridCol w:w="1701"/>
      </w:tblGrid>
      <w:tr w:rsidR="00404C00" w:rsidRPr="00404C00" w14:paraId="7176728B" w14:textId="77777777" w:rsidTr="00AC3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28A97BD" w14:textId="77777777" w:rsidR="00404C00" w:rsidRPr="00404C00" w:rsidRDefault="00404C00" w:rsidP="0093087D">
            <w:pPr>
              <w:spacing w:before="40" w:after="40" w:line="256" w:lineRule="auto"/>
              <w:jc w:val="left"/>
              <w:rPr>
                <w:rFonts w:eastAsia="Times New Roman" w:cs="Times New Roman"/>
                <w:iCs/>
                <w:color w:val="000000"/>
                <w:sz w:val="20"/>
              </w:rPr>
            </w:pPr>
          </w:p>
        </w:tc>
        <w:tc>
          <w:tcPr>
            <w:tcW w:w="1842" w:type="dxa"/>
          </w:tcPr>
          <w:p w14:paraId="19EBE46F" w14:textId="77777777" w:rsidR="00404C00" w:rsidRPr="00404C00" w:rsidRDefault="00404C00" w:rsidP="003C0691">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Positive percent agreement</w:t>
            </w:r>
          </w:p>
        </w:tc>
        <w:tc>
          <w:tcPr>
            <w:tcW w:w="1701" w:type="dxa"/>
          </w:tcPr>
          <w:p w14:paraId="09A747B4" w14:textId="77777777" w:rsidR="00404C00" w:rsidRPr="00404C00" w:rsidRDefault="00404C00" w:rsidP="003C0691">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Negative percent agreement</w:t>
            </w:r>
          </w:p>
        </w:tc>
      </w:tr>
      <w:tr w:rsidR="00404C00" w:rsidRPr="00404C00" w14:paraId="11723205" w14:textId="77777777" w:rsidTr="00404C00">
        <w:trPr>
          <w:trHeight w:val="165"/>
        </w:trPr>
        <w:tc>
          <w:tcPr>
            <w:cnfStyle w:val="001000000000" w:firstRow="0" w:lastRow="0" w:firstColumn="1" w:lastColumn="0" w:oddVBand="0" w:evenVBand="0" w:oddHBand="0" w:evenHBand="0" w:firstRowFirstColumn="0" w:firstRowLastColumn="0" w:lastRowFirstColumn="0" w:lastRowLastColumn="0"/>
            <w:tcW w:w="9067" w:type="dxa"/>
            <w:gridSpan w:val="3"/>
          </w:tcPr>
          <w:p w14:paraId="68153A80" w14:textId="77777777" w:rsidR="00404C00" w:rsidRPr="00404C00" w:rsidRDefault="00404C00" w:rsidP="003C0691">
            <w:pPr>
              <w:spacing w:before="40" w:after="40" w:line="256" w:lineRule="auto"/>
              <w:jc w:val="left"/>
              <w:rPr>
                <w:rFonts w:eastAsia="Times New Roman" w:cs="Times New Roman"/>
                <w:b/>
                <w:iCs/>
                <w:color w:val="000000"/>
                <w:sz w:val="20"/>
              </w:rPr>
            </w:pPr>
            <w:r w:rsidRPr="00404C00">
              <w:rPr>
                <w:rFonts w:eastAsia="Times New Roman" w:cs="Times New Roman"/>
                <w:b/>
                <w:iCs/>
                <w:color w:val="000000"/>
                <w:sz w:val="20"/>
              </w:rPr>
              <w:t>DNA-NGS compared to RNA-based NGS or hybrid DNA/RNA NGS</w:t>
            </w:r>
          </w:p>
        </w:tc>
      </w:tr>
      <w:tr w:rsidR="00404C00" w:rsidRPr="00404C00" w14:paraId="13FEA955" w14:textId="77777777" w:rsidTr="00AC3641">
        <w:tc>
          <w:tcPr>
            <w:cnfStyle w:val="001000000000" w:firstRow="0" w:lastRow="0" w:firstColumn="1" w:lastColumn="0" w:oddVBand="0" w:evenVBand="0" w:oddHBand="0" w:evenHBand="0" w:firstRowFirstColumn="0" w:firstRowLastColumn="0" w:lastRowFirstColumn="0" w:lastRowLastColumn="0"/>
            <w:tcW w:w="5524" w:type="dxa"/>
          </w:tcPr>
          <w:p w14:paraId="64F5A469" w14:textId="480C343D" w:rsidR="00404C00" w:rsidRPr="00404C00" w:rsidRDefault="00404C00" w:rsidP="0093087D">
            <w:pPr>
              <w:spacing w:before="40" w:after="40" w:line="256" w:lineRule="auto"/>
              <w:jc w:val="left"/>
              <w:rPr>
                <w:rFonts w:eastAsia="Times New Roman" w:cs="Times New Roman"/>
                <w:iCs/>
                <w:color w:val="000000"/>
                <w:sz w:val="20"/>
              </w:rPr>
            </w:pPr>
            <w:r w:rsidRPr="00404C00">
              <w:rPr>
                <w:rFonts w:eastAsia="Times New Roman" w:cs="Times New Roman"/>
                <w:iCs/>
                <w:color w:val="000000"/>
                <w:sz w:val="20"/>
              </w:rPr>
              <w:t>DNA-based NGS</w:t>
            </w:r>
            <w:r w:rsidRPr="00404C00">
              <w:rPr>
                <w:rFonts w:eastAsia="Times New Roman" w:cs="Times New Roman"/>
                <w:iCs/>
                <w:color w:val="000000"/>
                <w:sz w:val="20"/>
                <w:vertAlign w:val="superscript"/>
              </w:rPr>
              <w:fldChar w:fldCharType="begin"/>
            </w:r>
            <w:r w:rsidRPr="00404C00">
              <w:rPr>
                <w:rFonts w:eastAsia="Times New Roman" w:cs="Times New Roman"/>
                <w:iCs/>
                <w:color w:val="000000"/>
                <w:sz w:val="20"/>
                <w:vertAlign w:val="superscript"/>
              </w:rPr>
              <w:instrText xml:space="preserve"> NOTEREF _Ref81397599 \h  \* MERGEFORMAT </w:instrText>
            </w:r>
            <w:r w:rsidRPr="00404C00">
              <w:rPr>
                <w:rFonts w:eastAsia="Times New Roman" w:cs="Times New Roman"/>
                <w:iCs/>
                <w:color w:val="000000"/>
                <w:sz w:val="20"/>
                <w:vertAlign w:val="superscript"/>
              </w:rPr>
            </w:r>
            <w:r w:rsidRPr="00404C00">
              <w:rPr>
                <w:rFonts w:eastAsia="Times New Roman" w:cs="Times New Roman"/>
                <w:iCs/>
                <w:color w:val="000000"/>
                <w:sz w:val="20"/>
                <w:vertAlign w:val="superscript"/>
              </w:rPr>
              <w:fldChar w:fldCharType="separate"/>
            </w:r>
            <w:r w:rsidR="00EF30D4">
              <w:rPr>
                <w:rFonts w:eastAsia="Times New Roman" w:cs="Times New Roman"/>
                <w:iCs/>
                <w:color w:val="000000"/>
                <w:sz w:val="20"/>
                <w:vertAlign w:val="superscript"/>
              </w:rPr>
              <w:t>8</w:t>
            </w:r>
            <w:r w:rsidRPr="00404C00">
              <w:rPr>
                <w:rFonts w:eastAsia="Times New Roman" w:cs="Times New Roman"/>
                <w:iCs/>
                <w:color w:val="000000"/>
                <w:sz w:val="20"/>
                <w:vertAlign w:val="superscript"/>
              </w:rPr>
              <w:fldChar w:fldCharType="end"/>
            </w:r>
            <w:r w:rsidRPr="00404C00">
              <w:rPr>
                <w:rFonts w:eastAsia="Times New Roman" w:cs="Times New Roman"/>
                <w:iCs/>
                <w:color w:val="000000"/>
                <w:sz w:val="20"/>
              </w:rPr>
              <w:t xml:space="preserve"> (compared to RNA-based NGS)</w:t>
            </w:r>
          </w:p>
        </w:tc>
        <w:tc>
          <w:tcPr>
            <w:tcW w:w="1842" w:type="dxa"/>
          </w:tcPr>
          <w:p w14:paraId="3EB12BA2"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40% (4/10)</w:t>
            </w:r>
          </w:p>
        </w:tc>
        <w:tc>
          <w:tcPr>
            <w:tcW w:w="1701" w:type="dxa"/>
          </w:tcPr>
          <w:p w14:paraId="2DE3B760"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99.3% (274/276)</w:t>
            </w:r>
          </w:p>
        </w:tc>
      </w:tr>
      <w:tr w:rsidR="00404C00" w:rsidRPr="00404C00" w14:paraId="70F16540" w14:textId="77777777" w:rsidTr="00AC3641">
        <w:tc>
          <w:tcPr>
            <w:cnfStyle w:val="001000000000" w:firstRow="0" w:lastRow="0" w:firstColumn="1" w:lastColumn="0" w:oddVBand="0" w:evenVBand="0" w:oddHBand="0" w:evenHBand="0" w:firstRowFirstColumn="0" w:firstRowLastColumn="0" w:lastRowFirstColumn="0" w:lastRowLastColumn="0"/>
            <w:tcW w:w="5524" w:type="dxa"/>
            <w:vAlign w:val="top"/>
          </w:tcPr>
          <w:p w14:paraId="2BB2D1FC" w14:textId="177477A1" w:rsidR="00404C00" w:rsidRPr="00404C00" w:rsidRDefault="00404C00" w:rsidP="0093087D">
            <w:pPr>
              <w:spacing w:before="40" w:after="40" w:line="256" w:lineRule="auto"/>
              <w:jc w:val="left"/>
              <w:rPr>
                <w:rFonts w:eastAsia="Times New Roman" w:cs="Times New Roman"/>
                <w:iCs/>
                <w:color w:val="000000"/>
                <w:sz w:val="20"/>
              </w:rPr>
            </w:pPr>
            <w:r w:rsidRPr="00404C00">
              <w:rPr>
                <w:rFonts w:eastAsia="Times New Roman" w:cs="Times New Roman"/>
                <w:iCs/>
                <w:color w:val="000000"/>
                <w:sz w:val="20"/>
              </w:rPr>
              <w:t>DNA-based NGS</w:t>
            </w:r>
            <w:r w:rsidRPr="00404C00">
              <w:rPr>
                <w:rFonts w:eastAsia="Times New Roman" w:cs="Times New Roman"/>
                <w:iCs/>
                <w:color w:val="000000"/>
                <w:sz w:val="20"/>
                <w:vertAlign w:val="superscript"/>
              </w:rPr>
              <w:fldChar w:fldCharType="begin"/>
            </w:r>
            <w:r w:rsidRPr="00404C00">
              <w:rPr>
                <w:rFonts w:eastAsia="Times New Roman" w:cs="Times New Roman"/>
                <w:iCs/>
                <w:color w:val="000000"/>
                <w:sz w:val="20"/>
                <w:vertAlign w:val="superscript"/>
              </w:rPr>
              <w:instrText xml:space="preserve"> NOTEREF _Ref81397483 \h  \* MERGEFORMAT </w:instrText>
            </w:r>
            <w:r w:rsidRPr="00404C00">
              <w:rPr>
                <w:rFonts w:eastAsia="Times New Roman" w:cs="Times New Roman"/>
                <w:iCs/>
                <w:color w:val="000000"/>
                <w:sz w:val="20"/>
                <w:vertAlign w:val="superscript"/>
              </w:rPr>
            </w:r>
            <w:r w:rsidRPr="00404C00">
              <w:rPr>
                <w:rFonts w:eastAsia="Times New Roman" w:cs="Times New Roman"/>
                <w:iCs/>
                <w:color w:val="000000"/>
                <w:sz w:val="20"/>
                <w:vertAlign w:val="superscript"/>
              </w:rPr>
              <w:fldChar w:fldCharType="separate"/>
            </w:r>
            <w:r w:rsidR="00EF30D4">
              <w:rPr>
                <w:rFonts w:eastAsia="Times New Roman" w:cs="Times New Roman"/>
                <w:iCs/>
                <w:color w:val="000000"/>
                <w:sz w:val="20"/>
                <w:vertAlign w:val="superscript"/>
              </w:rPr>
              <w:t>7</w:t>
            </w:r>
            <w:r w:rsidRPr="00404C00">
              <w:rPr>
                <w:rFonts w:eastAsia="Times New Roman" w:cs="Times New Roman"/>
                <w:iCs/>
                <w:color w:val="000000"/>
                <w:sz w:val="20"/>
                <w:vertAlign w:val="superscript"/>
              </w:rPr>
              <w:fldChar w:fldCharType="end"/>
            </w:r>
            <w:r w:rsidRPr="00404C00">
              <w:rPr>
                <w:rFonts w:eastAsia="Times New Roman" w:cs="Times New Roman"/>
                <w:iCs/>
                <w:color w:val="000000"/>
                <w:sz w:val="20"/>
              </w:rPr>
              <w:t xml:space="preserve"> (compared to hybrid DNA/RNA NGS)</w:t>
            </w:r>
          </w:p>
        </w:tc>
        <w:tc>
          <w:tcPr>
            <w:tcW w:w="1842" w:type="dxa"/>
            <w:vAlign w:val="top"/>
          </w:tcPr>
          <w:p w14:paraId="062E7B8E"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100% (6/6)</w:t>
            </w:r>
          </w:p>
        </w:tc>
        <w:tc>
          <w:tcPr>
            <w:tcW w:w="1701" w:type="dxa"/>
            <w:vAlign w:val="top"/>
          </w:tcPr>
          <w:p w14:paraId="4046A33E"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Not performed</w:t>
            </w:r>
          </w:p>
        </w:tc>
      </w:tr>
      <w:tr w:rsidR="00404C00" w:rsidRPr="00404C00" w14:paraId="0B7A8B9D" w14:textId="77777777" w:rsidTr="00404C00">
        <w:tc>
          <w:tcPr>
            <w:cnfStyle w:val="001000000000" w:firstRow="0" w:lastRow="0" w:firstColumn="1" w:lastColumn="0" w:oddVBand="0" w:evenVBand="0" w:oddHBand="0" w:evenHBand="0" w:firstRowFirstColumn="0" w:firstRowLastColumn="0" w:lastRowFirstColumn="0" w:lastRowLastColumn="0"/>
            <w:tcW w:w="9067" w:type="dxa"/>
            <w:gridSpan w:val="3"/>
          </w:tcPr>
          <w:p w14:paraId="77C63F62" w14:textId="77777777" w:rsidR="00404C00" w:rsidRPr="00404C00" w:rsidRDefault="00404C00" w:rsidP="003C0691">
            <w:pPr>
              <w:spacing w:before="40" w:after="40" w:line="256" w:lineRule="auto"/>
              <w:jc w:val="left"/>
              <w:rPr>
                <w:rFonts w:eastAsia="Times New Roman" w:cs="Times New Roman"/>
                <w:b/>
                <w:iCs/>
                <w:color w:val="000000"/>
                <w:sz w:val="20"/>
              </w:rPr>
            </w:pPr>
            <w:r w:rsidRPr="00404C00">
              <w:rPr>
                <w:rFonts w:eastAsia="Times New Roman" w:cs="Times New Roman"/>
                <w:b/>
                <w:iCs/>
                <w:color w:val="000000"/>
                <w:sz w:val="20"/>
              </w:rPr>
              <w:t>DNA sequencing compared to hybrid DNA/RNA NGS</w:t>
            </w:r>
          </w:p>
        </w:tc>
      </w:tr>
      <w:tr w:rsidR="00404C00" w:rsidRPr="00404C00" w14:paraId="68385765" w14:textId="77777777" w:rsidTr="00AC3641">
        <w:tc>
          <w:tcPr>
            <w:cnfStyle w:val="001000000000" w:firstRow="0" w:lastRow="0" w:firstColumn="1" w:lastColumn="0" w:oddVBand="0" w:evenVBand="0" w:oddHBand="0" w:evenHBand="0" w:firstRowFirstColumn="0" w:firstRowLastColumn="0" w:lastRowFirstColumn="0" w:lastRowLastColumn="0"/>
            <w:tcW w:w="5524" w:type="dxa"/>
          </w:tcPr>
          <w:p w14:paraId="774AC6FF" w14:textId="20223508" w:rsidR="00404C00" w:rsidRPr="00404C00" w:rsidRDefault="00404C00" w:rsidP="0093087D">
            <w:pPr>
              <w:spacing w:before="40" w:after="40" w:line="256" w:lineRule="auto"/>
              <w:jc w:val="left"/>
              <w:rPr>
                <w:rFonts w:eastAsia="Times New Roman" w:cs="Times New Roman"/>
                <w:iCs/>
                <w:color w:val="000000"/>
                <w:sz w:val="20"/>
              </w:rPr>
            </w:pPr>
            <w:r w:rsidRPr="00404C00">
              <w:rPr>
                <w:rFonts w:eastAsia="Times New Roman" w:cs="Times New Roman"/>
                <w:iCs/>
                <w:color w:val="000000"/>
                <w:sz w:val="20"/>
              </w:rPr>
              <w:t>Sanger sequencing</w:t>
            </w:r>
            <w:r w:rsidRPr="00404C00">
              <w:rPr>
                <w:rFonts w:eastAsia="Times New Roman" w:cs="Times New Roman"/>
                <w:iCs/>
                <w:color w:val="000000"/>
                <w:sz w:val="20"/>
                <w:vertAlign w:val="superscript"/>
              </w:rPr>
              <w:fldChar w:fldCharType="begin"/>
            </w:r>
            <w:r w:rsidRPr="00404C00">
              <w:rPr>
                <w:rFonts w:eastAsia="Times New Roman" w:cs="Times New Roman"/>
                <w:iCs/>
                <w:color w:val="000000"/>
                <w:sz w:val="20"/>
                <w:vertAlign w:val="superscript"/>
              </w:rPr>
              <w:instrText xml:space="preserve"> NOTEREF _Ref81397619 \h  \* MERGEFORMAT </w:instrText>
            </w:r>
            <w:r w:rsidRPr="00404C00">
              <w:rPr>
                <w:rFonts w:eastAsia="Times New Roman" w:cs="Times New Roman"/>
                <w:iCs/>
                <w:color w:val="000000"/>
                <w:sz w:val="20"/>
                <w:vertAlign w:val="superscript"/>
              </w:rPr>
            </w:r>
            <w:r w:rsidRPr="00404C00">
              <w:rPr>
                <w:rFonts w:eastAsia="Times New Roman" w:cs="Times New Roman"/>
                <w:iCs/>
                <w:color w:val="000000"/>
                <w:sz w:val="20"/>
                <w:vertAlign w:val="superscript"/>
              </w:rPr>
              <w:fldChar w:fldCharType="separate"/>
            </w:r>
            <w:r w:rsidR="00EF30D4">
              <w:rPr>
                <w:rFonts w:eastAsia="Times New Roman" w:cs="Times New Roman"/>
                <w:iCs/>
                <w:color w:val="000000"/>
                <w:sz w:val="20"/>
                <w:vertAlign w:val="superscript"/>
              </w:rPr>
              <w:t>9</w:t>
            </w:r>
            <w:r w:rsidRPr="00404C00">
              <w:rPr>
                <w:rFonts w:eastAsia="Times New Roman" w:cs="Times New Roman"/>
                <w:iCs/>
                <w:color w:val="000000"/>
                <w:sz w:val="20"/>
                <w:vertAlign w:val="superscript"/>
              </w:rPr>
              <w:fldChar w:fldCharType="end"/>
            </w:r>
          </w:p>
        </w:tc>
        <w:tc>
          <w:tcPr>
            <w:tcW w:w="1842" w:type="dxa"/>
          </w:tcPr>
          <w:p w14:paraId="0AC110FD"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61.5% (8/13)</w:t>
            </w:r>
          </w:p>
        </w:tc>
        <w:tc>
          <w:tcPr>
            <w:tcW w:w="1701" w:type="dxa"/>
          </w:tcPr>
          <w:p w14:paraId="2BB56033"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100% (38/38)</w:t>
            </w:r>
          </w:p>
        </w:tc>
      </w:tr>
      <w:tr w:rsidR="00404C00" w:rsidRPr="00404C00" w14:paraId="46A2EE33" w14:textId="77777777" w:rsidTr="00AC3641">
        <w:tc>
          <w:tcPr>
            <w:cnfStyle w:val="001000000000" w:firstRow="0" w:lastRow="0" w:firstColumn="1" w:lastColumn="0" w:oddVBand="0" w:evenVBand="0" w:oddHBand="0" w:evenHBand="0" w:firstRowFirstColumn="0" w:firstRowLastColumn="0" w:lastRowFirstColumn="0" w:lastRowLastColumn="0"/>
            <w:tcW w:w="5524" w:type="dxa"/>
            <w:vAlign w:val="top"/>
          </w:tcPr>
          <w:p w14:paraId="547DB9D9" w14:textId="089BB182" w:rsidR="00404C00" w:rsidRPr="00404C00" w:rsidRDefault="00404C00" w:rsidP="0093087D">
            <w:pPr>
              <w:spacing w:before="40" w:after="40" w:line="256" w:lineRule="auto"/>
              <w:jc w:val="left"/>
              <w:rPr>
                <w:rFonts w:eastAsia="Times New Roman" w:cs="Times New Roman"/>
                <w:iCs/>
                <w:color w:val="000000"/>
                <w:sz w:val="20"/>
              </w:rPr>
            </w:pPr>
            <w:r w:rsidRPr="00404C00">
              <w:rPr>
                <w:rFonts w:eastAsia="Times New Roman" w:cs="Times New Roman"/>
                <w:iCs/>
                <w:color w:val="000000"/>
                <w:sz w:val="20"/>
              </w:rPr>
              <w:t>Sanger sequencing</w:t>
            </w:r>
            <w:r w:rsidRPr="00404C00">
              <w:rPr>
                <w:rFonts w:eastAsia="Times New Roman" w:cs="Times New Roman"/>
                <w:iCs/>
                <w:color w:val="000000"/>
                <w:sz w:val="20"/>
                <w:vertAlign w:val="superscript"/>
              </w:rPr>
              <w:fldChar w:fldCharType="begin"/>
            </w:r>
            <w:r w:rsidRPr="00404C00">
              <w:rPr>
                <w:rFonts w:eastAsia="Times New Roman" w:cs="Times New Roman"/>
                <w:iCs/>
                <w:color w:val="000000"/>
                <w:sz w:val="20"/>
                <w:vertAlign w:val="superscript"/>
              </w:rPr>
              <w:instrText xml:space="preserve"> NOTEREF _Ref81397483 \h  \* MERGEFORMAT </w:instrText>
            </w:r>
            <w:r w:rsidRPr="00404C00">
              <w:rPr>
                <w:rFonts w:eastAsia="Times New Roman" w:cs="Times New Roman"/>
                <w:iCs/>
                <w:color w:val="000000"/>
                <w:sz w:val="20"/>
                <w:vertAlign w:val="superscript"/>
              </w:rPr>
            </w:r>
            <w:r w:rsidRPr="00404C00">
              <w:rPr>
                <w:rFonts w:eastAsia="Times New Roman" w:cs="Times New Roman"/>
                <w:iCs/>
                <w:color w:val="000000"/>
                <w:sz w:val="20"/>
                <w:vertAlign w:val="superscript"/>
              </w:rPr>
              <w:fldChar w:fldCharType="separate"/>
            </w:r>
            <w:r w:rsidR="00EF30D4">
              <w:rPr>
                <w:rFonts w:eastAsia="Times New Roman" w:cs="Times New Roman"/>
                <w:iCs/>
                <w:color w:val="000000"/>
                <w:sz w:val="20"/>
                <w:vertAlign w:val="superscript"/>
              </w:rPr>
              <w:t>7</w:t>
            </w:r>
            <w:r w:rsidRPr="00404C00">
              <w:rPr>
                <w:rFonts w:eastAsia="Times New Roman" w:cs="Times New Roman"/>
                <w:iCs/>
                <w:color w:val="000000"/>
                <w:sz w:val="20"/>
                <w:vertAlign w:val="superscript"/>
              </w:rPr>
              <w:fldChar w:fldCharType="end"/>
            </w:r>
          </w:p>
        </w:tc>
        <w:tc>
          <w:tcPr>
            <w:tcW w:w="1842" w:type="dxa"/>
            <w:vAlign w:val="top"/>
          </w:tcPr>
          <w:p w14:paraId="764F92D8"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100% (2/2)</w:t>
            </w:r>
          </w:p>
        </w:tc>
        <w:tc>
          <w:tcPr>
            <w:tcW w:w="1701" w:type="dxa"/>
            <w:vAlign w:val="top"/>
          </w:tcPr>
          <w:p w14:paraId="65C16094" w14:textId="77777777" w:rsidR="00404C00" w:rsidRPr="00404C00" w:rsidRDefault="00404C00" w:rsidP="003C0691">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Not performed</w:t>
            </w:r>
          </w:p>
        </w:tc>
      </w:tr>
      <w:tr w:rsidR="00404C00" w:rsidRPr="00404C00" w14:paraId="4C933AF3" w14:textId="77777777" w:rsidTr="00404C00">
        <w:tc>
          <w:tcPr>
            <w:cnfStyle w:val="001000000000" w:firstRow="0" w:lastRow="0" w:firstColumn="1" w:lastColumn="0" w:oddVBand="0" w:evenVBand="0" w:oddHBand="0" w:evenHBand="0" w:firstRowFirstColumn="0" w:firstRowLastColumn="0" w:lastRowFirstColumn="0" w:lastRowLastColumn="0"/>
            <w:tcW w:w="9067" w:type="dxa"/>
            <w:gridSpan w:val="3"/>
          </w:tcPr>
          <w:p w14:paraId="7398EB99" w14:textId="77777777" w:rsidR="00404C00" w:rsidRPr="00404C00" w:rsidRDefault="00404C00" w:rsidP="003C0691">
            <w:pPr>
              <w:spacing w:before="40" w:after="40" w:line="256" w:lineRule="auto"/>
              <w:jc w:val="left"/>
              <w:rPr>
                <w:rFonts w:eastAsia="Times New Roman" w:cs="Times New Roman"/>
                <w:b/>
                <w:iCs/>
                <w:color w:val="000000"/>
                <w:sz w:val="20"/>
              </w:rPr>
            </w:pPr>
            <w:r w:rsidRPr="00404C00">
              <w:rPr>
                <w:rFonts w:eastAsia="Times New Roman" w:cs="Times New Roman"/>
                <w:b/>
                <w:iCs/>
                <w:color w:val="000000"/>
                <w:sz w:val="20"/>
              </w:rPr>
              <w:t>RNA-based testing compared to hybrid DNA/RNA NGS</w:t>
            </w:r>
          </w:p>
        </w:tc>
      </w:tr>
      <w:tr w:rsidR="00404C00" w:rsidRPr="00404C00" w14:paraId="17DEF42E" w14:textId="77777777" w:rsidTr="00AC3641">
        <w:tc>
          <w:tcPr>
            <w:cnfStyle w:val="001000000000" w:firstRow="0" w:lastRow="0" w:firstColumn="1" w:lastColumn="0" w:oddVBand="0" w:evenVBand="0" w:oddHBand="0" w:evenHBand="0" w:firstRowFirstColumn="0" w:firstRowLastColumn="0" w:lastRowFirstColumn="0" w:lastRowLastColumn="0"/>
            <w:tcW w:w="5524" w:type="dxa"/>
          </w:tcPr>
          <w:p w14:paraId="47496B8C" w14:textId="7E2A6A7C" w:rsidR="00404C00" w:rsidRPr="00404C00" w:rsidRDefault="00404C00" w:rsidP="0093087D">
            <w:pPr>
              <w:spacing w:before="40" w:after="40" w:line="256" w:lineRule="auto"/>
              <w:jc w:val="left"/>
              <w:rPr>
                <w:rFonts w:eastAsia="Times New Roman" w:cs="Times New Roman"/>
                <w:iCs/>
                <w:color w:val="000000"/>
                <w:sz w:val="20"/>
              </w:rPr>
            </w:pPr>
            <w:r w:rsidRPr="00404C00">
              <w:rPr>
                <w:rFonts w:eastAsia="Times New Roman" w:cs="Times New Roman"/>
                <w:iCs/>
                <w:color w:val="000000"/>
                <w:sz w:val="20"/>
              </w:rPr>
              <w:t>qRT-PCR</w:t>
            </w:r>
            <w:r w:rsidRPr="00404C00">
              <w:rPr>
                <w:rFonts w:eastAsia="Times New Roman" w:cs="Times New Roman"/>
                <w:iCs/>
                <w:color w:val="000000"/>
                <w:sz w:val="20"/>
                <w:vertAlign w:val="superscript"/>
              </w:rPr>
              <w:fldChar w:fldCharType="begin"/>
            </w:r>
            <w:r w:rsidRPr="00404C00">
              <w:rPr>
                <w:rFonts w:eastAsia="Times New Roman" w:cs="Times New Roman"/>
                <w:iCs/>
                <w:color w:val="000000"/>
                <w:sz w:val="20"/>
                <w:vertAlign w:val="superscript"/>
              </w:rPr>
              <w:instrText xml:space="preserve"> NOTEREF _Ref81397619 \h  \* MERGEFORMAT </w:instrText>
            </w:r>
            <w:r w:rsidRPr="00404C00">
              <w:rPr>
                <w:rFonts w:eastAsia="Times New Roman" w:cs="Times New Roman"/>
                <w:iCs/>
                <w:color w:val="000000"/>
                <w:sz w:val="20"/>
                <w:vertAlign w:val="superscript"/>
              </w:rPr>
            </w:r>
            <w:r w:rsidRPr="00404C00">
              <w:rPr>
                <w:rFonts w:eastAsia="Times New Roman" w:cs="Times New Roman"/>
                <w:iCs/>
                <w:color w:val="000000"/>
                <w:sz w:val="20"/>
                <w:vertAlign w:val="superscript"/>
              </w:rPr>
              <w:fldChar w:fldCharType="separate"/>
            </w:r>
            <w:r w:rsidR="00EF30D4">
              <w:rPr>
                <w:rFonts w:eastAsia="Times New Roman" w:cs="Times New Roman"/>
                <w:iCs/>
                <w:color w:val="000000"/>
                <w:sz w:val="20"/>
                <w:vertAlign w:val="superscript"/>
              </w:rPr>
              <w:t>9</w:t>
            </w:r>
            <w:r w:rsidRPr="00404C00">
              <w:rPr>
                <w:rFonts w:eastAsia="Times New Roman" w:cs="Times New Roman"/>
                <w:iCs/>
                <w:color w:val="000000"/>
                <w:sz w:val="20"/>
                <w:vertAlign w:val="superscript"/>
              </w:rPr>
              <w:fldChar w:fldCharType="end"/>
            </w:r>
          </w:p>
        </w:tc>
        <w:tc>
          <w:tcPr>
            <w:tcW w:w="1842" w:type="dxa"/>
          </w:tcPr>
          <w:p w14:paraId="66AFA995" w14:textId="77777777" w:rsidR="00404C00" w:rsidRPr="00404C00" w:rsidRDefault="00404C00" w:rsidP="003C069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100% (13/13)</w:t>
            </w:r>
          </w:p>
        </w:tc>
        <w:tc>
          <w:tcPr>
            <w:tcW w:w="1701" w:type="dxa"/>
          </w:tcPr>
          <w:p w14:paraId="7C099D28" w14:textId="77777777" w:rsidR="00404C00" w:rsidRPr="00404C00" w:rsidRDefault="00404C00" w:rsidP="003C069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97.4% (37/38)</w:t>
            </w:r>
          </w:p>
        </w:tc>
      </w:tr>
      <w:tr w:rsidR="00404C00" w:rsidRPr="00404C00" w14:paraId="13A35048" w14:textId="77777777" w:rsidTr="00AC3641">
        <w:tc>
          <w:tcPr>
            <w:cnfStyle w:val="001000000000" w:firstRow="0" w:lastRow="0" w:firstColumn="1" w:lastColumn="0" w:oddVBand="0" w:evenVBand="0" w:oddHBand="0" w:evenHBand="0" w:firstRowFirstColumn="0" w:firstRowLastColumn="0" w:lastRowFirstColumn="0" w:lastRowLastColumn="0"/>
            <w:tcW w:w="5524" w:type="dxa"/>
            <w:vAlign w:val="top"/>
          </w:tcPr>
          <w:p w14:paraId="5F4A4ADF" w14:textId="191D7C84" w:rsidR="00404C00" w:rsidRPr="00404C00" w:rsidRDefault="00404C00" w:rsidP="0093087D">
            <w:pPr>
              <w:spacing w:before="40" w:after="40" w:line="256" w:lineRule="auto"/>
              <w:jc w:val="left"/>
              <w:rPr>
                <w:rFonts w:eastAsia="Times New Roman" w:cs="Times New Roman"/>
                <w:iCs/>
                <w:color w:val="000000"/>
                <w:sz w:val="20"/>
              </w:rPr>
            </w:pPr>
            <w:r w:rsidRPr="00404C00">
              <w:rPr>
                <w:rFonts w:eastAsia="Times New Roman" w:cs="Times New Roman"/>
                <w:iCs/>
                <w:color w:val="000000"/>
                <w:sz w:val="20"/>
              </w:rPr>
              <w:t>qRT-PCR</w:t>
            </w:r>
            <w:r w:rsidRPr="00404C00">
              <w:rPr>
                <w:rFonts w:eastAsia="Times New Roman" w:cs="Times New Roman"/>
                <w:iCs/>
                <w:color w:val="000000"/>
                <w:sz w:val="20"/>
                <w:vertAlign w:val="superscript"/>
              </w:rPr>
              <w:fldChar w:fldCharType="begin"/>
            </w:r>
            <w:r w:rsidRPr="00404C00">
              <w:rPr>
                <w:rFonts w:eastAsia="Times New Roman" w:cs="Times New Roman"/>
                <w:iCs/>
                <w:color w:val="000000"/>
                <w:sz w:val="20"/>
                <w:vertAlign w:val="superscript"/>
              </w:rPr>
              <w:instrText xml:space="preserve"> NOTEREF _Ref81397483 \h  \* MERGEFORMAT </w:instrText>
            </w:r>
            <w:r w:rsidRPr="00404C00">
              <w:rPr>
                <w:rFonts w:eastAsia="Times New Roman" w:cs="Times New Roman"/>
                <w:iCs/>
                <w:color w:val="000000"/>
                <w:sz w:val="20"/>
                <w:vertAlign w:val="superscript"/>
              </w:rPr>
            </w:r>
            <w:r w:rsidRPr="00404C00">
              <w:rPr>
                <w:rFonts w:eastAsia="Times New Roman" w:cs="Times New Roman"/>
                <w:iCs/>
                <w:color w:val="000000"/>
                <w:sz w:val="20"/>
                <w:vertAlign w:val="superscript"/>
              </w:rPr>
              <w:fldChar w:fldCharType="separate"/>
            </w:r>
            <w:r w:rsidR="00EF30D4">
              <w:rPr>
                <w:rFonts w:eastAsia="Times New Roman" w:cs="Times New Roman"/>
                <w:iCs/>
                <w:color w:val="000000"/>
                <w:sz w:val="20"/>
                <w:vertAlign w:val="superscript"/>
              </w:rPr>
              <w:t>7</w:t>
            </w:r>
            <w:r w:rsidRPr="00404C00">
              <w:rPr>
                <w:rFonts w:eastAsia="Times New Roman" w:cs="Times New Roman"/>
                <w:iCs/>
                <w:color w:val="000000"/>
                <w:sz w:val="20"/>
                <w:vertAlign w:val="superscript"/>
              </w:rPr>
              <w:fldChar w:fldCharType="end"/>
            </w:r>
          </w:p>
        </w:tc>
        <w:tc>
          <w:tcPr>
            <w:tcW w:w="1842" w:type="dxa"/>
            <w:vAlign w:val="top"/>
          </w:tcPr>
          <w:p w14:paraId="402735C3" w14:textId="77777777" w:rsidR="00404C00" w:rsidRPr="00404C00" w:rsidRDefault="00404C00" w:rsidP="003C069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100% (9/9)</w:t>
            </w:r>
          </w:p>
        </w:tc>
        <w:tc>
          <w:tcPr>
            <w:tcW w:w="1701" w:type="dxa"/>
            <w:vAlign w:val="top"/>
          </w:tcPr>
          <w:p w14:paraId="3B465122" w14:textId="77777777" w:rsidR="00404C00" w:rsidRPr="00404C00" w:rsidRDefault="00404C00" w:rsidP="003C069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Not performed</w:t>
            </w:r>
          </w:p>
        </w:tc>
      </w:tr>
      <w:tr w:rsidR="00404C00" w:rsidRPr="00404C00" w14:paraId="53A01203" w14:textId="77777777" w:rsidTr="00AC3641">
        <w:tc>
          <w:tcPr>
            <w:cnfStyle w:val="001000000000" w:firstRow="0" w:lastRow="0" w:firstColumn="1" w:lastColumn="0" w:oddVBand="0" w:evenVBand="0" w:oddHBand="0" w:evenHBand="0" w:firstRowFirstColumn="0" w:firstRowLastColumn="0" w:lastRowFirstColumn="0" w:lastRowLastColumn="0"/>
            <w:tcW w:w="5524" w:type="dxa"/>
            <w:vAlign w:val="top"/>
          </w:tcPr>
          <w:p w14:paraId="7B4BA635" w14:textId="4CA14D4F" w:rsidR="00404C00" w:rsidRPr="00404C00" w:rsidRDefault="00404C00" w:rsidP="0093087D">
            <w:pPr>
              <w:spacing w:before="40" w:after="40" w:line="256" w:lineRule="auto"/>
              <w:jc w:val="left"/>
              <w:rPr>
                <w:rFonts w:eastAsia="Times New Roman" w:cs="Times New Roman"/>
                <w:iCs/>
                <w:color w:val="000000"/>
                <w:sz w:val="20"/>
                <w:vertAlign w:val="superscript"/>
              </w:rPr>
            </w:pPr>
            <w:proofErr w:type="spellStart"/>
            <w:r w:rsidRPr="00404C00">
              <w:rPr>
                <w:rFonts w:eastAsia="Times New Roman" w:cs="Times New Roman"/>
                <w:iCs/>
                <w:color w:val="000000"/>
                <w:sz w:val="20"/>
              </w:rPr>
              <w:t>ArcherDX</w:t>
            </w:r>
            <w:proofErr w:type="spellEnd"/>
            <w:r w:rsidRPr="00404C00">
              <w:rPr>
                <w:rFonts w:eastAsia="Times New Roman" w:cs="Times New Roman"/>
                <w:iCs/>
                <w:color w:val="000000"/>
                <w:sz w:val="20"/>
              </w:rPr>
              <w:t xml:space="preserve"> RNA-based NGS</w:t>
            </w:r>
            <w:r w:rsidRPr="00404C00">
              <w:rPr>
                <w:rFonts w:eastAsia="Times New Roman" w:cs="Times New Roman"/>
                <w:iCs/>
                <w:color w:val="000000"/>
                <w:sz w:val="20"/>
                <w:vertAlign w:val="superscript"/>
              </w:rPr>
              <w:fldChar w:fldCharType="begin"/>
            </w:r>
            <w:r w:rsidRPr="00404C00">
              <w:rPr>
                <w:rFonts w:eastAsia="Times New Roman" w:cs="Times New Roman"/>
                <w:iCs/>
                <w:color w:val="000000"/>
                <w:sz w:val="20"/>
                <w:vertAlign w:val="superscript"/>
              </w:rPr>
              <w:instrText xml:space="preserve"> NOTEREF _Ref81397483 \h  \* MERGEFORMAT </w:instrText>
            </w:r>
            <w:r w:rsidRPr="00404C00">
              <w:rPr>
                <w:rFonts w:eastAsia="Times New Roman" w:cs="Times New Roman"/>
                <w:iCs/>
                <w:color w:val="000000"/>
                <w:sz w:val="20"/>
                <w:vertAlign w:val="superscript"/>
              </w:rPr>
            </w:r>
            <w:r w:rsidRPr="00404C00">
              <w:rPr>
                <w:rFonts w:eastAsia="Times New Roman" w:cs="Times New Roman"/>
                <w:iCs/>
                <w:color w:val="000000"/>
                <w:sz w:val="20"/>
                <w:vertAlign w:val="superscript"/>
              </w:rPr>
              <w:fldChar w:fldCharType="separate"/>
            </w:r>
            <w:r w:rsidR="00EF30D4">
              <w:rPr>
                <w:rFonts w:eastAsia="Times New Roman" w:cs="Times New Roman"/>
                <w:iCs/>
                <w:color w:val="000000"/>
                <w:sz w:val="20"/>
                <w:vertAlign w:val="superscript"/>
              </w:rPr>
              <w:t>7</w:t>
            </w:r>
            <w:r w:rsidRPr="00404C00">
              <w:rPr>
                <w:rFonts w:eastAsia="Times New Roman" w:cs="Times New Roman"/>
                <w:iCs/>
                <w:color w:val="000000"/>
                <w:sz w:val="20"/>
                <w:vertAlign w:val="superscript"/>
              </w:rPr>
              <w:fldChar w:fldCharType="end"/>
            </w:r>
          </w:p>
        </w:tc>
        <w:tc>
          <w:tcPr>
            <w:tcW w:w="1842" w:type="dxa"/>
            <w:vAlign w:val="top"/>
          </w:tcPr>
          <w:p w14:paraId="2034271B" w14:textId="77777777" w:rsidR="00404C00" w:rsidRPr="00404C00" w:rsidRDefault="00404C00" w:rsidP="003C069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33.3% (1/3)*</w:t>
            </w:r>
          </w:p>
        </w:tc>
        <w:tc>
          <w:tcPr>
            <w:tcW w:w="1701" w:type="dxa"/>
            <w:vAlign w:val="top"/>
          </w:tcPr>
          <w:p w14:paraId="0BCD075C" w14:textId="77777777" w:rsidR="00404C00" w:rsidRPr="00404C00" w:rsidRDefault="00404C00" w:rsidP="003C069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rPr>
            </w:pPr>
            <w:r w:rsidRPr="00404C00">
              <w:rPr>
                <w:rFonts w:eastAsia="Times New Roman" w:cs="Times New Roman"/>
                <w:iCs/>
                <w:color w:val="000000"/>
                <w:sz w:val="20"/>
              </w:rPr>
              <w:t>100% (43/43)</w:t>
            </w:r>
          </w:p>
        </w:tc>
      </w:tr>
    </w:tbl>
    <w:p w14:paraId="3EDFE2C5" w14:textId="77777777" w:rsidR="00404C00" w:rsidRPr="00404C00" w:rsidRDefault="00404C00" w:rsidP="0093087D">
      <w:pPr>
        <w:widowControl w:val="0"/>
        <w:spacing w:before="0" w:after="240"/>
        <w:contextualSpacing/>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rPr>
        <w:t xml:space="preserve">DNA = deoxyribonucleic acid; NGS = next generation sequencing; NPA = negative percent agreement; PPA = positive percent agreement; RNA = ribonucleic acid; </w:t>
      </w:r>
      <w:proofErr w:type="spellStart"/>
      <w:r w:rsidRPr="00404C00">
        <w:rPr>
          <w:rFonts w:ascii="Arial Narrow" w:eastAsia="Times New Roman" w:hAnsi="Arial Narrow" w:cs="Arial"/>
          <w:snapToGrid w:val="0"/>
          <w:color w:val="auto"/>
          <w:sz w:val="18"/>
          <w:szCs w:val="20"/>
        </w:rPr>
        <w:t>qRT</w:t>
      </w:r>
      <w:proofErr w:type="spellEnd"/>
      <w:r w:rsidRPr="00404C00">
        <w:rPr>
          <w:rFonts w:ascii="Arial Narrow" w:eastAsia="Times New Roman" w:hAnsi="Arial Narrow" w:cs="Arial"/>
          <w:snapToGrid w:val="0"/>
          <w:color w:val="auto"/>
          <w:sz w:val="18"/>
          <w:szCs w:val="20"/>
        </w:rPr>
        <w:t>-PCR = quantitative reverse transcription polymerase chain reaction</w:t>
      </w:r>
    </w:p>
    <w:p w14:paraId="2E0B65B3" w14:textId="77777777" w:rsidR="00404C00" w:rsidRPr="00404C00" w:rsidRDefault="00404C00" w:rsidP="0093087D">
      <w:pPr>
        <w:widowControl w:val="0"/>
        <w:spacing w:before="0" w:after="240"/>
        <w:contextualSpacing/>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rPr>
        <w:t>*</w:t>
      </w:r>
      <w:proofErr w:type="spellStart"/>
      <w:r w:rsidRPr="00404C00">
        <w:rPr>
          <w:rFonts w:ascii="Arial Narrow" w:eastAsia="Times New Roman" w:hAnsi="Arial Narrow" w:cs="Arial"/>
          <w:snapToGrid w:val="0"/>
          <w:color w:val="auto"/>
          <w:sz w:val="18"/>
          <w:szCs w:val="20"/>
        </w:rPr>
        <w:t>ArcherDX</w:t>
      </w:r>
      <w:proofErr w:type="spellEnd"/>
      <w:r w:rsidRPr="00404C00">
        <w:rPr>
          <w:rFonts w:ascii="Arial Narrow" w:eastAsia="Times New Roman" w:hAnsi="Arial Narrow" w:cs="Arial"/>
          <w:snapToGrid w:val="0"/>
          <w:color w:val="auto"/>
          <w:sz w:val="18"/>
          <w:szCs w:val="20"/>
        </w:rPr>
        <w:t xml:space="preserve"> assays may have had reduced sensitivity due to limited sample amounts for retesting</w:t>
      </w:r>
    </w:p>
    <w:p w14:paraId="1AE70275" w14:textId="569B9296" w:rsidR="00517363" w:rsidRPr="00191AEE" w:rsidRDefault="00404C00" w:rsidP="00191AEE">
      <w:pPr>
        <w:widowControl w:val="0"/>
        <w:spacing w:before="0" w:after="240"/>
        <w:jc w:val="left"/>
        <w:rPr>
          <w:rFonts w:ascii="Arial Narrow" w:eastAsia="Times New Roman" w:hAnsi="Arial Narrow" w:cs="Arial"/>
          <w:snapToGrid w:val="0"/>
          <w:color w:val="auto"/>
          <w:sz w:val="18"/>
          <w:szCs w:val="20"/>
        </w:rPr>
      </w:pPr>
      <w:r w:rsidRPr="00404C00">
        <w:rPr>
          <w:rFonts w:ascii="Arial Narrow" w:eastAsia="Times New Roman" w:hAnsi="Arial Narrow" w:cs="Arial"/>
          <w:snapToGrid w:val="0"/>
          <w:color w:val="auto"/>
          <w:sz w:val="18"/>
          <w:szCs w:val="20"/>
        </w:rPr>
        <w:t>Source: Commentary, Table MSAC.6</w:t>
      </w:r>
    </w:p>
    <w:p w14:paraId="47B9DE49" w14:textId="2F138521"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The commentary stated that the included studies had small sample sizes and encountered technical problems with the tests and/or the samples (leading to a high risk of bias). Furthermore, all studies were done on FFPE samples of tumour tissue from NSCLC patients, however none of the three studies provided details about how the samples were selected. The information on baseline characteristics of the patients from whom the samples were obtained was also limited. Thus, overall, the applicability of the study populations was unclear and there was a high risk of selection bias in the findings.</w:t>
      </w:r>
    </w:p>
    <w:p w14:paraId="4091754E" w14:textId="3A179F3F" w:rsidR="00404C00" w:rsidRPr="00404C00" w:rsidRDefault="00404C00" w:rsidP="0093087D">
      <w:pPr>
        <w:spacing w:before="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stated that DNA-based assays would be easier to conduct than RNA-based assays, as DNA is less vulnerable to degradation and less difficult to obtain. However, commercially available amplicon-based NGS panels have reduced accuracy. In silico analysis revealed that due to their design, none of the eight evaluated commercial NGS panels (DNA-based) would detect more than 63% of literature-reported cases of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w:t>
      </w:r>
      <w:r w:rsidRPr="00404C00">
        <w:rPr>
          <w:rFonts w:ascii="Times New Roman" w:eastAsia="Times New Roman" w:hAnsi="Times New Roman" w:cs="Times New Roman"/>
          <w:iCs/>
          <w:color w:val="auto"/>
          <w:szCs w:val="20"/>
          <w:vertAlign w:val="superscript"/>
          <w:lang w:eastAsia="en-AU"/>
        </w:rPr>
        <w:footnoteReference w:id="10"/>
      </w:r>
      <w:r w:rsidRPr="00404C00">
        <w:rPr>
          <w:rFonts w:ascii="Times New Roman" w:eastAsia="Times New Roman" w:hAnsi="Times New Roman" w:cs="Times New Roman"/>
          <w:iCs/>
          <w:color w:val="auto"/>
          <w:szCs w:val="20"/>
          <w:vertAlign w:val="superscript"/>
          <w:lang w:eastAsia="en-AU"/>
        </w:rPr>
        <w:t>,</w:t>
      </w:r>
      <w:r w:rsidRPr="00404C00">
        <w:rPr>
          <w:rFonts w:ascii="Times New Roman" w:eastAsia="Times New Roman" w:hAnsi="Times New Roman" w:cs="Times New Roman"/>
          <w:iCs/>
          <w:color w:val="auto"/>
          <w:szCs w:val="20"/>
          <w:vertAlign w:val="superscript"/>
          <w:lang w:eastAsia="en-AU"/>
        </w:rPr>
        <w:footnoteReference w:id="11"/>
      </w:r>
      <w:r w:rsidRPr="00404C00">
        <w:rPr>
          <w:rFonts w:ascii="Times New Roman" w:eastAsia="Times New Roman" w:hAnsi="Times New Roman" w:cs="Times New Roman"/>
          <w:iCs/>
          <w:color w:val="auto"/>
          <w:szCs w:val="20"/>
          <w:lang w:eastAsia="en-AU"/>
        </w:rPr>
        <w:t xml:space="preserve"> RNA-based tests will generally have better accuracy, because they detect all </w:t>
      </w:r>
      <w:bookmarkStart w:id="17" w:name="_Hlk81234498"/>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including those detected </w:t>
      </w:r>
      <w:r w:rsidR="00CF017B">
        <w:rPr>
          <w:rFonts w:ascii="Times New Roman" w:eastAsia="Times New Roman" w:hAnsi="Times New Roman" w:cs="Times New Roman"/>
          <w:iCs/>
          <w:color w:val="auto"/>
          <w:szCs w:val="20"/>
          <w:lang w:eastAsia="en-AU"/>
        </w:rPr>
        <w:t>at</w:t>
      </w:r>
      <w:r w:rsidRPr="00404C00">
        <w:rPr>
          <w:rFonts w:ascii="Times New Roman" w:eastAsia="Times New Roman" w:hAnsi="Times New Roman" w:cs="Times New Roman"/>
          <w:iCs/>
          <w:color w:val="auto"/>
          <w:szCs w:val="20"/>
          <w:lang w:eastAsia="en-AU"/>
        </w:rPr>
        <w:t xml:space="preserve"> RNA </w:t>
      </w:r>
      <w:r w:rsidR="00CF017B">
        <w:rPr>
          <w:rFonts w:ascii="Times New Roman" w:eastAsia="Times New Roman" w:hAnsi="Times New Roman" w:cs="Times New Roman"/>
          <w:iCs/>
          <w:color w:val="auto"/>
          <w:szCs w:val="20"/>
          <w:lang w:eastAsia="en-AU"/>
        </w:rPr>
        <w:t xml:space="preserve">level </w:t>
      </w:r>
      <w:r w:rsidRPr="00404C00">
        <w:rPr>
          <w:rFonts w:ascii="Times New Roman" w:eastAsia="Times New Roman" w:hAnsi="Times New Roman" w:cs="Times New Roman"/>
          <w:iCs/>
          <w:color w:val="auto"/>
          <w:szCs w:val="20"/>
          <w:lang w:eastAsia="en-AU"/>
        </w:rPr>
        <w:t xml:space="preserve">as </w:t>
      </w:r>
      <w:bookmarkEnd w:id="17"/>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ex13-</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ex15 fusions, regardless of the underlying DNA alterations. A DNA assay should cover all regions involved in splicing (the branch site, polypyrimidine tract, splice acceptor and donor site)</w:t>
      </w:r>
      <w:bookmarkStart w:id="18" w:name="_Hlk80708349"/>
      <w:r w:rsidRPr="00404C00">
        <w:rPr>
          <w:rFonts w:ascii="Times New Roman" w:eastAsia="Times New Roman" w:hAnsi="Times New Roman" w:cs="Times New Roman"/>
          <w:iCs/>
          <w:color w:val="auto"/>
          <w:szCs w:val="20"/>
          <w:lang w:eastAsia="en-AU"/>
        </w:rPr>
        <w:t>, as well as other regions where</w:t>
      </w:r>
      <w:r w:rsidRPr="00404C00">
        <w:rPr>
          <w:rFonts w:ascii="Times New Roman" w:eastAsia="Times New Roman" w:hAnsi="Times New Roman" w:cs="Times New Roman"/>
          <w:i/>
          <w:color w:val="auto"/>
          <w:szCs w:val="20"/>
          <w:lang w:eastAsia="en-AU"/>
        </w:rPr>
        <w:t xml:space="preserve"> </w:t>
      </w:r>
      <w:r w:rsidRPr="00404C00">
        <w:rPr>
          <w:rFonts w:ascii="Times New Roman" w:eastAsia="Times New Roman" w:hAnsi="Times New Roman" w:cs="Times New Roman"/>
          <w:iCs/>
          <w:color w:val="auto"/>
          <w:szCs w:val="20"/>
          <w:lang w:eastAsia="en-AU"/>
        </w:rPr>
        <w:t xml:space="preserve">alterations have been observed to cause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w:t>
      </w:r>
      <w:bookmarkEnd w:id="18"/>
      <w:r w:rsidRPr="00404C00">
        <w:rPr>
          <w:rFonts w:ascii="Times New Roman" w:eastAsia="Times New Roman" w:hAnsi="Times New Roman" w:cs="Times New Roman"/>
          <w:iCs/>
          <w:color w:val="auto"/>
          <w:szCs w:val="20"/>
          <w:lang w:eastAsia="en-AU"/>
        </w:rPr>
        <w:t xml:space="preserve"> to be accurate in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detection. Detection using DNA-based assays will therefore rely on the set of alterations known to cause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and its accurate curation.</w:t>
      </w:r>
    </w:p>
    <w:p w14:paraId="76C4FDE4" w14:textId="77777777" w:rsidR="00404C00" w:rsidRPr="00404C00" w:rsidRDefault="00404C00" w:rsidP="00191AEE">
      <w:pPr>
        <w:spacing w:before="24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PASC advised that the variations in detection rates by RNA- vs DNA-based tests would be a consideration for NATA, to ensure that the most appropriate test is used for the intended purpose.</w:t>
      </w:r>
    </w:p>
    <w:p w14:paraId="6A3D944F" w14:textId="77777777" w:rsidR="00404C00" w:rsidRPr="00404C00" w:rsidRDefault="00404C00" w:rsidP="00191AEE">
      <w:pPr>
        <w:keepNext/>
        <w:keepLines/>
        <w:spacing w:before="240" w:after="40"/>
        <w:jc w:val="left"/>
        <w:outlineLvl w:val="2"/>
        <w:rPr>
          <w:rFonts w:ascii="Times New Roman" w:eastAsia="Times New Roman" w:hAnsi="Times New Roman" w:cs="Times New Roman"/>
          <w:bCs/>
          <w:snapToGrid w:val="0"/>
          <w:color w:val="auto"/>
          <w:szCs w:val="24"/>
          <w:u w:val="single"/>
          <w:lang w:eastAsia="en-AU"/>
        </w:rPr>
      </w:pPr>
      <w:r w:rsidRPr="00404C00">
        <w:rPr>
          <w:rFonts w:ascii="Times New Roman" w:eastAsia="Times New Roman" w:hAnsi="Times New Roman" w:cs="Times New Roman"/>
          <w:bCs/>
          <w:snapToGrid w:val="0"/>
          <w:color w:val="auto"/>
          <w:szCs w:val="24"/>
          <w:u w:val="single"/>
          <w:lang w:eastAsia="en-AU"/>
        </w:rPr>
        <w:lastRenderedPageBreak/>
        <w:t>Prevalence</w:t>
      </w:r>
    </w:p>
    <w:p w14:paraId="576F89D1" w14:textId="1CAC967D"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stated that according to the ratified PICO Confirmation, the applicant estimated that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drive approximately 3%-5% of NSCLC. The majority of identified studies reported a prevalence of 3%-4%. The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positive rate varies across different patient pools and </w:t>
      </w:r>
      <w:proofErr w:type="spellStart"/>
      <w:r w:rsidRPr="00404C00">
        <w:rPr>
          <w:rFonts w:ascii="Times New Roman" w:eastAsia="Times New Roman" w:hAnsi="Times New Roman" w:cs="Times New Roman"/>
          <w:iCs/>
          <w:color w:val="auto"/>
          <w:szCs w:val="20"/>
          <w:lang w:eastAsia="en-AU"/>
        </w:rPr>
        <w:t>histologies</w:t>
      </w:r>
      <w:proofErr w:type="spellEnd"/>
      <w:r w:rsidRPr="00404C00">
        <w:rPr>
          <w:rFonts w:ascii="Times New Roman" w:eastAsia="Times New Roman" w:hAnsi="Times New Roman" w:cs="Times New Roman"/>
          <w:iCs/>
          <w:color w:val="auto"/>
          <w:szCs w:val="20"/>
          <w:lang w:eastAsia="en-AU"/>
        </w:rPr>
        <w:t>. Studies show that the prevalence is higher in patients with non-squamous NSCLC compared to patients with squamous NSCLC</w:t>
      </w:r>
      <w:r w:rsidRPr="00404C00">
        <w:rPr>
          <w:rFonts w:ascii="Times New Roman" w:eastAsia="Times New Roman" w:hAnsi="Times New Roman" w:cs="Times New Roman"/>
          <w:iCs/>
          <w:color w:val="auto"/>
          <w:szCs w:val="20"/>
          <w:vertAlign w:val="superscript"/>
          <w:lang w:eastAsia="en-AU"/>
        </w:rPr>
        <w:footnoteReference w:id="12"/>
      </w:r>
      <w:r w:rsidRPr="00404C00">
        <w:rPr>
          <w:rFonts w:ascii="Times New Roman" w:eastAsia="Times New Roman" w:hAnsi="Times New Roman" w:cs="Times New Roman"/>
          <w:iCs/>
          <w:color w:val="auto"/>
          <w:szCs w:val="20"/>
          <w:vertAlign w:val="superscript"/>
          <w:lang w:eastAsia="en-AU"/>
        </w:rPr>
        <w:t>,</w:t>
      </w:r>
      <w:r w:rsidRPr="00404C00">
        <w:rPr>
          <w:rFonts w:ascii="Times New Roman" w:eastAsia="Times New Roman" w:hAnsi="Times New Roman" w:cs="Times New Roman"/>
          <w:iCs/>
          <w:color w:val="auto"/>
          <w:szCs w:val="20"/>
          <w:vertAlign w:val="superscript"/>
          <w:lang w:eastAsia="en-AU"/>
        </w:rPr>
        <w:footnoteReference w:id="13"/>
      </w:r>
      <w:r w:rsidRPr="00404C00">
        <w:rPr>
          <w:rFonts w:ascii="Times New Roman" w:eastAsia="Times New Roman" w:hAnsi="Times New Roman" w:cs="Times New Roman"/>
          <w:iCs/>
          <w:color w:val="auto"/>
          <w:szCs w:val="20"/>
          <w:lang w:eastAsia="en-AU"/>
        </w:rPr>
        <w:t xml:space="preserve"> and after removing </w:t>
      </w:r>
      <w:r w:rsidRPr="00404C00">
        <w:rPr>
          <w:rFonts w:ascii="Times New Roman" w:eastAsia="Times New Roman" w:hAnsi="Times New Roman" w:cs="Times New Roman"/>
          <w:i/>
          <w:color w:val="auto"/>
          <w:szCs w:val="20"/>
          <w:lang w:eastAsia="en-AU"/>
        </w:rPr>
        <w:t>EGFR</w:t>
      </w:r>
      <w:r w:rsidRPr="00404C00">
        <w:rPr>
          <w:rFonts w:ascii="Times New Roman" w:eastAsia="Times New Roman" w:hAnsi="Times New Roman" w:cs="Times New Roman"/>
          <w:iCs/>
          <w:color w:val="auto"/>
          <w:szCs w:val="20"/>
          <w:lang w:eastAsia="en-AU"/>
        </w:rPr>
        <w:t>/</w:t>
      </w:r>
      <w:r w:rsidRPr="00404C00">
        <w:rPr>
          <w:rFonts w:ascii="Times New Roman" w:eastAsia="Times New Roman" w:hAnsi="Times New Roman" w:cs="Times New Roman"/>
          <w:i/>
          <w:color w:val="auto"/>
          <w:szCs w:val="20"/>
          <w:lang w:eastAsia="en-AU"/>
        </w:rPr>
        <w:t>ALK</w:t>
      </w:r>
      <w:r w:rsidRPr="00404C00">
        <w:rPr>
          <w:rFonts w:ascii="Times New Roman" w:eastAsia="Times New Roman" w:hAnsi="Times New Roman" w:cs="Times New Roman"/>
          <w:iCs/>
          <w:color w:val="auto"/>
          <w:szCs w:val="20"/>
          <w:lang w:eastAsia="en-AU"/>
        </w:rPr>
        <w:t xml:space="preserve">+ patients. The studies by Huang et al. and </w:t>
      </w:r>
      <w:proofErr w:type="spellStart"/>
      <w:r w:rsidRPr="00404C00">
        <w:rPr>
          <w:rFonts w:ascii="Times New Roman" w:eastAsia="Times New Roman" w:hAnsi="Times New Roman" w:cs="Times New Roman"/>
          <w:iCs/>
          <w:color w:val="auto"/>
          <w:szCs w:val="20"/>
          <w:lang w:eastAsia="en-AU"/>
        </w:rPr>
        <w:t>Reungwetwattana</w:t>
      </w:r>
      <w:proofErr w:type="spellEnd"/>
      <w:r w:rsidRPr="00404C00">
        <w:rPr>
          <w:rFonts w:ascii="Times New Roman" w:eastAsia="Times New Roman" w:hAnsi="Times New Roman" w:cs="Times New Roman"/>
          <w:iCs/>
          <w:color w:val="auto"/>
          <w:szCs w:val="20"/>
          <w:lang w:eastAsia="en-AU"/>
        </w:rPr>
        <w:t xml:space="preserve"> et al. reported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in approximately 3% of non-squamous and around 2% of squamous NSCLC, although the prevalence might vary slightly across studies.</w:t>
      </w:r>
    </w:p>
    <w:p w14:paraId="6D06FF13" w14:textId="77777777" w:rsidR="00404C00" w:rsidRPr="00404C00" w:rsidRDefault="00404C00" w:rsidP="0093087D">
      <w:pPr>
        <w:keepNext/>
        <w:keepLines/>
        <w:spacing w:before="0" w:after="40"/>
        <w:jc w:val="left"/>
        <w:outlineLvl w:val="2"/>
        <w:rPr>
          <w:rFonts w:ascii="Times New Roman" w:eastAsia="Times New Roman" w:hAnsi="Times New Roman" w:cs="Times New Roman"/>
          <w:bCs/>
          <w:snapToGrid w:val="0"/>
          <w:color w:val="auto"/>
          <w:szCs w:val="24"/>
          <w:u w:val="single"/>
          <w:lang w:eastAsia="en-AU"/>
        </w:rPr>
      </w:pPr>
      <w:r w:rsidRPr="00404C00">
        <w:rPr>
          <w:rFonts w:ascii="Times New Roman" w:eastAsia="Times New Roman" w:hAnsi="Times New Roman" w:cs="Times New Roman"/>
          <w:bCs/>
          <w:snapToGrid w:val="0"/>
          <w:color w:val="auto"/>
          <w:szCs w:val="24"/>
          <w:u w:val="single"/>
          <w:lang w:eastAsia="en-AU"/>
        </w:rPr>
        <w:t>Assessment of the consequences of incorrect test results</w:t>
      </w:r>
    </w:p>
    <w:p w14:paraId="4074682D" w14:textId="7B246FFE" w:rsidR="00404C00" w:rsidRPr="00404C00" w:rsidRDefault="00404C00" w:rsidP="0093087D">
      <w:pPr>
        <w:spacing w:before="0" w:after="24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calculated the number of true positive, false positive, false negative and true negative patients expected from testing of the proposed population using median PPA and NPA values for various tests reported </w:t>
      </w:r>
      <w:r w:rsidR="00812148">
        <w:rPr>
          <w:rFonts w:ascii="Times New Roman" w:eastAsia="Times New Roman" w:hAnsi="Times New Roman" w:cs="Times New Roman"/>
          <w:iCs/>
          <w:color w:val="auto"/>
          <w:szCs w:val="20"/>
          <w:lang w:eastAsia="en-AU"/>
        </w:rPr>
        <w:t>above</w:t>
      </w:r>
      <w:r w:rsidRPr="00404C00">
        <w:rPr>
          <w:rFonts w:ascii="Times New Roman" w:eastAsia="Times New Roman" w:hAnsi="Times New Roman" w:cs="Times New Roman"/>
          <w:iCs/>
          <w:color w:val="auto"/>
          <w:szCs w:val="20"/>
          <w:lang w:eastAsia="en-AU"/>
        </w:rPr>
        <w:t>. The prevalence rate was assumed to be 3.5% for these calculations. The results presented in</w:t>
      </w:r>
      <w:r w:rsidR="002668D4">
        <w:rPr>
          <w:rFonts w:ascii="Times New Roman" w:eastAsia="Times New Roman" w:hAnsi="Times New Roman" w:cs="Times New Roman"/>
          <w:iCs/>
          <w:color w:val="auto"/>
          <w:szCs w:val="20"/>
          <w:lang w:eastAsia="en-AU"/>
        </w:rPr>
        <w:t xml:space="preserve"> Table 7</w:t>
      </w:r>
      <w:r w:rsidRPr="00404C00">
        <w:rPr>
          <w:rFonts w:ascii="Times New Roman" w:eastAsia="Times New Roman" w:hAnsi="Times New Roman" w:cs="Times New Roman"/>
          <w:iCs/>
          <w:color w:val="auto"/>
          <w:szCs w:val="20"/>
          <w:lang w:eastAsia="en-AU"/>
        </w:rPr>
        <w:t xml:space="preserve"> are based on limited evidence (k=3, small studies). Furthermore, the studies included had technical problems with the test and/or samples. Therefore, the commentary considered true PPA and NPA values were indeterminable.</w:t>
      </w:r>
    </w:p>
    <w:p w14:paraId="4CCD4BF5" w14:textId="3A49AB80" w:rsidR="00404C00" w:rsidRPr="00404C00" w:rsidRDefault="00404C00" w:rsidP="0093087D">
      <w:pPr>
        <w:keepNext/>
        <w:spacing w:before="0" w:after="40"/>
        <w:jc w:val="left"/>
        <w:outlineLvl w:val="4"/>
        <w:rPr>
          <w:rFonts w:ascii="Arial Narrow" w:eastAsia="Times New Roman" w:hAnsi="Arial Narrow" w:cs="Arial"/>
          <w:b/>
          <w:bCs/>
          <w:iCs/>
          <w:color w:val="auto"/>
          <w:sz w:val="20"/>
          <w:szCs w:val="20"/>
        </w:rPr>
      </w:pPr>
      <w:bookmarkStart w:id="19" w:name="_Ref84010607"/>
      <w:r w:rsidRPr="00404C00">
        <w:rPr>
          <w:rFonts w:ascii="Arial Narrow" w:eastAsia="Times New Roman" w:hAnsi="Arial Narrow" w:cs="Arial"/>
          <w:b/>
          <w:bCs/>
          <w:iCs/>
          <w:color w:val="auto"/>
          <w:sz w:val="20"/>
          <w:szCs w:val="20"/>
        </w:rPr>
        <w:t xml:space="preserve">Table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Table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7</w:t>
      </w:r>
      <w:r w:rsidRPr="00404C00">
        <w:rPr>
          <w:rFonts w:ascii="Arial Narrow" w:eastAsia="Times New Roman" w:hAnsi="Arial Narrow" w:cs="Arial"/>
          <w:b/>
          <w:bCs/>
          <w:iCs/>
          <w:noProof/>
          <w:color w:val="auto"/>
          <w:sz w:val="20"/>
          <w:szCs w:val="20"/>
        </w:rPr>
        <w:fldChar w:fldCharType="end"/>
      </w:r>
      <w:bookmarkEnd w:id="19"/>
      <w:r w:rsidRPr="00404C00">
        <w:rPr>
          <w:rFonts w:ascii="Arial Narrow" w:eastAsia="Times New Roman" w:hAnsi="Arial Narrow" w:cs="Arial"/>
          <w:b/>
          <w:bCs/>
          <w:iCs/>
          <w:color w:val="auto"/>
          <w:sz w:val="20"/>
          <w:szCs w:val="20"/>
        </w:rPr>
        <w:tab/>
      </w:r>
      <w:r w:rsidRPr="00404C00">
        <w:rPr>
          <w:rFonts w:ascii="Arial Narrow" w:eastAsia="Times New Roman" w:hAnsi="Arial Narrow" w:cs="Arial"/>
          <w:b/>
          <w:bCs/>
          <w:iCs/>
          <w:noProof/>
          <w:color w:val="auto"/>
          <w:sz w:val="20"/>
          <w:szCs w:val="20"/>
        </w:rPr>
        <w:t xml:space="preserve">Comparative number of false positive and false negative of </w:t>
      </w:r>
      <w:r w:rsidRPr="00404C00">
        <w:rPr>
          <w:rFonts w:ascii="Arial Narrow" w:eastAsia="Times New Roman" w:hAnsi="Arial Narrow" w:cs="Arial"/>
          <w:b/>
          <w:bCs/>
          <w:i/>
          <w:iCs/>
          <w:color w:val="auto"/>
          <w:sz w:val="20"/>
          <w:szCs w:val="20"/>
        </w:rPr>
        <w:t>MET</w:t>
      </w:r>
      <w:r w:rsidRPr="00404C00">
        <w:rPr>
          <w:rFonts w:ascii="Arial Narrow" w:eastAsia="Times New Roman" w:hAnsi="Arial Narrow" w:cs="Arial"/>
          <w:b/>
          <w:bCs/>
          <w:color w:val="auto"/>
          <w:sz w:val="20"/>
          <w:szCs w:val="20"/>
        </w:rPr>
        <w:t>ex14sk</w:t>
      </w:r>
      <w:r w:rsidRPr="00404C00">
        <w:rPr>
          <w:rFonts w:ascii="Arial Narrow" w:eastAsia="Times New Roman" w:hAnsi="Arial Narrow" w:cs="Arial"/>
          <w:b/>
          <w:bCs/>
          <w:iCs/>
          <w:noProof/>
          <w:color w:val="auto"/>
          <w:sz w:val="20"/>
          <w:szCs w:val="20"/>
        </w:rPr>
        <w:t xml:space="preserve"> test results compared to evidentiary standard (Hybrid DNA/RNA-NGS or RNA-NGS)</w:t>
      </w:r>
    </w:p>
    <w:tbl>
      <w:tblPr>
        <w:tblStyle w:val="HTATableshaded52"/>
        <w:tblW w:w="5028" w:type="pct"/>
        <w:tblLayout w:type="fixed"/>
        <w:tblLook w:val="04A0" w:firstRow="1" w:lastRow="0" w:firstColumn="1" w:lastColumn="0" w:noHBand="0" w:noVBand="1"/>
      </w:tblPr>
      <w:tblGrid>
        <w:gridCol w:w="1840"/>
        <w:gridCol w:w="1061"/>
        <w:gridCol w:w="1063"/>
        <w:gridCol w:w="1420"/>
        <w:gridCol w:w="1418"/>
        <w:gridCol w:w="1276"/>
        <w:gridCol w:w="988"/>
      </w:tblGrid>
      <w:tr w:rsidR="00404C00" w:rsidRPr="00404C00" w14:paraId="5B78A82E" w14:textId="77777777" w:rsidTr="00404C00">
        <w:trPr>
          <w:cnfStyle w:val="100000000000" w:firstRow="1" w:lastRow="0" w:firstColumn="0" w:lastColumn="0" w:oddVBand="0" w:evenVBand="0" w:oddHBand="0" w:evenHBand="0" w:firstRowFirstColumn="0" w:firstRowLastColumn="0" w:lastRowFirstColumn="0" w:lastRowLastColumn="0"/>
          <w:trHeight w:val="264"/>
          <w:tblHeader/>
        </w:trPr>
        <w:tc>
          <w:tcPr>
            <w:tcW w:w="1015" w:type="pct"/>
            <w:shd w:val="clear" w:color="auto" w:fill="auto"/>
            <w:vAlign w:val="bottom"/>
          </w:tcPr>
          <w:p w14:paraId="7AE7C606" w14:textId="77777777" w:rsidR="00404C00" w:rsidRPr="003C0691" w:rsidRDefault="00404C00" w:rsidP="0093087D">
            <w:pPr>
              <w:widowControl w:val="0"/>
              <w:spacing w:before="40" w:after="40"/>
              <w:ind w:left="-57" w:right="-57"/>
              <w:jc w:val="left"/>
              <w:rPr>
                <w:rFonts w:ascii="Arial Narrow" w:eastAsia="Arial" w:hAnsi="Arial Narrow"/>
                <w:b/>
                <w:bCs/>
                <w:iCs/>
                <w:color w:val="auto"/>
                <w:sz w:val="20"/>
                <w:szCs w:val="22"/>
              </w:rPr>
            </w:pPr>
            <w:r w:rsidRPr="003C0691">
              <w:rPr>
                <w:rFonts w:ascii="Arial Narrow" w:eastAsia="Arial" w:hAnsi="Arial Narrow"/>
                <w:b/>
                <w:bCs/>
                <w:iCs/>
                <w:color w:val="auto"/>
                <w:sz w:val="20"/>
                <w:szCs w:val="22"/>
              </w:rPr>
              <w:t>Test</w:t>
            </w:r>
          </w:p>
        </w:tc>
        <w:tc>
          <w:tcPr>
            <w:tcW w:w="585" w:type="pct"/>
            <w:shd w:val="clear" w:color="auto" w:fill="auto"/>
            <w:vAlign w:val="bottom"/>
          </w:tcPr>
          <w:p w14:paraId="28A4D416" w14:textId="77777777" w:rsidR="00404C00" w:rsidRPr="003C0691" w:rsidRDefault="00404C00" w:rsidP="003C0691">
            <w:pPr>
              <w:widowControl w:val="0"/>
              <w:spacing w:before="40" w:after="40"/>
              <w:ind w:left="-57" w:right="-57"/>
              <w:jc w:val="center"/>
              <w:rPr>
                <w:rFonts w:ascii="Arial Narrow" w:eastAsia="Arial" w:hAnsi="Arial Narrow"/>
                <w:b/>
                <w:bCs/>
                <w:iCs/>
                <w:color w:val="auto"/>
                <w:sz w:val="20"/>
                <w:szCs w:val="22"/>
              </w:rPr>
            </w:pPr>
            <w:r w:rsidRPr="003C0691">
              <w:rPr>
                <w:rFonts w:ascii="Arial Narrow" w:eastAsia="Arial" w:hAnsi="Arial Narrow"/>
                <w:b/>
                <w:bCs/>
                <w:iCs/>
                <w:color w:val="auto"/>
                <w:sz w:val="20"/>
                <w:szCs w:val="22"/>
              </w:rPr>
              <w:t>Median PPA</w:t>
            </w:r>
          </w:p>
        </w:tc>
        <w:tc>
          <w:tcPr>
            <w:tcW w:w="586" w:type="pct"/>
            <w:shd w:val="clear" w:color="auto" w:fill="auto"/>
            <w:vAlign w:val="bottom"/>
          </w:tcPr>
          <w:p w14:paraId="566905DD" w14:textId="77777777" w:rsidR="00404C00" w:rsidRPr="003C0691" w:rsidRDefault="00404C00" w:rsidP="003C0691">
            <w:pPr>
              <w:widowControl w:val="0"/>
              <w:spacing w:before="40" w:after="40"/>
              <w:ind w:left="-57" w:right="-57"/>
              <w:jc w:val="center"/>
              <w:rPr>
                <w:rFonts w:ascii="Arial Narrow" w:eastAsia="Arial" w:hAnsi="Arial Narrow"/>
                <w:b/>
                <w:bCs/>
                <w:iCs/>
                <w:color w:val="auto"/>
                <w:sz w:val="20"/>
                <w:szCs w:val="22"/>
              </w:rPr>
            </w:pPr>
            <w:r w:rsidRPr="003C0691">
              <w:rPr>
                <w:rFonts w:ascii="Arial Narrow" w:eastAsia="Arial" w:hAnsi="Arial Narrow"/>
                <w:b/>
                <w:bCs/>
                <w:iCs/>
                <w:color w:val="auto"/>
                <w:sz w:val="20"/>
                <w:szCs w:val="22"/>
              </w:rPr>
              <w:t>Median NPA</w:t>
            </w:r>
          </w:p>
        </w:tc>
        <w:tc>
          <w:tcPr>
            <w:tcW w:w="783" w:type="pct"/>
            <w:shd w:val="clear" w:color="auto" w:fill="auto"/>
            <w:vAlign w:val="bottom"/>
          </w:tcPr>
          <w:p w14:paraId="1612E021" w14:textId="77777777" w:rsidR="00404C00" w:rsidRPr="003C0691" w:rsidRDefault="00404C00" w:rsidP="003C0691">
            <w:pPr>
              <w:widowControl w:val="0"/>
              <w:spacing w:before="40" w:after="40"/>
              <w:ind w:left="-57" w:right="-57"/>
              <w:jc w:val="center"/>
              <w:rPr>
                <w:rFonts w:ascii="Arial Narrow" w:eastAsia="Arial" w:hAnsi="Arial Narrow"/>
                <w:b/>
                <w:bCs/>
                <w:iCs/>
                <w:color w:val="auto"/>
                <w:sz w:val="20"/>
                <w:szCs w:val="20"/>
              </w:rPr>
            </w:pPr>
            <w:r w:rsidRPr="003C0691">
              <w:rPr>
                <w:rFonts w:ascii="Arial Narrow" w:eastAsia="Arial" w:hAnsi="Arial Narrow"/>
                <w:b/>
                <w:bCs/>
                <w:iCs/>
                <w:color w:val="auto"/>
                <w:sz w:val="20"/>
                <w:szCs w:val="20"/>
              </w:rPr>
              <w:t>Number of with a positive test result (TP:FP)</w:t>
            </w:r>
          </w:p>
        </w:tc>
        <w:tc>
          <w:tcPr>
            <w:tcW w:w="782" w:type="pct"/>
            <w:shd w:val="clear" w:color="auto" w:fill="auto"/>
            <w:vAlign w:val="bottom"/>
          </w:tcPr>
          <w:p w14:paraId="6D2D1A97" w14:textId="77777777" w:rsidR="00404C00" w:rsidRPr="003C0691" w:rsidRDefault="00404C00" w:rsidP="003C0691">
            <w:pPr>
              <w:widowControl w:val="0"/>
              <w:spacing w:before="40" w:after="40"/>
              <w:ind w:left="-57" w:right="-57"/>
              <w:jc w:val="center"/>
              <w:rPr>
                <w:rFonts w:ascii="Arial Narrow" w:eastAsia="Arial" w:hAnsi="Arial Narrow"/>
                <w:b/>
                <w:bCs/>
                <w:iCs/>
                <w:color w:val="auto"/>
                <w:sz w:val="20"/>
                <w:szCs w:val="22"/>
              </w:rPr>
            </w:pPr>
            <w:r w:rsidRPr="003C0691">
              <w:rPr>
                <w:rFonts w:ascii="Arial Narrow" w:eastAsia="Arial" w:hAnsi="Arial Narrow"/>
                <w:b/>
                <w:bCs/>
                <w:iCs/>
                <w:color w:val="auto"/>
                <w:sz w:val="20"/>
                <w:szCs w:val="22"/>
              </w:rPr>
              <w:t>Number of with a negative test result (FN:TN)</w:t>
            </w:r>
          </w:p>
        </w:tc>
        <w:tc>
          <w:tcPr>
            <w:tcW w:w="704" w:type="pct"/>
            <w:shd w:val="clear" w:color="auto" w:fill="auto"/>
            <w:vAlign w:val="bottom"/>
          </w:tcPr>
          <w:p w14:paraId="7662136E" w14:textId="77777777" w:rsidR="00404C00" w:rsidRPr="003C0691" w:rsidRDefault="00404C00" w:rsidP="003C0691">
            <w:pPr>
              <w:widowControl w:val="0"/>
              <w:spacing w:before="40" w:after="40"/>
              <w:ind w:left="-57" w:right="-57"/>
              <w:jc w:val="center"/>
              <w:rPr>
                <w:rFonts w:ascii="Arial Narrow" w:eastAsia="Arial" w:hAnsi="Arial Narrow"/>
                <w:b/>
                <w:bCs/>
                <w:iCs/>
                <w:color w:val="auto"/>
                <w:sz w:val="20"/>
                <w:szCs w:val="22"/>
              </w:rPr>
            </w:pPr>
            <w:r w:rsidRPr="003C0691">
              <w:rPr>
                <w:rFonts w:ascii="Arial Narrow" w:eastAsia="Arial" w:hAnsi="Arial Narrow"/>
                <w:b/>
                <w:bCs/>
                <w:iCs/>
                <w:color w:val="auto"/>
                <w:sz w:val="20"/>
                <w:szCs w:val="22"/>
              </w:rPr>
              <w:t>NNT to obtain one positive result</w:t>
            </w:r>
          </w:p>
        </w:tc>
        <w:tc>
          <w:tcPr>
            <w:tcW w:w="545" w:type="pct"/>
            <w:shd w:val="clear" w:color="auto" w:fill="auto"/>
            <w:vAlign w:val="bottom"/>
          </w:tcPr>
          <w:p w14:paraId="2B90577A" w14:textId="77777777" w:rsidR="00404C00" w:rsidRPr="003C0691" w:rsidRDefault="00404C00" w:rsidP="003C0691">
            <w:pPr>
              <w:widowControl w:val="0"/>
              <w:spacing w:before="40" w:after="40"/>
              <w:ind w:left="-57" w:right="-57"/>
              <w:jc w:val="center"/>
              <w:rPr>
                <w:rFonts w:ascii="Arial Narrow" w:eastAsia="Arial" w:hAnsi="Arial Narrow"/>
                <w:b/>
                <w:bCs/>
                <w:iCs/>
                <w:color w:val="auto"/>
                <w:sz w:val="20"/>
                <w:szCs w:val="22"/>
              </w:rPr>
            </w:pPr>
            <w:r w:rsidRPr="003C0691">
              <w:rPr>
                <w:rFonts w:ascii="Arial Narrow" w:eastAsia="Arial" w:hAnsi="Arial Narrow"/>
                <w:b/>
                <w:bCs/>
                <w:iCs/>
                <w:color w:val="auto"/>
                <w:sz w:val="20"/>
                <w:szCs w:val="22"/>
              </w:rPr>
              <w:t>NNT to obtain one TP result</w:t>
            </w:r>
          </w:p>
        </w:tc>
      </w:tr>
      <w:tr w:rsidR="00404C00" w:rsidRPr="00404C00" w14:paraId="693A12CF" w14:textId="77777777" w:rsidTr="00404C00">
        <w:tc>
          <w:tcPr>
            <w:tcW w:w="1015" w:type="pct"/>
          </w:tcPr>
          <w:p w14:paraId="3ED8C3C7" w14:textId="77777777" w:rsidR="00404C00" w:rsidRPr="00404C00" w:rsidRDefault="00404C00" w:rsidP="0093087D">
            <w:pPr>
              <w:widowControl w:val="0"/>
              <w:spacing w:before="40" w:after="40"/>
              <w:jc w:val="left"/>
              <w:rPr>
                <w:rFonts w:ascii="Arial Narrow" w:eastAsia="Arial" w:hAnsi="Arial Narrow"/>
                <w:iCs/>
                <w:color w:val="auto"/>
                <w:sz w:val="20"/>
                <w:szCs w:val="22"/>
              </w:rPr>
            </w:pPr>
            <w:r w:rsidRPr="00404C00">
              <w:rPr>
                <w:rFonts w:ascii="Arial Narrow" w:eastAsia="Arial" w:hAnsi="Arial Narrow"/>
                <w:iCs/>
                <w:color w:val="auto"/>
                <w:sz w:val="20"/>
                <w:szCs w:val="22"/>
              </w:rPr>
              <w:t>DNA-NGS</w:t>
            </w:r>
          </w:p>
        </w:tc>
        <w:tc>
          <w:tcPr>
            <w:tcW w:w="585" w:type="pct"/>
            <w:vAlign w:val="bottom"/>
          </w:tcPr>
          <w:p w14:paraId="1CDB85AF"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70%, k=2</w:t>
            </w:r>
          </w:p>
        </w:tc>
        <w:tc>
          <w:tcPr>
            <w:tcW w:w="586" w:type="pct"/>
            <w:vAlign w:val="bottom"/>
          </w:tcPr>
          <w:p w14:paraId="2CA43CA1"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99.3%, k=1</w:t>
            </w:r>
          </w:p>
        </w:tc>
        <w:tc>
          <w:tcPr>
            <w:tcW w:w="783" w:type="pct"/>
            <w:vAlign w:val="bottom"/>
          </w:tcPr>
          <w:p w14:paraId="33B6ACDA"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141:39</w:t>
            </w:r>
          </w:p>
        </w:tc>
        <w:tc>
          <w:tcPr>
            <w:tcW w:w="782" w:type="pct"/>
            <w:vAlign w:val="bottom"/>
          </w:tcPr>
          <w:p w14:paraId="0212022A"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60:5,498</w:t>
            </w:r>
          </w:p>
        </w:tc>
        <w:tc>
          <w:tcPr>
            <w:tcW w:w="704" w:type="pct"/>
            <w:vAlign w:val="bottom"/>
          </w:tcPr>
          <w:p w14:paraId="07E9A601"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31</w:t>
            </w:r>
          </w:p>
        </w:tc>
        <w:tc>
          <w:tcPr>
            <w:tcW w:w="545" w:type="pct"/>
            <w:vAlign w:val="bottom"/>
          </w:tcPr>
          <w:p w14:paraId="2992364E"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39</w:t>
            </w:r>
          </w:p>
        </w:tc>
      </w:tr>
      <w:tr w:rsidR="00404C00" w:rsidRPr="00404C00" w14:paraId="28F96236" w14:textId="77777777" w:rsidTr="00404C00">
        <w:tc>
          <w:tcPr>
            <w:tcW w:w="1015" w:type="pct"/>
          </w:tcPr>
          <w:p w14:paraId="73F080E6" w14:textId="77777777" w:rsidR="00404C00" w:rsidRPr="00404C00" w:rsidRDefault="00404C00" w:rsidP="0093087D">
            <w:pPr>
              <w:widowControl w:val="0"/>
              <w:spacing w:before="40" w:after="40"/>
              <w:ind w:right="-57"/>
              <w:jc w:val="left"/>
              <w:rPr>
                <w:rFonts w:ascii="Arial Narrow" w:eastAsia="Arial" w:hAnsi="Arial Narrow"/>
                <w:iCs/>
                <w:color w:val="auto"/>
                <w:sz w:val="20"/>
                <w:szCs w:val="22"/>
              </w:rPr>
            </w:pPr>
            <w:r w:rsidRPr="00404C00">
              <w:rPr>
                <w:rFonts w:ascii="Arial Narrow" w:eastAsia="Arial" w:hAnsi="Arial Narrow"/>
                <w:iCs/>
                <w:color w:val="auto"/>
                <w:sz w:val="20"/>
                <w:szCs w:val="22"/>
              </w:rPr>
              <w:t>Sanger sequencing</w:t>
            </w:r>
          </w:p>
        </w:tc>
        <w:tc>
          <w:tcPr>
            <w:tcW w:w="585" w:type="pct"/>
            <w:vAlign w:val="bottom"/>
          </w:tcPr>
          <w:p w14:paraId="6C8DFD13"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80.8%, k=2</w:t>
            </w:r>
          </w:p>
        </w:tc>
        <w:tc>
          <w:tcPr>
            <w:tcW w:w="586" w:type="pct"/>
            <w:vAlign w:val="bottom"/>
          </w:tcPr>
          <w:p w14:paraId="1E32B61E"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100%, k=1</w:t>
            </w:r>
          </w:p>
        </w:tc>
        <w:tc>
          <w:tcPr>
            <w:tcW w:w="783" w:type="pct"/>
            <w:vAlign w:val="bottom"/>
          </w:tcPr>
          <w:p w14:paraId="1A816C40"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162:0</w:t>
            </w:r>
          </w:p>
        </w:tc>
        <w:tc>
          <w:tcPr>
            <w:tcW w:w="782" w:type="pct"/>
            <w:vAlign w:val="bottom"/>
          </w:tcPr>
          <w:p w14:paraId="7222946F"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39:5,537</w:t>
            </w:r>
          </w:p>
        </w:tc>
        <w:tc>
          <w:tcPr>
            <w:tcW w:w="704" w:type="pct"/>
            <w:vAlign w:val="bottom"/>
          </w:tcPr>
          <w:p w14:paraId="33A56794"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34</w:t>
            </w:r>
          </w:p>
        </w:tc>
        <w:tc>
          <w:tcPr>
            <w:tcW w:w="545" w:type="pct"/>
            <w:vAlign w:val="bottom"/>
          </w:tcPr>
          <w:p w14:paraId="6B8358FA"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34</w:t>
            </w:r>
          </w:p>
        </w:tc>
      </w:tr>
      <w:tr w:rsidR="00404C00" w:rsidRPr="00404C00" w14:paraId="050E41D6" w14:textId="77777777" w:rsidTr="00404C00">
        <w:tc>
          <w:tcPr>
            <w:tcW w:w="1015" w:type="pct"/>
          </w:tcPr>
          <w:p w14:paraId="023980F8" w14:textId="77777777" w:rsidR="00404C00" w:rsidRPr="00404C00" w:rsidRDefault="00404C00" w:rsidP="0093087D">
            <w:pPr>
              <w:widowControl w:val="0"/>
              <w:spacing w:before="40" w:after="40"/>
              <w:jc w:val="left"/>
              <w:rPr>
                <w:rFonts w:ascii="Arial Narrow" w:eastAsia="Arial" w:hAnsi="Arial Narrow"/>
                <w:iCs/>
                <w:color w:val="auto"/>
                <w:sz w:val="20"/>
                <w:szCs w:val="22"/>
              </w:rPr>
            </w:pPr>
            <w:proofErr w:type="spellStart"/>
            <w:r w:rsidRPr="00404C00">
              <w:rPr>
                <w:rFonts w:ascii="Arial Narrow" w:eastAsia="Arial" w:hAnsi="Arial Narrow"/>
                <w:iCs/>
                <w:color w:val="auto"/>
                <w:sz w:val="20"/>
                <w:szCs w:val="22"/>
              </w:rPr>
              <w:t>qRT</w:t>
            </w:r>
            <w:proofErr w:type="spellEnd"/>
            <w:r w:rsidRPr="00404C00">
              <w:rPr>
                <w:rFonts w:ascii="Arial Narrow" w:eastAsia="Arial" w:hAnsi="Arial Narrow"/>
                <w:iCs/>
                <w:color w:val="auto"/>
                <w:sz w:val="20"/>
                <w:szCs w:val="22"/>
              </w:rPr>
              <w:t>-PCR</w:t>
            </w:r>
          </w:p>
        </w:tc>
        <w:tc>
          <w:tcPr>
            <w:tcW w:w="585" w:type="pct"/>
            <w:vAlign w:val="bottom"/>
          </w:tcPr>
          <w:p w14:paraId="73156B47"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100%, k=2</w:t>
            </w:r>
          </w:p>
        </w:tc>
        <w:tc>
          <w:tcPr>
            <w:tcW w:w="586" w:type="pct"/>
            <w:vAlign w:val="bottom"/>
          </w:tcPr>
          <w:p w14:paraId="17C1840D"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97.4%, k=1</w:t>
            </w:r>
          </w:p>
        </w:tc>
        <w:tc>
          <w:tcPr>
            <w:tcW w:w="783" w:type="pct"/>
            <w:vAlign w:val="bottom"/>
          </w:tcPr>
          <w:p w14:paraId="75F3977F"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201:144</w:t>
            </w:r>
          </w:p>
        </w:tc>
        <w:tc>
          <w:tcPr>
            <w:tcW w:w="782" w:type="pct"/>
            <w:vAlign w:val="bottom"/>
          </w:tcPr>
          <w:p w14:paraId="1D07ECDB"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0:5,393</w:t>
            </w:r>
          </w:p>
        </w:tc>
        <w:tc>
          <w:tcPr>
            <w:tcW w:w="704" w:type="pct"/>
            <w:vAlign w:val="bottom"/>
          </w:tcPr>
          <w:p w14:paraId="54166200"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16</w:t>
            </w:r>
          </w:p>
        </w:tc>
        <w:tc>
          <w:tcPr>
            <w:tcW w:w="545" w:type="pct"/>
            <w:vAlign w:val="bottom"/>
          </w:tcPr>
          <w:p w14:paraId="79BA8F09" w14:textId="77777777" w:rsidR="00404C00" w:rsidRPr="00404C00" w:rsidRDefault="00404C00" w:rsidP="003C0691">
            <w:pPr>
              <w:widowControl w:val="0"/>
              <w:spacing w:before="40" w:after="40"/>
              <w:jc w:val="center"/>
              <w:rPr>
                <w:rFonts w:ascii="Arial Narrow" w:eastAsia="Arial" w:hAnsi="Arial Narrow"/>
                <w:iCs/>
                <w:color w:val="auto"/>
                <w:sz w:val="20"/>
                <w:szCs w:val="22"/>
              </w:rPr>
            </w:pPr>
            <w:r w:rsidRPr="00404C00">
              <w:rPr>
                <w:rFonts w:ascii="Arial Narrow" w:eastAsia="Arial" w:hAnsi="Arial Narrow"/>
                <w:iCs/>
                <w:color w:val="auto"/>
                <w:sz w:val="20"/>
                <w:szCs w:val="22"/>
              </w:rPr>
              <w:t>28</w:t>
            </w:r>
          </w:p>
        </w:tc>
      </w:tr>
      <w:tr w:rsidR="00404C00" w:rsidRPr="00404C00" w14:paraId="1F6E940C" w14:textId="77777777" w:rsidTr="00404C00">
        <w:tc>
          <w:tcPr>
            <w:tcW w:w="1015" w:type="pct"/>
          </w:tcPr>
          <w:p w14:paraId="0F006212" w14:textId="77777777" w:rsidR="00404C00" w:rsidRPr="00404C00" w:rsidRDefault="00404C00" w:rsidP="0093087D">
            <w:pPr>
              <w:widowControl w:val="0"/>
              <w:spacing w:before="40" w:after="40"/>
              <w:jc w:val="left"/>
              <w:rPr>
                <w:rFonts w:ascii="Arial Narrow" w:eastAsia="Arial" w:hAnsi="Arial Narrow"/>
                <w:iCs/>
                <w:color w:val="auto"/>
                <w:sz w:val="20"/>
                <w:szCs w:val="20"/>
              </w:rPr>
            </w:pPr>
            <w:proofErr w:type="spellStart"/>
            <w:r w:rsidRPr="00404C00">
              <w:rPr>
                <w:rFonts w:ascii="Arial Narrow" w:eastAsia="Arial" w:hAnsi="Arial Narrow"/>
                <w:iCs/>
                <w:color w:val="auto"/>
                <w:sz w:val="20"/>
                <w:szCs w:val="20"/>
              </w:rPr>
              <w:t>ArcherDx</w:t>
            </w:r>
            <w:proofErr w:type="spellEnd"/>
            <w:r w:rsidRPr="00404C00">
              <w:rPr>
                <w:rFonts w:ascii="Arial Narrow" w:eastAsia="Arial" w:hAnsi="Arial Narrow"/>
                <w:iCs/>
                <w:color w:val="auto"/>
                <w:sz w:val="20"/>
                <w:szCs w:val="20"/>
              </w:rPr>
              <w:t xml:space="preserve"> RNA-NGS</w:t>
            </w:r>
          </w:p>
        </w:tc>
        <w:tc>
          <w:tcPr>
            <w:tcW w:w="585" w:type="pct"/>
            <w:vAlign w:val="bottom"/>
          </w:tcPr>
          <w:p w14:paraId="1CBF1047" w14:textId="77777777" w:rsidR="00404C00" w:rsidRPr="00404C00" w:rsidRDefault="00404C00" w:rsidP="003C0691">
            <w:pPr>
              <w:widowControl w:val="0"/>
              <w:spacing w:before="40" w:after="40"/>
              <w:jc w:val="center"/>
              <w:rPr>
                <w:rFonts w:ascii="Arial Narrow" w:eastAsia="Arial" w:hAnsi="Arial Narrow"/>
                <w:iCs/>
                <w:color w:val="auto"/>
                <w:sz w:val="20"/>
                <w:szCs w:val="20"/>
              </w:rPr>
            </w:pPr>
            <w:r w:rsidRPr="00404C00">
              <w:rPr>
                <w:rFonts w:ascii="Arial Narrow" w:eastAsia="Arial" w:hAnsi="Arial Narrow"/>
                <w:iCs/>
                <w:color w:val="auto"/>
                <w:sz w:val="20"/>
                <w:szCs w:val="20"/>
              </w:rPr>
              <w:t>33.3%, k=1</w:t>
            </w:r>
          </w:p>
        </w:tc>
        <w:tc>
          <w:tcPr>
            <w:tcW w:w="586" w:type="pct"/>
            <w:vAlign w:val="bottom"/>
          </w:tcPr>
          <w:p w14:paraId="68E02F0F" w14:textId="77777777" w:rsidR="00404C00" w:rsidRPr="00404C00" w:rsidRDefault="00404C00" w:rsidP="003C0691">
            <w:pPr>
              <w:widowControl w:val="0"/>
              <w:spacing w:before="40" w:after="40"/>
              <w:jc w:val="center"/>
              <w:rPr>
                <w:rFonts w:ascii="Arial Narrow" w:eastAsia="Arial" w:hAnsi="Arial Narrow"/>
                <w:iCs/>
                <w:color w:val="auto"/>
                <w:sz w:val="20"/>
                <w:szCs w:val="20"/>
              </w:rPr>
            </w:pPr>
            <w:r w:rsidRPr="00404C00">
              <w:rPr>
                <w:rFonts w:ascii="Arial Narrow" w:eastAsia="Arial" w:hAnsi="Arial Narrow"/>
                <w:iCs/>
                <w:color w:val="auto"/>
                <w:sz w:val="20"/>
                <w:szCs w:val="20"/>
              </w:rPr>
              <w:t>100%, k=1</w:t>
            </w:r>
          </w:p>
        </w:tc>
        <w:tc>
          <w:tcPr>
            <w:tcW w:w="783" w:type="pct"/>
            <w:vAlign w:val="bottom"/>
          </w:tcPr>
          <w:p w14:paraId="7B7A4649" w14:textId="77777777" w:rsidR="00404C00" w:rsidRPr="00404C00" w:rsidRDefault="00404C00" w:rsidP="003C0691">
            <w:pPr>
              <w:widowControl w:val="0"/>
              <w:spacing w:before="40" w:after="40"/>
              <w:jc w:val="center"/>
              <w:rPr>
                <w:rFonts w:ascii="Arial Narrow" w:eastAsia="Arial" w:hAnsi="Arial Narrow"/>
                <w:iCs/>
                <w:color w:val="auto"/>
                <w:sz w:val="20"/>
                <w:szCs w:val="20"/>
              </w:rPr>
            </w:pPr>
            <w:r w:rsidRPr="00404C00">
              <w:rPr>
                <w:rFonts w:ascii="Arial Narrow" w:eastAsia="Arial" w:hAnsi="Arial Narrow"/>
                <w:iCs/>
                <w:color w:val="auto"/>
                <w:sz w:val="20"/>
                <w:szCs w:val="20"/>
              </w:rPr>
              <w:t>67:0</w:t>
            </w:r>
          </w:p>
        </w:tc>
        <w:tc>
          <w:tcPr>
            <w:tcW w:w="782" w:type="pct"/>
            <w:vAlign w:val="bottom"/>
          </w:tcPr>
          <w:p w14:paraId="1CE757AE" w14:textId="77777777" w:rsidR="00404C00" w:rsidRPr="00404C00" w:rsidRDefault="00404C00" w:rsidP="003C0691">
            <w:pPr>
              <w:widowControl w:val="0"/>
              <w:spacing w:before="40" w:after="40"/>
              <w:jc w:val="center"/>
              <w:rPr>
                <w:rFonts w:ascii="Arial Narrow" w:eastAsia="Arial" w:hAnsi="Arial Narrow"/>
                <w:iCs/>
                <w:color w:val="auto"/>
                <w:sz w:val="20"/>
                <w:szCs w:val="20"/>
              </w:rPr>
            </w:pPr>
            <w:r w:rsidRPr="00404C00">
              <w:rPr>
                <w:rFonts w:ascii="Arial Narrow" w:eastAsia="Arial" w:hAnsi="Arial Narrow"/>
                <w:iCs/>
                <w:color w:val="auto"/>
                <w:sz w:val="20"/>
                <w:szCs w:val="20"/>
              </w:rPr>
              <w:t>134:5,537</w:t>
            </w:r>
          </w:p>
        </w:tc>
        <w:tc>
          <w:tcPr>
            <w:tcW w:w="704" w:type="pct"/>
            <w:vAlign w:val="bottom"/>
          </w:tcPr>
          <w:p w14:paraId="721B7D1C" w14:textId="77777777" w:rsidR="00404C00" w:rsidRPr="00404C00" w:rsidRDefault="00404C00" w:rsidP="003C0691">
            <w:pPr>
              <w:widowControl w:val="0"/>
              <w:spacing w:before="40" w:after="40"/>
              <w:jc w:val="center"/>
              <w:rPr>
                <w:rFonts w:ascii="Arial Narrow" w:eastAsia="Arial" w:hAnsi="Arial Narrow"/>
                <w:iCs/>
                <w:color w:val="auto"/>
                <w:sz w:val="20"/>
                <w:szCs w:val="20"/>
              </w:rPr>
            </w:pPr>
            <w:r w:rsidRPr="00404C00">
              <w:rPr>
                <w:rFonts w:ascii="Arial Narrow" w:eastAsia="Arial" w:hAnsi="Arial Narrow"/>
                <w:iCs/>
                <w:color w:val="auto"/>
                <w:sz w:val="20"/>
                <w:szCs w:val="20"/>
              </w:rPr>
              <w:t>83</w:t>
            </w:r>
          </w:p>
        </w:tc>
        <w:tc>
          <w:tcPr>
            <w:tcW w:w="545" w:type="pct"/>
            <w:vAlign w:val="bottom"/>
          </w:tcPr>
          <w:p w14:paraId="239B7F47" w14:textId="77777777" w:rsidR="00404C00" w:rsidRPr="00404C00" w:rsidRDefault="00404C00" w:rsidP="003C0691">
            <w:pPr>
              <w:widowControl w:val="0"/>
              <w:spacing w:before="40" w:after="40"/>
              <w:jc w:val="center"/>
              <w:rPr>
                <w:rFonts w:ascii="Arial Narrow" w:eastAsia="Arial" w:hAnsi="Arial Narrow"/>
                <w:iCs/>
                <w:color w:val="auto"/>
                <w:sz w:val="20"/>
                <w:szCs w:val="20"/>
              </w:rPr>
            </w:pPr>
            <w:r w:rsidRPr="00404C00">
              <w:rPr>
                <w:rFonts w:ascii="Arial Narrow" w:eastAsia="Arial" w:hAnsi="Arial Narrow"/>
                <w:iCs/>
                <w:color w:val="auto"/>
                <w:sz w:val="20"/>
                <w:szCs w:val="20"/>
              </w:rPr>
              <w:t>83</w:t>
            </w:r>
          </w:p>
        </w:tc>
      </w:tr>
    </w:tbl>
    <w:p w14:paraId="70324E3F" w14:textId="7325B84E" w:rsidR="00404C00" w:rsidRPr="00404C00" w:rsidRDefault="00404C00" w:rsidP="0093087D">
      <w:pPr>
        <w:widowControl w:val="0"/>
        <w:spacing w:before="0" w:after="240"/>
        <w:contextualSpacing/>
        <w:jc w:val="left"/>
        <w:rPr>
          <w:rFonts w:ascii="Arial Narrow" w:eastAsia="Times New Roman" w:hAnsi="Arial Narrow" w:cs="Arial"/>
          <w:snapToGrid w:val="0"/>
          <w:color w:val="auto"/>
          <w:sz w:val="18"/>
          <w:szCs w:val="20"/>
        </w:rPr>
      </w:pPr>
      <w:r w:rsidRPr="00404C00">
        <w:rPr>
          <w:rFonts w:ascii="Arial Narrow" w:eastAsia="Arial" w:hAnsi="Arial Narrow" w:cs="Arial"/>
          <w:snapToGrid w:val="0"/>
          <w:color w:val="auto"/>
          <w:sz w:val="18"/>
          <w:szCs w:val="20"/>
        </w:rPr>
        <w:t>DNA = deoxyribonucleic acid; FN = false negative; FP = false positive; k = number of studies; NNT = number needed to test; NPA = negative percent agreement; PPA = positive percent agreement;</w:t>
      </w:r>
      <w:r w:rsidRPr="00404C00">
        <w:rPr>
          <w:rFonts w:ascii="Arial Narrow" w:eastAsia="Times New Roman" w:hAnsi="Arial Narrow" w:cs="Arial"/>
          <w:snapToGrid w:val="0"/>
          <w:color w:val="auto"/>
          <w:sz w:val="18"/>
          <w:szCs w:val="20"/>
        </w:rPr>
        <w:t xml:space="preserve"> T</w:t>
      </w:r>
      <w:r w:rsidRPr="00404C00">
        <w:rPr>
          <w:rFonts w:ascii="Arial Narrow" w:eastAsia="Arial" w:hAnsi="Arial Narrow" w:cs="Arial"/>
          <w:snapToGrid w:val="0"/>
          <w:color w:val="auto"/>
          <w:sz w:val="18"/>
          <w:szCs w:val="20"/>
        </w:rPr>
        <w:t>N = true negative; TP = true positive</w:t>
      </w:r>
      <w:r w:rsidR="00A03361">
        <w:rPr>
          <w:rFonts w:ascii="Arial Narrow" w:eastAsia="Arial" w:hAnsi="Arial Narrow" w:cs="Arial"/>
          <w:snapToGrid w:val="0"/>
          <w:color w:val="auto"/>
          <w:sz w:val="18"/>
          <w:szCs w:val="20"/>
        </w:rPr>
        <w:t>.</w:t>
      </w:r>
    </w:p>
    <w:p w14:paraId="07FC2AD7" w14:textId="2C81F6CC" w:rsidR="00404C00" w:rsidRPr="00404C00" w:rsidRDefault="00404C00" w:rsidP="00191AEE">
      <w:pPr>
        <w:widowControl w:val="0"/>
        <w:spacing w:before="0" w:after="240"/>
        <w:jc w:val="left"/>
        <w:rPr>
          <w:rFonts w:ascii="Arial Narrow" w:eastAsia="Arial" w:hAnsi="Arial Narrow" w:cs="Arial"/>
          <w:i/>
          <w:snapToGrid w:val="0"/>
          <w:color w:val="auto"/>
          <w:sz w:val="18"/>
          <w:szCs w:val="20"/>
        </w:rPr>
      </w:pPr>
      <w:r w:rsidRPr="00404C00">
        <w:rPr>
          <w:rFonts w:ascii="Arial Narrow" w:eastAsia="Arial" w:hAnsi="Arial Narrow" w:cs="Arial"/>
          <w:snapToGrid w:val="0"/>
          <w:color w:val="auto"/>
          <w:sz w:val="18"/>
          <w:szCs w:val="20"/>
        </w:rPr>
        <w:t>Source:</w:t>
      </w:r>
      <w:r w:rsidRPr="00404C00">
        <w:rPr>
          <w:rFonts w:ascii="Arial Narrow" w:eastAsia="Arial" w:hAnsi="Arial Narrow" w:cs="Arial"/>
          <w:i/>
          <w:snapToGrid w:val="0"/>
          <w:color w:val="auto"/>
          <w:sz w:val="18"/>
          <w:szCs w:val="20"/>
        </w:rPr>
        <w:t xml:space="preserve"> </w:t>
      </w:r>
      <w:r w:rsidRPr="00404C00">
        <w:rPr>
          <w:rFonts w:ascii="Arial Narrow" w:eastAsia="Arial" w:hAnsi="Arial Narrow" w:cs="Arial"/>
          <w:iCs/>
          <w:snapToGrid w:val="0"/>
          <w:color w:val="auto"/>
          <w:sz w:val="18"/>
          <w:szCs w:val="20"/>
        </w:rPr>
        <w:t xml:space="preserve">Commentary, </w:t>
      </w:r>
      <w:r w:rsidRPr="00404C00">
        <w:rPr>
          <w:rFonts w:ascii="Arial Narrow" w:eastAsia="Times New Roman" w:hAnsi="Arial Narrow" w:cs="Arial"/>
          <w:snapToGrid w:val="0"/>
          <w:color w:val="auto"/>
          <w:sz w:val="18"/>
          <w:szCs w:val="20"/>
        </w:rPr>
        <w:t>Table MSAC.7</w:t>
      </w:r>
    </w:p>
    <w:p w14:paraId="70042496" w14:textId="2618B90D" w:rsidR="00404C00" w:rsidRPr="00404C00" w:rsidRDefault="00404C00" w:rsidP="0093087D">
      <w:pPr>
        <w:spacing w:before="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The commentary stated that the false negative results obtained by DNA-NGS and Sanger sequencing compared to the RNA-based evidentiary standard were due to methodological limitations. To be effective, the DNA-NGS panels would need to be redesigned to cover all regions involved in splicing of the RNA transcript between exon 13 and exon 15</w:t>
      </w:r>
      <w:r w:rsidRPr="00404C00">
        <w:rPr>
          <w:rFonts w:ascii="Times New Roman" w:eastAsia="Times New Roman" w:hAnsi="Times New Roman" w:cs="Times New Roman"/>
          <w:iCs/>
          <w:color w:val="auto"/>
          <w:szCs w:val="20"/>
          <w:vertAlign w:val="superscript"/>
          <w:lang w:eastAsia="en-AU"/>
        </w:rPr>
        <w:footnoteReference w:id="14"/>
      </w:r>
      <w:r w:rsidRPr="00404C00">
        <w:rPr>
          <w:rFonts w:ascii="Times New Roman" w:eastAsia="Times New Roman" w:hAnsi="Times New Roman" w:cs="Times New Roman"/>
          <w:iCs/>
          <w:color w:val="auto"/>
          <w:szCs w:val="20"/>
          <w:lang w:eastAsia="en-AU"/>
        </w:rPr>
        <w:t>.</w:t>
      </w:r>
    </w:p>
    <w:p w14:paraId="4BEDAEEB" w14:textId="5FD284B8" w:rsidR="00404C00" w:rsidRDefault="00404C00" w:rsidP="00191AEE">
      <w:pPr>
        <w:spacing w:before="24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stated that overall, the results suggest that most patients who receive a false negative or false positive test result would only do so if there were methodological problems, either with the DNA-based test itself, or with the quantity or quality of the RNA sample extracted from the FFPE tissue block. It is important for laboratories to participate in a stringent quality assurance program 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w:t>
      </w:r>
      <w:r w:rsidRPr="00404C00">
        <w:rPr>
          <w:rFonts w:ascii="Times New Roman" w:eastAsia="Times New Roman" w:hAnsi="Times New Roman" w:cs="Times New Roman"/>
          <w:iCs/>
          <w:color w:val="auto"/>
          <w:szCs w:val="20"/>
          <w:lang w:eastAsia="en-AU"/>
        </w:rPr>
        <w:t xml:space="preserve"> testing to minimise the number of false negative patients who miss out on potentially beneficial treatment with tepotinib and false positive patients who would receive potentially inappropriate treatment.</w:t>
      </w:r>
    </w:p>
    <w:p w14:paraId="785C57D7" w14:textId="77777777" w:rsidR="00404C00" w:rsidRPr="00404C00" w:rsidRDefault="00404C00" w:rsidP="00B66322">
      <w:pPr>
        <w:keepNext/>
        <w:keepLines/>
        <w:spacing w:before="240" w:after="40"/>
        <w:jc w:val="left"/>
        <w:outlineLvl w:val="2"/>
        <w:rPr>
          <w:rFonts w:ascii="Times New Roman" w:eastAsia="Times New Roman" w:hAnsi="Times New Roman" w:cs="Times New Roman"/>
          <w:bCs/>
          <w:snapToGrid w:val="0"/>
          <w:color w:val="auto"/>
          <w:szCs w:val="24"/>
          <w:u w:val="single"/>
          <w:lang w:eastAsia="en-AU"/>
        </w:rPr>
      </w:pPr>
      <w:r w:rsidRPr="00404C00">
        <w:rPr>
          <w:rFonts w:ascii="Times New Roman" w:eastAsia="Times New Roman" w:hAnsi="Times New Roman" w:cs="Times New Roman"/>
          <w:bCs/>
          <w:snapToGrid w:val="0"/>
          <w:color w:val="auto"/>
          <w:szCs w:val="24"/>
          <w:u w:val="single"/>
          <w:lang w:eastAsia="en-AU"/>
        </w:rPr>
        <w:lastRenderedPageBreak/>
        <w:t>Change in management in practice</w:t>
      </w:r>
    </w:p>
    <w:p w14:paraId="09A2D795" w14:textId="1D48637D" w:rsidR="00404C00" w:rsidRPr="00404C00" w:rsidRDefault="00404C00" w:rsidP="0093087D">
      <w:pPr>
        <w:spacing w:before="0" w:after="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provided no evidence on whether test results guided changes in treatment decisions in a clinical setting. The applicant proposed that patients with advanced or metastatic NSCLC who are found to have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will all receive targeted treatment with tepotinib instead of pembrolizumab and/or platinum-based therapy as per the proposed clinical management algorithm. Patients who do not have a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 would not have a change in management and will receive pembrolizumab and/or platinum-based chemotherapy, as per the current clinical management algorithm.</w:t>
      </w:r>
    </w:p>
    <w:p w14:paraId="47352800" w14:textId="77777777" w:rsidR="00404C00" w:rsidRPr="00404C00" w:rsidRDefault="00404C00" w:rsidP="0093087D">
      <w:pPr>
        <w:spacing w:before="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The commentary considered this assumption to be appropriate. The commentary did not identify any other evidence of change in management based on a (non-systematic) literature review.</w:t>
      </w:r>
    </w:p>
    <w:p w14:paraId="558BEFB3" w14:textId="77777777" w:rsidR="00404C00" w:rsidRPr="00404C00" w:rsidRDefault="00404C00" w:rsidP="00191AEE">
      <w:pPr>
        <w:keepNext/>
        <w:keepLines/>
        <w:spacing w:before="240" w:after="40"/>
        <w:jc w:val="left"/>
        <w:outlineLvl w:val="2"/>
        <w:rPr>
          <w:rFonts w:ascii="Times New Roman" w:eastAsia="Times New Roman" w:hAnsi="Times New Roman" w:cs="Times New Roman"/>
          <w:bCs/>
          <w:snapToGrid w:val="0"/>
          <w:color w:val="auto"/>
          <w:szCs w:val="24"/>
          <w:u w:val="single"/>
          <w:lang w:eastAsia="en-AU"/>
        </w:rPr>
      </w:pPr>
      <w:r w:rsidRPr="00404C00">
        <w:rPr>
          <w:rFonts w:ascii="Times New Roman" w:eastAsia="Times New Roman" w:hAnsi="Times New Roman" w:cs="Times New Roman"/>
          <w:bCs/>
          <w:snapToGrid w:val="0"/>
          <w:color w:val="auto"/>
          <w:szCs w:val="24"/>
          <w:u w:val="single"/>
          <w:lang w:eastAsia="en-AU"/>
        </w:rPr>
        <w:t xml:space="preserve">Claim of </w:t>
      </w:r>
      <w:proofErr w:type="spellStart"/>
      <w:r w:rsidRPr="00404C00">
        <w:rPr>
          <w:rFonts w:ascii="Times New Roman" w:eastAsia="Times New Roman" w:hAnsi="Times New Roman" w:cs="Times New Roman"/>
          <w:bCs/>
          <w:snapToGrid w:val="0"/>
          <w:color w:val="auto"/>
          <w:szCs w:val="24"/>
          <w:u w:val="single"/>
          <w:lang w:eastAsia="en-AU"/>
        </w:rPr>
        <w:t>codependence</w:t>
      </w:r>
      <w:proofErr w:type="spellEnd"/>
    </w:p>
    <w:p w14:paraId="74778F39" w14:textId="77777777" w:rsidR="00404C00" w:rsidRPr="00404C00" w:rsidRDefault="00404C00" w:rsidP="0093087D">
      <w:pPr>
        <w:spacing w:before="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NSCLC is </w:t>
      </w:r>
      <w:proofErr w:type="spellStart"/>
      <w:r w:rsidRPr="00404C00">
        <w:rPr>
          <w:rFonts w:ascii="Times New Roman" w:eastAsia="Times New Roman" w:hAnsi="Times New Roman" w:cs="Times New Roman"/>
          <w:color w:val="auto"/>
          <w:szCs w:val="20"/>
          <w:lang w:eastAsia="en-AU"/>
        </w:rPr>
        <w:t>genomically</w:t>
      </w:r>
      <w:proofErr w:type="spellEnd"/>
      <w:r w:rsidRPr="00404C00">
        <w:rPr>
          <w:rFonts w:ascii="Times New Roman" w:eastAsia="Times New Roman" w:hAnsi="Times New Roman" w:cs="Times New Roman"/>
          <w:color w:val="auto"/>
          <w:szCs w:val="20"/>
          <w:lang w:eastAsia="en-AU"/>
        </w:rPr>
        <w:t xml:space="preserve"> diverse and offers the potential to define molecular subsets of patients treated with personalised therapies. Most adenocarcinoma can be classified based on molecular testing for predictive biomarkers in oncogenic drivers such as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w:t>
      </w:r>
      <w:r w:rsidRPr="00404C00">
        <w:rPr>
          <w:rFonts w:ascii="Times New Roman" w:eastAsia="Times New Roman" w:hAnsi="Times New Roman" w:cs="Times New Roman"/>
          <w:i/>
          <w:iCs/>
          <w:color w:val="auto"/>
          <w:szCs w:val="20"/>
          <w:lang w:eastAsia="en-AU"/>
        </w:rPr>
        <w:t>ROS1</w:t>
      </w:r>
      <w:r w:rsidRPr="00404C00">
        <w:rPr>
          <w:rFonts w:ascii="Times New Roman" w:eastAsia="Times New Roman" w:hAnsi="Times New Roman" w:cs="Times New Roman"/>
          <w:color w:val="auto"/>
          <w:szCs w:val="20"/>
          <w:lang w:eastAsia="en-AU"/>
        </w:rPr>
        <w:t xml:space="preserve">, </w:t>
      </w:r>
      <w:r w:rsidRPr="00404C00">
        <w:rPr>
          <w:rFonts w:ascii="Times New Roman" w:eastAsia="Times New Roman" w:hAnsi="Times New Roman" w:cs="Times New Roman"/>
          <w:i/>
          <w:iCs/>
          <w:color w:val="auto"/>
          <w:szCs w:val="20"/>
          <w:lang w:eastAsia="en-AU"/>
        </w:rPr>
        <w:t>ALK</w:t>
      </w:r>
      <w:r w:rsidRPr="00404C00">
        <w:rPr>
          <w:rFonts w:ascii="Times New Roman" w:eastAsia="Times New Roman" w:hAnsi="Times New Roman" w:cs="Times New Roman"/>
          <w:color w:val="auto"/>
          <w:szCs w:val="20"/>
          <w:lang w:eastAsia="en-AU"/>
        </w:rPr>
        <w:t xml:space="preserve">, </w:t>
      </w:r>
      <w:r w:rsidRPr="00404C00">
        <w:rPr>
          <w:rFonts w:ascii="Times New Roman" w:eastAsia="Times New Roman" w:hAnsi="Times New Roman" w:cs="Times New Roman"/>
          <w:i/>
          <w:iCs/>
          <w:color w:val="auto"/>
          <w:szCs w:val="20"/>
          <w:lang w:eastAsia="en-AU"/>
        </w:rPr>
        <w:t>BRAF</w:t>
      </w:r>
      <w:r w:rsidRPr="00404C00">
        <w:rPr>
          <w:rFonts w:ascii="Times New Roman" w:eastAsia="Times New Roman" w:hAnsi="Times New Roman" w:cs="Times New Roman"/>
          <w:color w:val="auto"/>
          <w:szCs w:val="20"/>
          <w:lang w:eastAsia="en-AU"/>
        </w:rPr>
        <w:t xml:space="preserve">, and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w:t>
      </w:r>
    </w:p>
    <w:p w14:paraId="0C13A3D8" w14:textId="091C6FAA" w:rsidR="00404C00" w:rsidRPr="00404C00" w:rsidRDefault="008E6FBC" w:rsidP="00191AEE">
      <w:pPr>
        <w:spacing w:before="240" w:after="0"/>
        <w:jc w:val="left"/>
        <w:rPr>
          <w:rFonts w:ascii="Times New Roman" w:eastAsia="Times New Roman" w:hAnsi="Times New Roman" w:cs="Times New Roman"/>
          <w:color w:val="auto"/>
          <w:szCs w:val="20"/>
          <w:lang w:eastAsia="en-AU"/>
        </w:rPr>
      </w:pPr>
      <w:r>
        <w:rPr>
          <w:rFonts w:ascii="Times New Roman" w:eastAsia="Times New Roman" w:hAnsi="Times New Roman" w:cs="Times New Roman"/>
          <w:color w:val="auto"/>
          <w:szCs w:val="20"/>
          <w:lang w:eastAsia="en-AU"/>
        </w:rPr>
        <w:t>Some o</w:t>
      </w:r>
      <w:r w:rsidR="00404C00" w:rsidRPr="00404C00">
        <w:rPr>
          <w:rFonts w:ascii="Times New Roman" w:eastAsia="Times New Roman" w:hAnsi="Times New Roman" w:cs="Times New Roman"/>
          <w:color w:val="auto"/>
          <w:szCs w:val="20"/>
          <w:lang w:eastAsia="en-AU"/>
        </w:rPr>
        <w:t xml:space="preserve">ncogenic </w:t>
      </w:r>
      <w:r w:rsidR="00404C00" w:rsidRPr="00404C00">
        <w:rPr>
          <w:rFonts w:ascii="Times New Roman" w:eastAsia="Times New Roman" w:hAnsi="Times New Roman" w:cs="Times New Roman"/>
          <w:i/>
          <w:color w:val="auto"/>
          <w:szCs w:val="20"/>
          <w:lang w:eastAsia="en-AU"/>
        </w:rPr>
        <w:t>MET</w:t>
      </w:r>
      <w:r w:rsidR="00404C00" w:rsidRPr="00404C00">
        <w:rPr>
          <w:rFonts w:ascii="Times New Roman" w:eastAsia="Times New Roman" w:hAnsi="Times New Roman" w:cs="Times New Roman"/>
          <w:color w:val="auto"/>
          <w:szCs w:val="20"/>
          <w:lang w:eastAsia="en-AU"/>
        </w:rPr>
        <w:t xml:space="preserve"> gene alterations identified in NSCLC affect the splice sites of exon 14 of the </w:t>
      </w:r>
      <w:r w:rsidR="00404C00" w:rsidRPr="00404C00">
        <w:rPr>
          <w:rFonts w:ascii="Times New Roman" w:eastAsia="Times New Roman" w:hAnsi="Times New Roman" w:cs="Times New Roman"/>
          <w:i/>
          <w:iCs/>
          <w:color w:val="auto"/>
          <w:szCs w:val="20"/>
          <w:lang w:eastAsia="en-AU"/>
        </w:rPr>
        <w:t>MET</w:t>
      </w:r>
      <w:r w:rsidR="00404C00" w:rsidRPr="00404C00">
        <w:rPr>
          <w:rFonts w:ascii="Times New Roman" w:eastAsia="Times New Roman" w:hAnsi="Times New Roman" w:cs="Times New Roman"/>
          <w:color w:val="auto"/>
          <w:szCs w:val="20"/>
          <w:lang w:eastAsia="en-AU"/>
        </w:rPr>
        <w:t xml:space="preserve"> gene (</w:t>
      </w:r>
      <w:r w:rsidR="00404C00" w:rsidRPr="00404C00">
        <w:rPr>
          <w:rFonts w:ascii="Times New Roman" w:eastAsia="Times New Roman" w:hAnsi="Times New Roman" w:cs="Times New Roman"/>
          <w:i/>
          <w:iCs/>
          <w:color w:val="auto"/>
          <w:szCs w:val="20"/>
          <w:lang w:eastAsia="en-AU"/>
        </w:rPr>
        <w:t>MET</w:t>
      </w:r>
      <w:r w:rsidR="00404C00" w:rsidRPr="00404C00">
        <w:rPr>
          <w:rFonts w:ascii="Times New Roman" w:eastAsia="Times New Roman" w:hAnsi="Times New Roman" w:cs="Times New Roman"/>
          <w:color w:val="auto"/>
          <w:szCs w:val="20"/>
          <w:lang w:eastAsia="en-AU"/>
        </w:rPr>
        <w:t xml:space="preserve">ex14). </w:t>
      </w:r>
      <w:r w:rsidR="00404C00" w:rsidRPr="00404C00">
        <w:rPr>
          <w:rFonts w:ascii="Times New Roman" w:eastAsia="Times New Roman" w:hAnsi="Times New Roman" w:cs="Times New Roman"/>
          <w:i/>
          <w:iCs/>
          <w:color w:val="auto"/>
          <w:szCs w:val="20"/>
          <w:lang w:eastAsia="en-AU"/>
        </w:rPr>
        <w:t>MET</w:t>
      </w:r>
      <w:r w:rsidR="00404C00" w:rsidRPr="00404C00">
        <w:rPr>
          <w:rFonts w:ascii="Times New Roman" w:eastAsia="Times New Roman" w:hAnsi="Times New Roman" w:cs="Times New Roman"/>
          <w:color w:val="auto"/>
          <w:szCs w:val="20"/>
          <w:lang w:eastAsia="en-AU"/>
        </w:rPr>
        <w:t>ex14</w:t>
      </w:r>
      <w:r w:rsidR="004A48D9">
        <w:rPr>
          <w:rFonts w:ascii="Times New Roman" w:eastAsia="Times New Roman" w:hAnsi="Times New Roman" w:cs="Times New Roman"/>
          <w:color w:val="auto"/>
          <w:szCs w:val="20"/>
          <w:lang w:eastAsia="en-AU"/>
        </w:rPr>
        <w:t>sk</w:t>
      </w:r>
      <w:r w:rsidR="00404C00" w:rsidRPr="00404C00">
        <w:rPr>
          <w:rFonts w:ascii="Times New Roman" w:eastAsia="Times New Roman" w:hAnsi="Times New Roman" w:cs="Times New Roman"/>
          <w:color w:val="auto"/>
          <w:szCs w:val="20"/>
          <w:lang w:eastAsia="en-AU"/>
        </w:rPr>
        <w:t xml:space="preserve"> appear to be mutually exclusive with other established driver mutations in NSCLC such as </w:t>
      </w:r>
      <w:r w:rsidR="00404C00" w:rsidRPr="00404C00">
        <w:rPr>
          <w:rFonts w:ascii="Times New Roman" w:eastAsia="Times New Roman" w:hAnsi="Times New Roman" w:cs="Times New Roman"/>
          <w:i/>
          <w:iCs/>
          <w:color w:val="auto"/>
          <w:szCs w:val="20"/>
          <w:lang w:eastAsia="en-AU"/>
        </w:rPr>
        <w:t>EGFR</w:t>
      </w:r>
      <w:r w:rsidR="00404C00" w:rsidRPr="00404C00">
        <w:rPr>
          <w:rFonts w:ascii="Times New Roman" w:eastAsia="Times New Roman" w:hAnsi="Times New Roman" w:cs="Times New Roman"/>
          <w:color w:val="auto"/>
          <w:szCs w:val="20"/>
          <w:lang w:eastAsia="en-AU"/>
        </w:rPr>
        <w:t xml:space="preserve">, </w:t>
      </w:r>
      <w:r w:rsidR="00404C00" w:rsidRPr="00404C00">
        <w:rPr>
          <w:rFonts w:ascii="Times New Roman" w:eastAsia="Times New Roman" w:hAnsi="Times New Roman" w:cs="Times New Roman"/>
          <w:i/>
          <w:iCs/>
          <w:color w:val="auto"/>
          <w:szCs w:val="20"/>
          <w:lang w:eastAsia="en-AU"/>
        </w:rPr>
        <w:t>KRAS</w:t>
      </w:r>
      <w:r w:rsidR="00404C00" w:rsidRPr="00404C00">
        <w:rPr>
          <w:rFonts w:ascii="Times New Roman" w:eastAsia="Times New Roman" w:hAnsi="Times New Roman" w:cs="Times New Roman"/>
          <w:color w:val="auto"/>
          <w:szCs w:val="20"/>
          <w:lang w:eastAsia="en-AU"/>
        </w:rPr>
        <w:t xml:space="preserve">, </w:t>
      </w:r>
      <w:r w:rsidR="00404C00" w:rsidRPr="00404C00">
        <w:rPr>
          <w:rFonts w:ascii="Times New Roman" w:eastAsia="Times New Roman" w:hAnsi="Times New Roman" w:cs="Times New Roman"/>
          <w:i/>
          <w:iCs/>
          <w:color w:val="auto"/>
          <w:szCs w:val="20"/>
          <w:lang w:eastAsia="en-AU"/>
        </w:rPr>
        <w:t>ALK</w:t>
      </w:r>
      <w:r w:rsidR="00404C00" w:rsidRPr="00404C00">
        <w:rPr>
          <w:rFonts w:ascii="Times New Roman" w:eastAsia="Times New Roman" w:hAnsi="Times New Roman" w:cs="Times New Roman"/>
          <w:color w:val="auto"/>
          <w:szCs w:val="20"/>
          <w:lang w:eastAsia="en-AU"/>
        </w:rPr>
        <w:t xml:space="preserve"> or </w:t>
      </w:r>
      <w:r w:rsidR="00404C00" w:rsidRPr="00404C00">
        <w:rPr>
          <w:rFonts w:ascii="Times New Roman" w:eastAsia="Times New Roman" w:hAnsi="Times New Roman" w:cs="Times New Roman"/>
          <w:i/>
          <w:iCs/>
          <w:color w:val="auto"/>
          <w:szCs w:val="20"/>
          <w:lang w:eastAsia="en-AU"/>
        </w:rPr>
        <w:t>ROS1</w:t>
      </w:r>
      <w:r w:rsidR="00404C00" w:rsidRPr="00404C00">
        <w:rPr>
          <w:rFonts w:ascii="Times New Roman" w:eastAsia="Times New Roman" w:hAnsi="Times New Roman" w:cs="Times New Roman"/>
          <w:color w:val="auto"/>
          <w:szCs w:val="20"/>
          <w:lang w:eastAsia="en-AU"/>
        </w:rPr>
        <w:t xml:space="preserve">. </w:t>
      </w:r>
      <w:r w:rsidR="00404C00" w:rsidRPr="00404C00">
        <w:rPr>
          <w:rFonts w:ascii="Times New Roman" w:eastAsia="Times New Roman" w:hAnsi="Times New Roman" w:cs="Times New Roman"/>
          <w:i/>
          <w:iCs/>
          <w:color w:val="auto"/>
          <w:szCs w:val="20"/>
          <w:lang w:eastAsia="en-AU"/>
        </w:rPr>
        <w:t>MET</w:t>
      </w:r>
      <w:r w:rsidR="00404C00" w:rsidRPr="00404C00">
        <w:rPr>
          <w:rFonts w:ascii="Times New Roman" w:eastAsia="Times New Roman" w:hAnsi="Times New Roman" w:cs="Times New Roman"/>
          <w:color w:val="auto"/>
          <w:szCs w:val="20"/>
          <w:lang w:eastAsia="en-AU"/>
        </w:rPr>
        <w:t>ex14</w:t>
      </w:r>
      <w:r w:rsidR="004A48D9">
        <w:rPr>
          <w:rFonts w:ascii="Times New Roman" w:eastAsia="Times New Roman" w:hAnsi="Times New Roman" w:cs="Times New Roman"/>
          <w:color w:val="auto"/>
          <w:szCs w:val="20"/>
          <w:lang w:eastAsia="en-AU"/>
        </w:rPr>
        <w:t>sk</w:t>
      </w:r>
      <w:r w:rsidR="00404C00" w:rsidRPr="00404C00">
        <w:rPr>
          <w:rFonts w:ascii="Times New Roman" w:eastAsia="Times New Roman" w:hAnsi="Times New Roman" w:cs="Times New Roman"/>
          <w:color w:val="auto"/>
          <w:szCs w:val="20"/>
          <w:lang w:eastAsia="en-AU"/>
        </w:rPr>
        <w:t xml:space="preserve"> are regarded as a primary oncogenic driver in NSCLC, and are sufficient to promote carcinogenesis and tumour progression.</w:t>
      </w:r>
    </w:p>
    <w:p w14:paraId="35F8418D" w14:textId="157A5A15" w:rsidR="00404C00" w:rsidRPr="00404C00" w:rsidRDefault="00404C00" w:rsidP="00191AEE">
      <w:pPr>
        <w:spacing w:before="240" w:after="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The ADAR stated that tepotinib is an orally administered, highly selective, ATP-competitive, Type 1b tyrosine kinase inhibitor (TKI) that is highly specific for the c-MET receptor with fewer off target effects as compared with a type 1a TKI. It further stated that identification of patients suitable for tepotinib requires a test currently not covered by the MBS. As such tepotinib was requested to be appraised as a codependent submission by MSAC/PBAC to apply for both the test as well as the drug.</w:t>
      </w:r>
    </w:p>
    <w:p w14:paraId="0FF79BF6" w14:textId="77777777" w:rsidR="00404C00" w:rsidRPr="00191AEE" w:rsidRDefault="00404C00" w:rsidP="00191AEE">
      <w:pPr>
        <w:pStyle w:val="Heading1"/>
        <w:numPr>
          <w:ilvl w:val="0"/>
          <w:numId w:val="4"/>
        </w:numPr>
        <w:spacing w:before="240" w:after="240" w:line="240" w:lineRule="auto"/>
        <w:ind w:left="720" w:hanging="720"/>
        <w:rPr>
          <w:rFonts w:ascii="Arial" w:hAnsi="Arial" w:cs="Arial"/>
          <w:bCs/>
          <w:szCs w:val="28"/>
        </w:rPr>
      </w:pPr>
      <w:r w:rsidRPr="00191AEE">
        <w:rPr>
          <w:rFonts w:ascii="Arial" w:hAnsi="Arial" w:cs="Arial"/>
          <w:bCs/>
          <w:szCs w:val="28"/>
        </w:rPr>
        <w:t>Economic evaluation</w:t>
      </w:r>
    </w:p>
    <w:p w14:paraId="2926E8C3" w14:textId="79F620B5" w:rsidR="00404C00" w:rsidRPr="00404C00" w:rsidRDefault="00404C00" w:rsidP="0093087D">
      <w:pPr>
        <w:spacing w:before="0" w:after="240"/>
        <w:jc w:val="left"/>
        <w:rPr>
          <w:rFonts w:ascii="Times New Roman" w:eastAsia="Times New Roman" w:hAnsi="Times New Roman" w:cs="Times New Roman"/>
          <w:color w:val="auto"/>
        </w:rPr>
      </w:pPr>
      <w:r w:rsidRPr="00404C00">
        <w:rPr>
          <w:rFonts w:ascii="Times New Roman" w:eastAsia="Times New Roman" w:hAnsi="Times New Roman" w:cs="Times New Roman"/>
          <w:color w:val="auto"/>
        </w:rPr>
        <w:t xml:space="preserve">The ADAR presented a cost-minimisation </w:t>
      </w:r>
      <w:r w:rsidR="0019205F">
        <w:rPr>
          <w:rFonts w:ascii="Times New Roman" w:eastAsia="Times New Roman" w:hAnsi="Times New Roman" w:cs="Times New Roman"/>
          <w:color w:val="auto"/>
        </w:rPr>
        <w:t>approach</w:t>
      </w:r>
      <w:r w:rsidRPr="00404C00">
        <w:rPr>
          <w:rFonts w:ascii="Times New Roman" w:eastAsia="Times New Roman" w:hAnsi="Times New Roman" w:cs="Times New Roman"/>
          <w:color w:val="auto"/>
        </w:rPr>
        <w:t xml:space="preserve"> (CMA) of tepotinib compared with pembrolizumab in combination with platinum-based chemotherapy for treatment of </w:t>
      </w:r>
      <w:r w:rsidRPr="00404C00">
        <w:rPr>
          <w:rFonts w:ascii="Times New Roman" w:eastAsia="Times New Roman" w:hAnsi="Times New Roman" w:cs="Times New Roman"/>
          <w:i/>
          <w:color w:val="auto"/>
        </w:rPr>
        <w:t>MET</w:t>
      </w:r>
      <w:r w:rsidRPr="00404C00">
        <w:rPr>
          <w:rFonts w:ascii="Times New Roman" w:eastAsia="Times New Roman" w:hAnsi="Times New Roman" w:cs="Times New Roman"/>
          <w:color w:val="auto"/>
        </w:rPr>
        <w:t>ex14sk</w:t>
      </w:r>
      <w:r w:rsidR="008406D9">
        <w:rPr>
          <w:rFonts w:ascii="Times New Roman" w:eastAsia="Times New Roman" w:hAnsi="Times New Roman" w:cs="Times New Roman"/>
          <w:color w:val="auto"/>
        </w:rPr>
        <w:t xml:space="preserve"> positive</w:t>
      </w:r>
      <w:r w:rsidRPr="00404C00">
        <w:rPr>
          <w:rFonts w:ascii="Times New Roman" w:eastAsia="Times New Roman" w:hAnsi="Times New Roman" w:cs="Times New Roman"/>
          <w:color w:val="auto"/>
        </w:rPr>
        <w:t xml:space="preserve"> </w:t>
      </w:r>
      <w:proofErr w:type="spellStart"/>
      <w:r w:rsidRPr="00404C00">
        <w:rPr>
          <w:rFonts w:ascii="Times New Roman" w:eastAsia="Times New Roman" w:hAnsi="Times New Roman" w:cs="Times New Roman"/>
          <w:color w:val="auto"/>
        </w:rPr>
        <w:t>aNSCLC</w:t>
      </w:r>
      <w:proofErr w:type="spellEnd"/>
      <w:r w:rsidRPr="00404C00">
        <w:rPr>
          <w:rFonts w:ascii="Times New Roman" w:eastAsia="Times New Roman" w:hAnsi="Times New Roman" w:cs="Times New Roman"/>
          <w:color w:val="auto"/>
        </w:rPr>
        <w:t>.</w:t>
      </w:r>
    </w:p>
    <w:p w14:paraId="54BC43C0" w14:textId="7251A97A" w:rsidR="00404C00" w:rsidRPr="00404C00" w:rsidRDefault="00404C00" w:rsidP="0093087D">
      <w:pPr>
        <w:spacing w:before="0" w:after="240"/>
        <w:jc w:val="left"/>
        <w:rPr>
          <w:rFonts w:ascii="Times New Roman" w:eastAsia="Times New Roman" w:hAnsi="Times New Roman" w:cs="Times New Roman"/>
          <w:i/>
          <w:color w:val="auto"/>
          <w:szCs w:val="20"/>
          <w:lang w:eastAsia="en-AU"/>
        </w:rPr>
      </w:pPr>
      <w:r w:rsidRPr="00404C00">
        <w:rPr>
          <w:rFonts w:ascii="Times New Roman" w:eastAsia="Times New Roman" w:hAnsi="Times New Roman" w:cs="Times New Roman"/>
          <w:color w:val="auto"/>
          <w:szCs w:val="20"/>
          <w:lang w:eastAsia="en-AU"/>
        </w:rPr>
        <w:t xml:space="preserve">The ADAR stated that the CMA took into account the cost associated with identifying one patient eligible for tepotinib therapy. The ADAR determined the number of patients needed to be tested per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ex14sk</w:t>
      </w:r>
      <w:r w:rsidR="008406D9">
        <w:rPr>
          <w:rFonts w:ascii="Times New Roman" w:eastAsia="Times New Roman" w:hAnsi="Times New Roman" w:cs="Times New Roman"/>
          <w:color w:val="auto"/>
          <w:szCs w:val="20"/>
          <w:lang w:eastAsia="en-AU"/>
        </w:rPr>
        <w:t xml:space="preserve"> positive</w:t>
      </w:r>
      <w:r w:rsidRPr="00404C00">
        <w:rPr>
          <w:rFonts w:ascii="Times New Roman" w:eastAsia="Times New Roman" w:hAnsi="Times New Roman" w:cs="Times New Roman"/>
          <w:color w:val="auto"/>
          <w:szCs w:val="20"/>
          <w:lang w:eastAsia="en-AU"/>
        </w:rPr>
        <w:t xml:space="preserve"> case, by estimating the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prevalence in squamous NSCLC and in </w:t>
      </w:r>
      <w:r w:rsidRPr="00404C00">
        <w:rPr>
          <w:rFonts w:ascii="Times New Roman" w:eastAsia="Times New Roman" w:hAnsi="Times New Roman" w:cs="Times New Roman"/>
          <w:i/>
          <w:color w:val="auto"/>
          <w:szCs w:val="20"/>
          <w:lang w:eastAsia="en-AU"/>
        </w:rPr>
        <w:t>EGFR</w:t>
      </w:r>
      <w:r w:rsidRPr="00404C00">
        <w:rPr>
          <w:rFonts w:ascii="Times New Roman" w:eastAsia="Times New Roman" w:hAnsi="Times New Roman" w:cs="Times New Roman"/>
          <w:color w:val="auto"/>
          <w:szCs w:val="20"/>
          <w:lang w:eastAsia="en-AU"/>
        </w:rPr>
        <w:t xml:space="preserve"> wild-type non-squamous NSCLC. The weighted average number of NSCLC patients needed to be tested to identify one patient with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color w:val="auto"/>
          <w:szCs w:val="20"/>
          <w:lang w:eastAsia="en-AU"/>
        </w:rPr>
        <w:t xml:space="preserve">ex14sk was estimated to be 32.9 patients. The commentary stated that the reference papers used to estimate the weighted average of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prevalence in all NSCLCs and in squamous NSCLCs were not provided in the ADAR. The calculation of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prevalence by NSCLC histology, therefore, could not be verified. More importantly, the MBS item descriptor proposed by the ADAR was for all NSCLC patients, regardless of disease stage. In contrast, first-line tepotinib would be given to those with locally advanced and metastatic disease according to the requested PBS listing. Therefore, the CMA should also consider the cost for testing of patients with Stage I-IIIA NSCLC who do not progress into Stage IIIB/IV </w:t>
      </w:r>
      <w:r w:rsidRPr="00404C00">
        <w:rPr>
          <w:rFonts w:ascii="Times New Roman" w:eastAsia="Times New Roman" w:hAnsi="Times New Roman" w:cs="Times New Roman"/>
          <w:color w:val="auto"/>
          <w:szCs w:val="20"/>
          <w:lang w:eastAsia="en-AU"/>
        </w:rPr>
        <w:lastRenderedPageBreak/>
        <w:t>(ineligible for tepotinib therapy). The ADAR also did not consider whether there were implications for retesting of unevaluable test results. Overall, the number of patients needed to be tested for METex14sk per tepotinib-treated patient has been underestimated in the ADAR; and this favoured tepotinib.</w:t>
      </w:r>
    </w:p>
    <w:p w14:paraId="557FFE75" w14:textId="77777777" w:rsidR="00404C00" w:rsidRPr="007E4BF0" w:rsidRDefault="00404C00" w:rsidP="0093087D">
      <w:pPr>
        <w:spacing w:before="0" w:after="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ADAR did not propose </w:t>
      </w:r>
      <w:r w:rsidRPr="007E4BF0">
        <w:rPr>
          <w:rFonts w:ascii="Times New Roman" w:eastAsia="Times New Roman" w:hAnsi="Times New Roman" w:cs="Times New Roman"/>
          <w:color w:val="auto"/>
          <w:szCs w:val="20"/>
          <w:lang w:eastAsia="en-AU"/>
        </w:rPr>
        <w:t>alternate listing scenarios.</w:t>
      </w:r>
    </w:p>
    <w:p w14:paraId="2A51A2F3" w14:textId="77777777" w:rsidR="00404C00" w:rsidRPr="007E4BF0" w:rsidRDefault="00404C00" w:rsidP="0093087D">
      <w:pPr>
        <w:spacing w:before="0" w:after="0"/>
        <w:jc w:val="left"/>
        <w:rPr>
          <w:rFonts w:ascii="Times New Roman" w:eastAsia="Times New Roman" w:hAnsi="Times New Roman" w:cs="Times New Roman"/>
          <w:color w:val="auto"/>
          <w:szCs w:val="20"/>
          <w:lang w:eastAsia="en-AU"/>
        </w:rPr>
      </w:pPr>
      <w:r w:rsidRPr="007E4BF0">
        <w:rPr>
          <w:rFonts w:ascii="Times New Roman" w:eastAsia="Times New Roman" w:hAnsi="Times New Roman" w:cs="Times New Roman"/>
          <w:color w:val="auto"/>
          <w:szCs w:val="20"/>
          <w:lang w:eastAsia="en-AU"/>
        </w:rPr>
        <w:t xml:space="preserve">The commentary reported the results of sensitivity analyses for factors related to the test. Excluding patients with squamous histology would allow up to a 3.3% increase in </w:t>
      </w:r>
      <w:proofErr w:type="spellStart"/>
      <w:r w:rsidRPr="007E4BF0">
        <w:rPr>
          <w:rFonts w:ascii="Times New Roman" w:eastAsia="Times New Roman" w:hAnsi="Times New Roman" w:cs="Times New Roman"/>
          <w:color w:val="auto"/>
          <w:szCs w:val="20"/>
          <w:lang w:eastAsia="en-AU"/>
        </w:rPr>
        <w:t>tepotinib</w:t>
      </w:r>
      <w:proofErr w:type="spellEnd"/>
      <w:r w:rsidRPr="007E4BF0">
        <w:rPr>
          <w:rFonts w:ascii="Times New Roman" w:eastAsia="Times New Roman" w:hAnsi="Times New Roman" w:cs="Times New Roman"/>
          <w:color w:val="auto"/>
          <w:szCs w:val="20"/>
          <w:lang w:eastAsia="en-AU"/>
        </w:rPr>
        <w:t xml:space="preserve"> price; increasing the number needed to test per patient treated with tepotinib from the base case of 32.9 to 50 would require a 5.5% decrease in </w:t>
      </w:r>
      <w:proofErr w:type="spellStart"/>
      <w:r w:rsidRPr="007E4BF0">
        <w:rPr>
          <w:rFonts w:ascii="Times New Roman" w:eastAsia="Times New Roman" w:hAnsi="Times New Roman" w:cs="Times New Roman"/>
          <w:color w:val="auto"/>
          <w:szCs w:val="20"/>
          <w:lang w:eastAsia="en-AU"/>
        </w:rPr>
        <w:t>tepotinib</w:t>
      </w:r>
      <w:proofErr w:type="spellEnd"/>
      <w:r w:rsidRPr="007E4BF0">
        <w:rPr>
          <w:rFonts w:ascii="Times New Roman" w:eastAsia="Times New Roman" w:hAnsi="Times New Roman" w:cs="Times New Roman"/>
          <w:color w:val="auto"/>
          <w:szCs w:val="20"/>
          <w:lang w:eastAsia="en-AU"/>
        </w:rPr>
        <w:t xml:space="preserve"> price to maintain the cost minimisation approach.</w:t>
      </w:r>
    </w:p>
    <w:p w14:paraId="685BB6B8" w14:textId="0E78FBAB" w:rsidR="00404C00" w:rsidRPr="00404C00" w:rsidRDefault="00404C00" w:rsidP="00191AEE">
      <w:pPr>
        <w:tabs>
          <w:tab w:val="left" w:pos="720"/>
          <w:tab w:val="left" w:pos="1140"/>
        </w:tabs>
        <w:spacing w:before="240" w:after="0"/>
        <w:jc w:val="left"/>
        <w:rPr>
          <w:rFonts w:ascii="Times New Roman" w:eastAsia="Times New Roman" w:hAnsi="Times New Roman" w:cs="Times New Roman"/>
          <w:bCs/>
          <w:color w:val="auto"/>
          <w:szCs w:val="24"/>
          <w:lang w:eastAsia="en-AU"/>
        </w:rPr>
      </w:pPr>
      <w:r w:rsidRPr="007E4BF0">
        <w:rPr>
          <w:rFonts w:ascii="Times New Roman" w:eastAsia="Times New Roman" w:hAnsi="Times New Roman" w:cs="Times New Roman"/>
          <w:bCs/>
          <w:color w:val="auto"/>
          <w:szCs w:val="24"/>
          <w:lang w:eastAsia="en-AU"/>
        </w:rPr>
        <w:t xml:space="preserve">The pre-ESC response added other sensitivity analyses related to the test, which were not subject to independent verification. Increasing the retesting rate from a base case assumption of 0% to 8% was estimated to require a 0.9% decrease in </w:t>
      </w:r>
      <w:proofErr w:type="spellStart"/>
      <w:r w:rsidRPr="007E4BF0">
        <w:rPr>
          <w:rFonts w:ascii="Times New Roman" w:eastAsia="Times New Roman" w:hAnsi="Times New Roman" w:cs="Times New Roman"/>
          <w:bCs/>
          <w:color w:val="auto"/>
          <w:szCs w:val="24"/>
          <w:lang w:eastAsia="en-AU"/>
        </w:rPr>
        <w:t>tepotinib</w:t>
      </w:r>
      <w:proofErr w:type="spellEnd"/>
      <w:r w:rsidRPr="007E4BF0">
        <w:rPr>
          <w:rFonts w:ascii="Times New Roman" w:eastAsia="Times New Roman" w:hAnsi="Times New Roman" w:cs="Times New Roman"/>
          <w:bCs/>
          <w:color w:val="auto"/>
          <w:szCs w:val="24"/>
          <w:lang w:eastAsia="en-AU"/>
        </w:rPr>
        <w:t xml:space="preserve"> price, and testing patients who are positive for the </w:t>
      </w:r>
      <w:r w:rsidRPr="007E4BF0">
        <w:rPr>
          <w:rFonts w:ascii="Times New Roman" w:eastAsia="Times New Roman" w:hAnsi="Times New Roman" w:cs="Times New Roman"/>
          <w:bCs/>
          <w:i/>
          <w:iCs/>
          <w:color w:val="auto"/>
          <w:szCs w:val="24"/>
          <w:lang w:eastAsia="en-AU"/>
        </w:rPr>
        <w:t>ALK</w:t>
      </w:r>
      <w:r w:rsidRPr="007E4BF0">
        <w:rPr>
          <w:rFonts w:ascii="Times New Roman" w:eastAsia="Times New Roman" w:hAnsi="Times New Roman" w:cs="Times New Roman"/>
          <w:bCs/>
          <w:color w:val="auto"/>
          <w:szCs w:val="24"/>
          <w:lang w:eastAsia="en-AU"/>
        </w:rPr>
        <w:t xml:space="preserve"> and </w:t>
      </w:r>
      <w:r w:rsidRPr="007E4BF0">
        <w:rPr>
          <w:rFonts w:ascii="Times New Roman" w:eastAsia="Times New Roman" w:hAnsi="Times New Roman" w:cs="Times New Roman"/>
          <w:bCs/>
          <w:i/>
          <w:iCs/>
          <w:color w:val="auto"/>
          <w:szCs w:val="24"/>
          <w:lang w:eastAsia="en-AU"/>
        </w:rPr>
        <w:t>ROS1</w:t>
      </w:r>
      <w:r w:rsidRPr="007E4BF0">
        <w:rPr>
          <w:rFonts w:ascii="Times New Roman" w:eastAsia="Times New Roman" w:hAnsi="Times New Roman" w:cs="Times New Roman"/>
          <w:bCs/>
          <w:color w:val="auto"/>
          <w:szCs w:val="24"/>
          <w:lang w:eastAsia="en-AU"/>
        </w:rPr>
        <w:t xml:space="preserve"> biomarkers would require a 0.2% decrease in </w:t>
      </w:r>
      <w:proofErr w:type="spellStart"/>
      <w:r w:rsidRPr="007E4BF0">
        <w:rPr>
          <w:rFonts w:ascii="Times New Roman" w:eastAsia="Times New Roman" w:hAnsi="Times New Roman" w:cs="Times New Roman"/>
          <w:bCs/>
          <w:color w:val="auto"/>
          <w:szCs w:val="24"/>
          <w:lang w:eastAsia="en-AU"/>
        </w:rPr>
        <w:t>tepotinib</w:t>
      </w:r>
      <w:proofErr w:type="spellEnd"/>
      <w:r w:rsidRPr="007E4BF0">
        <w:rPr>
          <w:rFonts w:ascii="Times New Roman" w:eastAsia="Times New Roman" w:hAnsi="Times New Roman" w:cs="Times New Roman"/>
          <w:bCs/>
          <w:color w:val="auto"/>
          <w:szCs w:val="24"/>
          <w:lang w:eastAsia="en-AU"/>
        </w:rPr>
        <w:t xml:space="preserve"> price.</w:t>
      </w:r>
    </w:p>
    <w:p w14:paraId="217D93FA" w14:textId="77777777" w:rsidR="00404C00" w:rsidRPr="00191AEE" w:rsidRDefault="00404C00" w:rsidP="00191AEE">
      <w:pPr>
        <w:pStyle w:val="Heading1"/>
        <w:numPr>
          <w:ilvl w:val="0"/>
          <w:numId w:val="4"/>
        </w:numPr>
        <w:spacing w:before="240" w:after="240" w:line="240" w:lineRule="auto"/>
        <w:ind w:left="720" w:hanging="720"/>
        <w:rPr>
          <w:rFonts w:ascii="Arial" w:hAnsi="Arial" w:cs="Arial"/>
          <w:bCs/>
          <w:szCs w:val="28"/>
        </w:rPr>
      </w:pPr>
      <w:r w:rsidRPr="00191AEE">
        <w:rPr>
          <w:rFonts w:ascii="Arial" w:hAnsi="Arial" w:cs="Arial"/>
          <w:bCs/>
          <w:szCs w:val="28"/>
        </w:rPr>
        <w:t>Financial/budgetary impacts</w:t>
      </w:r>
    </w:p>
    <w:p w14:paraId="69A29D35" w14:textId="77777777" w:rsidR="00404C00" w:rsidRPr="00404C00" w:rsidRDefault="00404C00" w:rsidP="0093087D">
      <w:pPr>
        <w:spacing w:before="0" w:after="240"/>
        <w:jc w:val="left"/>
        <w:rPr>
          <w:rFonts w:ascii="Times New Roman" w:eastAsia="Times New Roman" w:hAnsi="Times New Roman" w:cs="Times New Roman"/>
          <w:color w:val="auto"/>
        </w:rPr>
      </w:pPr>
      <w:r w:rsidRPr="00404C00">
        <w:rPr>
          <w:rFonts w:ascii="Times New Roman" w:eastAsia="Times New Roman" w:hAnsi="Times New Roman" w:cs="Times New Roman"/>
          <w:color w:val="auto"/>
        </w:rPr>
        <w:t xml:space="preserve">The ADAR took an epidemiological approach to estimate the number of patients eligible for </w:t>
      </w:r>
      <w:r w:rsidRPr="00404C00">
        <w:rPr>
          <w:rFonts w:ascii="Times New Roman" w:eastAsia="Times New Roman" w:hAnsi="Times New Roman" w:cs="Times New Roman"/>
          <w:i/>
          <w:color w:val="auto"/>
        </w:rPr>
        <w:t>MET</w:t>
      </w:r>
      <w:r w:rsidRPr="00404C00">
        <w:rPr>
          <w:rFonts w:ascii="Times New Roman" w:eastAsia="Times New Roman" w:hAnsi="Times New Roman" w:cs="Times New Roman"/>
          <w:color w:val="auto"/>
        </w:rPr>
        <w:t xml:space="preserve">ex14sk testing. The cost of </w:t>
      </w:r>
      <w:r w:rsidRPr="00404C00">
        <w:rPr>
          <w:rFonts w:ascii="Times New Roman" w:eastAsia="Times New Roman" w:hAnsi="Times New Roman" w:cs="Times New Roman"/>
          <w:i/>
          <w:color w:val="auto"/>
        </w:rPr>
        <w:t>MET</w:t>
      </w:r>
      <w:r w:rsidRPr="00404C00">
        <w:rPr>
          <w:rFonts w:ascii="Times New Roman" w:eastAsia="Times New Roman" w:hAnsi="Times New Roman" w:cs="Times New Roman"/>
          <w:color w:val="auto"/>
        </w:rPr>
        <w:t xml:space="preserve">ex14sk testing to the MBS was estimated by assuming that this test would only be performed in patients who are diagnosed with Stage IIIB or IV NSCLC. The commentary stated that this was not consistent with the ADAR’s proposed MBS item descriptor for </w:t>
      </w:r>
      <w:r w:rsidRPr="00404C00">
        <w:rPr>
          <w:rFonts w:ascii="Times New Roman" w:eastAsia="Calibri" w:hAnsi="Times New Roman" w:cs="Times New Roman"/>
          <w:i/>
          <w:iCs/>
          <w:color w:val="auto"/>
        </w:rPr>
        <w:t>MET</w:t>
      </w:r>
      <w:r w:rsidRPr="00404C00">
        <w:rPr>
          <w:rFonts w:ascii="Times New Roman" w:eastAsia="Calibri" w:hAnsi="Times New Roman" w:cs="Times New Roman"/>
          <w:color w:val="auto"/>
        </w:rPr>
        <w:t>ex14sk</w:t>
      </w:r>
      <w:r w:rsidRPr="00404C00">
        <w:rPr>
          <w:rFonts w:ascii="Times New Roman" w:eastAsia="Times New Roman" w:hAnsi="Times New Roman" w:cs="Times New Roman"/>
          <w:color w:val="auto"/>
        </w:rPr>
        <w:t xml:space="preserve"> testing, which did not limit the disease stage of NSCLC. Patients with Stages I-IIIA disease would also be eligible for </w:t>
      </w:r>
      <w:r w:rsidRPr="00404C00">
        <w:rPr>
          <w:rFonts w:ascii="Times New Roman" w:eastAsia="Calibri" w:hAnsi="Times New Roman" w:cs="Times New Roman"/>
          <w:i/>
          <w:iCs/>
          <w:color w:val="auto"/>
        </w:rPr>
        <w:t>MET</w:t>
      </w:r>
      <w:r w:rsidRPr="00404C00">
        <w:rPr>
          <w:rFonts w:ascii="Times New Roman" w:eastAsia="Calibri" w:hAnsi="Times New Roman" w:cs="Times New Roman"/>
          <w:color w:val="auto"/>
        </w:rPr>
        <w:t>ex14sk</w:t>
      </w:r>
      <w:r w:rsidRPr="00404C00">
        <w:rPr>
          <w:rFonts w:ascii="Times New Roman" w:eastAsia="Times New Roman" w:hAnsi="Times New Roman" w:cs="Times New Roman"/>
          <w:color w:val="auto"/>
        </w:rPr>
        <w:t xml:space="preserve"> testing according to the ADAR’s requested MBS listing. Even if the eligibility criteria for </w:t>
      </w:r>
      <w:r w:rsidRPr="00404C00">
        <w:rPr>
          <w:rFonts w:ascii="Times New Roman" w:eastAsia="Calibri" w:hAnsi="Times New Roman" w:cs="Times New Roman"/>
          <w:i/>
          <w:iCs/>
          <w:color w:val="auto"/>
        </w:rPr>
        <w:t>MET</w:t>
      </w:r>
      <w:r w:rsidRPr="00404C00">
        <w:rPr>
          <w:rFonts w:ascii="Times New Roman" w:eastAsia="Calibri" w:hAnsi="Times New Roman" w:cs="Times New Roman"/>
          <w:color w:val="auto"/>
        </w:rPr>
        <w:t>ex14sk</w:t>
      </w:r>
      <w:r w:rsidRPr="00404C00">
        <w:rPr>
          <w:rFonts w:ascii="Times New Roman" w:eastAsia="Times New Roman" w:hAnsi="Times New Roman" w:cs="Times New Roman"/>
          <w:color w:val="auto"/>
        </w:rPr>
        <w:t xml:space="preserve"> testing is to be limited to locally advanced or metastatic NSCLC, the ADAR still underestimated the size of the patient population eligible for testing, as those diagnosed with Stages I-IIIA but subsequently progressing into a later stage were not included in the ADAR’s estimates.</w:t>
      </w:r>
    </w:p>
    <w:p w14:paraId="1E75EDB9" w14:textId="77777777" w:rsidR="00404C00" w:rsidRPr="00404C00" w:rsidRDefault="00404C00" w:rsidP="0093087D">
      <w:pPr>
        <w:spacing w:before="0" w:after="240"/>
        <w:jc w:val="left"/>
        <w:rPr>
          <w:rFonts w:ascii="Times New Roman" w:eastAsia="Times New Roman" w:hAnsi="Times New Roman" w:cs="Times New Roman"/>
          <w:color w:val="auto"/>
          <w:szCs w:val="20"/>
          <w:lang w:eastAsia="en-AU"/>
        </w:rPr>
      </w:pPr>
      <w:r w:rsidRPr="00404C00">
        <w:rPr>
          <w:rFonts w:ascii="Times New Roman" w:eastAsia="Times New Roman" w:hAnsi="Times New Roman" w:cs="Times New Roman"/>
          <w:color w:val="auto"/>
          <w:szCs w:val="20"/>
          <w:lang w:eastAsia="en-AU"/>
        </w:rPr>
        <w:t xml:space="preserve">The commentary stated that the ADAR further underestimated the number of patients eligible 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testing, as it excluded 26.1% (=1-(90% * 82.1%)) of patients with squamous NSCLC, by assuming that these patients would be ineligible for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testing or having a positive result from the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test and, thus, become ineligible 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testing. This was not appropriate. Only patients with non-squamous NSCLC will undergo an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test; and only those testing negative will be eligible 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 xml:space="preserve">ex14sk testing. Patients with squamous NSCLC do not require an </w:t>
      </w:r>
      <w:r w:rsidRPr="00404C00">
        <w:rPr>
          <w:rFonts w:ascii="Times New Roman" w:eastAsia="Times New Roman" w:hAnsi="Times New Roman" w:cs="Times New Roman"/>
          <w:i/>
          <w:iCs/>
          <w:color w:val="auto"/>
          <w:szCs w:val="20"/>
          <w:lang w:eastAsia="en-AU"/>
        </w:rPr>
        <w:t>EGFR</w:t>
      </w:r>
      <w:r w:rsidRPr="00404C00">
        <w:rPr>
          <w:rFonts w:ascii="Times New Roman" w:eastAsia="Times New Roman" w:hAnsi="Times New Roman" w:cs="Times New Roman"/>
          <w:color w:val="auto"/>
          <w:szCs w:val="20"/>
          <w:lang w:eastAsia="en-AU"/>
        </w:rPr>
        <w:t xml:space="preserve"> test to determine their eligibility for </w:t>
      </w:r>
      <w:r w:rsidRPr="00404C00">
        <w:rPr>
          <w:rFonts w:ascii="Times New Roman" w:eastAsia="Times New Roman" w:hAnsi="Times New Roman" w:cs="Times New Roman"/>
          <w:i/>
          <w:iCs/>
          <w:color w:val="auto"/>
          <w:szCs w:val="20"/>
          <w:lang w:eastAsia="en-AU"/>
        </w:rPr>
        <w:t>MET</w:t>
      </w:r>
      <w:r w:rsidRPr="00404C00">
        <w:rPr>
          <w:rFonts w:ascii="Times New Roman" w:eastAsia="Times New Roman" w:hAnsi="Times New Roman" w:cs="Times New Roman"/>
          <w:color w:val="auto"/>
          <w:szCs w:val="20"/>
          <w:lang w:eastAsia="en-AU"/>
        </w:rPr>
        <w:t>ex14sk testing, as per the requested MBS descriptor.</w:t>
      </w:r>
    </w:p>
    <w:p w14:paraId="2D2D822A" w14:textId="7D8A4DB6" w:rsidR="00404C00" w:rsidRPr="00404C00" w:rsidRDefault="00404C00" w:rsidP="0093087D">
      <w:pPr>
        <w:keepNext/>
        <w:spacing w:before="0" w:after="40"/>
        <w:jc w:val="left"/>
        <w:outlineLvl w:val="4"/>
        <w:rPr>
          <w:rFonts w:ascii="Arial Narrow" w:eastAsia="Times New Roman" w:hAnsi="Arial Narrow" w:cs="Arial"/>
          <w:b/>
          <w:color w:val="auto"/>
          <w:sz w:val="20"/>
          <w:szCs w:val="18"/>
        </w:rPr>
      </w:pPr>
      <w:r w:rsidRPr="00404C00">
        <w:rPr>
          <w:rFonts w:ascii="Arial Narrow" w:eastAsia="Times New Roman" w:hAnsi="Arial Narrow" w:cs="Arial"/>
          <w:b/>
          <w:bCs/>
          <w:iCs/>
          <w:color w:val="auto"/>
          <w:sz w:val="20"/>
          <w:szCs w:val="20"/>
        </w:rPr>
        <w:lastRenderedPageBreak/>
        <w:t xml:space="preserve">Table </w:t>
      </w:r>
      <w:r w:rsidRPr="00404C00">
        <w:rPr>
          <w:rFonts w:ascii="Arial Narrow" w:eastAsia="Times New Roman" w:hAnsi="Arial Narrow" w:cs="Arial"/>
          <w:b/>
          <w:bCs/>
          <w:iCs/>
          <w:color w:val="auto"/>
          <w:sz w:val="20"/>
          <w:szCs w:val="20"/>
        </w:rPr>
        <w:fldChar w:fldCharType="begin"/>
      </w:r>
      <w:r w:rsidRPr="00404C00">
        <w:rPr>
          <w:rFonts w:ascii="Arial Narrow" w:eastAsia="Times New Roman" w:hAnsi="Arial Narrow" w:cs="Arial"/>
          <w:b/>
          <w:bCs/>
          <w:iCs/>
          <w:color w:val="auto"/>
          <w:sz w:val="20"/>
          <w:szCs w:val="20"/>
        </w:rPr>
        <w:instrText xml:space="preserve"> SEQ Table \* ARABIC </w:instrText>
      </w:r>
      <w:r w:rsidRPr="00404C00">
        <w:rPr>
          <w:rFonts w:ascii="Arial Narrow" w:eastAsia="Times New Roman" w:hAnsi="Arial Narrow" w:cs="Arial"/>
          <w:b/>
          <w:bCs/>
          <w:iCs/>
          <w:color w:val="auto"/>
          <w:sz w:val="20"/>
          <w:szCs w:val="20"/>
        </w:rPr>
        <w:fldChar w:fldCharType="separate"/>
      </w:r>
      <w:r w:rsidR="00EF30D4">
        <w:rPr>
          <w:rFonts w:ascii="Arial Narrow" w:eastAsia="Times New Roman" w:hAnsi="Arial Narrow" w:cs="Arial"/>
          <w:b/>
          <w:bCs/>
          <w:iCs/>
          <w:noProof/>
          <w:color w:val="auto"/>
          <w:sz w:val="20"/>
          <w:szCs w:val="20"/>
        </w:rPr>
        <w:t>8</w:t>
      </w:r>
      <w:r w:rsidRPr="00404C00">
        <w:rPr>
          <w:rFonts w:ascii="Arial Narrow" w:eastAsia="Times New Roman" w:hAnsi="Arial Narrow" w:cs="Arial"/>
          <w:b/>
          <w:bCs/>
          <w:iCs/>
          <w:noProof/>
          <w:color w:val="auto"/>
          <w:sz w:val="20"/>
          <w:szCs w:val="20"/>
        </w:rPr>
        <w:fldChar w:fldCharType="end"/>
      </w:r>
      <w:r w:rsidRPr="00404C00">
        <w:rPr>
          <w:rFonts w:ascii="Arial Narrow" w:eastAsia="Times New Roman" w:hAnsi="Arial Narrow" w:cs="Arial"/>
          <w:b/>
          <w:bCs/>
          <w:iCs/>
          <w:color w:val="auto"/>
          <w:sz w:val="20"/>
          <w:szCs w:val="20"/>
        </w:rPr>
        <w:tab/>
      </w:r>
      <w:r w:rsidRPr="00404C00">
        <w:rPr>
          <w:rFonts w:ascii="Arial Narrow" w:eastAsia="Times New Roman" w:hAnsi="Arial Narrow" w:cs="Arial"/>
          <w:b/>
          <w:color w:val="auto"/>
          <w:sz w:val="20"/>
          <w:szCs w:val="18"/>
        </w:rPr>
        <w:t xml:space="preserve">Estimated use and financial implications of </w:t>
      </w:r>
      <w:r w:rsidRPr="00404C00">
        <w:rPr>
          <w:rFonts w:ascii="Arial Narrow" w:eastAsia="Times New Roman" w:hAnsi="Arial Narrow" w:cs="Arial"/>
          <w:b/>
          <w:i/>
          <w:color w:val="auto"/>
          <w:sz w:val="20"/>
          <w:szCs w:val="18"/>
        </w:rPr>
        <w:t>MET</w:t>
      </w:r>
      <w:r w:rsidRPr="00404C00">
        <w:rPr>
          <w:rFonts w:ascii="Arial Narrow" w:eastAsia="Times New Roman" w:hAnsi="Arial Narrow" w:cs="Arial"/>
          <w:b/>
          <w:color w:val="auto"/>
          <w:sz w:val="20"/>
          <w:szCs w:val="18"/>
        </w:rPr>
        <w:t>ex14sk testing to the MBS</w:t>
      </w:r>
    </w:p>
    <w:tbl>
      <w:tblPr>
        <w:tblStyle w:val="HTATableshaded"/>
        <w:tblW w:w="5000" w:type="pct"/>
        <w:tblCellMar>
          <w:left w:w="28" w:type="dxa"/>
          <w:right w:w="28" w:type="dxa"/>
        </w:tblCellMar>
        <w:tblLook w:val="04A0" w:firstRow="1" w:lastRow="0" w:firstColumn="1" w:lastColumn="0" w:noHBand="0" w:noVBand="1"/>
        <w:tblDescription w:val="Estimated use and financial implications of METex14sk testing to the MBS"/>
      </w:tblPr>
      <w:tblGrid>
        <w:gridCol w:w="2318"/>
        <w:gridCol w:w="1115"/>
        <w:gridCol w:w="1114"/>
        <w:gridCol w:w="1114"/>
        <w:gridCol w:w="1114"/>
        <w:gridCol w:w="1114"/>
        <w:gridCol w:w="1127"/>
      </w:tblGrid>
      <w:tr w:rsidR="00404C00" w:rsidRPr="00404C00" w14:paraId="72404EFB" w14:textId="77777777" w:rsidTr="00404C00">
        <w:trPr>
          <w:cnfStyle w:val="100000000000" w:firstRow="1" w:lastRow="0" w:firstColumn="0" w:lastColumn="0" w:oddVBand="0" w:evenVBand="0" w:oddHBand="0" w:evenHBand="0" w:firstRowFirstColumn="0" w:firstRowLastColumn="0" w:lastRowFirstColumn="0" w:lastRowLastColumn="0"/>
          <w:tblHeader/>
        </w:trPr>
        <w:tc>
          <w:tcPr>
            <w:tcW w:w="1285" w:type="pct"/>
            <w:shd w:val="clear" w:color="auto" w:fill="auto"/>
            <w:vAlign w:val="center"/>
          </w:tcPr>
          <w:p w14:paraId="45E74253" w14:textId="77777777" w:rsidR="00404C00" w:rsidRPr="00404C00" w:rsidRDefault="00404C00" w:rsidP="0093087D">
            <w:pPr>
              <w:keepNext/>
              <w:keepLines/>
              <w:widowControl w:val="0"/>
              <w:spacing w:before="40" w:after="40" w:line="256" w:lineRule="auto"/>
              <w:jc w:val="left"/>
              <w:rPr>
                <w:rFonts w:ascii="Arial Narrow" w:hAnsi="Arial Narrow"/>
                <w:b/>
                <w:color w:val="auto"/>
                <w:sz w:val="20"/>
                <w:szCs w:val="20"/>
              </w:rPr>
            </w:pPr>
          </w:p>
        </w:tc>
        <w:tc>
          <w:tcPr>
            <w:tcW w:w="618" w:type="pct"/>
            <w:shd w:val="clear" w:color="auto" w:fill="auto"/>
            <w:vAlign w:val="center"/>
          </w:tcPr>
          <w:p w14:paraId="53E8456A" w14:textId="77777777" w:rsidR="00404C00" w:rsidRPr="00404C00" w:rsidRDefault="00404C00" w:rsidP="00AC3641">
            <w:pPr>
              <w:keepNext/>
              <w:keepLines/>
              <w:widowControl w:val="0"/>
              <w:spacing w:before="40" w:after="40" w:line="256" w:lineRule="auto"/>
              <w:jc w:val="center"/>
              <w:rPr>
                <w:rFonts w:ascii="Arial Narrow" w:hAnsi="Arial Narrow"/>
                <w:b/>
                <w:color w:val="auto"/>
                <w:sz w:val="20"/>
                <w:szCs w:val="20"/>
              </w:rPr>
            </w:pPr>
            <w:r w:rsidRPr="00404C00">
              <w:rPr>
                <w:rFonts w:ascii="Arial Narrow" w:hAnsi="Arial Narrow"/>
                <w:b/>
                <w:color w:val="auto"/>
                <w:sz w:val="20"/>
                <w:szCs w:val="20"/>
              </w:rPr>
              <w:t>Year 1</w:t>
            </w:r>
          </w:p>
        </w:tc>
        <w:tc>
          <w:tcPr>
            <w:tcW w:w="618" w:type="pct"/>
            <w:shd w:val="clear" w:color="auto" w:fill="auto"/>
            <w:vAlign w:val="center"/>
          </w:tcPr>
          <w:p w14:paraId="10BBD67E" w14:textId="77777777" w:rsidR="00404C00" w:rsidRPr="00404C00" w:rsidRDefault="00404C00" w:rsidP="00AC3641">
            <w:pPr>
              <w:keepNext/>
              <w:keepLines/>
              <w:widowControl w:val="0"/>
              <w:spacing w:before="40" w:after="40" w:line="256" w:lineRule="auto"/>
              <w:jc w:val="center"/>
              <w:rPr>
                <w:rFonts w:ascii="Arial Narrow" w:hAnsi="Arial Narrow"/>
                <w:b/>
                <w:color w:val="auto"/>
                <w:sz w:val="20"/>
                <w:szCs w:val="20"/>
              </w:rPr>
            </w:pPr>
            <w:r w:rsidRPr="00404C00">
              <w:rPr>
                <w:rFonts w:ascii="Arial Narrow" w:hAnsi="Arial Narrow"/>
                <w:b/>
                <w:color w:val="auto"/>
                <w:sz w:val="20"/>
                <w:szCs w:val="20"/>
              </w:rPr>
              <w:t>Year 2</w:t>
            </w:r>
          </w:p>
        </w:tc>
        <w:tc>
          <w:tcPr>
            <w:tcW w:w="618" w:type="pct"/>
            <w:shd w:val="clear" w:color="auto" w:fill="auto"/>
            <w:vAlign w:val="center"/>
          </w:tcPr>
          <w:p w14:paraId="1120513B" w14:textId="77777777" w:rsidR="00404C00" w:rsidRPr="00404C00" w:rsidRDefault="00404C00" w:rsidP="00AC3641">
            <w:pPr>
              <w:keepNext/>
              <w:keepLines/>
              <w:widowControl w:val="0"/>
              <w:spacing w:before="40" w:after="40" w:line="256" w:lineRule="auto"/>
              <w:jc w:val="center"/>
              <w:rPr>
                <w:rFonts w:ascii="Arial Narrow" w:hAnsi="Arial Narrow"/>
                <w:b/>
                <w:color w:val="auto"/>
                <w:sz w:val="20"/>
                <w:szCs w:val="20"/>
              </w:rPr>
            </w:pPr>
            <w:r w:rsidRPr="00404C00">
              <w:rPr>
                <w:rFonts w:ascii="Arial Narrow" w:hAnsi="Arial Narrow"/>
                <w:b/>
                <w:color w:val="auto"/>
                <w:sz w:val="20"/>
                <w:szCs w:val="20"/>
              </w:rPr>
              <w:t>Year 3</w:t>
            </w:r>
          </w:p>
        </w:tc>
        <w:tc>
          <w:tcPr>
            <w:tcW w:w="618" w:type="pct"/>
            <w:shd w:val="clear" w:color="auto" w:fill="auto"/>
            <w:vAlign w:val="center"/>
          </w:tcPr>
          <w:p w14:paraId="1FD8F36A" w14:textId="77777777" w:rsidR="00404C00" w:rsidRPr="00404C00" w:rsidRDefault="00404C00" w:rsidP="00AC3641">
            <w:pPr>
              <w:keepNext/>
              <w:keepLines/>
              <w:widowControl w:val="0"/>
              <w:spacing w:before="40" w:after="40" w:line="256" w:lineRule="auto"/>
              <w:jc w:val="center"/>
              <w:rPr>
                <w:rFonts w:ascii="Arial Narrow" w:hAnsi="Arial Narrow"/>
                <w:b/>
                <w:color w:val="auto"/>
                <w:sz w:val="20"/>
                <w:szCs w:val="20"/>
              </w:rPr>
            </w:pPr>
            <w:r w:rsidRPr="00404C00">
              <w:rPr>
                <w:rFonts w:ascii="Arial Narrow" w:hAnsi="Arial Narrow"/>
                <w:b/>
                <w:color w:val="auto"/>
                <w:sz w:val="20"/>
                <w:szCs w:val="20"/>
              </w:rPr>
              <w:t>Year 4</w:t>
            </w:r>
          </w:p>
        </w:tc>
        <w:tc>
          <w:tcPr>
            <w:tcW w:w="618" w:type="pct"/>
            <w:shd w:val="clear" w:color="auto" w:fill="auto"/>
            <w:vAlign w:val="center"/>
          </w:tcPr>
          <w:p w14:paraId="60FEFF13" w14:textId="77777777" w:rsidR="00404C00" w:rsidRPr="00404C00" w:rsidRDefault="00404C00" w:rsidP="00AC3641">
            <w:pPr>
              <w:keepNext/>
              <w:keepLines/>
              <w:widowControl w:val="0"/>
              <w:spacing w:before="40" w:after="40" w:line="256" w:lineRule="auto"/>
              <w:jc w:val="center"/>
              <w:rPr>
                <w:rFonts w:ascii="Arial Narrow" w:hAnsi="Arial Narrow"/>
                <w:b/>
                <w:color w:val="auto"/>
                <w:sz w:val="20"/>
                <w:szCs w:val="20"/>
              </w:rPr>
            </w:pPr>
            <w:r w:rsidRPr="00404C00">
              <w:rPr>
                <w:rFonts w:ascii="Arial Narrow" w:hAnsi="Arial Narrow"/>
                <w:b/>
                <w:color w:val="auto"/>
                <w:sz w:val="20"/>
                <w:szCs w:val="20"/>
              </w:rPr>
              <w:t>Year 5</w:t>
            </w:r>
          </w:p>
        </w:tc>
        <w:tc>
          <w:tcPr>
            <w:tcW w:w="625" w:type="pct"/>
          </w:tcPr>
          <w:p w14:paraId="318C6660" w14:textId="77777777" w:rsidR="00404C00" w:rsidRPr="00404C00" w:rsidRDefault="00404C00" w:rsidP="00AC3641">
            <w:pPr>
              <w:keepNext/>
              <w:keepLines/>
              <w:widowControl w:val="0"/>
              <w:spacing w:before="40" w:after="40" w:line="256" w:lineRule="auto"/>
              <w:jc w:val="center"/>
              <w:rPr>
                <w:rFonts w:ascii="Arial Narrow" w:hAnsi="Arial Narrow"/>
                <w:b/>
                <w:color w:val="auto"/>
                <w:sz w:val="20"/>
                <w:szCs w:val="20"/>
              </w:rPr>
            </w:pPr>
            <w:r w:rsidRPr="00404C00">
              <w:rPr>
                <w:rFonts w:ascii="Arial Narrow" w:hAnsi="Arial Narrow"/>
                <w:b/>
                <w:color w:val="auto"/>
                <w:sz w:val="20"/>
                <w:szCs w:val="20"/>
              </w:rPr>
              <w:t>Year 6</w:t>
            </w:r>
          </w:p>
        </w:tc>
      </w:tr>
      <w:tr w:rsidR="00404C00" w:rsidRPr="00404C00" w14:paraId="60AEE566" w14:textId="77777777" w:rsidTr="00404C00">
        <w:tc>
          <w:tcPr>
            <w:tcW w:w="5000" w:type="pct"/>
            <w:gridSpan w:val="7"/>
            <w:shd w:val="clear" w:color="auto" w:fill="auto"/>
            <w:vAlign w:val="center"/>
          </w:tcPr>
          <w:p w14:paraId="2822F8C8" w14:textId="77777777" w:rsidR="00404C00" w:rsidRPr="00404C00" w:rsidRDefault="00404C00" w:rsidP="00AC3641">
            <w:pPr>
              <w:keepNext/>
              <w:keepLines/>
              <w:widowControl w:val="0"/>
              <w:spacing w:before="40" w:after="40" w:line="256" w:lineRule="auto"/>
              <w:jc w:val="left"/>
              <w:rPr>
                <w:rFonts w:ascii="Arial Narrow" w:hAnsi="Arial Narrow"/>
                <w:b/>
                <w:color w:val="auto"/>
                <w:sz w:val="20"/>
                <w:szCs w:val="20"/>
              </w:rPr>
            </w:pPr>
            <w:r w:rsidRPr="00404C00">
              <w:rPr>
                <w:rFonts w:ascii="Arial Narrow" w:hAnsi="Arial Narrow"/>
                <w:b/>
                <w:color w:val="auto"/>
                <w:sz w:val="20"/>
                <w:szCs w:val="20"/>
              </w:rPr>
              <w:t xml:space="preserve">Estimated extent of use of </w:t>
            </w:r>
            <w:r w:rsidRPr="00404C00">
              <w:rPr>
                <w:rFonts w:ascii="Arial Narrow" w:hAnsi="Arial Narrow"/>
                <w:b/>
                <w:i/>
                <w:color w:val="auto"/>
                <w:sz w:val="20"/>
                <w:szCs w:val="20"/>
              </w:rPr>
              <w:t>MET</w:t>
            </w:r>
            <w:r w:rsidRPr="00404C00">
              <w:rPr>
                <w:rFonts w:ascii="Arial Narrow" w:hAnsi="Arial Narrow"/>
                <w:b/>
                <w:color w:val="auto"/>
                <w:sz w:val="20"/>
                <w:szCs w:val="20"/>
              </w:rPr>
              <w:t>ex14sk testing</w:t>
            </w:r>
          </w:p>
        </w:tc>
      </w:tr>
      <w:tr w:rsidR="009E498A" w:rsidRPr="00404C00" w14:paraId="40615C0B" w14:textId="77777777" w:rsidTr="009E498A">
        <w:tc>
          <w:tcPr>
            <w:tcW w:w="1285" w:type="pct"/>
            <w:shd w:val="clear" w:color="auto" w:fill="auto"/>
            <w:vAlign w:val="center"/>
          </w:tcPr>
          <w:p w14:paraId="30A3649B" w14:textId="77777777" w:rsidR="009E498A" w:rsidRPr="00404C00" w:rsidRDefault="009E498A" w:rsidP="009E498A">
            <w:pPr>
              <w:keepNext/>
              <w:keepLines/>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Number of patients tested</w:t>
            </w:r>
          </w:p>
        </w:tc>
        <w:tc>
          <w:tcPr>
            <w:tcW w:w="618" w:type="pct"/>
            <w:shd w:val="clear" w:color="auto" w:fill="auto"/>
            <w:vAlign w:val="center"/>
          </w:tcPr>
          <w:p w14:paraId="07574D07" w14:textId="68463EBA" w:rsidR="009E498A" w:rsidRPr="009E498A" w:rsidRDefault="009E498A" w:rsidP="009E498A">
            <w:pPr>
              <w:keepNext/>
              <w:keepLines/>
              <w:widowControl w:val="0"/>
              <w:tabs>
                <w:tab w:val="decimal" w:pos="396"/>
              </w:tabs>
              <w:spacing w:before="40" w:after="40" w:line="256" w:lineRule="auto"/>
              <w:jc w:val="center"/>
              <w:rPr>
                <w:rFonts w:ascii="Arial Narrow" w:hAnsi="Arial Narrow"/>
                <w:color w:val="auto"/>
                <w:sz w:val="20"/>
                <w:szCs w:val="20"/>
                <w:vertAlign w:val="superscript"/>
              </w:rPr>
            </w:pPr>
            <w:r>
              <w:rPr>
                <w:rFonts w:ascii="Arial Narrow" w:hAnsi="Arial Narrow"/>
                <w:b/>
                <w:bCs/>
                <w:color w:val="auto"/>
                <w:sz w:val="20"/>
                <w:szCs w:val="20"/>
              </w:rPr>
              <w:t>Redacted</w:t>
            </w:r>
            <w:r w:rsidRPr="009E498A">
              <w:rPr>
                <w:rFonts w:ascii="Arial Narrow" w:hAnsi="Arial Narrow"/>
                <w:color w:val="auto"/>
                <w:sz w:val="20"/>
                <w:szCs w:val="20"/>
                <w:vertAlign w:val="superscript"/>
              </w:rPr>
              <w:t>1</w:t>
            </w:r>
          </w:p>
        </w:tc>
        <w:tc>
          <w:tcPr>
            <w:tcW w:w="618" w:type="pct"/>
            <w:shd w:val="clear" w:color="auto" w:fill="auto"/>
          </w:tcPr>
          <w:p w14:paraId="3B32BA4B" w14:textId="7E00BAD8"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3B10B6">
              <w:rPr>
                <w:rFonts w:ascii="Arial Narrow" w:hAnsi="Arial Narrow"/>
                <w:b/>
                <w:bCs/>
                <w:color w:val="auto"/>
                <w:sz w:val="20"/>
                <w:szCs w:val="20"/>
              </w:rPr>
              <w:t>Redacted</w:t>
            </w:r>
            <w:r w:rsidRPr="003B10B6">
              <w:rPr>
                <w:rFonts w:ascii="Arial Narrow" w:hAnsi="Arial Narrow"/>
                <w:color w:val="auto"/>
                <w:sz w:val="20"/>
                <w:szCs w:val="20"/>
                <w:vertAlign w:val="superscript"/>
              </w:rPr>
              <w:t>1</w:t>
            </w:r>
          </w:p>
        </w:tc>
        <w:tc>
          <w:tcPr>
            <w:tcW w:w="618" w:type="pct"/>
            <w:shd w:val="clear" w:color="auto" w:fill="auto"/>
          </w:tcPr>
          <w:p w14:paraId="2421A44B" w14:textId="3A4225B5"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3B10B6">
              <w:rPr>
                <w:rFonts w:ascii="Arial Narrow" w:hAnsi="Arial Narrow"/>
                <w:b/>
                <w:bCs/>
                <w:color w:val="auto"/>
                <w:sz w:val="20"/>
                <w:szCs w:val="20"/>
              </w:rPr>
              <w:t>Redacted</w:t>
            </w:r>
            <w:r w:rsidRPr="003B10B6">
              <w:rPr>
                <w:rFonts w:ascii="Arial Narrow" w:hAnsi="Arial Narrow"/>
                <w:color w:val="auto"/>
                <w:sz w:val="20"/>
                <w:szCs w:val="20"/>
                <w:vertAlign w:val="superscript"/>
              </w:rPr>
              <w:t>1</w:t>
            </w:r>
          </w:p>
        </w:tc>
        <w:tc>
          <w:tcPr>
            <w:tcW w:w="618" w:type="pct"/>
            <w:shd w:val="clear" w:color="auto" w:fill="auto"/>
          </w:tcPr>
          <w:p w14:paraId="39A88AF1" w14:textId="683D201F"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3B10B6">
              <w:rPr>
                <w:rFonts w:ascii="Arial Narrow" w:hAnsi="Arial Narrow"/>
                <w:b/>
                <w:bCs/>
                <w:color w:val="auto"/>
                <w:sz w:val="20"/>
                <w:szCs w:val="20"/>
              </w:rPr>
              <w:t>Redacted</w:t>
            </w:r>
            <w:r w:rsidRPr="003B10B6">
              <w:rPr>
                <w:rFonts w:ascii="Arial Narrow" w:hAnsi="Arial Narrow"/>
                <w:color w:val="auto"/>
                <w:sz w:val="20"/>
                <w:szCs w:val="20"/>
                <w:vertAlign w:val="superscript"/>
              </w:rPr>
              <w:t>1</w:t>
            </w:r>
          </w:p>
        </w:tc>
        <w:tc>
          <w:tcPr>
            <w:tcW w:w="618" w:type="pct"/>
            <w:shd w:val="clear" w:color="auto" w:fill="auto"/>
          </w:tcPr>
          <w:p w14:paraId="11E71426" w14:textId="7BED26C6"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3B10B6">
              <w:rPr>
                <w:rFonts w:ascii="Arial Narrow" w:hAnsi="Arial Narrow"/>
                <w:b/>
                <w:bCs/>
                <w:color w:val="auto"/>
                <w:sz w:val="20"/>
                <w:szCs w:val="20"/>
              </w:rPr>
              <w:t>Redacted</w:t>
            </w:r>
            <w:r w:rsidRPr="003B10B6">
              <w:rPr>
                <w:rFonts w:ascii="Arial Narrow" w:hAnsi="Arial Narrow"/>
                <w:color w:val="auto"/>
                <w:sz w:val="20"/>
                <w:szCs w:val="20"/>
                <w:vertAlign w:val="superscript"/>
              </w:rPr>
              <w:t>1</w:t>
            </w:r>
          </w:p>
        </w:tc>
        <w:tc>
          <w:tcPr>
            <w:tcW w:w="625" w:type="pct"/>
          </w:tcPr>
          <w:p w14:paraId="68FCAC0D" w14:textId="564D74CE"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3B10B6">
              <w:rPr>
                <w:rFonts w:ascii="Arial Narrow" w:hAnsi="Arial Narrow"/>
                <w:b/>
                <w:bCs/>
                <w:color w:val="auto"/>
                <w:sz w:val="20"/>
                <w:szCs w:val="20"/>
              </w:rPr>
              <w:t>Redacted</w:t>
            </w:r>
            <w:r w:rsidRPr="003B10B6">
              <w:rPr>
                <w:rFonts w:ascii="Arial Narrow" w:hAnsi="Arial Narrow"/>
                <w:color w:val="auto"/>
                <w:sz w:val="20"/>
                <w:szCs w:val="20"/>
                <w:vertAlign w:val="superscript"/>
              </w:rPr>
              <w:t>1</w:t>
            </w:r>
          </w:p>
        </w:tc>
      </w:tr>
      <w:tr w:rsidR="009E498A" w:rsidRPr="00404C00" w14:paraId="1957D6C1" w14:textId="77777777" w:rsidTr="009E498A">
        <w:tc>
          <w:tcPr>
            <w:tcW w:w="1285" w:type="pct"/>
            <w:shd w:val="clear" w:color="auto" w:fill="auto"/>
            <w:vAlign w:val="center"/>
          </w:tcPr>
          <w:p w14:paraId="7214EC5B" w14:textId="77777777" w:rsidR="009E498A" w:rsidRPr="00404C00" w:rsidRDefault="009E498A" w:rsidP="009E498A">
            <w:pPr>
              <w:keepNext/>
              <w:keepLines/>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Number of patients likely to receive a positive test result (5% positivity rate)</w:t>
            </w:r>
          </w:p>
        </w:tc>
        <w:tc>
          <w:tcPr>
            <w:tcW w:w="618" w:type="pct"/>
            <w:shd w:val="clear" w:color="auto" w:fill="auto"/>
            <w:vAlign w:val="center"/>
          </w:tcPr>
          <w:p w14:paraId="27BC6183" w14:textId="7D06FC6A"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Pr>
                <w:rFonts w:ascii="Arial Narrow" w:hAnsi="Arial Narrow"/>
                <w:b/>
                <w:bCs/>
                <w:color w:val="auto"/>
                <w:sz w:val="20"/>
                <w:szCs w:val="20"/>
              </w:rPr>
              <w:t>Redacted</w:t>
            </w:r>
            <w:r w:rsidRPr="009E498A">
              <w:rPr>
                <w:rFonts w:ascii="Arial Narrow" w:hAnsi="Arial Narrow"/>
                <w:color w:val="auto"/>
                <w:sz w:val="20"/>
                <w:szCs w:val="20"/>
                <w:vertAlign w:val="superscript"/>
              </w:rPr>
              <w:t>2</w:t>
            </w:r>
          </w:p>
        </w:tc>
        <w:tc>
          <w:tcPr>
            <w:tcW w:w="618" w:type="pct"/>
            <w:shd w:val="clear" w:color="auto" w:fill="auto"/>
            <w:vAlign w:val="center"/>
          </w:tcPr>
          <w:p w14:paraId="00F59B36" w14:textId="19497778"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AC278E">
              <w:rPr>
                <w:rFonts w:ascii="Arial Narrow" w:hAnsi="Arial Narrow"/>
                <w:b/>
                <w:bCs/>
                <w:color w:val="auto"/>
                <w:sz w:val="20"/>
                <w:szCs w:val="20"/>
              </w:rPr>
              <w:t>Redacted</w:t>
            </w:r>
            <w:r w:rsidRPr="00AC278E">
              <w:rPr>
                <w:rFonts w:ascii="Arial Narrow" w:hAnsi="Arial Narrow"/>
                <w:color w:val="auto"/>
                <w:sz w:val="20"/>
                <w:szCs w:val="20"/>
                <w:vertAlign w:val="superscript"/>
              </w:rPr>
              <w:t>2</w:t>
            </w:r>
          </w:p>
        </w:tc>
        <w:tc>
          <w:tcPr>
            <w:tcW w:w="618" w:type="pct"/>
            <w:shd w:val="clear" w:color="auto" w:fill="auto"/>
            <w:vAlign w:val="center"/>
          </w:tcPr>
          <w:p w14:paraId="69501811" w14:textId="3279045F"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AC278E">
              <w:rPr>
                <w:rFonts w:ascii="Arial Narrow" w:hAnsi="Arial Narrow"/>
                <w:b/>
                <w:bCs/>
                <w:color w:val="auto"/>
                <w:sz w:val="20"/>
                <w:szCs w:val="20"/>
              </w:rPr>
              <w:t>Redacted</w:t>
            </w:r>
            <w:r w:rsidRPr="00AC278E">
              <w:rPr>
                <w:rFonts w:ascii="Arial Narrow" w:hAnsi="Arial Narrow"/>
                <w:color w:val="auto"/>
                <w:sz w:val="20"/>
                <w:szCs w:val="20"/>
                <w:vertAlign w:val="superscript"/>
              </w:rPr>
              <w:t>2</w:t>
            </w:r>
          </w:p>
        </w:tc>
        <w:tc>
          <w:tcPr>
            <w:tcW w:w="618" w:type="pct"/>
            <w:shd w:val="clear" w:color="auto" w:fill="auto"/>
            <w:vAlign w:val="center"/>
          </w:tcPr>
          <w:p w14:paraId="40B83FE2" w14:textId="67A978D1"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AC278E">
              <w:rPr>
                <w:rFonts w:ascii="Arial Narrow" w:hAnsi="Arial Narrow"/>
                <w:b/>
                <w:bCs/>
                <w:color w:val="auto"/>
                <w:sz w:val="20"/>
                <w:szCs w:val="20"/>
              </w:rPr>
              <w:t>Redacted</w:t>
            </w:r>
            <w:r w:rsidRPr="00AC278E">
              <w:rPr>
                <w:rFonts w:ascii="Arial Narrow" w:hAnsi="Arial Narrow"/>
                <w:color w:val="auto"/>
                <w:sz w:val="20"/>
                <w:szCs w:val="20"/>
                <w:vertAlign w:val="superscript"/>
              </w:rPr>
              <w:t>2</w:t>
            </w:r>
          </w:p>
        </w:tc>
        <w:tc>
          <w:tcPr>
            <w:tcW w:w="618" w:type="pct"/>
            <w:shd w:val="clear" w:color="auto" w:fill="auto"/>
            <w:vAlign w:val="center"/>
          </w:tcPr>
          <w:p w14:paraId="7777A221" w14:textId="6B8CCEA1"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AC278E">
              <w:rPr>
                <w:rFonts w:ascii="Arial Narrow" w:hAnsi="Arial Narrow"/>
                <w:b/>
                <w:bCs/>
                <w:color w:val="auto"/>
                <w:sz w:val="20"/>
                <w:szCs w:val="20"/>
              </w:rPr>
              <w:t>Redacted</w:t>
            </w:r>
            <w:r w:rsidRPr="00AC278E">
              <w:rPr>
                <w:rFonts w:ascii="Arial Narrow" w:hAnsi="Arial Narrow"/>
                <w:color w:val="auto"/>
                <w:sz w:val="20"/>
                <w:szCs w:val="20"/>
                <w:vertAlign w:val="superscript"/>
              </w:rPr>
              <w:t>2</w:t>
            </w:r>
          </w:p>
        </w:tc>
        <w:tc>
          <w:tcPr>
            <w:tcW w:w="625" w:type="pct"/>
            <w:vAlign w:val="center"/>
          </w:tcPr>
          <w:p w14:paraId="4393D4CF" w14:textId="13DFD520" w:rsidR="009E498A" w:rsidRPr="00404C00" w:rsidRDefault="009E498A" w:rsidP="009E498A">
            <w:pPr>
              <w:keepNext/>
              <w:keepLines/>
              <w:widowControl w:val="0"/>
              <w:tabs>
                <w:tab w:val="decimal" w:pos="396"/>
              </w:tabs>
              <w:spacing w:before="40" w:after="40" w:line="256" w:lineRule="auto"/>
              <w:jc w:val="center"/>
              <w:rPr>
                <w:rFonts w:ascii="Arial Narrow" w:hAnsi="Arial Narrow"/>
                <w:color w:val="auto"/>
                <w:sz w:val="20"/>
                <w:szCs w:val="20"/>
              </w:rPr>
            </w:pPr>
            <w:r w:rsidRPr="00AC278E">
              <w:rPr>
                <w:rFonts w:ascii="Arial Narrow" w:hAnsi="Arial Narrow"/>
                <w:b/>
                <w:bCs/>
                <w:color w:val="auto"/>
                <w:sz w:val="20"/>
                <w:szCs w:val="20"/>
              </w:rPr>
              <w:t>Redacted</w:t>
            </w:r>
            <w:r w:rsidRPr="00AC278E">
              <w:rPr>
                <w:rFonts w:ascii="Arial Narrow" w:hAnsi="Arial Narrow"/>
                <w:color w:val="auto"/>
                <w:sz w:val="20"/>
                <w:szCs w:val="20"/>
                <w:vertAlign w:val="superscript"/>
              </w:rPr>
              <w:t>2</w:t>
            </w:r>
          </w:p>
        </w:tc>
      </w:tr>
      <w:tr w:rsidR="00404C00" w:rsidRPr="00404C00" w14:paraId="0FCE5BA9" w14:textId="77777777" w:rsidTr="00404C00">
        <w:tc>
          <w:tcPr>
            <w:tcW w:w="5000" w:type="pct"/>
            <w:gridSpan w:val="7"/>
            <w:shd w:val="clear" w:color="auto" w:fill="auto"/>
            <w:vAlign w:val="center"/>
          </w:tcPr>
          <w:p w14:paraId="59D65D83" w14:textId="77777777" w:rsidR="00404C00" w:rsidRPr="00404C00" w:rsidRDefault="00404C00" w:rsidP="00AC3641">
            <w:pPr>
              <w:keepNext/>
              <w:keepLines/>
              <w:widowControl w:val="0"/>
              <w:spacing w:before="40" w:after="40" w:line="256" w:lineRule="auto"/>
              <w:jc w:val="left"/>
              <w:rPr>
                <w:rFonts w:ascii="Arial Narrow" w:hAnsi="Arial Narrow"/>
                <w:b/>
                <w:bCs/>
                <w:color w:val="000000"/>
                <w:sz w:val="20"/>
                <w:szCs w:val="20"/>
              </w:rPr>
            </w:pPr>
            <w:r w:rsidRPr="00404C00">
              <w:rPr>
                <w:rFonts w:ascii="Arial Narrow" w:hAnsi="Arial Narrow"/>
                <w:b/>
                <w:color w:val="auto"/>
                <w:sz w:val="20"/>
                <w:szCs w:val="20"/>
              </w:rPr>
              <w:t xml:space="preserve">Estimated financial implications of the </w:t>
            </w:r>
            <w:r w:rsidRPr="00404C00">
              <w:rPr>
                <w:rFonts w:ascii="Arial Narrow" w:hAnsi="Arial Narrow"/>
                <w:b/>
                <w:i/>
                <w:color w:val="auto"/>
                <w:sz w:val="20"/>
                <w:szCs w:val="20"/>
              </w:rPr>
              <w:t>MET</w:t>
            </w:r>
            <w:r w:rsidRPr="00404C00">
              <w:rPr>
                <w:rFonts w:ascii="Arial Narrow" w:hAnsi="Arial Narrow"/>
                <w:b/>
                <w:color w:val="auto"/>
                <w:sz w:val="20"/>
                <w:szCs w:val="20"/>
              </w:rPr>
              <w:t>ex14sk testing to the MBS</w:t>
            </w:r>
          </w:p>
        </w:tc>
      </w:tr>
      <w:tr w:rsidR="009E498A" w:rsidRPr="00404C00" w14:paraId="4DA325D6" w14:textId="77777777" w:rsidTr="00404C00">
        <w:tc>
          <w:tcPr>
            <w:tcW w:w="1285" w:type="pct"/>
            <w:shd w:val="clear" w:color="auto" w:fill="auto"/>
            <w:vAlign w:val="center"/>
          </w:tcPr>
          <w:p w14:paraId="7A9F198A" w14:textId="77777777" w:rsidR="009E498A" w:rsidRPr="00404C00" w:rsidRDefault="009E498A" w:rsidP="009E498A">
            <w:pPr>
              <w:keepNext/>
              <w:keepLines/>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 xml:space="preserve">Cost to the MBS less </w:t>
            </w:r>
            <w:proofErr w:type="spellStart"/>
            <w:r w:rsidRPr="00404C00">
              <w:rPr>
                <w:rFonts w:ascii="Arial Narrow" w:hAnsi="Arial Narrow"/>
                <w:color w:val="auto"/>
                <w:sz w:val="20"/>
                <w:szCs w:val="20"/>
              </w:rPr>
              <w:t>copayments</w:t>
            </w:r>
            <w:proofErr w:type="spellEnd"/>
            <w:r w:rsidRPr="00404C00">
              <w:rPr>
                <w:rFonts w:ascii="Arial Narrow" w:hAnsi="Arial Narrow"/>
                <w:color w:val="auto"/>
                <w:sz w:val="20"/>
                <w:szCs w:val="20"/>
              </w:rPr>
              <w:t xml:space="preserve"> (80% of the proposed MBS Schedule fee)</w:t>
            </w:r>
          </w:p>
        </w:tc>
        <w:tc>
          <w:tcPr>
            <w:tcW w:w="618" w:type="pct"/>
            <w:shd w:val="clear" w:color="auto" w:fill="auto"/>
            <w:vAlign w:val="center"/>
          </w:tcPr>
          <w:p w14:paraId="44A3B759" w14:textId="3B4D7AA4" w:rsidR="009E498A" w:rsidRPr="009E498A" w:rsidRDefault="009E498A" w:rsidP="009E498A">
            <w:pPr>
              <w:keepNext/>
              <w:keepLines/>
              <w:widowControl w:val="0"/>
              <w:spacing w:before="40" w:after="40" w:line="256" w:lineRule="auto"/>
              <w:jc w:val="center"/>
              <w:rPr>
                <w:rFonts w:ascii="Arial Narrow" w:hAnsi="Arial Narrow"/>
                <w:color w:val="auto"/>
                <w:sz w:val="20"/>
                <w:szCs w:val="20"/>
                <w:vertAlign w:val="superscript"/>
              </w:rPr>
            </w:pPr>
            <w:r>
              <w:rPr>
                <w:rFonts w:ascii="Arial Narrow" w:hAnsi="Arial Narrow"/>
                <w:color w:val="auto"/>
                <w:sz w:val="20"/>
                <w:szCs w:val="20"/>
              </w:rPr>
              <w:t>$</w:t>
            </w:r>
            <w:r>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shd w:val="clear" w:color="auto" w:fill="auto"/>
            <w:vAlign w:val="center"/>
          </w:tcPr>
          <w:p w14:paraId="57BDA0AE" w14:textId="4C26BBEF"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Pr>
                <w:rFonts w:ascii="Arial Narrow" w:hAnsi="Arial Narrow"/>
                <w:color w:val="auto"/>
                <w:sz w:val="20"/>
                <w:szCs w:val="20"/>
              </w:rPr>
              <w:t>$</w:t>
            </w:r>
            <w:r>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shd w:val="clear" w:color="auto" w:fill="auto"/>
            <w:vAlign w:val="center"/>
          </w:tcPr>
          <w:p w14:paraId="20CA1AC4" w14:textId="1DDDF10B"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Pr>
                <w:rFonts w:ascii="Arial Narrow" w:hAnsi="Arial Narrow"/>
                <w:color w:val="auto"/>
                <w:sz w:val="20"/>
                <w:szCs w:val="20"/>
              </w:rPr>
              <w:t>$</w:t>
            </w:r>
            <w:r>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shd w:val="clear" w:color="auto" w:fill="auto"/>
            <w:vAlign w:val="center"/>
          </w:tcPr>
          <w:p w14:paraId="047185BB" w14:textId="2EE8540D"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Pr>
                <w:rFonts w:ascii="Arial Narrow" w:hAnsi="Arial Narrow"/>
                <w:color w:val="auto"/>
                <w:sz w:val="20"/>
                <w:szCs w:val="20"/>
              </w:rPr>
              <w:t>$</w:t>
            </w:r>
            <w:r>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shd w:val="clear" w:color="auto" w:fill="auto"/>
            <w:vAlign w:val="center"/>
          </w:tcPr>
          <w:p w14:paraId="12241713" w14:textId="268C2941"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Pr>
                <w:rFonts w:ascii="Arial Narrow" w:hAnsi="Arial Narrow"/>
                <w:color w:val="auto"/>
                <w:sz w:val="20"/>
                <w:szCs w:val="20"/>
              </w:rPr>
              <w:t>$</w:t>
            </w:r>
            <w:r>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25" w:type="pct"/>
            <w:vAlign w:val="center"/>
          </w:tcPr>
          <w:p w14:paraId="0D95F9F7" w14:textId="2205A034"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Pr>
                <w:rFonts w:ascii="Arial Narrow" w:hAnsi="Arial Narrow"/>
                <w:color w:val="auto"/>
                <w:sz w:val="20"/>
                <w:szCs w:val="20"/>
              </w:rPr>
              <w:t>$</w:t>
            </w:r>
            <w:r>
              <w:rPr>
                <w:rFonts w:ascii="Arial Narrow" w:hAnsi="Arial Narrow"/>
                <w:b/>
                <w:bCs/>
                <w:color w:val="auto"/>
                <w:sz w:val="20"/>
                <w:szCs w:val="20"/>
              </w:rPr>
              <w:t>Redacted</w:t>
            </w:r>
            <w:r>
              <w:rPr>
                <w:rFonts w:ascii="Arial Narrow" w:hAnsi="Arial Narrow"/>
                <w:color w:val="auto"/>
                <w:sz w:val="20"/>
                <w:szCs w:val="20"/>
                <w:vertAlign w:val="superscript"/>
              </w:rPr>
              <w:t>3</w:t>
            </w:r>
          </w:p>
        </w:tc>
      </w:tr>
      <w:tr w:rsidR="00404C00" w:rsidRPr="00404C00" w14:paraId="29BF3AC8" w14:textId="77777777" w:rsidTr="00404C00">
        <w:tc>
          <w:tcPr>
            <w:tcW w:w="5000" w:type="pct"/>
            <w:gridSpan w:val="7"/>
            <w:tcBorders>
              <w:bottom w:val="single" w:sz="4" w:space="0" w:color="auto"/>
            </w:tcBorders>
            <w:shd w:val="clear" w:color="auto" w:fill="auto"/>
            <w:vAlign w:val="center"/>
          </w:tcPr>
          <w:p w14:paraId="06EF69EC" w14:textId="77777777" w:rsidR="00404C00" w:rsidRPr="00404C00" w:rsidRDefault="00404C00" w:rsidP="00AC3641">
            <w:pPr>
              <w:keepNext/>
              <w:keepLines/>
              <w:widowControl w:val="0"/>
              <w:spacing w:before="40" w:after="40" w:line="256" w:lineRule="auto"/>
              <w:jc w:val="left"/>
              <w:rPr>
                <w:rFonts w:ascii="Arial Narrow" w:hAnsi="Arial Narrow"/>
                <w:b/>
                <w:color w:val="auto"/>
                <w:sz w:val="20"/>
                <w:szCs w:val="20"/>
              </w:rPr>
            </w:pPr>
            <w:r w:rsidRPr="00404C00">
              <w:rPr>
                <w:rFonts w:ascii="Arial Narrow" w:hAnsi="Arial Narrow"/>
                <w:b/>
                <w:color w:val="auto"/>
                <w:sz w:val="20"/>
                <w:szCs w:val="20"/>
              </w:rPr>
              <w:t>Estimated changes in financial implications for chemotherapy administration to the MBS</w:t>
            </w:r>
          </w:p>
        </w:tc>
      </w:tr>
      <w:tr w:rsidR="009E498A" w:rsidRPr="00404C00" w14:paraId="35F22E0E" w14:textId="77777777" w:rsidTr="00404C00">
        <w:tc>
          <w:tcPr>
            <w:tcW w:w="1285" w:type="pct"/>
            <w:tcBorders>
              <w:bottom w:val="nil"/>
            </w:tcBorders>
            <w:shd w:val="clear" w:color="auto" w:fill="auto"/>
            <w:vAlign w:val="center"/>
          </w:tcPr>
          <w:p w14:paraId="283EDF67" w14:textId="77777777" w:rsidR="009E498A" w:rsidRPr="00404C00" w:rsidRDefault="009E498A" w:rsidP="009E498A">
            <w:pPr>
              <w:keepNext/>
              <w:keepLines/>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 xml:space="preserve">Cost to PBS/RPBS less </w:t>
            </w:r>
            <w:proofErr w:type="spellStart"/>
            <w:r w:rsidRPr="00404C00">
              <w:rPr>
                <w:rFonts w:ascii="Arial Narrow" w:hAnsi="Arial Narrow"/>
                <w:color w:val="auto"/>
                <w:sz w:val="20"/>
                <w:szCs w:val="20"/>
              </w:rPr>
              <w:t>copayments</w:t>
            </w:r>
            <w:proofErr w:type="spellEnd"/>
            <w:r w:rsidRPr="00404C00">
              <w:rPr>
                <w:rFonts w:ascii="Arial Narrow" w:hAnsi="Arial Narrow"/>
                <w:color w:val="auto"/>
                <w:sz w:val="20"/>
                <w:szCs w:val="20"/>
              </w:rPr>
              <w:t xml:space="preserve"> (80% of the MBS Schedule fee for item 13950)</w:t>
            </w:r>
          </w:p>
        </w:tc>
        <w:tc>
          <w:tcPr>
            <w:tcW w:w="618" w:type="pct"/>
            <w:tcBorders>
              <w:bottom w:val="nil"/>
            </w:tcBorders>
            <w:shd w:val="clear" w:color="auto" w:fill="auto"/>
          </w:tcPr>
          <w:p w14:paraId="0F0D369B" w14:textId="3B945942" w:rsidR="009E498A" w:rsidRPr="009E498A" w:rsidRDefault="009E498A" w:rsidP="009E498A">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08F49707" w14:textId="062493AE"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2A529C4B" w14:textId="3A162827"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3E42BE4A" w14:textId="05E393E5"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218AFCF1" w14:textId="45675809"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25" w:type="pct"/>
            <w:tcBorders>
              <w:bottom w:val="nil"/>
            </w:tcBorders>
          </w:tcPr>
          <w:p w14:paraId="6C167E24" w14:textId="7CED6295" w:rsidR="009E498A" w:rsidRPr="00404C00" w:rsidRDefault="009E498A" w:rsidP="009E498A">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r>
      <w:tr w:rsidR="009E498A" w:rsidRPr="00404C00" w14:paraId="7951F339" w14:textId="77777777" w:rsidTr="00404C00">
        <w:tc>
          <w:tcPr>
            <w:tcW w:w="1285" w:type="pct"/>
            <w:tcBorders>
              <w:top w:val="nil"/>
            </w:tcBorders>
            <w:shd w:val="clear" w:color="auto" w:fill="auto"/>
            <w:vAlign w:val="center"/>
          </w:tcPr>
          <w:p w14:paraId="26DD960B" w14:textId="783A674B" w:rsidR="009E498A" w:rsidRPr="00404C00" w:rsidRDefault="009E498A" w:rsidP="009E498A">
            <w:pPr>
              <w:keepNext/>
              <w:keepLines/>
              <w:widowControl w:val="0"/>
              <w:spacing w:before="40" w:after="40" w:line="256" w:lineRule="auto"/>
              <w:jc w:val="left"/>
              <w:rPr>
                <w:rFonts w:ascii="Arial Narrow" w:hAnsi="Arial Narrow"/>
                <w:i/>
                <w:color w:val="auto"/>
                <w:sz w:val="20"/>
                <w:szCs w:val="20"/>
                <w:vertAlign w:val="superscript"/>
              </w:rPr>
            </w:pPr>
            <w:r w:rsidRPr="00404C00">
              <w:rPr>
                <w:rFonts w:ascii="Arial Narrow" w:hAnsi="Arial Narrow"/>
                <w:iCs/>
                <w:color w:val="auto"/>
                <w:sz w:val="20"/>
                <w:szCs w:val="20"/>
              </w:rPr>
              <w:t xml:space="preserve"> </w:t>
            </w:r>
            <w:r>
              <w:rPr>
                <w:rFonts w:ascii="Arial Narrow" w:hAnsi="Arial Narrow"/>
                <w:iCs/>
                <w:color w:val="auto"/>
                <w:sz w:val="20"/>
                <w:szCs w:val="20"/>
              </w:rPr>
              <w:t xml:space="preserve"> </w:t>
            </w:r>
            <w:r w:rsidRPr="00404C00">
              <w:rPr>
                <w:rFonts w:ascii="Arial Narrow" w:hAnsi="Arial Narrow"/>
                <w:i/>
                <w:color w:val="auto"/>
                <w:sz w:val="20"/>
                <w:szCs w:val="20"/>
              </w:rPr>
              <w:t xml:space="preserve">Revised </w:t>
            </w:r>
            <w:r w:rsidRPr="00404C00">
              <w:rPr>
                <w:rFonts w:ascii="Arial Narrow" w:hAnsi="Arial Narrow"/>
                <w:i/>
                <w:color w:val="auto"/>
                <w:sz w:val="20"/>
                <w:szCs w:val="20"/>
                <w:vertAlign w:val="superscript"/>
              </w:rPr>
              <w:t>a</w:t>
            </w:r>
          </w:p>
        </w:tc>
        <w:tc>
          <w:tcPr>
            <w:tcW w:w="618" w:type="pct"/>
            <w:tcBorders>
              <w:top w:val="nil"/>
            </w:tcBorders>
            <w:shd w:val="clear" w:color="auto" w:fill="auto"/>
          </w:tcPr>
          <w:p w14:paraId="1DD1FE5D" w14:textId="29D593A1" w:rsidR="009E498A" w:rsidRPr="009E498A" w:rsidRDefault="009E498A" w:rsidP="009E498A">
            <w:pPr>
              <w:keepNext/>
              <w:keepLines/>
              <w:widowControl w:val="0"/>
              <w:spacing w:before="40" w:after="40" w:line="256" w:lineRule="auto"/>
              <w:jc w:val="center"/>
              <w:rPr>
                <w:rFonts w:ascii="Arial Narrow" w:hAnsi="Arial Narrow"/>
                <w:i/>
                <w:iCs/>
                <w:color w:val="auto"/>
                <w:sz w:val="20"/>
                <w:szCs w:val="20"/>
              </w:rPr>
            </w:pPr>
            <w:r>
              <w:rPr>
                <w:rFonts w:ascii="Arial Narrow" w:hAnsi="Arial Narrow"/>
                <w:i/>
                <w:iCs/>
                <w:color w:val="auto"/>
                <w:sz w:val="20"/>
                <w:szCs w:val="20"/>
              </w:rPr>
              <w:t>-</w:t>
            </w:r>
            <w:r w:rsidRPr="009E498A">
              <w:rPr>
                <w:rFonts w:ascii="Arial Narrow" w:hAnsi="Arial Narrow"/>
                <w:i/>
                <w:iCs/>
                <w:color w:val="auto"/>
                <w:sz w:val="20"/>
                <w:szCs w:val="20"/>
              </w:rPr>
              <w:t>$</w:t>
            </w:r>
            <w:r w:rsidRPr="009E498A">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1C17EB83" w14:textId="25BC5DA2" w:rsidR="009E498A" w:rsidRPr="00404C00" w:rsidRDefault="009E498A" w:rsidP="009E498A">
            <w:pPr>
              <w:keepNext/>
              <w:keepLines/>
              <w:widowControl w:val="0"/>
              <w:spacing w:before="40" w:after="40" w:line="256" w:lineRule="auto"/>
              <w:jc w:val="center"/>
              <w:rPr>
                <w:rFonts w:ascii="Arial Narrow" w:hAnsi="Arial Narrow"/>
                <w:i/>
                <w:color w:val="auto"/>
                <w:sz w:val="20"/>
                <w:szCs w:val="20"/>
              </w:rPr>
            </w:pPr>
            <w:r w:rsidRPr="00B11E73">
              <w:rPr>
                <w:rFonts w:ascii="Arial Narrow" w:hAnsi="Arial Narrow"/>
                <w:i/>
                <w:iCs/>
                <w:color w:val="auto"/>
                <w:sz w:val="20"/>
                <w:szCs w:val="20"/>
              </w:rPr>
              <w:t>-$</w:t>
            </w:r>
            <w:r w:rsidRPr="00B11E73">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5CB2BD21" w14:textId="0ADE976C" w:rsidR="009E498A" w:rsidRPr="00404C00" w:rsidRDefault="009E498A" w:rsidP="009E498A">
            <w:pPr>
              <w:keepNext/>
              <w:keepLines/>
              <w:widowControl w:val="0"/>
              <w:spacing w:before="40" w:after="40" w:line="256" w:lineRule="auto"/>
              <w:jc w:val="center"/>
              <w:rPr>
                <w:rFonts w:ascii="Arial Narrow" w:hAnsi="Arial Narrow"/>
                <w:i/>
                <w:color w:val="auto"/>
                <w:sz w:val="20"/>
                <w:szCs w:val="20"/>
              </w:rPr>
            </w:pPr>
            <w:r w:rsidRPr="00B11E73">
              <w:rPr>
                <w:rFonts w:ascii="Arial Narrow" w:hAnsi="Arial Narrow"/>
                <w:i/>
                <w:iCs/>
                <w:color w:val="auto"/>
                <w:sz w:val="20"/>
                <w:szCs w:val="20"/>
              </w:rPr>
              <w:t>-$</w:t>
            </w:r>
            <w:r w:rsidRPr="00B11E73">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500E9233" w14:textId="478B489B" w:rsidR="009E498A" w:rsidRPr="00404C00" w:rsidRDefault="009E498A" w:rsidP="009E498A">
            <w:pPr>
              <w:keepNext/>
              <w:keepLines/>
              <w:widowControl w:val="0"/>
              <w:spacing w:before="40" w:after="40" w:line="256" w:lineRule="auto"/>
              <w:jc w:val="center"/>
              <w:rPr>
                <w:rFonts w:ascii="Arial Narrow" w:hAnsi="Arial Narrow"/>
                <w:i/>
                <w:color w:val="auto"/>
                <w:sz w:val="20"/>
                <w:szCs w:val="20"/>
              </w:rPr>
            </w:pPr>
            <w:r w:rsidRPr="00B11E73">
              <w:rPr>
                <w:rFonts w:ascii="Arial Narrow" w:hAnsi="Arial Narrow"/>
                <w:i/>
                <w:iCs/>
                <w:color w:val="auto"/>
                <w:sz w:val="20"/>
                <w:szCs w:val="20"/>
              </w:rPr>
              <w:t>-$</w:t>
            </w:r>
            <w:r w:rsidRPr="00B11E73">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5A0B87FE" w14:textId="0A16B613" w:rsidR="009E498A" w:rsidRPr="00404C00" w:rsidRDefault="009E498A" w:rsidP="009E498A">
            <w:pPr>
              <w:keepNext/>
              <w:keepLines/>
              <w:widowControl w:val="0"/>
              <w:spacing w:before="40" w:after="40" w:line="256" w:lineRule="auto"/>
              <w:jc w:val="center"/>
              <w:rPr>
                <w:rFonts w:ascii="Arial Narrow" w:hAnsi="Arial Narrow"/>
                <w:i/>
                <w:color w:val="auto"/>
                <w:sz w:val="20"/>
                <w:szCs w:val="20"/>
              </w:rPr>
            </w:pPr>
            <w:r w:rsidRPr="00B11E73">
              <w:rPr>
                <w:rFonts w:ascii="Arial Narrow" w:hAnsi="Arial Narrow"/>
                <w:i/>
                <w:iCs/>
                <w:color w:val="auto"/>
                <w:sz w:val="20"/>
                <w:szCs w:val="20"/>
              </w:rPr>
              <w:t>-$</w:t>
            </w:r>
            <w:r w:rsidRPr="00B11E73">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25" w:type="pct"/>
            <w:tcBorders>
              <w:top w:val="nil"/>
            </w:tcBorders>
          </w:tcPr>
          <w:p w14:paraId="076CF078" w14:textId="3B6B1E00" w:rsidR="009E498A" w:rsidRPr="00404C00" w:rsidRDefault="009E498A" w:rsidP="009E498A">
            <w:pPr>
              <w:keepNext/>
              <w:keepLines/>
              <w:widowControl w:val="0"/>
              <w:spacing w:before="40" w:after="40" w:line="256" w:lineRule="auto"/>
              <w:jc w:val="center"/>
              <w:rPr>
                <w:rFonts w:ascii="Arial Narrow" w:hAnsi="Arial Narrow"/>
                <w:i/>
                <w:color w:val="auto"/>
                <w:sz w:val="20"/>
                <w:szCs w:val="20"/>
              </w:rPr>
            </w:pPr>
            <w:r w:rsidRPr="00B11E73">
              <w:rPr>
                <w:rFonts w:ascii="Arial Narrow" w:hAnsi="Arial Narrow"/>
                <w:i/>
                <w:iCs/>
                <w:color w:val="auto"/>
                <w:sz w:val="20"/>
                <w:szCs w:val="20"/>
              </w:rPr>
              <w:t>-$</w:t>
            </w:r>
            <w:r w:rsidRPr="00B11E73">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r>
      <w:tr w:rsidR="009E498A" w:rsidRPr="00404C00" w14:paraId="313840AC" w14:textId="77777777" w:rsidTr="00404C00">
        <w:tc>
          <w:tcPr>
            <w:tcW w:w="5000" w:type="pct"/>
            <w:gridSpan w:val="7"/>
            <w:tcBorders>
              <w:bottom w:val="single" w:sz="4" w:space="0" w:color="auto"/>
            </w:tcBorders>
            <w:shd w:val="clear" w:color="auto" w:fill="auto"/>
            <w:vAlign w:val="center"/>
          </w:tcPr>
          <w:p w14:paraId="57ECC46C" w14:textId="77777777" w:rsidR="009E498A" w:rsidRPr="00404C00" w:rsidRDefault="009E498A" w:rsidP="009E498A">
            <w:pPr>
              <w:keepNext/>
              <w:keepLines/>
              <w:widowControl w:val="0"/>
              <w:spacing w:before="40" w:after="40" w:line="256" w:lineRule="auto"/>
              <w:jc w:val="left"/>
              <w:rPr>
                <w:rFonts w:ascii="Arial Narrow" w:hAnsi="Arial Narrow"/>
                <w:b/>
                <w:color w:val="auto"/>
                <w:sz w:val="20"/>
                <w:szCs w:val="20"/>
              </w:rPr>
            </w:pPr>
            <w:r w:rsidRPr="00404C00">
              <w:rPr>
                <w:rFonts w:ascii="Arial Narrow" w:hAnsi="Arial Narrow"/>
                <w:b/>
                <w:color w:val="auto"/>
                <w:sz w:val="20"/>
                <w:szCs w:val="20"/>
              </w:rPr>
              <w:t>Net financial implications</w:t>
            </w:r>
          </w:p>
        </w:tc>
      </w:tr>
      <w:tr w:rsidR="00E326E1" w:rsidRPr="00404C00" w14:paraId="6FF74BAB" w14:textId="77777777" w:rsidTr="00404C00">
        <w:tc>
          <w:tcPr>
            <w:tcW w:w="1285" w:type="pct"/>
            <w:tcBorders>
              <w:bottom w:val="nil"/>
            </w:tcBorders>
            <w:shd w:val="clear" w:color="auto" w:fill="auto"/>
            <w:vAlign w:val="center"/>
          </w:tcPr>
          <w:p w14:paraId="5615CD5E" w14:textId="77777777" w:rsidR="00E326E1" w:rsidRPr="00404C00" w:rsidRDefault="00E326E1" w:rsidP="00E326E1">
            <w:pPr>
              <w:keepNext/>
              <w:keepLines/>
              <w:widowControl w:val="0"/>
              <w:spacing w:before="40" w:after="40" w:line="256" w:lineRule="auto"/>
              <w:jc w:val="left"/>
              <w:rPr>
                <w:rFonts w:ascii="Arial Narrow" w:hAnsi="Arial Narrow"/>
                <w:color w:val="auto"/>
                <w:sz w:val="20"/>
                <w:szCs w:val="20"/>
              </w:rPr>
            </w:pPr>
            <w:r w:rsidRPr="00404C00">
              <w:rPr>
                <w:rFonts w:ascii="Arial Narrow" w:hAnsi="Arial Narrow"/>
                <w:color w:val="auto"/>
                <w:sz w:val="20"/>
                <w:szCs w:val="20"/>
              </w:rPr>
              <w:t>Net cost to MBS</w:t>
            </w:r>
          </w:p>
        </w:tc>
        <w:tc>
          <w:tcPr>
            <w:tcW w:w="618" w:type="pct"/>
            <w:tcBorders>
              <w:bottom w:val="nil"/>
            </w:tcBorders>
            <w:shd w:val="clear" w:color="auto" w:fill="auto"/>
          </w:tcPr>
          <w:p w14:paraId="1D74628C" w14:textId="00674E69" w:rsidR="00E326E1" w:rsidRPr="00404C00" w:rsidRDefault="00E326E1" w:rsidP="00E326E1">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14F54EB5" w14:textId="1637C540" w:rsidR="00E326E1" w:rsidRPr="00404C00" w:rsidRDefault="00E326E1" w:rsidP="00E326E1">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21D931EC" w14:textId="7496D714" w:rsidR="00E326E1" w:rsidRPr="00404C00" w:rsidRDefault="00E326E1" w:rsidP="00E326E1">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245CFF1B" w14:textId="59C616A0" w:rsidR="00E326E1" w:rsidRPr="00404C00" w:rsidRDefault="00E326E1" w:rsidP="00E326E1">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18" w:type="pct"/>
            <w:tcBorders>
              <w:bottom w:val="nil"/>
            </w:tcBorders>
            <w:shd w:val="clear" w:color="auto" w:fill="auto"/>
          </w:tcPr>
          <w:p w14:paraId="1EB37684" w14:textId="1F5EEDFD" w:rsidR="00E326E1" w:rsidRPr="00404C00" w:rsidRDefault="00E326E1" w:rsidP="00E326E1">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c>
          <w:tcPr>
            <w:tcW w:w="625" w:type="pct"/>
            <w:tcBorders>
              <w:bottom w:val="nil"/>
            </w:tcBorders>
          </w:tcPr>
          <w:p w14:paraId="65D67945" w14:textId="17DCD20A" w:rsidR="00E326E1" w:rsidRPr="00404C00" w:rsidRDefault="00E326E1" w:rsidP="00E326E1">
            <w:pPr>
              <w:keepNext/>
              <w:keepLines/>
              <w:widowControl w:val="0"/>
              <w:spacing w:before="40" w:after="40" w:line="256" w:lineRule="auto"/>
              <w:jc w:val="center"/>
              <w:rPr>
                <w:rFonts w:ascii="Arial Narrow" w:hAnsi="Arial Narrow"/>
                <w:color w:val="auto"/>
                <w:sz w:val="20"/>
                <w:szCs w:val="20"/>
              </w:rPr>
            </w:pPr>
            <w:r w:rsidRPr="009E498A">
              <w:rPr>
                <w:rFonts w:ascii="Arial Narrow" w:hAnsi="Arial Narrow"/>
                <w:color w:val="auto"/>
                <w:sz w:val="20"/>
                <w:szCs w:val="20"/>
              </w:rPr>
              <w:t>$</w:t>
            </w:r>
            <w:r w:rsidRPr="009E498A">
              <w:rPr>
                <w:rFonts w:ascii="Arial Narrow" w:hAnsi="Arial Narrow"/>
                <w:b/>
                <w:bCs/>
                <w:color w:val="auto"/>
                <w:sz w:val="20"/>
                <w:szCs w:val="20"/>
              </w:rPr>
              <w:t>Redacted</w:t>
            </w:r>
            <w:r>
              <w:rPr>
                <w:rFonts w:ascii="Arial Narrow" w:hAnsi="Arial Narrow"/>
                <w:color w:val="auto"/>
                <w:sz w:val="20"/>
                <w:szCs w:val="20"/>
                <w:vertAlign w:val="superscript"/>
              </w:rPr>
              <w:t>3</w:t>
            </w:r>
          </w:p>
        </w:tc>
      </w:tr>
      <w:tr w:rsidR="00E326E1" w:rsidRPr="00404C00" w14:paraId="5B9188A6" w14:textId="77777777" w:rsidTr="00404C00">
        <w:tc>
          <w:tcPr>
            <w:tcW w:w="1285" w:type="pct"/>
            <w:tcBorders>
              <w:top w:val="nil"/>
            </w:tcBorders>
            <w:shd w:val="clear" w:color="auto" w:fill="auto"/>
            <w:vAlign w:val="center"/>
          </w:tcPr>
          <w:p w14:paraId="7D1EC5C5" w14:textId="7D81EFC9" w:rsidR="00E326E1" w:rsidRPr="00404C00" w:rsidRDefault="00E326E1" w:rsidP="00E326E1">
            <w:pPr>
              <w:keepNext/>
              <w:keepLines/>
              <w:widowControl w:val="0"/>
              <w:spacing w:before="40" w:after="40" w:line="256" w:lineRule="auto"/>
              <w:jc w:val="left"/>
              <w:rPr>
                <w:rFonts w:ascii="Arial Narrow" w:hAnsi="Arial Narrow"/>
                <w:i/>
                <w:color w:val="auto"/>
                <w:sz w:val="20"/>
                <w:szCs w:val="20"/>
                <w:vertAlign w:val="superscript"/>
              </w:rPr>
            </w:pPr>
            <w:r w:rsidRPr="00404C00">
              <w:rPr>
                <w:rFonts w:ascii="Arial Narrow" w:hAnsi="Arial Narrow"/>
                <w:iCs/>
                <w:color w:val="auto"/>
                <w:sz w:val="20"/>
                <w:szCs w:val="20"/>
              </w:rPr>
              <w:t xml:space="preserve">  </w:t>
            </w:r>
            <w:r w:rsidRPr="00404C00">
              <w:rPr>
                <w:rFonts w:ascii="Arial Narrow" w:hAnsi="Arial Narrow"/>
                <w:i/>
                <w:color w:val="auto"/>
                <w:sz w:val="20"/>
                <w:szCs w:val="20"/>
              </w:rPr>
              <w:t>Revised</w:t>
            </w:r>
            <w:r w:rsidRPr="00404C00">
              <w:rPr>
                <w:rFonts w:ascii="Arial Narrow" w:hAnsi="Arial Narrow"/>
                <w:i/>
                <w:color w:val="auto"/>
                <w:sz w:val="20"/>
                <w:szCs w:val="20"/>
                <w:vertAlign w:val="superscript"/>
              </w:rPr>
              <w:t xml:space="preserve"> a</w:t>
            </w:r>
          </w:p>
        </w:tc>
        <w:tc>
          <w:tcPr>
            <w:tcW w:w="618" w:type="pct"/>
            <w:tcBorders>
              <w:top w:val="nil"/>
            </w:tcBorders>
            <w:shd w:val="clear" w:color="auto" w:fill="auto"/>
          </w:tcPr>
          <w:p w14:paraId="20961114" w14:textId="0D7275EB" w:rsidR="00E326E1" w:rsidRPr="00404C00" w:rsidRDefault="00E326E1" w:rsidP="00E326E1">
            <w:pPr>
              <w:keepNext/>
              <w:keepLines/>
              <w:widowControl w:val="0"/>
              <w:spacing w:before="40" w:after="40" w:line="256" w:lineRule="auto"/>
              <w:jc w:val="center"/>
              <w:rPr>
                <w:rFonts w:ascii="Arial Narrow" w:hAnsi="Arial Narrow"/>
                <w:i/>
                <w:color w:val="auto"/>
                <w:sz w:val="20"/>
                <w:szCs w:val="20"/>
              </w:rPr>
            </w:pPr>
            <w:r w:rsidRPr="009E498A">
              <w:rPr>
                <w:rFonts w:ascii="Arial Narrow" w:hAnsi="Arial Narrow"/>
                <w:i/>
                <w:iCs/>
                <w:color w:val="auto"/>
                <w:sz w:val="20"/>
                <w:szCs w:val="20"/>
              </w:rPr>
              <w:t>$</w:t>
            </w:r>
            <w:r w:rsidRPr="009E498A">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3819DF25" w14:textId="7B227941" w:rsidR="00E326E1" w:rsidRPr="00404C00" w:rsidRDefault="00E326E1" w:rsidP="00E326E1">
            <w:pPr>
              <w:keepNext/>
              <w:keepLines/>
              <w:widowControl w:val="0"/>
              <w:spacing w:before="40" w:after="40" w:line="256" w:lineRule="auto"/>
              <w:jc w:val="center"/>
              <w:rPr>
                <w:rFonts w:ascii="Arial Narrow" w:hAnsi="Arial Narrow"/>
                <w:i/>
                <w:color w:val="auto"/>
                <w:sz w:val="20"/>
                <w:szCs w:val="20"/>
              </w:rPr>
            </w:pPr>
            <w:r w:rsidRPr="009E498A">
              <w:rPr>
                <w:rFonts w:ascii="Arial Narrow" w:hAnsi="Arial Narrow"/>
                <w:i/>
                <w:iCs/>
                <w:color w:val="auto"/>
                <w:sz w:val="20"/>
                <w:szCs w:val="20"/>
              </w:rPr>
              <w:t>$</w:t>
            </w:r>
            <w:r w:rsidRPr="009E498A">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53924EBB" w14:textId="7492BE5A" w:rsidR="00E326E1" w:rsidRPr="00404C00" w:rsidRDefault="00E326E1" w:rsidP="00E326E1">
            <w:pPr>
              <w:keepNext/>
              <w:keepLines/>
              <w:widowControl w:val="0"/>
              <w:spacing w:before="40" w:after="40" w:line="256" w:lineRule="auto"/>
              <w:jc w:val="center"/>
              <w:rPr>
                <w:rFonts w:ascii="Arial Narrow" w:hAnsi="Arial Narrow"/>
                <w:i/>
                <w:color w:val="auto"/>
                <w:sz w:val="20"/>
                <w:szCs w:val="20"/>
              </w:rPr>
            </w:pPr>
            <w:r w:rsidRPr="009E498A">
              <w:rPr>
                <w:rFonts w:ascii="Arial Narrow" w:hAnsi="Arial Narrow"/>
                <w:i/>
                <w:iCs/>
                <w:color w:val="auto"/>
                <w:sz w:val="20"/>
                <w:szCs w:val="20"/>
              </w:rPr>
              <w:t>$</w:t>
            </w:r>
            <w:r w:rsidRPr="009E498A">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2EE32FEE" w14:textId="3C9D79C2" w:rsidR="00E326E1" w:rsidRPr="00404C00" w:rsidRDefault="00E326E1" w:rsidP="00E326E1">
            <w:pPr>
              <w:keepNext/>
              <w:keepLines/>
              <w:widowControl w:val="0"/>
              <w:spacing w:before="40" w:after="40" w:line="256" w:lineRule="auto"/>
              <w:jc w:val="center"/>
              <w:rPr>
                <w:rFonts w:ascii="Arial Narrow" w:hAnsi="Arial Narrow"/>
                <w:i/>
                <w:color w:val="auto"/>
                <w:sz w:val="20"/>
                <w:szCs w:val="20"/>
              </w:rPr>
            </w:pPr>
            <w:r w:rsidRPr="009E498A">
              <w:rPr>
                <w:rFonts w:ascii="Arial Narrow" w:hAnsi="Arial Narrow"/>
                <w:i/>
                <w:iCs/>
                <w:color w:val="auto"/>
                <w:sz w:val="20"/>
                <w:szCs w:val="20"/>
              </w:rPr>
              <w:t>$</w:t>
            </w:r>
            <w:r w:rsidRPr="009E498A">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18" w:type="pct"/>
            <w:tcBorders>
              <w:top w:val="nil"/>
            </w:tcBorders>
            <w:shd w:val="clear" w:color="auto" w:fill="auto"/>
          </w:tcPr>
          <w:p w14:paraId="5CB288B0" w14:textId="0054D315" w:rsidR="00E326E1" w:rsidRPr="00404C00" w:rsidRDefault="00E326E1" w:rsidP="00E326E1">
            <w:pPr>
              <w:keepNext/>
              <w:keepLines/>
              <w:widowControl w:val="0"/>
              <w:spacing w:before="40" w:after="40" w:line="256" w:lineRule="auto"/>
              <w:jc w:val="center"/>
              <w:rPr>
                <w:rFonts w:ascii="Arial Narrow" w:hAnsi="Arial Narrow"/>
                <w:i/>
                <w:color w:val="auto"/>
                <w:sz w:val="20"/>
                <w:szCs w:val="20"/>
              </w:rPr>
            </w:pPr>
            <w:r w:rsidRPr="009E498A">
              <w:rPr>
                <w:rFonts w:ascii="Arial Narrow" w:hAnsi="Arial Narrow"/>
                <w:i/>
                <w:iCs/>
                <w:color w:val="auto"/>
                <w:sz w:val="20"/>
                <w:szCs w:val="20"/>
              </w:rPr>
              <w:t>$</w:t>
            </w:r>
            <w:r w:rsidRPr="009E498A">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c>
          <w:tcPr>
            <w:tcW w:w="625" w:type="pct"/>
            <w:tcBorders>
              <w:top w:val="nil"/>
            </w:tcBorders>
          </w:tcPr>
          <w:p w14:paraId="4832AFDD" w14:textId="51328AAB" w:rsidR="00E326E1" w:rsidRPr="00404C00" w:rsidRDefault="00E326E1" w:rsidP="00E326E1">
            <w:pPr>
              <w:keepNext/>
              <w:keepLines/>
              <w:widowControl w:val="0"/>
              <w:spacing w:before="40" w:after="40" w:line="256" w:lineRule="auto"/>
              <w:jc w:val="center"/>
              <w:rPr>
                <w:rFonts w:ascii="Arial Narrow" w:hAnsi="Arial Narrow"/>
                <w:i/>
                <w:color w:val="auto"/>
                <w:sz w:val="20"/>
                <w:szCs w:val="20"/>
              </w:rPr>
            </w:pPr>
            <w:r w:rsidRPr="009E498A">
              <w:rPr>
                <w:rFonts w:ascii="Arial Narrow" w:hAnsi="Arial Narrow"/>
                <w:i/>
                <w:iCs/>
                <w:color w:val="auto"/>
                <w:sz w:val="20"/>
                <w:szCs w:val="20"/>
              </w:rPr>
              <w:t>$</w:t>
            </w:r>
            <w:r w:rsidRPr="009E498A">
              <w:rPr>
                <w:rFonts w:ascii="Arial Narrow" w:hAnsi="Arial Narrow"/>
                <w:b/>
                <w:bCs/>
                <w:i/>
                <w:iCs/>
                <w:color w:val="auto"/>
                <w:sz w:val="20"/>
                <w:szCs w:val="20"/>
              </w:rPr>
              <w:t>Redacted</w:t>
            </w:r>
            <w:r>
              <w:rPr>
                <w:rFonts w:ascii="Arial Narrow" w:hAnsi="Arial Narrow"/>
                <w:i/>
                <w:iCs/>
                <w:color w:val="auto"/>
                <w:sz w:val="20"/>
                <w:szCs w:val="20"/>
                <w:vertAlign w:val="superscript"/>
              </w:rPr>
              <w:t>3</w:t>
            </w:r>
          </w:p>
        </w:tc>
      </w:tr>
    </w:tbl>
    <w:p w14:paraId="79344090" w14:textId="3905EDFC" w:rsidR="00404C00" w:rsidRPr="00404C00" w:rsidRDefault="00404C00" w:rsidP="009E498A">
      <w:pPr>
        <w:pStyle w:val="TableFooter"/>
      </w:pPr>
      <w:proofErr w:type="spellStart"/>
      <w:r w:rsidRPr="00404C00">
        <w:rPr>
          <w:vertAlign w:val="superscript"/>
        </w:rPr>
        <w:t>a</w:t>
      </w:r>
      <w:proofErr w:type="spellEnd"/>
      <w:r w:rsidRPr="00404C00">
        <w:rPr>
          <w:vertAlign w:val="superscript"/>
        </w:rPr>
        <w:t xml:space="preserve"> </w:t>
      </w:r>
      <w:r w:rsidRPr="00404C00">
        <w:t>The commentary revised the MBS cost of chemotherapy infusion by: 1) revising the number of patients eligible for tepotinib therapy; 2) correcting the calculation of pemetrexed administrations; and 3) including changes in administration of third-line nivolumab and docetaxel.</w:t>
      </w:r>
    </w:p>
    <w:p w14:paraId="0A032CD5" w14:textId="77777777" w:rsidR="009E498A" w:rsidRDefault="00404C00" w:rsidP="009E498A">
      <w:pPr>
        <w:pStyle w:val="TableFooter"/>
      </w:pPr>
      <w:r w:rsidRPr="00404C00">
        <w:t>Source: Commentary, Table MSAC.8</w:t>
      </w:r>
    </w:p>
    <w:p w14:paraId="34CE8CB3" w14:textId="60E9F259" w:rsidR="009E498A" w:rsidRPr="00AC6A7B" w:rsidRDefault="009E498A" w:rsidP="009E498A">
      <w:pPr>
        <w:pStyle w:val="TableFooter"/>
        <w:rPr>
          <w:rFonts w:ascii="Segoe UI" w:hAnsi="Segoe UI" w:cs="Segoe UI"/>
          <w:color w:val="auto"/>
          <w:szCs w:val="18"/>
        </w:rPr>
      </w:pPr>
      <w:r w:rsidRPr="00AC6A7B">
        <w:rPr>
          <w:rStyle w:val="normaltextrun"/>
          <w:rFonts w:cs="Segoe UI"/>
          <w:i/>
          <w:iCs/>
          <w:color w:val="auto"/>
          <w:szCs w:val="18"/>
        </w:rPr>
        <w:t>The redacted values correspond to the following ranges:</w:t>
      </w:r>
      <w:r w:rsidRPr="00AC6A7B">
        <w:rPr>
          <w:rStyle w:val="eop"/>
          <w:rFonts w:cs="Segoe UI"/>
          <w:color w:val="auto"/>
          <w:szCs w:val="18"/>
        </w:rPr>
        <w:t> </w:t>
      </w:r>
    </w:p>
    <w:p w14:paraId="5558573D" w14:textId="77777777" w:rsidR="00AC6A7B" w:rsidRDefault="009E498A" w:rsidP="009E498A">
      <w:pPr>
        <w:pStyle w:val="TableFooter"/>
        <w:rPr>
          <w:rStyle w:val="eop"/>
          <w:rFonts w:cs="Segoe UI"/>
          <w:color w:val="auto"/>
          <w:szCs w:val="18"/>
        </w:rPr>
      </w:pPr>
      <w:r w:rsidRPr="00AC6A7B">
        <w:rPr>
          <w:rStyle w:val="normaltextrun"/>
          <w:rFonts w:cs="Segoe UI"/>
          <w:i/>
          <w:iCs/>
          <w:color w:val="auto"/>
          <w:szCs w:val="18"/>
          <w:vertAlign w:val="superscript"/>
        </w:rPr>
        <w:t>1</w:t>
      </w:r>
      <w:r w:rsidRPr="00AC6A7B">
        <w:rPr>
          <w:rStyle w:val="normaltextrun"/>
          <w:rFonts w:cs="Segoe UI"/>
          <w:i/>
          <w:iCs/>
          <w:color w:val="auto"/>
          <w:sz w:val="22"/>
          <w:szCs w:val="22"/>
        </w:rPr>
        <w:t xml:space="preserve"> </w:t>
      </w:r>
      <w:r w:rsidRPr="00AC6A7B">
        <w:rPr>
          <w:rStyle w:val="normaltextrun"/>
          <w:rFonts w:cs="Segoe UI"/>
          <w:i/>
          <w:iCs/>
          <w:color w:val="auto"/>
          <w:szCs w:val="18"/>
        </w:rPr>
        <w:t>5,000 to &lt; 10,000</w:t>
      </w:r>
      <w:r w:rsidRPr="00AC6A7B">
        <w:rPr>
          <w:rStyle w:val="eop"/>
          <w:rFonts w:cs="Segoe UI"/>
          <w:color w:val="auto"/>
          <w:szCs w:val="18"/>
        </w:rPr>
        <w:t> </w:t>
      </w:r>
    </w:p>
    <w:p w14:paraId="5376DB26" w14:textId="544AD19D" w:rsidR="009E498A" w:rsidRPr="00AC6A7B" w:rsidRDefault="009E498A" w:rsidP="009E498A">
      <w:pPr>
        <w:pStyle w:val="TableFooter"/>
        <w:rPr>
          <w:rFonts w:ascii="Segoe UI" w:hAnsi="Segoe UI" w:cs="Segoe UI"/>
          <w:color w:val="auto"/>
          <w:szCs w:val="18"/>
        </w:rPr>
      </w:pPr>
      <w:r w:rsidRPr="00AC6A7B">
        <w:rPr>
          <w:rStyle w:val="normaltextrun"/>
          <w:rFonts w:cs="Segoe UI"/>
          <w:i/>
          <w:iCs/>
          <w:color w:val="auto"/>
          <w:szCs w:val="18"/>
          <w:shd w:val="clear" w:color="auto" w:fill="FFFFFF"/>
          <w:vertAlign w:val="superscript"/>
        </w:rPr>
        <w:t>2</w:t>
      </w:r>
      <w:r w:rsidRPr="00AC6A7B">
        <w:rPr>
          <w:rStyle w:val="normaltextrun"/>
          <w:rFonts w:cs="Segoe UI"/>
          <w:i/>
          <w:iCs/>
          <w:color w:val="auto"/>
          <w:sz w:val="22"/>
          <w:szCs w:val="22"/>
          <w:shd w:val="clear" w:color="auto" w:fill="FFFFFF"/>
        </w:rPr>
        <w:t xml:space="preserve"> </w:t>
      </w:r>
      <w:r w:rsidRPr="00AC6A7B">
        <w:rPr>
          <w:rStyle w:val="normaltextrun"/>
          <w:rFonts w:cs="Segoe UI"/>
          <w:i/>
          <w:iCs/>
          <w:color w:val="auto"/>
          <w:szCs w:val="18"/>
          <w:shd w:val="clear" w:color="auto" w:fill="FFFFFF"/>
        </w:rPr>
        <w:t>&lt;500</w:t>
      </w:r>
      <w:r w:rsidRPr="00AC6A7B">
        <w:rPr>
          <w:rStyle w:val="eop"/>
          <w:color w:val="auto"/>
          <w:szCs w:val="18"/>
          <w:shd w:val="clear" w:color="auto" w:fill="FFFFFF"/>
        </w:rPr>
        <w:t> </w:t>
      </w:r>
    </w:p>
    <w:p w14:paraId="5FC57F85" w14:textId="1EE83547" w:rsidR="009E498A" w:rsidRPr="00AC6A7B" w:rsidRDefault="009E498A" w:rsidP="009E498A">
      <w:pPr>
        <w:pStyle w:val="TableFooter"/>
        <w:rPr>
          <w:rFonts w:ascii="Segoe UI" w:hAnsi="Segoe UI" w:cs="Segoe UI"/>
          <w:color w:val="auto"/>
          <w:szCs w:val="18"/>
        </w:rPr>
      </w:pPr>
      <w:r w:rsidRPr="00AC6A7B">
        <w:rPr>
          <w:rStyle w:val="normaltextrun"/>
          <w:rFonts w:cs="Segoe UI"/>
          <w:i/>
          <w:iCs/>
          <w:color w:val="auto"/>
          <w:szCs w:val="18"/>
          <w:vertAlign w:val="superscript"/>
        </w:rPr>
        <w:t>3</w:t>
      </w:r>
      <w:r w:rsidRPr="00AC6A7B">
        <w:rPr>
          <w:rStyle w:val="normaltextrun"/>
          <w:rFonts w:cs="Segoe UI"/>
          <w:i/>
          <w:iCs/>
          <w:color w:val="auto"/>
          <w:szCs w:val="18"/>
        </w:rPr>
        <w:t xml:space="preserve"> $0 to &lt; $10 million</w:t>
      </w:r>
    </w:p>
    <w:p w14:paraId="5A94F21B" w14:textId="556F262A" w:rsidR="0093087D" w:rsidRDefault="00404C00" w:rsidP="0093087D">
      <w:pPr>
        <w:spacing w:before="0" w:after="0"/>
        <w:jc w:val="left"/>
        <w:rPr>
          <w:rFonts w:ascii="Times New Roman" w:eastAsia="Times New Roman" w:hAnsi="Times New Roman" w:cs="Times New Roman"/>
          <w:iCs/>
          <w:color w:val="auto"/>
          <w:szCs w:val="20"/>
          <w:lang w:eastAsia="en-AU"/>
        </w:rPr>
      </w:pPr>
      <w:r w:rsidRPr="00404C00">
        <w:rPr>
          <w:rFonts w:ascii="Times New Roman" w:eastAsia="Times New Roman" w:hAnsi="Times New Roman" w:cs="Times New Roman"/>
          <w:iCs/>
          <w:color w:val="auto"/>
          <w:szCs w:val="20"/>
          <w:lang w:eastAsia="en-AU"/>
        </w:rPr>
        <w:t xml:space="preserve">The commentary stated the MBS cost was underestimated in the ADAR’s financial analysis. If </w:t>
      </w:r>
      <w:r w:rsidRPr="00404C00">
        <w:rPr>
          <w:rFonts w:ascii="Times New Roman" w:eastAsia="Times New Roman" w:hAnsi="Times New Roman" w:cs="Times New Roman"/>
          <w:i/>
          <w:color w:val="auto"/>
          <w:szCs w:val="20"/>
          <w:lang w:eastAsia="en-AU"/>
        </w:rPr>
        <w:t>MET</w:t>
      </w:r>
      <w:r w:rsidRPr="00404C00">
        <w:rPr>
          <w:rFonts w:ascii="Times New Roman" w:eastAsia="Times New Roman" w:hAnsi="Times New Roman" w:cs="Times New Roman"/>
          <w:iCs/>
          <w:color w:val="auto"/>
          <w:szCs w:val="20"/>
          <w:lang w:eastAsia="en-AU"/>
        </w:rPr>
        <w:t xml:space="preserve">ex14sk testing were to be conducted in patients with </w:t>
      </w:r>
      <w:r w:rsidRPr="00404C00">
        <w:rPr>
          <w:rFonts w:ascii="Times New Roman" w:eastAsia="Times New Roman" w:hAnsi="Times New Roman" w:cs="Times New Roman"/>
          <w:i/>
          <w:color w:val="auto"/>
          <w:szCs w:val="20"/>
          <w:lang w:eastAsia="en-AU"/>
        </w:rPr>
        <w:t>EGFR</w:t>
      </w:r>
      <w:r w:rsidRPr="00404C00">
        <w:rPr>
          <w:rFonts w:ascii="Times New Roman" w:eastAsia="Times New Roman" w:hAnsi="Times New Roman" w:cs="Times New Roman"/>
          <w:iCs/>
          <w:color w:val="auto"/>
          <w:szCs w:val="20"/>
          <w:lang w:eastAsia="en-AU"/>
        </w:rPr>
        <w:t xml:space="preserve"> negative non-squamous NSCLCs and all squamous NSCLC, regardless of disease stage, the net costs to the MBS would increase by 81%.</w:t>
      </w:r>
    </w:p>
    <w:p w14:paraId="349D59BE" w14:textId="77777777" w:rsidR="0093087D" w:rsidRPr="00191AEE" w:rsidRDefault="0093087D" w:rsidP="00191AEE">
      <w:pPr>
        <w:pStyle w:val="Heading1"/>
        <w:numPr>
          <w:ilvl w:val="0"/>
          <w:numId w:val="4"/>
        </w:numPr>
        <w:spacing w:before="240" w:after="240" w:line="240" w:lineRule="auto"/>
        <w:ind w:left="720" w:hanging="720"/>
        <w:rPr>
          <w:rFonts w:ascii="Arial" w:hAnsi="Arial" w:cs="Arial"/>
          <w:bCs/>
          <w:szCs w:val="28"/>
        </w:rPr>
      </w:pPr>
      <w:r w:rsidRPr="00191AEE">
        <w:rPr>
          <w:rFonts w:ascii="Arial" w:hAnsi="Arial" w:cs="Arial"/>
          <w:bCs/>
          <w:szCs w:val="28"/>
        </w:rPr>
        <w:t>Key issues from ESCs to MSAC</w:t>
      </w:r>
    </w:p>
    <w:tbl>
      <w:tblPr>
        <w:tblStyle w:val="TableGridbeth2"/>
        <w:tblW w:w="0" w:type="auto"/>
        <w:tblLook w:val="04A0" w:firstRow="1" w:lastRow="0" w:firstColumn="1" w:lastColumn="0" w:noHBand="0" w:noVBand="1"/>
      </w:tblPr>
      <w:tblGrid>
        <w:gridCol w:w="2179"/>
        <w:gridCol w:w="6611"/>
      </w:tblGrid>
      <w:tr w:rsidR="0093087D" w:rsidRPr="00191AEE" w14:paraId="4C11AD4B" w14:textId="77777777" w:rsidTr="0093087D">
        <w:trPr>
          <w:cantSplit/>
          <w:trHeight w:val="345"/>
        </w:trPr>
        <w:tc>
          <w:tcPr>
            <w:tcW w:w="2179" w:type="dxa"/>
          </w:tcPr>
          <w:p w14:paraId="7A15D80D" w14:textId="77777777" w:rsidR="0093087D" w:rsidRPr="00191AEE" w:rsidRDefault="0093087D" w:rsidP="0093087D">
            <w:pPr>
              <w:spacing w:before="40" w:after="40"/>
              <w:jc w:val="left"/>
              <w:rPr>
                <w:rFonts w:ascii="Arial Narrow" w:eastAsia="Times New Roman" w:hAnsi="Arial Narrow" w:cs="Times New Roman"/>
                <w:b/>
                <w:noProof/>
                <w:color w:val="auto"/>
                <w:sz w:val="20"/>
                <w:szCs w:val="20"/>
                <w:lang w:eastAsia="en-AU"/>
              </w:rPr>
            </w:pPr>
            <w:r w:rsidRPr="00191AEE">
              <w:rPr>
                <w:rFonts w:ascii="Arial Narrow" w:eastAsia="Times New Roman" w:hAnsi="Arial Narrow" w:cs="Times New Roman"/>
                <w:b/>
                <w:noProof/>
                <w:color w:val="auto"/>
                <w:sz w:val="20"/>
                <w:szCs w:val="20"/>
                <w:lang w:eastAsia="en-AU"/>
              </w:rPr>
              <w:t>ESCs key issue</w:t>
            </w:r>
          </w:p>
        </w:tc>
        <w:tc>
          <w:tcPr>
            <w:tcW w:w="6611" w:type="dxa"/>
          </w:tcPr>
          <w:p w14:paraId="330E70FF" w14:textId="77777777" w:rsidR="0093087D" w:rsidRPr="00191AEE" w:rsidRDefault="0093087D" w:rsidP="0093087D">
            <w:pPr>
              <w:spacing w:before="40" w:after="40"/>
              <w:jc w:val="left"/>
              <w:rPr>
                <w:rFonts w:ascii="Arial Narrow" w:eastAsia="Times New Roman" w:hAnsi="Arial Narrow" w:cs="Times New Roman"/>
                <w:b/>
                <w:noProof/>
                <w:color w:val="auto"/>
                <w:sz w:val="20"/>
                <w:szCs w:val="20"/>
                <w:lang w:eastAsia="en-AU"/>
              </w:rPr>
            </w:pPr>
            <w:r w:rsidRPr="00191AEE">
              <w:rPr>
                <w:rFonts w:ascii="Arial Narrow" w:eastAsia="Times New Roman" w:hAnsi="Arial Narrow" w:cs="Times New Roman"/>
                <w:b/>
                <w:noProof/>
                <w:color w:val="auto"/>
                <w:sz w:val="20"/>
                <w:szCs w:val="20"/>
                <w:lang w:eastAsia="en-AU"/>
              </w:rPr>
              <w:t>ESCs advice to MSAC</w:t>
            </w:r>
          </w:p>
        </w:tc>
      </w:tr>
      <w:tr w:rsidR="0093087D" w:rsidRPr="00191AEE" w14:paraId="41231A13" w14:textId="77777777" w:rsidTr="0093087D">
        <w:trPr>
          <w:cantSplit/>
          <w:trHeight w:val="1415"/>
        </w:trPr>
        <w:tc>
          <w:tcPr>
            <w:tcW w:w="2179" w:type="dxa"/>
            <w:hideMark/>
          </w:tcPr>
          <w:p w14:paraId="5D31FB19"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i/>
                <w:color w:val="auto"/>
                <w:sz w:val="20"/>
                <w:szCs w:val="20"/>
                <w:lang w:eastAsia="en-AU"/>
              </w:rPr>
              <w:t>MET</w:t>
            </w:r>
            <w:r w:rsidRPr="00191AEE">
              <w:rPr>
                <w:rFonts w:ascii="Arial Narrow" w:eastAsia="Times New Roman" w:hAnsi="Arial Narrow" w:cs="Times New Roman"/>
                <w:color w:val="auto"/>
                <w:sz w:val="20"/>
                <w:szCs w:val="20"/>
                <w:lang w:eastAsia="en-AU"/>
              </w:rPr>
              <w:t>ex14sk testing in clinical algorithm: sequential vs parallel testing</w:t>
            </w:r>
          </w:p>
        </w:tc>
        <w:tc>
          <w:tcPr>
            <w:tcW w:w="6611" w:type="dxa"/>
            <w:hideMark/>
          </w:tcPr>
          <w:p w14:paraId="617ADAA7"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 xml:space="preserve">Parallel testing would be more time-effective, by using the same tissue sample; conversely sequential testing by limiting to patients with locally advanced or metastatic NSCLC would be in line with current </w:t>
            </w:r>
            <w:r w:rsidRPr="00191AEE">
              <w:rPr>
                <w:rFonts w:ascii="Arial Narrow" w:eastAsia="Times New Roman" w:hAnsi="Arial Narrow" w:cs="Times New Roman"/>
                <w:i/>
                <w:color w:val="auto"/>
                <w:sz w:val="20"/>
                <w:szCs w:val="20"/>
                <w:lang w:eastAsia="en-AU"/>
              </w:rPr>
              <w:t>ALK</w:t>
            </w:r>
            <w:r w:rsidRPr="00191AEE">
              <w:rPr>
                <w:rFonts w:ascii="Arial Narrow" w:eastAsia="Times New Roman" w:hAnsi="Arial Narrow" w:cs="Times New Roman"/>
                <w:color w:val="auto"/>
                <w:sz w:val="20"/>
                <w:szCs w:val="20"/>
                <w:lang w:eastAsia="en-AU"/>
              </w:rPr>
              <w:t xml:space="preserve"> and </w:t>
            </w:r>
            <w:r w:rsidRPr="00191AEE">
              <w:rPr>
                <w:rFonts w:ascii="Arial Narrow" w:eastAsia="Times New Roman" w:hAnsi="Arial Narrow" w:cs="Times New Roman"/>
                <w:i/>
                <w:color w:val="auto"/>
                <w:sz w:val="20"/>
                <w:szCs w:val="20"/>
                <w:lang w:eastAsia="en-AU"/>
              </w:rPr>
              <w:t>ROS1</w:t>
            </w:r>
            <w:r w:rsidRPr="00191AEE">
              <w:rPr>
                <w:rFonts w:ascii="Arial Narrow" w:eastAsia="Times New Roman" w:hAnsi="Arial Narrow" w:cs="Times New Roman"/>
                <w:color w:val="auto"/>
                <w:sz w:val="20"/>
                <w:szCs w:val="20"/>
                <w:lang w:eastAsia="en-AU"/>
              </w:rPr>
              <w:t xml:space="preserve"> testing (proposed by the pre-ESC response to be after </w:t>
            </w:r>
            <w:r w:rsidRPr="00191AEE">
              <w:rPr>
                <w:rFonts w:ascii="Arial Narrow" w:eastAsia="Times New Roman" w:hAnsi="Arial Narrow" w:cs="Times New Roman"/>
                <w:i/>
                <w:iCs/>
                <w:color w:val="auto"/>
                <w:sz w:val="20"/>
                <w:szCs w:val="20"/>
                <w:lang w:eastAsia="en-AU"/>
              </w:rPr>
              <w:t>ALK</w:t>
            </w:r>
            <w:r w:rsidRPr="00191AEE">
              <w:rPr>
                <w:rFonts w:ascii="Arial Narrow" w:eastAsia="Times New Roman" w:hAnsi="Arial Narrow" w:cs="Times New Roman"/>
                <w:color w:val="auto"/>
                <w:sz w:val="20"/>
                <w:szCs w:val="20"/>
                <w:lang w:eastAsia="en-AU"/>
              </w:rPr>
              <w:t xml:space="preserve"> and </w:t>
            </w:r>
            <w:r w:rsidRPr="00191AEE">
              <w:rPr>
                <w:rFonts w:ascii="Arial Narrow" w:eastAsia="Times New Roman" w:hAnsi="Arial Narrow" w:cs="Times New Roman"/>
                <w:i/>
                <w:iCs/>
                <w:color w:val="auto"/>
                <w:sz w:val="20"/>
                <w:szCs w:val="20"/>
                <w:lang w:eastAsia="en-AU"/>
              </w:rPr>
              <w:t>ROS1</w:t>
            </w:r>
            <w:r w:rsidRPr="00191AEE">
              <w:rPr>
                <w:rFonts w:ascii="Arial Narrow" w:eastAsia="Times New Roman" w:hAnsi="Arial Narrow" w:cs="Times New Roman"/>
                <w:color w:val="auto"/>
                <w:sz w:val="20"/>
                <w:szCs w:val="20"/>
                <w:lang w:eastAsia="en-AU"/>
              </w:rPr>
              <w:t xml:space="preserve"> testing, rather than before as proposed in the ADAR), and not all lung cancer patients will go on to being considered for tepotinib treatment.</w:t>
            </w:r>
          </w:p>
        </w:tc>
      </w:tr>
      <w:tr w:rsidR="0093087D" w:rsidRPr="00191AEE" w14:paraId="529BE6F2" w14:textId="77777777" w:rsidTr="008406D9">
        <w:trPr>
          <w:cantSplit/>
          <w:trHeight w:val="1443"/>
        </w:trPr>
        <w:tc>
          <w:tcPr>
            <w:tcW w:w="2179" w:type="dxa"/>
            <w:hideMark/>
          </w:tcPr>
          <w:p w14:paraId="7AAC29D5"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Item descriptor</w:t>
            </w:r>
          </w:p>
        </w:tc>
        <w:tc>
          <w:tcPr>
            <w:tcW w:w="6611" w:type="dxa"/>
            <w:hideMark/>
          </w:tcPr>
          <w:p w14:paraId="39CDD5E7"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The revised Pre-ESC item descriptor is appropriate.</w:t>
            </w:r>
          </w:p>
          <w:p w14:paraId="2893CCC5"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MSAC may accept allowing testing in patients with squamous histology if PBAC supports tepotinib in patients with squamous histology, although MSAC should also consider the inconsistency with existing MBS-funded testing of NSCLC biomarkers.</w:t>
            </w:r>
          </w:p>
          <w:p w14:paraId="492370D7"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Consider removing pathologists as a requestor group from the item descriptor.</w:t>
            </w:r>
          </w:p>
          <w:p w14:paraId="6FACC8AF"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No restriction on the frequency of testing is required.</w:t>
            </w:r>
          </w:p>
        </w:tc>
      </w:tr>
      <w:tr w:rsidR="0093087D" w:rsidRPr="00191AEE" w14:paraId="5728BF9F" w14:textId="77777777" w:rsidTr="00812148">
        <w:trPr>
          <w:cantSplit/>
          <w:trHeight w:hRule="exact" w:val="928"/>
        </w:trPr>
        <w:tc>
          <w:tcPr>
            <w:tcW w:w="2179" w:type="dxa"/>
            <w:hideMark/>
          </w:tcPr>
          <w:p w14:paraId="41F7B80B"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Analytical platforms in Australian labs</w:t>
            </w:r>
          </w:p>
        </w:tc>
        <w:tc>
          <w:tcPr>
            <w:tcW w:w="6611" w:type="dxa"/>
            <w:hideMark/>
          </w:tcPr>
          <w:p w14:paraId="575C4793"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For different reasons, there is a risk of false negatives with RNA or DNA NGS testing.</w:t>
            </w:r>
          </w:p>
          <w:p w14:paraId="0A32BA7B"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NATA/NPAAC have governance/processes in place to ensure accurate analytical performance, however it is unclear on what basis NATA/NPAAC or TGA would establish the validation of companion diagnostic tests.</w:t>
            </w:r>
          </w:p>
        </w:tc>
      </w:tr>
      <w:tr w:rsidR="0093087D" w:rsidRPr="00191AEE" w14:paraId="391FB76D" w14:textId="77777777" w:rsidTr="008406D9">
        <w:trPr>
          <w:cantSplit/>
          <w:trHeight w:val="416"/>
        </w:trPr>
        <w:tc>
          <w:tcPr>
            <w:tcW w:w="2179" w:type="dxa"/>
            <w:hideMark/>
          </w:tcPr>
          <w:p w14:paraId="514C26C7"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Clinical validity and clinical utility – lack of evidence</w:t>
            </w:r>
          </w:p>
        </w:tc>
        <w:tc>
          <w:tcPr>
            <w:tcW w:w="6611" w:type="dxa"/>
            <w:hideMark/>
          </w:tcPr>
          <w:p w14:paraId="71788F56" w14:textId="3387B051"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 xml:space="preserve">The evidence is unclear whether a patient would have 1) a different prognosis or 2) respond differently to tepotinib based on their </w:t>
            </w:r>
            <w:r w:rsidRPr="00191AEE">
              <w:rPr>
                <w:rFonts w:ascii="Arial Narrow" w:eastAsia="Times New Roman" w:hAnsi="Arial Narrow" w:cs="Times New Roman"/>
                <w:i/>
                <w:color w:val="auto"/>
                <w:sz w:val="20"/>
                <w:szCs w:val="20"/>
                <w:lang w:eastAsia="en-AU"/>
              </w:rPr>
              <w:t>MET</w:t>
            </w:r>
            <w:r w:rsidRPr="00191AEE">
              <w:rPr>
                <w:rFonts w:ascii="Arial Narrow" w:eastAsia="Times New Roman" w:hAnsi="Arial Narrow" w:cs="Times New Roman"/>
                <w:color w:val="auto"/>
                <w:sz w:val="20"/>
                <w:szCs w:val="20"/>
                <w:lang w:eastAsia="en-AU"/>
              </w:rPr>
              <w:t>ex14sk status.</w:t>
            </w:r>
          </w:p>
        </w:tc>
      </w:tr>
      <w:tr w:rsidR="0093087D" w:rsidRPr="00191AEE" w14:paraId="150A4536" w14:textId="77777777" w:rsidTr="0093087D">
        <w:trPr>
          <w:cantSplit/>
          <w:trHeight w:val="393"/>
        </w:trPr>
        <w:tc>
          <w:tcPr>
            <w:tcW w:w="2179" w:type="dxa"/>
            <w:hideMark/>
          </w:tcPr>
          <w:p w14:paraId="10CC9AB4"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lastRenderedPageBreak/>
              <w:t>Comprehensive genomic profiling MSAC application (1634) is underway</w:t>
            </w:r>
          </w:p>
        </w:tc>
        <w:tc>
          <w:tcPr>
            <w:tcW w:w="6611" w:type="dxa"/>
            <w:hideMark/>
          </w:tcPr>
          <w:p w14:paraId="1457B785"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 xml:space="preserve">Any MBS listing would need to be reviewed if 1634 proceeds to MSAC and is supported. Conversely, MSAC’s decision on 1634 may also be influenced by whether this test and drug </w:t>
            </w:r>
            <w:proofErr w:type="spellStart"/>
            <w:r w:rsidRPr="00191AEE">
              <w:rPr>
                <w:rFonts w:ascii="Arial Narrow" w:eastAsia="Times New Roman" w:hAnsi="Arial Narrow" w:cs="Times New Roman"/>
                <w:color w:val="auto"/>
                <w:sz w:val="20"/>
                <w:szCs w:val="20"/>
                <w:lang w:eastAsia="en-AU"/>
              </w:rPr>
              <w:t>codependency</w:t>
            </w:r>
            <w:proofErr w:type="spellEnd"/>
            <w:r w:rsidRPr="00191AEE">
              <w:rPr>
                <w:rFonts w:ascii="Arial Narrow" w:eastAsia="Times New Roman" w:hAnsi="Arial Narrow" w:cs="Times New Roman"/>
                <w:color w:val="auto"/>
                <w:sz w:val="20"/>
                <w:szCs w:val="20"/>
                <w:lang w:eastAsia="en-AU"/>
              </w:rPr>
              <w:t xml:space="preserve"> is supported for public funding by MSAC/PBAC.</w:t>
            </w:r>
          </w:p>
          <w:p w14:paraId="042831C7"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The complexity and flow-on consequences of molecular testing in NSCLC makes it difficult to make accurate cost projections. From both clinical (time to treatment, lack of tissue, international guidelines, increasing targets) and economic (cost break-even point) perspectives, the use of gene panels for NSCLC such as proposed in application 1634 should be considered.</w:t>
            </w:r>
          </w:p>
        </w:tc>
      </w:tr>
      <w:tr w:rsidR="0093087D" w:rsidRPr="00191AEE" w14:paraId="034BF379" w14:textId="77777777" w:rsidTr="0093087D">
        <w:trPr>
          <w:cantSplit/>
          <w:trHeight w:val="393"/>
        </w:trPr>
        <w:tc>
          <w:tcPr>
            <w:tcW w:w="2179" w:type="dxa"/>
          </w:tcPr>
          <w:p w14:paraId="460DD8A5"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MBS costs</w:t>
            </w:r>
          </w:p>
        </w:tc>
        <w:tc>
          <w:tcPr>
            <w:tcW w:w="6611" w:type="dxa"/>
          </w:tcPr>
          <w:p w14:paraId="1C3D1C58"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The estimated costs to the MBS would be increased if the ADAR’s proposed MBS item descriptor is used:</w:t>
            </w:r>
          </w:p>
          <w:p w14:paraId="6F750CBF" w14:textId="7A701DBA" w:rsidR="0093087D" w:rsidRPr="00191AEE" w:rsidRDefault="0093087D" w:rsidP="0093087D">
            <w:pPr>
              <w:numPr>
                <w:ilvl w:val="0"/>
                <w:numId w:val="49"/>
              </w:num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The financial analysis was restricted to locally advanced / metastatic patients. Including all NSCLC patients would increase the cost to the MBS to $</w:t>
            </w:r>
            <w:r w:rsidR="00D13AD9" w:rsidRPr="00AC6A7B">
              <w:rPr>
                <w:rFonts w:ascii="Arial Narrow" w:eastAsia="Times New Roman" w:hAnsi="Arial Narrow" w:cs="Times New Roman"/>
                <w:i/>
                <w:iCs/>
                <w:color w:val="auto"/>
                <w:sz w:val="20"/>
                <w:szCs w:val="20"/>
                <w:lang w:eastAsia="en-AU"/>
              </w:rPr>
              <w:t>0 to &lt; $10 million</w:t>
            </w:r>
            <w:r w:rsidRPr="00191AEE">
              <w:rPr>
                <w:rFonts w:ascii="Arial Narrow" w:eastAsia="Times New Roman" w:hAnsi="Arial Narrow" w:cs="Times New Roman"/>
                <w:color w:val="auto"/>
                <w:sz w:val="20"/>
                <w:szCs w:val="20"/>
                <w:lang w:eastAsia="en-AU"/>
              </w:rPr>
              <w:t>.</w:t>
            </w:r>
          </w:p>
          <w:p w14:paraId="7876DEBD" w14:textId="0979B0B1" w:rsidR="0093087D" w:rsidRPr="00191AEE" w:rsidRDefault="0093087D" w:rsidP="0093087D">
            <w:pPr>
              <w:numPr>
                <w:ilvl w:val="0"/>
                <w:numId w:val="49"/>
              </w:num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Including 15% retesting rates would increase cost to the MBS to $</w:t>
            </w:r>
            <w:r w:rsidR="00D13AD9" w:rsidRPr="00AC6A7B">
              <w:rPr>
                <w:rFonts w:ascii="Arial Narrow" w:eastAsia="Times New Roman" w:hAnsi="Arial Narrow" w:cs="Times New Roman"/>
                <w:i/>
                <w:iCs/>
                <w:color w:val="auto"/>
                <w:sz w:val="20"/>
                <w:szCs w:val="20"/>
                <w:lang w:eastAsia="en-AU"/>
              </w:rPr>
              <w:t>0 to &lt; $10 million</w:t>
            </w:r>
            <w:r w:rsidRPr="00191AEE">
              <w:rPr>
                <w:rFonts w:ascii="Arial Narrow" w:eastAsia="Times New Roman" w:hAnsi="Arial Narrow" w:cs="Times New Roman"/>
                <w:color w:val="auto"/>
                <w:sz w:val="20"/>
                <w:szCs w:val="20"/>
                <w:lang w:eastAsia="en-AU"/>
              </w:rPr>
              <w:t>.</w:t>
            </w:r>
          </w:p>
        </w:tc>
      </w:tr>
      <w:tr w:rsidR="0093087D" w:rsidRPr="00191AEE" w14:paraId="4E1D9C0E" w14:textId="77777777" w:rsidTr="008406D9">
        <w:trPr>
          <w:cantSplit/>
          <w:trHeight w:val="1173"/>
        </w:trPr>
        <w:tc>
          <w:tcPr>
            <w:tcW w:w="2179" w:type="dxa"/>
          </w:tcPr>
          <w:p w14:paraId="13C81159"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Impact of testing on CMA and PBS</w:t>
            </w:r>
          </w:p>
        </w:tc>
        <w:tc>
          <w:tcPr>
            <w:tcW w:w="6611" w:type="dxa"/>
          </w:tcPr>
          <w:p w14:paraId="7D4E3323"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 xml:space="preserve">The uncertainty around the eligible population was addressed in the sensitivity analysis for the CMA by increasing the “Number needed to test” from 32.9 to 50. This change has little impact on the cost-minimised drug </w:t>
            </w:r>
            <w:r w:rsidRPr="004C37C4">
              <w:rPr>
                <w:rFonts w:ascii="Arial Narrow" w:eastAsia="Times New Roman" w:hAnsi="Arial Narrow" w:cs="Times New Roman"/>
                <w:color w:val="auto"/>
                <w:sz w:val="20"/>
                <w:szCs w:val="20"/>
                <w:lang w:eastAsia="en-AU"/>
              </w:rPr>
              <w:t>price (5.5% reduction</w:t>
            </w:r>
            <w:r w:rsidRPr="00191AEE">
              <w:rPr>
                <w:rFonts w:ascii="Arial Narrow" w:eastAsia="Times New Roman" w:hAnsi="Arial Narrow" w:cs="Times New Roman"/>
                <w:color w:val="auto"/>
                <w:sz w:val="20"/>
                <w:szCs w:val="20"/>
                <w:lang w:eastAsia="en-AU"/>
              </w:rPr>
              <w:t>).</w:t>
            </w:r>
          </w:p>
          <w:p w14:paraId="3C0CB236" w14:textId="77777777" w:rsidR="0093087D" w:rsidRPr="00191AEE" w:rsidRDefault="0093087D" w:rsidP="0093087D">
            <w:pPr>
              <w:spacing w:before="0"/>
              <w:jc w:val="left"/>
              <w:rPr>
                <w:rFonts w:ascii="Arial Narrow" w:eastAsia="Times New Roman" w:hAnsi="Arial Narrow" w:cs="Times New Roman"/>
                <w:color w:val="auto"/>
                <w:sz w:val="20"/>
                <w:szCs w:val="20"/>
                <w:lang w:eastAsia="en-AU"/>
              </w:rPr>
            </w:pPr>
            <w:r w:rsidRPr="00191AEE">
              <w:rPr>
                <w:rFonts w:ascii="Arial Narrow" w:eastAsia="Times New Roman" w:hAnsi="Arial Narrow" w:cs="Times New Roman"/>
                <w:color w:val="auto"/>
                <w:sz w:val="20"/>
                <w:szCs w:val="20"/>
                <w:lang w:eastAsia="en-AU"/>
              </w:rPr>
              <w:t>The CMA only includes the testing cost for the restricted population (patients at stage IIIB/IV), which may need consideration.</w:t>
            </w:r>
          </w:p>
        </w:tc>
      </w:tr>
    </w:tbl>
    <w:p w14:paraId="36062E82" w14:textId="4AB468A3" w:rsidR="0093087D" w:rsidRPr="00191AEE" w:rsidRDefault="0093087D" w:rsidP="00191AEE">
      <w:pPr>
        <w:keepNext/>
        <w:keepLines/>
        <w:spacing w:before="240" w:after="120"/>
        <w:jc w:val="left"/>
        <w:outlineLvl w:val="0"/>
        <w:rPr>
          <w:rFonts w:ascii="Times New Roman" w:eastAsia="Times New Roman" w:hAnsi="Times New Roman" w:cs="Times New Roman"/>
          <w:b/>
          <w:bCs/>
          <w:color w:val="auto"/>
          <w:szCs w:val="28"/>
          <w:lang w:eastAsia="en-AU"/>
        </w:rPr>
      </w:pPr>
      <w:r w:rsidRPr="00404C00">
        <w:rPr>
          <w:rFonts w:ascii="Times New Roman" w:eastAsia="Times New Roman" w:hAnsi="Times New Roman" w:cs="Times New Roman"/>
          <w:b/>
          <w:bCs/>
          <w:color w:val="auto"/>
          <w:szCs w:val="28"/>
          <w:lang w:eastAsia="en-AU"/>
        </w:rPr>
        <w:t>ESCs discussion</w:t>
      </w:r>
    </w:p>
    <w:p w14:paraId="2633072C" w14:textId="6DDF573C" w:rsidR="0093087D" w:rsidRPr="00404C00" w:rsidRDefault="0093087D" w:rsidP="0093087D">
      <w:pPr>
        <w:tabs>
          <w:tab w:val="left" w:pos="2265"/>
          <w:tab w:val="left" w:pos="3420"/>
          <w:tab w:val="left" w:pos="4320"/>
        </w:tabs>
        <w:spacing w:before="0" w:after="0"/>
        <w:jc w:val="left"/>
        <w:rPr>
          <w:rFonts w:ascii="Times New Roman" w:eastAsia="Times New Roman" w:hAnsi="Times New Roman" w:cs="Times New Roman"/>
          <w:bCs/>
          <w:color w:val="auto"/>
          <w:szCs w:val="20"/>
          <w:lang w:eastAsia="en-AU"/>
        </w:rPr>
      </w:pPr>
      <w:r w:rsidRPr="00404C00">
        <w:rPr>
          <w:rFonts w:ascii="Times New Roman" w:eastAsia="Times New Roman" w:hAnsi="Times New Roman" w:cs="Times New Roman"/>
          <w:bCs/>
          <w:color w:val="auto"/>
          <w:szCs w:val="20"/>
          <w:lang w:eastAsia="en-AU"/>
        </w:rPr>
        <w:t xml:space="preserve">The ESCs noted that this codependent application was for MBS funding for testing for </w:t>
      </w:r>
      <w:r w:rsidRPr="00404C00">
        <w:rPr>
          <w:rFonts w:ascii="Times New Roman" w:eastAsia="Times New Roman" w:hAnsi="Times New Roman" w:cs="Times New Roman"/>
          <w:bCs/>
          <w:i/>
          <w:iCs/>
          <w:color w:val="auto"/>
          <w:szCs w:val="20"/>
          <w:lang w:eastAsia="en-AU"/>
        </w:rPr>
        <w:t>MET</w:t>
      </w:r>
      <w:r w:rsidRPr="00404C00">
        <w:rPr>
          <w:rFonts w:ascii="Times New Roman" w:eastAsia="Times New Roman" w:hAnsi="Times New Roman" w:cs="Times New Roman"/>
          <w:bCs/>
          <w:color w:val="auto"/>
          <w:szCs w:val="20"/>
          <w:lang w:eastAsia="en-AU"/>
        </w:rPr>
        <w:t xml:space="preserve">ex14sk, to help determine eligibility for treatment with tepotinib in patients with </w:t>
      </w:r>
      <w:r w:rsidR="008406D9">
        <w:rPr>
          <w:rFonts w:ascii="Times New Roman" w:eastAsia="Times New Roman" w:hAnsi="Times New Roman" w:cs="Times New Roman"/>
          <w:bCs/>
          <w:color w:val="auto"/>
          <w:szCs w:val="20"/>
          <w:lang w:eastAsia="en-AU"/>
        </w:rPr>
        <w:t xml:space="preserve">advanced </w:t>
      </w:r>
      <w:r w:rsidRPr="00404C00">
        <w:rPr>
          <w:rFonts w:ascii="Times New Roman" w:eastAsia="Times New Roman" w:hAnsi="Times New Roman" w:cs="Times New Roman"/>
          <w:bCs/>
          <w:color w:val="auto"/>
          <w:szCs w:val="20"/>
          <w:lang w:eastAsia="en-AU"/>
        </w:rPr>
        <w:t>NSCLC.</w:t>
      </w:r>
    </w:p>
    <w:p w14:paraId="337547E8" w14:textId="77777777"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bCs/>
          <w:color w:val="auto"/>
          <w:szCs w:val="20"/>
          <w:lang w:eastAsia="en-AU"/>
        </w:rPr>
      </w:pPr>
      <w:r w:rsidRPr="00404C00">
        <w:rPr>
          <w:rFonts w:ascii="Times New Roman" w:eastAsia="Times New Roman" w:hAnsi="Times New Roman" w:cs="Times New Roman"/>
          <w:bCs/>
          <w:color w:val="auto"/>
          <w:szCs w:val="20"/>
          <w:lang w:eastAsia="en-AU"/>
        </w:rPr>
        <w:t xml:space="preserve">On disease stage, the ESCs noted the applicant had initially proposed testing patients with locally advanced or metastatic NSCLC only, however PASC had recommended in the PICO assessing </w:t>
      </w:r>
      <w:r w:rsidRPr="00404C00">
        <w:rPr>
          <w:rFonts w:ascii="Times New Roman" w:eastAsia="Times New Roman" w:hAnsi="Times New Roman" w:cs="Times New Roman"/>
          <w:bCs/>
          <w:i/>
          <w:iCs/>
          <w:color w:val="auto"/>
          <w:szCs w:val="20"/>
          <w:lang w:eastAsia="en-AU"/>
        </w:rPr>
        <w:t>MET</w:t>
      </w:r>
      <w:r w:rsidRPr="00404C00">
        <w:rPr>
          <w:rFonts w:ascii="Times New Roman" w:eastAsia="Times New Roman" w:hAnsi="Times New Roman" w:cs="Times New Roman"/>
          <w:bCs/>
          <w:color w:val="auto"/>
          <w:szCs w:val="20"/>
          <w:lang w:eastAsia="en-AU"/>
        </w:rPr>
        <w:t xml:space="preserve">ex14sk testing any time after diagnosis of NSCLC, with assessment of both options. The ESCs noted the test item descriptor proposed in the ADAR did not include any restriction on disease stage, but that the pre-ESC response proposed a revised item descriptor that restricted testing to patients with locally advanced or metastatic disease. The ESCs considered that upfront testing was worth considering. The ESCs considered that </w:t>
      </w:r>
      <w:r w:rsidRPr="00404C00">
        <w:rPr>
          <w:rFonts w:ascii="Times New Roman" w:eastAsia="Times New Roman" w:hAnsi="Times New Roman" w:cs="Times New Roman"/>
          <w:color w:val="auto"/>
          <w:szCs w:val="24"/>
          <w:lang w:eastAsia="en-AU"/>
        </w:rPr>
        <w:t>eligibility for testing based on disease stage had the potential to affect the number of tests to be performed, the cost minimised price, and the budget impact to the MBS.</w:t>
      </w:r>
    </w:p>
    <w:p w14:paraId="5886189B" w14:textId="3900581B"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bCs/>
          <w:color w:val="auto"/>
          <w:szCs w:val="20"/>
          <w:lang w:eastAsia="en-AU"/>
        </w:rPr>
      </w:pPr>
      <w:r w:rsidRPr="00404C00">
        <w:rPr>
          <w:rFonts w:ascii="Times New Roman" w:eastAsia="Times New Roman" w:hAnsi="Times New Roman" w:cs="Times New Roman"/>
          <w:bCs/>
          <w:color w:val="auto"/>
          <w:szCs w:val="20"/>
          <w:lang w:eastAsia="en-AU"/>
        </w:rPr>
        <w:t>The ESCs noted that the PICO specified NSQ or NOS histology, but that the ADAR and pre-ESC response reiterated the applicant’s request to also include patients with SQ NSCLC, in line with the key VISION trial. The ESCs considered that including patients with SQ histology may be reasonable if the uncertainty around the clinical efficacy claim for those patients was accepted. However</w:t>
      </w:r>
      <w:r>
        <w:rPr>
          <w:rFonts w:ascii="Times New Roman" w:eastAsia="Times New Roman" w:hAnsi="Times New Roman" w:cs="Times New Roman"/>
          <w:bCs/>
          <w:color w:val="auto"/>
          <w:szCs w:val="20"/>
          <w:lang w:eastAsia="en-AU"/>
        </w:rPr>
        <w:t>,</w:t>
      </w:r>
      <w:r w:rsidRPr="00404C00">
        <w:rPr>
          <w:rFonts w:ascii="Times New Roman" w:eastAsia="Times New Roman" w:hAnsi="Times New Roman" w:cs="Times New Roman"/>
          <w:bCs/>
          <w:color w:val="auto"/>
          <w:szCs w:val="20"/>
          <w:lang w:eastAsia="en-AU"/>
        </w:rPr>
        <w:t xml:space="preserve"> the ESCs also noted that MSAC application 1634 for a comprehensive genomic profiling panel test for NSCLC biomarkers would, if supported, subsume existing separate biomarkers tests and result in simultaneous testing for all biomarkers. Application 1634 is for patients with NSQ/NOS histology; complexities would therefore be created if patients with SQ histology were to be included in the population eligible for </w:t>
      </w:r>
      <w:r w:rsidRPr="00404C00">
        <w:rPr>
          <w:rFonts w:ascii="Times New Roman" w:eastAsia="Times New Roman" w:hAnsi="Times New Roman" w:cs="Times New Roman"/>
          <w:bCs/>
          <w:i/>
          <w:iCs/>
          <w:color w:val="auto"/>
          <w:szCs w:val="20"/>
          <w:lang w:eastAsia="en-AU"/>
        </w:rPr>
        <w:t>MET</w:t>
      </w:r>
      <w:r w:rsidRPr="00404C00">
        <w:rPr>
          <w:rFonts w:ascii="Times New Roman" w:eastAsia="Times New Roman" w:hAnsi="Times New Roman" w:cs="Times New Roman"/>
          <w:bCs/>
          <w:color w:val="auto"/>
          <w:szCs w:val="20"/>
          <w:lang w:eastAsia="en-AU"/>
        </w:rPr>
        <w:t>ex14sk testing, as they are ineligible for other existing testing of biomarkers in NSCLC.</w:t>
      </w:r>
    </w:p>
    <w:p w14:paraId="2B6AE4E0" w14:textId="22F492D1"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bCs/>
          <w:color w:val="auto"/>
          <w:szCs w:val="20"/>
          <w:lang w:eastAsia="en-AU"/>
        </w:rPr>
      </w:pPr>
      <w:r w:rsidRPr="00404C00">
        <w:rPr>
          <w:rFonts w:ascii="Times New Roman" w:eastAsia="Times New Roman" w:hAnsi="Times New Roman" w:cs="Times New Roman"/>
          <w:bCs/>
          <w:color w:val="auto"/>
          <w:szCs w:val="20"/>
          <w:lang w:eastAsia="en-AU"/>
        </w:rPr>
        <w:t xml:space="preserve">The ESCs noted that the applicant proposed this testing be requestable by not only by or on behalf of a specialist or consultant physician, but also that it be pathologist-determinable, so that further testing can commence immediately if the sample is </w:t>
      </w:r>
      <w:r w:rsidRPr="00404C00">
        <w:rPr>
          <w:rFonts w:ascii="Times New Roman" w:eastAsia="Times New Roman" w:hAnsi="Times New Roman" w:cs="Times New Roman"/>
          <w:bCs/>
          <w:i/>
          <w:iCs/>
          <w:color w:val="auto"/>
          <w:szCs w:val="20"/>
          <w:lang w:eastAsia="en-AU"/>
        </w:rPr>
        <w:t>EGFR</w:t>
      </w:r>
      <w:r w:rsidRPr="00404C00">
        <w:rPr>
          <w:rFonts w:ascii="Times New Roman" w:eastAsia="Times New Roman" w:hAnsi="Times New Roman" w:cs="Times New Roman"/>
          <w:bCs/>
          <w:color w:val="auto"/>
          <w:szCs w:val="20"/>
          <w:lang w:eastAsia="en-AU"/>
        </w:rPr>
        <w:t xml:space="preserve"> negative. The ESCs </w:t>
      </w:r>
      <w:r>
        <w:rPr>
          <w:rFonts w:ascii="Times New Roman" w:eastAsia="Times New Roman" w:hAnsi="Times New Roman" w:cs="Times New Roman"/>
          <w:bCs/>
          <w:color w:val="auto"/>
          <w:szCs w:val="20"/>
          <w:lang w:eastAsia="en-AU"/>
        </w:rPr>
        <w:t xml:space="preserve">did not support the testing being pathologist-determinable because </w:t>
      </w:r>
      <w:r w:rsidRPr="00404C00">
        <w:rPr>
          <w:rFonts w:ascii="Times New Roman" w:eastAsia="Times New Roman" w:hAnsi="Times New Roman" w:cs="Times New Roman"/>
          <w:bCs/>
          <w:color w:val="auto"/>
          <w:szCs w:val="20"/>
          <w:lang w:eastAsia="en-AU"/>
        </w:rPr>
        <w:t xml:space="preserve">this risks a lack of input from the treating clinician, and could potentially result in patients being tested for eligibility </w:t>
      </w:r>
      <w:r w:rsidRPr="00404C00">
        <w:rPr>
          <w:rFonts w:ascii="Times New Roman" w:eastAsia="Times New Roman" w:hAnsi="Times New Roman" w:cs="Times New Roman"/>
          <w:bCs/>
          <w:color w:val="auto"/>
          <w:szCs w:val="20"/>
          <w:lang w:eastAsia="en-AU"/>
        </w:rPr>
        <w:lastRenderedPageBreak/>
        <w:t xml:space="preserve">for a medicine for which they may not be considered. In addition, as MBS-funded </w:t>
      </w:r>
      <w:r w:rsidRPr="00404C00">
        <w:rPr>
          <w:rFonts w:ascii="Times New Roman" w:eastAsia="Times New Roman" w:hAnsi="Times New Roman" w:cs="Times New Roman"/>
          <w:bCs/>
          <w:i/>
          <w:iCs/>
          <w:color w:val="auto"/>
          <w:szCs w:val="20"/>
          <w:lang w:eastAsia="en-AU"/>
        </w:rPr>
        <w:t>EGFR</w:t>
      </w:r>
      <w:r w:rsidRPr="00404C00">
        <w:rPr>
          <w:rFonts w:ascii="Times New Roman" w:eastAsia="Times New Roman" w:hAnsi="Times New Roman" w:cs="Times New Roman"/>
          <w:bCs/>
          <w:color w:val="auto"/>
          <w:szCs w:val="20"/>
          <w:lang w:eastAsia="en-AU"/>
        </w:rPr>
        <w:t xml:space="preserve"> testing is not limited to locally advanced or metastatic NSCLC</w:t>
      </w:r>
      <w:r>
        <w:rPr>
          <w:rFonts w:ascii="Times New Roman" w:eastAsia="Times New Roman" w:hAnsi="Times New Roman" w:cs="Times New Roman"/>
          <w:bCs/>
          <w:color w:val="auto"/>
          <w:szCs w:val="20"/>
          <w:lang w:eastAsia="en-AU"/>
        </w:rPr>
        <w:t xml:space="preserve"> but </w:t>
      </w:r>
      <w:r w:rsidRPr="00716D8E">
        <w:rPr>
          <w:rFonts w:ascii="Times New Roman" w:eastAsia="Times New Roman" w:hAnsi="Times New Roman" w:cs="Times New Roman"/>
          <w:bCs/>
          <w:i/>
          <w:iCs/>
          <w:color w:val="auto"/>
          <w:szCs w:val="20"/>
          <w:lang w:eastAsia="en-AU"/>
        </w:rPr>
        <w:t>ALK</w:t>
      </w:r>
      <w:r>
        <w:rPr>
          <w:rFonts w:ascii="Times New Roman" w:eastAsia="Times New Roman" w:hAnsi="Times New Roman" w:cs="Times New Roman"/>
          <w:bCs/>
          <w:color w:val="auto"/>
          <w:szCs w:val="20"/>
          <w:lang w:eastAsia="en-AU"/>
        </w:rPr>
        <w:t xml:space="preserve"> and </w:t>
      </w:r>
      <w:r w:rsidRPr="00716D8E">
        <w:rPr>
          <w:rFonts w:ascii="Times New Roman" w:eastAsia="Times New Roman" w:hAnsi="Times New Roman" w:cs="Times New Roman"/>
          <w:bCs/>
          <w:i/>
          <w:iCs/>
          <w:color w:val="auto"/>
          <w:szCs w:val="20"/>
          <w:lang w:eastAsia="en-AU"/>
        </w:rPr>
        <w:t>ROS1</w:t>
      </w:r>
      <w:r>
        <w:rPr>
          <w:rFonts w:ascii="Times New Roman" w:eastAsia="Times New Roman" w:hAnsi="Times New Roman" w:cs="Times New Roman"/>
          <w:bCs/>
          <w:color w:val="auto"/>
          <w:szCs w:val="20"/>
          <w:lang w:eastAsia="en-AU"/>
        </w:rPr>
        <w:t xml:space="preserve"> FISH testing are</w:t>
      </w:r>
      <w:r w:rsidRPr="00404C00">
        <w:rPr>
          <w:rFonts w:ascii="Times New Roman" w:eastAsia="Times New Roman" w:hAnsi="Times New Roman" w:cs="Times New Roman"/>
          <w:bCs/>
          <w:color w:val="auto"/>
          <w:szCs w:val="20"/>
          <w:lang w:eastAsia="en-AU"/>
        </w:rPr>
        <w:t>, this proposal was inconsistent with the proposed item descriptor.</w:t>
      </w:r>
    </w:p>
    <w:p w14:paraId="7A8564A0" w14:textId="77777777"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bCs/>
          <w:color w:val="auto"/>
          <w:szCs w:val="20"/>
          <w:lang w:eastAsia="en-AU"/>
        </w:rPr>
      </w:pPr>
      <w:r w:rsidRPr="00404C00">
        <w:rPr>
          <w:rFonts w:ascii="Times New Roman" w:eastAsia="Times New Roman" w:hAnsi="Times New Roman" w:cs="Times New Roman"/>
          <w:color w:val="auto"/>
          <w:szCs w:val="24"/>
          <w:lang w:eastAsia="en-AU"/>
        </w:rPr>
        <w:t xml:space="preserve">The ESCs discussed a frequency restriction for this MBS item, noting that PASC had referred to </w:t>
      </w:r>
      <w:r w:rsidRPr="00404C00">
        <w:rPr>
          <w:rFonts w:ascii="Times New Roman" w:eastAsia="Times New Roman" w:hAnsi="Times New Roman" w:cs="Times New Roman"/>
          <w:i/>
          <w:iCs/>
          <w:color w:val="auto"/>
          <w:szCs w:val="24"/>
          <w:lang w:eastAsia="en-AU"/>
        </w:rPr>
        <w:t>BRCA</w:t>
      </w:r>
      <w:r w:rsidRPr="00404C00">
        <w:rPr>
          <w:rFonts w:ascii="Times New Roman" w:eastAsia="Times New Roman" w:hAnsi="Times New Roman" w:cs="Times New Roman"/>
          <w:color w:val="auto"/>
          <w:szCs w:val="24"/>
          <w:lang w:eastAsia="en-AU"/>
        </w:rPr>
        <w:t xml:space="preserve"> testing having a once per lifetime frequency restriction, but that at present there is no frequency restriction on other comparable </w:t>
      </w:r>
      <w:r>
        <w:rPr>
          <w:rFonts w:ascii="Times New Roman" w:eastAsia="Times New Roman" w:hAnsi="Times New Roman" w:cs="Times New Roman"/>
          <w:color w:val="auto"/>
          <w:szCs w:val="24"/>
          <w:lang w:eastAsia="en-AU"/>
        </w:rPr>
        <w:t xml:space="preserve">lung molecular </w:t>
      </w:r>
      <w:r w:rsidRPr="00404C00">
        <w:rPr>
          <w:rFonts w:ascii="Times New Roman" w:eastAsia="Times New Roman" w:hAnsi="Times New Roman" w:cs="Times New Roman"/>
          <w:color w:val="auto"/>
          <w:szCs w:val="24"/>
          <w:lang w:eastAsia="en-AU"/>
        </w:rPr>
        <w:t>MBS items. The ESCs considered no frequency restriction on testing was reasonable.</w:t>
      </w:r>
    </w:p>
    <w:p w14:paraId="3DBDE3A4" w14:textId="5D40E92F"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bCs/>
          <w:color w:val="auto"/>
          <w:szCs w:val="20"/>
          <w:lang w:eastAsia="en-AU"/>
        </w:rPr>
      </w:pPr>
      <w:r w:rsidRPr="00404C00">
        <w:rPr>
          <w:rFonts w:ascii="Times New Roman" w:eastAsia="Times New Roman" w:hAnsi="Times New Roman" w:cs="Times New Roman"/>
          <w:bCs/>
          <w:color w:val="auto"/>
          <w:szCs w:val="20"/>
          <w:lang w:eastAsia="en-AU"/>
        </w:rPr>
        <w:t xml:space="preserve">The ESCs noted that the PICO and ADAR proposed testing for </w:t>
      </w:r>
      <w:r w:rsidRPr="00404C00">
        <w:rPr>
          <w:rFonts w:ascii="Times New Roman" w:eastAsia="Times New Roman" w:hAnsi="Times New Roman" w:cs="Times New Roman"/>
          <w:bCs/>
          <w:i/>
          <w:iCs/>
          <w:color w:val="auto"/>
          <w:szCs w:val="20"/>
          <w:lang w:eastAsia="en-AU"/>
        </w:rPr>
        <w:t>MET</w:t>
      </w:r>
      <w:r w:rsidRPr="00404C00">
        <w:rPr>
          <w:rFonts w:ascii="Times New Roman" w:eastAsia="Times New Roman" w:hAnsi="Times New Roman" w:cs="Times New Roman"/>
          <w:bCs/>
          <w:color w:val="auto"/>
          <w:szCs w:val="20"/>
          <w:lang w:eastAsia="en-AU"/>
        </w:rPr>
        <w:t xml:space="preserve">ex14sk only in patients who are negative for </w:t>
      </w:r>
      <w:r w:rsidRPr="00404C00">
        <w:rPr>
          <w:rFonts w:ascii="Times New Roman" w:eastAsia="Times New Roman" w:hAnsi="Times New Roman" w:cs="Times New Roman"/>
          <w:bCs/>
          <w:i/>
          <w:iCs/>
          <w:color w:val="auto"/>
          <w:szCs w:val="20"/>
          <w:lang w:eastAsia="en-AU"/>
        </w:rPr>
        <w:t>EGFR</w:t>
      </w:r>
      <w:r w:rsidRPr="00404C00">
        <w:rPr>
          <w:rFonts w:ascii="Times New Roman" w:eastAsia="Times New Roman" w:hAnsi="Times New Roman" w:cs="Times New Roman"/>
          <w:bCs/>
          <w:color w:val="auto"/>
          <w:szCs w:val="20"/>
          <w:lang w:eastAsia="en-AU"/>
        </w:rPr>
        <w:t xml:space="preserve"> </w:t>
      </w:r>
      <w:r w:rsidR="003A397D">
        <w:rPr>
          <w:rFonts w:ascii="Times New Roman" w:eastAsia="Times New Roman" w:hAnsi="Times New Roman" w:cs="Times New Roman"/>
          <w:bCs/>
          <w:color w:val="auto"/>
          <w:szCs w:val="20"/>
          <w:lang w:eastAsia="en-AU"/>
        </w:rPr>
        <w:t>pathogenic variants</w:t>
      </w:r>
      <w:r w:rsidRPr="00404C00">
        <w:rPr>
          <w:rFonts w:ascii="Times New Roman" w:eastAsia="Times New Roman" w:hAnsi="Times New Roman" w:cs="Times New Roman"/>
          <w:bCs/>
          <w:color w:val="auto"/>
          <w:szCs w:val="20"/>
          <w:lang w:eastAsia="en-AU"/>
        </w:rPr>
        <w:t xml:space="preserve">, though the applicant had altered its proposal in the pre-ESC response to propose testing only in patients negative for </w:t>
      </w:r>
      <w:r w:rsidRPr="00404C00">
        <w:rPr>
          <w:rFonts w:ascii="Times New Roman" w:eastAsia="Times New Roman" w:hAnsi="Times New Roman" w:cs="Times New Roman"/>
          <w:bCs/>
          <w:i/>
          <w:iCs/>
          <w:color w:val="auto"/>
          <w:szCs w:val="20"/>
          <w:lang w:eastAsia="en-AU"/>
        </w:rPr>
        <w:t>EGFR</w:t>
      </w:r>
      <w:r w:rsidRPr="00404C00">
        <w:rPr>
          <w:rFonts w:ascii="Times New Roman" w:eastAsia="Times New Roman" w:hAnsi="Times New Roman" w:cs="Times New Roman"/>
          <w:bCs/>
          <w:color w:val="auto"/>
          <w:szCs w:val="20"/>
          <w:lang w:eastAsia="en-AU"/>
        </w:rPr>
        <w:t xml:space="preserve">, </w:t>
      </w:r>
      <w:r w:rsidRPr="002D4671">
        <w:rPr>
          <w:rFonts w:ascii="Times New Roman" w:eastAsia="Times New Roman" w:hAnsi="Times New Roman" w:cs="Times New Roman"/>
          <w:bCs/>
          <w:i/>
          <w:iCs/>
          <w:color w:val="auto"/>
          <w:szCs w:val="20"/>
          <w:lang w:eastAsia="en-AU"/>
        </w:rPr>
        <w:t>ALK</w:t>
      </w:r>
      <w:r w:rsidRPr="00404C00">
        <w:rPr>
          <w:rFonts w:ascii="Times New Roman" w:eastAsia="Times New Roman" w:hAnsi="Times New Roman" w:cs="Times New Roman"/>
          <w:bCs/>
          <w:color w:val="auto"/>
          <w:szCs w:val="20"/>
          <w:lang w:eastAsia="en-AU"/>
        </w:rPr>
        <w:t xml:space="preserve"> and </w:t>
      </w:r>
      <w:r w:rsidRPr="002D4671">
        <w:rPr>
          <w:rFonts w:ascii="Times New Roman" w:eastAsia="Times New Roman" w:hAnsi="Times New Roman" w:cs="Times New Roman"/>
          <w:bCs/>
          <w:i/>
          <w:iCs/>
          <w:color w:val="auto"/>
          <w:szCs w:val="20"/>
          <w:lang w:eastAsia="en-AU"/>
        </w:rPr>
        <w:t>ROS1</w:t>
      </w:r>
      <w:r>
        <w:rPr>
          <w:rFonts w:ascii="Times New Roman" w:eastAsia="Times New Roman" w:hAnsi="Times New Roman" w:cs="Times New Roman"/>
          <w:bCs/>
          <w:color w:val="auto"/>
          <w:szCs w:val="20"/>
          <w:lang w:eastAsia="en-AU"/>
        </w:rPr>
        <w:t xml:space="preserve"> biomarkers, consistent with sequential testing.</w:t>
      </w:r>
    </w:p>
    <w:p w14:paraId="0C2A5EB6" w14:textId="2F874F47"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color w:val="auto"/>
          <w:szCs w:val="24"/>
          <w:lang w:eastAsia="en-AU"/>
        </w:rPr>
      </w:pPr>
      <w:r w:rsidRPr="00404C00">
        <w:rPr>
          <w:rFonts w:ascii="Times New Roman" w:eastAsia="Times New Roman" w:hAnsi="Times New Roman" w:cs="Times New Roman"/>
          <w:bCs/>
          <w:color w:val="auto"/>
          <w:szCs w:val="20"/>
          <w:lang w:eastAsia="en-AU"/>
        </w:rPr>
        <w:t xml:space="preserve">The ESCs discussed the clinical validity and clinical utility of the proposed testing. </w:t>
      </w:r>
      <w:r w:rsidRPr="00404C00">
        <w:rPr>
          <w:rFonts w:ascii="Times New Roman" w:eastAsia="Times New Roman" w:hAnsi="Times New Roman" w:cs="Times New Roman"/>
          <w:color w:val="auto"/>
          <w:szCs w:val="24"/>
          <w:lang w:eastAsia="en-AU"/>
        </w:rPr>
        <w:t xml:space="preserve">The ESCs noted that the ADAR concluded patients with </w:t>
      </w:r>
      <w:r w:rsidRPr="00404C00">
        <w:rPr>
          <w:rFonts w:ascii="Times New Roman" w:eastAsia="Times New Roman" w:hAnsi="Times New Roman" w:cs="Times New Roman"/>
          <w:i/>
          <w:iCs/>
          <w:color w:val="auto"/>
          <w:szCs w:val="24"/>
          <w:lang w:eastAsia="en-AU"/>
        </w:rPr>
        <w:t>MET</w:t>
      </w:r>
      <w:r w:rsidRPr="00404C00">
        <w:rPr>
          <w:rFonts w:ascii="Times New Roman" w:eastAsia="Times New Roman" w:hAnsi="Times New Roman" w:cs="Times New Roman"/>
          <w:color w:val="auto"/>
          <w:szCs w:val="24"/>
          <w:lang w:eastAsia="en-AU"/>
        </w:rPr>
        <w:t xml:space="preserve">ex14sk have a poorer prognosis, however the commentary had found only a non-significant trend so regarded it as unclear whether </w:t>
      </w:r>
      <w:r w:rsidRPr="00404C00">
        <w:rPr>
          <w:rFonts w:ascii="Times New Roman" w:eastAsia="Times New Roman" w:hAnsi="Times New Roman" w:cs="Times New Roman"/>
          <w:i/>
          <w:iCs/>
          <w:color w:val="auto"/>
          <w:szCs w:val="24"/>
          <w:lang w:eastAsia="en-AU"/>
        </w:rPr>
        <w:t>MET</w:t>
      </w:r>
      <w:r w:rsidRPr="00404C00">
        <w:rPr>
          <w:rFonts w:ascii="Times New Roman" w:eastAsia="Times New Roman" w:hAnsi="Times New Roman" w:cs="Times New Roman"/>
          <w:color w:val="auto"/>
          <w:szCs w:val="24"/>
          <w:lang w:eastAsia="en-AU"/>
        </w:rPr>
        <w:t>ex14sk are an independent prognostic factor. The ESCs noted that there was no evidence</w:t>
      </w:r>
      <w:r>
        <w:rPr>
          <w:rFonts w:ascii="Times New Roman" w:eastAsia="Times New Roman" w:hAnsi="Times New Roman" w:cs="Times New Roman"/>
          <w:color w:val="auto"/>
          <w:szCs w:val="24"/>
          <w:lang w:eastAsia="en-AU"/>
        </w:rPr>
        <w:t xml:space="preserve"> available</w:t>
      </w:r>
      <w:r w:rsidRPr="00404C00">
        <w:rPr>
          <w:rFonts w:ascii="Times New Roman" w:eastAsia="Times New Roman" w:hAnsi="Times New Roman" w:cs="Times New Roman"/>
          <w:color w:val="auto"/>
          <w:szCs w:val="24"/>
          <w:lang w:eastAsia="en-AU"/>
        </w:rPr>
        <w:t xml:space="preserve"> of a change in management based on </w:t>
      </w:r>
      <w:r w:rsidRPr="00404C00">
        <w:rPr>
          <w:rFonts w:ascii="Times New Roman" w:eastAsia="Times New Roman" w:hAnsi="Times New Roman" w:cs="Times New Roman"/>
          <w:i/>
          <w:iCs/>
          <w:color w:val="auto"/>
          <w:szCs w:val="24"/>
          <w:lang w:eastAsia="en-AU"/>
        </w:rPr>
        <w:t>MET</w:t>
      </w:r>
      <w:r w:rsidRPr="00404C00">
        <w:rPr>
          <w:rFonts w:ascii="Times New Roman" w:eastAsia="Times New Roman" w:hAnsi="Times New Roman" w:cs="Times New Roman"/>
          <w:color w:val="auto"/>
          <w:szCs w:val="24"/>
          <w:lang w:eastAsia="en-AU"/>
        </w:rPr>
        <w:t xml:space="preserve">ex14sk testing, and considered that at present there is no evidence from any clinical trial to prove whether patients respond differently to tepotinib based on whether a </w:t>
      </w:r>
      <w:r w:rsidRPr="00404C00">
        <w:rPr>
          <w:rFonts w:ascii="Times New Roman" w:eastAsia="Times New Roman" w:hAnsi="Times New Roman" w:cs="Times New Roman"/>
          <w:i/>
          <w:iCs/>
          <w:color w:val="auto"/>
          <w:szCs w:val="24"/>
          <w:lang w:eastAsia="en-AU"/>
        </w:rPr>
        <w:t>MET</w:t>
      </w:r>
      <w:r w:rsidRPr="00404C00">
        <w:rPr>
          <w:rFonts w:ascii="Times New Roman" w:eastAsia="Times New Roman" w:hAnsi="Times New Roman" w:cs="Times New Roman"/>
          <w:color w:val="auto"/>
          <w:szCs w:val="24"/>
          <w:lang w:eastAsia="en-AU"/>
        </w:rPr>
        <w:t xml:space="preserve">ex14sk is present or not. </w:t>
      </w:r>
      <w:r w:rsidRPr="00404C00">
        <w:rPr>
          <w:rFonts w:ascii="Times New Roman" w:eastAsia="Times New Roman" w:hAnsi="Times New Roman" w:cs="Times New Roman"/>
          <w:bCs/>
          <w:color w:val="auto"/>
          <w:szCs w:val="20"/>
          <w:lang w:eastAsia="en-AU"/>
        </w:rPr>
        <w:t xml:space="preserve">The ESCs noted the ADAR referred to the single-arm VISION trial in which all patients with </w:t>
      </w:r>
      <w:r w:rsidRPr="00404C00">
        <w:rPr>
          <w:rFonts w:ascii="Times New Roman" w:eastAsia="Times New Roman" w:hAnsi="Times New Roman" w:cs="Times New Roman"/>
          <w:i/>
          <w:iCs/>
          <w:color w:val="auto"/>
          <w:szCs w:val="24"/>
          <w:lang w:eastAsia="en-AU"/>
        </w:rPr>
        <w:t>MET</w:t>
      </w:r>
      <w:r w:rsidRPr="00404C00">
        <w:rPr>
          <w:rFonts w:ascii="Times New Roman" w:eastAsia="Times New Roman" w:hAnsi="Times New Roman" w:cs="Times New Roman"/>
          <w:color w:val="auto"/>
          <w:szCs w:val="24"/>
          <w:lang w:eastAsia="en-AU"/>
        </w:rPr>
        <w:t xml:space="preserve">ex14sk were treated with tepotinib. The ESCs noted that only a small number of patients were treated with first-line tepotinib in the VISION trial (n=65), and considered the unanchored naïve comparisons across VISION and KN189 increased uncertainty in the analysis. The ESCs considered this makes it difficult to distinguish between the </w:t>
      </w:r>
      <w:r w:rsidRPr="00404C00">
        <w:rPr>
          <w:rFonts w:ascii="Times New Roman" w:eastAsia="Times New Roman" w:hAnsi="Times New Roman" w:cs="Times New Roman"/>
          <w:bCs/>
          <w:color w:val="auto"/>
          <w:szCs w:val="20"/>
          <w:lang w:eastAsia="en-AU"/>
        </w:rPr>
        <w:t xml:space="preserve">prognostic value (clinical validity) and predictive value (clinical utility) of </w:t>
      </w:r>
      <w:r w:rsidRPr="00404C00">
        <w:rPr>
          <w:rFonts w:ascii="Times New Roman" w:eastAsia="Times New Roman" w:hAnsi="Times New Roman" w:cs="Times New Roman"/>
          <w:bCs/>
          <w:i/>
          <w:iCs/>
          <w:color w:val="auto"/>
          <w:szCs w:val="24"/>
          <w:lang w:eastAsia="en-AU"/>
        </w:rPr>
        <w:t>MET</w:t>
      </w:r>
      <w:r w:rsidRPr="00404C00">
        <w:rPr>
          <w:rFonts w:ascii="Times New Roman" w:eastAsia="Times New Roman" w:hAnsi="Times New Roman" w:cs="Times New Roman"/>
          <w:bCs/>
          <w:color w:val="auto"/>
          <w:szCs w:val="24"/>
          <w:lang w:eastAsia="en-AU"/>
        </w:rPr>
        <w:t>ex14sk.</w:t>
      </w:r>
    </w:p>
    <w:p w14:paraId="60AD2058" w14:textId="3C844F0F"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color w:val="auto"/>
          <w:szCs w:val="24"/>
          <w:lang w:eastAsia="en-AU"/>
        </w:rPr>
      </w:pPr>
      <w:r w:rsidRPr="00404C00">
        <w:rPr>
          <w:rFonts w:ascii="Times New Roman" w:eastAsia="Times New Roman" w:hAnsi="Times New Roman" w:cs="Times New Roman"/>
          <w:color w:val="auto"/>
          <w:szCs w:val="24"/>
          <w:lang w:eastAsia="en-AU"/>
        </w:rPr>
        <w:t xml:space="preserve">The ESCs noted that </w:t>
      </w:r>
      <w:r w:rsidRPr="00404C00">
        <w:rPr>
          <w:rFonts w:ascii="Times New Roman" w:eastAsia="Times New Roman" w:hAnsi="Times New Roman" w:cs="Times New Roman"/>
          <w:i/>
          <w:iCs/>
          <w:color w:val="auto"/>
          <w:szCs w:val="24"/>
          <w:lang w:eastAsia="en-AU"/>
        </w:rPr>
        <w:t>MET</w:t>
      </w:r>
      <w:r w:rsidRPr="00404C00">
        <w:rPr>
          <w:rFonts w:ascii="Times New Roman" w:eastAsia="Times New Roman" w:hAnsi="Times New Roman" w:cs="Times New Roman"/>
          <w:color w:val="auto"/>
          <w:szCs w:val="24"/>
          <w:lang w:eastAsia="en-AU"/>
        </w:rPr>
        <w:t xml:space="preserve">ex14sk testing can be conducted using DNA and/or RNA, but that both have limitations. RNA-based testing is more accurate than DNA-based but relies on the successful retrieval of high-quality RNA for testing, which is not possible in many cases as RNA is more vulnerable to degradation. The ESCs noted that PASC had advised the evidentiary standard against which </w:t>
      </w:r>
      <w:r w:rsidRPr="00404C00">
        <w:rPr>
          <w:rFonts w:ascii="Times New Roman" w:eastAsia="Times New Roman" w:hAnsi="Times New Roman" w:cs="Times New Roman"/>
          <w:i/>
          <w:iCs/>
          <w:color w:val="auto"/>
          <w:szCs w:val="24"/>
          <w:lang w:eastAsia="en-AU"/>
        </w:rPr>
        <w:t>MET</w:t>
      </w:r>
      <w:r w:rsidRPr="00404C00">
        <w:rPr>
          <w:rFonts w:ascii="Times New Roman" w:eastAsia="Times New Roman" w:hAnsi="Times New Roman" w:cs="Times New Roman"/>
          <w:color w:val="auto"/>
          <w:szCs w:val="24"/>
          <w:lang w:eastAsia="en-AU"/>
        </w:rPr>
        <w:t>ex14sk testing is assessed should be that of the VISION trial, however that trial allowed two types of test sample: liquid biopsy and tissue biopsy; and two test methods: RNA-based and DNA-based. The ESCs noted the ADAR considered one validation study using the OFA. The ESCs noted the commentary added two studies to the assessment of analytical performance, but that there remained a risk of bias due to small sample size, so the true positive and negative percent agreement was indeterminable. The ESCs noted the ADAR and pre-ESC response stated that testing will rely on NATA/NPAAC accreditation, though considered it is unclear on what basis NATA/NPAAC (or TGA) would establish the validation of companion diagnostic tests.</w:t>
      </w:r>
    </w:p>
    <w:p w14:paraId="6A2354C2" w14:textId="7D170358" w:rsidR="0093087D" w:rsidRPr="00404C00" w:rsidRDefault="0093087D" w:rsidP="00191AEE">
      <w:pPr>
        <w:tabs>
          <w:tab w:val="left" w:pos="2265"/>
          <w:tab w:val="left" w:pos="3420"/>
          <w:tab w:val="left" w:pos="4320"/>
        </w:tabs>
        <w:spacing w:before="240" w:after="0"/>
        <w:jc w:val="left"/>
        <w:rPr>
          <w:rFonts w:ascii="Times New Roman" w:eastAsia="Times New Roman" w:hAnsi="Times New Roman" w:cs="Times New Roman"/>
          <w:color w:val="auto"/>
          <w:szCs w:val="24"/>
          <w:lang w:eastAsia="en-AU"/>
        </w:rPr>
      </w:pPr>
      <w:r w:rsidRPr="00404C00">
        <w:rPr>
          <w:rFonts w:ascii="Times New Roman" w:eastAsia="Times New Roman" w:hAnsi="Times New Roman" w:cs="Times New Roman"/>
          <w:color w:val="auto"/>
          <w:szCs w:val="24"/>
          <w:lang w:eastAsia="en-AU"/>
        </w:rPr>
        <w:t xml:space="preserve">The ESCs noted that the ADAR did not consider retesting rates. The commentary considered 15% may be appropriate, and the RCPA commented that retesting rates may be similar to </w:t>
      </w:r>
      <w:r w:rsidRPr="00404C00">
        <w:rPr>
          <w:rFonts w:ascii="Times New Roman" w:eastAsia="Times New Roman" w:hAnsi="Times New Roman" w:cs="Times New Roman"/>
          <w:i/>
          <w:iCs/>
          <w:color w:val="auto"/>
          <w:szCs w:val="24"/>
          <w:lang w:eastAsia="en-AU"/>
        </w:rPr>
        <w:t>EGFR</w:t>
      </w:r>
      <w:r w:rsidRPr="00404C00">
        <w:rPr>
          <w:rFonts w:ascii="Times New Roman" w:eastAsia="Times New Roman" w:hAnsi="Times New Roman" w:cs="Times New Roman"/>
          <w:color w:val="auto"/>
          <w:szCs w:val="24"/>
          <w:lang w:eastAsia="en-AU"/>
        </w:rPr>
        <w:t xml:space="preserve"> re-testing rates. The commentary conducted a </w:t>
      </w:r>
      <w:r w:rsidRPr="007E4BF0">
        <w:rPr>
          <w:rFonts w:ascii="Times New Roman" w:eastAsia="Times New Roman" w:hAnsi="Times New Roman" w:cs="Times New Roman"/>
          <w:color w:val="auto"/>
          <w:szCs w:val="24"/>
          <w:lang w:eastAsia="en-AU"/>
        </w:rPr>
        <w:t xml:space="preserve">sensitivity analysis to account for re-testing by increasing the number of patients needed to test per positive case from 32.9 to 50. The ESCs noted this reduced the cost-minimised price of </w:t>
      </w:r>
      <w:proofErr w:type="spellStart"/>
      <w:r w:rsidRPr="007E4BF0">
        <w:rPr>
          <w:rFonts w:ascii="Times New Roman" w:eastAsia="Times New Roman" w:hAnsi="Times New Roman" w:cs="Times New Roman"/>
          <w:color w:val="auto"/>
          <w:szCs w:val="24"/>
          <w:lang w:eastAsia="en-AU"/>
        </w:rPr>
        <w:t>tepotinib</w:t>
      </w:r>
      <w:proofErr w:type="spellEnd"/>
      <w:r w:rsidRPr="007E4BF0">
        <w:rPr>
          <w:rFonts w:ascii="Times New Roman" w:eastAsia="Times New Roman" w:hAnsi="Times New Roman" w:cs="Times New Roman"/>
          <w:color w:val="auto"/>
          <w:szCs w:val="24"/>
          <w:lang w:eastAsia="en-AU"/>
        </w:rPr>
        <w:t xml:space="preserve"> by 5.5%, and advised it would increase the cost to the MBS from $</w:t>
      </w:r>
      <w:bookmarkStart w:id="20" w:name="_Hlk95144130"/>
      <w:r w:rsidR="00D13AD9" w:rsidRPr="00AC6A7B">
        <w:rPr>
          <w:rFonts w:ascii="Times New Roman" w:eastAsia="Times New Roman" w:hAnsi="Times New Roman" w:cs="Times New Roman"/>
          <w:i/>
          <w:iCs/>
          <w:color w:val="auto"/>
          <w:szCs w:val="24"/>
          <w:lang w:eastAsia="en-AU"/>
        </w:rPr>
        <w:t>0 to &lt; $10 million</w:t>
      </w:r>
      <w:bookmarkEnd w:id="20"/>
      <w:r w:rsidRPr="007E4BF0">
        <w:rPr>
          <w:rFonts w:ascii="Times New Roman" w:eastAsia="Times New Roman" w:hAnsi="Times New Roman" w:cs="Times New Roman"/>
          <w:color w:val="auto"/>
          <w:szCs w:val="24"/>
          <w:lang w:eastAsia="en-AU"/>
        </w:rPr>
        <w:t xml:space="preserve"> per year in the</w:t>
      </w:r>
      <w:r w:rsidRPr="00404C00">
        <w:rPr>
          <w:rFonts w:ascii="Times New Roman" w:eastAsia="Times New Roman" w:hAnsi="Times New Roman" w:cs="Times New Roman"/>
          <w:color w:val="auto"/>
          <w:szCs w:val="24"/>
          <w:lang w:eastAsia="en-AU"/>
        </w:rPr>
        <w:t xml:space="preserve"> base case, to $</w:t>
      </w:r>
      <w:r w:rsidR="00D13AD9" w:rsidRPr="00AC6A7B">
        <w:rPr>
          <w:rFonts w:ascii="Times New Roman" w:eastAsia="Times New Roman" w:hAnsi="Times New Roman" w:cs="Times New Roman"/>
          <w:i/>
          <w:iCs/>
          <w:color w:val="auto"/>
          <w:szCs w:val="24"/>
          <w:lang w:eastAsia="en-AU"/>
        </w:rPr>
        <w:t>0 to &lt; $10 million</w:t>
      </w:r>
      <w:r w:rsidRPr="00404C00">
        <w:rPr>
          <w:rFonts w:ascii="Times New Roman" w:eastAsia="Times New Roman" w:hAnsi="Times New Roman" w:cs="Times New Roman"/>
          <w:color w:val="auto"/>
          <w:szCs w:val="24"/>
          <w:lang w:eastAsia="en-AU"/>
        </w:rPr>
        <w:t xml:space="preserve"> per year. The ESCs noted the pre-ESC response provided sensitivity analyses with 6% and 8% re-testing rates.</w:t>
      </w:r>
    </w:p>
    <w:p w14:paraId="15BAA6CA" w14:textId="39DEC9B7" w:rsidR="0093087D" w:rsidRDefault="0093087D" w:rsidP="00191AEE">
      <w:pPr>
        <w:tabs>
          <w:tab w:val="left" w:pos="2265"/>
          <w:tab w:val="left" w:pos="3420"/>
          <w:tab w:val="left" w:pos="4320"/>
        </w:tabs>
        <w:spacing w:before="240" w:after="0"/>
        <w:jc w:val="left"/>
        <w:rPr>
          <w:rFonts w:ascii="Times New Roman" w:eastAsia="Times New Roman" w:hAnsi="Times New Roman" w:cs="Times New Roman"/>
          <w:color w:val="auto"/>
          <w:szCs w:val="24"/>
          <w:lang w:eastAsia="en-AU"/>
        </w:rPr>
      </w:pPr>
      <w:r w:rsidRPr="00404C00">
        <w:rPr>
          <w:rFonts w:ascii="Times New Roman" w:eastAsia="Times New Roman" w:hAnsi="Times New Roman" w:cs="Times New Roman"/>
          <w:color w:val="auto"/>
          <w:szCs w:val="24"/>
          <w:lang w:eastAsia="en-AU"/>
        </w:rPr>
        <w:lastRenderedPageBreak/>
        <w:t>The ESCs noted that consumer issues included the provision of early or prophylactic conservative support measures (e.g. leg elevation and support stockings)</w:t>
      </w:r>
      <w:r w:rsidRPr="00404C00">
        <w:rPr>
          <w:rFonts w:ascii="Times New Roman" w:eastAsia="Times New Roman" w:hAnsi="Times New Roman" w:cs="Times New Roman"/>
          <w:color w:val="auto"/>
          <w:szCs w:val="24"/>
          <w:vertAlign w:val="superscript"/>
          <w:lang w:eastAsia="en-AU"/>
        </w:rPr>
        <w:footnoteReference w:id="15"/>
      </w:r>
      <w:r w:rsidRPr="00404C00">
        <w:rPr>
          <w:rFonts w:ascii="Times New Roman" w:eastAsia="Times New Roman" w:hAnsi="Times New Roman" w:cs="Times New Roman"/>
          <w:color w:val="auto"/>
          <w:szCs w:val="24"/>
          <w:lang w:eastAsia="en-AU"/>
        </w:rPr>
        <w:t>, and whether testing should be performed on all patients with lung cancer, including those with squamous histology, because this is a targetable alteration</w:t>
      </w:r>
      <w:r w:rsidRPr="00404C00">
        <w:rPr>
          <w:rFonts w:ascii="Times New Roman" w:eastAsia="Times New Roman" w:hAnsi="Times New Roman" w:cs="Times New Roman"/>
          <w:color w:val="auto"/>
          <w:szCs w:val="24"/>
          <w:vertAlign w:val="superscript"/>
          <w:lang w:eastAsia="en-AU"/>
        </w:rPr>
        <w:footnoteReference w:id="16"/>
      </w:r>
      <w:r w:rsidRPr="00404C00">
        <w:rPr>
          <w:rFonts w:ascii="Times New Roman" w:eastAsia="Times New Roman" w:hAnsi="Times New Roman" w:cs="Times New Roman"/>
          <w:color w:val="auto"/>
          <w:szCs w:val="24"/>
          <w:lang w:eastAsia="en-AU"/>
        </w:rPr>
        <w:t>.</w:t>
      </w:r>
    </w:p>
    <w:p w14:paraId="5297EFAB" w14:textId="232467AC" w:rsidR="00191AEE" w:rsidRPr="00191AEE" w:rsidRDefault="00191AEE" w:rsidP="00191AEE">
      <w:pPr>
        <w:pStyle w:val="Heading1"/>
        <w:numPr>
          <w:ilvl w:val="0"/>
          <w:numId w:val="4"/>
        </w:numPr>
        <w:spacing w:before="240" w:after="240" w:line="240" w:lineRule="auto"/>
        <w:ind w:left="720" w:hanging="720"/>
        <w:rPr>
          <w:rFonts w:ascii="Arial" w:hAnsi="Arial" w:cs="Arial"/>
          <w:bCs/>
          <w:szCs w:val="28"/>
        </w:rPr>
      </w:pPr>
      <w:bookmarkStart w:id="21" w:name="_Hlk89077240"/>
      <w:r w:rsidRPr="00191AEE">
        <w:rPr>
          <w:rFonts w:ascii="Arial" w:hAnsi="Arial" w:cs="Arial"/>
          <w:bCs/>
          <w:szCs w:val="28"/>
        </w:rPr>
        <w:t>Other significant factors</w:t>
      </w:r>
    </w:p>
    <w:p w14:paraId="29D26431" w14:textId="52A364AA" w:rsidR="00191AEE" w:rsidRPr="00191AEE" w:rsidRDefault="00191AEE" w:rsidP="00191AEE">
      <w:pPr>
        <w:spacing w:before="240" w:after="240"/>
        <w:jc w:val="left"/>
        <w:rPr>
          <w:rFonts w:ascii="Times New Roman" w:hAnsi="Times New Roman" w:cs="Times New Roman"/>
          <w:szCs w:val="24"/>
        </w:rPr>
      </w:pPr>
      <w:r w:rsidRPr="00191AEE">
        <w:rPr>
          <w:rFonts w:ascii="Times New Roman" w:hAnsi="Times New Roman" w:cs="Times New Roman"/>
          <w:szCs w:val="24"/>
        </w:rPr>
        <w:t>Nil</w:t>
      </w:r>
      <w:r w:rsidR="00B66322">
        <w:rPr>
          <w:rFonts w:ascii="Times New Roman" w:hAnsi="Times New Roman" w:cs="Times New Roman"/>
          <w:szCs w:val="24"/>
        </w:rPr>
        <w:t>.</w:t>
      </w:r>
    </w:p>
    <w:p w14:paraId="075A62F4" w14:textId="0C2060F4" w:rsidR="00191AEE" w:rsidRPr="00191AEE" w:rsidRDefault="00191AEE" w:rsidP="00191AEE">
      <w:pPr>
        <w:pStyle w:val="Heading1"/>
        <w:numPr>
          <w:ilvl w:val="0"/>
          <w:numId w:val="4"/>
        </w:numPr>
        <w:spacing w:before="240" w:after="240" w:line="240" w:lineRule="auto"/>
        <w:ind w:left="720" w:hanging="720"/>
        <w:rPr>
          <w:rFonts w:ascii="Arial" w:hAnsi="Arial" w:cs="Arial"/>
          <w:bCs/>
          <w:szCs w:val="28"/>
        </w:rPr>
      </w:pPr>
      <w:bookmarkStart w:id="22" w:name="_Hlk89084910"/>
      <w:r w:rsidRPr="00191AEE">
        <w:rPr>
          <w:rFonts w:ascii="Arial" w:hAnsi="Arial" w:cs="Arial"/>
          <w:bCs/>
          <w:szCs w:val="28"/>
        </w:rPr>
        <w:t>Applicant comments on MSAC’s Public Summary Document</w:t>
      </w:r>
    </w:p>
    <w:p w14:paraId="5EDA09C9" w14:textId="1FE8F9FD" w:rsidR="0017317F" w:rsidRPr="0017317F" w:rsidRDefault="0017317F" w:rsidP="0017317F">
      <w:pPr>
        <w:tabs>
          <w:tab w:val="left" w:pos="2265"/>
          <w:tab w:val="left" w:pos="3420"/>
          <w:tab w:val="left" w:pos="4320"/>
        </w:tabs>
        <w:spacing w:before="240" w:after="0"/>
        <w:jc w:val="left"/>
        <w:rPr>
          <w:rFonts w:ascii="Times New Roman" w:eastAsia="Times New Roman" w:hAnsi="Times New Roman" w:cs="Times New Roman"/>
          <w:color w:val="auto"/>
          <w:szCs w:val="24"/>
          <w:lang w:eastAsia="en-AU"/>
        </w:rPr>
      </w:pPr>
      <w:r w:rsidRPr="0017317F">
        <w:rPr>
          <w:rFonts w:ascii="Times New Roman" w:eastAsia="Times New Roman" w:hAnsi="Times New Roman" w:cs="Times New Roman"/>
          <w:color w:val="auto"/>
          <w:szCs w:val="24"/>
          <w:lang w:eastAsia="en-AU"/>
        </w:rPr>
        <w:t xml:space="preserve">Merck Healthcare will continue to work with the Department to bring </w:t>
      </w:r>
      <w:proofErr w:type="spellStart"/>
      <w:r w:rsidRPr="0017317F">
        <w:rPr>
          <w:rFonts w:ascii="Times New Roman" w:eastAsia="Times New Roman" w:hAnsi="Times New Roman" w:cs="Times New Roman"/>
          <w:color w:val="auto"/>
          <w:szCs w:val="24"/>
          <w:lang w:eastAsia="en-AU"/>
        </w:rPr>
        <w:t>tepotinib</w:t>
      </w:r>
      <w:proofErr w:type="spellEnd"/>
      <w:r w:rsidRPr="0017317F">
        <w:rPr>
          <w:rFonts w:ascii="Times New Roman" w:eastAsia="Times New Roman" w:hAnsi="Times New Roman" w:cs="Times New Roman"/>
          <w:color w:val="auto"/>
          <w:szCs w:val="24"/>
          <w:lang w:eastAsia="en-AU"/>
        </w:rPr>
        <w:t xml:space="preserve"> to patients.</w:t>
      </w:r>
    </w:p>
    <w:p w14:paraId="68940B43" w14:textId="3168C1D8" w:rsidR="00191AEE" w:rsidRPr="00191AEE" w:rsidRDefault="00191AEE" w:rsidP="00191AEE">
      <w:pPr>
        <w:pStyle w:val="Heading1"/>
        <w:numPr>
          <w:ilvl w:val="0"/>
          <w:numId w:val="4"/>
        </w:numPr>
        <w:spacing w:before="240" w:after="240" w:line="240" w:lineRule="auto"/>
        <w:ind w:left="720" w:hanging="720"/>
        <w:rPr>
          <w:rFonts w:ascii="Arial" w:hAnsi="Arial" w:cs="Arial"/>
          <w:bCs/>
          <w:szCs w:val="28"/>
        </w:rPr>
      </w:pPr>
      <w:r w:rsidRPr="00191AEE">
        <w:rPr>
          <w:rFonts w:ascii="Arial" w:hAnsi="Arial" w:cs="Arial"/>
          <w:bCs/>
          <w:szCs w:val="28"/>
        </w:rPr>
        <w:t>Further information on MSAC</w:t>
      </w:r>
    </w:p>
    <w:p w14:paraId="32ED3F08" w14:textId="5F812BEF" w:rsidR="00191AEE" w:rsidRPr="00191AEE" w:rsidRDefault="00191AEE" w:rsidP="00191AEE">
      <w:pPr>
        <w:spacing w:before="240" w:after="240"/>
        <w:jc w:val="left"/>
        <w:rPr>
          <w:rFonts w:ascii="Times New Roman" w:hAnsi="Times New Roman" w:cs="Times New Roman"/>
          <w:szCs w:val="24"/>
        </w:rPr>
      </w:pPr>
      <w:r w:rsidRPr="00191AEE">
        <w:rPr>
          <w:rFonts w:ascii="Times New Roman" w:hAnsi="Times New Roman" w:cs="Times New Roman"/>
          <w:szCs w:val="24"/>
        </w:rPr>
        <w:t xml:space="preserve">MSAC Terms of Reference and other information are available on the MSAC Website: </w:t>
      </w:r>
      <w:r w:rsidRPr="00191AEE">
        <w:rPr>
          <w:rFonts w:ascii="Times New Roman" w:hAnsi="Times New Roman" w:cs="Times New Roman"/>
          <w:szCs w:val="24"/>
        </w:rPr>
        <w:br/>
      </w:r>
      <w:hyperlink r:id="rId12" w:tooltip="Link to Medical Services Advisory Committee website" w:history="1">
        <w:r w:rsidRPr="00191AEE">
          <w:rPr>
            <w:rStyle w:val="Hyperlink"/>
            <w:rFonts w:ascii="Times New Roman" w:hAnsi="Times New Roman" w:cs="Times New Roman"/>
          </w:rPr>
          <w:t>visit the MSAC website</w:t>
        </w:r>
      </w:hyperlink>
      <w:bookmarkEnd w:id="21"/>
      <w:r w:rsidRPr="00191AEE">
        <w:rPr>
          <w:rStyle w:val="Hyperlink"/>
          <w:rFonts w:ascii="Times New Roman" w:hAnsi="Times New Roman" w:cs="Times New Roman"/>
        </w:rPr>
        <w:t>s</w:t>
      </w:r>
      <w:bookmarkEnd w:id="22"/>
    </w:p>
    <w:sectPr w:rsidR="00191AEE" w:rsidRPr="00191A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2FE45" w14:textId="77777777" w:rsidR="009E498A" w:rsidRDefault="009E498A" w:rsidP="00BA3306">
      <w:pPr>
        <w:spacing w:before="0" w:after="0"/>
      </w:pPr>
      <w:r>
        <w:separator/>
      </w:r>
    </w:p>
    <w:p w14:paraId="588150D7" w14:textId="77777777" w:rsidR="009E498A" w:rsidRDefault="009E498A"/>
  </w:endnote>
  <w:endnote w:type="continuationSeparator" w:id="0">
    <w:p w14:paraId="53A21093" w14:textId="77777777" w:rsidR="009E498A" w:rsidRDefault="009E498A" w:rsidP="00BA3306">
      <w:pPr>
        <w:spacing w:before="0" w:after="0"/>
      </w:pPr>
      <w:r>
        <w:continuationSeparator/>
      </w:r>
    </w:p>
    <w:p w14:paraId="0B62A734" w14:textId="77777777" w:rsidR="009E498A" w:rsidRDefault="009E4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0000000000000000000"/>
    <w:charset w:val="00"/>
    <w:family w:val="roman"/>
    <w:notTrueType/>
    <w:pitch w:val="default"/>
  </w:font>
  <w:font w:name="AdvOTd710a12c+20">
    <w:altName w:val="Calibri"/>
    <w:panose1 w:val="00000000000000000000"/>
    <w:charset w:val="00"/>
    <w:family w:val="swiss"/>
    <w:notTrueType/>
    <w:pitch w:val="default"/>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Humanist 77 7 BT">
    <w:altName w:val="Calibri"/>
    <w:panose1 w:val="00000000000000000000"/>
    <w:charset w:val="00"/>
    <w:family w:val="swiss"/>
    <w:notTrueType/>
    <w:pitch w:val="default"/>
    <w:sig w:usb0="00000003" w:usb1="00000000" w:usb2="00000000" w:usb3="00000000" w:csb0="00000001" w:csb1="00000000"/>
  </w:font>
  <w:font w:name="Segoe MDL2 Assets">
    <w:panose1 w:val="050A0102010101010101"/>
    <w:charset w:val="00"/>
    <w:family w:val="roman"/>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EB23B" w14:textId="77777777" w:rsidR="009E498A" w:rsidRDefault="009E4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23893266"/>
      <w:docPartObj>
        <w:docPartGallery w:val="Page Numbers (Bottom of Page)"/>
        <w:docPartUnique/>
      </w:docPartObj>
    </w:sdtPr>
    <w:sdtEndPr>
      <w:rPr>
        <w:noProof/>
      </w:rPr>
    </w:sdtEndPr>
    <w:sdtContent>
      <w:p w14:paraId="6496968E" w14:textId="1ADE2DB1" w:rsidR="009E498A" w:rsidRPr="00913147" w:rsidRDefault="009E498A">
        <w:pPr>
          <w:pStyle w:val="Footer"/>
          <w:jc w:val="right"/>
          <w:rPr>
            <w:rFonts w:ascii="Times New Roman" w:hAnsi="Times New Roman" w:cs="Times New Roman"/>
          </w:rPr>
        </w:pPr>
        <w:r w:rsidRPr="00913147">
          <w:rPr>
            <w:rFonts w:ascii="Times New Roman" w:hAnsi="Times New Roman" w:cs="Times New Roman"/>
          </w:rPr>
          <w:fldChar w:fldCharType="begin"/>
        </w:r>
        <w:r w:rsidRPr="00913147">
          <w:rPr>
            <w:rFonts w:ascii="Times New Roman" w:hAnsi="Times New Roman" w:cs="Times New Roman"/>
          </w:rPr>
          <w:instrText xml:space="preserve"> PAGE   \* MERGEFORMAT </w:instrText>
        </w:r>
        <w:r w:rsidRPr="00913147">
          <w:rPr>
            <w:rFonts w:ascii="Times New Roman" w:hAnsi="Times New Roman" w:cs="Times New Roman"/>
          </w:rPr>
          <w:fldChar w:fldCharType="separate"/>
        </w:r>
        <w:r w:rsidRPr="00913147">
          <w:rPr>
            <w:rFonts w:ascii="Times New Roman" w:hAnsi="Times New Roman" w:cs="Times New Roman"/>
            <w:noProof/>
          </w:rPr>
          <w:t>2</w:t>
        </w:r>
        <w:r w:rsidRPr="00913147">
          <w:rPr>
            <w:rFonts w:ascii="Times New Roman" w:hAnsi="Times New Roman" w:cs="Times New Roman"/>
            <w:noProof/>
          </w:rPr>
          <w:fldChar w:fldCharType="end"/>
        </w:r>
      </w:p>
    </w:sdtContent>
  </w:sdt>
  <w:p w14:paraId="1014240C" w14:textId="77777777" w:rsidR="009E498A" w:rsidRDefault="009E4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E2D4" w14:textId="77777777" w:rsidR="009E498A" w:rsidRDefault="009E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57C7" w14:textId="77777777" w:rsidR="009E498A" w:rsidRDefault="009E498A" w:rsidP="001D527B">
      <w:pPr>
        <w:spacing w:before="0" w:after="0"/>
      </w:pPr>
      <w:r>
        <w:separator/>
      </w:r>
    </w:p>
  </w:footnote>
  <w:footnote w:type="continuationSeparator" w:id="0">
    <w:p w14:paraId="0999B3F0" w14:textId="77777777" w:rsidR="009E498A" w:rsidRDefault="009E498A" w:rsidP="00BA3306">
      <w:pPr>
        <w:spacing w:before="0" w:after="0"/>
      </w:pPr>
      <w:r>
        <w:continuationSeparator/>
      </w:r>
    </w:p>
    <w:p w14:paraId="6898A4B3" w14:textId="77777777" w:rsidR="009E498A" w:rsidRDefault="009E498A"/>
  </w:footnote>
  <w:footnote w:id="1">
    <w:p w14:paraId="7FC641D5" w14:textId="77777777" w:rsidR="009E498A" w:rsidRPr="009F5AD6" w:rsidRDefault="009E498A" w:rsidP="00404C00">
      <w:pPr>
        <w:pStyle w:val="FootnoteText"/>
        <w:rPr>
          <w:lang w:val="en-US"/>
        </w:rPr>
      </w:pPr>
      <w:r>
        <w:rPr>
          <w:rStyle w:val="FootnoteReference"/>
        </w:rPr>
        <w:footnoteRef/>
      </w:r>
      <w:r>
        <w:t xml:space="preserve"> </w:t>
      </w:r>
      <w:hyperlink r:id="rId1" w:history="1">
        <w:r w:rsidRPr="008834F9">
          <w:rPr>
            <w:rStyle w:val="Hyperlink"/>
          </w:rPr>
          <w:t>https://www.aihw.gov.au/reports/cancer/cancer-data-in-australia/contents/cancer-summary-data-visualisation</w:t>
        </w:r>
      </w:hyperlink>
    </w:p>
  </w:footnote>
  <w:footnote w:id="2">
    <w:p w14:paraId="73D87360" w14:textId="77777777" w:rsidR="009E498A" w:rsidRPr="009F5AD6" w:rsidRDefault="009E498A" w:rsidP="00404C00">
      <w:pPr>
        <w:pStyle w:val="FootnoteText"/>
        <w:rPr>
          <w:lang w:val="en-US"/>
        </w:rPr>
      </w:pPr>
      <w:r>
        <w:rPr>
          <w:rStyle w:val="FootnoteReference"/>
        </w:rPr>
        <w:footnoteRef/>
      </w:r>
      <w:r>
        <w:t xml:space="preserve"> </w:t>
      </w:r>
      <w:hyperlink r:id="rId2" w:history="1">
        <w:r w:rsidRPr="008834F9">
          <w:rPr>
            <w:rStyle w:val="Hyperlink"/>
          </w:rPr>
          <w:t>https://www.cancer.org.au/cancer-information/types-of-cancer/lung-cancer</w:t>
        </w:r>
      </w:hyperlink>
    </w:p>
  </w:footnote>
  <w:footnote w:id="3">
    <w:p w14:paraId="51CF1266" w14:textId="1BDF6DE9" w:rsidR="009E498A" w:rsidRDefault="009E498A" w:rsidP="00404C00">
      <w:pPr>
        <w:pStyle w:val="FootnoteText"/>
      </w:pPr>
      <w:r>
        <w:rPr>
          <w:rStyle w:val="FootnoteReference"/>
        </w:rPr>
        <w:footnoteRef/>
      </w:r>
      <w:r>
        <w:t xml:space="preserve"> </w:t>
      </w:r>
      <w:r w:rsidRPr="005806CA">
        <w:t xml:space="preserve">Salgia, R., et al. (2020). The promise of selective MET inhibitors in non-small cell lung cancer with </w:t>
      </w:r>
      <w:r w:rsidRPr="007021C1">
        <w:rPr>
          <w:i/>
          <w:iCs/>
        </w:rPr>
        <w:t>MET</w:t>
      </w:r>
      <w:r w:rsidRPr="005806CA">
        <w:t xml:space="preserve"> exon 14 skipping. </w:t>
      </w:r>
      <w:r w:rsidRPr="00DB16BC">
        <w:rPr>
          <w:i/>
          <w:iCs/>
        </w:rPr>
        <w:t>Cancer Treat Rev</w:t>
      </w:r>
      <w:r>
        <w:t>,</w:t>
      </w:r>
      <w:r w:rsidRPr="005806CA">
        <w:t xml:space="preserve"> </w:t>
      </w:r>
      <w:r w:rsidRPr="00DB16BC">
        <w:rPr>
          <w:b/>
          <w:bCs/>
        </w:rPr>
        <w:t>87</w:t>
      </w:r>
      <w:r w:rsidRPr="005806CA">
        <w:t>: 102022.</w:t>
      </w:r>
    </w:p>
  </w:footnote>
  <w:footnote w:id="4">
    <w:p w14:paraId="1001BBE2" w14:textId="5B627E2B" w:rsidR="009E498A" w:rsidRDefault="009E498A" w:rsidP="00404C00">
      <w:pPr>
        <w:pStyle w:val="FootnoteText"/>
      </w:pPr>
      <w:r>
        <w:rPr>
          <w:rStyle w:val="FootnoteReference"/>
        </w:rPr>
        <w:footnoteRef/>
      </w:r>
      <w:r>
        <w:t xml:space="preserve"> </w:t>
      </w:r>
      <w:r w:rsidRPr="007021C1">
        <w:t xml:space="preserve">von Itzstein, M. S., et al. (2019). Increasing Numbers and Reported Adverse Events in Patients with Lung Cancer Undergoing Inpatient Lung Biopsies: A Population-Based Analysis. </w:t>
      </w:r>
      <w:r w:rsidRPr="00DB16BC">
        <w:rPr>
          <w:i/>
          <w:iCs/>
        </w:rPr>
        <w:t>Lung</w:t>
      </w:r>
      <w:r>
        <w:t>,</w:t>
      </w:r>
      <w:r w:rsidRPr="007021C1">
        <w:t xml:space="preserve"> </w:t>
      </w:r>
      <w:r w:rsidRPr="00DB16BC">
        <w:rPr>
          <w:b/>
          <w:bCs/>
        </w:rPr>
        <w:t>197</w:t>
      </w:r>
      <w:r w:rsidRPr="007021C1">
        <w:t>(5): 593-599.</w:t>
      </w:r>
    </w:p>
  </w:footnote>
  <w:footnote w:id="5">
    <w:p w14:paraId="2D918500" w14:textId="4B5C2641" w:rsidR="009E498A" w:rsidRDefault="009E498A" w:rsidP="00404C00">
      <w:pPr>
        <w:pStyle w:val="FootnoteText"/>
      </w:pPr>
      <w:r>
        <w:rPr>
          <w:rStyle w:val="FootnoteReference"/>
        </w:rPr>
        <w:footnoteRef/>
      </w:r>
      <w:r>
        <w:t xml:space="preserve"> </w:t>
      </w:r>
      <w:proofErr w:type="spellStart"/>
      <w:r w:rsidRPr="0052438F">
        <w:t>Gow</w:t>
      </w:r>
      <w:proofErr w:type="spellEnd"/>
      <w:r w:rsidRPr="0052438F">
        <w:t xml:space="preserve">, C. H., et al. (2017). A comprehensive analysis of clinical outcomes in lung cancer patients harboring a </w:t>
      </w:r>
      <w:r w:rsidRPr="007021C1">
        <w:rPr>
          <w:i/>
          <w:iCs/>
        </w:rPr>
        <w:t>MET</w:t>
      </w:r>
      <w:r w:rsidRPr="0052438F">
        <w:t xml:space="preserve"> exon 14 skipping mutation compared to other driver mutations in an East Asian population. </w:t>
      </w:r>
      <w:r w:rsidRPr="00DB16BC">
        <w:rPr>
          <w:i/>
          <w:iCs/>
        </w:rPr>
        <w:t>Lung Cancer</w:t>
      </w:r>
      <w:r>
        <w:t>,</w:t>
      </w:r>
      <w:r w:rsidRPr="0052438F">
        <w:t xml:space="preserve"> </w:t>
      </w:r>
      <w:r w:rsidRPr="00DB16BC">
        <w:rPr>
          <w:b/>
          <w:bCs/>
        </w:rPr>
        <w:t>103</w:t>
      </w:r>
      <w:r w:rsidRPr="0052438F">
        <w:t>: 82-89.</w:t>
      </w:r>
    </w:p>
  </w:footnote>
  <w:footnote w:id="6">
    <w:p w14:paraId="42A817CF" w14:textId="7D856B15" w:rsidR="009E498A" w:rsidRPr="003851A7" w:rsidRDefault="009E498A" w:rsidP="00404C00">
      <w:pPr>
        <w:pStyle w:val="FootnoteText"/>
      </w:pPr>
      <w:r>
        <w:rPr>
          <w:rStyle w:val="FootnoteReference"/>
        </w:rPr>
        <w:footnoteRef/>
      </w:r>
      <w:r>
        <w:t xml:space="preserve"> Hur, J. Y. et al. (2020). </w:t>
      </w:r>
      <w:r w:rsidRPr="003851A7">
        <w:t xml:space="preserve">Characteristics and Clinical Outcomes of Non-small Cell Lung Cancer Patients in Korea With </w:t>
      </w:r>
      <w:r w:rsidRPr="007021C1">
        <w:rPr>
          <w:i/>
          <w:iCs/>
        </w:rPr>
        <w:t>MET</w:t>
      </w:r>
      <w:r w:rsidRPr="003851A7">
        <w:t xml:space="preserve"> Exon 14 Skipping</w:t>
      </w:r>
      <w:r>
        <w:t xml:space="preserve">. </w:t>
      </w:r>
      <w:r>
        <w:rPr>
          <w:i/>
        </w:rPr>
        <w:t>In Vivo</w:t>
      </w:r>
      <w:r>
        <w:t xml:space="preserve">, </w:t>
      </w:r>
      <w:r w:rsidRPr="00DB16BC">
        <w:rPr>
          <w:b/>
          <w:bCs/>
        </w:rPr>
        <w:t>34</w:t>
      </w:r>
      <w:r>
        <w:t>(3): 1399-1406</w:t>
      </w:r>
    </w:p>
  </w:footnote>
  <w:footnote w:id="7">
    <w:p w14:paraId="45A62CA0" w14:textId="77777777" w:rsidR="009E498A" w:rsidRPr="00504BA5" w:rsidRDefault="009E498A" w:rsidP="00404C00">
      <w:pPr>
        <w:pStyle w:val="FootnoteText"/>
        <w:rPr>
          <w:lang w:val="en-US"/>
        </w:rPr>
      </w:pPr>
      <w:r>
        <w:rPr>
          <w:rStyle w:val="FootnoteReference"/>
        </w:rPr>
        <w:footnoteRef/>
      </w:r>
      <w:r>
        <w:t xml:space="preserve"> Validation Report for Detection of </w:t>
      </w:r>
      <w:r w:rsidRPr="007021C1">
        <w:rPr>
          <w:i/>
          <w:iCs/>
        </w:rPr>
        <w:t>MET</w:t>
      </w:r>
      <w:r>
        <w:t xml:space="preserve"> Exon 14 Skipping in FFPE Lung Adenocarcinoma Samples Using Ion Torrent Oncomine Focus Assay, Document number VR-0162, Property of MolecularMD</w:t>
      </w:r>
    </w:p>
  </w:footnote>
  <w:footnote w:id="8">
    <w:p w14:paraId="130ADA75" w14:textId="37737AB2" w:rsidR="009E498A" w:rsidRPr="003665C6" w:rsidRDefault="009E498A" w:rsidP="00404C00">
      <w:pPr>
        <w:pStyle w:val="FootnoteText"/>
      </w:pPr>
      <w:r>
        <w:rPr>
          <w:rStyle w:val="FootnoteReference"/>
        </w:rPr>
        <w:footnoteRef/>
      </w:r>
      <w:r>
        <w:t xml:space="preserve"> </w:t>
      </w:r>
      <w:r w:rsidRPr="003665C6">
        <w:t xml:space="preserve">Davies, K. D., et al. (2019). DNA-Based versus RNA-Based Detection of </w:t>
      </w:r>
      <w:r w:rsidRPr="007021C1">
        <w:rPr>
          <w:i/>
          <w:iCs/>
        </w:rPr>
        <w:t>MET</w:t>
      </w:r>
      <w:r w:rsidRPr="003665C6">
        <w:t xml:space="preserve"> Exon 14 Skipping Events in Lung Cancer. </w:t>
      </w:r>
      <w:r w:rsidRPr="00DB16BC">
        <w:rPr>
          <w:i/>
          <w:iCs/>
        </w:rPr>
        <w:t>J Thorac Oncol</w:t>
      </w:r>
      <w:r>
        <w:t xml:space="preserve">, </w:t>
      </w:r>
      <w:r w:rsidRPr="00DB16BC">
        <w:rPr>
          <w:b/>
          <w:bCs/>
        </w:rPr>
        <w:t>14</w:t>
      </w:r>
      <w:r w:rsidRPr="003665C6">
        <w:t>(4): 737-741.</w:t>
      </w:r>
    </w:p>
  </w:footnote>
  <w:footnote w:id="9">
    <w:p w14:paraId="226B764C" w14:textId="27CC0DA7" w:rsidR="009E498A" w:rsidRPr="003665C6" w:rsidRDefault="009E498A" w:rsidP="00404C00">
      <w:pPr>
        <w:pStyle w:val="FootnoteText"/>
        <w:rPr>
          <w:lang w:val="en-US"/>
        </w:rPr>
      </w:pPr>
      <w:r w:rsidRPr="003665C6">
        <w:rPr>
          <w:vertAlign w:val="superscript"/>
        </w:rPr>
        <w:footnoteRef/>
      </w:r>
      <w:r>
        <w:t xml:space="preserve"> </w:t>
      </w:r>
      <w:r w:rsidRPr="003665C6">
        <w:t xml:space="preserve">Kim, E. K., et al. (2019). Molecular Diagnostic Assays and Clinicopathologic Implications of </w:t>
      </w:r>
      <w:r w:rsidRPr="007021C1">
        <w:rPr>
          <w:i/>
          <w:iCs/>
        </w:rPr>
        <w:t>MET</w:t>
      </w:r>
      <w:r w:rsidRPr="003665C6">
        <w:t xml:space="preserve"> Exon 14 Skipping Mutation in Non-small-cell Lung Cancer. </w:t>
      </w:r>
      <w:r w:rsidRPr="00DB16BC">
        <w:rPr>
          <w:i/>
          <w:iCs/>
        </w:rPr>
        <w:t>Clin Lung Cancer</w:t>
      </w:r>
      <w:r>
        <w:t>,</w:t>
      </w:r>
      <w:r w:rsidRPr="003665C6">
        <w:t xml:space="preserve"> </w:t>
      </w:r>
      <w:r w:rsidRPr="00DB16BC">
        <w:rPr>
          <w:b/>
          <w:bCs/>
        </w:rPr>
        <w:t>20</w:t>
      </w:r>
      <w:r w:rsidRPr="003665C6">
        <w:t>(1): e123-e132.</w:t>
      </w:r>
    </w:p>
  </w:footnote>
  <w:footnote w:id="10">
    <w:p w14:paraId="0FA61981" w14:textId="5C131EA3" w:rsidR="009E498A" w:rsidRPr="00175340" w:rsidRDefault="009E498A" w:rsidP="00404C00">
      <w:pPr>
        <w:pStyle w:val="FootnoteText"/>
        <w:rPr>
          <w:lang w:val="en-US"/>
        </w:rPr>
      </w:pPr>
      <w:r>
        <w:rPr>
          <w:rStyle w:val="FootnoteReference"/>
        </w:rPr>
        <w:footnoteRef/>
      </w:r>
      <w:r>
        <w:t xml:space="preserve"> </w:t>
      </w:r>
      <w:r w:rsidRPr="00175340">
        <w:t xml:space="preserve">Poirot, B., et al. (2017). </w:t>
      </w:r>
      <w:r w:rsidRPr="007021C1">
        <w:rPr>
          <w:i/>
          <w:iCs/>
        </w:rPr>
        <w:t>MET</w:t>
      </w:r>
      <w:r w:rsidRPr="00175340">
        <w:t xml:space="preserve"> Exon 14 Alterations and New Resistance Mutations to Tyrosine Kinase Inhibitors: Risk of Inadequate Detection with Current Amplicon-Based NGS Panels. </w:t>
      </w:r>
      <w:r w:rsidRPr="00DB16BC">
        <w:rPr>
          <w:i/>
          <w:iCs/>
        </w:rPr>
        <w:t>J Thorac Oncol</w:t>
      </w:r>
      <w:r>
        <w:t>,</w:t>
      </w:r>
      <w:r w:rsidRPr="00175340">
        <w:t xml:space="preserve"> </w:t>
      </w:r>
      <w:r w:rsidRPr="00DB16BC">
        <w:rPr>
          <w:b/>
          <w:bCs/>
        </w:rPr>
        <w:t>12</w:t>
      </w:r>
      <w:r w:rsidRPr="00175340">
        <w:t>(10): 1582-1587.</w:t>
      </w:r>
    </w:p>
  </w:footnote>
  <w:footnote w:id="11">
    <w:p w14:paraId="722D1FCF" w14:textId="4AFE7BBD" w:rsidR="009E498A" w:rsidRPr="00F03C06" w:rsidRDefault="009E498A" w:rsidP="00404C00">
      <w:pPr>
        <w:pStyle w:val="FootnoteText"/>
        <w:rPr>
          <w:lang w:val="en-US"/>
        </w:rPr>
      </w:pPr>
      <w:r>
        <w:rPr>
          <w:rStyle w:val="FootnoteReference"/>
        </w:rPr>
        <w:footnoteRef/>
      </w:r>
      <w:r>
        <w:t xml:space="preserve"> </w:t>
      </w:r>
      <w:r w:rsidRPr="00F03C06">
        <w:t xml:space="preserve">Pruis, M. A., et al. (2020). Highly accurate DNA-based detection and treatment results of </w:t>
      </w:r>
      <w:r w:rsidRPr="007021C1">
        <w:rPr>
          <w:i/>
          <w:iCs/>
        </w:rPr>
        <w:t>MET</w:t>
      </w:r>
      <w:r w:rsidRPr="00F03C06">
        <w:t xml:space="preserve"> exon 14 skipping mutations in lung cancer. </w:t>
      </w:r>
      <w:r w:rsidRPr="00DB16BC">
        <w:rPr>
          <w:i/>
          <w:iCs/>
        </w:rPr>
        <w:t>Lung Cancer</w:t>
      </w:r>
      <w:r>
        <w:t>,</w:t>
      </w:r>
      <w:r w:rsidRPr="00F03C06">
        <w:t xml:space="preserve"> </w:t>
      </w:r>
      <w:r w:rsidRPr="00DB16BC">
        <w:rPr>
          <w:b/>
          <w:bCs/>
        </w:rPr>
        <w:t>140</w:t>
      </w:r>
      <w:r w:rsidRPr="00F03C06">
        <w:t>: 46-54.</w:t>
      </w:r>
    </w:p>
  </w:footnote>
  <w:footnote w:id="12">
    <w:p w14:paraId="482A4002" w14:textId="1F1D7973" w:rsidR="009E498A" w:rsidRPr="00C11C0B" w:rsidRDefault="009E498A" w:rsidP="00C11C0B">
      <w:pPr>
        <w:autoSpaceDE w:val="0"/>
        <w:autoSpaceDN w:val="0"/>
        <w:adjustRightInd w:val="0"/>
        <w:spacing w:after="0"/>
        <w:jc w:val="left"/>
        <w:rPr>
          <w:sz w:val="18"/>
          <w:szCs w:val="20"/>
        </w:rPr>
      </w:pPr>
      <w:r w:rsidRPr="00C11C0B">
        <w:rPr>
          <w:rStyle w:val="FootnoteReference"/>
          <w:sz w:val="18"/>
          <w:szCs w:val="16"/>
        </w:rPr>
        <w:footnoteRef/>
      </w:r>
      <w:r w:rsidRPr="00C11C0B">
        <w:rPr>
          <w:sz w:val="18"/>
          <w:szCs w:val="16"/>
        </w:rPr>
        <w:t xml:space="preserve"> </w:t>
      </w:r>
      <w:r w:rsidRPr="00C11C0B">
        <w:rPr>
          <w:sz w:val="18"/>
          <w:szCs w:val="20"/>
        </w:rPr>
        <w:t xml:space="preserve">Huang, C., et al. (2020). Management of Non-small Cell Lung Cancer Patients with </w:t>
      </w:r>
      <w:r w:rsidRPr="00DB16BC">
        <w:rPr>
          <w:i/>
          <w:iCs/>
          <w:sz w:val="18"/>
          <w:szCs w:val="20"/>
        </w:rPr>
        <w:t>MET</w:t>
      </w:r>
      <w:r w:rsidRPr="00C11C0B">
        <w:rPr>
          <w:sz w:val="18"/>
          <w:szCs w:val="20"/>
        </w:rPr>
        <w:t xml:space="preserve"> Exon 14 Skipping Mutations. </w:t>
      </w:r>
      <w:r w:rsidRPr="00DB16BC">
        <w:rPr>
          <w:i/>
          <w:iCs/>
          <w:sz w:val="18"/>
          <w:szCs w:val="20"/>
        </w:rPr>
        <w:t>Curr Treat Options Oncol</w:t>
      </w:r>
      <w:r>
        <w:rPr>
          <w:sz w:val="18"/>
          <w:szCs w:val="20"/>
        </w:rPr>
        <w:t>,</w:t>
      </w:r>
      <w:r w:rsidRPr="00C11C0B">
        <w:rPr>
          <w:sz w:val="18"/>
          <w:szCs w:val="20"/>
        </w:rPr>
        <w:t xml:space="preserve"> </w:t>
      </w:r>
      <w:r w:rsidRPr="00DB16BC">
        <w:rPr>
          <w:b/>
          <w:bCs/>
          <w:sz w:val="18"/>
          <w:szCs w:val="20"/>
        </w:rPr>
        <w:t>21</w:t>
      </w:r>
      <w:r w:rsidRPr="00C11C0B">
        <w:rPr>
          <w:sz w:val="18"/>
          <w:szCs w:val="20"/>
        </w:rPr>
        <w:t>(4): 33.</w:t>
      </w:r>
    </w:p>
  </w:footnote>
  <w:footnote w:id="13">
    <w:p w14:paraId="17E677A7" w14:textId="5D93272A" w:rsidR="009E498A" w:rsidRDefault="009E498A" w:rsidP="00404C00">
      <w:pPr>
        <w:pStyle w:val="FootnoteText"/>
      </w:pPr>
      <w:r>
        <w:rPr>
          <w:rStyle w:val="FootnoteReference"/>
        </w:rPr>
        <w:footnoteRef/>
      </w:r>
      <w:r>
        <w:t xml:space="preserve"> </w:t>
      </w:r>
      <w:r w:rsidRPr="009D6709">
        <w:t xml:space="preserve">Reungwetwattana, T., et al. (2017). The race to target </w:t>
      </w:r>
      <w:r w:rsidRPr="00DB16BC">
        <w:rPr>
          <w:i/>
          <w:iCs/>
        </w:rPr>
        <w:t>MET</w:t>
      </w:r>
      <w:r w:rsidRPr="009D6709">
        <w:t xml:space="preserve"> exon 14 skipping alterations in non-small cell lung cancer: The Why, the How, the Who, the Unknown, and the Inevitable. </w:t>
      </w:r>
      <w:r w:rsidRPr="00DB16BC">
        <w:rPr>
          <w:i/>
          <w:iCs/>
        </w:rPr>
        <w:t>Lung Cancer</w:t>
      </w:r>
      <w:r>
        <w:t>,</w:t>
      </w:r>
      <w:r w:rsidRPr="009D6709">
        <w:t xml:space="preserve"> </w:t>
      </w:r>
      <w:r w:rsidRPr="00DB16BC">
        <w:rPr>
          <w:b/>
          <w:bCs/>
        </w:rPr>
        <w:t>103</w:t>
      </w:r>
      <w:r w:rsidRPr="009D6709">
        <w:t>: 27-37.</w:t>
      </w:r>
    </w:p>
  </w:footnote>
  <w:footnote w:id="14">
    <w:p w14:paraId="7F88FCDC" w14:textId="7F0E12C8" w:rsidR="009E498A" w:rsidRDefault="009E498A" w:rsidP="00404C00">
      <w:pPr>
        <w:pStyle w:val="FootnoteText"/>
      </w:pPr>
      <w:r>
        <w:rPr>
          <w:rStyle w:val="FootnoteReference"/>
        </w:rPr>
        <w:footnoteRef/>
      </w:r>
      <w:r>
        <w:t xml:space="preserve"> </w:t>
      </w:r>
      <w:r w:rsidRPr="00695AF6">
        <w:t xml:space="preserve">Pruis, M. A., et al. (2020). Highly accurate DNA-based detection and treatment results of </w:t>
      </w:r>
      <w:r w:rsidRPr="005967CB">
        <w:rPr>
          <w:i/>
          <w:iCs/>
        </w:rPr>
        <w:t>MET</w:t>
      </w:r>
      <w:r w:rsidRPr="00695AF6">
        <w:t xml:space="preserve"> exon 14 skipping mutations in lung cancer. </w:t>
      </w:r>
      <w:r w:rsidRPr="00DB16BC">
        <w:rPr>
          <w:i/>
          <w:iCs/>
        </w:rPr>
        <w:t>Lung Cancer</w:t>
      </w:r>
      <w:r>
        <w:t>,</w:t>
      </w:r>
      <w:r w:rsidRPr="00695AF6">
        <w:t xml:space="preserve"> </w:t>
      </w:r>
      <w:r w:rsidRPr="00DB16BC">
        <w:rPr>
          <w:b/>
          <w:bCs/>
        </w:rPr>
        <w:t>140</w:t>
      </w:r>
      <w:r w:rsidRPr="00695AF6">
        <w:t>: 46-54.</w:t>
      </w:r>
    </w:p>
  </w:footnote>
  <w:footnote w:id="15">
    <w:p w14:paraId="1989DDB3" w14:textId="576388E0" w:rsidR="009E498A" w:rsidRPr="00032AC8" w:rsidRDefault="009E498A" w:rsidP="0093087D">
      <w:pPr>
        <w:pStyle w:val="FootnoteText"/>
      </w:pPr>
      <w:r>
        <w:rPr>
          <w:rStyle w:val="FootnoteReference"/>
        </w:rPr>
        <w:footnoteRef/>
      </w:r>
      <w:r>
        <w:t xml:space="preserve"> </w:t>
      </w:r>
      <w:proofErr w:type="spellStart"/>
      <w:r>
        <w:t>Morise</w:t>
      </w:r>
      <w:proofErr w:type="spellEnd"/>
      <w:r>
        <w:t xml:space="preserve">, M. et al. (2021). </w:t>
      </w:r>
      <w:r w:rsidRPr="00032AC8">
        <w:t xml:space="preserve">O13-4 Tepotinib safety in </w:t>
      </w:r>
      <w:r w:rsidRPr="00032AC8">
        <w:rPr>
          <w:i/>
          <w:iCs/>
        </w:rPr>
        <w:t>MET</w:t>
      </w:r>
      <w:r w:rsidRPr="00032AC8">
        <w:t xml:space="preserve"> exon 14 (</w:t>
      </w:r>
      <w:r w:rsidRPr="00032AC8">
        <w:rPr>
          <w:i/>
          <w:iCs/>
        </w:rPr>
        <w:t>MET</w:t>
      </w:r>
      <w:r w:rsidRPr="00032AC8">
        <w:t>ex14) skipping NSCLC: Updated results from the VISION trial</w:t>
      </w:r>
      <w:r>
        <w:t xml:space="preserve">. </w:t>
      </w:r>
      <w:r>
        <w:rPr>
          <w:i/>
          <w:iCs/>
        </w:rPr>
        <w:t>Annals of Oncology</w:t>
      </w:r>
      <w:r>
        <w:t xml:space="preserve">, </w:t>
      </w:r>
      <w:r>
        <w:rPr>
          <w:b/>
          <w:bCs/>
        </w:rPr>
        <w:t>32</w:t>
      </w:r>
      <w:r>
        <w:t>: Supplement 4, Page S291.</w:t>
      </w:r>
    </w:p>
  </w:footnote>
  <w:footnote w:id="16">
    <w:p w14:paraId="590AED53" w14:textId="04EBAF5B" w:rsidR="009E498A" w:rsidRPr="00A55ADC" w:rsidRDefault="009E498A" w:rsidP="0093087D">
      <w:pPr>
        <w:pStyle w:val="FootnoteText"/>
      </w:pPr>
      <w:r>
        <w:rPr>
          <w:rStyle w:val="FootnoteReference"/>
        </w:rPr>
        <w:footnoteRef/>
      </w:r>
      <w:r>
        <w:t xml:space="preserve"> Heist, R. S. et al. (2016). </w:t>
      </w:r>
      <w:r>
        <w:rPr>
          <w:i/>
          <w:iCs/>
        </w:rPr>
        <w:t>MET</w:t>
      </w:r>
      <w:r>
        <w:t xml:space="preserve"> exon 14 skipping in non-small cell lung cancer. </w:t>
      </w:r>
      <w:r>
        <w:rPr>
          <w:i/>
          <w:iCs/>
        </w:rPr>
        <w:t>The Oncologist</w:t>
      </w:r>
      <w:r>
        <w:t xml:space="preserve">, </w:t>
      </w:r>
      <w:r>
        <w:rPr>
          <w:b/>
          <w:bCs/>
        </w:rPr>
        <w:t>21</w:t>
      </w:r>
      <w:r>
        <w:t>(4): 481-486.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4D6C" w14:textId="77777777" w:rsidR="009E498A" w:rsidRDefault="009E4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6815B" w14:textId="0E73A7FB" w:rsidR="009E498A" w:rsidRDefault="009E498A" w:rsidP="00DF0F10">
    <w:pPr>
      <w:pStyle w:val="Header"/>
    </w:pPr>
  </w:p>
  <w:p w14:paraId="7E0D4B35" w14:textId="77777777" w:rsidR="009E498A" w:rsidRDefault="009E498A"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6644" w14:textId="77777777" w:rsidR="009E498A" w:rsidRDefault="009E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F078C"/>
    <w:multiLevelType w:val="hybridMultilevel"/>
    <w:tmpl w:val="8C10CFBA"/>
    <w:lvl w:ilvl="0" w:tplc="0C4E4756">
      <w:start w:val="1"/>
      <w:numFmt w:val="lowerLetter"/>
      <w:pStyle w:val="Normal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712C1F"/>
    <w:multiLevelType w:val="hybridMultilevel"/>
    <w:tmpl w:val="956C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7EC0079"/>
    <w:multiLevelType w:val="hybridMultilevel"/>
    <w:tmpl w:val="9EC42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490F8C"/>
    <w:multiLevelType w:val="multilevel"/>
    <w:tmpl w:val="E33AA372"/>
    <w:lvl w:ilvl="0">
      <w:start w:val="1"/>
      <w:numFmt w:val="decimal"/>
      <w:lvlText w:val="%1"/>
      <w:lvlJc w:val="left"/>
      <w:pPr>
        <w:ind w:left="432" w:hanging="432"/>
      </w:pPr>
      <w:rPr>
        <w:rFonts w:hint="default"/>
        <w:b/>
      </w:rPr>
    </w:lvl>
    <w:lvl w:ilvl="1">
      <w:start w:val="1"/>
      <w:numFmt w:val="upperLetter"/>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02028F9"/>
    <w:multiLevelType w:val="hybridMultilevel"/>
    <w:tmpl w:val="4B6E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75C58"/>
    <w:multiLevelType w:val="multilevel"/>
    <w:tmpl w:val="25BCF0A0"/>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B57A0D"/>
    <w:multiLevelType w:val="hybridMultilevel"/>
    <w:tmpl w:val="1A98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C427B9"/>
    <w:multiLevelType w:val="hybridMultilevel"/>
    <w:tmpl w:val="4A4A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465C5"/>
    <w:multiLevelType w:val="hybridMultilevel"/>
    <w:tmpl w:val="14183F92"/>
    <w:lvl w:ilvl="0" w:tplc="0C090001">
      <w:start w:val="1"/>
      <w:numFmt w:val="bullet"/>
      <w:lvlText w:val=""/>
      <w:lvlJc w:val="left"/>
      <w:pPr>
        <w:ind w:left="1051" w:hanging="360"/>
      </w:pPr>
      <w:rPr>
        <w:rFonts w:ascii="Symbol" w:hAnsi="Symbol" w:hint="default"/>
      </w:rPr>
    </w:lvl>
    <w:lvl w:ilvl="1" w:tplc="0C090003" w:tentative="1">
      <w:start w:val="1"/>
      <w:numFmt w:val="bullet"/>
      <w:lvlText w:val="o"/>
      <w:lvlJc w:val="left"/>
      <w:pPr>
        <w:ind w:left="1771" w:hanging="360"/>
      </w:pPr>
      <w:rPr>
        <w:rFonts w:ascii="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18" w15:restartNumberingAfterBreak="0">
    <w:nsid w:val="37654FC0"/>
    <w:multiLevelType w:val="hybridMultilevel"/>
    <w:tmpl w:val="759A0D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6C41CB"/>
    <w:multiLevelType w:val="hybridMultilevel"/>
    <w:tmpl w:val="7F94C816"/>
    <w:lvl w:ilvl="0" w:tplc="903248AE">
      <w:start w:val="1"/>
      <w:numFmt w:val="decimal"/>
      <w:pStyle w:val="NumberedList"/>
      <w:lvlText w:val="%1."/>
      <w:lvlJc w:val="left"/>
      <w:pPr>
        <w:ind w:left="720" w:hanging="360"/>
      </w:pPr>
    </w:lvl>
    <w:lvl w:ilvl="1" w:tplc="ACD2A5C2" w:tentative="1">
      <w:start w:val="1"/>
      <w:numFmt w:val="lowerLetter"/>
      <w:lvlText w:val="%2."/>
      <w:lvlJc w:val="left"/>
      <w:pPr>
        <w:ind w:left="1440" w:hanging="360"/>
      </w:pPr>
    </w:lvl>
    <w:lvl w:ilvl="2" w:tplc="81041AEE" w:tentative="1">
      <w:start w:val="1"/>
      <w:numFmt w:val="lowerRoman"/>
      <w:lvlText w:val="%3."/>
      <w:lvlJc w:val="right"/>
      <w:pPr>
        <w:ind w:left="2160" w:hanging="180"/>
      </w:pPr>
    </w:lvl>
    <w:lvl w:ilvl="3" w:tplc="6F9E5ABC" w:tentative="1">
      <w:start w:val="1"/>
      <w:numFmt w:val="decimal"/>
      <w:lvlText w:val="%4."/>
      <w:lvlJc w:val="left"/>
      <w:pPr>
        <w:ind w:left="2880" w:hanging="360"/>
      </w:pPr>
    </w:lvl>
    <w:lvl w:ilvl="4" w:tplc="79BE0738" w:tentative="1">
      <w:start w:val="1"/>
      <w:numFmt w:val="lowerLetter"/>
      <w:lvlText w:val="%5."/>
      <w:lvlJc w:val="left"/>
      <w:pPr>
        <w:ind w:left="3600" w:hanging="360"/>
      </w:pPr>
    </w:lvl>
    <w:lvl w:ilvl="5" w:tplc="73E0EA72" w:tentative="1">
      <w:start w:val="1"/>
      <w:numFmt w:val="lowerRoman"/>
      <w:lvlText w:val="%6."/>
      <w:lvlJc w:val="right"/>
      <w:pPr>
        <w:ind w:left="4320" w:hanging="180"/>
      </w:pPr>
    </w:lvl>
    <w:lvl w:ilvl="6" w:tplc="AF7840C6" w:tentative="1">
      <w:start w:val="1"/>
      <w:numFmt w:val="decimal"/>
      <w:lvlText w:val="%7."/>
      <w:lvlJc w:val="left"/>
      <w:pPr>
        <w:ind w:left="5040" w:hanging="360"/>
      </w:pPr>
    </w:lvl>
    <w:lvl w:ilvl="7" w:tplc="72047760" w:tentative="1">
      <w:start w:val="1"/>
      <w:numFmt w:val="lowerLetter"/>
      <w:lvlText w:val="%8."/>
      <w:lvlJc w:val="left"/>
      <w:pPr>
        <w:ind w:left="5760" w:hanging="360"/>
      </w:pPr>
    </w:lvl>
    <w:lvl w:ilvl="8" w:tplc="3C167224" w:tentative="1">
      <w:start w:val="1"/>
      <w:numFmt w:val="lowerRoman"/>
      <w:lvlText w:val="%9."/>
      <w:lvlJc w:val="right"/>
      <w:pPr>
        <w:ind w:left="6480" w:hanging="180"/>
      </w:pPr>
    </w:lvl>
  </w:abstractNum>
  <w:abstractNum w:abstractNumId="21"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162A5"/>
    <w:multiLevelType w:val="hybridMultilevel"/>
    <w:tmpl w:val="0C0CAB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C0C48A3"/>
    <w:multiLevelType w:val="multilevel"/>
    <w:tmpl w:val="A7AC1720"/>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A1304"/>
    <w:multiLevelType w:val="hybridMultilevel"/>
    <w:tmpl w:val="6A6E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6"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76069E7"/>
    <w:multiLevelType w:val="hybridMultilevel"/>
    <w:tmpl w:val="C36CA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4C825244"/>
    <w:multiLevelType w:val="hybridMultilevel"/>
    <w:tmpl w:val="961299A8"/>
    <w:lvl w:ilvl="0" w:tplc="292870C0">
      <w:start w:val="1"/>
      <w:numFmt w:val="bullet"/>
      <w:lvlText w:val="-"/>
      <w:lvlJc w:val="left"/>
      <w:pPr>
        <w:tabs>
          <w:tab w:val="num" w:pos="720"/>
        </w:tabs>
        <w:ind w:left="720" w:hanging="360"/>
      </w:pPr>
      <w:rPr>
        <w:rFonts w:ascii="Times New Roman" w:hAnsi="Times New Roman" w:hint="default"/>
      </w:rPr>
    </w:lvl>
    <w:lvl w:ilvl="1" w:tplc="D4B2464A" w:tentative="1">
      <w:start w:val="1"/>
      <w:numFmt w:val="bullet"/>
      <w:lvlText w:val="-"/>
      <w:lvlJc w:val="left"/>
      <w:pPr>
        <w:tabs>
          <w:tab w:val="num" w:pos="1440"/>
        </w:tabs>
        <w:ind w:left="1440" w:hanging="360"/>
      </w:pPr>
      <w:rPr>
        <w:rFonts w:ascii="Times New Roman" w:hAnsi="Times New Roman" w:hint="default"/>
      </w:rPr>
    </w:lvl>
    <w:lvl w:ilvl="2" w:tplc="17D821C2" w:tentative="1">
      <w:start w:val="1"/>
      <w:numFmt w:val="bullet"/>
      <w:lvlText w:val="-"/>
      <w:lvlJc w:val="left"/>
      <w:pPr>
        <w:tabs>
          <w:tab w:val="num" w:pos="2160"/>
        </w:tabs>
        <w:ind w:left="2160" w:hanging="360"/>
      </w:pPr>
      <w:rPr>
        <w:rFonts w:ascii="Times New Roman" w:hAnsi="Times New Roman" w:hint="default"/>
      </w:rPr>
    </w:lvl>
    <w:lvl w:ilvl="3" w:tplc="5CDCE09C" w:tentative="1">
      <w:start w:val="1"/>
      <w:numFmt w:val="bullet"/>
      <w:lvlText w:val="-"/>
      <w:lvlJc w:val="left"/>
      <w:pPr>
        <w:tabs>
          <w:tab w:val="num" w:pos="2880"/>
        </w:tabs>
        <w:ind w:left="2880" w:hanging="360"/>
      </w:pPr>
      <w:rPr>
        <w:rFonts w:ascii="Times New Roman" w:hAnsi="Times New Roman" w:hint="default"/>
      </w:rPr>
    </w:lvl>
    <w:lvl w:ilvl="4" w:tplc="5B309240" w:tentative="1">
      <w:start w:val="1"/>
      <w:numFmt w:val="bullet"/>
      <w:lvlText w:val="-"/>
      <w:lvlJc w:val="left"/>
      <w:pPr>
        <w:tabs>
          <w:tab w:val="num" w:pos="3600"/>
        </w:tabs>
        <w:ind w:left="3600" w:hanging="360"/>
      </w:pPr>
      <w:rPr>
        <w:rFonts w:ascii="Times New Roman" w:hAnsi="Times New Roman" w:hint="default"/>
      </w:rPr>
    </w:lvl>
    <w:lvl w:ilvl="5" w:tplc="38EE5086" w:tentative="1">
      <w:start w:val="1"/>
      <w:numFmt w:val="bullet"/>
      <w:lvlText w:val="-"/>
      <w:lvlJc w:val="left"/>
      <w:pPr>
        <w:tabs>
          <w:tab w:val="num" w:pos="4320"/>
        </w:tabs>
        <w:ind w:left="4320" w:hanging="360"/>
      </w:pPr>
      <w:rPr>
        <w:rFonts w:ascii="Times New Roman" w:hAnsi="Times New Roman" w:hint="default"/>
      </w:rPr>
    </w:lvl>
    <w:lvl w:ilvl="6" w:tplc="A8D2018C" w:tentative="1">
      <w:start w:val="1"/>
      <w:numFmt w:val="bullet"/>
      <w:lvlText w:val="-"/>
      <w:lvlJc w:val="left"/>
      <w:pPr>
        <w:tabs>
          <w:tab w:val="num" w:pos="5040"/>
        </w:tabs>
        <w:ind w:left="5040" w:hanging="360"/>
      </w:pPr>
      <w:rPr>
        <w:rFonts w:ascii="Times New Roman" w:hAnsi="Times New Roman" w:hint="default"/>
      </w:rPr>
    </w:lvl>
    <w:lvl w:ilvl="7" w:tplc="A7448278" w:tentative="1">
      <w:start w:val="1"/>
      <w:numFmt w:val="bullet"/>
      <w:lvlText w:val="-"/>
      <w:lvlJc w:val="left"/>
      <w:pPr>
        <w:tabs>
          <w:tab w:val="num" w:pos="5760"/>
        </w:tabs>
        <w:ind w:left="5760" w:hanging="360"/>
      </w:pPr>
      <w:rPr>
        <w:rFonts w:ascii="Times New Roman" w:hAnsi="Times New Roman" w:hint="default"/>
      </w:rPr>
    </w:lvl>
    <w:lvl w:ilvl="8" w:tplc="A1BE818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387448"/>
    <w:multiLevelType w:val="multilevel"/>
    <w:tmpl w:val="B156A7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6B0475C"/>
    <w:multiLevelType w:val="hybridMultilevel"/>
    <w:tmpl w:val="9EA0D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DF6CC0"/>
    <w:multiLevelType w:val="hybridMultilevel"/>
    <w:tmpl w:val="AC082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270330"/>
    <w:multiLevelType w:val="hybridMultilevel"/>
    <w:tmpl w:val="EE6C5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4D033C"/>
    <w:multiLevelType w:val="multilevel"/>
    <w:tmpl w:val="A1441A48"/>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832904"/>
    <w:multiLevelType w:val="hybridMultilevel"/>
    <w:tmpl w:val="89C6F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5"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2"/>
  </w:num>
  <w:num w:numId="3">
    <w:abstractNumId w:val="21"/>
  </w:num>
  <w:num w:numId="4">
    <w:abstractNumId w:val="8"/>
  </w:num>
  <w:num w:numId="5">
    <w:abstractNumId w:val="6"/>
  </w:num>
  <w:num w:numId="6">
    <w:abstractNumId w:val="41"/>
  </w:num>
  <w:num w:numId="7">
    <w:abstractNumId w:val="29"/>
  </w:num>
  <w:num w:numId="8">
    <w:abstractNumId w:val="2"/>
  </w:num>
  <w:num w:numId="9">
    <w:abstractNumId w:val="11"/>
  </w:num>
  <w:num w:numId="10">
    <w:abstractNumId w:val="31"/>
  </w:num>
  <w:num w:numId="11">
    <w:abstractNumId w:val="0"/>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9"/>
  </w:num>
  <w:num w:numId="15">
    <w:abstractNumId w:val="3"/>
  </w:num>
  <w:num w:numId="16">
    <w:abstractNumId w:val="20"/>
  </w:num>
  <w:num w:numId="17">
    <w:abstractNumId w:val="1"/>
  </w:num>
  <w:num w:numId="18">
    <w:abstractNumId w:val="23"/>
  </w:num>
  <w:num w:numId="19">
    <w:abstractNumId w:val="34"/>
  </w:num>
  <w:num w:numId="20">
    <w:abstractNumId w:val="36"/>
  </w:num>
  <w:num w:numId="21">
    <w:abstractNumId w:val="18"/>
  </w:num>
  <w:num w:numId="22">
    <w:abstractNumId w:val="43"/>
  </w:num>
  <w:num w:numId="23">
    <w:abstractNumId w:val="25"/>
  </w:num>
  <w:num w:numId="24">
    <w:abstractNumId w:val="13"/>
  </w:num>
  <w:num w:numId="25">
    <w:abstractNumId w:val="17"/>
  </w:num>
  <w:num w:numId="26">
    <w:abstractNumId w:val="22"/>
  </w:num>
  <w:num w:numId="27">
    <w:abstractNumId w:val="10"/>
  </w:num>
  <w:num w:numId="28">
    <w:abstractNumId w:val="4"/>
  </w:num>
  <w:num w:numId="29">
    <w:abstractNumId w:val="27"/>
  </w:num>
  <w:num w:numId="30">
    <w:abstractNumId w:val="45"/>
  </w:num>
  <w:num w:numId="31">
    <w:abstractNumId w:val="35"/>
  </w:num>
  <w:num w:numId="32">
    <w:abstractNumId w:val="33"/>
  </w:num>
  <w:num w:numId="33">
    <w:abstractNumId w:val="15"/>
  </w:num>
  <w:num w:numId="34">
    <w:abstractNumId w:val="38"/>
  </w:num>
  <w:num w:numId="35">
    <w:abstractNumId w:val="44"/>
  </w:num>
  <w:num w:numId="36">
    <w:abstractNumId w:val="32"/>
  </w:num>
  <w:num w:numId="37">
    <w:abstractNumId w:val="26"/>
  </w:num>
  <w:num w:numId="38">
    <w:abstractNumId w:val="46"/>
  </w:num>
  <w:num w:numId="39">
    <w:abstractNumId w:val="8"/>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4"/>
    </w:lvlOverride>
    <w:lvlOverride w:ilvl="6">
      <w:startOverride w:val="2"/>
    </w:lvlOverride>
    <w:lvlOverride w:ilvl="7">
      <w:startOverride w:val="1"/>
    </w:lvlOverride>
    <w:lvlOverride w:ilvl="8">
      <w:startOverride w:val="1"/>
    </w:lvlOverride>
  </w:num>
  <w:num w:numId="40">
    <w:abstractNumId w:val="28"/>
  </w:num>
  <w:num w:numId="41">
    <w:abstractNumId w:val="39"/>
  </w:num>
  <w:num w:numId="42">
    <w:abstractNumId w:val="24"/>
  </w:num>
  <w:num w:numId="43">
    <w:abstractNumId w:val="16"/>
  </w:num>
  <w:num w:numId="44">
    <w:abstractNumId w:val="37"/>
  </w:num>
  <w:num w:numId="45">
    <w:abstractNumId w:val="14"/>
  </w:num>
  <w:num w:numId="46">
    <w:abstractNumId w:val="9"/>
  </w:num>
  <w:num w:numId="47">
    <w:abstractNumId w:val="5"/>
  </w:num>
  <w:num w:numId="48">
    <w:abstractNumId w:val="30"/>
  </w:num>
  <w:num w:numId="49">
    <w:abstractNumId w:val="40"/>
  </w:num>
  <w:num w:numId="5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n-AU"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estdswq0t9z2ep5p5xrf9jz90tefaf52ea&quot;&gt;METex14 Tepotinib&lt;record-ids&gt;&lt;item&gt;1&lt;/item&gt;&lt;item&gt;3&lt;/item&gt;&lt;item&gt;4&lt;/item&gt;&lt;item&gt;5&lt;/item&gt;&lt;item&gt;6&lt;/item&gt;&lt;item&gt;7&lt;/item&gt;&lt;item&gt;8&lt;/item&gt;&lt;item&gt;9&lt;/item&gt;&lt;item&gt;10&lt;/item&gt;&lt;item&gt;11&lt;/item&gt;&lt;item&gt;13&lt;/item&gt;&lt;item&gt;14&lt;/item&gt;&lt;item&gt;15&lt;/item&gt;&lt;item&gt;16&lt;/item&gt;&lt;item&gt;17&lt;/item&gt;&lt;item&gt;18&lt;/item&gt;&lt;item&gt;19&lt;/item&gt;&lt;item&gt;20&lt;/item&gt;&lt;item&gt;21&lt;/item&gt;&lt;item&gt;22&lt;/item&gt;&lt;item&gt;25&lt;/item&gt;&lt;item&gt;26&lt;/item&gt;&lt;item&gt;29&lt;/item&gt;&lt;item&gt;30&lt;/item&gt;&lt;item&gt;31&lt;/item&gt;&lt;item&gt;32&lt;/item&gt;&lt;item&gt;33&lt;/item&gt;&lt;item&gt;37&lt;/item&gt;&lt;item&gt;38&lt;/item&gt;&lt;item&gt;40&lt;/item&gt;&lt;item&gt;41&lt;/item&gt;&lt;item&gt;42&lt;/item&gt;&lt;item&gt;43&lt;/item&gt;&lt;item&gt;44&lt;/item&gt;&lt;item&gt;45&lt;/item&gt;&lt;item&gt;46&lt;/item&gt;&lt;item&gt;48&lt;/item&gt;&lt;item&gt;49&lt;/item&gt;&lt;item&gt;50&lt;/item&gt;&lt;item&gt;51&lt;/item&gt;&lt;item&gt;52&lt;/item&gt;&lt;item&gt;53&lt;/item&gt;&lt;item&gt;56&lt;/item&gt;&lt;item&gt;57&lt;/item&gt;&lt;item&gt;58&lt;/item&gt;&lt;item&gt;59&lt;/item&gt;&lt;item&gt;60&lt;/item&gt;&lt;item&gt;62&lt;/item&gt;&lt;item&gt;64&lt;/item&gt;&lt;item&gt;65&lt;/item&gt;&lt;item&gt;66&lt;/item&gt;&lt;item&gt;67&lt;/item&gt;&lt;item&gt;68&lt;/item&gt;&lt;item&gt;69&lt;/item&gt;&lt;item&gt;70&lt;/item&gt;&lt;/record-ids&gt;&lt;/item&gt;&lt;/Libraries&gt;"/>
  </w:docVars>
  <w:rsids>
    <w:rsidRoot w:val="007346D2"/>
    <w:rsid w:val="0000178F"/>
    <w:rsid w:val="00001AB4"/>
    <w:rsid w:val="00004009"/>
    <w:rsid w:val="000044F6"/>
    <w:rsid w:val="00004A04"/>
    <w:rsid w:val="00004D00"/>
    <w:rsid w:val="0000608D"/>
    <w:rsid w:val="000062E0"/>
    <w:rsid w:val="000068C2"/>
    <w:rsid w:val="000068C4"/>
    <w:rsid w:val="00007233"/>
    <w:rsid w:val="000103E6"/>
    <w:rsid w:val="0001066F"/>
    <w:rsid w:val="0001281E"/>
    <w:rsid w:val="000131C9"/>
    <w:rsid w:val="00013222"/>
    <w:rsid w:val="000138C1"/>
    <w:rsid w:val="0001548D"/>
    <w:rsid w:val="00015E03"/>
    <w:rsid w:val="000170E1"/>
    <w:rsid w:val="000170FD"/>
    <w:rsid w:val="0002095B"/>
    <w:rsid w:val="000209F9"/>
    <w:rsid w:val="000212A7"/>
    <w:rsid w:val="00021359"/>
    <w:rsid w:val="0002153A"/>
    <w:rsid w:val="00022F4E"/>
    <w:rsid w:val="000232F0"/>
    <w:rsid w:val="00023862"/>
    <w:rsid w:val="00023FC7"/>
    <w:rsid w:val="0002633F"/>
    <w:rsid w:val="00030D9F"/>
    <w:rsid w:val="000315B0"/>
    <w:rsid w:val="0003270F"/>
    <w:rsid w:val="00033854"/>
    <w:rsid w:val="00033A46"/>
    <w:rsid w:val="00033CE1"/>
    <w:rsid w:val="00033D7A"/>
    <w:rsid w:val="00034404"/>
    <w:rsid w:val="0003497C"/>
    <w:rsid w:val="000359BA"/>
    <w:rsid w:val="00035EB0"/>
    <w:rsid w:val="00035FDB"/>
    <w:rsid w:val="00036536"/>
    <w:rsid w:val="00042933"/>
    <w:rsid w:val="00042DEC"/>
    <w:rsid w:val="0004441D"/>
    <w:rsid w:val="00044DAA"/>
    <w:rsid w:val="00045BA9"/>
    <w:rsid w:val="000461CF"/>
    <w:rsid w:val="0004758F"/>
    <w:rsid w:val="00047AD3"/>
    <w:rsid w:val="000513FE"/>
    <w:rsid w:val="000519E0"/>
    <w:rsid w:val="000522EE"/>
    <w:rsid w:val="00052BCD"/>
    <w:rsid w:val="00052EB8"/>
    <w:rsid w:val="0005300F"/>
    <w:rsid w:val="000533BE"/>
    <w:rsid w:val="00053450"/>
    <w:rsid w:val="0005351F"/>
    <w:rsid w:val="00054171"/>
    <w:rsid w:val="00054E2E"/>
    <w:rsid w:val="000552DF"/>
    <w:rsid w:val="00055D2F"/>
    <w:rsid w:val="00055DCD"/>
    <w:rsid w:val="00057280"/>
    <w:rsid w:val="000578D9"/>
    <w:rsid w:val="00057F71"/>
    <w:rsid w:val="00060C65"/>
    <w:rsid w:val="00062018"/>
    <w:rsid w:val="00062067"/>
    <w:rsid w:val="0006287B"/>
    <w:rsid w:val="00062DDB"/>
    <w:rsid w:val="0006386F"/>
    <w:rsid w:val="000638DE"/>
    <w:rsid w:val="0006442F"/>
    <w:rsid w:val="00064D04"/>
    <w:rsid w:val="00065501"/>
    <w:rsid w:val="00065C62"/>
    <w:rsid w:val="00065CDE"/>
    <w:rsid w:val="00065F4A"/>
    <w:rsid w:val="00066607"/>
    <w:rsid w:val="000668CE"/>
    <w:rsid w:val="000676E5"/>
    <w:rsid w:val="000677DE"/>
    <w:rsid w:val="0007063B"/>
    <w:rsid w:val="000708AA"/>
    <w:rsid w:val="00070D75"/>
    <w:rsid w:val="00072C33"/>
    <w:rsid w:val="00074732"/>
    <w:rsid w:val="00074C0B"/>
    <w:rsid w:val="00076F6A"/>
    <w:rsid w:val="000775A6"/>
    <w:rsid w:val="00080FF3"/>
    <w:rsid w:val="00081D90"/>
    <w:rsid w:val="0008232D"/>
    <w:rsid w:val="00082868"/>
    <w:rsid w:val="00083796"/>
    <w:rsid w:val="000847FE"/>
    <w:rsid w:val="00084B18"/>
    <w:rsid w:val="00085A6C"/>
    <w:rsid w:val="00085AD3"/>
    <w:rsid w:val="00086133"/>
    <w:rsid w:val="0008637F"/>
    <w:rsid w:val="00086752"/>
    <w:rsid w:val="0008737B"/>
    <w:rsid w:val="00087BE9"/>
    <w:rsid w:val="00091525"/>
    <w:rsid w:val="00091A23"/>
    <w:rsid w:val="00091DF5"/>
    <w:rsid w:val="00092727"/>
    <w:rsid w:val="00092945"/>
    <w:rsid w:val="00092A49"/>
    <w:rsid w:val="0009315E"/>
    <w:rsid w:val="00094CDE"/>
    <w:rsid w:val="000954DF"/>
    <w:rsid w:val="00095BEA"/>
    <w:rsid w:val="000961C2"/>
    <w:rsid w:val="0009688E"/>
    <w:rsid w:val="00096BCD"/>
    <w:rsid w:val="0009723C"/>
    <w:rsid w:val="000A11A7"/>
    <w:rsid w:val="000A1319"/>
    <w:rsid w:val="000A1C65"/>
    <w:rsid w:val="000A1D77"/>
    <w:rsid w:val="000A1F7B"/>
    <w:rsid w:val="000A2694"/>
    <w:rsid w:val="000A2EF1"/>
    <w:rsid w:val="000A3784"/>
    <w:rsid w:val="000A3B90"/>
    <w:rsid w:val="000A3D99"/>
    <w:rsid w:val="000A3F4C"/>
    <w:rsid w:val="000A47B0"/>
    <w:rsid w:val="000A4AF3"/>
    <w:rsid w:val="000A6FBD"/>
    <w:rsid w:val="000A7333"/>
    <w:rsid w:val="000A7443"/>
    <w:rsid w:val="000A75A8"/>
    <w:rsid w:val="000A7EA5"/>
    <w:rsid w:val="000B0D7D"/>
    <w:rsid w:val="000B13FB"/>
    <w:rsid w:val="000B2441"/>
    <w:rsid w:val="000B2BE3"/>
    <w:rsid w:val="000B35EA"/>
    <w:rsid w:val="000B435B"/>
    <w:rsid w:val="000B501C"/>
    <w:rsid w:val="000B56CD"/>
    <w:rsid w:val="000B5A78"/>
    <w:rsid w:val="000B6B69"/>
    <w:rsid w:val="000B7AED"/>
    <w:rsid w:val="000C0142"/>
    <w:rsid w:val="000C11CC"/>
    <w:rsid w:val="000C21A2"/>
    <w:rsid w:val="000C2D1F"/>
    <w:rsid w:val="000C3C55"/>
    <w:rsid w:val="000C4C53"/>
    <w:rsid w:val="000C4FE3"/>
    <w:rsid w:val="000C5801"/>
    <w:rsid w:val="000C5EE4"/>
    <w:rsid w:val="000C668E"/>
    <w:rsid w:val="000C6A40"/>
    <w:rsid w:val="000C749F"/>
    <w:rsid w:val="000C7883"/>
    <w:rsid w:val="000C793A"/>
    <w:rsid w:val="000C7FD1"/>
    <w:rsid w:val="000D0023"/>
    <w:rsid w:val="000D0A81"/>
    <w:rsid w:val="000D13D6"/>
    <w:rsid w:val="000D169F"/>
    <w:rsid w:val="000D1AB4"/>
    <w:rsid w:val="000D2807"/>
    <w:rsid w:val="000D39EF"/>
    <w:rsid w:val="000D3B20"/>
    <w:rsid w:val="000D54D4"/>
    <w:rsid w:val="000D5B1D"/>
    <w:rsid w:val="000D5D46"/>
    <w:rsid w:val="000D5D52"/>
    <w:rsid w:val="000D6329"/>
    <w:rsid w:val="000D66A7"/>
    <w:rsid w:val="000D6929"/>
    <w:rsid w:val="000D7270"/>
    <w:rsid w:val="000E07CD"/>
    <w:rsid w:val="000E11E4"/>
    <w:rsid w:val="000E4DEB"/>
    <w:rsid w:val="000E531A"/>
    <w:rsid w:val="000E7019"/>
    <w:rsid w:val="000F0026"/>
    <w:rsid w:val="000F0AB4"/>
    <w:rsid w:val="000F1035"/>
    <w:rsid w:val="000F243A"/>
    <w:rsid w:val="000F2534"/>
    <w:rsid w:val="000F2697"/>
    <w:rsid w:val="000F313A"/>
    <w:rsid w:val="000F3652"/>
    <w:rsid w:val="000F499C"/>
    <w:rsid w:val="000F78F0"/>
    <w:rsid w:val="0010086D"/>
    <w:rsid w:val="001018A8"/>
    <w:rsid w:val="00102222"/>
    <w:rsid w:val="0010315A"/>
    <w:rsid w:val="00103E20"/>
    <w:rsid w:val="00103E23"/>
    <w:rsid w:val="001040C5"/>
    <w:rsid w:val="00104387"/>
    <w:rsid w:val="001048AA"/>
    <w:rsid w:val="00104A1D"/>
    <w:rsid w:val="001055BC"/>
    <w:rsid w:val="001059D6"/>
    <w:rsid w:val="00107193"/>
    <w:rsid w:val="001103E2"/>
    <w:rsid w:val="0011130F"/>
    <w:rsid w:val="00111951"/>
    <w:rsid w:val="00111A1C"/>
    <w:rsid w:val="00112F1A"/>
    <w:rsid w:val="00116FEE"/>
    <w:rsid w:val="00117095"/>
    <w:rsid w:val="0012117D"/>
    <w:rsid w:val="00122C04"/>
    <w:rsid w:val="00123659"/>
    <w:rsid w:val="001241BC"/>
    <w:rsid w:val="0012420D"/>
    <w:rsid w:val="00124F0E"/>
    <w:rsid w:val="0012523C"/>
    <w:rsid w:val="00125673"/>
    <w:rsid w:val="00126D3D"/>
    <w:rsid w:val="0012701F"/>
    <w:rsid w:val="001279AE"/>
    <w:rsid w:val="00127ACD"/>
    <w:rsid w:val="001318BD"/>
    <w:rsid w:val="001323D6"/>
    <w:rsid w:val="0013240C"/>
    <w:rsid w:val="00133A3A"/>
    <w:rsid w:val="00133B1C"/>
    <w:rsid w:val="00133D80"/>
    <w:rsid w:val="00134711"/>
    <w:rsid w:val="00135050"/>
    <w:rsid w:val="00135EC8"/>
    <w:rsid w:val="00136399"/>
    <w:rsid w:val="00136596"/>
    <w:rsid w:val="00136E76"/>
    <w:rsid w:val="00140008"/>
    <w:rsid w:val="00140A20"/>
    <w:rsid w:val="00140A54"/>
    <w:rsid w:val="00140A86"/>
    <w:rsid w:val="00141DB3"/>
    <w:rsid w:val="00141EFB"/>
    <w:rsid w:val="00143CC7"/>
    <w:rsid w:val="00144342"/>
    <w:rsid w:val="001468C6"/>
    <w:rsid w:val="00146C47"/>
    <w:rsid w:val="00150064"/>
    <w:rsid w:val="001500B3"/>
    <w:rsid w:val="00150FE0"/>
    <w:rsid w:val="0015150F"/>
    <w:rsid w:val="00151819"/>
    <w:rsid w:val="00152140"/>
    <w:rsid w:val="00152635"/>
    <w:rsid w:val="00152A1B"/>
    <w:rsid w:val="00154479"/>
    <w:rsid w:val="00154735"/>
    <w:rsid w:val="001555AB"/>
    <w:rsid w:val="00156038"/>
    <w:rsid w:val="001572D7"/>
    <w:rsid w:val="001614A0"/>
    <w:rsid w:val="00161972"/>
    <w:rsid w:val="0016293E"/>
    <w:rsid w:val="00163C9F"/>
    <w:rsid w:val="00164455"/>
    <w:rsid w:val="00164E4B"/>
    <w:rsid w:val="00164FF4"/>
    <w:rsid w:val="00165A49"/>
    <w:rsid w:val="001667A9"/>
    <w:rsid w:val="001668BC"/>
    <w:rsid w:val="001709D4"/>
    <w:rsid w:val="00171B29"/>
    <w:rsid w:val="00171EF3"/>
    <w:rsid w:val="00171FCC"/>
    <w:rsid w:val="00172272"/>
    <w:rsid w:val="0017317F"/>
    <w:rsid w:val="00173478"/>
    <w:rsid w:val="00173577"/>
    <w:rsid w:val="00173E55"/>
    <w:rsid w:val="0017462F"/>
    <w:rsid w:val="00174822"/>
    <w:rsid w:val="00176658"/>
    <w:rsid w:val="001767B1"/>
    <w:rsid w:val="00176AA5"/>
    <w:rsid w:val="00176F50"/>
    <w:rsid w:val="001770A7"/>
    <w:rsid w:val="0017720E"/>
    <w:rsid w:val="001772CC"/>
    <w:rsid w:val="00177893"/>
    <w:rsid w:val="00180D32"/>
    <w:rsid w:val="0018141A"/>
    <w:rsid w:val="0018373E"/>
    <w:rsid w:val="001839C0"/>
    <w:rsid w:val="00184070"/>
    <w:rsid w:val="00184221"/>
    <w:rsid w:val="0018443E"/>
    <w:rsid w:val="0018502E"/>
    <w:rsid w:val="00185C35"/>
    <w:rsid w:val="00186307"/>
    <w:rsid w:val="001863F7"/>
    <w:rsid w:val="00186ACB"/>
    <w:rsid w:val="00186EBC"/>
    <w:rsid w:val="001904E8"/>
    <w:rsid w:val="001906D8"/>
    <w:rsid w:val="00190F44"/>
    <w:rsid w:val="001916C0"/>
    <w:rsid w:val="00191789"/>
    <w:rsid w:val="00191AEE"/>
    <w:rsid w:val="0019205F"/>
    <w:rsid w:val="00192983"/>
    <w:rsid w:val="00192EC1"/>
    <w:rsid w:val="001939B6"/>
    <w:rsid w:val="00195A7F"/>
    <w:rsid w:val="00195DA4"/>
    <w:rsid w:val="001978C4"/>
    <w:rsid w:val="00197D31"/>
    <w:rsid w:val="001A0142"/>
    <w:rsid w:val="001A1941"/>
    <w:rsid w:val="001A20DC"/>
    <w:rsid w:val="001A3880"/>
    <w:rsid w:val="001A3D7C"/>
    <w:rsid w:val="001A3DC9"/>
    <w:rsid w:val="001A495E"/>
    <w:rsid w:val="001A5CC1"/>
    <w:rsid w:val="001B00CE"/>
    <w:rsid w:val="001B12A9"/>
    <w:rsid w:val="001B1D3A"/>
    <w:rsid w:val="001B2429"/>
    <w:rsid w:val="001B5B6B"/>
    <w:rsid w:val="001B6389"/>
    <w:rsid w:val="001B724E"/>
    <w:rsid w:val="001C04CC"/>
    <w:rsid w:val="001C051E"/>
    <w:rsid w:val="001C06AA"/>
    <w:rsid w:val="001C18B8"/>
    <w:rsid w:val="001C1EEF"/>
    <w:rsid w:val="001C215F"/>
    <w:rsid w:val="001C2C98"/>
    <w:rsid w:val="001C399F"/>
    <w:rsid w:val="001C3B0D"/>
    <w:rsid w:val="001C40A1"/>
    <w:rsid w:val="001C653C"/>
    <w:rsid w:val="001C69D7"/>
    <w:rsid w:val="001C7497"/>
    <w:rsid w:val="001C796E"/>
    <w:rsid w:val="001C79D0"/>
    <w:rsid w:val="001C7D1B"/>
    <w:rsid w:val="001D1195"/>
    <w:rsid w:val="001D527B"/>
    <w:rsid w:val="001D5D47"/>
    <w:rsid w:val="001D5DE3"/>
    <w:rsid w:val="001E0994"/>
    <w:rsid w:val="001E0B0D"/>
    <w:rsid w:val="001E10F7"/>
    <w:rsid w:val="001E1827"/>
    <w:rsid w:val="001E25EC"/>
    <w:rsid w:val="001E3E78"/>
    <w:rsid w:val="001E41DD"/>
    <w:rsid w:val="001E4E98"/>
    <w:rsid w:val="001E550E"/>
    <w:rsid w:val="001E5896"/>
    <w:rsid w:val="001E5918"/>
    <w:rsid w:val="001E5A43"/>
    <w:rsid w:val="001E6F66"/>
    <w:rsid w:val="001E709B"/>
    <w:rsid w:val="001F073C"/>
    <w:rsid w:val="001F078E"/>
    <w:rsid w:val="001F0D0A"/>
    <w:rsid w:val="001F0D35"/>
    <w:rsid w:val="001F0E02"/>
    <w:rsid w:val="001F0F9F"/>
    <w:rsid w:val="001F1681"/>
    <w:rsid w:val="001F1CAE"/>
    <w:rsid w:val="001F28A7"/>
    <w:rsid w:val="001F2912"/>
    <w:rsid w:val="001F2CB0"/>
    <w:rsid w:val="001F2F47"/>
    <w:rsid w:val="001F4595"/>
    <w:rsid w:val="001F5D8D"/>
    <w:rsid w:val="001F6172"/>
    <w:rsid w:val="001F6896"/>
    <w:rsid w:val="001F6C94"/>
    <w:rsid w:val="001F718B"/>
    <w:rsid w:val="00200296"/>
    <w:rsid w:val="00201374"/>
    <w:rsid w:val="00201800"/>
    <w:rsid w:val="00201ADB"/>
    <w:rsid w:val="00204B6C"/>
    <w:rsid w:val="00204D5B"/>
    <w:rsid w:val="002058E5"/>
    <w:rsid w:val="00205A74"/>
    <w:rsid w:val="0020757E"/>
    <w:rsid w:val="00210209"/>
    <w:rsid w:val="00210FAA"/>
    <w:rsid w:val="00211340"/>
    <w:rsid w:val="00211C47"/>
    <w:rsid w:val="00211F51"/>
    <w:rsid w:val="00213B4F"/>
    <w:rsid w:val="00214438"/>
    <w:rsid w:val="00215787"/>
    <w:rsid w:val="00216816"/>
    <w:rsid w:val="00216849"/>
    <w:rsid w:val="002205EB"/>
    <w:rsid w:val="00220FE5"/>
    <w:rsid w:val="0022112C"/>
    <w:rsid w:val="0022138E"/>
    <w:rsid w:val="0022172B"/>
    <w:rsid w:val="002217F4"/>
    <w:rsid w:val="00223015"/>
    <w:rsid w:val="00223466"/>
    <w:rsid w:val="002234A6"/>
    <w:rsid w:val="00223ACC"/>
    <w:rsid w:val="0022515C"/>
    <w:rsid w:val="0022566A"/>
    <w:rsid w:val="00225FCB"/>
    <w:rsid w:val="00230E62"/>
    <w:rsid w:val="002325D3"/>
    <w:rsid w:val="0023316A"/>
    <w:rsid w:val="00233296"/>
    <w:rsid w:val="0023382E"/>
    <w:rsid w:val="0023465D"/>
    <w:rsid w:val="0023467B"/>
    <w:rsid w:val="00236291"/>
    <w:rsid w:val="002425EA"/>
    <w:rsid w:val="00242EA0"/>
    <w:rsid w:val="00243685"/>
    <w:rsid w:val="00243F24"/>
    <w:rsid w:val="00244073"/>
    <w:rsid w:val="0024459C"/>
    <w:rsid w:val="00244AF4"/>
    <w:rsid w:val="002458C1"/>
    <w:rsid w:val="00245AD1"/>
    <w:rsid w:val="00246BDF"/>
    <w:rsid w:val="00246D56"/>
    <w:rsid w:val="002470BB"/>
    <w:rsid w:val="002511E8"/>
    <w:rsid w:val="00251468"/>
    <w:rsid w:val="00251565"/>
    <w:rsid w:val="00252262"/>
    <w:rsid w:val="002529A8"/>
    <w:rsid w:val="002530E7"/>
    <w:rsid w:val="002532B4"/>
    <w:rsid w:val="002534DB"/>
    <w:rsid w:val="0025487C"/>
    <w:rsid w:val="00254EEB"/>
    <w:rsid w:val="00255C62"/>
    <w:rsid w:val="0025608E"/>
    <w:rsid w:val="0025613F"/>
    <w:rsid w:val="002562FD"/>
    <w:rsid w:val="0025741F"/>
    <w:rsid w:val="00257C43"/>
    <w:rsid w:val="00257F91"/>
    <w:rsid w:val="00261128"/>
    <w:rsid w:val="00261DC6"/>
    <w:rsid w:val="002625A0"/>
    <w:rsid w:val="002628F4"/>
    <w:rsid w:val="00262C13"/>
    <w:rsid w:val="0026423B"/>
    <w:rsid w:val="0026444E"/>
    <w:rsid w:val="00264623"/>
    <w:rsid w:val="00264773"/>
    <w:rsid w:val="00264E52"/>
    <w:rsid w:val="00265116"/>
    <w:rsid w:val="002657DD"/>
    <w:rsid w:val="00265F9B"/>
    <w:rsid w:val="002668D4"/>
    <w:rsid w:val="00270516"/>
    <w:rsid w:val="00270759"/>
    <w:rsid w:val="002709F0"/>
    <w:rsid w:val="00270BBC"/>
    <w:rsid w:val="00271979"/>
    <w:rsid w:val="002729FB"/>
    <w:rsid w:val="0027575E"/>
    <w:rsid w:val="00275894"/>
    <w:rsid w:val="00276C8A"/>
    <w:rsid w:val="00276C97"/>
    <w:rsid w:val="002778BC"/>
    <w:rsid w:val="00277D40"/>
    <w:rsid w:val="002801F4"/>
    <w:rsid w:val="00280B5B"/>
    <w:rsid w:val="00280D8D"/>
    <w:rsid w:val="00281DCF"/>
    <w:rsid w:val="002836DF"/>
    <w:rsid w:val="00283ECB"/>
    <w:rsid w:val="002861AB"/>
    <w:rsid w:val="00287596"/>
    <w:rsid w:val="0028765C"/>
    <w:rsid w:val="00287E1E"/>
    <w:rsid w:val="0029025D"/>
    <w:rsid w:val="002906FA"/>
    <w:rsid w:val="002923D9"/>
    <w:rsid w:val="002923DF"/>
    <w:rsid w:val="0029269D"/>
    <w:rsid w:val="0029289C"/>
    <w:rsid w:val="002928F4"/>
    <w:rsid w:val="0029388E"/>
    <w:rsid w:val="0029400A"/>
    <w:rsid w:val="00294D87"/>
    <w:rsid w:val="0029546B"/>
    <w:rsid w:val="00296EA6"/>
    <w:rsid w:val="002979C6"/>
    <w:rsid w:val="00297B37"/>
    <w:rsid w:val="002A0A03"/>
    <w:rsid w:val="002A0C57"/>
    <w:rsid w:val="002A391F"/>
    <w:rsid w:val="002A3E5A"/>
    <w:rsid w:val="002A4503"/>
    <w:rsid w:val="002A500D"/>
    <w:rsid w:val="002A6780"/>
    <w:rsid w:val="002A787E"/>
    <w:rsid w:val="002A78B9"/>
    <w:rsid w:val="002B01CF"/>
    <w:rsid w:val="002B05B8"/>
    <w:rsid w:val="002B1DF7"/>
    <w:rsid w:val="002B1FCE"/>
    <w:rsid w:val="002B2A98"/>
    <w:rsid w:val="002B4941"/>
    <w:rsid w:val="002B5D74"/>
    <w:rsid w:val="002B61C4"/>
    <w:rsid w:val="002B67CA"/>
    <w:rsid w:val="002B6817"/>
    <w:rsid w:val="002B7ADB"/>
    <w:rsid w:val="002C00F5"/>
    <w:rsid w:val="002C1543"/>
    <w:rsid w:val="002C17C7"/>
    <w:rsid w:val="002C1D2F"/>
    <w:rsid w:val="002C283F"/>
    <w:rsid w:val="002C4608"/>
    <w:rsid w:val="002C5802"/>
    <w:rsid w:val="002C6653"/>
    <w:rsid w:val="002C7C13"/>
    <w:rsid w:val="002D0EF2"/>
    <w:rsid w:val="002D1242"/>
    <w:rsid w:val="002D23E6"/>
    <w:rsid w:val="002D24AC"/>
    <w:rsid w:val="002D29D4"/>
    <w:rsid w:val="002D2FCA"/>
    <w:rsid w:val="002D3D17"/>
    <w:rsid w:val="002D4671"/>
    <w:rsid w:val="002D709D"/>
    <w:rsid w:val="002D7823"/>
    <w:rsid w:val="002D7DA9"/>
    <w:rsid w:val="002D7DBF"/>
    <w:rsid w:val="002E046C"/>
    <w:rsid w:val="002E21D8"/>
    <w:rsid w:val="002E3461"/>
    <w:rsid w:val="002E4293"/>
    <w:rsid w:val="002E4C2D"/>
    <w:rsid w:val="002E5285"/>
    <w:rsid w:val="002E52F3"/>
    <w:rsid w:val="002E5DEA"/>
    <w:rsid w:val="002E6B10"/>
    <w:rsid w:val="002E6D4F"/>
    <w:rsid w:val="002E724A"/>
    <w:rsid w:val="002F078A"/>
    <w:rsid w:val="002F114C"/>
    <w:rsid w:val="002F26E6"/>
    <w:rsid w:val="002F311E"/>
    <w:rsid w:val="002F313A"/>
    <w:rsid w:val="002F345B"/>
    <w:rsid w:val="002F38C6"/>
    <w:rsid w:val="002F38D7"/>
    <w:rsid w:val="002F4515"/>
    <w:rsid w:val="002F45FB"/>
    <w:rsid w:val="002F4F8F"/>
    <w:rsid w:val="002F5FEC"/>
    <w:rsid w:val="002F71B8"/>
    <w:rsid w:val="002F71F4"/>
    <w:rsid w:val="002F7934"/>
    <w:rsid w:val="003004E7"/>
    <w:rsid w:val="003018B4"/>
    <w:rsid w:val="00301EA1"/>
    <w:rsid w:val="00301F26"/>
    <w:rsid w:val="00302FCC"/>
    <w:rsid w:val="003041B9"/>
    <w:rsid w:val="00304371"/>
    <w:rsid w:val="003062AE"/>
    <w:rsid w:val="00306525"/>
    <w:rsid w:val="0030668D"/>
    <w:rsid w:val="00307661"/>
    <w:rsid w:val="0031033B"/>
    <w:rsid w:val="0031072F"/>
    <w:rsid w:val="00310E37"/>
    <w:rsid w:val="003115F4"/>
    <w:rsid w:val="0031480D"/>
    <w:rsid w:val="00314BFC"/>
    <w:rsid w:val="00315514"/>
    <w:rsid w:val="00317E18"/>
    <w:rsid w:val="003208AE"/>
    <w:rsid w:val="0032232D"/>
    <w:rsid w:val="00323CDD"/>
    <w:rsid w:val="00323F85"/>
    <w:rsid w:val="00324141"/>
    <w:rsid w:val="003243D5"/>
    <w:rsid w:val="00324B79"/>
    <w:rsid w:val="00327BC9"/>
    <w:rsid w:val="00331A16"/>
    <w:rsid w:val="00333C84"/>
    <w:rsid w:val="003348E7"/>
    <w:rsid w:val="00334AC1"/>
    <w:rsid w:val="00334ACF"/>
    <w:rsid w:val="00337B03"/>
    <w:rsid w:val="00341321"/>
    <w:rsid w:val="00341A14"/>
    <w:rsid w:val="003422F0"/>
    <w:rsid w:val="00344782"/>
    <w:rsid w:val="00345E01"/>
    <w:rsid w:val="0034773F"/>
    <w:rsid w:val="0035045D"/>
    <w:rsid w:val="00350595"/>
    <w:rsid w:val="00351381"/>
    <w:rsid w:val="00351656"/>
    <w:rsid w:val="003521A6"/>
    <w:rsid w:val="003530A6"/>
    <w:rsid w:val="003530D3"/>
    <w:rsid w:val="00353379"/>
    <w:rsid w:val="00353627"/>
    <w:rsid w:val="00353D13"/>
    <w:rsid w:val="00354555"/>
    <w:rsid w:val="00354B3D"/>
    <w:rsid w:val="00355103"/>
    <w:rsid w:val="0035552A"/>
    <w:rsid w:val="00355773"/>
    <w:rsid w:val="00355F72"/>
    <w:rsid w:val="00357238"/>
    <w:rsid w:val="00357657"/>
    <w:rsid w:val="00357C75"/>
    <w:rsid w:val="00357E32"/>
    <w:rsid w:val="00360475"/>
    <w:rsid w:val="00361334"/>
    <w:rsid w:val="00362928"/>
    <w:rsid w:val="003629AB"/>
    <w:rsid w:val="003639A6"/>
    <w:rsid w:val="003639B0"/>
    <w:rsid w:val="003645D5"/>
    <w:rsid w:val="0036470D"/>
    <w:rsid w:val="00365C98"/>
    <w:rsid w:val="00365F54"/>
    <w:rsid w:val="003679AE"/>
    <w:rsid w:val="00367B9A"/>
    <w:rsid w:val="00370688"/>
    <w:rsid w:val="003714BA"/>
    <w:rsid w:val="0037285A"/>
    <w:rsid w:val="00372E10"/>
    <w:rsid w:val="0037358A"/>
    <w:rsid w:val="00373F6A"/>
    <w:rsid w:val="0037425F"/>
    <w:rsid w:val="003747ED"/>
    <w:rsid w:val="00374D66"/>
    <w:rsid w:val="00376372"/>
    <w:rsid w:val="00380B6A"/>
    <w:rsid w:val="0038281C"/>
    <w:rsid w:val="0038516B"/>
    <w:rsid w:val="0038541C"/>
    <w:rsid w:val="00385A64"/>
    <w:rsid w:val="00386D1A"/>
    <w:rsid w:val="0038726C"/>
    <w:rsid w:val="00387694"/>
    <w:rsid w:val="0039045D"/>
    <w:rsid w:val="003909A9"/>
    <w:rsid w:val="00391479"/>
    <w:rsid w:val="0039182E"/>
    <w:rsid w:val="00392A66"/>
    <w:rsid w:val="0039342B"/>
    <w:rsid w:val="0039407C"/>
    <w:rsid w:val="003948B1"/>
    <w:rsid w:val="00394A45"/>
    <w:rsid w:val="00394C83"/>
    <w:rsid w:val="00395572"/>
    <w:rsid w:val="00396339"/>
    <w:rsid w:val="00397170"/>
    <w:rsid w:val="00397950"/>
    <w:rsid w:val="003979D9"/>
    <w:rsid w:val="003A0094"/>
    <w:rsid w:val="003A04B8"/>
    <w:rsid w:val="003A096A"/>
    <w:rsid w:val="003A0D54"/>
    <w:rsid w:val="003A0FEE"/>
    <w:rsid w:val="003A21CC"/>
    <w:rsid w:val="003A3433"/>
    <w:rsid w:val="003A38B3"/>
    <w:rsid w:val="003A397D"/>
    <w:rsid w:val="003A537E"/>
    <w:rsid w:val="003A53D4"/>
    <w:rsid w:val="003A5838"/>
    <w:rsid w:val="003A5CF0"/>
    <w:rsid w:val="003A660F"/>
    <w:rsid w:val="003A693E"/>
    <w:rsid w:val="003A6DB5"/>
    <w:rsid w:val="003A79A4"/>
    <w:rsid w:val="003A79B9"/>
    <w:rsid w:val="003B095E"/>
    <w:rsid w:val="003B261B"/>
    <w:rsid w:val="003B2D06"/>
    <w:rsid w:val="003B38DF"/>
    <w:rsid w:val="003B3C35"/>
    <w:rsid w:val="003B3C99"/>
    <w:rsid w:val="003B7303"/>
    <w:rsid w:val="003C0127"/>
    <w:rsid w:val="003C055D"/>
    <w:rsid w:val="003C0691"/>
    <w:rsid w:val="003C0EAF"/>
    <w:rsid w:val="003C1A9F"/>
    <w:rsid w:val="003C231A"/>
    <w:rsid w:val="003C359A"/>
    <w:rsid w:val="003C3769"/>
    <w:rsid w:val="003C3EED"/>
    <w:rsid w:val="003C463C"/>
    <w:rsid w:val="003C54D2"/>
    <w:rsid w:val="003C72EB"/>
    <w:rsid w:val="003C777E"/>
    <w:rsid w:val="003D11A9"/>
    <w:rsid w:val="003D1451"/>
    <w:rsid w:val="003D1698"/>
    <w:rsid w:val="003D1FB3"/>
    <w:rsid w:val="003D2A37"/>
    <w:rsid w:val="003D2B1E"/>
    <w:rsid w:val="003D3E6A"/>
    <w:rsid w:val="003D3EFE"/>
    <w:rsid w:val="003D69EF"/>
    <w:rsid w:val="003D7456"/>
    <w:rsid w:val="003E0EDB"/>
    <w:rsid w:val="003E1236"/>
    <w:rsid w:val="003E1349"/>
    <w:rsid w:val="003E6196"/>
    <w:rsid w:val="003E6475"/>
    <w:rsid w:val="003E710B"/>
    <w:rsid w:val="003E72AE"/>
    <w:rsid w:val="003F04AC"/>
    <w:rsid w:val="003F105A"/>
    <w:rsid w:val="003F15DC"/>
    <w:rsid w:val="003F2CC6"/>
    <w:rsid w:val="003F5325"/>
    <w:rsid w:val="003F57E6"/>
    <w:rsid w:val="003F6199"/>
    <w:rsid w:val="003F6DFC"/>
    <w:rsid w:val="004002FB"/>
    <w:rsid w:val="00400F9A"/>
    <w:rsid w:val="004016B9"/>
    <w:rsid w:val="00401E77"/>
    <w:rsid w:val="0040318C"/>
    <w:rsid w:val="004033BF"/>
    <w:rsid w:val="004044F2"/>
    <w:rsid w:val="004049D6"/>
    <w:rsid w:val="00404B7C"/>
    <w:rsid w:val="00404C00"/>
    <w:rsid w:val="00404C3E"/>
    <w:rsid w:val="004050B0"/>
    <w:rsid w:val="00405E71"/>
    <w:rsid w:val="004067E0"/>
    <w:rsid w:val="004075CA"/>
    <w:rsid w:val="00407E5A"/>
    <w:rsid w:val="004108CF"/>
    <w:rsid w:val="004112C2"/>
    <w:rsid w:val="00413110"/>
    <w:rsid w:val="0041362E"/>
    <w:rsid w:val="00413BC6"/>
    <w:rsid w:val="00413FE6"/>
    <w:rsid w:val="00414755"/>
    <w:rsid w:val="0041498A"/>
    <w:rsid w:val="00414FDC"/>
    <w:rsid w:val="00415154"/>
    <w:rsid w:val="00416479"/>
    <w:rsid w:val="0041685C"/>
    <w:rsid w:val="004171E1"/>
    <w:rsid w:val="00417390"/>
    <w:rsid w:val="00417C2C"/>
    <w:rsid w:val="00417CEB"/>
    <w:rsid w:val="00420540"/>
    <w:rsid w:val="00421450"/>
    <w:rsid w:val="00421FA6"/>
    <w:rsid w:val="00422F23"/>
    <w:rsid w:val="004233FD"/>
    <w:rsid w:val="00423F3A"/>
    <w:rsid w:val="00425029"/>
    <w:rsid w:val="00425163"/>
    <w:rsid w:val="00425947"/>
    <w:rsid w:val="00426090"/>
    <w:rsid w:val="00426C29"/>
    <w:rsid w:val="00426CF2"/>
    <w:rsid w:val="00427E55"/>
    <w:rsid w:val="00427F07"/>
    <w:rsid w:val="00431B8A"/>
    <w:rsid w:val="004320E1"/>
    <w:rsid w:val="00432CD2"/>
    <w:rsid w:val="00433121"/>
    <w:rsid w:val="004334ED"/>
    <w:rsid w:val="00434D66"/>
    <w:rsid w:val="00436674"/>
    <w:rsid w:val="0043739D"/>
    <w:rsid w:val="00437A81"/>
    <w:rsid w:val="00437B39"/>
    <w:rsid w:val="00437BB5"/>
    <w:rsid w:val="00444397"/>
    <w:rsid w:val="004453BC"/>
    <w:rsid w:val="00445F97"/>
    <w:rsid w:val="004508ED"/>
    <w:rsid w:val="0045105B"/>
    <w:rsid w:val="004518E5"/>
    <w:rsid w:val="00451C71"/>
    <w:rsid w:val="00452296"/>
    <w:rsid w:val="00452F22"/>
    <w:rsid w:val="00453247"/>
    <w:rsid w:val="0045389C"/>
    <w:rsid w:val="00453BAE"/>
    <w:rsid w:val="00453D59"/>
    <w:rsid w:val="0045417D"/>
    <w:rsid w:val="004548E9"/>
    <w:rsid w:val="004549C8"/>
    <w:rsid w:val="00456242"/>
    <w:rsid w:val="00457CBB"/>
    <w:rsid w:val="004603A6"/>
    <w:rsid w:val="00460B6A"/>
    <w:rsid w:val="00460DDB"/>
    <w:rsid w:val="004617E4"/>
    <w:rsid w:val="004619BB"/>
    <w:rsid w:val="0046200E"/>
    <w:rsid w:val="00462D90"/>
    <w:rsid w:val="00465D3F"/>
    <w:rsid w:val="00465E75"/>
    <w:rsid w:val="0046600B"/>
    <w:rsid w:val="0046621E"/>
    <w:rsid w:val="004669E0"/>
    <w:rsid w:val="0046732D"/>
    <w:rsid w:val="00470096"/>
    <w:rsid w:val="00470D5F"/>
    <w:rsid w:val="004711B2"/>
    <w:rsid w:val="00472D4D"/>
    <w:rsid w:val="00473128"/>
    <w:rsid w:val="00473182"/>
    <w:rsid w:val="004741BD"/>
    <w:rsid w:val="00475D1A"/>
    <w:rsid w:val="00475FB7"/>
    <w:rsid w:val="00476AF9"/>
    <w:rsid w:val="00476B98"/>
    <w:rsid w:val="00477D13"/>
    <w:rsid w:val="00480C3B"/>
    <w:rsid w:val="00480E04"/>
    <w:rsid w:val="004813DE"/>
    <w:rsid w:val="00481549"/>
    <w:rsid w:val="00486322"/>
    <w:rsid w:val="00486EEE"/>
    <w:rsid w:val="0048761C"/>
    <w:rsid w:val="0049071E"/>
    <w:rsid w:val="004908B7"/>
    <w:rsid w:val="00490A71"/>
    <w:rsid w:val="004919DD"/>
    <w:rsid w:val="00492ABA"/>
    <w:rsid w:val="00493283"/>
    <w:rsid w:val="004934EC"/>
    <w:rsid w:val="004935EF"/>
    <w:rsid w:val="00493731"/>
    <w:rsid w:val="00494F7C"/>
    <w:rsid w:val="00495F04"/>
    <w:rsid w:val="00497B5B"/>
    <w:rsid w:val="004A0C6D"/>
    <w:rsid w:val="004A1B38"/>
    <w:rsid w:val="004A2DF5"/>
    <w:rsid w:val="004A46B6"/>
    <w:rsid w:val="004A48D9"/>
    <w:rsid w:val="004A4EF3"/>
    <w:rsid w:val="004A4F2A"/>
    <w:rsid w:val="004A516F"/>
    <w:rsid w:val="004A5746"/>
    <w:rsid w:val="004A62EF"/>
    <w:rsid w:val="004A678E"/>
    <w:rsid w:val="004A6CE2"/>
    <w:rsid w:val="004B0204"/>
    <w:rsid w:val="004B0FD3"/>
    <w:rsid w:val="004B23B5"/>
    <w:rsid w:val="004B3C00"/>
    <w:rsid w:val="004B3E6E"/>
    <w:rsid w:val="004B4193"/>
    <w:rsid w:val="004B5418"/>
    <w:rsid w:val="004B6262"/>
    <w:rsid w:val="004B69D7"/>
    <w:rsid w:val="004B7D80"/>
    <w:rsid w:val="004C18FD"/>
    <w:rsid w:val="004C1D0C"/>
    <w:rsid w:val="004C2FF3"/>
    <w:rsid w:val="004C37C4"/>
    <w:rsid w:val="004C3B63"/>
    <w:rsid w:val="004C445C"/>
    <w:rsid w:val="004C5F62"/>
    <w:rsid w:val="004C63C5"/>
    <w:rsid w:val="004C7115"/>
    <w:rsid w:val="004D1006"/>
    <w:rsid w:val="004D2513"/>
    <w:rsid w:val="004D2E45"/>
    <w:rsid w:val="004D45DF"/>
    <w:rsid w:val="004D5466"/>
    <w:rsid w:val="004D7F30"/>
    <w:rsid w:val="004E0C0B"/>
    <w:rsid w:val="004E15E5"/>
    <w:rsid w:val="004E2125"/>
    <w:rsid w:val="004E330A"/>
    <w:rsid w:val="004E346E"/>
    <w:rsid w:val="004E4393"/>
    <w:rsid w:val="004E51E5"/>
    <w:rsid w:val="004E5DAC"/>
    <w:rsid w:val="004E5F8A"/>
    <w:rsid w:val="004E5F8F"/>
    <w:rsid w:val="004E6626"/>
    <w:rsid w:val="004E6CFF"/>
    <w:rsid w:val="004E6D75"/>
    <w:rsid w:val="004E7AD4"/>
    <w:rsid w:val="004E7D8A"/>
    <w:rsid w:val="004F0288"/>
    <w:rsid w:val="004F1802"/>
    <w:rsid w:val="004F3688"/>
    <w:rsid w:val="004F3AAE"/>
    <w:rsid w:val="004F3D72"/>
    <w:rsid w:val="004F4BDE"/>
    <w:rsid w:val="004F57C7"/>
    <w:rsid w:val="004F5C4B"/>
    <w:rsid w:val="004F5F26"/>
    <w:rsid w:val="004F699C"/>
    <w:rsid w:val="004F7CAC"/>
    <w:rsid w:val="0050175A"/>
    <w:rsid w:val="0050294D"/>
    <w:rsid w:val="005033E9"/>
    <w:rsid w:val="00503E77"/>
    <w:rsid w:val="00504DA3"/>
    <w:rsid w:val="00510324"/>
    <w:rsid w:val="00511320"/>
    <w:rsid w:val="0051139F"/>
    <w:rsid w:val="005119C9"/>
    <w:rsid w:val="00512786"/>
    <w:rsid w:val="00512853"/>
    <w:rsid w:val="00512AC8"/>
    <w:rsid w:val="00513692"/>
    <w:rsid w:val="005143F9"/>
    <w:rsid w:val="00514E56"/>
    <w:rsid w:val="00514F74"/>
    <w:rsid w:val="00515109"/>
    <w:rsid w:val="005151A9"/>
    <w:rsid w:val="00516566"/>
    <w:rsid w:val="00517363"/>
    <w:rsid w:val="005218C3"/>
    <w:rsid w:val="00521ABD"/>
    <w:rsid w:val="005224F5"/>
    <w:rsid w:val="0052271E"/>
    <w:rsid w:val="00522D12"/>
    <w:rsid w:val="00523B95"/>
    <w:rsid w:val="00523FFD"/>
    <w:rsid w:val="0052438F"/>
    <w:rsid w:val="0052758B"/>
    <w:rsid w:val="00531B27"/>
    <w:rsid w:val="00531C11"/>
    <w:rsid w:val="0053211C"/>
    <w:rsid w:val="0053350B"/>
    <w:rsid w:val="0053445D"/>
    <w:rsid w:val="00534646"/>
    <w:rsid w:val="0053529D"/>
    <w:rsid w:val="005356AA"/>
    <w:rsid w:val="00535C74"/>
    <w:rsid w:val="005361AB"/>
    <w:rsid w:val="00537D96"/>
    <w:rsid w:val="005416CF"/>
    <w:rsid w:val="00541D43"/>
    <w:rsid w:val="00542068"/>
    <w:rsid w:val="005422C6"/>
    <w:rsid w:val="005422D6"/>
    <w:rsid w:val="00542826"/>
    <w:rsid w:val="005439E5"/>
    <w:rsid w:val="00543AF9"/>
    <w:rsid w:val="0054432E"/>
    <w:rsid w:val="00544C74"/>
    <w:rsid w:val="00544DE1"/>
    <w:rsid w:val="00545978"/>
    <w:rsid w:val="00545A42"/>
    <w:rsid w:val="00546701"/>
    <w:rsid w:val="00546A07"/>
    <w:rsid w:val="00547FC0"/>
    <w:rsid w:val="00547FD8"/>
    <w:rsid w:val="0055090A"/>
    <w:rsid w:val="005515CB"/>
    <w:rsid w:val="0055189D"/>
    <w:rsid w:val="00551DCF"/>
    <w:rsid w:val="0055323C"/>
    <w:rsid w:val="005535A0"/>
    <w:rsid w:val="00554363"/>
    <w:rsid w:val="00554E12"/>
    <w:rsid w:val="0055532F"/>
    <w:rsid w:val="0055588F"/>
    <w:rsid w:val="005558A9"/>
    <w:rsid w:val="00555A0B"/>
    <w:rsid w:val="00556A17"/>
    <w:rsid w:val="00556D53"/>
    <w:rsid w:val="00557628"/>
    <w:rsid w:val="0055780A"/>
    <w:rsid w:val="00560B4A"/>
    <w:rsid w:val="00560BC3"/>
    <w:rsid w:val="005617DF"/>
    <w:rsid w:val="00561D24"/>
    <w:rsid w:val="0056344D"/>
    <w:rsid w:val="0056429D"/>
    <w:rsid w:val="00566250"/>
    <w:rsid w:val="00566926"/>
    <w:rsid w:val="00566F39"/>
    <w:rsid w:val="005729A3"/>
    <w:rsid w:val="00572EE4"/>
    <w:rsid w:val="00572EE9"/>
    <w:rsid w:val="0057324A"/>
    <w:rsid w:val="005738A6"/>
    <w:rsid w:val="00573E7E"/>
    <w:rsid w:val="00574D20"/>
    <w:rsid w:val="00575488"/>
    <w:rsid w:val="0057674C"/>
    <w:rsid w:val="00576ADE"/>
    <w:rsid w:val="00577726"/>
    <w:rsid w:val="00577CFD"/>
    <w:rsid w:val="00577DEF"/>
    <w:rsid w:val="00580F99"/>
    <w:rsid w:val="0058187F"/>
    <w:rsid w:val="0058188B"/>
    <w:rsid w:val="0058324C"/>
    <w:rsid w:val="00585866"/>
    <w:rsid w:val="00585A57"/>
    <w:rsid w:val="00585FCB"/>
    <w:rsid w:val="00590D49"/>
    <w:rsid w:val="00592360"/>
    <w:rsid w:val="00592E0C"/>
    <w:rsid w:val="00592FC3"/>
    <w:rsid w:val="00595CB7"/>
    <w:rsid w:val="0059661C"/>
    <w:rsid w:val="00596CE3"/>
    <w:rsid w:val="00597972"/>
    <w:rsid w:val="00597FAB"/>
    <w:rsid w:val="005A0EED"/>
    <w:rsid w:val="005A3281"/>
    <w:rsid w:val="005A4C43"/>
    <w:rsid w:val="005A56EA"/>
    <w:rsid w:val="005A5915"/>
    <w:rsid w:val="005A60D4"/>
    <w:rsid w:val="005A7545"/>
    <w:rsid w:val="005A7C9C"/>
    <w:rsid w:val="005A7E15"/>
    <w:rsid w:val="005B104C"/>
    <w:rsid w:val="005B21F7"/>
    <w:rsid w:val="005B2366"/>
    <w:rsid w:val="005B578C"/>
    <w:rsid w:val="005B5D38"/>
    <w:rsid w:val="005B5DED"/>
    <w:rsid w:val="005B61EA"/>
    <w:rsid w:val="005C1231"/>
    <w:rsid w:val="005C12D2"/>
    <w:rsid w:val="005C2085"/>
    <w:rsid w:val="005C273A"/>
    <w:rsid w:val="005C2759"/>
    <w:rsid w:val="005C2E4E"/>
    <w:rsid w:val="005C3487"/>
    <w:rsid w:val="005C3A10"/>
    <w:rsid w:val="005C407E"/>
    <w:rsid w:val="005C6A66"/>
    <w:rsid w:val="005C75F9"/>
    <w:rsid w:val="005C793C"/>
    <w:rsid w:val="005D0493"/>
    <w:rsid w:val="005D0BC0"/>
    <w:rsid w:val="005D2760"/>
    <w:rsid w:val="005D2A3C"/>
    <w:rsid w:val="005D3B83"/>
    <w:rsid w:val="005D4970"/>
    <w:rsid w:val="005D4DE8"/>
    <w:rsid w:val="005D5BA1"/>
    <w:rsid w:val="005D5E17"/>
    <w:rsid w:val="005D6535"/>
    <w:rsid w:val="005D697E"/>
    <w:rsid w:val="005D6F9F"/>
    <w:rsid w:val="005D72F8"/>
    <w:rsid w:val="005D7976"/>
    <w:rsid w:val="005D7C71"/>
    <w:rsid w:val="005E10E4"/>
    <w:rsid w:val="005E227E"/>
    <w:rsid w:val="005E49B2"/>
    <w:rsid w:val="005E4B77"/>
    <w:rsid w:val="005E6358"/>
    <w:rsid w:val="005E68FB"/>
    <w:rsid w:val="005F0AE8"/>
    <w:rsid w:val="005F1FD6"/>
    <w:rsid w:val="005F2515"/>
    <w:rsid w:val="005F2A6B"/>
    <w:rsid w:val="005F3366"/>
    <w:rsid w:val="005F40C1"/>
    <w:rsid w:val="005F4EF8"/>
    <w:rsid w:val="005F5DDB"/>
    <w:rsid w:val="005F613D"/>
    <w:rsid w:val="00600A39"/>
    <w:rsid w:val="006024D3"/>
    <w:rsid w:val="0060279B"/>
    <w:rsid w:val="00602CF8"/>
    <w:rsid w:val="006036A0"/>
    <w:rsid w:val="00605EFD"/>
    <w:rsid w:val="00606520"/>
    <w:rsid w:val="00606EF9"/>
    <w:rsid w:val="0060706A"/>
    <w:rsid w:val="00607758"/>
    <w:rsid w:val="00610582"/>
    <w:rsid w:val="00610674"/>
    <w:rsid w:val="00610D5E"/>
    <w:rsid w:val="006110E8"/>
    <w:rsid w:val="006112E3"/>
    <w:rsid w:val="00613467"/>
    <w:rsid w:val="00613D0E"/>
    <w:rsid w:val="00614287"/>
    <w:rsid w:val="00614F4F"/>
    <w:rsid w:val="00616C56"/>
    <w:rsid w:val="006173E3"/>
    <w:rsid w:val="0062027A"/>
    <w:rsid w:val="00621D81"/>
    <w:rsid w:val="00623092"/>
    <w:rsid w:val="00623454"/>
    <w:rsid w:val="0062398E"/>
    <w:rsid w:val="00624315"/>
    <w:rsid w:val="006245AB"/>
    <w:rsid w:val="00624778"/>
    <w:rsid w:val="006248C6"/>
    <w:rsid w:val="0062545B"/>
    <w:rsid w:val="0062552A"/>
    <w:rsid w:val="00625950"/>
    <w:rsid w:val="006270EF"/>
    <w:rsid w:val="0062726F"/>
    <w:rsid w:val="00627CBD"/>
    <w:rsid w:val="00630496"/>
    <w:rsid w:val="006325E4"/>
    <w:rsid w:val="006332BE"/>
    <w:rsid w:val="00634B49"/>
    <w:rsid w:val="00634E25"/>
    <w:rsid w:val="00635F42"/>
    <w:rsid w:val="00637459"/>
    <w:rsid w:val="00637C5B"/>
    <w:rsid w:val="00640425"/>
    <w:rsid w:val="006408C3"/>
    <w:rsid w:val="00640E65"/>
    <w:rsid w:val="00641C3F"/>
    <w:rsid w:val="00641D53"/>
    <w:rsid w:val="00641F9D"/>
    <w:rsid w:val="0064290C"/>
    <w:rsid w:val="0064344A"/>
    <w:rsid w:val="006436B7"/>
    <w:rsid w:val="00644591"/>
    <w:rsid w:val="006448C0"/>
    <w:rsid w:val="00644B1E"/>
    <w:rsid w:val="0064512D"/>
    <w:rsid w:val="00645AB3"/>
    <w:rsid w:val="0064620D"/>
    <w:rsid w:val="0064719A"/>
    <w:rsid w:val="0064746E"/>
    <w:rsid w:val="00650597"/>
    <w:rsid w:val="006509CD"/>
    <w:rsid w:val="0065226B"/>
    <w:rsid w:val="00653B40"/>
    <w:rsid w:val="00655158"/>
    <w:rsid w:val="00656A27"/>
    <w:rsid w:val="00657754"/>
    <w:rsid w:val="006609BE"/>
    <w:rsid w:val="00661536"/>
    <w:rsid w:val="006618AA"/>
    <w:rsid w:val="00662DFF"/>
    <w:rsid w:val="00663710"/>
    <w:rsid w:val="00664356"/>
    <w:rsid w:val="0066459F"/>
    <w:rsid w:val="00665FC6"/>
    <w:rsid w:val="00667104"/>
    <w:rsid w:val="00667CBF"/>
    <w:rsid w:val="00667FC6"/>
    <w:rsid w:val="0067039F"/>
    <w:rsid w:val="00672120"/>
    <w:rsid w:val="0067327D"/>
    <w:rsid w:val="00673352"/>
    <w:rsid w:val="0067381B"/>
    <w:rsid w:val="00673843"/>
    <w:rsid w:val="00673D7C"/>
    <w:rsid w:val="006749AC"/>
    <w:rsid w:val="00674F81"/>
    <w:rsid w:val="00675066"/>
    <w:rsid w:val="006770D5"/>
    <w:rsid w:val="0068031D"/>
    <w:rsid w:val="00681C5B"/>
    <w:rsid w:val="0068368C"/>
    <w:rsid w:val="00684469"/>
    <w:rsid w:val="0068446B"/>
    <w:rsid w:val="0068474C"/>
    <w:rsid w:val="00685F88"/>
    <w:rsid w:val="00686230"/>
    <w:rsid w:val="0068650C"/>
    <w:rsid w:val="00686A71"/>
    <w:rsid w:val="0069080C"/>
    <w:rsid w:val="00690B28"/>
    <w:rsid w:val="00690F7C"/>
    <w:rsid w:val="0069123E"/>
    <w:rsid w:val="00691913"/>
    <w:rsid w:val="00692D21"/>
    <w:rsid w:val="00693399"/>
    <w:rsid w:val="0069362F"/>
    <w:rsid w:val="0069459C"/>
    <w:rsid w:val="00695AF6"/>
    <w:rsid w:val="00695D8C"/>
    <w:rsid w:val="00696172"/>
    <w:rsid w:val="006A138B"/>
    <w:rsid w:val="006A1569"/>
    <w:rsid w:val="006A15B9"/>
    <w:rsid w:val="006A2589"/>
    <w:rsid w:val="006A3051"/>
    <w:rsid w:val="006A3A03"/>
    <w:rsid w:val="006A3BBD"/>
    <w:rsid w:val="006A50E5"/>
    <w:rsid w:val="006A515F"/>
    <w:rsid w:val="006A5348"/>
    <w:rsid w:val="006A5D40"/>
    <w:rsid w:val="006B0480"/>
    <w:rsid w:val="006B0B8A"/>
    <w:rsid w:val="006B1218"/>
    <w:rsid w:val="006B140A"/>
    <w:rsid w:val="006B1F99"/>
    <w:rsid w:val="006B5D29"/>
    <w:rsid w:val="006B6044"/>
    <w:rsid w:val="006B6DE4"/>
    <w:rsid w:val="006B6DE5"/>
    <w:rsid w:val="006C014A"/>
    <w:rsid w:val="006C0974"/>
    <w:rsid w:val="006C123E"/>
    <w:rsid w:val="006C254F"/>
    <w:rsid w:val="006C4906"/>
    <w:rsid w:val="006C561D"/>
    <w:rsid w:val="006C6AA6"/>
    <w:rsid w:val="006D3271"/>
    <w:rsid w:val="006D33C5"/>
    <w:rsid w:val="006D3C39"/>
    <w:rsid w:val="006D3DD3"/>
    <w:rsid w:val="006D3F9D"/>
    <w:rsid w:val="006D4CF8"/>
    <w:rsid w:val="006D4E1F"/>
    <w:rsid w:val="006D5D03"/>
    <w:rsid w:val="006D5EE8"/>
    <w:rsid w:val="006D5F43"/>
    <w:rsid w:val="006D7D25"/>
    <w:rsid w:val="006E1445"/>
    <w:rsid w:val="006E2812"/>
    <w:rsid w:val="006E436B"/>
    <w:rsid w:val="006E7302"/>
    <w:rsid w:val="006E73D2"/>
    <w:rsid w:val="006E747F"/>
    <w:rsid w:val="006F0C67"/>
    <w:rsid w:val="006F1383"/>
    <w:rsid w:val="006F161E"/>
    <w:rsid w:val="006F1BB3"/>
    <w:rsid w:val="006F1F0C"/>
    <w:rsid w:val="006F21CC"/>
    <w:rsid w:val="006F350A"/>
    <w:rsid w:val="006F4F19"/>
    <w:rsid w:val="006F7584"/>
    <w:rsid w:val="006F7C0F"/>
    <w:rsid w:val="007004AD"/>
    <w:rsid w:val="007004C7"/>
    <w:rsid w:val="00700FE7"/>
    <w:rsid w:val="0070258A"/>
    <w:rsid w:val="007032FA"/>
    <w:rsid w:val="00703375"/>
    <w:rsid w:val="00703418"/>
    <w:rsid w:val="0070469B"/>
    <w:rsid w:val="007047A0"/>
    <w:rsid w:val="00706067"/>
    <w:rsid w:val="007061AA"/>
    <w:rsid w:val="007063D3"/>
    <w:rsid w:val="00707A37"/>
    <w:rsid w:val="00710485"/>
    <w:rsid w:val="007109D8"/>
    <w:rsid w:val="00710DCF"/>
    <w:rsid w:val="007113C9"/>
    <w:rsid w:val="007126A7"/>
    <w:rsid w:val="00712C73"/>
    <w:rsid w:val="0071318A"/>
    <w:rsid w:val="0071362E"/>
    <w:rsid w:val="00713B85"/>
    <w:rsid w:val="00713F7A"/>
    <w:rsid w:val="00714E0D"/>
    <w:rsid w:val="00715033"/>
    <w:rsid w:val="00716463"/>
    <w:rsid w:val="00716D8E"/>
    <w:rsid w:val="00717811"/>
    <w:rsid w:val="00717C8E"/>
    <w:rsid w:val="00720D24"/>
    <w:rsid w:val="00720D4C"/>
    <w:rsid w:val="007219B1"/>
    <w:rsid w:val="00721CB3"/>
    <w:rsid w:val="00721EC9"/>
    <w:rsid w:val="00722107"/>
    <w:rsid w:val="00722446"/>
    <w:rsid w:val="00723D35"/>
    <w:rsid w:val="00723E1E"/>
    <w:rsid w:val="007256C3"/>
    <w:rsid w:val="00725D54"/>
    <w:rsid w:val="00726424"/>
    <w:rsid w:val="00730D7F"/>
    <w:rsid w:val="007314B6"/>
    <w:rsid w:val="007315DB"/>
    <w:rsid w:val="00731A6D"/>
    <w:rsid w:val="00731CDD"/>
    <w:rsid w:val="00731DF7"/>
    <w:rsid w:val="00734519"/>
    <w:rsid w:val="007346D2"/>
    <w:rsid w:val="00735378"/>
    <w:rsid w:val="00735846"/>
    <w:rsid w:val="00735A25"/>
    <w:rsid w:val="0073600A"/>
    <w:rsid w:val="007408F2"/>
    <w:rsid w:val="0074171D"/>
    <w:rsid w:val="00742DE4"/>
    <w:rsid w:val="00743231"/>
    <w:rsid w:val="00743B80"/>
    <w:rsid w:val="007440EF"/>
    <w:rsid w:val="00745A6F"/>
    <w:rsid w:val="007503C5"/>
    <w:rsid w:val="00750420"/>
    <w:rsid w:val="0075082C"/>
    <w:rsid w:val="007509A6"/>
    <w:rsid w:val="00750B5A"/>
    <w:rsid w:val="007510AD"/>
    <w:rsid w:val="00751C6B"/>
    <w:rsid w:val="00751F15"/>
    <w:rsid w:val="0075288B"/>
    <w:rsid w:val="00753469"/>
    <w:rsid w:val="00753B90"/>
    <w:rsid w:val="007557BB"/>
    <w:rsid w:val="007558BC"/>
    <w:rsid w:val="0076446C"/>
    <w:rsid w:val="007650D1"/>
    <w:rsid w:val="0076559E"/>
    <w:rsid w:val="007666BC"/>
    <w:rsid w:val="00767B13"/>
    <w:rsid w:val="00767B90"/>
    <w:rsid w:val="00770966"/>
    <w:rsid w:val="00772AD9"/>
    <w:rsid w:val="00772C70"/>
    <w:rsid w:val="00772D45"/>
    <w:rsid w:val="0077548D"/>
    <w:rsid w:val="00781777"/>
    <w:rsid w:val="007819AA"/>
    <w:rsid w:val="00781EC7"/>
    <w:rsid w:val="00781F4B"/>
    <w:rsid w:val="0078218C"/>
    <w:rsid w:val="00782996"/>
    <w:rsid w:val="007847FA"/>
    <w:rsid w:val="007852A5"/>
    <w:rsid w:val="00786E62"/>
    <w:rsid w:val="00787332"/>
    <w:rsid w:val="00790910"/>
    <w:rsid w:val="00790990"/>
    <w:rsid w:val="0079188E"/>
    <w:rsid w:val="00791DE1"/>
    <w:rsid w:val="0079240A"/>
    <w:rsid w:val="0079375E"/>
    <w:rsid w:val="0079515E"/>
    <w:rsid w:val="00796038"/>
    <w:rsid w:val="007964D5"/>
    <w:rsid w:val="00797D36"/>
    <w:rsid w:val="007A0667"/>
    <w:rsid w:val="007A0920"/>
    <w:rsid w:val="007A0BA1"/>
    <w:rsid w:val="007A0C94"/>
    <w:rsid w:val="007A1171"/>
    <w:rsid w:val="007A206F"/>
    <w:rsid w:val="007A321D"/>
    <w:rsid w:val="007A37EA"/>
    <w:rsid w:val="007A3A8C"/>
    <w:rsid w:val="007A4209"/>
    <w:rsid w:val="007A42A7"/>
    <w:rsid w:val="007A4500"/>
    <w:rsid w:val="007A4E47"/>
    <w:rsid w:val="007A583D"/>
    <w:rsid w:val="007A5FB6"/>
    <w:rsid w:val="007A6254"/>
    <w:rsid w:val="007A67E9"/>
    <w:rsid w:val="007B0E0C"/>
    <w:rsid w:val="007B1BE4"/>
    <w:rsid w:val="007B1EE2"/>
    <w:rsid w:val="007B23AF"/>
    <w:rsid w:val="007B2AF8"/>
    <w:rsid w:val="007B3113"/>
    <w:rsid w:val="007B41C9"/>
    <w:rsid w:val="007B47A4"/>
    <w:rsid w:val="007B4AA3"/>
    <w:rsid w:val="007B4DEF"/>
    <w:rsid w:val="007B5635"/>
    <w:rsid w:val="007B6359"/>
    <w:rsid w:val="007B7DFE"/>
    <w:rsid w:val="007C0D0E"/>
    <w:rsid w:val="007C0EEF"/>
    <w:rsid w:val="007C1985"/>
    <w:rsid w:val="007C26E5"/>
    <w:rsid w:val="007C273D"/>
    <w:rsid w:val="007C364F"/>
    <w:rsid w:val="007C4577"/>
    <w:rsid w:val="007C4D42"/>
    <w:rsid w:val="007C6B1D"/>
    <w:rsid w:val="007C7033"/>
    <w:rsid w:val="007C720A"/>
    <w:rsid w:val="007C7499"/>
    <w:rsid w:val="007C7B20"/>
    <w:rsid w:val="007D0337"/>
    <w:rsid w:val="007D1092"/>
    <w:rsid w:val="007D118C"/>
    <w:rsid w:val="007D1344"/>
    <w:rsid w:val="007D1396"/>
    <w:rsid w:val="007D1924"/>
    <w:rsid w:val="007D2621"/>
    <w:rsid w:val="007D409B"/>
    <w:rsid w:val="007D47AA"/>
    <w:rsid w:val="007D5574"/>
    <w:rsid w:val="007D5CA8"/>
    <w:rsid w:val="007D65CE"/>
    <w:rsid w:val="007D6B9E"/>
    <w:rsid w:val="007D7A6A"/>
    <w:rsid w:val="007E0CAF"/>
    <w:rsid w:val="007E1AC4"/>
    <w:rsid w:val="007E1F35"/>
    <w:rsid w:val="007E2F09"/>
    <w:rsid w:val="007E30BC"/>
    <w:rsid w:val="007E4668"/>
    <w:rsid w:val="007E4BF0"/>
    <w:rsid w:val="007E4DDD"/>
    <w:rsid w:val="007E58EB"/>
    <w:rsid w:val="007E6F72"/>
    <w:rsid w:val="007F08CA"/>
    <w:rsid w:val="007F0CE5"/>
    <w:rsid w:val="007F3B6E"/>
    <w:rsid w:val="007F3DD6"/>
    <w:rsid w:val="007F4F2D"/>
    <w:rsid w:val="007F6498"/>
    <w:rsid w:val="007F7AC2"/>
    <w:rsid w:val="00801CE8"/>
    <w:rsid w:val="00802341"/>
    <w:rsid w:val="00802B63"/>
    <w:rsid w:val="00802E71"/>
    <w:rsid w:val="00803319"/>
    <w:rsid w:val="00805292"/>
    <w:rsid w:val="00806434"/>
    <w:rsid w:val="00807559"/>
    <w:rsid w:val="00807DFD"/>
    <w:rsid w:val="008115C2"/>
    <w:rsid w:val="008117BF"/>
    <w:rsid w:val="008117D1"/>
    <w:rsid w:val="008117E7"/>
    <w:rsid w:val="00812148"/>
    <w:rsid w:val="00812337"/>
    <w:rsid w:val="008127AA"/>
    <w:rsid w:val="00813288"/>
    <w:rsid w:val="008137C0"/>
    <w:rsid w:val="00814549"/>
    <w:rsid w:val="00814714"/>
    <w:rsid w:val="00816D7C"/>
    <w:rsid w:val="00817014"/>
    <w:rsid w:val="0082088C"/>
    <w:rsid w:val="00821215"/>
    <w:rsid w:val="00821A29"/>
    <w:rsid w:val="00822EB4"/>
    <w:rsid w:val="00823233"/>
    <w:rsid w:val="00823861"/>
    <w:rsid w:val="00824426"/>
    <w:rsid w:val="00824B0E"/>
    <w:rsid w:val="00824C9D"/>
    <w:rsid w:val="00825F23"/>
    <w:rsid w:val="008260B8"/>
    <w:rsid w:val="00827126"/>
    <w:rsid w:val="008302AA"/>
    <w:rsid w:val="0083045C"/>
    <w:rsid w:val="00830597"/>
    <w:rsid w:val="00830E52"/>
    <w:rsid w:val="00831B0B"/>
    <w:rsid w:val="0083233F"/>
    <w:rsid w:val="008324E3"/>
    <w:rsid w:val="00832616"/>
    <w:rsid w:val="00832C8F"/>
    <w:rsid w:val="00833ACE"/>
    <w:rsid w:val="00833E59"/>
    <w:rsid w:val="00834758"/>
    <w:rsid w:val="00834F9C"/>
    <w:rsid w:val="00836E8D"/>
    <w:rsid w:val="008374EF"/>
    <w:rsid w:val="00837639"/>
    <w:rsid w:val="00837A47"/>
    <w:rsid w:val="008406D9"/>
    <w:rsid w:val="008420DA"/>
    <w:rsid w:val="00844347"/>
    <w:rsid w:val="0084437F"/>
    <w:rsid w:val="008450F3"/>
    <w:rsid w:val="00845946"/>
    <w:rsid w:val="00845C8E"/>
    <w:rsid w:val="008467B6"/>
    <w:rsid w:val="008476A0"/>
    <w:rsid w:val="0085041B"/>
    <w:rsid w:val="0085065C"/>
    <w:rsid w:val="008509E0"/>
    <w:rsid w:val="008509F3"/>
    <w:rsid w:val="00851C5E"/>
    <w:rsid w:val="00852DE3"/>
    <w:rsid w:val="00852F38"/>
    <w:rsid w:val="00854EF0"/>
    <w:rsid w:val="00855881"/>
    <w:rsid w:val="00855F13"/>
    <w:rsid w:val="008560EB"/>
    <w:rsid w:val="00856C34"/>
    <w:rsid w:val="008570E9"/>
    <w:rsid w:val="00860268"/>
    <w:rsid w:val="008604CD"/>
    <w:rsid w:val="0086103B"/>
    <w:rsid w:val="008621C6"/>
    <w:rsid w:val="00862A7B"/>
    <w:rsid w:val="00862B69"/>
    <w:rsid w:val="008631B5"/>
    <w:rsid w:val="00863E95"/>
    <w:rsid w:val="00864584"/>
    <w:rsid w:val="00864C94"/>
    <w:rsid w:val="00865546"/>
    <w:rsid w:val="00865BD6"/>
    <w:rsid w:val="00865DC1"/>
    <w:rsid w:val="00866CB8"/>
    <w:rsid w:val="00867BA1"/>
    <w:rsid w:val="00867E67"/>
    <w:rsid w:val="00870019"/>
    <w:rsid w:val="00870112"/>
    <w:rsid w:val="0087073D"/>
    <w:rsid w:val="00870C8E"/>
    <w:rsid w:val="0087365A"/>
    <w:rsid w:val="008743C7"/>
    <w:rsid w:val="008750F9"/>
    <w:rsid w:val="00875341"/>
    <w:rsid w:val="0087536F"/>
    <w:rsid w:val="00875637"/>
    <w:rsid w:val="00875D10"/>
    <w:rsid w:val="008765D0"/>
    <w:rsid w:val="00876C04"/>
    <w:rsid w:val="00877894"/>
    <w:rsid w:val="0087799C"/>
    <w:rsid w:val="00880886"/>
    <w:rsid w:val="00880A40"/>
    <w:rsid w:val="008810DB"/>
    <w:rsid w:val="00881C81"/>
    <w:rsid w:val="00882C06"/>
    <w:rsid w:val="00882CC7"/>
    <w:rsid w:val="008830CB"/>
    <w:rsid w:val="008839C0"/>
    <w:rsid w:val="00883CC3"/>
    <w:rsid w:val="00883F40"/>
    <w:rsid w:val="0088436E"/>
    <w:rsid w:val="008869F4"/>
    <w:rsid w:val="008901AD"/>
    <w:rsid w:val="00890ADC"/>
    <w:rsid w:val="008911CB"/>
    <w:rsid w:val="008919B6"/>
    <w:rsid w:val="00891B5B"/>
    <w:rsid w:val="0089269C"/>
    <w:rsid w:val="00893EEF"/>
    <w:rsid w:val="0089504B"/>
    <w:rsid w:val="00896548"/>
    <w:rsid w:val="008968CE"/>
    <w:rsid w:val="008975A2"/>
    <w:rsid w:val="00897B51"/>
    <w:rsid w:val="008A12B3"/>
    <w:rsid w:val="008A1356"/>
    <w:rsid w:val="008A14CB"/>
    <w:rsid w:val="008A184F"/>
    <w:rsid w:val="008A2C72"/>
    <w:rsid w:val="008A3ADD"/>
    <w:rsid w:val="008A40BC"/>
    <w:rsid w:val="008A40DD"/>
    <w:rsid w:val="008A4880"/>
    <w:rsid w:val="008A52B1"/>
    <w:rsid w:val="008A5754"/>
    <w:rsid w:val="008A5B09"/>
    <w:rsid w:val="008A5E0E"/>
    <w:rsid w:val="008A6404"/>
    <w:rsid w:val="008B0399"/>
    <w:rsid w:val="008B0C53"/>
    <w:rsid w:val="008B1FFD"/>
    <w:rsid w:val="008B2287"/>
    <w:rsid w:val="008B2B8D"/>
    <w:rsid w:val="008B2C31"/>
    <w:rsid w:val="008B2E71"/>
    <w:rsid w:val="008B3A3B"/>
    <w:rsid w:val="008B3D48"/>
    <w:rsid w:val="008B3D4A"/>
    <w:rsid w:val="008B4EA4"/>
    <w:rsid w:val="008B5B32"/>
    <w:rsid w:val="008B6D54"/>
    <w:rsid w:val="008B7D1C"/>
    <w:rsid w:val="008C1AF8"/>
    <w:rsid w:val="008C2989"/>
    <w:rsid w:val="008C37E7"/>
    <w:rsid w:val="008C3BC6"/>
    <w:rsid w:val="008C3D0F"/>
    <w:rsid w:val="008C441A"/>
    <w:rsid w:val="008C460D"/>
    <w:rsid w:val="008C46F6"/>
    <w:rsid w:val="008C564F"/>
    <w:rsid w:val="008C5879"/>
    <w:rsid w:val="008C5B09"/>
    <w:rsid w:val="008C67E8"/>
    <w:rsid w:val="008C685B"/>
    <w:rsid w:val="008C6908"/>
    <w:rsid w:val="008C69C5"/>
    <w:rsid w:val="008C7CFB"/>
    <w:rsid w:val="008D072C"/>
    <w:rsid w:val="008D09DD"/>
    <w:rsid w:val="008D139D"/>
    <w:rsid w:val="008D1784"/>
    <w:rsid w:val="008D2F25"/>
    <w:rsid w:val="008D32E3"/>
    <w:rsid w:val="008D3D3F"/>
    <w:rsid w:val="008D475B"/>
    <w:rsid w:val="008D48D2"/>
    <w:rsid w:val="008D5B40"/>
    <w:rsid w:val="008D78FF"/>
    <w:rsid w:val="008D7BF5"/>
    <w:rsid w:val="008E07C9"/>
    <w:rsid w:val="008E17AE"/>
    <w:rsid w:val="008E1BD3"/>
    <w:rsid w:val="008E60CE"/>
    <w:rsid w:val="008E6F1F"/>
    <w:rsid w:val="008E6FBC"/>
    <w:rsid w:val="008E7763"/>
    <w:rsid w:val="008F07FC"/>
    <w:rsid w:val="008F1757"/>
    <w:rsid w:val="008F27CE"/>
    <w:rsid w:val="008F3519"/>
    <w:rsid w:val="008F36BC"/>
    <w:rsid w:val="008F41D6"/>
    <w:rsid w:val="008F45DB"/>
    <w:rsid w:val="008F4A7E"/>
    <w:rsid w:val="008F4FEB"/>
    <w:rsid w:val="008F5299"/>
    <w:rsid w:val="008F5A36"/>
    <w:rsid w:val="008F5E79"/>
    <w:rsid w:val="008F669C"/>
    <w:rsid w:val="008F6791"/>
    <w:rsid w:val="008F703E"/>
    <w:rsid w:val="008F711B"/>
    <w:rsid w:val="00900174"/>
    <w:rsid w:val="009003BE"/>
    <w:rsid w:val="009023B3"/>
    <w:rsid w:val="00903F33"/>
    <w:rsid w:val="00904C4B"/>
    <w:rsid w:val="00905F67"/>
    <w:rsid w:val="009066A8"/>
    <w:rsid w:val="00906C2F"/>
    <w:rsid w:val="0090734D"/>
    <w:rsid w:val="00907899"/>
    <w:rsid w:val="009102CD"/>
    <w:rsid w:val="009112E6"/>
    <w:rsid w:val="00911623"/>
    <w:rsid w:val="00911879"/>
    <w:rsid w:val="0091238F"/>
    <w:rsid w:val="00912860"/>
    <w:rsid w:val="00913147"/>
    <w:rsid w:val="009136E7"/>
    <w:rsid w:val="00914DA7"/>
    <w:rsid w:val="00915F63"/>
    <w:rsid w:val="00916AFA"/>
    <w:rsid w:val="00916F3E"/>
    <w:rsid w:val="009177E9"/>
    <w:rsid w:val="009221AD"/>
    <w:rsid w:val="00923366"/>
    <w:rsid w:val="009240B7"/>
    <w:rsid w:val="00925BCE"/>
    <w:rsid w:val="0092600B"/>
    <w:rsid w:val="009265C7"/>
    <w:rsid w:val="0093087D"/>
    <w:rsid w:val="00930D09"/>
    <w:rsid w:val="009319A0"/>
    <w:rsid w:val="009320E2"/>
    <w:rsid w:val="00932376"/>
    <w:rsid w:val="009328C9"/>
    <w:rsid w:val="009331CF"/>
    <w:rsid w:val="009331D2"/>
    <w:rsid w:val="009334AC"/>
    <w:rsid w:val="00933640"/>
    <w:rsid w:val="00934564"/>
    <w:rsid w:val="00934D7D"/>
    <w:rsid w:val="00937955"/>
    <w:rsid w:val="00937E53"/>
    <w:rsid w:val="00940357"/>
    <w:rsid w:val="00940D07"/>
    <w:rsid w:val="00941A22"/>
    <w:rsid w:val="00941ED9"/>
    <w:rsid w:val="00942010"/>
    <w:rsid w:val="0094320A"/>
    <w:rsid w:val="00943A51"/>
    <w:rsid w:val="00945A89"/>
    <w:rsid w:val="0095170D"/>
    <w:rsid w:val="00951DAA"/>
    <w:rsid w:val="00952632"/>
    <w:rsid w:val="00952A76"/>
    <w:rsid w:val="0095307F"/>
    <w:rsid w:val="00953234"/>
    <w:rsid w:val="009548FF"/>
    <w:rsid w:val="00955526"/>
    <w:rsid w:val="00955E23"/>
    <w:rsid w:val="00957832"/>
    <w:rsid w:val="00957FD5"/>
    <w:rsid w:val="00962499"/>
    <w:rsid w:val="009624F6"/>
    <w:rsid w:val="00962538"/>
    <w:rsid w:val="00962D6B"/>
    <w:rsid w:val="00963E1B"/>
    <w:rsid w:val="00964EF7"/>
    <w:rsid w:val="00965269"/>
    <w:rsid w:val="00965B61"/>
    <w:rsid w:val="00966C09"/>
    <w:rsid w:val="00966F84"/>
    <w:rsid w:val="00967CE3"/>
    <w:rsid w:val="00970939"/>
    <w:rsid w:val="00970C1A"/>
    <w:rsid w:val="00970CB2"/>
    <w:rsid w:val="00970D2E"/>
    <w:rsid w:val="00971117"/>
    <w:rsid w:val="00971EB0"/>
    <w:rsid w:val="00972498"/>
    <w:rsid w:val="009732E6"/>
    <w:rsid w:val="00973E9B"/>
    <w:rsid w:val="009754C1"/>
    <w:rsid w:val="00975734"/>
    <w:rsid w:val="00975A73"/>
    <w:rsid w:val="00977636"/>
    <w:rsid w:val="00977E1A"/>
    <w:rsid w:val="00977ECA"/>
    <w:rsid w:val="00980765"/>
    <w:rsid w:val="00980F87"/>
    <w:rsid w:val="00981467"/>
    <w:rsid w:val="00981B2C"/>
    <w:rsid w:val="00981E36"/>
    <w:rsid w:val="00981F71"/>
    <w:rsid w:val="00984441"/>
    <w:rsid w:val="009844CF"/>
    <w:rsid w:val="00984DD8"/>
    <w:rsid w:val="00984F1A"/>
    <w:rsid w:val="009850A1"/>
    <w:rsid w:val="00985DEE"/>
    <w:rsid w:val="00987DBB"/>
    <w:rsid w:val="0099085F"/>
    <w:rsid w:val="00991EBD"/>
    <w:rsid w:val="009925DB"/>
    <w:rsid w:val="00992849"/>
    <w:rsid w:val="00993114"/>
    <w:rsid w:val="00993CC9"/>
    <w:rsid w:val="009940A4"/>
    <w:rsid w:val="00994D6D"/>
    <w:rsid w:val="00995AD7"/>
    <w:rsid w:val="009965AA"/>
    <w:rsid w:val="009A1740"/>
    <w:rsid w:val="009A2132"/>
    <w:rsid w:val="009A3E7C"/>
    <w:rsid w:val="009A4305"/>
    <w:rsid w:val="009A4690"/>
    <w:rsid w:val="009A4945"/>
    <w:rsid w:val="009A525B"/>
    <w:rsid w:val="009A5612"/>
    <w:rsid w:val="009A580E"/>
    <w:rsid w:val="009A6270"/>
    <w:rsid w:val="009A6A4D"/>
    <w:rsid w:val="009A6F74"/>
    <w:rsid w:val="009A7EB0"/>
    <w:rsid w:val="009B012C"/>
    <w:rsid w:val="009B0768"/>
    <w:rsid w:val="009B0B1F"/>
    <w:rsid w:val="009B1463"/>
    <w:rsid w:val="009B1A37"/>
    <w:rsid w:val="009B28B4"/>
    <w:rsid w:val="009B3AC6"/>
    <w:rsid w:val="009B4CBC"/>
    <w:rsid w:val="009B56F6"/>
    <w:rsid w:val="009B5A28"/>
    <w:rsid w:val="009B5AC4"/>
    <w:rsid w:val="009B629A"/>
    <w:rsid w:val="009B7195"/>
    <w:rsid w:val="009B732E"/>
    <w:rsid w:val="009C0CC4"/>
    <w:rsid w:val="009C0F03"/>
    <w:rsid w:val="009C1F29"/>
    <w:rsid w:val="009C2111"/>
    <w:rsid w:val="009C221B"/>
    <w:rsid w:val="009C293A"/>
    <w:rsid w:val="009C3986"/>
    <w:rsid w:val="009C41C2"/>
    <w:rsid w:val="009C4D08"/>
    <w:rsid w:val="009C4E18"/>
    <w:rsid w:val="009C4F22"/>
    <w:rsid w:val="009C7C25"/>
    <w:rsid w:val="009D0A54"/>
    <w:rsid w:val="009D154F"/>
    <w:rsid w:val="009D2787"/>
    <w:rsid w:val="009D29ED"/>
    <w:rsid w:val="009D30D3"/>
    <w:rsid w:val="009D3237"/>
    <w:rsid w:val="009D3628"/>
    <w:rsid w:val="009D4C2A"/>
    <w:rsid w:val="009D6709"/>
    <w:rsid w:val="009D6914"/>
    <w:rsid w:val="009D6D35"/>
    <w:rsid w:val="009E0618"/>
    <w:rsid w:val="009E0D83"/>
    <w:rsid w:val="009E1A3C"/>
    <w:rsid w:val="009E1C22"/>
    <w:rsid w:val="009E1C96"/>
    <w:rsid w:val="009E2481"/>
    <w:rsid w:val="009E37E4"/>
    <w:rsid w:val="009E3B66"/>
    <w:rsid w:val="009E3C7E"/>
    <w:rsid w:val="009E43E8"/>
    <w:rsid w:val="009E498A"/>
    <w:rsid w:val="009E4FD0"/>
    <w:rsid w:val="009E6873"/>
    <w:rsid w:val="009E6991"/>
    <w:rsid w:val="009E7696"/>
    <w:rsid w:val="009E7A04"/>
    <w:rsid w:val="009F01F5"/>
    <w:rsid w:val="009F0381"/>
    <w:rsid w:val="009F09CD"/>
    <w:rsid w:val="009F1430"/>
    <w:rsid w:val="009F193A"/>
    <w:rsid w:val="009F1BB7"/>
    <w:rsid w:val="009F21BA"/>
    <w:rsid w:val="009F3395"/>
    <w:rsid w:val="009F3631"/>
    <w:rsid w:val="009F363C"/>
    <w:rsid w:val="009F3790"/>
    <w:rsid w:val="009F3A62"/>
    <w:rsid w:val="009F476C"/>
    <w:rsid w:val="009F513C"/>
    <w:rsid w:val="009F561D"/>
    <w:rsid w:val="009F586C"/>
    <w:rsid w:val="009F5D30"/>
    <w:rsid w:val="009F6807"/>
    <w:rsid w:val="009F7310"/>
    <w:rsid w:val="009F7A90"/>
    <w:rsid w:val="009F7CEB"/>
    <w:rsid w:val="00A006E2"/>
    <w:rsid w:val="00A010FE"/>
    <w:rsid w:val="00A01759"/>
    <w:rsid w:val="00A031BC"/>
    <w:rsid w:val="00A03256"/>
    <w:rsid w:val="00A03361"/>
    <w:rsid w:val="00A040FD"/>
    <w:rsid w:val="00A0426A"/>
    <w:rsid w:val="00A04C0D"/>
    <w:rsid w:val="00A07327"/>
    <w:rsid w:val="00A10B2E"/>
    <w:rsid w:val="00A10FBF"/>
    <w:rsid w:val="00A11C2D"/>
    <w:rsid w:val="00A126BD"/>
    <w:rsid w:val="00A12727"/>
    <w:rsid w:val="00A12A44"/>
    <w:rsid w:val="00A12E4F"/>
    <w:rsid w:val="00A14F53"/>
    <w:rsid w:val="00A1510A"/>
    <w:rsid w:val="00A15219"/>
    <w:rsid w:val="00A157C1"/>
    <w:rsid w:val="00A15D2D"/>
    <w:rsid w:val="00A16638"/>
    <w:rsid w:val="00A17490"/>
    <w:rsid w:val="00A179C8"/>
    <w:rsid w:val="00A20B1A"/>
    <w:rsid w:val="00A210C5"/>
    <w:rsid w:val="00A215C4"/>
    <w:rsid w:val="00A216F9"/>
    <w:rsid w:val="00A224CB"/>
    <w:rsid w:val="00A22A39"/>
    <w:rsid w:val="00A2315A"/>
    <w:rsid w:val="00A231F2"/>
    <w:rsid w:val="00A2558C"/>
    <w:rsid w:val="00A25E74"/>
    <w:rsid w:val="00A2662D"/>
    <w:rsid w:val="00A2672F"/>
    <w:rsid w:val="00A26D8C"/>
    <w:rsid w:val="00A26E4A"/>
    <w:rsid w:val="00A27344"/>
    <w:rsid w:val="00A27372"/>
    <w:rsid w:val="00A3072A"/>
    <w:rsid w:val="00A34436"/>
    <w:rsid w:val="00A346AF"/>
    <w:rsid w:val="00A3499E"/>
    <w:rsid w:val="00A355EE"/>
    <w:rsid w:val="00A36FFF"/>
    <w:rsid w:val="00A375C4"/>
    <w:rsid w:val="00A410DB"/>
    <w:rsid w:val="00A41E5D"/>
    <w:rsid w:val="00A43C4D"/>
    <w:rsid w:val="00A44F2B"/>
    <w:rsid w:val="00A45200"/>
    <w:rsid w:val="00A45378"/>
    <w:rsid w:val="00A4606A"/>
    <w:rsid w:val="00A46A18"/>
    <w:rsid w:val="00A47117"/>
    <w:rsid w:val="00A47328"/>
    <w:rsid w:val="00A478B6"/>
    <w:rsid w:val="00A50F71"/>
    <w:rsid w:val="00A51247"/>
    <w:rsid w:val="00A53282"/>
    <w:rsid w:val="00A535FB"/>
    <w:rsid w:val="00A53FA8"/>
    <w:rsid w:val="00A55058"/>
    <w:rsid w:val="00A550AE"/>
    <w:rsid w:val="00A5662F"/>
    <w:rsid w:val="00A575B0"/>
    <w:rsid w:val="00A61D87"/>
    <w:rsid w:val="00A61ED6"/>
    <w:rsid w:val="00A635B4"/>
    <w:rsid w:val="00A63630"/>
    <w:rsid w:val="00A6374D"/>
    <w:rsid w:val="00A6517D"/>
    <w:rsid w:val="00A651DD"/>
    <w:rsid w:val="00A65C1F"/>
    <w:rsid w:val="00A66B07"/>
    <w:rsid w:val="00A675D4"/>
    <w:rsid w:val="00A709E6"/>
    <w:rsid w:val="00A71A9C"/>
    <w:rsid w:val="00A73A9C"/>
    <w:rsid w:val="00A73FC6"/>
    <w:rsid w:val="00A749BB"/>
    <w:rsid w:val="00A75112"/>
    <w:rsid w:val="00A75408"/>
    <w:rsid w:val="00A7566F"/>
    <w:rsid w:val="00A75DA1"/>
    <w:rsid w:val="00A7671F"/>
    <w:rsid w:val="00A76EA4"/>
    <w:rsid w:val="00A770F9"/>
    <w:rsid w:val="00A7751C"/>
    <w:rsid w:val="00A7758C"/>
    <w:rsid w:val="00A77BDE"/>
    <w:rsid w:val="00A77CBB"/>
    <w:rsid w:val="00A77F64"/>
    <w:rsid w:val="00A81F82"/>
    <w:rsid w:val="00A833BE"/>
    <w:rsid w:val="00A841B0"/>
    <w:rsid w:val="00A84EAA"/>
    <w:rsid w:val="00A85A2B"/>
    <w:rsid w:val="00A86148"/>
    <w:rsid w:val="00A86169"/>
    <w:rsid w:val="00A90386"/>
    <w:rsid w:val="00A90B45"/>
    <w:rsid w:val="00A93543"/>
    <w:rsid w:val="00A93A8C"/>
    <w:rsid w:val="00A93D17"/>
    <w:rsid w:val="00A93F16"/>
    <w:rsid w:val="00A93F6B"/>
    <w:rsid w:val="00A941D8"/>
    <w:rsid w:val="00A94EC9"/>
    <w:rsid w:val="00A94EFC"/>
    <w:rsid w:val="00A95B3D"/>
    <w:rsid w:val="00A95C8D"/>
    <w:rsid w:val="00A95CC8"/>
    <w:rsid w:val="00A963DD"/>
    <w:rsid w:val="00A9644D"/>
    <w:rsid w:val="00A96B16"/>
    <w:rsid w:val="00AA07C1"/>
    <w:rsid w:val="00AA1044"/>
    <w:rsid w:val="00AA1681"/>
    <w:rsid w:val="00AA183C"/>
    <w:rsid w:val="00AA1981"/>
    <w:rsid w:val="00AA1CEE"/>
    <w:rsid w:val="00AA2591"/>
    <w:rsid w:val="00AA2AE0"/>
    <w:rsid w:val="00AA2FA1"/>
    <w:rsid w:val="00AA3348"/>
    <w:rsid w:val="00AA41E0"/>
    <w:rsid w:val="00AA4F19"/>
    <w:rsid w:val="00AA51C1"/>
    <w:rsid w:val="00AA546D"/>
    <w:rsid w:val="00AA5E79"/>
    <w:rsid w:val="00AA6156"/>
    <w:rsid w:val="00AA73AC"/>
    <w:rsid w:val="00AA7B77"/>
    <w:rsid w:val="00AB1837"/>
    <w:rsid w:val="00AB187A"/>
    <w:rsid w:val="00AB18CB"/>
    <w:rsid w:val="00AB1F55"/>
    <w:rsid w:val="00AB4417"/>
    <w:rsid w:val="00AB4839"/>
    <w:rsid w:val="00AB514A"/>
    <w:rsid w:val="00AB59DE"/>
    <w:rsid w:val="00AB6EEF"/>
    <w:rsid w:val="00AC15D5"/>
    <w:rsid w:val="00AC1742"/>
    <w:rsid w:val="00AC1E12"/>
    <w:rsid w:val="00AC1E80"/>
    <w:rsid w:val="00AC2567"/>
    <w:rsid w:val="00AC2BE6"/>
    <w:rsid w:val="00AC2D2E"/>
    <w:rsid w:val="00AC3427"/>
    <w:rsid w:val="00AC3641"/>
    <w:rsid w:val="00AC39BD"/>
    <w:rsid w:val="00AC41B6"/>
    <w:rsid w:val="00AC50E3"/>
    <w:rsid w:val="00AC512D"/>
    <w:rsid w:val="00AC59CF"/>
    <w:rsid w:val="00AC5DB0"/>
    <w:rsid w:val="00AC6952"/>
    <w:rsid w:val="00AC6A1B"/>
    <w:rsid w:val="00AC6A7B"/>
    <w:rsid w:val="00AC6E3B"/>
    <w:rsid w:val="00AD0C8A"/>
    <w:rsid w:val="00AD0EDC"/>
    <w:rsid w:val="00AD1251"/>
    <w:rsid w:val="00AD2FBA"/>
    <w:rsid w:val="00AD35BC"/>
    <w:rsid w:val="00AD3B91"/>
    <w:rsid w:val="00AD497E"/>
    <w:rsid w:val="00AD51C9"/>
    <w:rsid w:val="00AD542F"/>
    <w:rsid w:val="00AD632A"/>
    <w:rsid w:val="00AD6D4B"/>
    <w:rsid w:val="00AD6EA5"/>
    <w:rsid w:val="00AD72B1"/>
    <w:rsid w:val="00AE13A0"/>
    <w:rsid w:val="00AE2A68"/>
    <w:rsid w:val="00AE3265"/>
    <w:rsid w:val="00AE36AC"/>
    <w:rsid w:val="00AE3A5A"/>
    <w:rsid w:val="00AE74F9"/>
    <w:rsid w:val="00AE772D"/>
    <w:rsid w:val="00AF04E2"/>
    <w:rsid w:val="00AF091A"/>
    <w:rsid w:val="00AF0DF9"/>
    <w:rsid w:val="00AF1A88"/>
    <w:rsid w:val="00AF1CAA"/>
    <w:rsid w:val="00AF2FA4"/>
    <w:rsid w:val="00AF342D"/>
    <w:rsid w:val="00AF365F"/>
    <w:rsid w:val="00AF4671"/>
    <w:rsid w:val="00AF4BE4"/>
    <w:rsid w:val="00AF4C16"/>
    <w:rsid w:val="00AF4ED7"/>
    <w:rsid w:val="00AF4FE2"/>
    <w:rsid w:val="00AF58D5"/>
    <w:rsid w:val="00AF622E"/>
    <w:rsid w:val="00AF6488"/>
    <w:rsid w:val="00AF64E0"/>
    <w:rsid w:val="00AF6D64"/>
    <w:rsid w:val="00AF7178"/>
    <w:rsid w:val="00AF76BF"/>
    <w:rsid w:val="00B00DC9"/>
    <w:rsid w:val="00B0230D"/>
    <w:rsid w:val="00B02B51"/>
    <w:rsid w:val="00B0337E"/>
    <w:rsid w:val="00B0529B"/>
    <w:rsid w:val="00B05A6C"/>
    <w:rsid w:val="00B05CD6"/>
    <w:rsid w:val="00B05E21"/>
    <w:rsid w:val="00B10316"/>
    <w:rsid w:val="00B10E84"/>
    <w:rsid w:val="00B11EA0"/>
    <w:rsid w:val="00B13338"/>
    <w:rsid w:val="00B1542E"/>
    <w:rsid w:val="00B17233"/>
    <w:rsid w:val="00B17FDB"/>
    <w:rsid w:val="00B20036"/>
    <w:rsid w:val="00B20FB8"/>
    <w:rsid w:val="00B216A9"/>
    <w:rsid w:val="00B21728"/>
    <w:rsid w:val="00B21BB1"/>
    <w:rsid w:val="00B21C5B"/>
    <w:rsid w:val="00B225D0"/>
    <w:rsid w:val="00B23AF6"/>
    <w:rsid w:val="00B23E52"/>
    <w:rsid w:val="00B255DC"/>
    <w:rsid w:val="00B259DF"/>
    <w:rsid w:val="00B25BDC"/>
    <w:rsid w:val="00B25D68"/>
    <w:rsid w:val="00B27719"/>
    <w:rsid w:val="00B2777B"/>
    <w:rsid w:val="00B27D24"/>
    <w:rsid w:val="00B30120"/>
    <w:rsid w:val="00B30D73"/>
    <w:rsid w:val="00B32237"/>
    <w:rsid w:val="00B324FD"/>
    <w:rsid w:val="00B338B3"/>
    <w:rsid w:val="00B33914"/>
    <w:rsid w:val="00B35D4F"/>
    <w:rsid w:val="00B367E2"/>
    <w:rsid w:val="00B368A5"/>
    <w:rsid w:val="00B36D35"/>
    <w:rsid w:val="00B372D2"/>
    <w:rsid w:val="00B37ECF"/>
    <w:rsid w:val="00B4158A"/>
    <w:rsid w:val="00B41E91"/>
    <w:rsid w:val="00B421AE"/>
    <w:rsid w:val="00B4220C"/>
    <w:rsid w:val="00B42493"/>
    <w:rsid w:val="00B442F5"/>
    <w:rsid w:val="00B446C2"/>
    <w:rsid w:val="00B45A35"/>
    <w:rsid w:val="00B4656A"/>
    <w:rsid w:val="00B471F3"/>
    <w:rsid w:val="00B50206"/>
    <w:rsid w:val="00B50631"/>
    <w:rsid w:val="00B5495B"/>
    <w:rsid w:val="00B54ED7"/>
    <w:rsid w:val="00B54FDE"/>
    <w:rsid w:val="00B55CAC"/>
    <w:rsid w:val="00B56D6A"/>
    <w:rsid w:val="00B603ED"/>
    <w:rsid w:val="00B61540"/>
    <w:rsid w:val="00B6178C"/>
    <w:rsid w:val="00B61FA0"/>
    <w:rsid w:val="00B633B9"/>
    <w:rsid w:val="00B63460"/>
    <w:rsid w:val="00B63555"/>
    <w:rsid w:val="00B644AE"/>
    <w:rsid w:val="00B66154"/>
    <w:rsid w:val="00B66322"/>
    <w:rsid w:val="00B66C04"/>
    <w:rsid w:val="00B66C37"/>
    <w:rsid w:val="00B67119"/>
    <w:rsid w:val="00B671E5"/>
    <w:rsid w:val="00B70522"/>
    <w:rsid w:val="00B70F1B"/>
    <w:rsid w:val="00B7154D"/>
    <w:rsid w:val="00B715E0"/>
    <w:rsid w:val="00B71675"/>
    <w:rsid w:val="00B71B62"/>
    <w:rsid w:val="00B721CA"/>
    <w:rsid w:val="00B72CE1"/>
    <w:rsid w:val="00B741E9"/>
    <w:rsid w:val="00B74A96"/>
    <w:rsid w:val="00B74C10"/>
    <w:rsid w:val="00B758D6"/>
    <w:rsid w:val="00B75BC0"/>
    <w:rsid w:val="00B7636B"/>
    <w:rsid w:val="00B76492"/>
    <w:rsid w:val="00B766FB"/>
    <w:rsid w:val="00B7695F"/>
    <w:rsid w:val="00B7796D"/>
    <w:rsid w:val="00B77AB1"/>
    <w:rsid w:val="00B77EFE"/>
    <w:rsid w:val="00B80B83"/>
    <w:rsid w:val="00B81B7A"/>
    <w:rsid w:val="00B82171"/>
    <w:rsid w:val="00B82425"/>
    <w:rsid w:val="00B8254D"/>
    <w:rsid w:val="00B831C3"/>
    <w:rsid w:val="00B83300"/>
    <w:rsid w:val="00B84C0B"/>
    <w:rsid w:val="00B8560C"/>
    <w:rsid w:val="00B85A29"/>
    <w:rsid w:val="00B85D14"/>
    <w:rsid w:val="00B863A0"/>
    <w:rsid w:val="00B90880"/>
    <w:rsid w:val="00B92088"/>
    <w:rsid w:val="00B92D96"/>
    <w:rsid w:val="00B92E36"/>
    <w:rsid w:val="00B9476C"/>
    <w:rsid w:val="00B96141"/>
    <w:rsid w:val="00B96DB1"/>
    <w:rsid w:val="00B9799D"/>
    <w:rsid w:val="00BA00CC"/>
    <w:rsid w:val="00BA01AB"/>
    <w:rsid w:val="00BA3306"/>
    <w:rsid w:val="00BA3BA7"/>
    <w:rsid w:val="00BA489D"/>
    <w:rsid w:val="00BA48E0"/>
    <w:rsid w:val="00BA5724"/>
    <w:rsid w:val="00BA626C"/>
    <w:rsid w:val="00BA73EE"/>
    <w:rsid w:val="00BA76FE"/>
    <w:rsid w:val="00BB0EF5"/>
    <w:rsid w:val="00BB19EA"/>
    <w:rsid w:val="00BB2329"/>
    <w:rsid w:val="00BB291F"/>
    <w:rsid w:val="00BB2D75"/>
    <w:rsid w:val="00BB3110"/>
    <w:rsid w:val="00BB41AF"/>
    <w:rsid w:val="00BB4EBE"/>
    <w:rsid w:val="00BB54A6"/>
    <w:rsid w:val="00BB5FF9"/>
    <w:rsid w:val="00BB6875"/>
    <w:rsid w:val="00BC1CAF"/>
    <w:rsid w:val="00BC1ECD"/>
    <w:rsid w:val="00BC253C"/>
    <w:rsid w:val="00BC4F70"/>
    <w:rsid w:val="00BC508E"/>
    <w:rsid w:val="00BC5965"/>
    <w:rsid w:val="00BD03EC"/>
    <w:rsid w:val="00BD1973"/>
    <w:rsid w:val="00BD3970"/>
    <w:rsid w:val="00BD3CBA"/>
    <w:rsid w:val="00BD437F"/>
    <w:rsid w:val="00BD43B3"/>
    <w:rsid w:val="00BD48E4"/>
    <w:rsid w:val="00BD590A"/>
    <w:rsid w:val="00BD5D90"/>
    <w:rsid w:val="00BD68C9"/>
    <w:rsid w:val="00BD6C40"/>
    <w:rsid w:val="00BD77A4"/>
    <w:rsid w:val="00BE07C5"/>
    <w:rsid w:val="00BE2771"/>
    <w:rsid w:val="00BE2993"/>
    <w:rsid w:val="00BE3CAA"/>
    <w:rsid w:val="00BE3D49"/>
    <w:rsid w:val="00BE3E5F"/>
    <w:rsid w:val="00BE3F5F"/>
    <w:rsid w:val="00BE4A48"/>
    <w:rsid w:val="00BE583A"/>
    <w:rsid w:val="00BE5F2B"/>
    <w:rsid w:val="00BE6C37"/>
    <w:rsid w:val="00BF07EC"/>
    <w:rsid w:val="00BF10F5"/>
    <w:rsid w:val="00BF1A16"/>
    <w:rsid w:val="00BF2E27"/>
    <w:rsid w:val="00BF2FF5"/>
    <w:rsid w:val="00BF3130"/>
    <w:rsid w:val="00BF3723"/>
    <w:rsid w:val="00BF488D"/>
    <w:rsid w:val="00BF6B21"/>
    <w:rsid w:val="00BF7E30"/>
    <w:rsid w:val="00C00A1E"/>
    <w:rsid w:val="00C02B0F"/>
    <w:rsid w:val="00C031FA"/>
    <w:rsid w:val="00C0345D"/>
    <w:rsid w:val="00C0408D"/>
    <w:rsid w:val="00C04410"/>
    <w:rsid w:val="00C046D1"/>
    <w:rsid w:val="00C05753"/>
    <w:rsid w:val="00C05EB4"/>
    <w:rsid w:val="00C06459"/>
    <w:rsid w:val="00C07417"/>
    <w:rsid w:val="00C07BBA"/>
    <w:rsid w:val="00C07CDC"/>
    <w:rsid w:val="00C07FDE"/>
    <w:rsid w:val="00C10407"/>
    <w:rsid w:val="00C10B20"/>
    <w:rsid w:val="00C10B79"/>
    <w:rsid w:val="00C113CD"/>
    <w:rsid w:val="00C115F0"/>
    <w:rsid w:val="00C11B52"/>
    <w:rsid w:val="00C11C0B"/>
    <w:rsid w:val="00C11CDE"/>
    <w:rsid w:val="00C12633"/>
    <w:rsid w:val="00C13B76"/>
    <w:rsid w:val="00C1422A"/>
    <w:rsid w:val="00C15FBF"/>
    <w:rsid w:val="00C164A4"/>
    <w:rsid w:val="00C16ACC"/>
    <w:rsid w:val="00C17105"/>
    <w:rsid w:val="00C200C3"/>
    <w:rsid w:val="00C21404"/>
    <w:rsid w:val="00C2162A"/>
    <w:rsid w:val="00C217A3"/>
    <w:rsid w:val="00C219D9"/>
    <w:rsid w:val="00C221BF"/>
    <w:rsid w:val="00C2243B"/>
    <w:rsid w:val="00C237C3"/>
    <w:rsid w:val="00C23FEA"/>
    <w:rsid w:val="00C24802"/>
    <w:rsid w:val="00C257C1"/>
    <w:rsid w:val="00C262BB"/>
    <w:rsid w:val="00C262DC"/>
    <w:rsid w:val="00C268CF"/>
    <w:rsid w:val="00C317F3"/>
    <w:rsid w:val="00C32088"/>
    <w:rsid w:val="00C32157"/>
    <w:rsid w:val="00C32787"/>
    <w:rsid w:val="00C33261"/>
    <w:rsid w:val="00C339CC"/>
    <w:rsid w:val="00C341E1"/>
    <w:rsid w:val="00C347DE"/>
    <w:rsid w:val="00C349C2"/>
    <w:rsid w:val="00C35467"/>
    <w:rsid w:val="00C361F4"/>
    <w:rsid w:val="00C36862"/>
    <w:rsid w:val="00C37261"/>
    <w:rsid w:val="00C37409"/>
    <w:rsid w:val="00C4164F"/>
    <w:rsid w:val="00C41D7D"/>
    <w:rsid w:val="00C42299"/>
    <w:rsid w:val="00C42422"/>
    <w:rsid w:val="00C44683"/>
    <w:rsid w:val="00C44C37"/>
    <w:rsid w:val="00C45146"/>
    <w:rsid w:val="00C46585"/>
    <w:rsid w:val="00C46AE5"/>
    <w:rsid w:val="00C47654"/>
    <w:rsid w:val="00C47E70"/>
    <w:rsid w:val="00C51EB3"/>
    <w:rsid w:val="00C529D2"/>
    <w:rsid w:val="00C52BE0"/>
    <w:rsid w:val="00C53988"/>
    <w:rsid w:val="00C546FC"/>
    <w:rsid w:val="00C56093"/>
    <w:rsid w:val="00C57099"/>
    <w:rsid w:val="00C573AF"/>
    <w:rsid w:val="00C574EA"/>
    <w:rsid w:val="00C57E4D"/>
    <w:rsid w:val="00C605D2"/>
    <w:rsid w:val="00C60D47"/>
    <w:rsid w:val="00C620C5"/>
    <w:rsid w:val="00C622A3"/>
    <w:rsid w:val="00C626E2"/>
    <w:rsid w:val="00C628C8"/>
    <w:rsid w:val="00C62C40"/>
    <w:rsid w:val="00C63DBB"/>
    <w:rsid w:val="00C6498A"/>
    <w:rsid w:val="00C70395"/>
    <w:rsid w:val="00C70D77"/>
    <w:rsid w:val="00C71A5D"/>
    <w:rsid w:val="00C721CC"/>
    <w:rsid w:val="00C725F6"/>
    <w:rsid w:val="00C73340"/>
    <w:rsid w:val="00C736E7"/>
    <w:rsid w:val="00C7519E"/>
    <w:rsid w:val="00C756D1"/>
    <w:rsid w:val="00C76226"/>
    <w:rsid w:val="00C77B5F"/>
    <w:rsid w:val="00C806DF"/>
    <w:rsid w:val="00C81A12"/>
    <w:rsid w:val="00C82261"/>
    <w:rsid w:val="00C824E4"/>
    <w:rsid w:val="00C8296F"/>
    <w:rsid w:val="00C835AD"/>
    <w:rsid w:val="00C8369D"/>
    <w:rsid w:val="00C83E1A"/>
    <w:rsid w:val="00C846BE"/>
    <w:rsid w:val="00C84C02"/>
    <w:rsid w:val="00C87120"/>
    <w:rsid w:val="00C87B47"/>
    <w:rsid w:val="00C87F5E"/>
    <w:rsid w:val="00C9161F"/>
    <w:rsid w:val="00C918A6"/>
    <w:rsid w:val="00C91AD3"/>
    <w:rsid w:val="00C920A1"/>
    <w:rsid w:val="00C934DC"/>
    <w:rsid w:val="00C93787"/>
    <w:rsid w:val="00C94D20"/>
    <w:rsid w:val="00C963DE"/>
    <w:rsid w:val="00C97459"/>
    <w:rsid w:val="00CA0C26"/>
    <w:rsid w:val="00CA0C3B"/>
    <w:rsid w:val="00CA1780"/>
    <w:rsid w:val="00CA256F"/>
    <w:rsid w:val="00CA2CFF"/>
    <w:rsid w:val="00CA3D98"/>
    <w:rsid w:val="00CA4720"/>
    <w:rsid w:val="00CA4E62"/>
    <w:rsid w:val="00CA530E"/>
    <w:rsid w:val="00CA53F1"/>
    <w:rsid w:val="00CA592F"/>
    <w:rsid w:val="00CA63CB"/>
    <w:rsid w:val="00CA69AC"/>
    <w:rsid w:val="00CA6BBF"/>
    <w:rsid w:val="00CA75B3"/>
    <w:rsid w:val="00CA7FA3"/>
    <w:rsid w:val="00CB07A8"/>
    <w:rsid w:val="00CB2072"/>
    <w:rsid w:val="00CB35B0"/>
    <w:rsid w:val="00CB5389"/>
    <w:rsid w:val="00CB5BA4"/>
    <w:rsid w:val="00CB5C8C"/>
    <w:rsid w:val="00CB5D69"/>
    <w:rsid w:val="00CC0652"/>
    <w:rsid w:val="00CC0661"/>
    <w:rsid w:val="00CC097F"/>
    <w:rsid w:val="00CC10E1"/>
    <w:rsid w:val="00CC2F43"/>
    <w:rsid w:val="00CC3402"/>
    <w:rsid w:val="00CC3543"/>
    <w:rsid w:val="00CC432B"/>
    <w:rsid w:val="00CC5375"/>
    <w:rsid w:val="00CC56E5"/>
    <w:rsid w:val="00CC6ADB"/>
    <w:rsid w:val="00CC79A7"/>
    <w:rsid w:val="00CC7B4C"/>
    <w:rsid w:val="00CD071A"/>
    <w:rsid w:val="00CD08F6"/>
    <w:rsid w:val="00CD12E3"/>
    <w:rsid w:val="00CD138F"/>
    <w:rsid w:val="00CD14D7"/>
    <w:rsid w:val="00CD2E02"/>
    <w:rsid w:val="00CD3934"/>
    <w:rsid w:val="00CD46FE"/>
    <w:rsid w:val="00CD5BEE"/>
    <w:rsid w:val="00CD631E"/>
    <w:rsid w:val="00CD6327"/>
    <w:rsid w:val="00CD6BA7"/>
    <w:rsid w:val="00CD79BE"/>
    <w:rsid w:val="00CD7B52"/>
    <w:rsid w:val="00CE024C"/>
    <w:rsid w:val="00CE03B7"/>
    <w:rsid w:val="00CE119E"/>
    <w:rsid w:val="00CE1A69"/>
    <w:rsid w:val="00CE2430"/>
    <w:rsid w:val="00CE2B78"/>
    <w:rsid w:val="00CE2F1F"/>
    <w:rsid w:val="00CE353B"/>
    <w:rsid w:val="00CE3ECA"/>
    <w:rsid w:val="00CE5848"/>
    <w:rsid w:val="00CE6876"/>
    <w:rsid w:val="00CE74A3"/>
    <w:rsid w:val="00CE7A3F"/>
    <w:rsid w:val="00CF017B"/>
    <w:rsid w:val="00CF0B7B"/>
    <w:rsid w:val="00CF2B76"/>
    <w:rsid w:val="00CF391F"/>
    <w:rsid w:val="00CF4240"/>
    <w:rsid w:val="00CF437B"/>
    <w:rsid w:val="00CF56DC"/>
    <w:rsid w:val="00CF5F2D"/>
    <w:rsid w:val="00CF61A1"/>
    <w:rsid w:val="00CF624A"/>
    <w:rsid w:val="00CF7DD0"/>
    <w:rsid w:val="00CF7E82"/>
    <w:rsid w:val="00D01870"/>
    <w:rsid w:val="00D01941"/>
    <w:rsid w:val="00D026F7"/>
    <w:rsid w:val="00D0278B"/>
    <w:rsid w:val="00D02B01"/>
    <w:rsid w:val="00D034DD"/>
    <w:rsid w:val="00D04004"/>
    <w:rsid w:val="00D04030"/>
    <w:rsid w:val="00D04952"/>
    <w:rsid w:val="00D05EA8"/>
    <w:rsid w:val="00D06A16"/>
    <w:rsid w:val="00D0727F"/>
    <w:rsid w:val="00D074B8"/>
    <w:rsid w:val="00D0773E"/>
    <w:rsid w:val="00D0789B"/>
    <w:rsid w:val="00D1078F"/>
    <w:rsid w:val="00D10E60"/>
    <w:rsid w:val="00D12550"/>
    <w:rsid w:val="00D12CD2"/>
    <w:rsid w:val="00D12D78"/>
    <w:rsid w:val="00D136A4"/>
    <w:rsid w:val="00D13AD9"/>
    <w:rsid w:val="00D14D23"/>
    <w:rsid w:val="00D15755"/>
    <w:rsid w:val="00D15D8B"/>
    <w:rsid w:val="00D17984"/>
    <w:rsid w:val="00D17A14"/>
    <w:rsid w:val="00D21E22"/>
    <w:rsid w:val="00D22A6A"/>
    <w:rsid w:val="00D23207"/>
    <w:rsid w:val="00D2383E"/>
    <w:rsid w:val="00D23ADA"/>
    <w:rsid w:val="00D24723"/>
    <w:rsid w:val="00D24D4B"/>
    <w:rsid w:val="00D24DAD"/>
    <w:rsid w:val="00D25916"/>
    <w:rsid w:val="00D25D4F"/>
    <w:rsid w:val="00D263E5"/>
    <w:rsid w:val="00D26D97"/>
    <w:rsid w:val="00D30AA5"/>
    <w:rsid w:val="00D329E6"/>
    <w:rsid w:val="00D32C1B"/>
    <w:rsid w:val="00D33AB9"/>
    <w:rsid w:val="00D340C0"/>
    <w:rsid w:val="00D34396"/>
    <w:rsid w:val="00D35E94"/>
    <w:rsid w:val="00D3696A"/>
    <w:rsid w:val="00D36EF9"/>
    <w:rsid w:val="00D37972"/>
    <w:rsid w:val="00D37C3A"/>
    <w:rsid w:val="00D40896"/>
    <w:rsid w:val="00D408AE"/>
    <w:rsid w:val="00D41534"/>
    <w:rsid w:val="00D41570"/>
    <w:rsid w:val="00D42B18"/>
    <w:rsid w:val="00D42CE3"/>
    <w:rsid w:val="00D43D8D"/>
    <w:rsid w:val="00D444E6"/>
    <w:rsid w:val="00D451FC"/>
    <w:rsid w:val="00D51428"/>
    <w:rsid w:val="00D51F4E"/>
    <w:rsid w:val="00D52053"/>
    <w:rsid w:val="00D5238F"/>
    <w:rsid w:val="00D539E0"/>
    <w:rsid w:val="00D53F67"/>
    <w:rsid w:val="00D54456"/>
    <w:rsid w:val="00D54968"/>
    <w:rsid w:val="00D556D2"/>
    <w:rsid w:val="00D55E0F"/>
    <w:rsid w:val="00D57782"/>
    <w:rsid w:val="00D579FE"/>
    <w:rsid w:val="00D57B86"/>
    <w:rsid w:val="00D6060D"/>
    <w:rsid w:val="00D60DC3"/>
    <w:rsid w:val="00D616A8"/>
    <w:rsid w:val="00D61C67"/>
    <w:rsid w:val="00D61F15"/>
    <w:rsid w:val="00D625D4"/>
    <w:rsid w:val="00D63C48"/>
    <w:rsid w:val="00D64289"/>
    <w:rsid w:val="00D65069"/>
    <w:rsid w:val="00D65178"/>
    <w:rsid w:val="00D6667B"/>
    <w:rsid w:val="00D67680"/>
    <w:rsid w:val="00D67923"/>
    <w:rsid w:val="00D70497"/>
    <w:rsid w:val="00D705EC"/>
    <w:rsid w:val="00D70DD2"/>
    <w:rsid w:val="00D71194"/>
    <w:rsid w:val="00D71400"/>
    <w:rsid w:val="00D7174E"/>
    <w:rsid w:val="00D71C41"/>
    <w:rsid w:val="00D72874"/>
    <w:rsid w:val="00D7296B"/>
    <w:rsid w:val="00D72DC3"/>
    <w:rsid w:val="00D75C68"/>
    <w:rsid w:val="00D75ED1"/>
    <w:rsid w:val="00D766C1"/>
    <w:rsid w:val="00D776F2"/>
    <w:rsid w:val="00D804A2"/>
    <w:rsid w:val="00D81D6B"/>
    <w:rsid w:val="00D8350A"/>
    <w:rsid w:val="00D8366C"/>
    <w:rsid w:val="00D83CE3"/>
    <w:rsid w:val="00D8441F"/>
    <w:rsid w:val="00D84E0E"/>
    <w:rsid w:val="00D87BC8"/>
    <w:rsid w:val="00D90D1F"/>
    <w:rsid w:val="00D91221"/>
    <w:rsid w:val="00D93937"/>
    <w:rsid w:val="00D93D75"/>
    <w:rsid w:val="00D94CB4"/>
    <w:rsid w:val="00D952B2"/>
    <w:rsid w:val="00D95394"/>
    <w:rsid w:val="00D953D9"/>
    <w:rsid w:val="00D9600C"/>
    <w:rsid w:val="00D963DD"/>
    <w:rsid w:val="00D970E7"/>
    <w:rsid w:val="00D975E7"/>
    <w:rsid w:val="00DA01E5"/>
    <w:rsid w:val="00DA032B"/>
    <w:rsid w:val="00DA0456"/>
    <w:rsid w:val="00DA05A4"/>
    <w:rsid w:val="00DA1DE8"/>
    <w:rsid w:val="00DA2A0C"/>
    <w:rsid w:val="00DA55BB"/>
    <w:rsid w:val="00DA59E8"/>
    <w:rsid w:val="00DA6853"/>
    <w:rsid w:val="00DA6C75"/>
    <w:rsid w:val="00DA73EE"/>
    <w:rsid w:val="00DB05AD"/>
    <w:rsid w:val="00DB16BC"/>
    <w:rsid w:val="00DB1D2A"/>
    <w:rsid w:val="00DB2C1D"/>
    <w:rsid w:val="00DB2CCC"/>
    <w:rsid w:val="00DB384B"/>
    <w:rsid w:val="00DB4359"/>
    <w:rsid w:val="00DB4610"/>
    <w:rsid w:val="00DB5BBA"/>
    <w:rsid w:val="00DB64BA"/>
    <w:rsid w:val="00DB6604"/>
    <w:rsid w:val="00DB6876"/>
    <w:rsid w:val="00DB7488"/>
    <w:rsid w:val="00DC09BB"/>
    <w:rsid w:val="00DC1743"/>
    <w:rsid w:val="00DC1929"/>
    <w:rsid w:val="00DC22A0"/>
    <w:rsid w:val="00DC273B"/>
    <w:rsid w:val="00DC29E5"/>
    <w:rsid w:val="00DC3E49"/>
    <w:rsid w:val="00DC4B10"/>
    <w:rsid w:val="00DC4CC9"/>
    <w:rsid w:val="00DC4E93"/>
    <w:rsid w:val="00DC5BA5"/>
    <w:rsid w:val="00DC60FD"/>
    <w:rsid w:val="00DC6CDE"/>
    <w:rsid w:val="00DC6F32"/>
    <w:rsid w:val="00DC7746"/>
    <w:rsid w:val="00DD1FD4"/>
    <w:rsid w:val="00DD2409"/>
    <w:rsid w:val="00DD242A"/>
    <w:rsid w:val="00DD2C45"/>
    <w:rsid w:val="00DD3049"/>
    <w:rsid w:val="00DD30CC"/>
    <w:rsid w:val="00DD3557"/>
    <w:rsid w:val="00DD378A"/>
    <w:rsid w:val="00DD3941"/>
    <w:rsid w:val="00DD3B3C"/>
    <w:rsid w:val="00DD4AB8"/>
    <w:rsid w:val="00DD4D05"/>
    <w:rsid w:val="00DD5714"/>
    <w:rsid w:val="00DD624A"/>
    <w:rsid w:val="00DD656F"/>
    <w:rsid w:val="00DD6E11"/>
    <w:rsid w:val="00DD7812"/>
    <w:rsid w:val="00DE1B29"/>
    <w:rsid w:val="00DE1F52"/>
    <w:rsid w:val="00DE270F"/>
    <w:rsid w:val="00DE30E2"/>
    <w:rsid w:val="00DE3A31"/>
    <w:rsid w:val="00DE3A9A"/>
    <w:rsid w:val="00DE52D5"/>
    <w:rsid w:val="00DE6421"/>
    <w:rsid w:val="00DE6D37"/>
    <w:rsid w:val="00DE706B"/>
    <w:rsid w:val="00DE74A7"/>
    <w:rsid w:val="00DE7A3F"/>
    <w:rsid w:val="00DE7AB8"/>
    <w:rsid w:val="00DF0216"/>
    <w:rsid w:val="00DF0F10"/>
    <w:rsid w:val="00DF16C0"/>
    <w:rsid w:val="00DF2D1A"/>
    <w:rsid w:val="00DF2ED6"/>
    <w:rsid w:val="00DF32E1"/>
    <w:rsid w:val="00DF3485"/>
    <w:rsid w:val="00DF3A42"/>
    <w:rsid w:val="00DF3B25"/>
    <w:rsid w:val="00DF486F"/>
    <w:rsid w:val="00DF548B"/>
    <w:rsid w:val="00DF7876"/>
    <w:rsid w:val="00DF7C55"/>
    <w:rsid w:val="00E01465"/>
    <w:rsid w:val="00E01D22"/>
    <w:rsid w:val="00E0299A"/>
    <w:rsid w:val="00E03151"/>
    <w:rsid w:val="00E03C56"/>
    <w:rsid w:val="00E04172"/>
    <w:rsid w:val="00E041E4"/>
    <w:rsid w:val="00E054C2"/>
    <w:rsid w:val="00E05D60"/>
    <w:rsid w:val="00E05FBC"/>
    <w:rsid w:val="00E10B7D"/>
    <w:rsid w:val="00E12343"/>
    <w:rsid w:val="00E12BD0"/>
    <w:rsid w:val="00E147EC"/>
    <w:rsid w:val="00E14FD7"/>
    <w:rsid w:val="00E152F5"/>
    <w:rsid w:val="00E153C3"/>
    <w:rsid w:val="00E1562A"/>
    <w:rsid w:val="00E15763"/>
    <w:rsid w:val="00E173A9"/>
    <w:rsid w:val="00E225D2"/>
    <w:rsid w:val="00E2267B"/>
    <w:rsid w:val="00E227EA"/>
    <w:rsid w:val="00E22988"/>
    <w:rsid w:val="00E23426"/>
    <w:rsid w:val="00E23660"/>
    <w:rsid w:val="00E236E3"/>
    <w:rsid w:val="00E25930"/>
    <w:rsid w:val="00E264A6"/>
    <w:rsid w:val="00E2761D"/>
    <w:rsid w:val="00E27C0E"/>
    <w:rsid w:val="00E31326"/>
    <w:rsid w:val="00E31A1E"/>
    <w:rsid w:val="00E31B9C"/>
    <w:rsid w:val="00E3217E"/>
    <w:rsid w:val="00E326E1"/>
    <w:rsid w:val="00E32B4D"/>
    <w:rsid w:val="00E32C18"/>
    <w:rsid w:val="00E33330"/>
    <w:rsid w:val="00E33933"/>
    <w:rsid w:val="00E34484"/>
    <w:rsid w:val="00E35513"/>
    <w:rsid w:val="00E3576D"/>
    <w:rsid w:val="00E36425"/>
    <w:rsid w:val="00E37424"/>
    <w:rsid w:val="00E43339"/>
    <w:rsid w:val="00E43901"/>
    <w:rsid w:val="00E45180"/>
    <w:rsid w:val="00E45305"/>
    <w:rsid w:val="00E453D5"/>
    <w:rsid w:val="00E45E7E"/>
    <w:rsid w:val="00E46AC9"/>
    <w:rsid w:val="00E47258"/>
    <w:rsid w:val="00E47A70"/>
    <w:rsid w:val="00E47F0A"/>
    <w:rsid w:val="00E50B2F"/>
    <w:rsid w:val="00E51F7E"/>
    <w:rsid w:val="00E52663"/>
    <w:rsid w:val="00E53407"/>
    <w:rsid w:val="00E534B2"/>
    <w:rsid w:val="00E5355B"/>
    <w:rsid w:val="00E53DB6"/>
    <w:rsid w:val="00E53E47"/>
    <w:rsid w:val="00E54ACA"/>
    <w:rsid w:val="00E54E14"/>
    <w:rsid w:val="00E54FB3"/>
    <w:rsid w:val="00E55904"/>
    <w:rsid w:val="00E55E72"/>
    <w:rsid w:val="00E56687"/>
    <w:rsid w:val="00E569BD"/>
    <w:rsid w:val="00E57521"/>
    <w:rsid w:val="00E60005"/>
    <w:rsid w:val="00E60616"/>
    <w:rsid w:val="00E6152D"/>
    <w:rsid w:val="00E6157A"/>
    <w:rsid w:val="00E6178E"/>
    <w:rsid w:val="00E628DC"/>
    <w:rsid w:val="00E6346D"/>
    <w:rsid w:val="00E63BCA"/>
    <w:rsid w:val="00E66239"/>
    <w:rsid w:val="00E66614"/>
    <w:rsid w:val="00E66924"/>
    <w:rsid w:val="00E66AF3"/>
    <w:rsid w:val="00E6750E"/>
    <w:rsid w:val="00E701ED"/>
    <w:rsid w:val="00E714FC"/>
    <w:rsid w:val="00E7176C"/>
    <w:rsid w:val="00E71916"/>
    <w:rsid w:val="00E71CEB"/>
    <w:rsid w:val="00E73151"/>
    <w:rsid w:val="00E7398B"/>
    <w:rsid w:val="00E74154"/>
    <w:rsid w:val="00E742E4"/>
    <w:rsid w:val="00E743D8"/>
    <w:rsid w:val="00E7536A"/>
    <w:rsid w:val="00E75C3E"/>
    <w:rsid w:val="00E766CF"/>
    <w:rsid w:val="00E80035"/>
    <w:rsid w:val="00E80241"/>
    <w:rsid w:val="00E810C2"/>
    <w:rsid w:val="00E81B3F"/>
    <w:rsid w:val="00E8269B"/>
    <w:rsid w:val="00E84D96"/>
    <w:rsid w:val="00E85860"/>
    <w:rsid w:val="00E90848"/>
    <w:rsid w:val="00E90B22"/>
    <w:rsid w:val="00E9173F"/>
    <w:rsid w:val="00E91EB7"/>
    <w:rsid w:val="00E92B30"/>
    <w:rsid w:val="00E92C94"/>
    <w:rsid w:val="00E92ED0"/>
    <w:rsid w:val="00E930FA"/>
    <w:rsid w:val="00E93202"/>
    <w:rsid w:val="00E934F5"/>
    <w:rsid w:val="00E9542C"/>
    <w:rsid w:val="00E9590B"/>
    <w:rsid w:val="00E95968"/>
    <w:rsid w:val="00E96DDB"/>
    <w:rsid w:val="00E97132"/>
    <w:rsid w:val="00E976DF"/>
    <w:rsid w:val="00EA08FF"/>
    <w:rsid w:val="00EA0976"/>
    <w:rsid w:val="00EA0E30"/>
    <w:rsid w:val="00EA1417"/>
    <w:rsid w:val="00EA1B29"/>
    <w:rsid w:val="00EA4CAB"/>
    <w:rsid w:val="00EA5552"/>
    <w:rsid w:val="00EA655D"/>
    <w:rsid w:val="00EA66E6"/>
    <w:rsid w:val="00EA699C"/>
    <w:rsid w:val="00EA701D"/>
    <w:rsid w:val="00EB01EC"/>
    <w:rsid w:val="00EB0F67"/>
    <w:rsid w:val="00EB22EA"/>
    <w:rsid w:val="00EB295A"/>
    <w:rsid w:val="00EB360C"/>
    <w:rsid w:val="00EB3D06"/>
    <w:rsid w:val="00EB426B"/>
    <w:rsid w:val="00EB55AC"/>
    <w:rsid w:val="00EB5E6D"/>
    <w:rsid w:val="00EB60F5"/>
    <w:rsid w:val="00EB6FE2"/>
    <w:rsid w:val="00EC25EB"/>
    <w:rsid w:val="00EC32A5"/>
    <w:rsid w:val="00EC3643"/>
    <w:rsid w:val="00EC40D8"/>
    <w:rsid w:val="00EC4758"/>
    <w:rsid w:val="00EC48A4"/>
    <w:rsid w:val="00EC57D3"/>
    <w:rsid w:val="00EC5EB6"/>
    <w:rsid w:val="00EC6122"/>
    <w:rsid w:val="00EC63B6"/>
    <w:rsid w:val="00EC6741"/>
    <w:rsid w:val="00EC7233"/>
    <w:rsid w:val="00EC7E7E"/>
    <w:rsid w:val="00ED0EF9"/>
    <w:rsid w:val="00ED13F4"/>
    <w:rsid w:val="00ED29A2"/>
    <w:rsid w:val="00ED3219"/>
    <w:rsid w:val="00ED4589"/>
    <w:rsid w:val="00ED50F3"/>
    <w:rsid w:val="00ED591E"/>
    <w:rsid w:val="00ED5BB3"/>
    <w:rsid w:val="00ED69AC"/>
    <w:rsid w:val="00ED7509"/>
    <w:rsid w:val="00ED7997"/>
    <w:rsid w:val="00ED7A40"/>
    <w:rsid w:val="00EE0BE3"/>
    <w:rsid w:val="00EE1BEE"/>
    <w:rsid w:val="00EE2852"/>
    <w:rsid w:val="00EE2A29"/>
    <w:rsid w:val="00EE5014"/>
    <w:rsid w:val="00EE543D"/>
    <w:rsid w:val="00EE626E"/>
    <w:rsid w:val="00EE65F2"/>
    <w:rsid w:val="00EE6C17"/>
    <w:rsid w:val="00EE773B"/>
    <w:rsid w:val="00EE7B3B"/>
    <w:rsid w:val="00EF09E9"/>
    <w:rsid w:val="00EF2133"/>
    <w:rsid w:val="00EF2926"/>
    <w:rsid w:val="00EF30D4"/>
    <w:rsid w:val="00EF3278"/>
    <w:rsid w:val="00EF3E8B"/>
    <w:rsid w:val="00EF4850"/>
    <w:rsid w:val="00EF5BAA"/>
    <w:rsid w:val="00EF7762"/>
    <w:rsid w:val="00EF7CCF"/>
    <w:rsid w:val="00F00678"/>
    <w:rsid w:val="00F00F36"/>
    <w:rsid w:val="00F00F6B"/>
    <w:rsid w:val="00F0152D"/>
    <w:rsid w:val="00F01572"/>
    <w:rsid w:val="00F01723"/>
    <w:rsid w:val="00F01DC9"/>
    <w:rsid w:val="00F049EC"/>
    <w:rsid w:val="00F0542E"/>
    <w:rsid w:val="00F0645B"/>
    <w:rsid w:val="00F0707C"/>
    <w:rsid w:val="00F07234"/>
    <w:rsid w:val="00F07741"/>
    <w:rsid w:val="00F10CAC"/>
    <w:rsid w:val="00F129CB"/>
    <w:rsid w:val="00F12A87"/>
    <w:rsid w:val="00F12ED0"/>
    <w:rsid w:val="00F13980"/>
    <w:rsid w:val="00F13B90"/>
    <w:rsid w:val="00F13CFE"/>
    <w:rsid w:val="00F145A6"/>
    <w:rsid w:val="00F1546C"/>
    <w:rsid w:val="00F15A89"/>
    <w:rsid w:val="00F16853"/>
    <w:rsid w:val="00F177C1"/>
    <w:rsid w:val="00F20CAA"/>
    <w:rsid w:val="00F2141D"/>
    <w:rsid w:val="00F226A1"/>
    <w:rsid w:val="00F22715"/>
    <w:rsid w:val="00F24284"/>
    <w:rsid w:val="00F2428B"/>
    <w:rsid w:val="00F25052"/>
    <w:rsid w:val="00F259E7"/>
    <w:rsid w:val="00F26024"/>
    <w:rsid w:val="00F26B4B"/>
    <w:rsid w:val="00F26DFE"/>
    <w:rsid w:val="00F2706C"/>
    <w:rsid w:val="00F278B1"/>
    <w:rsid w:val="00F278BC"/>
    <w:rsid w:val="00F30372"/>
    <w:rsid w:val="00F3094A"/>
    <w:rsid w:val="00F31DF9"/>
    <w:rsid w:val="00F31FEB"/>
    <w:rsid w:val="00F33589"/>
    <w:rsid w:val="00F34D51"/>
    <w:rsid w:val="00F34DF3"/>
    <w:rsid w:val="00F357F0"/>
    <w:rsid w:val="00F36331"/>
    <w:rsid w:val="00F37580"/>
    <w:rsid w:val="00F37864"/>
    <w:rsid w:val="00F40BBE"/>
    <w:rsid w:val="00F416E7"/>
    <w:rsid w:val="00F42B9A"/>
    <w:rsid w:val="00F4520A"/>
    <w:rsid w:val="00F45708"/>
    <w:rsid w:val="00F4572C"/>
    <w:rsid w:val="00F46127"/>
    <w:rsid w:val="00F466D5"/>
    <w:rsid w:val="00F46FCD"/>
    <w:rsid w:val="00F5115A"/>
    <w:rsid w:val="00F512F7"/>
    <w:rsid w:val="00F515FA"/>
    <w:rsid w:val="00F52357"/>
    <w:rsid w:val="00F53893"/>
    <w:rsid w:val="00F540D3"/>
    <w:rsid w:val="00F55D6E"/>
    <w:rsid w:val="00F56314"/>
    <w:rsid w:val="00F573E3"/>
    <w:rsid w:val="00F60ECE"/>
    <w:rsid w:val="00F6177B"/>
    <w:rsid w:val="00F61E38"/>
    <w:rsid w:val="00F625F2"/>
    <w:rsid w:val="00F62C72"/>
    <w:rsid w:val="00F630C9"/>
    <w:rsid w:val="00F63BB8"/>
    <w:rsid w:val="00F64573"/>
    <w:rsid w:val="00F646CD"/>
    <w:rsid w:val="00F65F36"/>
    <w:rsid w:val="00F663F9"/>
    <w:rsid w:val="00F67D86"/>
    <w:rsid w:val="00F70DCD"/>
    <w:rsid w:val="00F7275B"/>
    <w:rsid w:val="00F72B42"/>
    <w:rsid w:val="00F72BB2"/>
    <w:rsid w:val="00F730C9"/>
    <w:rsid w:val="00F733F3"/>
    <w:rsid w:val="00F73A39"/>
    <w:rsid w:val="00F73E47"/>
    <w:rsid w:val="00F755D5"/>
    <w:rsid w:val="00F758FF"/>
    <w:rsid w:val="00F75972"/>
    <w:rsid w:val="00F75D3A"/>
    <w:rsid w:val="00F77344"/>
    <w:rsid w:val="00F77779"/>
    <w:rsid w:val="00F77A05"/>
    <w:rsid w:val="00F80139"/>
    <w:rsid w:val="00F825B5"/>
    <w:rsid w:val="00F82EA5"/>
    <w:rsid w:val="00F832CC"/>
    <w:rsid w:val="00F83D28"/>
    <w:rsid w:val="00F841CA"/>
    <w:rsid w:val="00F858EF"/>
    <w:rsid w:val="00F8724D"/>
    <w:rsid w:val="00F87C31"/>
    <w:rsid w:val="00F911F8"/>
    <w:rsid w:val="00F920C9"/>
    <w:rsid w:val="00F9212E"/>
    <w:rsid w:val="00F93A07"/>
    <w:rsid w:val="00F93A77"/>
    <w:rsid w:val="00F9445F"/>
    <w:rsid w:val="00F95F0A"/>
    <w:rsid w:val="00F968EA"/>
    <w:rsid w:val="00F96E21"/>
    <w:rsid w:val="00FA0329"/>
    <w:rsid w:val="00FA0AC5"/>
    <w:rsid w:val="00FA17EF"/>
    <w:rsid w:val="00FA1A77"/>
    <w:rsid w:val="00FA3738"/>
    <w:rsid w:val="00FA39F2"/>
    <w:rsid w:val="00FA3DC8"/>
    <w:rsid w:val="00FA5504"/>
    <w:rsid w:val="00FA6011"/>
    <w:rsid w:val="00FA6B7E"/>
    <w:rsid w:val="00FB30A3"/>
    <w:rsid w:val="00FB495B"/>
    <w:rsid w:val="00FB4BAB"/>
    <w:rsid w:val="00FB4DAA"/>
    <w:rsid w:val="00FB57DB"/>
    <w:rsid w:val="00FB6669"/>
    <w:rsid w:val="00FB6E96"/>
    <w:rsid w:val="00FB733C"/>
    <w:rsid w:val="00FB7864"/>
    <w:rsid w:val="00FC06E3"/>
    <w:rsid w:val="00FC22AB"/>
    <w:rsid w:val="00FC272E"/>
    <w:rsid w:val="00FC294A"/>
    <w:rsid w:val="00FC2D08"/>
    <w:rsid w:val="00FC30F3"/>
    <w:rsid w:val="00FC3E81"/>
    <w:rsid w:val="00FC4DBD"/>
    <w:rsid w:val="00FC594B"/>
    <w:rsid w:val="00FC5B72"/>
    <w:rsid w:val="00FC6BC4"/>
    <w:rsid w:val="00FC7571"/>
    <w:rsid w:val="00FC7DDB"/>
    <w:rsid w:val="00FC7EF4"/>
    <w:rsid w:val="00FD066D"/>
    <w:rsid w:val="00FD0CCB"/>
    <w:rsid w:val="00FD0DA5"/>
    <w:rsid w:val="00FD1088"/>
    <w:rsid w:val="00FD2394"/>
    <w:rsid w:val="00FD2E62"/>
    <w:rsid w:val="00FD2F1C"/>
    <w:rsid w:val="00FD3152"/>
    <w:rsid w:val="00FD374A"/>
    <w:rsid w:val="00FD3C65"/>
    <w:rsid w:val="00FD3E7D"/>
    <w:rsid w:val="00FD4211"/>
    <w:rsid w:val="00FD594C"/>
    <w:rsid w:val="00FD5FAA"/>
    <w:rsid w:val="00FD6F8A"/>
    <w:rsid w:val="00FD7841"/>
    <w:rsid w:val="00FE1018"/>
    <w:rsid w:val="00FE1AA3"/>
    <w:rsid w:val="00FE2431"/>
    <w:rsid w:val="00FE3FC0"/>
    <w:rsid w:val="00FE4C58"/>
    <w:rsid w:val="00FE6746"/>
    <w:rsid w:val="00FE7EE9"/>
    <w:rsid w:val="00FE7EF6"/>
    <w:rsid w:val="00FF008D"/>
    <w:rsid w:val="00FF2550"/>
    <w:rsid w:val="00FF321A"/>
    <w:rsid w:val="00FF3592"/>
    <w:rsid w:val="00FF45DF"/>
    <w:rsid w:val="00FF4EBB"/>
    <w:rsid w:val="00FF510E"/>
    <w:rsid w:val="00FF5299"/>
    <w:rsid w:val="00FF610D"/>
    <w:rsid w:val="00FF6915"/>
    <w:rsid w:val="00FF72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17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0" w:unhideWhenUsed="1" w:qFormat="1"/>
    <w:lsdException w:name="heading 6" w:semiHidden="1" w:uiPriority="12" w:unhideWhenUsed="1" w:qFormat="1"/>
    <w:lsdException w:name="heading 7" w:semiHidden="1" w:uiPriority="12"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0"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926"/>
    <w:pPr>
      <w:spacing w:before="120" w:line="240" w:lineRule="auto"/>
      <w:jc w:val="both"/>
    </w:pPr>
    <w:rPr>
      <w:color w:val="000000" w:themeColor="text1"/>
      <w:sz w:val="24"/>
    </w:rPr>
  </w:style>
  <w:style w:type="paragraph" w:styleId="Heading1">
    <w:name w:val="heading 1"/>
    <w:next w:val="MSACESParagraph"/>
    <w:link w:val="Heading1Char"/>
    <w:uiPriority w:val="9"/>
    <w:qFormat/>
    <w:rsid w:val="00404C00"/>
    <w:pPr>
      <w:keepNext/>
      <w:keepLines/>
      <w:spacing w:after="0"/>
      <w:outlineLvl w:val="0"/>
    </w:pPr>
    <w:rPr>
      <w:rFonts w:ascii="Times New Roman" w:eastAsiaTheme="majorEastAsia" w:hAnsi="Times New Roman" w:cs="Times New Roman"/>
      <w:b/>
      <w:sz w:val="24"/>
      <w:szCs w:val="24"/>
      <w:lang w:eastAsia="en-AU"/>
    </w:rPr>
  </w:style>
  <w:style w:type="paragraph" w:styleId="Heading2">
    <w:name w:val="heading 2"/>
    <w:basedOn w:val="Normal"/>
    <w:next w:val="Normal"/>
    <w:link w:val="Heading2Char"/>
    <w:qFormat/>
    <w:rsid w:val="004A574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qFormat/>
    <w:rsid w:val="00186307"/>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qFormat/>
    <w:rsid w:val="00BB6875"/>
    <w:pPr>
      <w:numPr>
        <w:ilvl w:val="6"/>
      </w:numPr>
      <w:spacing w:before="240"/>
      <w:outlineLvl w:val="3"/>
    </w:pPr>
    <w:rPr>
      <w:color w:val="000000" w:themeColor="text1"/>
    </w:rPr>
  </w:style>
  <w:style w:type="paragraph" w:styleId="Heading5">
    <w:name w:val="heading 5"/>
    <w:aliases w:val="Heading 2 - Body"/>
    <w:basedOn w:val="Heading2"/>
    <w:next w:val="Normal"/>
    <w:link w:val="Heading5Char"/>
    <w:uiPriority w:val="10"/>
    <w:qFormat/>
    <w:rsid w:val="003B095E"/>
    <w:pPr>
      <w:numPr>
        <w:ilvl w:val="0"/>
        <w:numId w:val="0"/>
      </w:numPr>
      <w:outlineLvl w:val="4"/>
    </w:pPr>
  </w:style>
  <w:style w:type="paragraph" w:styleId="Heading6">
    <w:name w:val="heading 6"/>
    <w:aliases w:val="Heading 3 - Body"/>
    <w:basedOn w:val="Heading3"/>
    <w:next w:val="Normal"/>
    <w:link w:val="Heading6Char"/>
    <w:uiPriority w:val="12"/>
    <w:qFormat/>
    <w:rsid w:val="00624315"/>
    <w:pPr>
      <w:outlineLvl w:val="5"/>
    </w:pPr>
    <w:rPr>
      <w:sz w:val="24"/>
    </w:rPr>
  </w:style>
  <w:style w:type="paragraph" w:styleId="Heading7">
    <w:name w:val="heading 7"/>
    <w:basedOn w:val="Heading1"/>
    <w:next w:val="Normal"/>
    <w:link w:val="Heading7Char"/>
    <w:uiPriority w:val="12"/>
    <w:qFormat/>
    <w:rsid w:val="00472D4D"/>
    <w:pPr>
      <w:spacing w:before="120"/>
      <w:ind w:left="1296" w:hanging="1296"/>
      <w:outlineLvl w:val="6"/>
    </w:pPr>
    <w:rPr>
      <w:i/>
    </w:rPr>
  </w:style>
  <w:style w:type="paragraph" w:styleId="Heading8">
    <w:name w:val="heading 8"/>
    <w:basedOn w:val="Normal"/>
    <w:next w:val="Normal"/>
    <w:link w:val="Heading8Char"/>
    <w:uiPriority w:val="99"/>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99"/>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C00"/>
    <w:rPr>
      <w:rFonts w:ascii="Times New Roman" w:eastAsiaTheme="majorEastAsia" w:hAnsi="Times New Roman" w:cs="Times New Roman"/>
      <w:b/>
      <w:sz w:val="24"/>
      <w:szCs w:val="24"/>
      <w:lang w:eastAsia="en-AU"/>
    </w:rPr>
  </w:style>
  <w:style w:type="character" w:customStyle="1" w:styleId="Heading2Char">
    <w:name w:val="Heading 2 Char"/>
    <w:basedOn w:val="DefaultParagraphFont"/>
    <w:link w:val="Heading2"/>
    <w:rsid w:val="00245AD1"/>
    <w:rPr>
      <w:rFonts w:ascii="Arial" w:eastAsiaTheme="majorEastAsia" w:hAnsi="Arial" w:cstheme="majorBidi"/>
      <w:b/>
      <w:i/>
      <w:snapToGrid w:val="0"/>
      <w:color w:val="000000" w:themeColor="text1"/>
      <w:sz w:val="28"/>
      <w:szCs w:val="28"/>
    </w:rPr>
  </w:style>
  <w:style w:type="character" w:customStyle="1" w:styleId="Heading3Char">
    <w:name w:val="Heading 3 Char"/>
    <w:basedOn w:val="DefaultParagraphFont"/>
    <w:link w:val="Heading3"/>
    <w:rsid w:val="00245AD1"/>
    <w:rPr>
      <w:rFonts w:eastAsiaTheme="majorEastAsia" w:cstheme="majorBidi"/>
      <w:b/>
      <w:color w:val="000000" w:themeColor="text1"/>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Footnot"/>
    <w:basedOn w:val="Normal"/>
    <w:link w:val="ListParagraphChar"/>
    <w:uiPriority w:val="34"/>
    <w:qFormat/>
    <w:rsid w:val="004908B7"/>
    <w:pPr>
      <w:numPr>
        <w:ilvl w:val="4"/>
        <w:numId w:val="6"/>
      </w:numPr>
    </w:p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EF2926"/>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rsid w:val="00481549"/>
    <w:rPr>
      <w:rFonts w:eastAsiaTheme="majorEastAsia" w:cstheme="majorBidi"/>
      <w:b/>
      <w:color w:val="000000" w:themeColor="text1"/>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99"/>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99"/>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HealthConsult,Source table_,NICE instructions,Header Table,ASD Table,CMA Table Template,MSD Table Grid"/>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har"/>
    <w:next w:val="Normal"/>
    <w:link w:val="CaptionChar"/>
    <w:autoRedefine/>
    <w:uiPriority w:val="35"/>
    <w:qFormat/>
    <w:rsid w:val="00BC253C"/>
    <w:pPr>
      <w:keepNext/>
      <w:tabs>
        <w:tab w:val="left" w:pos="851"/>
      </w:tabs>
      <w:spacing w:before="240" w:after="0"/>
      <w:ind w:left="851" w:hanging="851"/>
      <w:contextualSpacing/>
      <w:jc w:val="both"/>
    </w:pPr>
    <w:rPr>
      <w:rFonts w:ascii="Arial Narrow" w:hAnsi="Arial Narrow"/>
      <w:b/>
      <w:iCs/>
      <w:color w:val="000000" w:themeColor="text1"/>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EF2926"/>
    <w:rPr>
      <w:color w:val="000000" w:themeColor="text1"/>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har Char"/>
    <w:link w:val="Caption"/>
    <w:uiPriority w:val="35"/>
    <w:rsid w:val="00BC253C"/>
    <w:rPr>
      <w:rFonts w:ascii="Arial Narrow" w:hAnsi="Arial Narrow"/>
      <w:b/>
      <w:iCs/>
      <w:color w:val="000000" w:themeColor="text1"/>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517363"/>
    <w:pPr>
      <w:numPr>
        <w:numId w:val="6"/>
      </w:numPr>
      <w:tabs>
        <w:tab w:val="left" w:pos="1077"/>
      </w:tabs>
      <w:spacing w:before="240" w:line="240" w:lineRule="auto"/>
    </w:pPr>
    <w:rPr>
      <w:rFonts w:asciiTheme="minorHAnsi" w:eastAsia="Times New Roman" w:hAnsiTheme="minorHAnsi" w:cstheme="minorHAnsi"/>
      <w:snapToGrid w:val="0"/>
      <w:sz w:val="32"/>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ascii="Times New Roman" w:eastAsiaTheme="majorEastAsia" w:hAnsi="Times New Roman" w:cstheme="majorBidi"/>
      <w:b/>
      <w:caps/>
      <w:sz w:val="32"/>
      <w:szCs w:val="28"/>
      <w:lang w:eastAsia="en-AU"/>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color w:val="000000" w:themeColor="text1"/>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9"/>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6"/>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0000" w:themeColor="text1"/>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color w:val="000000" w:themeColor="text1"/>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color w:val="000000" w:themeColor="text1"/>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color w:val="000000" w:themeColor="text1"/>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10"/>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color w:val="000000" w:themeColor="text1"/>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517363"/>
    <w:rPr>
      <w:rFonts w:ascii="Times New Roman" w:eastAsia="Times New Roman" w:hAnsi="Times New Roman" w:cstheme="minorHAnsi"/>
      <w:b/>
      <w:snapToGrid w:val="0"/>
      <w:sz w:val="32"/>
      <w:szCs w:val="32"/>
      <w:lang w:eastAsia="en-AU"/>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6"/>
      </w:numPr>
      <w:spacing w:before="160" w:after="240"/>
    </w:pPr>
    <w:rPr>
      <w:rFonts w:ascii="Arial" w:hAnsi="Arial"/>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6"/>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5"/>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color w:val="000000" w:themeColor="text1"/>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7"/>
      </w:numPr>
    </w:pPr>
  </w:style>
  <w:style w:type="paragraph" w:customStyle="1" w:styleId="MainBodyBulletPoint">
    <w:name w:val="MainBody Bullet Point"/>
    <w:basedOn w:val="InstructionBulletpoint"/>
    <w:link w:val="MainBodyBulletPointChar"/>
    <w:uiPriority w:val="1"/>
    <w:qFormat/>
    <w:rsid w:val="002532B4"/>
    <w:pPr>
      <w:numPr>
        <w:numId w:val="8"/>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0000" w:themeColor="text1"/>
      <w:sz w:val="24"/>
    </w:rPr>
  </w:style>
  <w:style w:type="character" w:customStyle="1" w:styleId="OutlineHeading1Char">
    <w:name w:val="Outline Heading 1 Char"/>
    <w:basedOn w:val="Heading1Char"/>
    <w:link w:val="OutlineHeading1"/>
    <w:uiPriority w:val="3"/>
    <w:rsid w:val="00F630C9"/>
    <w:rPr>
      <w:rFonts w:ascii="Times New Roman" w:eastAsiaTheme="majorEastAsia" w:hAnsi="Times New Roman" w:cstheme="majorBidi"/>
      <w:b/>
      <w:sz w:val="32"/>
      <w:szCs w:val="28"/>
      <w:lang w:eastAsia="en-AU"/>
    </w:rPr>
  </w:style>
  <w:style w:type="numbering" w:customStyle="1" w:styleId="Style1">
    <w:name w:val="Style1"/>
    <w:uiPriority w:val="99"/>
    <w:rsid w:val="009A580E"/>
    <w:pPr>
      <w:numPr>
        <w:numId w:val="11"/>
      </w:numPr>
    </w:pPr>
  </w:style>
  <w:style w:type="numbering" w:customStyle="1" w:styleId="Style2">
    <w:name w:val="Style2"/>
    <w:uiPriority w:val="99"/>
    <w:rsid w:val="002A391F"/>
    <w:pPr>
      <w:numPr>
        <w:numId w:val="13"/>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4"/>
      </w:numPr>
    </w:pPr>
  </w:style>
  <w:style w:type="character" w:customStyle="1" w:styleId="TableRowHeaderChar">
    <w:name w:val="Table Row Header Char"/>
    <w:basedOn w:val="TableTextChar"/>
    <w:link w:val="TableRowHeader"/>
    <w:rsid w:val="0015150F"/>
    <w:rPr>
      <w:rFonts w:ascii="Arial Narrow" w:hAnsi="Arial Narrow"/>
      <w:b/>
      <w:sz w:val="20"/>
    </w:rPr>
  </w:style>
  <w:style w:type="character" w:customStyle="1" w:styleId="UnresolvedMention1">
    <w:name w:val="Unresolved Mention1"/>
    <w:basedOn w:val="DefaultParagraphFont"/>
    <w:uiPriority w:val="99"/>
    <w:semiHidden/>
    <w:unhideWhenUsed/>
    <w:rsid w:val="00E04172"/>
    <w:rPr>
      <w:color w:val="605E5C"/>
      <w:shd w:val="clear" w:color="auto" w:fill="E1DFDD"/>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Annotationtext, Char,Char1,Char2"/>
    <w:basedOn w:val="Normal"/>
    <w:link w:val="CommentTextChar"/>
    <w:uiPriority w:val="99"/>
    <w:unhideWhenUsed/>
    <w:qFormat/>
    <w:rsid w:val="00E04172"/>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E04172"/>
    <w:rPr>
      <w:sz w:val="20"/>
      <w:szCs w:val="20"/>
    </w:rPr>
  </w:style>
  <w:style w:type="character" w:customStyle="1" w:styleId="CaptionFootnoteChar">
    <w:name w:val="Caption Footnote Char"/>
    <w:basedOn w:val="DefaultParagraphFont"/>
    <w:link w:val="CaptionFootnote"/>
    <w:rsid w:val="009B1463"/>
    <w:rPr>
      <w:rFonts w:eastAsia="Times New Roman" w:cs="Times New Roman"/>
      <w:kern w:val="28"/>
      <w:sz w:val="16"/>
      <w:szCs w:val="24"/>
      <w:lang w:eastAsia="en-GB"/>
    </w:rPr>
  </w:style>
  <w:style w:type="paragraph" w:customStyle="1" w:styleId="CaptionFootnote">
    <w:name w:val="Caption Footnote"/>
    <w:basedOn w:val="Normal"/>
    <w:link w:val="CaptionFootnoteChar"/>
    <w:qFormat/>
    <w:rsid w:val="009B1463"/>
    <w:pPr>
      <w:spacing w:before="0" w:after="0"/>
    </w:pPr>
    <w:rPr>
      <w:rFonts w:eastAsia="Times New Roman" w:cs="Times New Roman"/>
      <w:kern w:val="28"/>
      <w:sz w:val="16"/>
      <w:szCs w:val="24"/>
      <w:lang w:eastAsia="en-GB"/>
    </w:rPr>
  </w:style>
  <w:style w:type="paragraph" w:customStyle="1" w:styleId="TableLeft">
    <w:name w:val="Table Left"/>
    <w:basedOn w:val="Normal"/>
    <w:link w:val="TableLeftChar"/>
    <w:uiPriority w:val="99"/>
    <w:qFormat/>
    <w:rsid w:val="009B1463"/>
    <w:pPr>
      <w:spacing w:before="0" w:after="0"/>
    </w:pPr>
    <w:rPr>
      <w:rFonts w:ascii="Calibri" w:eastAsiaTheme="majorEastAsia" w:hAnsi="Calibri" w:cstheme="majorBidi"/>
      <w:sz w:val="18"/>
      <w:lang w:bidi="en-US"/>
    </w:rPr>
  </w:style>
  <w:style w:type="character" w:customStyle="1" w:styleId="TableLeftChar">
    <w:name w:val="Table Left Char"/>
    <w:basedOn w:val="DefaultParagraphFont"/>
    <w:link w:val="TableLeft"/>
    <w:uiPriority w:val="99"/>
    <w:locked/>
    <w:rsid w:val="009B1463"/>
    <w:rPr>
      <w:rFonts w:ascii="Calibri" w:eastAsiaTheme="majorEastAsia" w:hAnsi="Calibri" w:cstheme="majorBidi"/>
      <w:sz w:val="18"/>
      <w:lang w:bidi="en-US"/>
    </w:rPr>
  </w:style>
  <w:style w:type="paragraph" w:customStyle="1" w:styleId="TableBullets">
    <w:name w:val="Table Bullets"/>
    <w:basedOn w:val="TableLeft"/>
    <w:uiPriority w:val="5"/>
    <w:qFormat/>
    <w:rsid w:val="009B1463"/>
    <w:pPr>
      <w:numPr>
        <w:numId w:val="15"/>
      </w:numPr>
      <w:ind w:left="170" w:hanging="170"/>
    </w:pPr>
  </w:style>
  <w:style w:type="table" w:customStyle="1" w:styleId="TableGrid10">
    <w:name w:val="Table Grid1"/>
    <w:basedOn w:val="TableNormal"/>
    <w:next w:val="TableGrid"/>
    <w:uiPriority w:val="39"/>
    <w:rsid w:val="009B1463"/>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D0C8A"/>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qFormat/>
    <w:rsid w:val="00AD0C8A"/>
    <w:rPr>
      <w:rFonts w:ascii="Calibri" w:hAnsi="Calibri"/>
      <w:sz w:val="20"/>
    </w:rPr>
  </w:style>
  <w:style w:type="table" w:customStyle="1" w:styleId="Submissionstandard1">
    <w:name w:val="Submission standard1"/>
    <w:basedOn w:val="TableNormal"/>
    <w:uiPriority w:val="99"/>
    <w:qFormat/>
    <w:rsid w:val="00AD0C8A"/>
    <w:pPr>
      <w:spacing w:after="0" w:line="240" w:lineRule="auto"/>
    </w:pPr>
    <w:rPr>
      <w:rFonts w:ascii="Courier New" w:eastAsia="MS Gothic" w:hAnsi="Courier New"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MS PGothic" w:hAnsi="MS PGothic"/>
        <w:b/>
        <w:sz w:val="20"/>
      </w:rPr>
      <w:tblPr/>
      <w:tcPr>
        <w:shd w:val="clear" w:color="auto" w:fill="BFBFBF"/>
      </w:tcPr>
    </w:tblStylePr>
  </w:style>
  <w:style w:type="table" w:customStyle="1" w:styleId="TableGrid111">
    <w:name w:val="Table Grid111"/>
    <w:basedOn w:val="TableNormal"/>
    <w:next w:val="TableGrid"/>
    <w:rsid w:val="00AD0C8A"/>
    <w:pPr>
      <w:spacing w:after="0" w:line="240" w:lineRule="auto"/>
    </w:pPr>
    <w:rPr>
      <w:rFonts w:ascii="Times New Roman" w:eastAsia="Batang"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614287"/>
    <w:rPr>
      <w:color w:val="605E5C"/>
      <w:shd w:val="clear" w:color="auto" w:fill="E1DFDD"/>
    </w:rPr>
  </w:style>
  <w:style w:type="table" w:customStyle="1" w:styleId="TableGrid13">
    <w:name w:val="Table Grid13"/>
    <w:basedOn w:val="TableNormal"/>
    <w:next w:val="TableGrid"/>
    <w:uiPriority w:val="59"/>
    <w:rsid w:val="00407E5A"/>
    <w:pPr>
      <w:spacing w:after="0" w:line="240" w:lineRule="auto"/>
    </w:pPr>
    <w:rPr>
      <w:rFonts w:ascii="Arial Bold" w:eastAsia="AdvOTd710a12c+20" w:hAnsi="Arial Bold" w:cs="Arial Bold"/>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864584"/>
    <w:pPr>
      <w:widowControl w:val="0"/>
      <w:spacing w:before="0" w:after="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rsid w:val="00864584"/>
    <w:rPr>
      <w:rFonts w:ascii="Times New Roman" w:eastAsia="Times New Roman" w:hAnsi="Times New Roman" w:cs="Times New Roman"/>
      <w:sz w:val="24"/>
      <w:szCs w:val="24"/>
      <w:lang w:val="en-US"/>
    </w:rPr>
  </w:style>
  <w:style w:type="paragraph" w:customStyle="1" w:styleId="NumberedList">
    <w:name w:val="Numbered List"/>
    <w:basedOn w:val="Normal"/>
    <w:uiPriority w:val="3"/>
    <w:qFormat/>
    <w:rsid w:val="00C11B52"/>
    <w:pPr>
      <w:numPr>
        <w:numId w:val="16"/>
      </w:numPr>
      <w:spacing w:before="0" w:after="240" w:line="276" w:lineRule="auto"/>
      <w:ind w:left="357" w:hanging="357"/>
      <w:contextualSpacing/>
    </w:pPr>
    <w:rPr>
      <w:rFonts w:ascii="Calibri" w:eastAsiaTheme="majorEastAsia" w:hAnsi="Calibri" w:cstheme="majorBidi"/>
      <w:sz w:val="22"/>
      <w:lang w:bidi="en-US"/>
    </w:rPr>
  </w:style>
  <w:style w:type="table" w:customStyle="1" w:styleId="TableGrid14">
    <w:name w:val="Table Grid14"/>
    <w:basedOn w:val="TableNormal"/>
    <w:next w:val="TableGrid"/>
    <w:uiPriority w:val="59"/>
    <w:rsid w:val="00753469"/>
    <w:pPr>
      <w:spacing w:after="0" w:line="240" w:lineRule="auto"/>
    </w:pPr>
    <w:rPr>
      <w:rFonts w:ascii="Arial Bold" w:eastAsia="AdvOTd710a12c+20" w:hAnsi="Arial Bold" w:cs="Arial Bold"/>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SDTable1">
    <w:name w:val="ASD Table1"/>
    <w:basedOn w:val="TableNormal"/>
    <w:next w:val="TableGrid"/>
    <w:uiPriority w:val="39"/>
    <w:rsid w:val="009A5612"/>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2">
    <w:name w:val="ASD Table2"/>
    <w:basedOn w:val="TableNormal"/>
    <w:next w:val="TableGrid"/>
    <w:uiPriority w:val="39"/>
    <w:rsid w:val="00C70D77"/>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3">
    <w:name w:val="ASD Table3"/>
    <w:basedOn w:val="TableNormal"/>
    <w:next w:val="TableGrid"/>
    <w:uiPriority w:val="39"/>
    <w:rsid w:val="00CE3ECA"/>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4">
    <w:name w:val="ASD Table4"/>
    <w:basedOn w:val="TableNormal"/>
    <w:next w:val="TableGrid"/>
    <w:uiPriority w:val="39"/>
    <w:rsid w:val="00A375C4"/>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5">
    <w:name w:val="ASD Table5"/>
    <w:basedOn w:val="TableNormal"/>
    <w:next w:val="TableGrid"/>
    <w:uiPriority w:val="39"/>
    <w:rsid w:val="00753B90"/>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6">
    <w:name w:val="ASD Table6"/>
    <w:basedOn w:val="TableNormal"/>
    <w:next w:val="TableGrid"/>
    <w:uiPriority w:val="39"/>
    <w:rsid w:val="00CC7B4C"/>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7">
    <w:name w:val="ASD Table7"/>
    <w:basedOn w:val="TableNormal"/>
    <w:next w:val="TableGrid"/>
    <w:uiPriority w:val="39"/>
    <w:rsid w:val="00592E0C"/>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8">
    <w:name w:val="ASD Table8"/>
    <w:basedOn w:val="TableNormal"/>
    <w:next w:val="TableGrid"/>
    <w:uiPriority w:val="39"/>
    <w:rsid w:val="00C806DF"/>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9">
    <w:name w:val="ASD Table9"/>
    <w:basedOn w:val="TableNormal"/>
    <w:next w:val="TableGrid"/>
    <w:uiPriority w:val="39"/>
    <w:rsid w:val="0079240A"/>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10">
    <w:name w:val="ASD Table10"/>
    <w:basedOn w:val="TableNormal"/>
    <w:next w:val="TableGrid"/>
    <w:uiPriority w:val="39"/>
    <w:rsid w:val="0079240A"/>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11">
    <w:name w:val="ASD Table11"/>
    <w:basedOn w:val="TableNormal"/>
    <w:next w:val="TableGrid"/>
    <w:uiPriority w:val="39"/>
    <w:rsid w:val="00270516"/>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12">
    <w:name w:val="ASD Table12"/>
    <w:basedOn w:val="TableNormal"/>
    <w:next w:val="TableGrid"/>
    <w:uiPriority w:val="39"/>
    <w:rsid w:val="007A4209"/>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13">
    <w:name w:val="ASD Table13"/>
    <w:basedOn w:val="TableNormal"/>
    <w:next w:val="TableGrid"/>
    <w:uiPriority w:val="39"/>
    <w:rsid w:val="00F4572C"/>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BACTableStyle1">
    <w:name w:val="PBAC Table Style1"/>
    <w:basedOn w:val="TableGrid1"/>
    <w:uiPriority w:val="99"/>
    <w:rsid w:val="00802341"/>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NoList1">
    <w:name w:val="No List1"/>
    <w:next w:val="NoList"/>
    <w:uiPriority w:val="99"/>
    <w:semiHidden/>
    <w:unhideWhenUsed/>
    <w:rsid w:val="00F70DCD"/>
  </w:style>
  <w:style w:type="table" w:customStyle="1" w:styleId="MSDTableGrid1">
    <w:name w:val="MSD Table Grid1"/>
    <w:basedOn w:val="TableNormal"/>
    <w:next w:val="TableGrid"/>
    <w:uiPriority w:val="39"/>
    <w:rsid w:val="00F70DCD"/>
    <w:pPr>
      <w:spacing w:after="0" w:line="240" w:lineRule="auto"/>
    </w:pPr>
    <w:rPr>
      <w:rFonts w:eastAsiaTheme="minorEastAsia"/>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2">
    <w:name w:val="PBAC Table Style2"/>
    <w:basedOn w:val="TableGrid1"/>
    <w:uiPriority w:val="99"/>
    <w:rsid w:val="00F70DCD"/>
    <w:pPr>
      <w:widowControl w:val="0"/>
      <w:spacing w:after="0"/>
      <w:contextualSpacing/>
      <w:jc w:val="center"/>
    </w:pPr>
    <w:rPr>
      <w:rFonts w:ascii="Arial Narrow" w:eastAsiaTheme="minorEastAsia"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F70DCD"/>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F70DCD"/>
    <w:pPr>
      <w:spacing w:after="0" w:line="240" w:lineRule="auto"/>
    </w:pPr>
    <w:rPr>
      <w:rFonts w:eastAsiaTheme="minorEastAsia"/>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
    <w:name w:val="Table Grid 11"/>
    <w:basedOn w:val="TableNormal"/>
    <w:next w:val="TableGrid1"/>
    <w:uiPriority w:val="99"/>
    <w:semiHidden/>
    <w:unhideWhenUsed/>
    <w:rsid w:val="00F70DCD"/>
    <w:pPr>
      <w:spacing w:before="120" w:line="240" w:lineRule="auto"/>
      <w:jc w:val="both"/>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1">
    <w:name w:val="List Table 1 Light11"/>
    <w:basedOn w:val="TableNormal"/>
    <w:uiPriority w:val="46"/>
    <w:rsid w:val="00F70DCD"/>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F70DCD"/>
    <w:pPr>
      <w:spacing w:after="0" w:line="240" w:lineRule="auto"/>
    </w:pPr>
    <w:rPr>
      <w:rFonts w:eastAsiaTheme="minorEastAsia"/>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ubmissionstandard">
    <w:name w:val="Submission standard"/>
    <w:basedOn w:val="TableNormal"/>
    <w:uiPriority w:val="99"/>
    <w:qFormat/>
    <w:rsid w:val="00F70DCD"/>
    <w:pPr>
      <w:spacing w:after="0" w:line="240" w:lineRule="auto"/>
    </w:pPr>
    <w:rPr>
      <w:rFonts w:ascii="Arial Narrow" w:eastAsiaTheme="majorEastAsia" w:hAnsi="Arial Narrow"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mbria" w:hAnsi="Cambria"/>
        <w:b/>
        <w:sz w:val="20"/>
      </w:rPr>
      <w:tblPr/>
      <w:tcPr>
        <w:shd w:val="clear" w:color="auto" w:fill="BFBFBF" w:themeFill="background1" w:themeFillShade="BF"/>
      </w:tcPr>
    </w:tblStylePr>
  </w:style>
  <w:style w:type="paragraph" w:customStyle="1" w:styleId="Default">
    <w:name w:val="Default"/>
    <w:rsid w:val="00F70D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NormalLetters">
    <w:name w:val="Normal Letters"/>
    <w:basedOn w:val="Normal"/>
    <w:uiPriority w:val="3"/>
    <w:qFormat/>
    <w:rsid w:val="00F70DCD"/>
    <w:pPr>
      <w:numPr>
        <w:numId w:val="17"/>
      </w:numPr>
      <w:spacing w:before="0" w:after="240" w:line="276" w:lineRule="auto"/>
      <w:ind w:left="357" w:hanging="357"/>
      <w:contextualSpacing/>
    </w:pPr>
    <w:rPr>
      <w:rFonts w:ascii="Calibri" w:eastAsiaTheme="majorEastAsia" w:hAnsi="Calibri" w:cstheme="majorBidi"/>
      <w:sz w:val="22"/>
      <w:lang w:bidi="en-US"/>
    </w:rPr>
  </w:style>
  <w:style w:type="paragraph" w:customStyle="1" w:styleId="TableFigureHeading">
    <w:name w:val="Table/Figure Heading"/>
    <w:next w:val="Normal"/>
    <w:link w:val="TableFigureHeadingChar"/>
    <w:qFormat/>
    <w:rsid w:val="00F70DCD"/>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70DCD"/>
    <w:rPr>
      <w:rFonts w:ascii="Arial Narrow" w:eastAsiaTheme="majorEastAsia" w:hAnsi="Arial Narrow" w:cstheme="majorBidi"/>
      <w:b/>
      <w:bCs/>
      <w:sz w:val="20"/>
      <w:szCs w:val="24"/>
      <w:lang w:eastAsia="en-AU"/>
    </w:rPr>
  </w:style>
  <w:style w:type="table" w:customStyle="1" w:styleId="Submissionstandard11">
    <w:name w:val="Submission standard11"/>
    <w:basedOn w:val="TableNormal"/>
    <w:uiPriority w:val="99"/>
    <w:qFormat/>
    <w:rsid w:val="00F70DCD"/>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icrosoft YaHei" w:hAnsi="@Microsoft YaHei" w:cstheme="majorBidi"/>
        <w:b/>
        <w:sz w:val="20"/>
      </w:rPr>
      <w:tblPr/>
      <w:tcPr>
        <w:shd w:val="clear" w:color="auto" w:fill="BFBFBF" w:themeFill="background1" w:themeFillShade="BF"/>
      </w:tcPr>
    </w:tblStylePr>
  </w:style>
  <w:style w:type="paragraph" w:styleId="BodyText3">
    <w:name w:val="Body Text 3"/>
    <w:basedOn w:val="Normal"/>
    <w:link w:val="BodyText3Char"/>
    <w:rsid w:val="00F70DCD"/>
    <w:pPr>
      <w:widowControl w:val="0"/>
      <w:spacing w:before="0" w:after="0"/>
    </w:pPr>
    <w:rPr>
      <w:rFonts w:ascii="Calibri" w:eastAsia="Times New Roman" w:hAnsi="Calibri" w:cs="Times New Roman"/>
      <w:snapToGrid w:val="0"/>
      <w:color w:val="0000FF"/>
      <w:szCs w:val="20"/>
    </w:rPr>
  </w:style>
  <w:style w:type="character" w:customStyle="1" w:styleId="BodyText3Char">
    <w:name w:val="Body Text 3 Char"/>
    <w:basedOn w:val="DefaultParagraphFont"/>
    <w:link w:val="BodyText3"/>
    <w:rsid w:val="00F70DCD"/>
    <w:rPr>
      <w:rFonts w:ascii="Calibri" w:eastAsia="Times New Roman" w:hAnsi="Calibri" w:cs="Times New Roman"/>
      <w:snapToGrid w:val="0"/>
      <w:color w:val="0000FF"/>
      <w:sz w:val="24"/>
      <w:szCs w:val="20"/>
    </w:rPr>
  </w:style>
  <w:style w:type="paragraph" w:customStyle="1" w:styleId="TableHeading">
    <w:name w:val="Table Heading"/>
    <w:basedOn w:val="TableText"/>
    <w:link w:val="TableHeadingChar"/>
    <w:qFormat/>
    <w:rsid w:val="00F70DCD"/>
    <w:pPr>
      <w:keepNext/>
      <w:widowControl/>
      <w:spacing w:before="0" w:after="0" w:line="240" w:lineRule="auto"/>
      <w:jc w:val="both"/>
    </w:pPr>
    <w:rPr>
      <w:rFonts w:eastAsia="SimSun" w:cs="Arial"/>
      <w:b/>
      <w:szCs w:val="20"/>
      <w:lang w:eastAsia="en-AU" w:bidi="en-US"/>
    </w:rPr>
  </w:style>
  <w:style w:type="character" w:customStyle="1" w:styleId="TableHeadingChar">
    <w:name w:val="Table Heading Char"/>
    <w:link w:val="TableHeading"/>
    <w:locked/>
    <w:rsid w:val="00F70DCD"/>
    <w:rPr>
      <w:rFonts w:ascii="Arial Narrow" w:eastAsia="SimSun" w:hAnsi="Arial Narrow" w:cs="Arial"/>
      <w:b/>
      <w:sz w:val="20"/>
      <w:szCs w:val="20"/>
      <w:lang w:eastAsia="en-AU" w:bidi="en-US"/>
    </w:rPr>
  </w:style>
  <w:style w:type="table" w:customStyle="1" w:styleId="TableGrid12">
    <w:name w:val="Table Grid12"/>
    <w:basedOn w:val="TableNormal"/>
    <w:next w:val="TableGrid"/>
    <w:uiPriority w:val="59"/>
    <w:rsid w:val="00F70DCD"/>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BACTableStyle11">
    <w:name w:val="PBAC Table Style11"/>
    <w:basedOn w:val="TableGrid1"/>
    <w:uiPriority w:val="99"/>
    <w:rsid w:val="00F70DCD"/>
    <w:pPr>
      <w:widowControl w:val="0"/>
      <w:spacing w:after="0"/>
      <w:contextualSpacing/>
      <w:jc w:val="center"/>
    </w:pPr>
    <w:rPr>
      <w:rFonts w:ascii="Arial Narrow" w:eastAsiaTheme="minorEastAsia"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In-tableHeading">
    <w:name w:val="In-table Heading"/>
    <w:qFormat/>
    <w:rsid w:val="00F70DCD"/>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F70DCD"/>
    <w:pPr>
      <w:spacing w:before="0" w:after="120"/>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F70DCD"/>
    <w:rPr>
      <w:rFonts w:ascii="Arial Narrow" w:eastAsia="Times New Roman" w:hAnsi="Arial Narrow" w:cs="Arial"/>
      <w:snapToGrid w:val="0"/>
      <w:sz w:val="18"/>
      <w:lang w:eastAsia="en-AU"/>
    </w:rPr>
  </w:style>
  <w:style w:type="table" w:customStyle="1" w:styleId="PBACTableStyle3">
    <w:name w:val="PBAC Table Style3"/>
    <w:basedOn w:val="TableGrid1"/>
    <w:uiPriority w:val="99"/>
    <w:rsid w:val="00F70DCD"/>
    <w:pPr>
      <w:widowControl w:val="0"/>
      <w:spacing w:after="0"/>
      <w:contextualSpacing/>
      <w:jc w:val="center"/>
    </w:pPr>
    <w:rPr>
      <w:rFonts w:ascii="Arial Narrow" w:eastAsiaTheme="minorEastAsia"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4">
    <w:name w:val="PBAC Table Style4"/>
    <w:basedOn w:val="TableGrid1"/>
    <w:uiPriority w:val="99"/>
    <w:rsid w:val="00F70DCD"/>
    <w:pPr>
      <w:widowControl w:val="0"/>
      <w:spacing w:after="0"/>
      <w:contextualSpacing/>
      <w:jc w:val="center"/>
    </w:pPr>
    <w:rPr>
      <w:rFonts w:ascii="Arial Narrow" w:eastAsiaTheme="minorEastAsia"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31">
    <w:name w:val="Table Grid131"/>
    <w:basedOn w:val="TableNormal"/>
    <w:next w:val="TableGrid"/>
    <w:uiPriority w:val="59"/>
    <w:rsid w:val="00F70DCD"/>
    <w:pPr>
      <w:spacing w:after="0" w:line="240" w:lineRule="auto"/>
    </w:pPr>
    <w:rPr>
      <w:rFonts w:ascii="Arial Bold" w:eastAsia="AdvOTd710a12c+20" w:hAnsi="Arial Bold" w:cs="Arial Bold"/>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SDTable21">
    <w:name w:val="ASD Table21"/>
    <w:basedOn w:val="TableNormal"/>
    <w:next w:val="TableGrid"/>
    <w:uiPriority w:val="39"/>
    <w:rsid w:val="00F70DCD"/>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61">
    <w:name w:val="ASD Table61"/>
    <w:basedOn w:val="TableNormal"/>
    <w:next w:val="TableGrid"/>
    <w:uiPriority w:val="39"/>
    <w:rsid w:val="00F70DCD"/>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111">
    <w:name w:val="ASD Table111"/>
    <w:basedOn w:val="TableNormal"/>
    <w:next w:val="TableGrid"/>
    <w:uiPriority w:val="39"/>
    <w:rsid w:val="00F70DCD"/>
    <w:pPr>
      <w:spacing w:after="0" w:line="240" w:lineRule="auto"/>
    </w:pPr>
    <w:rPr>
      <w:rFonts w:ascii="Arial Narrow" w:eastAsia="MS Gothic" w:hAnsi="Arial Narrow" w:cs="Times New Roman"/>
      <w:sz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TATableshaded">
    <w:name w:val="HTA Table shaded"/>
    <w:basedOn w:val="TableNormal"/>
    <w:rsid w:val="00EC48A4"/>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bold">
    <w:name w:val="Table text bold"/>
    <w:basedOn w:val="Normal"/>
    <w:link w:val="TabletextboldChar"/>
    <w:qFormat/>
    <w:rsid w:val="00EC48A4"/>
    <w:pPr>
      <w:spacing w:before="20" w:after="20"/>
      <w:ind w:left="57" w:right="57"/>
      <w:jc w:val="left"/>
    </w:pPr>
    <w:rPr>
      <w:rFonts w:eastAsia="Arial" w:cs="Times New Roman"/>
      <w:b/>
      <w:sz w:val="18"/>
      <w:szCs w:val="20"/>
      <w:lang w:val="de-DE" w:eastAsia="en-AU"/>
    </w:rPr>
  </w:style>
  <w:style w:type="character" w:customStyle="1" w:styleId="TabletextboldChar">
    <w:name w:val="Table text bold Char"/>
    <w:basedOn w:val="DefaultParagraphFont"/>
    <w:link w:val="Tabletextbold"/>
    <w:rsid w:val="00EC48A4"/>
    <w:rPr>
      <w:rFonts w:eastAsia="Arial" w:cs="Times New Roman"/>
      <w:b/>
      <w:sz w:val="18"/>
      <w:szCs w:val="20"/>
      <w:lang w:val="de-DE" w:eastAsia="en-AU"/>
    </w:rPr>
  </w:style>
  <w:style w:type="paragraph" w:customStyle="1" w:styleId="EndNoteBibliographyTitle">
    <w:name w:val="EndNote Bibliography Title"/>
    <w:basedOn w:val="Normal"/>
    <w:link w:val="EndNoteBibliographyTitleChar"/>
    <w:rsid w:val="00EC48A4"/>
    <w:pPr>
      <w:spacing w:after="0"/>
      <w:jc w:val="center"/>
    </w:pPr>
    <w:rPr>
      <w:rFonts w:ascii="Calibri" w:eastAsia="Times New Roman" w:hAnsi="Calibri" w:cs="Calibri"/>
      <w:noProof/>
      <w:szCs w:val="20"/>
      <w:lang w:val="en-US"/>
    </w:rPr>
  </w:style>
  <w:style w:type="character" w:customStyle="1" w:styleId="EndNoteBibliographyTitleChar">
    <w:name w:val="EndNote Bibliography Title Char"/>
    <w:basedOn w:val="TableFooterChar"/>
    <w:link w:val="EndNoteBibliographyTitle"/>
    <w:rsid w:val="00EC48A4"/>
    <w:rPr>
      <w:rFonts w:ascii="Calibri" w:eastAsia="Times New Roman" w:hAnsi="Calibri" w:cs="Calibri"/>
      <w:noProof/>
      <w:snapToGrid/>
      <w:color w:val="000000" w:themeColor="text1"/>
      <w:sz w:val="24"/>
      <w:szCs w:val="20"/>
      <w:lang w:val="en-US"/>
    </w:rPr>
  </w:style>
  <w:style w:type="paragraph" w:customStyle="1" w:styleId="EndNoteBibliography">
    <w:name w:val="EndNote Bibliography"/>
    <w:basedOn w:val="Normal"/>
    <w:link w:val="EndNoteBibliographyChar"/>
    <w:rsid w:val="00EC48A4"/>
    <w:pPr>
      <w:jc w:val="left"/>
    </w:pPr>
    <w:rPr>
      <w:rFonts w:ascii="Calibri" w:eastAsia="Times New Roman" w:hAnsi="Calibri" w:cs="Calibri"/>
      <w:noProof/>
      <w:szCs w:val="20"/>
      <w:lang w:val="en-US"/>
    </w:rPr>
  </w:style>
  <w:style w:type="character" w:customStyle="1" w:styleId="EndNoteBibliographyChar">
    <w:name w:val="EndNote Bibliography Char"/>
    <w:basedOn w:val="TableFooterChar"/>
    <w:link w:val="EndNoteBibliography"/>
    <w:rsid w:val="00EC48A4"/>
    <w:rPr>
      <w:rFonts w:ascii="Calibri" w:eastAsia="Times New Roman" w:hAnsi="Calibri" w:cs="Calibri"/>
      <w:noProof/>
      <w:snapToGrid/>
      <w:color w:val="000000" w:themeColor="text1"/>
      <w:sz w:val="24"/>
      <w:szCs w:val="20"/>
      <w:lang w:val="en-US"/>
    </w:rPr>
  </w:style>
  <w:style w:type="table" w:styleId="PlainTable2">
    <w:name w:val="Plain Table 2"/>
    <w:basedOn w:val="TableNormal"/>
    <w:uiPriority w:val="42"/>
    <w:rsid w:val="00EC4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C48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1">
    <w:name w:val="Table Grid Light11"/>
    <w:basedOn w:val="TableNormal"/>
    <w:uiPriority w:val="40"/>
    <w:rsid w:val="00EC48A4"/>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shaded5">
    <w:name w:val="HTA Table shaded5"/>
    <w:basedOn w:val="TableNormal"/>
    <w:rsid w:val="00EC48A4"/>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111">
    <w:name w:val="Table Grid1111"/>
    <w:basedOn w:val="TableNormal"/>
    <w:next w:val="TableGrid"/>
    <w:rsid w:val="00EC48A4"/>
    <w:pPr>
      <w:spacing w:before="40" w:after="40" w:line="240" w:lineRule="auto"/>
    </w:pPr>
    <w:rPr>
      <w:rFonts w:ascii="Arial Narrow" w:eastAsia="Times New Roman" w:hAnsi="Arial Narrow"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5-SubsectionSubheading">
    <w:name w:val="5-Subsection Subheading"/>
    <w:basedOn w:val="Heading3"/>
    <w:next w:val="Normal"/>
    <w:link w:val="5-SubsectionSubheadingChar"/>
    <w:qFormat/>
    <w:rsid w:val="00DB4610"/>
    <w:pPr>
      <w:numPr>
        <w:ilvl w:val="0"/>
        <w:numId w:val="0"/>
      </w:numPr>
      <w:spacing w:before="160"/>
    </w:pPr>
    <w:rPr>
      <w:sz w:val="24"/>
      <w:szCs w:val="24"/>
      <w:lang w:eastAsia="en-AU"/>
    </w:rPr>
  </w:style>
  <w:style w:type="character" w:customStyle="1" w:styleId="5-SubsectionSubheadingChar">
    <w:name w:val="5-Subsection Subheading Char"/>
    <w:basedOn w:val="DefaultParagraphFont"/>
    <w:link w:val="5-SubsectionSubheading"/>
    <w:rsid w:val="00DB4610"/>
    <w:rPr>
      <w:rFonts w:eastAsiaTheme="majorEastAsia" w:cstheme="majorBidi"/>
      <w:b/>
      <w:color w:val="000000" w:themeColor="text1"/>
      <w:sz w:val="24"/>
      <w:szCs w:val="24"/>
      <w:lang w:eastAsia="en-AU"/>
    </w:rPr>
  </w:style>
  <w:style w:type="table" w:styleId="TableGridLight">
    <w:name w:val="Grid Table Light"/>
    <w:basedOn w:val="TableNormal"/>
    <w:uiPriority w:val="40"/>
    <w:rsid w:val="00580F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SectionHeading">
    <w:name w:val="2-Section Heading"/>
    <w:qFormat/>
    <w:rsid w:val="00AD6EA5"/>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AD6EA5"/>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DefaultParagraphFont"/>
    <w:link w:val="3-BodyText"/>
    <w:rsid w:val="00AD6EA5"/>
    <w:rPr>
      <w:rFonts w:eastAsia="Times New Roman" w:cs="Arial"/>
      <w:snapToGrid w:val="0"/>
      <w:sz w:val="24"/>
      <w:szCs w:val="24"/>
      <w:lang w:eastAsia="en-AU"/>
    </w:rPr>
  </w:style>
  <w:style w:type="character" w:customStyle="1" w:styleId="UnresolvedMention3">
    <w:name w:val="Unresolved Mention3"/>
    <w:basedOn w:val="DefaultParagraphFont"/>
    <w:uiPriority w:val="99"/>
    <w:semiHidden/>
    <w:unhideWhenUsed/>
    <w:rsid w:val="00A47328"/>
    <w:rPr>
      <w:color w:val="605E5C"/>
      <w:shd w:val="clear" w:color="auto" w:fill="E1DFDD"/>
    </w:rPr>
  </w:style>
  <w:style w:type="paragraph" w:customStyle="1" w:styleId="bullet">
    <w:name w:val="bullet"/>
    <w:basedOn w:val="ListParagraph"/>
    <w:qFormat/>
    <w:rsid w:val="00743231"/>
    <w:pPr>
      <w:numPr>
        <w:ilvl w:val="0"/>
        <w:numId w:val="20"/>
      </w:numPr>
      <w:spacing w:before="0" w:after="120"/>
    </w:pPr>
    <w:rPr>
      <w:rFonts w:ascii="Calibri" w:eastAsia="Times New Roman" w:hAnsi="Calibri"/>
      <w:i/>
      <w:color w:val="auto"/>
      <w:sz w:val="22"/>
    </w:rPr>
  </w:style>
  <w:style w:type="paragraph" w:customStyle="1" w:styleId="PBACHeading1">
    <w:name w:val="PBAC Heading 1"/>
    <w:qFormat/>
    <w:rsid w:val="009331D2"/>
    <w:pPr>
      <w:spacing w:after="0" w:line="240" w:lineRule="auto"/>
      <w:ind w:left="720" w:hanging="720"/>
      <w:outlineLvl w:val="0"/>
    </w:pPr>
    <w:rPr>
      <w:rFonts w:ascii="Calibri" w:eastAsia="Times New Roman" w:hAnsi="Calibri" w:cs="Calibri"/>
      <w:b/>
      <w:snapToGrid w:val="0"/>
      <w:sz w:val="32"/>
      <w:szCs w:val="32"/>
    </w:rPr>
  </w:style>
  <w:style w:type="paragraph" w:customStyle="1" w:styleId="Table">
    <w:name w:val="Table"/>
    <w:basedOn w:val="Normal"/>
    <w:link w:val="TableChar"/>
    <w:qFormat/>
    <w:rsid w:val="00547FD8"/>
    <w:pPr>
      <w:spacing w:before="0" w:after="0"/>
    </w:pPr>
    <w:rPr>
      <w:rFonts w:ascii="Candara" w:eastAsiaTheme="majorEastAsia" w:hAnsi="Candara" w:cstheme="majorBidi"/>
      <w:color w:val="auto"/>
      <w:sz w:val="20"/>
      <w:lang w:bidi="en-US"/>
    </w:rPr>
  </w:style>
  <w:style w:type="character" w:customStyle="1" w:styleId="TableChar">
    <w:name w:val="Table Char"/>
    <w:basedOn w:val="DefaultParagraphFont"/>
    <w:link w:val="Table"/>
    <w:locked/>
    <w:rsid w:val="00547FD8"/>
    <w:rPr>
      <w:rFonts w:ascii="Candara" w:eastAsiaTheme="majorEastAsia" w:hAnsi="Candara" w:cstheme="majorBidi"/>
      <w:sz w:val="20"/>
      <w:lang w:bidi="en-US"/>
    </w:rPr>
  </w:style>
  <w:style w:type="paragraph" w:customStyle="1" w:styleId="TableCentre">
    <w:name w:val="Table Centre"/>
    <w:basedOn w:val="Table"/>
    <w:uiPriority w:val="99"/>
    <w:qFormat/>
    <w:rsid w:val="00547FD8"/>
    <w:pPr>
      <w:jc w:val="center"/>
    </w:pPr>
  </w:style>
  <w:style w:type="paragraph" w:customStyle="1" w:styleId="Tabletext0">
    <w:name w:val="Table text"/>
    <w:basedOn w:val="Normal"/>
    <w:link w:val="TabletextChar0"/>
    <w:qFormat/>
    <w:rsid w:val="00547FD8"/>
    <w:pPr>
      <w:spacing w:before="40" w:after="40"/>
    </w:pPr>
    <w:rPr>
      <w:rFonts w:ascii="Arial Narrow" w:eastAsia="Times New Roman" w:hAnsi="Arial Narrow" w:cs="Times New Roman"/>
      <w:color w:val="auto"/>
      <w:sz w:val="20"/>
      <w:szCs w:val="24"/>
    </w:rPr>
  </w:style>
  <w:style w:type="character" w:customStyle="1" w:styleId="TabletextChar0">
    <w:name w:val="Table text Char"/>
    <w:basedOn w:val="DefaultParagraphFont"/>
    <w:link w:val="Tabletext0"/>
    <w:rsid w:val="00547FD8"/>
    <w:rPr>
      <w:rFonts w:ascii="Arial Narrow" w:eastAsia="Times New Roman" w:hAnsi="Arial Narrow" w:cs="Times New Roman"/>
      <w:sz w:val="20"/>
      <w:szCs w:val="24"/>
    </w:rPr>
  </w:style>
  <w:style w:type="character" w:customStyle="1" w:styleId="ESHeading2Char">
    <w:name w:val="ES Heading 2 Char"/>
    <w:basedOn w:val="Heading2Char"/>
    <w:link w:val="ESHeading2"/>
    <w:rsid w:val="00547FD8"/>
    <w:rPr>
      <w:rFonts w:asciiTheme="majorHAnsi" w:eastAsiaTheme="majorEastAsia" w:hAnsiTheme="majorHAnsi" w:cstheme="majorBidi"/>
      <w:b/>
      <w:i/>
      <w:snapToGrid w:val="0"/>
      <w:color w:val="000000" w:themeColor="text1"/>
      <w:sz w:val="28"/>
      <w:szCs w:val="28"/>
    </w:rPr>
  </w:style>
  <w:style w:type="table" w:customStyle="1" w:styleId="Submissiontemplate2">
    <w:name w:val="Submission template2"/>
    <w:basedOn w:val="TableNormal"/>
    <w:uiPriority w:val="99"/>
    <w:rsid w:val="00547FD8"/>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textboldleft">
    <w:name w:val="Table text bold left"/>
    <w:basedOn w:val="Tabletextbold"/>
    <w:link w:val="TabletextboldleftChar"/>
    <w:qFormat/>
    <w:rsid w:val="00547FD8"/>
    <w:pPr>
      <w:keepNext/>
      <w:spacing w:before="0" w:after="0"/>
      <w:ind w:left="0" w:right="0"/>
    </w:pPr>
    <w:rPr>
      <w:rFonts w:ascii="Arial Narrow" w:eastAsia="Times New Roman" w:hAnsi="Arial Narrow" w:cs="Arial"/>
      <w:color w:val="auto"/>
      <w:sz w:val="20"/>
    </w:rPr>
  </w:style>
  <w:style w:type="character" w:customStyle="1" w:styleId="TabletextboldleftChar">
    <w:name w:val="Table text bold left Char"/>
    <w:basedOn w:val="TabletextboldChar"/>
    <w:link w:val="Tabletextboldleft"/>
    <w:rsid w:val="00547FD8"/>
    <w:rPr>
      <w:rFonts w:ascii="Arial Narrow" w:eastAsia="Times New Roman" w:hAnsi="Arial Narrow" w:cs="Arial"/>
      <w:b/>
      <w:sz w:val="20"/>
      <w:szCs w:val="20"/>
      <w:lang w:val="de-DE" w:eastAsia="en-AU"/>
    </w:rPr>
  </w:style>
  <w:style w:type="table" w:customStyle="1" w:styleId="Submissiontemplate7">
    <w:name w:val="Submission template7"/>
    <w:basedOn w:val="TableNormal"/>
    <w:uiPriority w:val="99"/>
    <w:rsid w:val="00547FD8"/>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547FD8"/>
    <w:pPr>
      <w:keepNext/>
      <w:keepLines/>
      <w:spacing w:before="0" w:after="0"/>
    </w:pPr>
    <w:rPr>
      <w:rFonts w:ascii="Arial Narrow" w:eastAsia="Times New Roman" w:hAnsi="Arial Narrow" w:cs="Arial"/>
      <w:color w:val="auto"/>
      <w:sz w:val="20"/>
      <w:szCs w:val="20"/>
    </w:rPr>
  </w:style>
  <w:style w:type="character" w:customStyle="1" w:styleId="TablecaptionChar">
    <w:name w:val="Table caption Char"/>
    <w:basedOn w:val="DefaultParagraphFont"/>
    <w:link w:val="Tablecaption"/>
    <w:rsid w:val="00547FD8"/>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547FD8"/>
    <w:pPr>
      <w:jc w:val="center"/>
    </w:pPr>
  </w:style>
  <w:style w:type="character" w:customStyle="1" w:styleId="TabletextcentredChar">
    <w:name w:val="Table text centred Char"/>
    <w:basedOn w:val="TabletextChar0"/>
    <w:link w:val="Tabletextcentred"/>
    <w:rsid w:val="00547FD8"/>
    <w:rPr>
      <w:rFonts w:ascii="Arial Narrow" w:eastAsia="Times New Roman" w:hAnsi="Arial Narrow" w:cs="Times New Roman"/>
      <w:sz w:val="20"/>
      <w:szCs w:val="24"/>
    </w:rPr>
  </w:style>
  <w:style w:type="character" w:customStyle="1" w:styleId="TableBold">
    <w:name w:val="Table Bold"/>
    <w:uiPriority w:val="4"/>
    <w:qFormat/>
    <w:rsid w:val="00547FD8"/>
    <w:rPr>
      <w:rFonts w:ascii="Calibri" w:hAnsi="Calibri" w:hint="default"/>
      <w:b/>
      <w:bCs w:val="0"/>
      <w:sz w:val="20"/>
      <w:lang w:val="en-AU"/>
    </w:rPr>
  </w:style>
  <w:style w:type="character" w:customStyle="1" w:styleId="Style2Char">
    <w:name w:val="Style2 Char"/>
    <w:basedOn w:val="DefaultParagraphFont"/>
    <w:rsid w:val="00547FD8"/>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547FD8"/>
    <w:pPr>
      <w:numPr>
        <w:numId w:val="23"/>
      </w:numPr>
      <w:spacing w:before="0" w:after="240" w:line="276" w:lineRule="auto"/>
      <w:contextualSpacing/>
    </w:pPr>
    <w:rPr>
      <w:rFonts w:ascii="Candara" w:eastAsiaTheme="majorEastAsia" w:hAnsi="Candara" w:cstheme="majorBidi"/>
      <w:color w:val="auto"/>
      <w:lang w:bidi="en-US"/>
    </w:rPr>
  </w:style>
  <w:style w:type="paragraph" w:styleId="EndnoteText">
    <w:name w:val="endnote text"/>
    <w:basedOn w:val="Normal"/>
    <w:link w:val="EndnoteTextChar"/>
    <w:rsid w:val="00547FD8"/>
    <w:pPr>
      <w:widowControl w:val="0"/>
      <w:spacing w:before="0" w:after="0"/>
    </w:pPr>
    <w:rPr>
      <w:rFonts w:ascii="Times New Roman" w:eastAsia="Times New Roman" w:hAnsi="Times New Roman" w:cs="Times New Roman"/>
      <w:snapToGrid w:val="0"/>
      <w:color w:val="auto"/>
      <w:sz w:val="20"/>
      <w:szCs w:val="20"/>
      <w:lang w:val="en-US"/>
    </w:rPr>
  </w:style>
  <w:style w:type="character" w:customStyle="1" w:styleId="EndnoteTextChar">
    <w:name w:val="Endnote Text Char"/>
    <w:basedOn w:val="DefaultParagraphFont"/>
    <w:link w:val="EndnoteText"/>
    <w:rsid w:val="00547FD8"/>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547FD8"/>
    <w:rPr>
      <w:vertAlign w:val="superscript"/>
    </w:rPr>
  </w:style>
  <w:style w:type="character" w:customStyle="1" w:styleId="SmallBold">
    <w:name w:val="Small Bold"/>
    <w:basedOn w:val="DefaultParagraphFont"/>
    <w:uiPriority w:val="4"/>
    <w:qFormat/>
    <w:rsid w:val="00547FD8"/>
    <w:rPr>
      <w:rFonts w:ascii="Candara" w:hAnsi="Candara"/>
      <w:b/>
      <w:sz w:val="20"/>
      <w:lang w:val="en-AU"/>
    </w:rPr>
  </w:style>
  <w:style w:type="table" w:customStyle="1" w:styleId="Submissiontemplate">
    <w:name w:val="Submission template"/>
    <w:basedOn w:val="TableNormal"/>
    <w:uiPriority w:val="99"/>
    <w:rsid w:val="00547FD8"/>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Heading0">
    <w:name w:val="TableHeading"/>
    <w:basedOn w:val="Normal"/>
    <w:link w:val="TableHeadingChar0"/>
    <w:qFormat/>
    <w:rsid w:val="00547FD8"/>
    <w:pPr>
      <w:keepNext/>
      <w:spacing w:before="40" w:after="40"/>
      <w:ind w:left="1134" w:hanging="1134"/>
    </w:pPr>
    <w:rPr>
      <w:rFonts w:ascii="Arial Narrow" w:eastAsia="Times New Roman" w:hAnsi="Arial Narrow" w:cs="Tahoma"/>
      <w:b/>
      <w:noProof/>
      <w:color w:val="auto"/>
      <w:sz w:val="20"/>
      <w:szCs w:val="20"/>
      <w:lang w:eastAsia="en-AU"/>
    </w:rPr>
  </w:style>
  <w:style w:type="character" w:customStyle="1" w:styleId="TableHeadingChar0">
    <w:name w:val="TableHeading Char"/>
    <w:link w:val="TableHeading0"/>
    <w:rsid w:val="00547FD8"/>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547FD8"/>
    <w:pPr>
      <w:widowControl w:val="0"/>
      <w:spacing w:before="60" w:after="120"/>
      <w:contextualSpacing/>
    </w:pPr>
    <w:rPr>
      <w:rFonts w:ascii="Arial Narrow" w:eastAsia="Times New Roman" w:hAnsi="Arial Narrow" w:cs="Arial"/>
      <w:snapToGrid w:val="0"/>
      <w:color w:val="auto"/>
      <w:sz w:val="18"/>
      <w:szCs w:val="20"/>
    </w:rPr>
  </w:style>
  <w:style w:type="character" w:customStyle="1" w:styleId="TablenotesChar">
    <w:name w:val="Tablenotes Char"/>
    <w:basedOn w:val="DefaultParagraphFont"/>
    <w:link w:val="Tablenotes"/>
    <w:rsid w:val="00547FD8"/>
    <w:rPr>
      <w:rFonts w:ascii="Arial Narrow" w:eastAsia="Times New Roman" w:hAnsi="Arial Narrow" w:cs="Arial"/>
      <w:snapToGrid w:val="0"/>
      <w:sz w:val="18"/>
      <w:szCs w:val="20"/>
    </w:rPr>
  </w:style>
  <w:style w:type="table" w:customStyle="1" w:styleId="TableGrid2">
    <w:name w:val="Table Grid2"/>
    <w:basedOn w:val="TableNormal"/>
    <w:next w:val="TableGrid"/>
    <w:rsid w:val="00547FD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547FD8"/>
    <w:pPr>
      <w:widowControl w:val="0"/>
      <w:spacing w:before="0" w:after="240"/>
      <w:contextualSpacing/>
      <w:jc w:val="left"/>
    </w:pPr>
    <w:rPr>
      <w:rFonts w:ascii="Arial Narrow" w:eastAsia="Times New Roman" w:hAnsi="Arial Narrow" w:cs="Arial"/>
      <w:snapToGrid w:val="0"/>
      <w:color w:val="auto"/>
      <w:sz w:val="18"/>
      <w:szCs w:val="20"/>
    </w:rPr>
  </w:style>
  <w:style w:type="character" w:customStyle="1" w:styleId="Tablenotes1Char">
    <w:name w:val="Tablenotes 1 Char"/>
    <w:basedOn w:val="DefaultParagraphFont"/>
    <w:link w:val="Tablenotes1"/>
    <w:rsid w:val="00547FD8"/>
    <w:rPr>
      <w:rFonts w:ascii="Arial Narrow" w:eastAsia="Times New Roman" w:hAnsi="Arial Narrow" w:cs="Arial"/>
      <w:snapToGrid w:val="0"/>
      <w:sz w:val="18"/>
      <w:szCs w:val="20"/>
    </w:rPr>
  </w:style>
  <w:style w:type="numbering" w:customStyle="1" w:styleId="Heading1a">
    <w:name w:val="Heading 1a"/>
    <w:basedOn w:val="NoList"/>
    <w:uiPriority w:val="99"/>
    <w:rsid w:val="00547FD8"/>
    <w:pPr>
      <w:numPr>
        <w:numId w:val="24"/>
      </w:numPr>
    </w:pPr>
  </w:style>
  <w:style w:type="paragraph" w:customStyle="1" w:styleId="Tabletext-left">
    <w:name w:val="Table text - left"/>
    <w:basedOn w:val="Normal"/>
    <w:link w:val="Tabletext-leftChar"/>
    <w:rsid w:val="00547FD8"/>
    <w:pPr>
      <w:keepNext/>
      <w:tabs>
        <w:tab w:val="left" w:pos="2835"/>
      </w:tabs>
      <w:spacing w:after="120" w:line="312" w:lineRule="auto"/>
    </w:pPr>
    <w:rPr>
      <w:rFonts w:eastAsia="Times New Roman" w:cs="Arial"/>
      <w:color w:val="auto"/>
      <w:sz w:val="20"/>
      <w:szCs w:val="20"/>
    </w:rPr>
  </w:style>
  <w:style w:type="character" w:customStyle="1" w:styleId="Tabletext-leftChar">
    <w:name w:val="Table text - left Char"/>
    <w:basedOn w:val="DefaultParagraphFont"/>
    <w:link w:val="Tabletext-left"/>
    <w:rsid w:val="00547FD8"/>
    <w:rPr>
      <w:rFonts w:eastAsia="Times New Roman" w:cs="Arial"/>
      <w:sz w:val="20"/>
      <w:szCs w:val="20"/>
    </w:rPr>
  </w:style>
  <w:style w:type="table" w:customStyle="1" w:styleId="TableGrid9">
    <w:name w:val="Table Grid9"/>
    <w:basedOn w:val="TableNormal"/>
    <w:next w:val="TableGrid"/>
    <w:uiPriority w:val="39"/>
    <w:rsid w:val="0054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47FD8"/>
  </w:style>
  <w:style w:type="table" w:customStyle="1" w:styleId="TableGridbeth1">
    <w:name w:val="Table Gridbeth1"/>
    <w:basedOn w:val="TableNormal"/>
    <w:next w:val="TableGrid"/>
    <w:uiPriority w:val="59"/>
    <w:rsid w:val="0054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template21">
    <w:name w:val="Submission template21"/>
    <w:basedOn w:val="TableNormal"/>
    <w:uiPriority w:val="99"/>
    <w:rsid w:val="00547FD8"/>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table" w:customStyle="1" w:styleId="Submissiontemplate71">
    <w:name w:val="Submission template71"/>
    <w:basedOn w:val="TableNormal"/>
    <w:uiPriority w:val="99"/>
    <w:rsid w:val="00547FD8"/>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table" w:customStyle="1" w:styleId="TableGrid121">
    <w:name w:val="Table Grid121"/>
    <w:basedOn w:val="TableNormal"/>
    <w:next w:val="TableGrid"/>
    <w:uiPriority w:val="59"/>
    <w:rsid w:val="00547FD8"/>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Submissiontemplate1">
    <w:name w:val="Submission template1"/>
    <w:basedOn w:val="TableNormal"/>
    <w:uiPriority w:val="99"/>
    <w:rsid w:val="00547FD8"/>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table" w:customStyle="1" w:styleId="TableGrid21">
    <w:name w:val="Table Grid21"/>
    <w:basedOn w:val="TableNormal"/>
    <w:next w:val="TableGrid"/>
    <w:rsid w:val="00547FD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numbering" w:customStyle="1" w:styleId="Heading1a1">
    <w:name w:val="Heading 1a1"/>
    <w:basedOn w:val="NoList"/>
    <w:uiPriority w:val="99"/>
    <w:rsid w:val="00547FD8"/>
  </w:style>
  <w:style w:type="table" w:customStyle="1" w:styleId="TableGrid91">
    <w:name w:val="Table Grid91"/>
    <w:basedOn w:val="TableNormal"/>
    <w:next w:val="TableGrid"/>
    <w:uiPriority w:val="39"/>
    <w:rsid w:val="0054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2">
    <w:name w:val="PBAC Table Style12"/>
    <w:basedOn w:val="TableGrid1"/>
    <w:uiPriority w:val="99"/>
    <w:rsid w:val="00547FD8"/>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HTATableshaded51">
    <w:name w:val="HTA Table shaded51"/>
    <w:basedOn w:val="TableNormal"/>
    <w:rsid w:val="00547FD8"/>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20">
    <w:name w:val="Table Grid 12"/>
    <w:basedOn w:val="TableNormal"/>
    <w:next w:val="TableGrid1"/>
    <w:uiPriority w:val="99"/>
    <w:semiHidden/>
    <w:unhideWhenUsed/>
    <w:rsid w:val="00547FD8"/>
    <w:pPr>
      <w:spacing w:after="0" w:line="240" w:lineRule="auto"/>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ubmissionstandard2">
    <w:name w:val="Submission standard2"/>
    <w:basedOn w:val="TableNormal"/>
    <w:uiPriority w:val="99"/>
    <w:qFormat/>
    <w:rsid w:val="00547FD8"/>
    <w:pPr>
      <w:spacing w:after="0" w:line="240" w:lineRule="auto"/>
    </w:pPr>
    <w:rPr>
      <w:rFonts w:ascii="Arial Narrow" w:eastAsia="Times New Roman" w:hAnsi="Arial Narrow"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Segoe MDL2 Assets" w:hAnsi="Segoe MDL2 Assets"/>
        <w:b/>
        <w:sz w:val="20"/>
      </w:rPr>
      <w:tblPr/>
      <w:tcPr>
        <w:shd w:val="clear" w:color="auto" w:fill="BFBFBF"/>
      </w:tcPr>
    </w:tblStylePr>
  </w:style>
  <w:style w:type="table" w:customStyle="1" w:styleId="PBACTableStyle5">
    <w:name w:val="PBAC Table Style5"/>
    <w:basedOn w:val="TableGrid1"/>
    <w:uiPriority w:val="99"/>
    <w:rsid w:val="00547FD8"/>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04C00"/>
  </w:style>
  <w:style w:type="table" w:customStyle="1" w:styleId="TableGridbeth2">
    <w:name w:val="Table Gridbeth2"/>
    <w:basedOn w:val="TableNormal"/>
    <w:next w:val="TableGrid"/>
    <w:uiPriority w:val="59"/>
    <w:rsid w:val="00404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template22">
    <w:name w:val="Submission template22"/>
    <w:basedOn w:val="TableNormal"/>
    <w:uiPriority w:val="99"/>
    <w:rsid w:val="00404C00"/>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table" w:customStyle="1" w:styleId="Submissiontemplate72">
    <w:name w:val="Submission template72"/>
    <w:basedOn w:val="TableNormal"/>
    <w:uiPriority w:val="99"/>
    <w:rsid w:val="00404C00"/>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table" w:customStyle="1" w:styleId="TableGrid122">
    <w:name w:val="Table Grid122"/>
    <w:basedOn w:val="TableNormal"/>
    <w:next w:val="TableGrid"/>
    <w:uiPriority w:val="59"/>
    <w:rsid w:val="00404C00"/>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Submissiontemplate3">
    <w:name w:val="Submission template3"/>
    <w:basedOn w:val="TableNormal"/>
    <w:uiPriority w:val="99"/>
    <w:rsid w:val="00404C00"/>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table" w:customStyle="1" w:styleId="TableGrid22">
    <w:name w:val="Table Grid22"/>
    <w:basedOn w:val="TableNormal"/>
    <w:next w:val="TableGrid"/>
    <w:rsid w:val="00404C00"/>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numbering" w:customStyle="1" w:styleId="Heading1a2">
    <w:name w:val="Heading 1a2"/>
    <w:basedOn w:val="NoList"/>
    <w:uiPriority w:val="99"/>
    <w:rsid w:val="00404C00"/>
  </w:style>
  <w:style w:type="table" w:customStyle="1" w:styleId="TableGrid92">
    <w:name w:val="Table Grid92"/>
    <w:basedOn w:val="TableNormal"/>
    <w:next w:val="TableGrid"/>
    <w:uiPriority w:val="39"/>
    <w:rsid w:val="00404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3">
    <w:name w:val="PBAC Table Style13"/>
    <w:basedOn w:val="TableGrid1"/>
    <w:uiPriority w:val="99"/>
    <w:rsid w:val="00404C00"/>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HTATableshaded52">
    <w:name w:val="HTA Table shaded52"/>
    <w:basedOn w:val="TableNormal"/>
    <w:rsid w:val="00404C00"/>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30">
    <w:name w:val="Table Grid 13"/>
    <w:basedOn w:val="TableNormal"/>
    <w:next w:val="TableGrid1"/>
    <w:uiPriority w:val="99"/>
    <w:semiHidden/>
    <w:unhideWhenUsed/>
    <w:rsid w:val="00404C00"/>
    <w:pPr>
      <w:spacing w:after="0" w:line="240" w:lineRule="auto"/>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ubmissionstandard3">
    <w:name w:val="Submission standard3"/>
    <w:basedOn w:val="TableNormal"/>
    <w:uiPriority w:val="99"/>
    <w:qFormat/>
    <w:rsid w:val="00404C00"/>
    <w:pPr>
      <w:spacing w:after="0" w:line="240" w:lineRule="auto"/>
    </w:pPr>
    <w:rPr>
      <w:rFonts w:ascii="Arial Narrow" w:eastAsia="Times New Roman" w:hAnsi="Arial Narrow"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Segoe MDL2 Assets" w:hAnsi="Segoe MDL2 Assets"/>
        <w:b/>
        <w:sz w:val="20"/>
      </w:rPr>
      <w:tblPr/>
      <w:tcPr>
        <w:shd w:val="clear" w:color="auto" w:fill="BFBFBF"/>
      </w:tcPr>
    </w:tblStylePr>
  </w:style>
  <w:style w:type="table" w:customStyle="1" w:styleId="PBACTableStyle6">
    <w:name w:val="PBAC Table Style6"/>
    <w:basedOn w:val="TableGrid1"/>
    <w:uiPriority w:val="99"/>
    <w:rsid w:val="00404C00"/>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BoxText">
    <w:name w:val="BoxText"/>
    <w:basedOn w:val="Normal"/>
    <w:qFormat/>
    <w:rsid w:val="001C399F"/>
    <w:pPr>
      <w:pBdr>
        <w:top w:val="single" w:sz="4" w:space="4" w:color="000000"/>
        <w:left w:val="single" w:sz="4" w:space="4" w:color="000000"/>
        <w:bottom w:val="single" w:sz="4" w:space="4" w:color="000000"/>
        <w:right w:val="single" w:sz="4" w:space="4" w:color="000000"/>
      </w:pBdr>
      <w:spacing w:before="0" w:after="120"/>
      <w:jc w:val="left"/>
    </w:pPr>
    <w:rPr>
      <w:rFonts w:ascii="Times New Roman" w:eastAsia="Times New Roman" w:hAnsi="Times New Roman" w:cs="Times New Roman"/>
      <w:color w:val="000000"/>
      <w:szCs w:val="20"/>
      <w:lang w:eastAsia="en-AU"/>
    </w:rPr>
  </w:style>
  <w:style w:type="paragraph" w:customStyle="1" w:styleId="BoxName">
    <w:name w:val="BoxName"/>
    <w:basedOn w:val="BoxText"/>
    <w:rsid w:val="001C399F"/>
    <w:pPr>
      <w:keepNext/>
      <w:spacing w:before="180"/>
      <w:ind w:left="1080" w:hanging="1080"/>
    </w:pPr>
    <w:rPr>
      <w:b/>
      <w:bCs/>
    </w:rPr>
  </w:style>
  <w:style w:type="paragraph" w:customStyle="1" w:styleId="BoxHeading">
    <w:name w:val="BoxHeading"/>
    <w:basedOn w:val="BoxText"/>
    <w:rsid w:val="001C399F"/>
    <w:pPr>
      <w:keepNext/>
      <w:spacing w:before="120" w:after="60"/>
    </w:pPr>
    <w:rPr>
      <w:b/>
      <w:bCs/>
    </w:rPr>
  </w:style>
  <w:style w:type="paragraph" w:customStyle="1" w:styleId="paragraph">
    <w:name w:val="paragraph"/>
    <w:basedOn w:val="Normal"/>
    <w:rsid w:val="009E498A"/>
    <w:pPr>
      <w:spacing w:before="100" w:beforeAutospacing="1" w:after="100" w:afterAutospacing="1"/>
      <w:jc w:val="left"/>
    </w:pPr>
    <w:rPr>
      <w:rFonts w:ascii="Times New Roman" w:eastAsia="Times New Roman" w:hAnsi="Times New Roman" w:cs="Times New Roman"/>
      <w:color w:val="auto"/>
      <w:szCs w:val="24"/>
      <w:lang w:eastAsia="en-AU"/>
    </w:rPr>
  </w:style>
  <w:style w:type="character" w:customStyle="1" w:styleId="normaltextrun">
    <w:name w:val="normaltextrun"/>
    <w:basedOn w:val="DefaultParagraphFont"/>
    <w:rsid w:val="009E498A"/>
  </w:style>
  <w:style w:type="character" w:customStyle="1" w:styleId="eop">
    <w:name w:val="eop"/>
    <w:basedOn w:val="DefaultParagraphFont"/>
    <w:rsid w:val="009E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56723776">
      <w:bodyDiv w:val="1"/>
      <w:marLeft w:val="0"/>
      <w:marRight w:val="0"/>
      <w:marTop w:val="0"/>
      <w:marBottom w:val="0"/>
      <w:divBdr>
        <w:top w:val="none" w:sz="0" w:space="0" w:color="auto"/>
        <w:left w:val="none" w:sz="0" w:space="0" w:color="auto"/>
        <w:bottom w:val="none" w:sz="0" w:space="0" w:color="auto"/>
        <w:right w:val="none" w:sz="0" w:space="0" w:color="auto"/>
      </w:divBdr>
    </w:div>
    <w:div w:id="470051140">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3710058">
      <w:bodyDiv w:val="1"/>
      <w:marLeft w:val="0"/>
      <w:marRight w:val="0"/>
      <w:marTop w:val="0"/>
      <w:marBottom w:val="0"/>
      <w:divBdr>
        <w:top w:val="none" w:sz="0" w:space="0" w:color="auto"/>
        <w:left w:val="none" w:sz="0" w:space="0" w:color="auto"/>
        <w:bottom w:val="none" w:sz="0" w:space="0" w:color="auto"/>
        <w:right w:val="none" w:sz="0" w:space="0" w:color="auto"/>
      </w:divBdr>
      <w:divsChild>
        <w:div w:id="1145660477">
          <w:marLeft w:val="0"/>
          <w:marRight w:val="0"/>
          <w:marTop w:val="0"/>
          <w:marBottom w:val="0"/>
          <w:divBdr>
            <w:top w:val="none" w:sz="0" w:space="0" w:color="auto"/>
            <w:left w:val="none" w:sz="0" w:space="0" w:color="auto"/>
            <w:bottom w:val="none" w:sz="0" w:space="0" w:color="auto"/>
            <w:right w:val="none" w:sz="0" w:space="0" w:color="auto"/>
          </w:divBdr>
        </w:div>
      </w:divsChild>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2852">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6979737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79506526">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76955791">
      <w:bodyDiv w:val="1"/>
      <w:marLeft w:val="0"/>
      <w:marRight w:val="0"/>
      <w:marTop w:val="0"/>
      <w:marBottom w:val="0"/>
      <w:divBdr>
        <w:top w:val="none" w:sz="0" w:space="0" w:color="auto"/>
        <w:left w:val="none" w:sz="0" w:space="0" w:color="auto"/>
        <w:bottom w:val="none" w:sz="0" w:space="0" w:color="auto"/>
        <w:right w:val="none" w:sz="0" w:space="0" w:color="auto"/>
      </w:divBdr>
      <w:divsChild>
        <w:div w:id="375546771">
          <w:marLeft w:val="0"/>
          <w:marRight w:val="0"/>
          <w:marTop w:val="0"/>
          <w:marBottom w:val="0"/>
          <w:divBdr>
            <w:top w:val="none" w:sz="0" w:space="0" w:color="auto"/>
            <w:left w:val="none" w:sz="0" w:space="0" w:color="auto"/>
            <w:bottom w:val="none" w:sz="0" w:space="0" w:color="auto"/>
            <w:right w:val="none" w:sz="0" w:space="0" w:color="auto"/>
          </w:divBdr>
        </w:div>
        <w:div w:id="732580649">
          <w:marLeft w:val="0"/>
          <w:marRight w:val="0"/>
          <w:marTop w:val="0"/>
          <w:marBottom w:val="0"/>
          <w:divBdr>
            <w:top w:val="none" w:sz="0" w:space="0" w:color="auto"/>
            <w:left w:val="none" w:sz="0" w:space="0" w:color="auto"/>
            <w:bottom w:val="none" w:sz="0" w:space="0" w:color="auto"/>
            <w:right w:val="none" w:sz="0" w:space="0" w:color="auto"/>
          </w:divBdr>
        </w:div>
        <w:div w:id="286088752">
          <w:marLeft w:val="0"/>
          <w:marRight w:val="0"/>
          <w:marTop w:val="0"/>
          <w:marBottom w:val="0"/>
          <w:divBdr>
            <w:top w:val="none" w:sz="0" w:space="0" w:color="auto"/>
            <w:left w:val="none" w:sz="0" w:space="0" w:color="auto"/>
            <w:bottom w:val="none" w:sz="0" w:space="0" w:color="auto"/>
            <w:right w:val="none" w:sz="0" w:space="0" w:color="auto"/>
          </w:divBdr>
        </w:div>
        <w:div w:id="2101750986">
          <w:marLeft w:val="0"/>
          <w:marRight w:val="0"/>
          <w:marTop w:val="0"/>
          <w:marBottom w:val="0"/>
          <w:divBdr>
            <w:top w:val="none" w:sz="0" w:space="0" w:color="auto"/>
            <w:left w:val="none" w:sz="0" w:space="0" w:color="auto"/>
            <w:bottom w:val="none" w:sz="0" w:space="0" w:color="auto"/>
            <w:right w:val="none" w:sz="0" w:space="0" w:color="auto"/>
          </w:divBdr>
        </w:div>
        <w:div w:id="1673868861">
          <w:marLeft w:val="0"/>
          <w:marRight w:val="0"/>
          <w:marTop w:val="0"/>
          <w:marBottom w:val="0"/>
          <w:divBdr>
            <w:top w:val="none" w:sz="0" w:space="0" w:color="auto"/>
            <w:left w:val="none" w:sz="0" w:space="0" w:color="auto"/>
            <w:bottom w:val="none" w:sz="0" w:space="0" w:color="auto"/>
            <w:right w:val="none" w:sz="0" w:space="0" w:color="auto"/>
          </w:divBdr>
        </w:div>
        <w:div w:id="1767113050">
          <w:marLeft w:val="0"/>
          <w:marRight w:val="0"/>
          <w:marTop w:val="0"/>
          <w:marBottom w:val="0"/>
          <w:divBdr>
            <w:top w:val="none" w:sz="0" w:space="0" w:color="auto"/>
            <w:left w:val="none" w:sz="0" w:space="0" w:color="auto"/>
            <w:bottom w:val="none" w:sz="0" w:space="0" w:color="auto"/>
            <w:right w:val="none" w:sz="0" w:space="0" w:color="auto"/>
          </w:divBdr>
        </w:div>
        <w:div w:id="1894543130">
          <w:marLeft w:val="0"/>
          <w:marRight w:val="0"/>
          <w:marTop w:val="0"/>
          <w:marBottom w:val="0"/>
          <w:divBdr>
            <w:top w:val="none" w:sz="0" w:space="0" w:color="auto"/>
            <w:left w:val="none" w:sz="0" w:space="0" w:color="auto"/>
            <w:bottom w:val="none" w:sz="0" w:space="0" w:color="auto"/>
            <w:right w:val="none" w:sz="0" w:space="0" w:color="auto"/>
          </w:divBdr>
        </w:div>
        <w:div w:id="1528640613">
          <w:marLeft w:val="0"/>
          <w:marRight w:val="0"/>
          <w:marTop w:val="0"/>
          <w:marBottom w:val="0"/>
          <w:divBdr>
            <w:top w:val="none" w:sz="0" w:space="0" w:color="auto"/>
            <w:left w:val="none" w:sz="0" w:space="0" w:color="auto"/>
            <w:bottom w:val="none" w:sz="0" w:space="0" w:color="auto"/>
            <w:right w:val="none" w:sz="0" w:space="0" w:color="auto"/>
          </w:divBdr>
        </w:div>
        <w:div w:id="682785588">
          <w:marLeft w:val="0"/>
          <w:marRight w:val="0"/>
          <w:marTop w:val="0"/>
          <w:marBottom w:val="0"/>
          <w:divBdr>
            <w:top w:val="none" w:sz="0" w:space="0" w:color="auto"/>
            <w:left w:val="none" w:sz="0" w:space="0" w:color="auto"/>
            <w:bottom w:val="none" w:sz="0" w:space="0" w:color="auto"/>
            <w:right w:val="none" w:sz="0" w:space="0" w:color="auto"/>
          </w:divBdr>
        </w:div>
        <w:div w:id="357511933">
          <w:marLeft w:val="0"/>
          <w:marRight w:val="0"/>
          <w:marTop w:val="0"/>
          <w:marBottom w:val="0"/>
          <w:divBdr>
            <w:top w:val="none" w:sz="0" w:space="0" w:color="auto"/>
            <w:left w:val="none" w:sz="0" w:space="0" w:color="auto"/>
            <w:bottom w:val="none" w:sz="0" w:space="0" w:color="auto"/>
            <w:right w:val="none" w:sz="0" w:space="0" w:color="auto"/>
          </w:divBdr>
        </w:div>
      </w:divsChild>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1914">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04564208">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03598628">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2842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ancer.org.au/cancer-information/types-of-cancer/lung-cancer" TargetMode="External"/><Relationship Id="rId1" Type="http://schemas.openxmlformats.org/officeDocument/2006/relationships/hyperlink" Target="https://www.aihw.gov.au/reports/cancer/cancer-data-in-australia/contents/cancer-summary-data-visu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E6CB-CDBA-4D88-A60A-8F03F841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9414</Words>
  <Characters>51968</Characters>
  <Application>Microsoft Office Word</Application>
  <DocSecurity>0</DocSecurity>
  <Lines>1574</Lines>
  <Paragraphs>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2022-02-03T22:01:00Z</dcterms:created>
  <dcterms:modified xsi:type="dcterms:W3CDTF">2022-02-22T23:48:00Z</dcterms:modified>
</cp:coreProperties>
</file>