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E98A9" w14:textId="77777777" w:rsidR="00E44B80" w:rsidRPr="00F637B3" w:rsidRDefault="00E44B80" w:rsidP="00F73D71">
      <w:pPr>
        <w:pStyle w:val="TitleBlue"/>
      </w:pPr>
      <w:r w:rsidRPr="00F637B3">
        <w:rPr>
          <w:noProof/>
          <w:lang w:eastAsia="en-AU"/>
        </w:rPr>
        <w:drawing>
          <wp:inline distT="0" distB="0" distL="0" distR="0" wp14:anchorId="3FC9AAEA" wp14:editId="36AEB264">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7C088180" w14:textId="0207D935" w:rsidR="0056015F" w:rsidRDefault="008B2610" w:rsidP="009A572B">
      <w:pPr>
        <w:pStyle w:val="Title"/>
        <w:spacing w:before="2600"/>
      </w:pPr>
      <w:r w:rsidRPr="001906CD">
        <w:t xml:space="preserve">Application </w:t>
      </w:r>
      <w:r w:rsidR="009A572B">
        <w:t>1675</w:t>
      </w:r>
    </w:p>
    <w:p w14:paraId="6D5D05DB" w14:textId="035CE75D" w:rsidR="0056015F" w:rsidRPr="0056015F" w:rsidRDefault="008A4989" w:rsidP="009A572B">
      <w:pPr>
        <w:pStyle w:val="TitleBlue"/>
        <w:spacing w:before="840" w:after="840"/>
      </w:pPr>
      <w:r>
        <w:t>Diagnostic g</w:t>
      </w:r>
      <w:r w:rsidR="008B5575">
        <w:t>enetic testing for mitochondrial disease</w:t>
      </w:r>
    </w:p>
    <w:p w14:paraId="761163F6"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1434BF85"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46A3FB34"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1BE8C1F9" w14:textId="77777777" w:rsidR="009F5758" w:rsidRPr="00154B00" w:rsidRDefault="009F5758" w:rsidP="003F7CB9">
      <w:pPr>
        <w:spacing w:before="0" w:after="0"/>
      </w:pPr>
    </w:p>
    <w:p w14:paraId="4B663D41" w14:textId="77777777"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2C48D19D"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009E3633"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509204EA" w14:textId="77777777" w:rsidR="00392F00" w:rsidRDefault="00D57F88" w:rsidP="004A0BF4">
      <w:pPr>
        <w:pStyle w:val="Heading2"/>
      </w:pPr>
      <w:r w:rsidRPr="00A8732C">
        <w:t>Applicant d</w:t>
      </w:r>
      <w:r w:rsidR="00392F00" w:rsidRPr="00A8732C">
        <w:t>etails</w:t>
      </w:r>
      <w:r w:rsidR="000D066E" w:rsidRPr="00A8732C">
        <w:t xml:space="preserve"> (primary and alternative contacts)</w:t>
      </w:r>
    </w:p>
    <w:p w14:paraId="0CD35C4E" w14:textId="264861F3" w:rsidR="00C171FB" w:rsidRDefault="00C171FB" w:rsidP="00C171FB">
      <w:pPr>
        <w:pBdr>
          <w:top w:val="single" w:sz="4" w:space="1" w:color="auto"/>
          <w:left w:val="single" w:sz="4" w:space="4" w:color="auto"/>
          <w:bottom w:val="single" w:sz="4" w:space="1" w:color="auto"/>
          <w:right w:val="single" w:sz="4" w:space="4" w:color="auto"/>
        </w:pBdr>
      </w:pPr>
      <w:r>
        <w:t xml:space="preserve">Corporation / partnership details (where relevant): </w:t>
      </w:r>
      <w:r w:rsidR="00196737">
        <w:t xml:space="preserve">Australian Mitochondrial </w:t>
      </w:r>
      <w:r w:rsidR="00C7493A">
        <w:t xml:space="preserve">Disease </w:t>
      </w:r>
      <w:r w:rsidR="00196737">
        <w:t>Medical Network</w:t>
      </w:r>
      <w:r w:rsidR="00F85DB7">
        <w:t xml:space="preserve"> Ltd</w:t>
      </w:r>
    </w:p>
    <w:p w14:paraId="2388CC5E" w14:textId="41979101" w:rsidR="00C171FB" w:rsidRDefault="00C171FB" w:rsidP="00C171FB">
      <w:pPr>
        <w:pBdr>
          <w:top w:val="single" w:sz="4" w:space="1" w:color="auto"/>
          <w:left w:val="single" w:sz="4" w:space="4" w:color="auto"/>
          <w:bottom w:val="single" w:sz="4" w:space="1" w:color="auto"/>
          <w:right w:val="single" w:sz="4" w:space="4" w:color="auto"/>
        </w:pBdr>
      </w:pPr>
      <w:r>
        <w:t xml:space="preserve">Corporation name: </w:t>
      </w:r>
      <w:r w:rsidR="00C7493A">
        <w:t>Australian Mitochondrial Disease Medical Network Ltd</w:t>
      </w:r>
    </w:p>
    <w:p w14:paraId="5214F62F" w14:textId="171D993B" w:rsidR="00C171FB" w:rsidRDefault="00C171FB" w:rsidP="00C171FB">
      <w:pPr>
        <w:pBdr>
          <w:top w:val="single" w:sz="4" w:space="1" w:color="auto"/>
          <w:left w:val="single" w:sz="4" w:space="4" w:color="auto"/>
          <w:bottom w:val="single" w:sz="4" w:space="1" w:color="auto"/>
          <w:right w:val="single" w:sz="4" w:space="4" w:color="auto"/>
        </w:pBdr>
      </w:pPr>
      <w:r>
        <w:t xml:space="preserve">ABN: </w:t>
      </w:r>
      <w:r w:rsidR="00C7493A">
        <w:t>89642827138</w:t>
      </w:r>
    </w:p>
    <w:p w14:paraId="09354038" w14:textId="5890B5F4" w:rsidR="00C171FB" w:rsidRDefault="00C171FB" w:rsidP="00C171FB">
      <w:pPr>
        <w:pBdr>
          <w:top w:val="single" w:sz="4" w:space="1" w:color="auto"/>
          <w:left w:val="single" w:sz="4" w:space="4" w:color="auto"/>
          <w:bottom w:val="single" w:sz="4" w:space="1" w:color="auto"/>
          <w:right w:val="single" w:sz="4" w:space="4" w:color="auto"/>
        </w:pBdr>
      </w:pPr>
      <w:r>
        <w:t xml:space="preserve">Business trading name: </w:t>
      </w:r>
      <w:r w:rsidR="00C7493A">
        <w:t>Mito</w:t>
      </w:r>
      <w:r w:rsidR="0063578F">
        <w:t xml:space="preserve"> Medical </w:t>
      </w:r>
      <w:r w:rsidR="00C7493A">
        <w:t>Net</w:t>
      </w:r>
      <w:r w:rsidR="0063578F">
        <w:t>work</w:t>
      </w:r>
    </w:p>
    <w:p w14:paraId="5AED6156" w14:textId="77777777" w:rsidR="00C171FB" w:rsidRPr="00C171FB" w:rsidRDefault="00C171FB" w:rsidP="00C171FB"/>
    <w:p w14:paraId="5FBBF489" w14:textId="16030559" w:rsidR="00C171FB" w:rsidRPr="00F73D71" w:rsidRDefault="00C171FB" w:rsidP="00F73D71">
      <w:pPr>
        <w:shd w:val="clear" w:color="auto" w:fill="FFFFFF" w:themeFill="background1"/>
        <w:rPr>
          <w:b/>
        </w:rPr>
      </w:pPr>
      <w:r w:rsidRPr="00F73D71">
        <w:rPr>
          <w:b/>
        </w:rPr>
        <w:t>Primary contact name:</w:t>
      </w:r>
      <w:r w:rsidR="00A74519" w:rsidRPr="00F73D71">
        <w:rPr>
          <w:b/>
        </w:rPr>
        <w:t xml:space="preserve"> </w:t>
      </w:r>
      <w:r w:rsidR="00F73D71" w:rsidRPr="00F73D71">
        <w:rPr>
          <w:b/>
          <w:bCs/>
        </w:rPr>
        <w:t>REDACTED</w:t>
      </w:r>
    </w:p>
    <w:p w14:paraId="48A112DF" w14:textId="77777777" w:rsidR="00C171FB" w:rsidRPr="00F73D71" w:rsidRDefault="00C171FB" w:rsidP="00F73D71">
      <w:pPr>
        <w:pBdr>
          <w:top w:val="single" w:sz="4" w:space="1" w:color="auto"/>
          <w:left w:val="single" w:sz="4" w:space="4" w:color="auto"/>
          <w:bottom w:val="single" w:sz="4" w:space="1" w:color="auto"/>
          <w:right w:val="single" w:sz="4" w:space="4" w:color="auto"/>
        </w:pBdr>
        <w:shd w:val="clear" w:color="auto" w:fill="FFFFFF" w:themeFill="background1"/>
      </w:pPr>
      <w:r w:rsidRPr="00F73D71">
        <w:t>Primary contact numbers</w:t>
      </w:r>
    </w:p>
    <w:p w14:paraId="52172ACB" w14:textId="4AC8B101" w:rsidR="00A74519" w:rsidRPr="00F73D71" w:rsidRDefault="00C171FB" w:rsidP="00F73D71">
      <w:pPr>
        <w:pBdr>
          <w:top w:val="single" w:sz="4" w:space="1" w:color="auto"/>
          <w:left w:val="single" w:sz="4" w:space="4" w:color="auto"/>
          <w:bottom w:val="single" w:sz="4" w:space="1" w:color="auto"/>
          <w:right w:val="single" w:sz="4" w:space="4" w:color="auto"/>
        </w:pBdr>
        <w:shd w:val="clear" w:color="auto" w:fill="FFFFFF" w:themeFill="background1"/>
      </w:pPr>
      <w:r w:rsidRPr="00F73D71">
        <w:t>Business:</w:t>
      </w:r>
      <w:r w:rsidR="00F73D71">
        <w:t xml:space="preserve"> </w:t>
      </w:r>
      <w:r w:rsidR="00F73D71" w:rsidRPr="00F73D71">
        <w:rPr>
          <w:b/>
          <w:bCs/>
        </w:rPr>
        <w:t>REDACTED</w:t>
      </w:r>
      <w:r w:rsidR="00A74519" w:rsidRPr="00F73D71">
        <w:t xml:space="preserve"> </w:t>
      </w:r>
    </w:p>
    <w:p w14:paraId="37795702" w14:textId="4CD443A9" w:rsidR="00C171FB" w:rsidRPr="00F73D71" w:rsidRDefault="00C171FB" w:rsidP="00F73D71">
      <w:pPr>
        <w:pBdr>
          <w:top w:val="single" w:sz="4" w:space="1" w:color="auto"/>
          <w:left w:val="single" w:sz="4" w:space="4" w:color="auto"/>
          <w:bottom w:val="single" w:sz="4" w:space="1" w:color="auto"/>
          <w:right w:val="single" w:sz="4" w:space="4" w:color="auto"/>
        </w:pBdr>
        <w:shd w:val="clear" w:color="auto" w:fill="FFFFFF" w:themeFill="background1"/>
      </w:pPr>
      <w:r w:rsidRPr="00F73D71">
        <w:t>Mobile:</w:t>
      </w:r>
      <w:r w:rsidRPr="00F73D71">
        <w:tab/>
      </w:r>
      <w:r w:rsidR="00F73D71" w:rsidRPr="00F73D71">
        <w:rPr>
          <w:b/>
          <w:bCs/>
        </w:rPr>
        <w:t>REDACTED</w:t>
      </w:r>
    </w:p>
    <w:p w14:paraId="450BAB89" w14:textId="1486017E" w:rsidR="00C171FB" w:rsidRPr="00F73D71" w:rsidRDefault="00C171FB" w:rsidP="00F73D71">
      <w:pPr>
        <w:pBdr>
          <w:top w:val="single" w:sz="4" w:space="1" w:color="auto"/>
          <w:left w:val="single" w:sz="4" w:space="4" w:color="auto"/>
          <w:bottom w:val="single" w:sz="4" w:space="1" w:color="auto"/>
          <w:right w:val="single" w:sz="4" w:space="4" w:color="auto"/>
        </w:pBdr>
        <w:shd w:val="clear" w:color="auto" w:fill="FFFFFF" w:themeFill="background1"/>
      </w:pPr>
      <w:r w:rsidRPr="00F73D71">
        <w:t xml:space="preserve">Email: </w:t>
      </w:r>
      <w:r w:rsidR="00F73D71" w:rsidRPr="00F73D71">
        <w:rPr>
          <w:b/>
          <w:bCs/>
        </w:rPr>
        <w:t>REDACTED</w:t>
      </w:r>
    </w:p>
    <w:p w14:paraId="6BC08F5E" w14:textId="77777777" w:rsidR="00C171FB" w:rsidRPr="00F73D71" w:rsidRDefault="00C171FB" w:rsidP="00F73D71">
      <w:pPr>
        <w:shd w:val="clear" w:color="auto" w:fill="FFFFFF" w:themeFill="background1"/>
        <w:rPr>
          <w:b/>
        </w:rPr>
      </w:pPr>
    </w:p>
    <w:p w14:paraId="5548F8DE" w14:textId="1BD5D9A5" w:rsidR="00C171FB" w:rsidRPr="00F73D71" w:rsidRDefault="00C171FB" w:rsidP="00F73D71">
      <w:pPr>
        <w:shd w:val="clear" w:color="auto" w:fill="FFFFFF" w:themeFill="background1"/>
        <w:rPr>
          <w:b/>
        </w:rPr>
      </w:pPr>
      <w:r w:rsidRPr="00F73D71">
        <w:rPr>
          <w:b/>
        </w:rPr>
        <w:t xml:space="preserve">Alternative contact name: </w:t>
      </w:r>
      <w:r w:rsidR="003E3E01" w:rsidRPr="00F73D71">
        <w:t>Not applicable</w:t>
      </w:r>
    </w:p>
    <w:p w14:paraId="554FE10F" w14:textId="77777777" w:rsidR="00C171FB" w:rsidRPr="00F73D71" w:rsidRDefault="00C171FB" w:rsidP="00F73D71">
      <w:pPr>
        <w:shd w:val="clear" w:color="auto" w:fill="FFFFFF" w:themeFill="background1"/>
      </w:pPr>
    </w:p>
    <w:p w14:paraId="7479D35D" w14:textId="77777777" w:rsidR="00534C5F" w:rsidRPr="00154B00" w:rsidRDefault="00494011" w:rsidP="00F73D71">
      <w:pPr>
        <w:pStyle w:val="Heading2"/>
        <w:shd w:val="clear" w:color="auto" w:fill="FFFFFF" w:themeFill="background1"/>
      </w:pPr>
      <w:r w:rsidRPr="00F73D71">
        <w:t xml:space="preserve">(a) </w:t>
      </w:r>
      <w:r w:rsidR="00534C5F" w:rsidRPr="00F73D71">
        <w:t>Are you a lobbyist acting</w:t>
      </w:r>
      <w:r w:rsidR="00534C5F">
        <w:t xml:space="preserve"> on behalf of an Applicant?</w:t>
      </w:r>
    </w:p>
    <w:p w14:paraId="00AE8B9A"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Yes</w:t>
      </w:r>
    </w:p>
    <w:p w14:paraId="432E4D51" w14:textId="77777777" w:rsidR="00A6491A" w:rsidRPr="00753C44" w:rsidRDefault="00165309" w:rsidP="00A6491A">
      <w:pPr>
        <w:spacing w:before="0" w:after="0"/>
        <w:ind w:left="426"/>
        <w:rPr>
          <w:szCs w:val="20"/>
        </w:rPr>
      </w:pPr>
      <w:r>
        <w:rPr>
          <w:szCs w:val="20"/>
        </w:rPr>
        <w:fldChar w:fldCharType="begin">
          <w:ffData>
            <w:name w:val="Check2"/>
            <w:enabled/>
            <w:calcOnExit w:val="0"/>
            <w:checkBox>
              <w:sizeAuto/>
              <w:default w:val="1"/>
            </w:checkBox>
          </w:ffData>
        </w:fldChar>
      </w:r>
      <w:bookmarkStart w:id="1" w:name="Check2"/>
      <w:r>
        <w:rPr>
          <w:szCs w:val="20"/>
        </w:rPr>
        <w:instrText xml:space="preserve"> FORMCHECKBOX </w:instrText>
      </w:r>
      <w:r w:rsidR="00913B21">
        <w:rPr>
          <w:szCs w:val="20"/>
        </w:rPr>
      </w:r>
      <w:r w:rsidR="00913B21">
        <w:rPr>
          <w:szCs w:val="20"/>
        </w:rPr>
        <w:fldChar w:fldCharType="separate"/>
      </w:r>
      <w:r>
        <w:rPr>
          <w:szCs w:val="20"/>
        </w:rPr>
        <w:fldChar w:fldCharType="end"/>
      </w:r>
      <w:bookmarkEnd w:id="1"/>
      <w:r>
        <w:rPr>
          <w:szCs w:val="20"/>
        </w:rPr>
        <w:t xml:space="preserve"> </w:t>
      </w:r>
      <w:r w:rsidR="00A6491A">
        <w:rPr>
          <w:szCs w:val="20"/>
        </w:rPr>
        <w:t xml:space="preserve"> No</w:t>
      </w:r>
      <w:r w:rsidR="00A6491A" w:rsidRPr="00753C44">
        <w:rPr>
          <w:szCs w:val="20"/>
        </w:rPr>
        <w:t xml:space="preserve">  </w:t>
      </w:r>
    </w:p>
    <w:p w14:paraId="6258E302" w14:textId="77777777" w:rsidR="00534C5F" w:rsidRPr="00154B00" w:rsidRDefault="00534C5F" w:rsidP="00D54508">
      <w:pPr>
        <w:pStyle w:val="Heading2"/>
        <w:numPr>
          <w:ilvl w:val="0"/>
          <w:numId w:val="2"/>
        </w:numPr>
      </w:pPr>
      <w:r w:rsidRPr="00154B00">
        <w:t xml:space="preserve">If yes, </w:t>
      </w:r>
      <w:r>
        <w:t xml:space="preserve">are </w:t>
      </w:r>
      <w:r w:rsidRPr="00FE33A6">
        <w:t>you</w:t>
      </w:r>
      <w:r>
        <w:t xml:space="preserve"> listed on the Register of Lobbyists?</w:t>
      </w:r>
    </w:p>
    <w:p w14:paraId="0709AD14"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Yes</w:t>
      </w:r>
    </w:p>
    <w:p w14:paraId="19419A94"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No</w:t>
      </w:r>
      <w:r w:rsidRPr="00753C44">
        <w:rPr>
          <w:szCs w:val="20"/>
        </w:rPr>
        <w:t xml:space="preserve">  </w:t>
      </w:r>
    </w:p>
    <w:p w14:paraId="04D3F018" w14:textId="77777777" w:rsidR="00E04FB3" w:rsidRDefault="00E04FB3" w:rsidP="005C333E">
      <w:pPr>
        <w:spacing w:before="0" w:after="0"/>
        <w:ind w:left="426"/>
        <w:rPr>
          <w:b/>
          <w:szCs w:val="20"/>
        </w:rPr>
      </w:pPr>
      <w:r w:rsidRPr="00154B00">
        <w:rPr>
          <w:b/>
          <w:szCs w:val="20"/>
        </w:rPr>
        <w:br w:type="page"/>
      </w:r>
    </w:p>
    <w:p w14:paraId="51AE7167"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2C416E76" w14:textId="77777777" w:rsidR="000B3CD0" w:rsidRDefault="000B3CD0" w:rsidP="00730C04">
      <w:pPr>
        <w:pStyle w:val="Heading2"/>
      </w:pPr>
      <w:r w:rsidRPr="00154B00">
        <w:t>Application title</w:t>
      </w:r>
      <w:r w:rsidR="00A8732C">
        <w:t xml:space="preserve"> </w:t>
      </w:r>
    </w:p>
    <w:p w14:paraId="653769E0" w14:textId="5119623A" w:rsidR="009056C5" w:rsidRPr="009056C5" w:rsidRDefault="009F1349" w:rsidP="00644D92">
      <w:pPr>
        <w:ind w:left="284" w:firstLine="76"/>
      </w:pPr>
      <w:r>
        <w:t>Diagnostic g</w:t>
      </w:r>
      <w:r w:rsidR="00165309">
        <w:t>enetic testing for mitochondrial disease</w:t>
      </w:r>
    </w:p>
    <w:p w14:paraId="1886AC63" w14:textId="46735673" w:rsidR="002C3345" w:rsidRDefault="009B4E1E" w:rsidP="00F73D71">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29A8B9D0" w14:textId="70005A29" w:rsidR="00B14372" w:rsidRDefault="00645460" w:rsidP="00F73D71">
      <w:pPr>
        <w:ind w:left="360"/>
      </w:pPr>
      <w:r w:rsidRPr="00645460">
        <w:t xml:space="preserve">Mitochondrial disease is a genetic disorder that robs the body of energy. Mitochondrial diseases are the most common heritable metabolic diseases in Australia and are caused by genetic </w:t>
      </w:r>
      <w:r w:rsidRPr="00354C16">
        <w:t>vari</w:t>
      </w:r>
      <w:r w:rsidRPr="00645460">
        <w:t>ations in either the mitochondrial (mtDNA) or nuclear genome (</w:t>
      </w:r>
      <w:proofErr w:type="spellStart"/>
      <w:r w:rsidRPr="00645460">
        <w:t>nDNA</w:t>
      </w:r>
      <w:proofErr w:type="spellEnd"/>
      <w:r w:rsidRPr="00645460">
        <w:t xml:space="preserve">). Mitochondrial diseases can present with a diverse range of phenotypic expression and clinical features at all ages, making diagnosis difficult. Although some mitochondrial diseases are inherited through a maternal pattern of inheritance (mtDNA </w:t>
      </w:r>
      <w:r>
        <w:t>variant</w:t>
      </w:r>
      <w:r w:rsidRPr="00645460">
        <w:t>s), others follow autosomal dominant, recessive or X- linked traits (</w:t>
      </w:r>
      <w:proofErr w:type="spellStart"/>
      <w:r w:rsidRPr="00645460">
        <w:t>nDNA</w:t>
      </w:r>
      <w:proofErr w:type="spellEnd"/>
      <w:r w:rsidRPr="00645460">
        <w:t xml:space="preserve"> </w:t>
      </w:r>
      <w:r w:rsidR="00217D05">
        <w:t>variant</w:t>
      </w:r>
      <w:r w:rsidRPr="00645460">
        <w:t>s) and some occur sporadically. A family history may not always be evident, as individual family members may have different clinical manifestations to each other. These diagnostic challenges mean that there are often significant delays in diagnosis for affected persons (children and adults), leading to delays in treatment and management, use of inappropriate treatments and unknowing transmission of the disease.</w:t>
      </w:r>
    </w:p>
    <w:p w14:paraId="4A4BDCC6" w14:textId="588FD765" w:rsidR="00B14372" w:rsidRPr="009056C5" w:rsidRDefault="00B14372" w:rsidP="00F73D71">
      <w:pPr>
        <w:ind w:left="360"/>
      </w:pPr>
      <w:r w:rsidRPr="00B14372">
        <w:rPr>
          <w:b/>
          <w:bCs/>
          <w:color w:val="FF0000"/>
        </w:rPr>
        <w:t>PLEASE NOTE:</w:t>
      </w:r>
      <w:r w:rsidRPr="00B14372">
        <w:rPr>
          <w:color w:val="FF0000"/>
        </w:rPr>
        <w:t xml:space="preserve">  </w:t>
      </w:r>
      <w:r>
        <w:t xml:space="preserve">For the purposes of this application, mitochondrial disease is referring to ‘Primary Mitochondrial </w:t>
      </w:r>
      <w:r w:rsidR="007B60EB">
        <w:t>D</w:t>
      </w:r>
      <w:r>
        <w:t xml:space="preserve">isease’ only, </w:t>
      </w:r>
      <w:r w:rsidR="007B60EB">
        <w:t xml:space="preserve">where the </w:t>
      </w:r>
      <w:r w:rsidR="007B60EB" w:rsidRPr="007B60EB">
        <w:t>defect</w:t>
      </w:r>
      <w:r w:rsidR="007B60EB">
        <w:t xml:space="preserve"> lie</w:t>
      </w:r>
      <w:r w:rsidR="007B60EB" w:rsidRPr="007B60EB">
        <w:t xml:space="preserve">s </w:t>
      </w:r>
      <w:r w:rsidR="007B60EB">
        <w:t xml:space="preserve">within </w:t>
      </w:r>
      <w:r w:rsidR="007B60EB" w:rsidRPr="007B60EB">
        <w:t>oxidative phosphorylation </w:t>
      </w:r>
      <w:r w:rsidRPr="00B14372">
        <w:t xml:space="preserve">(as opposed to </w:t>
      </w:r>
      <w:r w:rsidR="007B60EB">
        <w:t xml:space="preserve">diminished function </w:t>
      </w:r>
      <w:r w:rsidRPr="00B14372">
        <w:t>secondary to other patholog</w:t>
      </w:r>
      <w:r w:rsidR="007B60EB">
        <w:t>ies</w:t>
      </w:r>
      <w:r w:rsidRPr="00B14372">
        <w:t>)</w:t>
      </w:r>
    </w:p>
    <w:p w14:paraId="54AEEAF6" w14:textId="11599D37" w:rsidR="00AF07F7" w:rsidRDefault="000955E7" w:rsidP="00F73D71">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4138377D" w14:textId="15C898AA" w:rsidR="00217D05" w:rsidRPr="00217D05" w:rsidRDefault="00217D05" w:rsidP="00F73D71">
      <w:pPr>
        <w:ind w:left="360"/>
      </w:pPr>
      <w:r w:rsidRPr="00217D05">
        <w:t xml:space="preserve">Whole genome sequencing (WGS) comprehensively sequences genes (coding sequences) in both </w:t>
      </w:r>
      <w:proofErr w:type="spellStart"/>
      <w:r w:rsidRPr="00217D05">
        <w:t>mtDNA</w:t>
      </w:r>
      <w:proofErr w:type="spellEnd"/>
      <w:r w:rsidRPr="00217D05">
        <w:t xml:space="preserve"> and </w:t>
      </w:r>
      <w:proofErr w:type="spellStart"/>
      <w:r w:rsidRPr="00217D05">
        <w:t>nDNA</w:t>
      </w:r>
      <w:proofErr w:type="spellEnd"/>
      <w:r w:rsidRPr="00217D05">
        <w:t xml:space="preserve"> in a single genetic test. A similar result can be achieved by whole exome sequencing. For simplicity, we will refer to either of these approaches as the proposed investigative test and abbreviate to “WGS”. Diagnostic testing is agnostic of technology,</w:t>
      </w:r>
      <w:r>
        <w:t xml:space="preserve"> tissue sample, and services,</w:t>
      </w:r>
      <w:r w:rsidRPr="00217D05">
        <w:t xml:space="preserve"> and hence it is not prescriptive to the methodologies/equipment and reagents involved.  Diagnosis is provided by analysis of a phenotype driven curated list of known mitochondrial disease gene</w:t>
      </w:r>
      <w:r>
        <w:t>tic variants</w:t>
      </w:r>
      <w:r w:rsidRPr="00217D05">
        <w:t xml:space="preserve"> (</w:t>
      </w:r>
      <w:r>
        <w:t>&gt;</w:t>
      </w:r>
      <w:r w:rsidRPr="00217D05">
        <w:t xml:space="preserve">350) delivered by a NATA accredited diagnostic laboratory </w:t>
      </w:r>
      <w:r>
        <w:t xml:space="preserve">providing </w:t>
      </w:r>
      <w:r w:rsidR="00354C16">
        <w:t xml:space="preserve">compliant </w:t>
      </w:r>
      <w:r>
        <w:t xml:space="preserve">testing </w:t>
      </w:r>
      <w:r w:rsidR="00354C16">
        <w:t xml:space="preserve">services </w:t>
      </w:r>
      <w:r>
        <w:t xml:space="preserve">. </w:t>
      </w:r>
      <w:r w:rsidRPr="00217D05">
        <w:t xml:space="preserve"> </w:t>
      </w:r>
    </w:p>
    <w:p w14:paraId="24B58875" w14:textId="77777777" w:rsidR="00217D05" w:rsidRPr="00217D05" w:rsidRDefault="00217D05" w:rsidP="00F73D71">
      <w:pPr>
        <w:ind w:left="360"/>
      </w:pPr>
      <w:r w:rsidRPr="00217D05">
        <w:t>WGS has emerged as the diagnostic test of choice and is being rapidly adopted worldwide, as evidenced by the publications listed in the table (see Q17, Part4).</w:t>
      </w:r>
    </w:p>
    <w:p w14:paraId="30C1E083" w14:textId="51C85F3B" w:rsidR="006552C6" w:rsidRPr="00CB12EC" w:rsidRDefault="00217D05" w:rsidP="00F73D71">
      <w:pPr>
        <w:ind w:left="360"/>
      </w:pPr>
      <w:r w:rsidRPr="00217D05">
        <w:t xml:space="preserve">Cascade testing of the causative single gene </w:t>
      </w:r>
      <w:r w:rsidR="00354C16">
        <w:t>variant</w:t>
      </w:r>
      <w:r w:rsidRPr="00217D05">
        <w:t xml:space="preserve"> only</w:t>
      </w:r>
      <w:r w:rsidR="00354C16">
        <w:t>,</w:t>
      </w:r>
      <w:r w:rsidRPr="00217D05">
        <w:t xml:space="preserve"> may be required for relatives of affected individuals for whom a diagnosis was made via WGS.</w:t>
      </w:r>
    </w:p>
    <w:p w14:paraId="5578B59C" w14:textId="77777777" w:rsidR="00D11EB1" w:rsidRPr="0011036E" w:rsidRDefault="00730C04" w:rsidP="004A0BF4">
      <w:pPr>
        <w:pStyle w:val="Heading2"/>
        <w:rPr>
          <w:rStyle w:val="Strong"/>
          <w:rFonts w:asciiTheme="minorHAnsi" w:eastAsiaTheme="minorHAnsi" w:hAnsiTheme="minorHAnsi" w:cstheme="minorBidi"/>
          <w:b/>
        </w:rPr>
      </w:pPr>
      <w:r>
        <w:rPr>
          <w:rStyle w:val="Strong"/>
          <w:rFonts w:asciiTheme="minorHAnsi" w:eastAsiaTheme="minorHAnsi" w:hAnsiTheme="minorHAnsi" w:cstheme="minorBidi"/>
          <w:b/>
        </w:rPr>
        <w:t xml:space="preserve">(a) </w:t>
      </w:r>
      <w:r w:rsidR="00D11EB1" w:rsidRPr="0011036E">
        <w:rPr>
          <w:rStyle w:val="Strong"/>
          <w:rFonts w:asciiTheme="minorHAnsi" w:eastAsiaTheme="minorHAnsi" w:hAnsiTheme="minorHAnsi" w:cstheme="minorBidi"/>
          <w:b/>
        </w:rPr>
        <w:t>Is this a request for MBS funding?</w:t>
      </w:r>
    </w:p>
    <w:p w14:paraId="12DBFE23" w14:textId="77777777" w:rsidR="00753C44" w:rsidRDefault="00165309" w:rsidP="00F73D71">
      <w:pPr>
        <w:spacing w:before="0" w:after="0"/>
        <w:ind w:left="360"/>
        <w:rPr>
          <w:szCs w:val="20"/>
        </w:rPr>
      </w:pPr>
      <w:r>
        <w:rPr>
          <w:szCs w:val="20"/>
        </w:rPr>
        <w:fldChar w:fldCharType="begin">
          <w:ffData>
            <w:name w:val="Check1"/>
            <w:enabled/>
            <w:calcOnExit w:val="0"/>
            <w:checkBox>
              <w:sizeAuto/>
              <w:default w:val="1"/>
            </w:checkBox>
          </w:ffData>
        </w:fldChar>
      </w:r>
      <w:bookmarkStart w:id="2" w:name="Check1"/>
      <w:r>
        <w:rPr>
          <w:szCs w:val="20"/>
        </w:rPr>
        <w:instrText xml:space="preserve"> FORMCHECKBOX </w:instrText>
      </w:r>
      <w:r w:rsidR="00913B21">
        <w:rPr>
          <w:szCs w:val="20"/>
        </w:rPr>
      </w:r>
      <w:r w:rsidR="00913B21">
        <w:rPr>
          <w:szCs w:val="20"/>
        </w:rPr>
        <w:fldChar w:fldCharType="separate"/>
      </w:r>
      <w:r>
        <w:rPr>
          <w:szCs w:val="20"/>
        </w:rPr>
        <w:fldChar w:fldCharType="end"/>
      </w:r>
      <w:bookmarkEnd w:id="2"/>
      <w:r w:rsidR="006B6390">
        <w:rPr>
          <w:szCs w:val="20"/>
        </w:rPr>
        <w:t xml:space="preserve"> Yes</w:t>
      </w:r>
    </w:p>
    <w:p w14:paraId="1CB13DBD" w14:textId="77777777" w:rsidR="00753C44" w:rsidRPr="00753C44" w:rsidRDefault="006B6390" w:rsidP="00F73D71">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569A37E7" w14:textId="77777777" w:rsidR="000B3CD0" w:rsidRPr="0011036E" w:rsidRDefault="000B3CD0" w:rsidP="00D54508">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755F7441" w14:textId="77777777" w:rsidR="00753C44" w:rsidRDefault="006B6390" w:rsidP="00F73D71">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69FBCB8F" w14:textId="77777777" w:rsidR="00753C44" w:rsidRPr="00753C44" w:rsidRDefault="00165309" w:rsidP="00F73D71">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7BBD2727" w14:textId="77777777" w:rsidR="000B3CD0" w:rsidRPr="0011036E" w:rsidRDefault="000B3CD0" w:rsidP="00D54508">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12A7F9B5" w14:textId="77777777" w:rsidR="00F73D71" w:rsidRPr="00F73D71" w:rsidRDefault="00F73D71" w:rsidP="00F73D71">
      <w:pPr>
        <w:ind w:left="360"/>
      </w:pPr>
      <w:r>
        <w:t>N/A</w:t>
      </w:r>
    </w:p>
    <w:p w14:paraId="24CAB465" w14:textId="051C56CA" w:rsidR="006C0843" w:rsidRDefault="006C0843" w:rsidP="00D54508">
      <w:pPr>
        <w:pStyle w:val="Heading2"/>
        <w:numPr>
          <w:ilvl w:val="0"/>
          <w:numId w:val="3"/>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035A9EC1" w14:textId="77777777" w:rsidR="00F73D71" w:rsidRPr="00F73D71" w:rsidRDefault="00F73D71" w:rsidP="00F73D71">
      <w:pPr>
        <w:ind w:left="360"/>
      </w:pPr>
      <w:r>
        <w:t>N/A</w:t>
      </w:r>
    </w:p>
    <w:p w14:paraId="1206B06B" w14:textId="77777777" w:rsidR="00F73D71" w:rsidRDefault="00F73D71">
      <w:pPr>
        <w:spacing w:before="0" w:after="200" w:line="276" w:lineRule="auto"/>
        <w:rPr>
          <w:rStyle w:val="Strong"/>
          <w:rFonts w:asciiTheme="minorHAnsi" w:eastAsiaTheme="minorHAnsi" w:hAnsiTheme="minorHAnsi" w:cstheme="minorBidi"/>
          <w:szCs w:val="20"/>
        </w:rPr>
      </w:pPr>
      <w:r>
        <w:rPr>
          <w:rStyle w:val="Strong"/>
          <w:rFonts w:asciiTheme="minorHAnsi" w:eastAsiaTheme="minorHAnsi" w:hAnsiTheme="minorHAnsi" w:cstheme="minorBidi"/>
          <w:b w:val="0"/>
        </w:rPr>
        <w:br w:type="page"/>
      </w:r>
    </w:p>
    <w:p w14:paraId="0CF7AF5B" w14:textId="288F06DA" w:rsidR="00534C5F" w:rsidRPr="007E39E4" w:rsidRDefault="000770BA" w:rsidP="00D54508">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lastRenderedPageBreak/>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150EE8F0" w14:textId="77777777" w:rsidR="006B6390" w:rsidRPr="00AA2CFE" w:rsidRDefault="008B5575" w:rsidP="00D54508">
      <w:pPr>
        <w:pStyle w:val="ListParagraph"/>
        <w:numPr>
          <w:ilvl w:val="0"/>
          <w:numId w:val="13"/>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which also seeks to allow access to the MBS for a specific health practitioner group</w:t>
      </w:r>
    </w:p>
    <w:p w14:paraId="780AFF79" w14:textId="77777777" w:rsidR="006B6390" w:rsidRPr="00AA2CFE" w:rsidRDefault="008B5575" w:rsidP="00D54508">
      <w:pPr>
        <w:pStyle w:val="ListParagraph"/>
        <w:numPr>
          <w:ilvl w:val="0"/>
          <w:numId w:val="13"/>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58F7BF50" w14:textId="77777777" w:rsidR="006B6390" w:rsidRPr="00AA2CFE" w:rsidRDefault="006B6390" w:rsidP="00D54508">
      <w:pPr>
        <w:pStyle w:val="ListParagraph"/>
        <w:numPr>
          <w:ilvl w:val="0"/>
          <w:numId w:val="13"/>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913B21">
        <w:rPr>
          <w:b/>
          <w:szCs w:val="20"/>
        </w:rPr>
      </w:r>
      <w:r w:rsidR="00913B21">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337351BB" w14:textId="77777777" w:rsidR="006B6390" w:rsidRPr="00AA2CFE" w:rsidRDefault="006B6390" w:rsidP="00D54508">
      <w:pPr>
        <w:pStyle w:val="ListParagraph"/>
        <w:numPr>
          <w:ilvl w:val="0"/>
          <w:numId w:val="13"/>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913B21">
        <w:rPr>
          <w:b/>
          <w:szCs w:val="20"/>
        </w:rPr>
      </w:r>
      <w:r w:rsidR="00913B21">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6A133B76" w14:textId="77777777" w:rsidR="003027BB" w:rsidRPr="007E39E4" w:rsidRDefault="00F30C22" w:rsidP="00D54508">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7EDD1779" w14:textId="77777777" w:rsidR="000A5B32" w:rsidRDefault="000A5B32" w:rsidP="00F73D7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sidRPr="000A5B32">
        <w:rPr>
          <w:szCs w:val="20"/>
        </w:rPr>
        <w:t xml:space="preserve"> Yes</w:t>
      </w:r>
    </w:p>
    <w:p w14:paraId="0E9D0FDB" w14:textId="25AAA1F9" w:rsidR="00626365" w:rsidRPr="00626365" w:rsidRDefault="008B5575" w:rsidP="00F73D71">
      <w:pPr>
        <w:spacing w:before="0" w:after="0"/>
        <w:ind w:left="360"/>
        <w:rPr>
          <w:rStyle w:val="Strong"/>
          <w:rFonts w:asciiTheme="minorHAnsi" w:eastAsiaTheme="minorHAnsi" w:hAnsiTheme="minorHAnsi" w:cstheme="minorBidi"/>
          <w:b w:val="0"/>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0A5B32" w:rsidRPr="000A5B32">
        <w:rPr>
          <w:szCs w:val="20"/>
        </w:rPr>
        <w:t xml:space="preserve"> No</w:t>
      </w:r>
    </w:p>
    <w:p w14:paraId="146249E6" w14:textId="7D8780AB" w:rsidR="00F73D71" w:rsidRDefault="003027BB" w:rsidP="00F73D71">
      <w:pPr>
        <w:pStyle w:val="Heading2"/>
        <w:numPr>
          <w:ilvl w:val="0"/>
          <w:numId w:val="3"/>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yes, please advise</w:t>
      </w:r>
      <w:r w:rsidR="00F73D71">
        <w:rPr>
          <w:rStyle w:val="Strong"/>
          <w:rFonts w:asciiTheme="minorHAnsi" w:eastAsiaTheme="minorHAnsi" w:hAnsiTheme="minorHAnsi" w:cstheme="minorBidi"/>
          <w:b/>
        </w:rPr>
        <w:t>:</w:t>
      </w:r>
    </w:p>
    <w:p w14:paraId="526016CF" w14:textId="58C5BBCE" w:rsidR="00F73D71" w:rsidRPr="00F73D71" w:rsidRDefault="00F73D71" w:rsidP="00F73D71">
      <w:pPr>
        <w:ind w:left="360"/>
      </w:pPr>
      <w:r>
        <w:t>N/A</w:t>
      </w:r>
    </w:p>
    <w:p w14:paraId="2BC43596" w14:textId="77777777" w:rsidR="000B3CD0" w:rsidRDefault="000B3CD0" w:rsidP="00730C04">
      <w:pPr>
        <w:pStyle w:val="Heading2"/>
      </w:pPr>
      <w:r w:rsidRPr="00154B00">
        <w:t xml:space="preserve">What is the type of </w:t>
      </w:r>
      <w:proofErr w:type="gramStart"/>
      <w:r w:rsidRPr="00154B00">
        <w:t>service:</w:t>
      </w:r>
      <w:proofErr w:type="gramEnd"/>
    </w:p>
    <w:p w14:paraId="214875B7" w14:textId="77777777" w:rsid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Therapeutic medical service</w:t>
      </w:r>
    </w:p>
    <w:p w14:paraId="73D8A620" w14:textId="77777777" w:rsidR="00A6594E" w:rsidRDefault="008B5575" w:rsidP="00F73D71">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A6594E" w:rsidRPr="0027105F">
        <w:rPr>
          <w:b/>
          <w:szCs w:val="20"/>
        </w:rPr>
        <w:t xml:space="preserve"> </w:t>
      </w:r>
      <w:r w:rsidR="00A6594E">
        <w:t>Investigative medical service</w:t>
      </w:r>
    </w:p>
    <w:p w14:paraId="5969FFC0" w14:textId="77777777" w:rsid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Single consultation medical service</w:t>
      </w:r>
    </w:p>
    <w:p w14:paraId="528558C4" w14:textId="77777777" w:rsid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Global consultation medical service</w:t>
      </w:r>
    </w:p>
    <w:p w14:paraId="60AB463F" w14:textId="77777777" w:rsid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Allied health service</w:t>
      </w:r>
    </w:p>
    <w:p w14:paraId="25B2C012" w14:textId="77777777" w:rsid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Co-dependent technology</w:t>
      </w:r>
    </w:p>
    <w:p w14:paraId="557F3C91" w14:textId="77777777" w:rsidR="00A6594E" w:rsidRPr="00A6594E" w:rsidRDefault="00A6594E"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Hybrid health technology</w:t>
      </w:r>
    </w:p>
    <w:p w14:paraId="0D437234"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6F80DB1A" w14:textId="77777777" w:rsidR="00A6594E" w:rsidRDefault="00A6594E" w:rsidP="00D54508">
      <w:pPr>
        <w:pStyle w:val="ListParagraph"/>
        <w:numPr>
          <w:ilvl w:val="0"/>
          <w:numId w:val="14"/>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913B21">
        <w:rPr>
          <w:b/>
          <w:szCs w:val="20"/>
        </w:rPr>
      </w:r>
      <w:r w:rsidR="00913B21">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3D6266B6" w14:textId="77777777" w:rsidR="00A6594E" w:rsidRDefault="008B5575" w:rsidP="00D54508">
      <w:pPr>
        <w:pStyle w:val="ListParagraph"/>
        <w:numPr>
          <w:ilvl w:val="0"/>
          <w:numId w:val="14"/>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A6594E" w:rsidRPr="00AF4466">
        <w:rPr>
          <w:b/>
          <w:szCs w:val="20"/>
        </w:rPr>
        <w:t xml:space="preserve"> </w:t>
      </w:r>
      <w:r w:rsidR="00A6594E">
        <w:t>Assists in establishing a diagnosis in symptomatic patients</w:t>
      </w:r>
    </w:p>
    <w:p w14:paraId="030B2E1C" w14:textId="77777777" w:rsidR="00A6594E" w:rsidRDefault="008B5575" w:rsidP="00D54508">
      <w:pPr>
        <w:pStyle w:val="ListParagraph"/>
        <w:numPr>
          <w:ilvl w:val="0"/>
          <w:numId w:val="14"/>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A6594E" w:rsidRPr="00AF4466">
        <w:rPr>
          <w:b/>
          <w:szCs w:val="20"/>
        </w:rPr>
        <w:t xml:space="preserve"> </w:t>
      </w:r>
      <w:r w:rsidR="00A6594E">
        <w:t>Provides information about prognosis</w:t>
      </w:r>
    </w:p>
    <w:p w14:paraId="5EF4A16A" w14:textId="77777777" w:rsidR="00A6594E" w:rsidRDefault="00A6594E" w:rsidP="00D54508">
      <w:pPr>
        <w:pStyle w:val="ListParagraph"/>
        <w:numPr>
          <w:ilvl w:val="0"/>
          <w:numId w:val="14"/>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913B21">
        <w:rPr>
          <w:b/>
          <w:szCs w:val="20"/>
        </w:rPr>
      </w:r>
      <w:r w:rsidR="00913B21">
        <w:rPr>
          <w:b/>
          <w:szCs w:val="20"/>
        </w:rPr>
        <w:fldChar w:fldCharType="separate"/>
      </w:r>
      <w:r w:rsidRPr="00AF4466">
        <w:rPr>
          <w:b/>
          <w:szCs w:val="20"/>
        </w:rPr>
        <w:fldChar w:fldCharType="end"/>
      </w:r>
      <w:r w:rsidRPr="00AF4466">
        <w:rPr>
          <w:b/>
          <w:szCs w:val="20"/>
        </w:rPr>
        <w:t xml:space="preserve"> </w:t>
      </w:r>
      <w:r>
        <w:t>Identifies a patient as suitable for therapy by predicting a variation in the effect of the therapy</w:t>
      </w:r>
    </w:p>
    <w:p w14:paraId="69E15705" w14:textId="77777777" w:rsidR="00A6594E" w:rsidRPr="00A6594E" w:rsidRDefault="00A6594E" w:rsidP="00D54508">
      <w:pPr>
        <w:pStyle w:val="ListParagraph"/>
        <w:numPr>
          <w:ilvl w:val="0"/>
          <w:numId w:val="14"/>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913B21">
        <w:rPr>
          <w:b/>
          <w:szCs w:val="20"/>
        </w:rPr>
      </w:r>
      <w:r w:rsidR="00913B21">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04D440CC"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5DC68DC0" w14:textId="77777777" w:rsidR="00FE16C1" w:rsidRDefault="00FE16C1"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Pharmaceutical / Biological</w:t>
      </w:r>
    </w:p>
    <w:p w14:paraId="2538EF12" w14:textId="77777777" w:rsidR="00FE16C1" w:rsidRDefault="00FE16C1" w:rsidP="00F73D71">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913B21">
        <w:rPr>
          <w:b/>
          <w:szCs w:val="20"/>
        </w:rPr>
      </w:r>
      <w:r w:rsidR="00913B21">
        <w:rPr>
          <w:b/>
          <w:szCs w:val="20"/>
        </w:rPr>
        <w:fldChar w:fldCharType="separate"/>
      </w:r>
      <w:r w:rsidRPr="0027105F">
        <w:rPr>
          <w:b/>
          <w:szCs w:val="20"/>
        </w:rPr>
        <w:fldChar w:fldCharType="end"/>
      </w:r>
      <w:r w:rsidRPr="0027105F">
        <w:rPr>
          <w:b/>
          <w:szCs w:val="20"/>
        </w:rPr>
        <w:t xml:space="preserve"> </w:t>
      </w:r>
      <w:r>
        <w:t>Prosthesis or device</w:t>
      </w:r>
    </w:p>
    <w:p w14:paraId="143843BC" w14:textId="77777777" w:rsidR="00FE16C1" w:rsidRPr="00FE16C1" w:rsidRDefault="008B5575" w:rsidP="00F73D71">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913B21">
        <w:rPr>
          <w:b/>
          <w:szCs w:val="20"/>
        </w:rPr>
      </w:r>
      <w:r w:rsidR="00913B21">
        <w:rPr>
          <w:b/>
          <w:szCs w:val="20"/>
        </w:rPr>
        <w:fldChar w:fldCharType="separate"/>
      </w:r>
      <w:r>
        <w:rPr>
          <w:b/>
          <w:szCs w:val="20"/>
        </w:rPr>
        <w:fldChar w:fldCharType="end"/>
      </w:r>
      <w:r w:rsidR="00FE16C1" w:rsidRPr="0027105F">
        <w:rPr>
          <w:b/>
          <w:szCs w:val="20"/>
        </w:rPr>
        <w:t xml:space="preserve"> </w:t>
      </w:r>
      <w:r w:rsidR="00FE16C1">
        <w:t>No</w:t>
      </w:r>
    </w:p>
    <w:p w14:paraId="4D8B2DA2" w14:textId="639F4146"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r w:rsidR="003E3E01">
        <w:t xml:space="preserve"> Not applicable</w:t>
      </w:r>
    </w:p>
    <w:p w14:paraId="2DBE45AD" w14:textId="458118ED" w:rsidR="00FE16C1" w:rsidRPr="00FE16C1" w:rsidRDefault="00F73D71" w:rsidP="00F73D71">
      <w:pPr>
        <w:spacing w:before="0" w:after="0"/>
        <w:ind w:left="360"/>
        <w:rPr>
          <w:szCs w:val="20"/>
        </w:rPr>
      </w:pPr>
      <w:r>
        <w:rPr>
          <w:szCs w:val="20"/>
        </w:rPr>
        <w:t>N/A</w:t>
      </w:r>
    </w:p>
    <w:p w14:paraId="7783C4CD" w14:textId="77777777" w:rsidR="00EC127A" w:rsidRPr="001E6958" w:rsidRDefault="000E5439" w:rsidP="00D54508">
      <w:pPr>
        <w:pStyle w:val="Heading2"/>
        <w:numPr>
          <w:ilvl w:val="0"/>
          <w:numId w:val="4"/>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7214B053" w14:textId="77777777" w:rsidR="00F73D71" w:rsidRPr="00F73D71" w:rsidRDefault="00F73D71" w:rsidP="00F73D71">
      <w:pPr>
        <w:spacing w:before="0" w:after="0"/>
        <w:ind w:firstLine="360"/>
        <w:rPr>
          <w:szCs w:val="20"/>
        </w:rPr>
      </w:pPr>
      <w:r w:rsidRPr="00F73D71">
        <w:rPr>
          <w:szCs w:val="20"/>
        </w:rPr>
        <w:t>N/A</w:t>
      </w:r>
    </w:p>
    <w:p w14:paraId="519599C3" w14:textId="77777777" w:rsidR="00411735" w:rsidRPr="001E6958" w:rsidRDefault="00411735" w:rsidP="00D54508">
      <w:pPr>
        <w:pStyle w:val="Heading2"/>
        <w:numPr>
          <w:ilvl w:val="0"/>
          <w:numId w:val="4"/>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67DFF39F" w14:textId="77777777" w:rsidR="00F73D71" w:rsidRPr="00F73D71" w:rsidRDefault="00F73D71" w:rsidP="00F73D71">
      <w:pPr>
        <w:spacing w:before="0" w:after="0"/>
        <w:ind w:left="360"/>
        <w:rPr>
          <w:szCs w:val="20"/>
        </w:rPr>
      </w:pPr>
      <w:r w:rsidRPr="00F73D71">
        <w:rPr>
          <w:szCs w:val="20"/>
        </w:rPr>
        <w:t>N/A</w:t>
      </w:r>
    </w:p>
    <w:p w14:paraId="2A39801F" w14:textId="77777777" w:rsidR="000E5439" w:rsidRDefault="000E5439" w:rsidP="00D54508">
      <w:pPr>
        <w:pStyle w:val="Heading2"/>
        <w:numPr>
          <w:ilvl w:val="0"/>
          <w:numId w:val="4"/>
        </w:numPr>
      </w:pPr>
      <w:r w:rsidRPr="007E39E4">
        <w:t>If you are seeking both MBS and PBS listing</w:t>
      </w:r>
      <w:r w:rsidR="00B75965" w:rsidRPr="007E39E4">
        <w:t>, what is the trade name and generic name of the pharmaceutical?</w:t>
      </w:r>
    </w:p>
    <w:p w14:paraId="5576ECC5" w14:textId="77777777" w:rsidR="00F73D71" w:rsidRPr="00F73D71" w:rsidRDefault="00F73D71" w:rsidP="00F73D71">
      <w:pPr>
        <w:spacing w:before="0" w:after="0"/>
        <w:ind w:left="360"/>
        <w:rPr>
          <w:szCs w:val="20"/>
        </w:rPr>
      </w:pPr>
      <w:r w:rsidRPr="00F73D71">
        <w:rPr>
          <w:szCs w:val="20"/>
        </w:rPr>
        <w:t>N/A</w:t>
      </w:r>
    </w:p>
    <w:p w14:paraId="5A820F2C"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3891D3B7" w14:textId="77777777" w:rsidR="00F73D71" w:rsidRPr="00FE16C1" w:rsidRDefault="00F73D71" w:rsidP="00F73D71">
      <w:pPr>
        <w:spacing w:before="0" w:after="0"/>
        <w:ind w:left="360"/>
        <w:rPr>
          <w:szCs w:val="20"/>
        </w:rPr>
      </w:pPr>
      <w:r>
        <w:rPr>
          <w:szCs w:val="20"/>
        </w:rPr>
        <w:t>N/A</w:t>
      </w:r>
    </w:p>
    <w:p w14:paraId="7F8C8C9F" w14:textId="77777777" w:rsidR="001E6919" w:rsidRPr="001E6958" w:rsidRDefault="001E6919" w:rsidP="00A6491A">
      <w:pPr>
        <w:spacing w:before="0" w:after="0"/>
        <w:ind w:left="284"/>
        <w:rPr>
          <w:szCs w:val="20"/>
        </w:rPr>
      </w:pPr>
    </w:p>
    <w:p w14:paraId="4DFBB030" w14:textId="77777777" w:rsidR="00B75965" w:rsidRDefault="00B75965" w:rsidP="00D54508">
      <w:pPr>
        <w:pStyle w:val="Heading2"/>
        <w:numPr>
          <w:ilvl w:val="0"/>
          <w:numId w:val="5"/>
        </w:numPr>
      </w:pPr>
      <w:r w:rsidRPr="001E6958">
        <w:lastRenderedPageBreak/>
        <w:t xml:space="preserve">If yes, </w:t>
      </w:r>
      <w:r w:rsidR="00C73B62" w:rsidRPr="001E6958">
        <w:t xml:space="preserve">please provide the following information (where relevant): </w:t>
      </w:r>
    </w:p>
    <w:p w14:paraId="1BEDB822" w14:textId="049144BE" w:rsidR="009939DC" w:rsidRDefault="00F73D71" w:rsidP="00F73D71">
      <w:pPr>
        <w:spacing w:before="0" w:after="0"/>
        <w:ind w:left="360"/>
        <w:rPr>
          <w:szCs w:val="20"/>
        </w:rPr>
      </w:pPr>
      <w:r w:rsidRPr="00F73D71">
        <w:rPr>
          <w:szCs w:val="20"/>
        </w:rPr>
        <w:t>N/A</w:t>
      </w:r>
    </w:p>
    <w:p w14:paraId="5406F1BB" w14:textId="77777777" w:rsidR="00F73D71" w:rsidRPr="00F73D71" w:rsidRDefault="00F73D71" w:rsidP="00F73D71">
      <w:pPr>
        <w:spacing w:before="0" w:after="0"/>
        <w:ind w:left="360"/>
        <w:rPr>
          <w:szCs w:val="20"/>
        </w:rPr>
      </w:pPr>
    </w:p>
    <w:p w14:paraId="09BDB91C" w14:textId="77777777" w:rsidR="00411735" w:rsidRDefault="00411735" w:rsidP="00D54508">
      <w:pPr>
        <w:pStyle w:val="Heading2"/>
        <w:numPr>
          <w:ilvl w:val="0"/>
          <w:numId w:val="5"/>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4E7328F5" w14:textId="77777777" w:rsidR="009939DC" w:rsidRDefault="009939DC" w:rsidP="00F73D7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sidRPr="000A5B32">
        <w:rPr>
          <w:szCs w:val="20"/>
        </w:rPr>
        <w:t xml:space="preserve"> Yes</w:t>
      </w:r>
    </w:p>
    <w:p w14:paraId="32F72B47" w14:textId="77777777" w:rsidR="001E6958" w:rsidRPr="009939DC" w:rsidRDefault="009939DC" w:rsidP="00F73D71">
      <w:pPr>
        <w:spacing w:before="0" w:after="0"/>
        <w:ind w:left="360"/>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No  </w:t>
      </w:r>
    </w:p>
    <w:p w14:paraId="4F440853" w14:textId="77777777" w:rsidR="00016B6E" w:rsidRPr="009939DC" w:rsidRDefault="00016B6E" w:rsidP="00D54508">
      <w:pPr>
        <w:pStyle w:val="Heading2"/>
        <w:numPr>
          <w:ilvl w:val="0"/>
          <w:numId w:val="5"/>
        </w:numPr>
      </w:pPr>
      <w:r w:rsidRPr="009939DC">
        <w:t>Are there any other sponsor(s) and / or manufacturer(</w:t>
      </w:r>
      <w:r w:rsidR="008B729C" w:rsidRPr="009939DC">
        <w:t>s) that have a similar prosthesi</w:t>
      </w:r>
      <w:r w:rsidRPr="009939DC">
        <w:t xml:space="preserve">s or device component in the Australian </w:t>
      </w:r>
      <w:proofErr w:type="gramStart"/>
      <w:r w:rsidRPr="009939DC">
        <w:t>market place</w:t>
      </w:r>
      <w:proofErr w:type="gramEnd"/>
      <w:r w:rsidRPr="009939DC">
        <w:t xml:space="preserve"> which this application is relevant to?</w:t>
      </w:r>
    </w:p>
    <w:p w14:paraId="00004793" w14:textId="77777777" w:rsidR="009939DC" w:rsidRDefault="009939DC" w:rsidP="00F73D7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sidRPr="000A5B32">
        <w:rPr>
          <w:szCs w:val="20"/>
        </w:rPr>
        <w:t xml:space="preserve"> Yes</w:t>
      </w:r>
    </w:p>
    <w:p w14:paraId="25C689B4" w14:textId="77777777" w:rsidR="009939DC" w:rsidRPr="001E6958" w:rsidRDefault="009939DC" w:rsidP="00F73D71">
      <w:pPr>
        <w:spacing w:before="0" w:after="0"/>
        <w:ind w:left="360"/>
        <w:rPr>
          <w:szCs w:val="20"/>
        </w:rPr>
      </w:pPr>
      <w:r w:rsidRPr="000A5B32">
        <w:rPr>
          <w:szCs w:val="20"/>
        </w:rPr>
        <w:fldChar w:fldCharType="begin">
          <w:ffData>
            <w:name w:val="Check2"/>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No  </w:t>
      </w:r>
    </w:p>
    <w:p w14:paraId="4C9D73D1" w14:textId="77777777" w:rsidR="009939DC" w:rsidRDefault="00016B6E" w:rsidP="00D54508">
      <w:pPr>
        <w:pStyle w:val="Heading2"/>
        <w:numPr>
          <w:ilvl w:val="0"/>
          <w:numId w:val="5"/>
        </w:numPr>
      </w:pPr>
      <w:r w:rsidRPr="009939DC">
        <w:t>If yes, please provide the name(s) of the spon</w:t>
      </w:r>
      <w:r w:rsidR="009939DC">
        <w:t>sor(s) and / or manufacturer(s):</w:t>
      </w:r>
    </w:p>
    <w:p w14:paraId="2974826E" w14:textId="77777777" w:rsidR="00F73D71" w:rsidRPr="00F73D71" w:rsidRDefault="00F73D71" w:rsidP="00F73D71">
      <w:pPr>
        <w:spacing w:before="0" w:after="0"/>
        <w:ind w:left="360"/>
        <w:rPr>
          <w:szCs w:val="20"/>
        </w:rPr>
      </w:pPr>
      <w:r w:rsidRPr="00F73D71">
        <w:rPr>
          <w:szCs w:val="20"/>
        </w:rPr>
        <w:t>N/A</w:t>
      </w:r>
    </w:p>
    <w:p w14:paraId="3A5D838A"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2D2BB72D" w14:textId="77777777" w:rsidR="00F73D71" w:rsidRPr="00FE16C1" w:rsidRDefault="00F73D71" w:rsidP="00F73D71">
      <w:pPr>
        <w:spacing w:before="0" w:after="0"/>
        <w:ind w:left="360"/>
        <w:rPr>
          <w:szCs w:val="20"/>
        </w:rPr>
      </w:pPr>
      <w:r>
        <w:rPr>
          <w:szCs w:val="20"/>
        </w:rPr>
        <w:t>N/A</w:t>
      </w:r>
    </w:p>
    <w:p w14:paraId="0B9E1BD9" w14:textId="671BB641" w:rsidR="00F301F1" w:rsidRPr="00855944" w:rsidRDefault="00F301F1" w:rsidP="00A6491A">
      <w:pPr>
        <w:spacing w:before="0" w:after="0"/>
        <w:ind w:left="284"/>
      </w:pPr>
      <w:r w:rsidRPr="00855944">
        <w:br w:type="page"/>
      </w:r>
    </w:p>
    <w:p w14:paraId="4B9EFEFE" w14:textId="34E20D76" w:rsidR="00226777" w:rsidRDefault="00530204" w:rsidP="0056015F">
      <w:pPr>
        <w:pStyle w:val="Heading1"/>
      </w:pPr>
      <w:r>
        <w:lastRenderedPageBreak/>
        <w:t>PART 3</w:t>
      </w:r>
      <w:r w:rsidR="00F93784">
        <w:t xml:space="preserve"> – </w:t>
      </w:r>
      <w:r w:rsidR="00226777" w:rsidRPr="00C776B1">
        <w:t>INFORMATION ABOUT REGULATORY REQUIREMENTS</w:t>
      </w:r>
    </w:p>
    <w:p w14:paraId="31294887" w14:textId="3C1743B1" w:rsidR="00FB4612" w:rsidRDefault="00FB4612" w:rsidP="00580F68">
      <w:pPr>
        <w:spacing w:before="0" w:after="0"/>
        <w:ind w:left="284"/>
        <w:rPr>
          <w:szCs w:val="20"/>
        </w:rPr>
      </w:pPr>
      <w:r>
        <w:rPr>
          <w:szCs w:val="20"/>
        </w:rPr>
        <w:t xml:space="preserve">Whole exome and whole genome sequencing for clinical purposes is regulated by the National Association of Testing Authorities (NATA) and the Royal College of Pathologists </w:t>
      </w:r>
      <w:r w:rsidR="00580F68">
        <w:rPr>
          <w:szCs w:val="20"/>
        </w:rPr>
        <w:t xml:space="preserve">Australia </w:t>
      </w:r>
      <w:r>
        <w:rPr>
          <w:szCs w:val="20"/>
        </w:rPr>
        <w:t>(RCPA).</w:t>
      </w:r>
    </w:p>
    <w:p w14:paraId="42256C21" w14:textId="77777777" w:rsidR="00580F68" w:rsidRPr="00FB4612" w:rsidRDefault="00580F68" w:rsidP="00580F68">
      <w:pPr>
        <w:spacing w:before="0" w:after="0"/>
        <w:ind w:left="284"/>
      </w:pPr>
    </w:p>
    <w:p w14:paraId="7623A72C" w14:textId="3284D5C0" w:rsidR="00F73D71" w:rsidRPr="00F73D71" w:rsidRDefault="0011369B" w:rsidP="00F73D71">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 xml:space="preserve">radioactive </w:t>
      </w:r>
      <w:proofErr w:type="gramStart"/>
      <w:r w:rsidR="001A1ADF" w:rsidRPr="00A6491A">
        <w:t>tracer</w:t>
      </w:r>
      <w:proofErr w:type="gramEnd"/>
      <w:r w:rsidR="001A1ADF" w:rsidRPr="00A6491A">
        <w:t xml:space="preserve">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4C7FB30A" w14:textId="297D5554" w:rsidR="00A26343" w:rsidRPr="00B05CB4" w:rsidRDefault="00A26343" w:rsidP="00A6491A">
      <w:pPr>
        <w:spacing w:before="0" w:after="0"/>
        <w:ind w:left="284"/>
        <w:rPr>
          <w:b/>
          <w:bCs/>
          <w:szCs w:val="20"/>
        </w:rPr>
      </w:pPr>
      <w:r w:rsidRPr="00A26343">
        <w:rPr>
          <w:szCs w:val="20"/>
        </w:rPr>
        <w:t>Type of therapeutic good</w:t>
      </w:r>
      <w:r>
        <w:rPr>
          <w:szCs w:val="20"/>
        </w:rPr>
        <w:t xml:space="preserve">: </w:t>
      </w:r>
      <w:r w:rsidR="00B05CB4" w:rsidRPr="00B05CB4">
        <w:rPr>
          <w:b/>
          <w:bCs/>
        </w:rPr>
        <w:t>In-vitro diagnostic test</w:t>
      </w:r>
    </w:p>
    <w:p w14:paraId="5A0451A3" w14:textId="3CC2F448" w:rsidR="00A26343" w:rsidRPr="00A26343" w:rsidRDefault="00A26343" w:rsidP="00F73D71">
      <w:pPr>
        <w:spacing w:before="0" w:after="0"/>
        <w:ind w:left="360"/>
        <w:rPr>
          <w:szCs w:val="20"/>
        </w:rPr>
      </w:pPr>
      <w:r w:rsidRPr="00A26343">
        <w:rPr>
          <w:szCs w:val="20"/>
        </w:rPr>
        <w:t>Manufacturer’s name</w:t>
      </w:r>
      <w:r w:rsidR="00F85DB7">
        <w:rPr>
          <w:szCs w:val="20"/>
        </w:rPr>
        <w:t>:</w:t>
      </w:r>
      <w:r w:rsidR="00F73D71" w:rsidRPr="00F73D71">
        <w:rPr>
          <w:szCs w:val="20"/>
        </w:rPr>
        <w:t xml:space="preserve"> </w:t>
      </w:r>
      <w:r w:rsidR="00F73D71">
        <w:rPr>
          <w:szCs w:val="20"/>
        </w:rPr>
        <w:t>N/A</w:t>
      </w:r>
    </w:p>
    <w:p w14:paraId="0CEECE19" w14:textId="46E55990" w:rsidR="00F85DB7" w:rsidRPr="00F73D71" w:rsidRDefault="00A26343" w:rsidP="00F73D71">
      <w:pPr>
        <w:spacing w:before="0" w:after="0"/>
        <w:ind w:left="360"/>
        <w:rPr>
          <w:szCs w:val="20"/>
        </w:rPr>
      </w:pPr>
      <w:r w:rsidRPr="00A26343">
        <w:rPr>
          <w:szCs w:val="20"/>
        </w:rPr>
        <w:t>Sponsor’s name</w:t>
      </w:r>
      <w:r>
        <w:rPr>
          <w:szCs w:val="20"/>
        </w:rPr>
        <w:t xml:space="preserve">: </w:t>
      </w:r>
      <w:r w:rsidR="00F73D71">
        <w:rPr>
          <w:szCs w:val="20"/>
        </w:rPr>
        <w:t>N/A</w:t>
      </w:r>
    </w:p>
    <w:p w14:paraId="65D26E32" w14:textId="0F990024" w:rsidR="00B05CB4" w:rsidRDefault="005E2CE3" w:rsidP="00F73D71">
      <w:pPr>
        <w:pStyle w:val="Heading2"/>
      </w:pPr>
      <w:r>
        <w:t xml:space="preserve">Is the </w:t>
      </w:r>
      <w:r w:rsidRPr="0043654D">
        <w:t>medical</w:t>
      </w:r>
      <w:r>
        <w:t xml:space="preserve"> device classified by the TGA as either a Class III or Active Implantable Medical Device (AIMD) against the TGA regulatory scheme for devices?</w:t>
      </w:r>
    </w:p>
    <w:p w14:paraId="6E0C7A49" w14:textId="77777777" w:rsidR="00F73D71" w:rsidRPr="00FE16C1" w:rsidRDefault="00F73D71" w:rsidP="00F73D71">
      <w:pPr>
        <w:spacing w:before="0" w:after="0"/>
        <w:ind w:left="360"/>
        <w:rPr>
          <w:szCs w:val="20"/>
        </w:rPr>
      </w:pPr>
      <w:r>
        <w:rPr>
          <w:szCs w:val="20"/>
        </w:rPr>
        <w:t>N/A</w:t>
      </w:r>
    </w:p>
    <w:p w14:paraId="60BF75AE"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6EB84A7C" w14:textId="77777777" w:rsidR="00F73D71" w:rsidRDefault="00F73D71" w:rsidP="00F73D71">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sidRPr="000A5B32">
        <w:rPr>
          <w:szCs w:val="20"/>
        </w:rPr>
        <w:t xml:space="preserve"> Yes</w:t>
      </w:r>
    </w:p>
    <w:p w14:paraId="2F0E6D0F" w14:textId="77777777" w:rsidR="00F73D71" w:rsidRPr="00626365" w:rsidRDefault="00F73D71" w:rsidP="00F73D71">
      <w:pPr>
        <w:spacing w:before="0" w:after="0"/>
        <w:ind w:left="360"/>
        <w:rPr>
          <w:rStyle w:val="Strong"/>
          <w:rFonts w:asciiTheme="minorHAnsi" w:eastAsiaTheme="minorHAnsi" w:hAnsiTheme="minorHAnsi" w:cstheme="minorBidi"/>
          <w:b w:val="0"/>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Pr="000A5B32">
        <w:rPr>
          <w:szCs w:val="20"/>
        </w:rPr>
        <w:t xml:space="preserve"> No</w:t>
      </w:r>
    </w:p>
    <w:p w14:paraId="6B90E1C7" w14:textId="77777777" w:rsidR="00D85676" w:rsidRDefault="00D85676" w:rsidP="00D54508">
      <w:pPr>
        <w:pStyle w:val="Heading2"/>
        <w:numPr>
          <w:ilvl w:val="0"/>
          <w:numId w:val="6"/>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577AB595" w14:textId="77777777" w:rsidR="00F73D71" w:rsidRPr="00F73D71" w:rsidRDefault="00F73D71" w:rsidP="00F73D71">
      <w:pPr>
        <w:spacing w:before="0" w:after="0"/>
        <w:ind w:left="360"/>
        <w:rPr>
          <w:szCs w:val="20"/>
        </w:rPr>
      </w:pPr>
      <w:r w:rsidRPr="00F73D71">
        <w:rPr>
          <w:szCs w:val="20"/>
        </w:rPr>
        <w:fldChar w:fldCharType="begin">
          <w:ffData>
            <w:name w:val="Check1"/>
            <w:enabled/>
            <w:calcOnExit w:val="0"/>
            <w:checkBox>
              <w:sizeAuto/>
              <w:default w:val="0"/>
            </w:checkBox>
          </w:ffData>
        </w:fldChar>
      </w:r>
      <w:r w:rsidRPr="00F73D71">
        <w:rPr>
          <w:szCs w:val="20"/>
        </w:rPr>
        <w:instrText xml:space="preserve"> FORMCHECKBOX </w:instrText>
      </w:r>
      <w:r w:rsidR="00913B21">
        <w:rPr>
          <w:szCs w:val="20"/>
        </w:rPr>
      </w:r>
      <w:r w:rsidR="00913B21">
        <w:rPr>
          <w:szCs w:val="20"/>
        </w:rPr>
        <w:fldChar w:fldCharType="separate"/>
      </w:r>
      <w:r w:rsidRPr="00F73D71">
        <w:rPr>
          <w:szCs w:val="20"/>
        </w:rPr>
        <w:fldChar w:fldCharType="end"/>
      </w:r>
      <w:r w:rsidRPr="00F73D71">
        <w:rPr>
          <w:szCs w:val="20"/>
        </w:rPr>
        <w:t xml:space="preserve"> Yes</w:t>
      </w:r>
    </w:p>
    <w:p w14:paraId="19950CDE" w14:textId="77777777" w:rsidR="00F73D71" w:rsidRPr="00F73D71" w:rsidRDefault="00F73D71" w:rsidP="00F73D71">
      <w:pPr>
        <w:spacing w:before="0" w:after="0"/>
        <w:ind w:firstLine="360"/>
        <w:rPr>
          <w:rStyle w:val="Strong"/>
          <w:rFonts w:asciiTheme="minorHAnsi" w:eastAsiaTheme="minorHAnsi" w:hAnsiTheme="minorHAnsi" w:cstheme="minorBidi"/>
          <w:b w:val="0"/>
          <w:szCs w:val="20"/>
        </w:rPr>
      </w:pPr>
      <w:r w:rsidRPr="00F73D71">
        <w:rPr>
          <w:szCs w:val="20"/>
        </w:rPr>
        <w:fldChar w:fldCharType="begin">
          <w:ffData>
            <w:name w:val=""/>
            <w:enabled/>
            <w:calcOnExit w:val="0"/>
            <w:checkBox>
              <w:sizeAuto/>
              <w:default w:val="1"/>
            </w:checkBox>
          </w:ffData>
        </w:fldChar>
      </w:r>
      <w:r w:rsidRPr="00F73D71">
        <w:rPr>
          <w:szCs w:val="20"/>
        </w:rPr>
        <w:instrText xml:space="preserve"> FORMCHECKBOX </w:instrText>
      </w:r>
      <w:r w:rsidR="00913B21">
        <w:rPr>
          <w:szCs w:val="20"/>
        </w:rPr>
      </w:r>
      <w:r w:rsidR="00913B21">
        <w:rPr>
          <w:szCs w:val="20"/>
        </w:rPr>
        <w:fldChar w:fldCharType="separate"/>
      </w:r>
      <w:r w:rsidRPr="00F73D71">
        <w:rPr>
          <w:szCs w:val="20"/>
        </w:rPr>
        <w:fldChar w:fldCharType="end"/>
      </w:r>
      <w:r w:rsidRPr="00F73D71">
        <w:rPr>
          <w:szCs w:val="20"/>
        </w:rPr>
        <w:t xml:space="preserve"> No</w:t>
      </w:r>
    </w:p>
    <w:p w14:paraId="31B227FB" w14:textId="77777777" w:rsidR="0043654D" w:rsidRPr="00615F42" w:rsidRDefault="0043654D" w:rsidP="00F73D71">
      <w:pPr>
        <w:spacing w:before="0" w:after="0"/>
        <w:ind w:left="284"/>
        <w:rPr>
          <w:b/>
          <w:szCs w:val="20"/>
        </w:rPr>
      </w:pPr>
    </w:p>
    <w:p w14:paraId="4ED1F6DC" w14:textId="77777777" w:rsidR="00C0796F" w:rsidRPr="0043654D" w:rsidRDefault="00C0796F" w:rsidP="00530204">
      <w:pPr>
        <w:pStyle w:val="Heading2"/>
      </w:pPr>
      <w:r w:rsidRPr="0043654D">
        <w:t xml:space="preserve">If the therapeutic good has not been listed, </w:t>
      </w:r>
      <w:proofErr w:type="gramStart"/>
      <w:r w:rsidRPr="0043654D">
        <w:t>registered</w:t>
      </w:r>
      <w:proofErr w:type="gramEnd"/>
      <w:r w:rsidRPr="0043654D">
        <w:t xml:space="preserve"> or included in the ARTG, is the therapeutic good in the process of being considered for inclusion by the TGA?</w:t>
      </w:r>
    </w:p>
    <w:p w14:paraId="37D15790" w14:textId="01E89368" w:rsidR="0047581D" w:rsidRDefault="00F73D71" w:rsidP="00F73D71">
      <w:pPr>
        <w:spacing w:before="0" w:after="0"/>
        <w:ind w:left="284" w:firstLine="76"/>
        <w:rPr>
          <w:szCs w:val="20"/>
        </w:rPr>
      </w:pPr>
      <w:r>
        <w:rPr>
          <w:szCs w:val="20"/>
        </w:rPr>
        <w:t>N/A</w:t>
      </w:r>
    </w:p>
    <w:p w14:paraId="5F2B4F7F"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proofErr w:type="gramStart"/>
      <w:r w:rsidR="00F83A9D" w:rsidRPr="000A110D">
        <w:t>registration</w:t>
      </w:r>
      <w:proofErr w:type="gramEnd"/>
      <w:r w:rsidR="00F83A9D" w:rsidRPr="000A110D">
        <w:t xml:space="preserve"> </w:t>
      </w:r>
      <w:r w:rsidR="00C0796F" w:rsidRPr="000A110D">
        <w:t xml:space="preserve">or </w:t>
      </w:r>
      <w:r w:rsidR="00F83A9D" w:rsidRPr="000A110D">
        <w:t>inclusion by the TGA, is an application to the TGA being prepared?</w:t>
      </w:r>
    </w:p>
    <w:p w14:paraId="6D6031AB" w14:textId="0F962DE1" w:rsidR="00F83A9D" w:rsidRPr="00154B00" w:rsidRDefault="00F73D71" w:rsidP="00F73D71">
      <w:pPr>
        <w:ind w:firstLine="360"/>
        <w:rPr>
          <w:szCs w:val="20"/>
        </w:rPr>
      </w:pPr>
      <w:r>
        <w:rPr>
          <w:szCs w:val="20"/>
        </w:rPr>
        <w:t>N/A</w:t>
      </w:r>
    </w:p>
    <w:p w14:paraId="1E5E5C8B" w14:textId="77777777" w:rsidR="00DD308E" w:rsidRDefault="00DD308E">
      <w:pPr>
        <w:rPr>
          <w:b/>
          <w:sz w:val="32"/>
          <w:szCs w:val="32"/>
        </w:rPr>
        <w:sectPr w:rsidR="00DD308E" w:rsidSect="00991EE4">
          <w:footerReference w:type="default" r:id="rId11"/>
          <w:pgSz w:w="11906" w:h="16838"/>
          <w:pgMar w:top="1440" w:right="1440" w:bottom="1440" w:left="1440" w:header="708" w:footer="708" w:gutter="0"/>
          <w:pgNumType w:start="0"/>
          <w:cols w:space="708"/>
          <w:titlePg/>
          <w:docGrid w:linePitch="360"/>
        </w:sectPr>
      </w:pPr>
    </w:p>
    <w:p w14:paraId="2510F7DF" w14:textId="77777777" w:rsidR="00DD308E" w:rsidRPr="00C776B1" w:rsidRDefault="00B17CBE" w:rsidP="0056015F">
      <w:pPr>
        <w:pStyle w:val="Heading1"/>
      </w:pPr>
      <w:r>
        <w:lastRenderedPageBreak/>
        <w:t>PART 4</w:t>
      </w:r>
      <w:r w:rsidR="00DD308E">
        <w:t xml:space="preserve"> – </w:t>
      </w:r>
      <w:r w:rsidR="00DD308E" w:rsidRPr="0063578F">
        <w:t>SUMMARY OF EVIDENCE</w:t>
      </w:r>
    </w:p>
    <w:p w14:paraId="1701E268" w14:textId="77777777" w:rsidR="00DD308E" w:rsidRPr="00832B31" w:rsidRDefault="00DD308E" w:rsidP="005C3AE7">
      <w:pPr>
        <w:pStyle w:val="Heading2"/>
        <w:rPr>
          <w:i/>
        </w:rPr>
      </w:pPr>
      <w:r w:rsidRPr="00F222BE">
        <w:t xml:space="preserve">Provide an overview of all key journal articles or research published in the public domain related </w:t>
      </w:r>
      <w:r w:rsidRPr="0076405C">
        <w:t>to the proposed service that is for your application</w:t>
      </w:r>
      <w:r w:rsidRPr="00F222BE">
        <w:t xml:space="preserve"> (limiting these to the English language only).  </w:t>
      </w:r>
      <w:r w:rsidRPr="00832B31">
        <w:rPr>
          <w:i/>
        </w:rPr>
        <w:t>Please do not attach full text articles, this is just intended to be a summary.</w:t>
      </w:r>
    </w:p>
    <w:tbl>
      <w:tblPr>
        <w:tblStyle w:val="TableGrid"/>
        <w:tblW w:w="5000" w:type="pct"/>
        <w:tblLayout w:type="fixed"/>
        <w:tblLook w:val="04A0" w:firstRow="1" w:lastRow="0" w:firstColumn="1" w:lastColumn="0" w:noHBand="0" w:noVBand="1"/>
      </w:tblPr>
      <w:tblGrid>
        <w:gridCol w:w="560"/>
        <w:gridCol w:w="1420"/>
        <w:gridCol w:w="2268"/>
        <w:gridCol w:w="3970"/>
        <w:gridCol w:w="4201"/>
        <w:gridCol w:w="1529"/>
      </w:tblGrid>
      <w:tr w:rsidR="000A0457" w14:paraId="76FDF982" w14:textId="77777777" w:rsidTr="00C82C07">
        <w:trPr>
          <w:cantSplit/>
          <w:tblHeader/>
        </w:trPr>
        <w:tc>
          <w:tcPr>
            <w:tcW w:w="201" w:type="pct"/>
          </w:tcPr>
          <w:p w14:paraId="3E5772B1" w14:textId="77777777" w:rsidR="00DD308E" w:rsidRDefault="00DD308E" w:rsidP="00855944">
            <w:pPr>
              <w:pStyle w:val="TableHEADER"/>
            </w:pPr>
          </w:p>
        </w:tc>
        <w:tc>
          <w:tcPr>
            <w:tcW w:w="509" w:type="pct"/>
          </w:tcPr>
          <w:p w14:paraId="3BD7D202" w14:textId="3A3159FF" w:rsidR="00DD308E" w:rsidRPr="009F11B4" w:rsidRDefault="00DD308E" w:rsidP="00855944">
            <w:pPr>
              <w:pStyle w:val="TableHEADER"/>
              <w:rPr>
                <w:rFonts w:asciiTheme="minorHAnsi" w:hAnsiTheme="minorHAnsi" w:cstheme="minorHAnsi"/>
              </w:rPr>
            </w:pPr>
            <w:r w:rsidRPr="009F11B4">
              <w:rPr>
                <w:rFonts w:asciiTheme="minorHAnsi" w:hAnsiTheme="minorHAnsi" w:cstheme="minorHAnsi"/>
              </w:rPr>
              <w:t>Type of study design</w:t>
            </w:r>
          </w:p>
        </w:tc>
        <w:tc>
          <w:tcPr>
            <w:tcW w:w="813" w:type="pct"/>
          </w:tcPr>
          <w:p w14:paraId="61A06B2B" w14:textId="5128D03C" w:rsidR="00DD308E" w:rsidRPr="009F11B4" w:rsidRDefault="00DD308E" w:rsidP="00855944">
            <w:pPr>
              <w:pStyle w:val="TableHEADER"/>
              <w:rPr>
                <w:rFonts w:asciiTheme="minorHAnsi" w:hAnsiTheme="minorHAnsi" w:cstheme="minorHAnsi"/>
              </w:rPr>
            </w:pPr>
            <w:r w:rsidRPr="009F11B4">
              <w:rPr>
                <w:rFonts w:asciiTheme="minorHAnsi" w:hAnsiTheme="minorHAnsi" w:cstheme="minorHAnsi"/>
              </w:rPr>
              <w:t xml:space="preserve">Title of journal article or research project </w:t>
            </w:r>
          </w:p>
        </w:tc>
        <w:tc>
          <w:tcPr>
            <w:tcW w:w="1423" w:type="pct"/>
          </w:tcPr>
          <w:p w14:paraId="623C45A8" w14:textId="42E5EB21" w:rsidR="00DD308E" w:rsidRPr="009F11B4" w:rsidRDefault="00DD308E" w:rsidP="00855944">
            <w:pPr>
              <w:pStyle w:val="TableHEADER"/>
              <w:rPr>
                <w:rFonts w:asciiTheme="minorHAnsi" w:hAnsiTheme="minorHAnsi" w:cstheme="minorHAnsi"/>
              </w:rPr>
            </w:pPr>
            <w:r w:rsidRPr="009F11B4">
              <w:rPr>
                <w:rFonts w:asciiTheme="minorHAnsi" w:hAnsiTheme="minorHAnsi" w:cstheme="minorHAnsi"/>
              </w:rPr>
              <w:t>Short description of research</w:t>
            </w:r>
          </w:p>
        </w:tc>
        <w:tc>
          <w:tcPr>
            <w:tcW w:w="1506" w:type="pct"/>
          </w:tcPr>
          <w:p w14:paraId="3D493398" w14:textId="045A90D3" w:rsidR="00DD308E" w:rsidRPr="009F11B4" w:rsidRDefault="00DD308E" w:rsidP="00855944">
            <w:pPr>
              <w:pStyle w:val="TableHEADER"/>
              <w:rPr>
                <w:rFonts w:asciiTheme="minorHAnsi" w:hAnsiTheme="minorHAnsi" w:cstheme="minorHAnsi"/>
              </w:rPr>
            </w:pPr>
            <w:r w:rsidRPr="009F11B4">
              <w:rPr>
                <w:rFonts w:asciiTheme="minorHAnsi" w:hAnsiTheme="minorHAnsi" w:cstheme="minorHAnsi"/>
              </w:rPr>
              <w:t>Website link to journal article or research</w:t>
            </w:r>
          </w:p>
        </w:tc>
        <w:tc>
          <w:tcPr>
            <w:tcW w:w="548" w:type="pct"/>
          </w:tcPr>
          <w:p w14:paraId="3C4D27D5" w14:textId="1571FDF8" w:rsidR="00DD308E" w:rsidRPr="009F11B4" w:rsidRDefault="00DD308E" w:rsidP="00855944">
            <w:pPr>
              <w:pStyle w:val="TableHEADER"/>
              <w:rPr>
                <w:rFonts w:asciiTheme="minorHAnsi" w:hAnsiTheme="minorHAnsi" w:cstheme="minorHAnsi"/>
              </w:rPr>
            </w:pPr>
            <w:r w:rsidRPr="009F11B4">
              <w:rPr>
                <w:rFonts w:asciiTheme="minorHAnsi" w:hAnsiTheme="minorHAnsi" w:cstheme="minorHAnsi"/>
              </w:rPr>
              <w:t>Date of publication</w:t>
            </w:r>
          </w:p>
        </w:tc>
      </w:tr>
      <w:tr w:rsidR="000A0457" w14:paraId="00E312B0" w14:textId="77777777" w:rsidTr="00C82C07">
        <w:trPr>
          <w:cantSplit/>
        </w:trPr>
        <w:tc>
          <w:tcPr>
            <w:tcW w:w="201" w:type="pct"/>
          </w:tcPr>
          <w:p w14:paraId="0859D5FC" w14:textId="77777777" w:rsidR="00FE55F1" w:rsidRPr="00965B6B" w:rsidRDefault="00FE55F1" w:rsidP="00FE55F1">
            <w:pPr>
              <w:rPr>
                <w:szCs w:val="20"/>
              </w:rPr>
            </w:pPr>
            <w:r w:rsidRPr="00965B6B">
              <w:rPr>
                <w:szCs w:val="20"/>
              </w:rPr>
              <w:t>1</w:t>
            </w:r>
            <w:r>
              <w:rPr>
                <w:szCs w:val="20"/>
              </w:rPr>
              <w:t>.</w:t>
            </w:r>
          </w:p>
        </w:tc>
        <w:tc>
          <w:tcPr>
            <w:tcW w:w="509" w:type="pct"/>
          </w:tcPr>
          <w:p w14:paraId="7972CB6E" w14:textId="5FF4514A" w:rsidR="00FE55F1" w:rsidRPr="009F11B4" w:rsidRDefault="00FE55F1" w:rsidP="00FE55F1">
            <w:pPr>
              <w:rPr>
                <w:rFonts w:cstheme="minorHAnsi"/>
                <w:bCs/>
                <w:szCs w:val="20"/>
              </w:rPr>
            </w:pPr>
            <w:r w:rsidRPr="009F11B4">
              <w:rPr>
                <w:rFonts w:cstheme="minorHAnsi"/>
                <w:bCs/>
                <w:szCs w:val="20"/>
              </w:rPr>
              <w:t>Invited review</w:t>
            </w:r>
          </w:p>
        </w:tc>
        <w:tc>
          <w:tcPr>
            <w:tcW w:w="813" w:type="pct"/>
          </w:tcPr>
          <w:p w14:paraId="43F34594" w14:textId="3ADF648B" w:rsidR="00FE55F1" w:rsidRPr="009F11B4" w:rsidRDefault="00FE55F1" w:rsidP="00FE55F1">
            <w:pPr>
              <w:rPr>
                <w:rFonts w:cstheme="minorHAnsi"/>
                <w:bCs/>
                <w:szCs w:val="20"/>
              </w:rPr>
            </w:pPr>
            <w:r w:rsidRPr="009F11B4">
              <w:rPr>
                <w:rFonts w:cstheme="minorHAnsi"/>
                <w:bCs/>
                <w:color w:val="323130"/>
                <w:szCs w:val="20"/>
                <w:lang w:eastAsia="en-GB"/>
              </w:rPr>
              <w:t>Mitochondrial disease in adults: recent advances and future promise</w:t>
            </w:r>
          </w:p>
        </w:tc>
        <w:tc>
          <w:tcPr>
            <w:tcW w:w="1423" w:type="pct"/>
          </w:tcPr>
          <w:p w14:paraId="66C11A1A" w14:textId="2720F393" w:rsidR="00FE55F1" w:rsidRPr="009F11B4" w:rsidRDefault="00FE55F1" w:rsidP="00FE55F1">
            <w:pPr>
              <w:rPr>
                <w:rFonts w:cstheme="minorHAnsi"/>
                <w:bCs/>
                <w:szCs w:val="20"/>
              </w:rPr>
            </w:pPr>
            <w:r w:rsidRPr="009F11B4">
              <w:rPr>
                <w:rFonts w:eastAsia="Times New Roman" w:cstheme="minorHAnsi"/>
                <w:bCs/>
                <w:color w:val="201F1E"/>
                <w:szCs w:val="20"/>
              </w:rPr>
              <w:t>Recent review highlighting advances in high-throughput sequencing technolog</w:t>
            </w:r>
            <w:r w:rsidRPr="009F11B4">
              <w:rPr>
                <w:rFonts w:eastAsia="Times New Roman" w:cstheme="minorHAnsi"/>
                <w:bCs/>
                <w:color w:val="000000" w:themeColor="text1"/>
                <w:szCs w:val="20"/>
              </w:rPr>
              <w:t>ies</w:t>
            </w:r>
            <w:r w:rsidRPr="009F11B4">
              <w:rPr>
                <w:rFonts w:eastAsia="Times New Roman" w:cstheme="minorHAnsi"/>
                <w:bCs/>
                <w:color w:val="201F1E"/>
                <w:szCs w:val="20"/>
              </w:rPr>
              <w:t xml:space="preserve"> have changed the diagnosis of mitochondrial disease to using a “genetics first” approach and have identified &gt;300 disease-causing genes.</w:t>
            </w:r>
          </w:p>
        </w:tc>
        <w:tc>
          <w:tcPr>
            <w:tcW w:w="1506" w:type="pct"/>
          </w:tcPr>
          <w:p w14:paraId="44B14218" w14:textId="4B1DA9AF" w:rsidR="00FE55F1" w:rsidRDefault="00DE214A" w:rsidP="00DE214A">
            <w:pPr>
              <w:rPr>
                <w:rFonts w:cstheme="minorHAnsi"/>
                <w:bCs/>
                <w:szCs w:val="20"/>
              </w:rPr>
            </w:pPr>
            <w:bookmarkStart w:id="3" w:name="_Hlk67473554"/>
            <w:r w:rsidRPr="00DE214A">
              <w:rPr>
                <w:rFonts w:cstheme="minorHAnsi"/>
                <w:bCs/>
                <w:szCs w:val="20"/>
              </w:rPr>
              <w:t xml:space="preserve">Ng et al., </w:t>
            </w:r>
            <w:r w:rsidR="005C6883">
              <w:rPr>
                <w:rFonts w:cstheme="minorHAnsi"/>
                <w:bCs/>
                <w:szCs w:val="20"/>
              </w:rPr>
              <w:t xml:space="preserve">2021. </w:t>
            </w:r>
            <w:r w:rsidRPr="00DE214A">
              <w:rPr>
                <w:rFonts w:cstheme="minorHAnsi"/>
                <w:bCs/>
                <w:szCs w:val="20"/>
              </w:rPr>
              <w:t>Lancet Neurology</w:t>
            </w:r>
            <w:r w:rsidR="005C6883">
              <w:rPr>
                <w:rFonts w:cstheme="minorHAnsi"/>
                <w:bCs/>
                <w:szCs w:val="20"/>
              </w:rPr>
              <w:t xml:space="preserve">. </w:t>
            </w:r>
            <w:r w:rsidRPr="00DE214A">
              <w:rPr>
                <w:rFonts w:cstheme="minorHAnsi"/>
                <w:bCs/>
                <w:szCs w:val="20"/>
              </w:rPr>
              <w:t xml:space="preserve"> Jul;20(7):573-584</w:t>
            </w:r>
            <w:r>
              <w:rPr>
                <w:rFonts w:cstheme="minorHAnsi"/>
                <w:bCs/>
                <w:szCs w:val="20"/>
              </w:rPr>
              <w:t xml:space="preserve"> </w:t>
            </w:r>
            <w:hyperlink r:id="rId12" w:history="1">
              <w:r w:rsidR="009F5E34" w:rsidRPr="008B27D4">
                <w:rPr>
                  <w:rStyle w:val="Hyperlink"/>
                  <w:rFonts w:cstheme="minorHAnsi"/>
                  <w:bCs/>
                  <w:szCs w:val="20"/>
                </w:rPr>
                <w:t>https://www.thelancet.com/journals/laneur/article/PIIS1474-4422(21)00098-3/fulltext</w:t>
              </w:r>
            </w:hyperlink>
            <w:bookmarkEnd w:id="3"/>
          </w:p>
          <w:p w14:paraId="19134166" w14:textId="48501E8F" w:rsidR="009F5E34" w:rsidRPr="009F11B4" w:rsidRDefault="009F5E34" w:rsidP="00DE214A">
            <w:pPr>
              <w:rPr>
                <w:rFonts w:cstheme="minorHAnsi"/>
                <w:bCs/>
                <w:szCs w:val="20"/>
              </w:rPr>
            </w:pPr>
          </w:p>
        </w:tc>
        <w:tc>
          <w:tcPr>
            <w:tcW w:w="548" w:type="pct"/>
          </w:tcPr>
          <w:p w14:paraId="67A1C2E8" w14:textId="2D646A9E" w:rsidR="00413C2A" w:rsidRDefault="00625988" w:rsidP="00FE55F1">
            <w:pPr>
              <w:rPr>
                <w:rFonts w:cstheme="minorHAnsi"/>
                <w:bCs/>
                <w:szCs w:val="20"/>
              </w:rPr>
            </w:pPr>
            <w:r>
              <w:rPr>
                <w:rFonts w:cstheme="minorHAnsi"/>
                <w:bCs/>
                <w:szCs w:val="20"/>
              </w:rPr>
              <w:t>July 2021</w:t>
            </w:r>
          </w:p>
          <w:p w14:paraId="12C09364" w14:textId="0E5E7DF4" w:rsidR="003E3E01" w:rsidRPr="009F11B4" w:rsidRDefault="003E3E01" w:rsidP="00FE55F1">
            <w:pPr>
              <w:rPr>
                <w:rFonts w:cstheme="minorHAnsi"/>
                <w:bCs/>
                <w:szCs w:val="20"/>
              </w:rPr>
            </w:pPr>
          </w:p>
        </w:tc>
      </w:tr>
      <w:tr w:rsidR="000A0457" w14:paraId="421EA309" w14:textId="77777777" w:rsidTr="00C82C07">
        <w:trPr>
          <w:cantSplit/>
        </w:trPr>
        <w:tc>
          <w:tcPr>
            <w:tcW w:w="201" w:type="pct"/>
          </w:tcPr>
          <w:p w14:paraId="2250959F" w14:textId="77777777" w:rsidR="00FE55F1" w:rsidRPr="00965B6B" w:rsidRDefault="00FE55F1" w:rsidP="00FE55F1">
            <w:pPr>
              <w:rPr>
                <w:szCs w:val="20"/>
              </w:rPr>
            </w:pPr>
            <w:r>
              <w:rPr>
                <w:szCs w:val="20"/>
              </w:rPr>
              <w:t>2.</w:t>
            </w:r>
          </w:p>
        </w:tc>
        <w:tc>
          <w:tcPr>
            <w:tcW w:w="509" w:type="pct"/>
          </w:tcPr>
          <w:p w14:paraId="0888CAA2" w14:textId="4ECDBF56" w:rsidR="00FE55F1" w:rsidRPr="009F11B4" w:rsidRDefault="00FE55F1" w:rsidP="00FE55F1">
            <w:pPr>
              <w:rPr>
                <w:rFonts w:cstheme="minorHAnsi"/>
                <w:bCs/>
                <w:szCs w:val="20"/>
              </w:rPr>
            </w:pPr>
            <w:r w:rsidRPr="009F11B4">
              <w:rPr>
                <w:rFonts w:cstheme="minorHAnsi"/>
                <w:bCs/>
                <w:szCs w:val="20"/>
              </w:rPr>
              <w:t>Invited review</w:t>
            </w:r>
          </w:p>
        </w:tc>
        <w:tc>
          <w:tcPr>
            <w:tcW w:w="813" w:type="pct"/>
          </w:tcPr>
          <w:p w14:paraId="02D26DFA" w14:textId="5D7B70FF" w:rsidR="00FE55F1" w:rsidRPr="009F11B4" w:rsidRDefault="00FE55F1" w:rsidP="00FE55F1">
            <w:pPr>
              <w:rPr>
                <w:rFonts w:cstheme="minorHAnsi"/>
                <w:bCs/>
                <w:szCs w:val="20"/>
              </w:rPr>
            </w:pPr>
            <w:r w:rsidRPr="009F11B4">
              <w:rPr>
                <w:rFonts w:cstheme="minorHAnsi"/>
                <w:bCs/>
                <w:szCs w:val="20"/>
              </w:rPr>
              <w:t>The broadening spectrum of mitochondrial disease- shifting the diagnostic paradigm</w:t>
            </w:r>
          </w:p>
        </w:tc>
        <w:tc>
          <w:tcPr>
            <w:tcW w:w="1423" w:type="pct"/>
          </w:tcPr>
          <w:p w14:paraId="0A67A9ED" w14:textId="77777777" w:rsidR="00FE55F1" w:rsidRPr="009F11B4" w:rsidRDefault="00FE55F1" w:rsidP="00FE55F1">
            <w:pPr>
              <w:spacing w:before="0" w:after="0"/>
              <w:rPr>
                <w:rFonts w:cstheme="minorHAnsi"/>
                <w:bCs/>
                <w:szCs w:val="20"/>
              </w:rPr>
            </w:pPr>
            <w:r w:rsidRPr="009F11B4">
              <w:rPr>
                <w:rFonts w:cstheme="minorHAnsi"/>
                <w:bCs/>
                <w:color w:val="212121"/>
                <w:szCs w:val="20"/>
                <w:shd w:val="clear" w:color="auto" w:fill="FFFFFF"/>
              </w:rPr>
              <w:t>Invited review of the use of next generation sequencing techniques, that affected patients access to achieve earlier molecular diagnosis and management.</w:t>
            </w:r>
          </w:p>
          <w:p w14:paraId="5DD1C5BB" w14:textId="5C1DED6E" w:rsidR="00FE55F1" w:rsidRPr="009F11B4" w:rsidRDefault="00FE55F1" w:rsidP="00FE55F1">
            <w:pPr>
              <w:rPr>
                <w:rFonts w:cstheme="minorHAnsi"/>
                <w:bCs/>
                <w:szCs w:val="20"/>
              </w:rPr>
            </w:pPr>
          </w:p>
        </w:tc>
        <w:tc>
          <w:tcPr>
            <w:tcW w:w="1506" w:type="pct"/>
          </w:tcPr>
          <w:p w14:paraId="4199D666" w14:textId="555F950E" w:rsidR="005C6883" w:rsidRPr="005C6883" w:rsidRDefault="00B05CB4" w:rsidP="005C6883">
            <w:pPr>
              <w:rPr>
                <w:rFonts w:cstheme="minorHAnsi"/>
                <w:bCs/>
                <w:szCs w:val="20"/>
              </w:rPr>
            </w:pPr>
            <w:r w:rsidRPr="00B05CB4">
              <w:rPr>
                <w:rFonts w:cstheme="minorHAnsi"/>
                <w:bCs/>
                <w:szCs w:val="20"/>
              </w:rPr>
              <w:t xml:space="preserve">Liang et al., </w:t>
            </w:r>
            <w:r w:rsidR="005C6883">
              <w:rPr>
                <w:rFonts w:cstheme="minorHAnsi"/>
                <w:bCs/>
                <w:szCs w:val="20"/>
              </w:rPr>
              <w:t xml:space="preserve">2014. </w:t>
            </w:r>
            <w:proofErr w:type="spellStart"/>
            <w:r w:rsidR="005C6883" w:rsidRPr="005C6883">
              <w:rPr>
                <w:rFonts w:cstheme="minorHAnsi"/>
                <w:bCs/>
                <w:szCs w:val="20"/>
              </w:rPr>
              <w:t>Biochimica</w:t>
            </w:r>
            <w:proofErr w:type="spellEnd"/>
            <w:r w:rsidR="005C6883" w:rsidRPr="005C6883">
              <w:rPr>
                <w:rFonts w:cstheme="minorHAnsi"/>
                <w:bCs/>
                <w:szCs w:val="20"/>
              </w:rPr>
              <w:t xml:space="preserve"> et </w:t>
            </w:r>
            <w:proofErr w:type="spellStart"/>
            <w:r w:rsidR="005C6883" w:rsidRPr="005C6883">
              <w:rPr>
                <w:rFonts w:cstheme="minorHAnsi"/>
                <w:bCs/>
                <w:szCs w:val="20"/>
              </w:rPr>
              <w:t>Biophysica</w:t>
            </w:r>
            <w:proofErr w:type="spellEnd"/>
            <w:r w:rsidR="005C6883" w:rsidRPr="005C6883">
              <w:rPr>
                <w:rFonts w:cstheme="minorHAnsi"/>
                <w:bCs/>
                <w:szCs w:val="20"/>
              </w:rPr>
              <w:t xml:space="preserve"> Acta (BBA) - General Subjects,</w:t>
            </w:r>
            <w:r w:rsidR="005C6883">
              <w:rPr>
                <w:rFonts w:cstheme="minorHAnsi"/>
                <w:bCs/>
                <w:szCs w:val="20"/>
              </w:rPr>
              <w:t xml:space="preserve"> Vol:</w:t>
            </w:r>
            <w:r w:rsidR="005C6883" w:rsidRPr="005C6883">
              <w:rPr>
                <w:rFonts w:cstheme="minorHAnsi"/>
                <w:bCs/>
                <w:szCs w:val="20"/>
              </w:rPr>
              <w:t>1840</w:t>
            </w:r>
            <w:r w:rsidR="005C6883">
              <w:rPr>
                <w:rFonts w:cstheme="minorHAnsi"/>
                <w:bCs/>
                <w:szCs w:val="20"/>
              </w:rPr>
              <w:t>(</w:t>
            </w:r>
            <w:r w:rsidR="005C6883" w:rsidRPr="005C6883">
              <w:rPr>
                <w:rFonts w:cstheme="minorHAnsi"/>
                <w:bCs/>
                <w:szCs w:val="20"/>
              </w:rPr>
              <w:t>4</w:t>
            </w:r>
            <w:r w:rsidR="005C6883">
              <w:rPr>
                <w:rFonts w:cstheme="minorHAnsi"/>
                <w:bCs/>
                <w:szCs w:val="20"/>
              </w:rPr>
              <w:t>)</w:t>
            </w:r>
            <w:r w:rsidR="005C6883" w:rsidRPr="005C6883">
              <w:rPr>
                <w:rFonts w:cstheme="minorHAnsi"/>
                <w:bCs/>
                <w:szCs w:val="20"/>
              </w:rPr>
              <w:t>,</w:t>
            </w:r>
            <w:r w:rsidR="005C6883">
              <w:rPr>
                <w:rFonts w:cstheme="minorHAnsi"/>
                <w:bCs/>
                <w:szCs w:val="20"/>
              </w:rPr>
              <w:t xml:space="preserve"> pp</w:t>
            </w:r>
            <w:r w:rsidR="005C6883" w:rsidRPr="005C6883">
              <w:rPr>
                <w:rFonts w:cstheme="minorHAnsi"/>
                <w:bCs/>
                <w:szCs w:val="20"/>
              </w:rPr>
              <w:t>1360-1367,</w:t>
            </w:r>
            <w:r w:rsidR="005C6883">
              <w:rPr>
                <w:rFonts w:cstheme="minorHAnsi"/>
                <w:bCs/>
                <w:szCs w:val="20"/>
              </w:rPr>
              <w:t xml:space="preserve"> </w:t>
            </w:r>
            <w:r w:rsidR="005C6883" w:rsidRPr="005C6883">
              <w:rPr>
                <w:rFonts w:cstheme="minorHAnsi"/>
                <w:bCs/>
                <w:szCs w:val="20"/>
              </w:rPr>
              <w:t>ISSN 0304-4165</w:t>
            </w:r>
          </w:p>
          <w:p w14:paraId="539B7814" w14:textId="0C297955" w:rsidR="00FE55F1" w:rsidRPr="009F11B4" w:rsidRDefault="00913B21" w:rsidP="005C6883">
            <w:pPr>
              <w:rPr>
                <w:rFonts w:cstheme="minorHAnsi"/>
                <w:bCs/>
                <w:szCs w:val="20"/>
              </w:rPr>
            </w:pPr>
            <w:hyperlink r:id="rId13" w:history="1">
              <w:r w:rsidR="009F5E34" w:rsidRPr="008B27D4">
                <w:rPr>
                  <w:rStyle w:val="Hyperlink"/>
                  <w:rFonts w:cstheme="minorHAnsi"/>
                  <w:bCs/>
                  <w:szCs w:val="20"/>
                </w:rPr>
                <w:t>https://doi.org/10.1016/j.bbagen.2013.10.040</w:t>
              </w:r>
            </w:hyperlink>
            <w:r w:rsidR="005C6883" w:rsidRPr="005C6883">
              <w:rPr>
                <w:rFonts w:cstheme="minorHAnsi"/>
                <w:bCs/>
                <w:szCs w:val="20"/>
              </w:rPr>
              <w:t xml:space="preserve"> </w:t>
            </w:r>
          </w:p>
        </w:tc>
        <w:tc>
          <w:tcPr>
            <w:tcW w:w="548" w:type="pct"/>
          </w:tcPr>
          <w:p w14:paraId="0E5A87F6" w14:textId="1BF05EC7" w:rsidR="00FE55F1" w:rsidRPr="009F11B4" w:rsidRDefault="005C6883" w:rsidP="00FE55F1">
            <w:pPr>
              <w:rPr>
                <w:rFonts w:cstheme="minorHAnsi"/>
                <w:bCs/>
                <w:szCs w:val="20"/>
              </w:rPr>
            </w:pPr>
            <w:r>
              <w:rPr>
                <w:rFonts w:cstheme="minorHAnsi"/>
                <w:bCs/>
                <w:szCs w:val="20"/>
              </w:rPr>
              <w:t xml:space="preserve">April </w:t>
            </w:r>
            <w:r w:rsidR="00FE55F1" w:rsidRPr="009F11B4">
              <w:rPr>
                <w:rFonts w:cstheme="minorHAnsi"/>
                <w:bCs/>
                <w:szCs w:val="20"/>
              </w:rPr>
              <w:t>2014</w:t>
            </w:r>
          </w:p>
        </w:tc>
      </w:tr>
      <w:tr w:rsidR="000A0457" w14:paraId="626B76D1" w14:textId="77777777" w:rsidTr="00C82C07">
        <w:trPr>
          <w:cantSplit/>
        </w:trPr>
        <w:tc>
          <w:tcPr>
            <w:tcW w:w="201" w:type="pct"/>
          </w:tcPr>
          <w:p w14:paraId="2C6172BA" w14:textId="77777777" w:rsidR="00FE55F1" w:rsidRPr="00965B6B" w:rsidRDefault="00FE55F1" w:rsidP="00FE55F1">
            <w:pPr>
              <w:rPr>
                <w:szCs w:val="20"/>
              </w:rPr>
            </w:pPr>
            <w:r>
              <w:rPr>
                <w:szCs w:val="20"/>
              </w:rPr>
              <w:t>3.</w:t>
            </w:r>
          </w:p>
        </w:tc>
        <w:tc>
          <w:tcPr>
            <w:tcW w:w="509" w:type="pct"/>
          </w:tcPr>
          <w:p w14:paraId="317B16F9" w14:textId="64CFCDB4" w:rsidR="00FE55F1" w:rsidRPr="009F11B4" w:rsidRDefault="00FE55F1" w:rsidP="00FE55F1">
            <w:pPr>
              <w:rPr>
                <w:rFonts w:cstheme="minorHAnsi"/>
                <w:bCs/>
                <w:szCs w:val="20"/>
              </w:rPr>
            </w:pPr>
            <w:r w:rsidRPr="009F11B4">
              <w:rPr>
                <w:rFonts w:cstheme="minorHAnsi"/>
                <w:bCs/>
                <w:szCs w:val="20"/>
              </w:rPr>
              <w:t xml:space="preserve">Invited review </w:t>
            </w:r>
          </w:p>
        </w:tc>
        <w:tc>
          <w:tcPr>
            <w:tcW w:w="813" w:type="pct"/>
          </w:tcPr>
          <w:p w14:paraId="5A2D1A48" w14:textId="131371FF" w:rsidR="00FE55F1" w:rsidRPr="009F11B4" w:rsidRDefault="00FE55F1" w:rsidP="00FE55F1">
            <w:pPr>
              <w:rPr>
                <w:rFonts w:cstheme="minorHAnsi"/>
                <w:bCs/>
                <w:szCs w:val="20"/>
              </w:rPr>
            </w:pPr>
            <w:r w:rsidRPr="009F11B4">
              <w:rPr>
                <w:rFonts w:cstheme="minorHAnsi"/>
                <w:bCs/>
                <w:szCs w:val="20"/>
              </w:rPr>
              <w:t>New Diagnostic pathways for mitochondrial disease</w:t>
            </w:r>
          </w:p>
        </w:tc>
        <w:tc>
          <w:tcPr>
            <w:tcW w:w="1423" w:type="pct"/>
          </w:tcPr>
          <w:p w14:paraId="0F563578" w14:textId="58A0B7DD" w:rsidR="00FE55F1" w:rsidRPr="009F11B4" w:rsidRDefault="00FE55F1" w:rsidP="00FE55F1">
            <w:pPr>
              <w:rPr>
                <w:rFonts w:cstheme="minorHAnsi"/>
                <w:bCs/>
                <w:szCs w:val="20"/>
              </w:rPr>
            </w:pPr>
            <w:r w:rsidRPr="009F11B4">
              <w:rPr>
                <w:rFonts w:cstheme="minorHAnsi"/>
                <w:bCs/>
                <w:szCs w:val="20"/>
              </w:rPr>
              <w:t xml:space="preserve">Review demonstrating a </w:t>
            </w:r>
            <w:r w:rsidRPr="009F11B4">
              <w:rPr>
                <w:rFonts w:cstheme="minorHAnsi"/>
                <w:bCs/>
                <w:color w:val="474647"/>
                <w:szCs w:val="20"/>
              </w:rPr>
              <w:t xml:space="preserve">minimally invasive “genetics first” approach using whole genome sequencing to </w:t>
            </w:r>
            <w:r w:rsidR="000A4D89">
              <w:rPr>
                <w:rFonts w:cstheme="minorHAnsi"/>
                <w:bCs/>
                <w:color w:val="474647"/>
                <w:szCs w:val="20"/>
              </w:rPr>
              <w:t>“</w:t>
            </w:r>
            <w:r w:rsidRPr="009F11B4">
              <w:rPr>
                <w:rFonts w:cstheme="minorHAnsi"/>
                <w:bCs/>
                <w:color w:val="474647"/>
                <w:szCs w:val="20"/>
              </w:rPr>
              <w:t>improve diagnostic yield and streamline diagnosis, leaving invasive investigations to address diagnostic challenges and functional validation of novel variants</w:t>
            </w:r>
            <w:r w:rsidR="000A4D89">
              <w:rPr>
                <w:rFonts w:cstheme="minorHAnsi"/>
                <w:bCs/>
                <w:color w:val="474647"/>
                <w:szCs w:val="20"/>
              </w:rPr>
              <w:t>”</w:t>
            </w:r>
            <w:r w:rsidRPr="009F11B4">
              <w:rPr>
                <w:rFonts w:cstheme="minorHAnsi"/>
                <w:bCs/>
                <w:color w:val="474647"/>
                <w:szCs w:val="20"/>
              </w:rPr>
              <w:t>.</w:t>
            </w:r>
          </w:p>
        </w:tc>
        <w:tc>
          <w:tcPr>
            <w:tcW w:w="1506" w:type="pct"/>
          </w:tcPr>
          <w:p w14:paraId="29DA9CE2" w14:textId="20C2FDE8" w:rsidR="009F5E34" w:rsidRDefault="005C6883" w:rsidP="005C6883">
            <w:pPr>
              <w:rPr>
                <w:rFonts w:cstheme="minorHAnsi"/>
                <w:bCs/>
                <w:szCs w:val="20"/>
              </w:rPr>
            </w:pPr>
            <w:r w:rsidRPr="005C6883">
              <w:rPr>
                <w:rFonts w:cstheme="minorHAnsi"/>
                <w:bCs/>
                <w:szCs w:val="20"/>
              </w:rPr>
              <w:t>Watson et al</w:t>
            </w:r>
            <w:r>
              <w:rPr>
                <w:rFonts w:cstheme="minorHAnsi"/>
                <w:bCs/>
                <w:szCs w:val="20"/>
              </w:rPr>
              <w:t>., 2020.</w:t>
            </w:r>
            <w:r w:rsidRPr="005C6883">
              <w:rPr>
                <w:rFonts w:cstheme="minorHAnsi"/>
                <w:bCs/>
                <w:szCs w:val="20"/>
              </w:rPr>
              <w:t xml:space="preserve"> Journal Of Translational Genetics </w:t>
            </w:r>
            <w:r>
              <w:rPr>
                <w:rFonts w:cstheme="minorHAnsi"/>
                <w:bCs/>
                <w:szCs w:val="20"/>
              </w:rPr>
              <w:t>a</w:t>
            </w:r>
            <w:r w:rsidRPr="005C6883">
              <w:rPr>
                <w:rFonts w:cstheme="minorHAnsi"/>
                <w:bCs/>
                <w:szCs w:val="20"/>
              </w:rPr>
              <w:t>nd Genomics</w:t>
            </w:r>
            <w:r>
              <w:rPr>
                <w:rFonts w:cstheme="minorHAnsi"/>
                <w:bCs/>
                <w:szCs w:val="20"/>
              </w:rPr>
              <w:t xml:space="preserve">. </w:t>
            </w:r>
            <w:r w:rsidRPr="005C6883">
              <w:rPr>
                <w:rFonts w:cstheme="minorHAnsi"/>
                <w:bCs/>
                <w:szCs w:val="20"/>
              </w:rPr>
              <w:t xml:space="preserve"> </w:t>
            </w:r>
            <w:hyperlink r:id="rId14" w:history="1">
              <w:r w:rsidR="009F5E34" w:rsidRPr="008B27D4">
                <w:rPr>
                  <w:rStyle w:val="Hyperlink"/>
                  <w:rFonts w:cstheme="minorHAnsi"/>
                  <w:bCs/>
                  <w:szCs w:val="20"/>
                </w:rPr>
                <w:t>https://</w:t>
              </w:r>
              <w:r w:rsidR="009F5E34" w:rsidRPr="005C6883">
                <w:rPr>
                  <w:rStyle w:val="Hyperlink"/>
                  <w:rFonts w:cstheme="minorHAnsi"/>
                  <w:bCs/>
                  <w:szCs w:val="20"/>
                </w:rPr>
                <w:t>doi:10.20517/jtgg.2020.31</w:t>
              </w:r>
            </w:hyperlink>
            <w:r w:rsidRPr="005C6883">
              <w:rPr>
                <w:rFonts w:cstheme="minorHAnsi"/>
                <w:bCs/>
                <w:szCs w:val="20"/>
              </w:rPr>
              <w:t>.</w:t>
            </w:r>
          </w:p>
          <w:p w14:paraId="7C971417" w14:textId="2E2057F2" w:rsidR="005C6883" w:rsidRPr="005C6883" w:rsidRDefault="005C6883" w:rsidP="005C6883">
            <w:pPr>
              <w:rPr>
                <w:rFonts w:cstheme="minorHAnsi"/>
                <w:bCs/>
                <w:szCs w:val="20"/>
              </w:rPr>
            </w:pPr>
            <w:r w:rsidRPr="005C6883">
              <w:rPr>
                <w:rFonts w:cstheme="minorHAnsi"/>
                <w:bCs/>
                <w:szCs w:val="20"/>
              </w:rPr>
              <w:t xml:space="preserve"> </w:t>
            </w:r>
          </w:p>
          <w:p w14:paraId="51F8C50A" w14:textId="77777777" w:rsidR="005C6883" w:rsidRDefault="005C6883" w:rsidP="00FE55F1">
            <w:pPr>
              <w:rPr>
                <w:rFonts w:cstheme="minorHAnsi"/>
                <w:bCs/>
                <w:szCs w:val="20"/>
              </w:rPr>
            </w:pPr>
          </w:p>
          <w:p w14:paraId="794DF2FD" w14:textId="4DF7E2B4" w:rsidR="00FE55F1" w:rsidRPr="009F11B4" w:rsidRDefault="00FE55F1" w:rsidP="00FE55F1">
            <w:pPr>
              <w:rPr>
                <w:rFonts w:cstheme="minorHAnsi"/>
                <w:bCs/>
                <w:szCs w:val="20"/>
              </w:rPr>
            </w:pPr>
          </w:p>
        </w:tc>
        <w:tc>
          <w:tcPr>
            <w:tcW w:w="548" w:type="pct"/>
          </w:tcPr>
          <w:p w14:paraId="3E6FCF2B" w14:textId="5FFAB705" w:rsidR="00FE55F1" w:rsidRPr="009F11B4" w:rsidRDefault="00FE55F1" w:rsidP="00FE55F1">
            <w:pPr>
              <w:rPr>
                <w:rFonts w:cstheme="minorHAnsi"/>
                <w:bCs/>
                <w:szCs w:val="20"/>
              </w:rPr>
            </w:pPr>
            <w:r w:rsidRPr="009F11B4">
              <w:rPr>
                <w:rFonts w:cstheme="minorHAnsi"/>
                <w:bCs/>
                <w:szCs w:val="20"/>
              </w:rPr>
              <w:t>June 2020</w:t>
            </w:r>
          </w:p>
        </w:tc>
      </w:tr>
      <w:tr w:rsidR="000A0457" w14:paraId="51891101" w14:textId="77777777" w:rsidTr="00C82C07">
        <w:trPr>
          <w:cantSplit/>
        </w:trPr>
        <w:tc>
          <w:tcPr>
            <w:tcW w:w="201" w:type="pct"/>
          </w:tcPr>
          <w:p w14:paraId="4FBA13BB" w14:textId="77777777" w:rsidR="00FE55F1" w:rsidRPr="00965B6B" w:rsidRDefault="00FE55F1" w:rsidP="00FE55F1">
            <w:pPr>
              <w:rPr>
                <w:szCs w:val="20"/>
              </w:rPr>
            </w:pPr>
            <w:r>
              <w:rPr>
                <w:szCs w:val="20"/>
              </w:rPr>
              <w:t>4.</w:t>
            </w:r>
          </w:p>
        </w:tc>
        <w:tc>
          <w:tcPr>
            <w:tcW w:w="509" w:type="pct"/>
          </w:tcPr>
          <w:p w14:paraId="3093C4AD" w14:textId="66FF1AC3" w:rsidR="00FE55F1" w:rsidRPr="00FE55F1" w:rsidRDefault="00CF0BBF" w:rsidP="00FE55F1">
            <w:pPr>
              <w:rPr>
                <w:rFonts w:cstheme="minorHAnsi"/>
                <w:bCs/>
                <w:szCs w:val="20"/>
              </w:rPr>
            </w:pPr>
            <w:r>
              <w:rPr>
                <w:rFonts w:cstheme="minorHAnsi"/>
                <w:szCs w:val="20"/>
              </w:rPr>
              <w:t>Cohort study</w:t>
            </w:r>
          </w:p>
        </w:tc>
        <w:tc>
          <w:tcPr>
            <w:tcW w:w="813" w:type="pct"/>
          </w:tcPr>
          <w:p w14:paraId="2FECEF39" w14:textId="698E9F6B" w:rsidR="00FE55F1" w:rsidRPr="00C3615D" w:rsidRDefault="00913B21" w:rsidP="00C3615D">
            <w:pPr>
              <w:spacing w:before="0" w:after="0"/>
              <w:rPr>
                <w:rFonts w:cs="Calibri (Body)"/>
                <w:szCs w:val="20"/>
              </w:rPr>
            </w:pPr>
            <w:hyperlink r:id="rId15" w:tooltip="https://pubmed.ncbi.nlm.nih.gov/32313153/" w:history="1">
              <w:r w:rsidR="00CF0BBF" w:rsidRPr="00481FD9">
                <w:rPr>
                  <w:rStyle w:val="Hyperlink"/>
                  <w:rFonts w:cs="Calibri (Body)"/>
                  <w:color w:val="auto"/>
                  <w:szCs w:val="20"/>
                  <w:u w:val="none"/>
                </w:rPr>
                <w:t xml:space="preserve">The diagnostic utility of genome sequencing in a </w:t>
              </w:r>
              <w:r w:rsidR="00625988" w:rsidRPr="00481FD9">
                <w:rPr>
                  <w:rStyle w:val="Hyperlink"/>
                  <w:rFonts w:cs="Calibri (Body)"/>
                  <w:color w:val="auto"/>
                  <w:szCs w:val="20"/>
                  <w:u w:val="none"/>
                </w:rPr>
                <w:t>paediatric</w:t>
              </w:r>
              <w:r w:rsidR="00CF0BBF" w:rsidRPr="00481FD9">
                <w:rPr>
                  <w:rStyle w:val="Hyperlink"/>
                  <w:rFonts w:cs="Calibri (Body)"/>
                  <w:color w:val="auto"/>
                  <w:szCs w:val="20"/>
                  <w:u w:val="none"/>
                </w:rPr>
                <w:t xml:space="preserve"> cohort with suspected mitochondrial disease.</w:t>
              </w:r>
            </w:hyperlink>
          </w:p>
        </w:tc>
        <w:tc>
          <w:tcPr>
            <w:tcW w:w="1423" w:type="pct"/>
          </w:tcPr>
          <w:p w14:paraId="2FA23766" w14:textId="210CFE6C" w:rsidR="00FE55F1" w:rsidRPr="00FE55F1" w:rsidRDefault="00CF0BBF" w:rsidP="00FE55F1">
            <w:pPr>
              <w:rPr>
                <w:rFonts w:cstheme="minorHAnsi"/>
                <w:bCs/>
                <w:szCs w:val="20"/>
              </w:rPr>
            </w:pPr>
            <w:r>
              <w:rPr>
                <w:rFonts w:cstheme="minorHAnsi"/>
                <w:szCs w:val="20"/>
              </w:rPr>
              <w:t xml:space="preserve">WGS performed on 40 patients with mitochondrial disease demonstrating that </w:t>
            </w:r>
            <w:r w:rsidR="00B27F94">
              <w:rPr>
                <w:rFonts w:cstheme="minorHAnsi"/>
                <w:szCs w:val="20"/>
              </w:rPr>
              <w:t>diagnosis could be reached in 55% cases</w:t>
            </w:r>
            <w:r w:rsidR="00FE55F1" w:rsidRPr="00FE55F1">
              <w:rPr>
                <w:rFonts w:cstheme="minorHAnsi"/>
                <w:szCs w:val="20"/>
              </w:rPr>
              <w:t>.</w:t>
            </w:r>
          </w:p>
        </w:tc>
        <w:tc>
          <w:tcPr>
            <w:tcW w:w="1506" w:type="pct"/>
          </w:tcPr>
          <w:p w14:paraId="71249677" w14:textId="77777777" w:rsidR="009F5E34" w:rsidRDefault="00C3615D" w:rsidP="00FE55F1">
            <w:pPr>
              <w:rPr>
                <w:rFonts w:cstheme="minorHAnsi"/>
                <w:bCs/>
                <w:szCs w:val="20"/>
              </w:rPr>
            </w:pPr>
            <w:r w:rsidRPr="00C3615D">
              <w:rPr>
                <w:rFonts w:cstheme="minorHAnsi"/>
                <w:bCs/>
                <w:szCs w:val="20"/>
              </w:rPr>
              <w:t>Riley</w:t>
            </w:r>
            <w:r>
              <w:rPr>
                <w:rFonts w:cstheme="minorHAnsi"/>
                <w:bCs/>
                <w:szCs w:val="20"/>
              </w:rPr>
              <w:t xml:space="preserve"> et al., 2020</w:t>
            </w:r>
            <w:r w:rsidRPr="00C3615D">
              <w:rPr>
                <w:rFonts w:cstheme="minorHAnsi"/>
                <w:bCs/>
                <w:i/>
                <w:iCs/>
                <w:szCs w:val="20"/>
              </w:rPr>
              <w:t>.</w:t>
            </w:r>
            <w:r w:rsidRPr="00C3615D">
              <w:rPr>
                <w:rFonts w:cstheme="minorHAnsi"/>
                <w:bCs/>
                <w:szCs w:val="20"/>
              </w:rPr>
              <w:t> Genet Med </w:t>
            </w:r>
            <w:r w:rsidRPr="00C3615D">
              <w:rPr>
                <w:rFonts w:cstheme="minorHAnsi"/>
                <w:b/>
                <w:bCs/>
                <w:szCs w:val="20"/>
              </w:rPr>
              <w:t>22, </w:t>
            </w:r>
            <w:r w:rsidRPr="00C3615D">
              <w:rPr>
                <w:rFonts w:cstheme="minorHAnsi"/>
                <w:bCs/>
                <w:szCs w:val="20"/>
              </w:rPr>
              <w:t>1254–1261 (2020).</w:t>
            </w:r>
          </w:p>
          <w:p w14:paraId="3FBB6550" w14:textId="23AD3ED4" w:rsidR="00FE55F1" w:rsidRDefault="00913B21" w:rsidP="00FE55F1">
            <w:pPr>
              <w:rPr>
                <w:rFonts w:cstheme="minorHAnsi"/>
                <w:bCs/>
                <w:szCs w:val="20"/>
              </w:rPr>
            </w:pPr>
            <w:hyperlink r:id="rId16" w:history="1">
              <w:r w:rsidR="009F5E34" w:rsidRPr="008B27D4">
                <w:rPr>
                  <w:rStyle w:val="Hyperlink"/>
                  <w:rFonts w:cstheme="minorHAnsi"/>
                  <w:bCs/>
                  <w:szCs w:val="20"/>
                </w:rPr>
                <w:t>https://doi.org/10.1038/s41436-020-0793-6</w:t>
              </w:r>
            </w:hyperlink>
          </w:p>
          <w:p w14:paraId="7D3407C9" w14:textId="5B9A0B96" w:rsidR="009F5E34" w:rsidRPr="00FE55F1" w:rsidRDefault="009F5E34" w:rsidP="00FE55F1">
            <w:pPr>
              <w:rPr>
                <w:rFonts w:cstheme="minorHAnsi"/>
                <w:bCs/>
                <w:szCs w:val="20"/>
              </w:rPr>
            </w:pPr>
          </w:p>
        </w:tc>
        <w:tc>
          <w:tcPr>
            <w:tcW w:w="548" w:type="pct"/>
          </w:tcPr>
          <w:p w14:paraId="501BB204" w14:textId="0801E085" w:rsidR="00FE55F1" w:rsidRPr="009F11B4" w:rsidRDefault="00C3615D" w:rsidP="00FE55F1">
            <w:pPr>
              <w:rPr>
                <w:rFonts w:cstheme="minorHAnsi"/>
                <w:bCs/>
                <w:szCs w:val="20"/>
              </w:rPr>
            </w:pPr>
            <w:r>
              <w:rPr>
                <w:rFonts w:cstheme="minorHAnsi"/>
                <w:bCs/>
                <w:szCs w:val="20"/>
              </w:rPr>
              <w:t xml:space="preserve">21 April </w:t>
            </w:r>
            <w:r w:rsidR="00FE55F1">
              <w:rPr>
                <w:rFonts w:cstheme="minorHAnsi"/>
                <w:bCs/>
                <w:szCs w:val="20"/>
              </w:rPr>
              <w:t>20</w:t>
            </w:r>
            <w:r w:rsidR="00B27F94">
              <w:rPr>
                <w:rFonts w:cstheme="minorHAnsi"/>
                <w:bCs/>
                <w:szCs w:val="20"/>
              </w:rPr>
              <w:t>20</w:t>
            </w:r>
          </w:p>
        </w:tc>
      </w:tr>
      <w:tr w:rsidR="000A0457" w14:paraId="6CB4B1E8" w14:textId="77777777" w:rsidTr="00C82C07">
        <w:trPr>
          <w:cantSplit/>
        </w:trPr>
        <w:tc>
          <w:tcPr>
            <w:tcW w:w="201" w:type="pct"/>
          </w:tcPr>
          <w:p w14:paraId="125E2D21" w14:textId="77777777" w:rsidR="00FE55F1" w:rsidRPr="00965B6B" w:rsidRDefault="00FE55F1" w:rsidP="00FE55F1">
            <w:pPr>
              <w:rPr>
                <w:szCs w:val="20"/>
              </w:rPr>
            </w:pPr>
            <w:r>
              <w:rPr>
                <w:szCs w:val="20"/>
              </w:rPr>
              <w:lastRenderedPageBreak/>
              <w:t>5.</w:t>
            </w:r>
          </w:p>
        </w:tc>
        <w:tc>
          <w:tcPr>
            <w:tcW w:w="509" w:type="pct"/>
          </w:tcPr>
          <w:p w14:paraId="41F615B1" w14:textId="5B81A751" w:rsidR="00FE55F1" w:rsidRPr="0003164C" w:rsidRDefault="00661738" w:rsidP="00FE55F1">
            <w:pPr>
              <w:rPr>
                <w:bCs/>
                <w:szCs w:val="20"/>
              </w:rPr>
            </w:pPr>
            <w:r w:rsidRPr="0003164C">
              <w:rPr>
                <w:bCs/>
                <w:szCs w:val="20"/>
              </w:rPr>
              <w:t>Minireview</w:t>
            </w:r>
          </w:p>
        </w:tc>
        <w:tc>
          <w:tcPr>
            <w:tcW w:w="813" w:type="pct"/>
          </w:tcPr>
          <w:p w14:paraId="18AB04D0" w14:textId="128179D9" w:rsidR="00FE55F1" w:rsidRPr="0003164C" w:rsidRDefault="00661738" w:rsidP="00FE55F1">
            <w:pPr>
              <w:rPr>
                <w:bCs/>
                <w:szCs w:val="20"/>
              </w:rPr>
            </w:pPr>
            <w:r w:rsidRPr="0003164C">
              <w:rPr>
                <w:bCs/>
                <w:szCs w:val="20"/>
              </w:rPr>
              <w:t>Current molecular diagnostic algorithm for mitochondrial disorders</w:t>
            </w:r>
          </w:p>
        </w:tc>
        <w:tc>
          <w:tcPr>
            <w:tcW w:w="1423" w:type="pct"/>
          </w:tcPr>
          <w:p w14:paraId="73E46D69" w14:textId="16BCFE12" w:rsidR="00FE55F1" w:rsidRPr="0003164C" w:rsidRDefault="00661738" w:rsidP="00FE55F1">
            <w:pPr>
              <w:rPr>
                <w:bCs/>
                <w:szCs w:val="20"/>
              </w:rPr>
            </w:pPr>
            <w:r w:rsidRPr="0003164C">
              <w:rPr>
                <w:bCs/>
                <w:szCs w:val="20"/>
              </w:rPr>
              <w:t>Whilst</w:t>
            </w:r>
            <w:r w:rsidR="00140777" w:rsidRPr="0003164C">
              <w:rPr>
                <w:bCs/>
                <w:szCs w:val="20"/>
              </w:rPr>
              <w:t xml:space="preserve"> </w:t>
            </w:r>
            <w:r w:rsidRPr="0003164C">
              <w:rPr>
                <w:bCs/>
                <w:szCs w:val="20"/>
              </w:rPr>
              <w:t xml:space="preserve">molecular testing </w:t>
            </w:r>
            <w:r w:rsidR="002F27F7">
              <w:rPr>
                <w:bCs/>
                <w:szCs w:val="20"/>
              </w:rPr>
              <w:t xml:space="preserve">is viewed </w:t>
            </w:r>
            <w:r w:rsidRPr="0003164C">
              <w:rPr>
                <w:bCs/>
                <w:szCs w:val="20"/>
              </w:rPr>
              <w:t>as definitive in mitochondrial disorders</w:t>
            </w:r>
            <w:r w:rsidR="002F27F7">
              <w:rPr>
                <w:bCs/>
                <w:szCs w:val="20"/>
              </w:rPr>
              <w:t xml:space="preserve"> by most</w:t>
            </w:r>
            <w:r w:rsidRPr="0003164C">
              <w:rPr>
                <w:bCs/>
                <w:szCs w:val="20"/>
              </w:rPr>
              <w:t xml:space="preserve">, it often </w:t>
            </w:r>
            <w:r w:rsidR="002F27F7">
              <w:rPr>
                <w:bCs/>
                <w:szCs w:val="20"/>
              </w:rPr>
              <w:t>still</w:t>
            </w:r>
            <w:r w:rsidRPr="0003164C">
              <w:rPr>
                <w:bCs/>
                <w:szCs w:val="20"/>
              </w:rPr>
              <w:t xml:space="preserve"> </w:t>
            </w:r>
            <w:r w:rsidR="002F27F7">
              <w:rPr>
                <w:bCs/>
                <w:szCs w:val="20"/>
              </w:rPr>
              <w:t xml:space="preserve">presents </w:t>
            </w:r>
            <w:r w:rsidRPr="0003164C">
              <w:rPr>
                <w:bCs/>
                <w:szCs w:val="20"/>
              </w:rPr>
              <w:t>a challenge. The ever-expanding genotype</w:t>
            </w:r>
            <w:r w:rsidR="002F27F7">
              <w:rPr>
                <w:bCs/>
                <w:szCs w:val="20"/>
              </w:rPr>
              <w:t xml:space="preserve"> spectrum</w:t>
            </w:r>
            <w:r w:rsidRPr="0003164C">
              <w:rPr>
                <w:bCs/>
                <w:szCs w:val="20"/>
              </w:rPr>
              <w:t xml:space="preserve">, the </w:t>
            </w:r>
            <w:r w:rsidR="00C3615D" w:rsidRPr="0003164C">
              <w:rPr>
                <w:bCs/>
                <w:szCs w:val="20"/>
              </w:rPr>
              <w:t>two-genome</w:t>
            </w:r>
            <w:r w:rsidRPr="0003164C">
              <w:rPr>
                <w:bCs/>
                <w:szCs w:val="20"/>
              </w:rPr>
              <w:t xml:space="preserve"> complexity</w:t>
            </w:r>
            <w:r w:rsidR="00140777" w:rsidRPr="0003164C">
              <w:rPr>
                <w:bCs/>
                <w:szCs w:val="20"/>
              </w:rPr>
              <w:t>,</w:t>
            </w:r>
            <w:r w:rsidRPr="0003164C">
              <w:rPr>
                <w:bCs/>
                <w:szCs w:val="20"/>
              </w:rPr>
              <w:t xml:space="preserve"> and heteroplasmy, </w:t>
            </w:r>
            <w:r w:rsidR="00140777" w:rsidRPr="0003164C">
              <w:rPr>
                <w:bCs/>
                <w:szCs w:val="20"/>
              </w:rPr>
              <w:t xml:space="preserve">all </w:t>
            </w:r>
            <w:r w:rsidR="002F27F7">
              <w:rPr>
                <w:bCs/>
                <w:szCs w:val="20"/>
              </w:rPr>
              <w:t>add to</w:t>
            </w:r>
            <w:r w:rsidRPr="0003164C">
              <w:rPr>
                <w:bCs/>
                <w:szCs w:val="20"/>
              </w:rPr>
              <w:t xml:space="preserve"> the complexity of molecular testing, and </w:t>
            </w:r>
            <w:r w:rsidR="00140777" w:rsidRPr="0003164C">
              <w:rPr>
                <w:bCs/>
                <w:szCs w:val="20"/>
              </w:rPr>
              <w:t xml:space="preserve">obtaining a definitive </w:t>
            </w:r>
            <w:r w:rsidRPr="0003164C">
              <w:rPr>
                <w:bCs/>
                <w:szCs w:val="20"/>
              </w:rPr>
              <w:t xml:space="preserve">molecular diagnoses </w:t>
            </w:r>
            <w:r w:rsidR="00140777" w:rsidRPr="0003164C">
              <w:rPr>
                <w:bCs/>
                <w:szCs w:val="20"/>
              </w:rPr>
              <w:t>in</w:t>
            </w:r>
            <w:r w:rsidRPr="0003164C">
              <w:rPr>
                <w:bCs/>
                <w:szCs w:val="20"/>
              </w:rPr>
              <w:t xml:space="preserve"> </w:t>
            </w:r>
            <w:r w:rsidR="00140777" w:rsidRPr="0003164C">
              <w:rPr>
                <w:bCs/>
                <w:szCs w:val="20"/>
              </w:rPr>
              <w:t xml:space="preserve">the mitochondrial </w:t>
            </w:r>
            <w:r w:rsidRPr="0003164C">
              <w:rPr>
                <w:bCs/>
                <w:szCs w:val="20"/>
              </w:rPr>
              <w:t>patient</w:t>
            </w:r>
            <w:r w:rsidR="00140777" w:rsidRPr="0003164C">
              <w:rPr>
                <w:bCs/>
                <w:szCs w:val="20"/>
              </w:rPr>
              <w:t xml:space="preserve">. </w:t>
            </w:r>
          </w:p>
        </w:tc>
        <w:tc>
          <w:tcPr>
            <w:tcW w:w="1506" w:type="pct"/>
          </w:tcPr>
          <w:p w14:paraId="1AF09C46" w14:textId="77777777" w:rsidR="00C3615D" w:rsidRDefault="00C3615D" w:rsidP="00FE55F1">
            <w:pPr>
              <w:rPr>
                <w:bCs/>
                <w:szCs w:val="20"/>
              </w:rPr>
            </w:pPr>
            <w:r w:rsidRPr="00C3615D">
              <w:rPr>
                <w:bCs/>
                <w:szCs w:val="20"/>
              </w:rPr>
              <w:t xml:space="preserve">Wong </w:t>
            </w:r>
            <w:r>
              <w:rPr>
                <w:bCs/>
                <w:szCs w:val="20"/>
              </w:rPr>
              <w:t xml:space="preserve">et al., 2010. </w:t>
            </w:r>
            <w:r w:rsidRPr="00C3615D">
              <w:rPr>
                <w:bCs/>
                <w:szCs w:val="20"/>
              </w:rPr>
              <w:t xml:space="preserve">Mol Genet </w:t>
            </w:r>
            <w:proofErr w:type="spellStart"/>
            <w:r w:rsidRPr="00C3615D">
              <w:rPr>
                <w:bCs/>
                <w:szCs w:val="20"/>
              </w:rPr>
              <w:t>Metab</w:t>
            </w:r>
            <w:proofErr w:type="spellEnd"/>
            <w:r w:rsidRPr="00C3615D">
              <w:rPr>
                <w:bCs/>
                <w:szCs w:val="20"/>
              </w:rPr>
              <w:t xml:space="preserve">. 2010 Jun;100(2):111-7. </w:t>
            </w:r>
          </w:p>
          <w:p w14:paraId="66E4342F" w14:textId="7ACB12B8" w:rsidR="00FE55F1" w:rsidRDefault="00913B21" w:rsidP="00FE55F1">
            <w:pPr>
              <w:rPr>
                <w:bCs/>
                <w:szCs w:val="20"/>
              </w:rPr>
            </w:pPr>
            <w:hyperlink r:id="rId17" w:history="1">
              <w:r w:rsidR="009F5E34" w:rsidRPr="008B27D4">
                <w:rPr>
                  <w:rStyle w:val="Hyperlink"/>
                  <w:bCs/>
                  <w:szCs w:val="20"/>
                </w:rPr>
                <w:t>http://www.americanchildneurologyuae.com/ar/files/neurological-diseases/NEUROMETABOLIC/Updated-mitochondrial-genetic-testing-algorithm-MGM-2010[1].pdf</w:t>
              </w:r>
            </w:hyperlink>
          </w:p>
          <w:p w14:paraId="1D464AC9" w14:textId="3FDEF184" w:rsidR="009F5E34" w:rsidRPr="0003164C" w:rsidRDefault="009F5E34" w:rsidP="00FE55F1">
            <w:pPr>
              <w:rPr>
                <w:bCs/>
                <w:szCs w:val="20"/>
              </w:rPr>
            </w:pPr>
          </w:p>
        </w:tc>
        <w:tc>
          <w:tcPr>
            <w:tcW w:w="548" w:type="pct"/>
          </w:tcPr>
          <w:p w14:paraId="2CAFBB64" w14:textId="24CC6028" w:rsidR="00FE55F1" w:rsidRPr="0003164C" w:rsidRDefault="00140777" w:rsidP="00FE55F1">
            <w:pPr>
              <w:rPr>
                <w:bCs/>
                <w:szCs w:val="20"/>
              </w:rPr>
            </w:pPr>
            <w:r w:rsidRPr="0003164C">
              <w:rPr>
                <w:bCs/>
                <w:szCs w:val="20"/>
              </w:rPr>
              <w:t>4 March 2010</w:t>
            </w:r>
          </w:p>
        </w:tc>
      </w:tr>
      <w:tr w:rsidR="000A0457" w14:paraId="5373BCDE" w14:textId="77777777" w:rsidTr="00C82C07">
        <w:trPr>
          <w:cantSplit/>
        </w:trPr>
        <w:tc>
          <w:tcPr>
            <w:tcW w:w="201" w:type="pct"/>
          </w:tcPr>
          <w:p w14:paraId="7B593041" w14:textId="38F0CF24" w:rsidR="00140777" w:rsidRDefault="00140777" w:rsidP="00FE55F1">
            <w:pPr>
              <w:rPr>
                <w:szCs w:val="20"/>
              </w:rPr>
            </w:pPr>
            <w:r>
              <w:rPr>
                <w:szCs w:val="20"/>
              </w:rPr>
              <w:t xml:space="preserve">6. </w:t>
            </w:r>
          </w:p>
        </w:tc>
        <w:tc>
          <w:tcPr>
            <w:tcW w:w="509" w:type="pct"/>
          </w:tcPr>
          <w:p w14:paraId="279D16D1" w14:textId="3DC78253" w:rsidR="00140777" w:rsidRPr="0003164C" w:rsidRDefault="00140777" w:rsidP="00FE55F1">
            <w:pPr>
              <w:rPr>
                <w:bCs/>
                <w:szCs w:val="20"/>
              </w:rPr>
            </w:pPr>
            <w:r w:rsidRPr="0003164C">
              <w:rPr>
                <w:bCs/>
                <w:szCs w:val="20"/>
              </w:rPr>
              <w:t>Cohort Study</w:t>
            </w:r>
          </w:p>
        </w:tc>
        <w:tc>
          <w:tcPr>
            <w:tcW w:w="813" w:type="pct"/>
          </w:tcPr>
          <w:p w14:paraId="50811B61" w14:textId="27CFC354" w:rsidR="00140777" w:rsidRPr="0003164C" w:rsidRDefault="00140777" w:rsidP="00FE55F1">
            <w:pPr>
              <w:rPr>
                <w:bCs/>
                <w:szCs w:val="20"/>
              </w:rPr>
            </w:pPr>
            <w:r w:rsidRPr="0003164C">
              <w:rPr>
                <w:bCs/>
                <w:szCs w:val="20"/>
              </w:rPr>
              <w:t>Genomic sequencing for the diagnosis of childhood mitochondrial disorders: a health economic evaluation</w:t>
            </w:r>
          </w:p>
        </w:tc>
        <w:tc>
          <w:tcPr>
            <w:tcW w:w="1423" w:type="pct"/>
          </w:tcPr>
          <w:p w14:paraId="04042EB6" w14:textId="24060A65" w:rsidR="00140777" w:rsidRPr="0003164C" w:rsidRDefault="00140777" w:rsidP="00FE55F1">
            <w:pPr>
              <w:rPr>
                <w:bCs/>
                <w:szCs w:val="20"/>
              </w:rPr>
            </w:pPr>
            <w:r w:rsidRPr="0003164C">
              <w:rPr>
                <w:bCs/>
                <w:szCs w:val="20"/>
              </w:rPr>
              <w:t xml:space="preserve">Implementing genomic sequencing in Australia for mitochondrial disease could save AU$0.7million annually relative to traditional investigative costs, as well as providing an earlier definitive genetic diagnoses, offering </w:t>
            </w:r>
            <w:r w:rsidR="000A4D89">
              <w:rPr>
                <w:bCs/>
                <w:szCs w:val="20"/>
              </w:rPr>
              <w:t>large</w:t>
            </w:r>
            <w:r w:rsidRPr="0003164C">
              <w:rPr>
                <w:bCs/>
                <w:szCs w:val="20"/>
              </w:rPr>
              <w:t xml:space="preserve"> benefits to children and their families</w:t>
            </w:r>
            <w:r w:rsidR="000A4D89">
              <w:rPr>
                <w:bCs/>
                <w:szCs w:val="20"/>
              </w:rPr>
              <w:t>, personally</w:t>
            </w:r>
            <w:r w:rsidRPr="0003164C">
              <w:rPr>
                <w:bCs/>
                <w:szCs w:val="20"/>
              </w:rPr>
              <w:t>. Therefore, “our findings support the prioritization of genomic sequencing for children with mitochondrial disease”.</w:t>
            </w:r>
          </w:p>
        </w:tc>
        <w:tc>
          <w:tcPr>
            <w:tcW w:w="1506" w:type="pct"/>
          </w:tcPr>
          <w:p w14:paraId="30A05CCB" w14:textId="274A1788" w:rsidR="00140777" w:rsidRPr="0003164C" w:rsidRDefault="00BE73E9" w:rsidP="00FE55F1">
            <w:pPr>
              <w:rPr>
                <w:bCs/>
                <w:szCs w:val="20"/>
              </w:rPr>
            </w:pPr>
            <w:r w:rsidRPr="0003164C">
              <w:rPr>
                <w:bCs/>
                <w:szCs w:val="20"/>
              </w:rPr>
              <w:t>Wu</w:t>
            </w:r>
            <w:r w:rsidR="00C3615D">
              <w:rPr>
                <w:bCs/>
                <w:szCs w:val="20"/>
              </w:rPr>
              <w:t xml:space="preserve"> et al., 2021</w:t>
            </w:r>
            <w:r w:rsidRPr="0003164C">
              <w:rPr>
                <w:bCs/>
                <w:i/>
                <w:iCs/>
                <w:szCs w:val="20"/>
              </w:rPr>
              <w:t>.</w:t>
            </w:r>
            <w:r w:rsidRPr="0003164C">
              <w:rPr>
                <w:bCs/>
                <w:szCs w:val="20"/>
              </w:rPr>
              <w:t>  </w:t>
            </w:r>
            <w:r w:rsidRPr="00C3615D">
              <w:rPr>
                <w:bCs/>
                <w:szCs w:val="20"/>
              </w:rPr>
              <w:t>Eur J Hum Genet</w:t>
            </w:r>
            <w:r w:rsidRPr="0003164C">
              <w:rPr>
                <w:bCs/>
                <w:szCs w:val="20"/>
              </w:rPr>
              <w:t xml:space="preserve">. </w:t>
            </w:r>
            <w:hyperlink r:id="rId18" w:history="1">
              <w:r w:rsidRPr="0003164C">
                <w:rPr>
                  <w:rStyle w:val="Hyperlink"/>
                  <w:bCs/>
                  <w:szCs w:val="20"/>
                </w:rPr>
                <w:t>https://doi.org/10.1038/s41431-021-00916-8</w:t>
              </w:r>
            </w:hyperlink>
          </w:p>
          <w:p w14:paraId="2F80A0C2" w14:textId="07039CBB" w:rsidR="00BE73E9" w:rsidRPr="0003164C" w:rsidRDefault="00BE73E9" w:rsidP="00FE55F1">
            <w:pPr>
              <w:rPr>
                <w:bCs/>
                <w:szCs w:val="20"/>
              </w:rPr>
            </w:pPr>
          </w:p>
        </w:tc>
        <w:tc>
          <w:tcPr>
            <w:tcW w:w="548" w:type="pct"/>
          </w:tcPr>
          <w:p w14:paraId="74A4057F" w14:textId="157F4F58" w:rsidR="00140777" w:rsidRPr="0003164C" w:rsidRDefault="00BE73E9" w:rsidP="00FE55F1">
            <w:pPr>
              <w:rPr>
                <w:bCs/>
                <w:szCs w:val="20"/>
              </w:rPr>
            </w:pPr>
            <w:r w:rsidRPr="0003164C">
              <w:rPr>
                <w:bCs/>
                <w:szCs w:val="20"/>
              </w:rPr>
              <w:t>8 June 2021</w:t>
            </w:r>
          </w:p>
        </w:tc>
      </w:tr>
      <w:tr w:rsidR="000A0457" w14:paraId="169C8447" w14:textId="77777777" w:rsidTr="00C82C07">
        <w:trPr>
          <w:cantSplit/>
        </w:trPr>
        <w:tc>
          <w:tcPr>
            <w:tcW w:w="201" w:type="pct"/>
          </w:tcPr>
          <w:p w14:paraId="4C309679" w14:textId="5F76B78F" w:rsidR="00BE73E9" w:rsidRDefault="00BE73E9" w:rsidP="00FE55F1">
            <w:pPr>
              <w:rPr>
                <w:szCs w:val="20"/>
              </w:rPr>
            </w:pPr>
            <w:r>
              <w:rPr>
                <w:szCs w:val="20"/>
              </w:rPr>
              <w:t xml:space="preserve">7. </w:t>
            </w:r>
          </w:p>
        </w:tc>
        <w:tc>
          <w:tcPr>
            <w:tcW w:w="509" w:type="pct"/>
          </w:tcPr>
          <w:p w14:paraId="7F097C31" w14:textId="13FCDAC1" w:rsidR="00BE73E9" w:rsidRPr="0003164C" w:rsidRDefault="006108CD" w:rsidP="00FE55F1">
            <w:pPr>
              <w:rPr>
                <w:bCs/>
                <w:szCs w:val="20"/>
              </w:rPr>
            </w:pPr>
            <w:r w:rsidRPr="0003164C">
              <w:rPr>
                <w:bCs/>
                <w:szCs w:val="20"/>
              </w:rPr>
              <w:t>Review</w:t>
            </w:r>
          </w:p>
        </w:tc>
        <w:tc>
          <w:tcPr>
            <w:tcW w:w="813" w:type="pct"/>
          </w:tcPr>
          <w:p w14:paraId="29EE54A5" w14:textId="71EBC0AD" w:rsidR="00BE73E9" w:rsidRPr="0003164C" w:rsidRDefault="006108CD" w:rsidP="00FE55F1">
            <w:pPr>
              <w:rPr>
                <w:bCs/>
                <w:szCs w:val="20"/>
              </w:rPr>
            </w:pPr>
            <w:r w:rsidRPr="0003164C">
              <w:rPr>
                <w:bCs/>
                <w:szCs w:val="20"/>
              </w:rPr>
              <w:t>Diagnosis, management, and follow-up of mitochondrial disorders in childhood: a personalized medicine in the new era of genome sequence</w:t>
            </w:r>
          </w:p>
        </w:tc>
        <w:tc>
          <w:tcPr>
            <w:tcW w:w="1423" w:type="pct"/>
          </w:tcPr>
          <w:p w14:paraId="373206B3" w14:textId="4A3815F5" w:rsidR="00BE73E9" w:rsidRPr="0003164C" w:rsidRDefault="006108CD" w:rsidP="00FE55F1">
            <w:pPr>
              <w:rPr>
                <w:bCs/>
                <w:szCs w:val="20"/>
              </w:rPr>
            </w:pPr>
            <w:r w:rsidRPr="0003164C">
              <w:rPr>
                <w:bCs/>
                <w:szCs w:val="20"/>
              </w:rPr>
              <w:t>Diagnostic mitochondrial biochemical tests may be deceptive, especially in children who display normal biochemistry, muscle histology, or enzymatic analysis. Clinical, biochemical, histological, and functional criteria, may not be enough to diffe</w:t>
            </w:r>
            <w:r w:rsidR="00776DDB">
              <w:rPr>
                <w:bCs/>
                <w:szCs w:val="20"/>
              </w:rPr>
              <w:t>rentiate</w:t>
            </w:r>
            <w:r w:rsidRPr="0003164C">
              <w:rPr>
                <w:bCs/>
                <w:szCs w:val="20"/>
              </w:rPr>
              <w:t xml:space="preserve"> it from conditions causing secondary mitochondrial dysfunction</w:t>
            </w:r>
            <w:r w:rsidR="005D2B5B">
              <w:rPr>
                <w:bCs/>
                <w:szCs w:val="20"/>
              </w:rPr>
              <w:t>, making g</w:t>
            </w:r>
            <w:r w:rsidRPr="0003164C">
              <w:rPr>
                <w:bCs/>
                <w:szCs w:val="20"/>
              </w:rPr>
              <w:t>enetic confirmation necessary.</w:t>
            </w:r>
          </w:p>
        </w:tc>
        <w:tc>
          <w:tcPr>
            <w:tcW w:w="1506" w:type="pct"/>
          </w:tcPr>
          <w:p w14:paraId="1AF55FE6" w14:textId="27E09100" w:rsidR="006108CD" w:rsidRPr="0003164C" w:rsidRDefault="006108CD" w:rsidP="006108CD">
            <w:pPr>
              <w:rPr>
                <w:bCs/>
                <w:szCs w:val="20"/>
              </w:rPr>
            </w:pPr>
            <w:r w:rsidRPr="0003164C">
              <w:rPr>
                <w:bCs/>
                <w:szCs w:val="20"/>
              </w:rPr>
              <w:t>Coelho</w:t>
            </w:r>
            <w:r w:rsidR="009F5E34">
              <w:rPr>
                <w:bCs/>
                <w:szCs w:val="20"/>
              </w:rPr>
              <w:t xml:space="preserve"> et al., 2017</w:t>
            </w:r>
            <w:r w:rsidRPr="0003164C">
              <w:rPr>
                <w:bCs/>
                <w:szCs w:val="20"/>
              </w:rPr>
              <w:t>. </w:t>
            </w:r>
            <w:r w:rsidRPr="009F5E34">
              <w:rPr>
                <w:bCs/>
                <w:szCs w:val="20"/>
              </w:rPr>
              <w:t xml:space="preserve">Eur J </w:t>
            </w:r>
            <w:proofErr w:type="spellStart"/>
            <w:r w:rsidRPr="009F5E34">
              <w:rPr>
                <w:bCs/>
                <w:szCs w:val="20"/>
              </w:rPr>
              <w:t>Pediatr</w:t>
            </w:r>
            <w:proofErr w:type="spellEnd"/>
            <w:r w:rsidRPr="0003164C">
              <w:rPr>
                <w:bCs/>
                <w:szCs w:val="20"/>
              </w:rPr>
              <w:t> 178, 21–32 (2</w:t>
            </w:r>
            <w:r w:rsidR="009F5E34">
              <w:rPr>
                <w:bCs/>
                <w:szCs w:val="20"/>
              </w:rPr>
              <w:t>)</w:t>
            </w:r>
          </w:p>
          <w:p w14:paraId="1F7B42A5" w14:textId="238A84B8" w:rsidR="00BE73E9" w:rsidRDefault="00913B21" w:rsidP="006108CD">
            <w:pPr>
              <w:rPr>
                <w:bCs/>
                <w:szCs w:val="20"/>
              </w:rPr>
            </w:pPr>
            <w:hyperlink r:id="rId19" w:history="1">
              <w:r w:rsidR="009F5E34" w:rsidRPr="008B27D4">
                <w:rPr>
                  <w:rStyle w:val="Hyperlink"/>
                  <w:bCs/>
                  <w:szCs w:val="20"/>
                </w:rPr>
                <w:t>https://doi.org/10.1007/s00431-018-3292-x</w:t>
              </w:r>
            </w:hyperlink>
          </w:p>
          <w:p w14:paraId="1537C2D1" w14:textId="6D27808B" w:rsidR="009F5E34" w:rsidRPr="0003164C" w:rsidRDefault="009F5E34" w:rsidP="006108CD">
            <w:pPr>
              <w:rPr>
                <w:bCs/>
                <w:szCs w:val="20"/>
              </w:rPr>
            </w:pPr>
          </w:p>
        </w:tc>
        <w:tc>
          <w:tcPr>
            <w:tcW w:w="548" w:type="pct"/>
          </w:tcPr>
          <w:p w14:paraId="173991D6" w14:textId="6D22B872" w:rsidR="00BE73E9" w:rsidRPr="0003164C" w:rsidRDefault="006108CD" w:rsidP="00FE55F1">
            <w:pPr>
              <w:rPr>
                <w:bCs/>
                <w:szCs w:val="20"/>
              </w:rPr>
            </w:pPr>
            <w:r w:rsidRPr="0003164C">
              <w:rPr>
                <w:bCs/>
                <w:szCs w:val="20"/>
              </w:rPr>
              <w:t>7 December 2017</w:t>
            </w:r>
          </w:p>
        </w:tc>
      </w:tr>
      <w:tr w:rsidR="00937963" w14:paraId="5A5FD3B3" w14:textId="77777777" w:rsidTr="00C82C07">
        <w:trPr>
          <w:cantSplit/>
        </w:trPr>
        <w:tc>
          <w:tcPr>
            <w:tcW w:w="201" w:type="pct"/>
          </w:tcPr>
          <w:p w14:paraId="21E45441" w14:textId="7FBB3F71" w:rsidR="000A0457" w:rsidRDefault="000A0457" w:rsidP="00FE55F1">
            <w:pPr>
              <w:rPr>
                <w:szCs w:val="20"/>
              </w:rPr>
            </w:pPr>
            <w:r>
              <w:rPr>
                <w:szCs w:val="20"/>
              </w:rPr>
              <w:lastRenderedPageBreak/>
              <w:t>8.</w:t>
            </w:r>
          </w:p>
        </w:tc>
        <w:tc>
          <w:tcPr>
            <w:tcW w:w="509" w:type="pct"/>
          </w:tcPr>
          <w:p w14:paraId="4F80F3F7" w14:textId="58E7B4CE" w:rsidR="000A0457" w:rsidRPr="0003164C" w:rsidRDefault="000A0457" w:rsidP="00FE55F1">
            <w:pPr>
              <w:rPr>
                <w:bCs/>
                <w:szCs w:val="20"/>
              </w:rPr>
            </w:pPr>
            <w:r w:rsidRPr="0003164C">
              <w:rPr>
                <w:bCs/>
                <w:szCs w:val="20"/>
              </w:rPr>
              <w:t>Cohort Study</w:t>
            </w:r>
          </w:p>
        </w:tc>
        <w:tc>
          <w:tcPr>
            <w:tcW w:w="813" w:type="pct"/>
          </w:tcPr>
          <w:p w14:paraId="211C26F8" w14:textId="79AB4996" w:rsidR="000A0457" w:rsidRPr="0003164C" w:rsidRDefault="000A0457" w:rsidP="00FE55F1">
            <w:pPr>
              <w:rPr>
                <w:bCs/>
                <w:szCs w:val="20"/>
              </w:rPr>
            </w:pPr>
            <w:r w:rsidRPr="0003164C">
              <w:rPr>
                <w:bCs/>
                <w:szCs w:val="20"/>
              </w:rPr>
              <w:t>Whole exome sequencing of suspected mitochondrial patients in clinical practice</w:t>
            </w:r>
          </w:p>
        </w:tc>
        <w:tc>
          <w:tcPr>
            <w:tcW w:w="1423" w:type="pct"/>
          </w:tcPr>
          <w:p w14:paraId="500FC292" w14:textId="0A4B7CC1" w:rsidR="000A0457" w:rsidRPr="0003164C" w:rsidRDefault="000A0457" w:rsidP="00FE55F1">
            <w:pPr>
              <w:rPr>
                <w:bCs/>
                <w:szCs w:val="20"/>
              </w:rPr>
            </w:pPr>
            <w:r w:rsidRPr="0003164C">
              <w:rPr>
                <w:bCs/>
                <w:szCs w:val="20"/>
              </w:rPr>
              <w:t>Mitochondrial dis</w:t>
            </w:r>
            <w:r w:rsidR="000A4D89">
              <w:rPr>
                <w:bCs/>
                <w:szCs w:val="20"/>
              </w:rPr>
              <w:t>ease</w:t>
            </w:r>
            <w:r w:rsidRPr="0003164C">
              <w:rPr>
                <w:bCs/>
                <w:szCs w:val="20"/>
              </w:rPr>
              <w:t xml:space="preserve">s </w:t>
            </w:r>
            <w:r w:rsidR="000A4D89">
              <w:rPr>
                <w:bCs/>
                <w:szCs w:val="20"/>
              </w:rPr>
              <w:t>are typified by</w:t>
            </w:r>
            <w:r w:rsidRPr="0003164C">
              <w:rPr>
                <w:bCs/>
                <w:szCs w:val="20"/>
              </w:rPr>
              <w:t xml:space="preserve"> a </w:t>
            </w:r>
            <w:r w:rsidR="000A4D89">
              <w:rPr>
                <w:bCs/>
                <w:szCs w:val="20"/>
              </w:rPr>
              <w:t xml:space="preserve">wide range </w:t>
            </w:r>
            <w:r w:rsidRPr="0003164C">
              <w:rPr>
                <w:bCs/>
                <w:szCs w:val="20"/>
              </w:rPr>
              <w:t xml:space="preserve">of phenotypes, caused by varying and overlapping </w:t>
            </w:r>
            <w:proofErr w:type="spellStart"/>
            <w:r w:rsidRPr="0003164C">
              <w:rPr>
                <w:bCs/>
                <w:szCs w:val="20"/>
              </w:rPr>
              <w:t>mtDNA</w:t>
            </w:r>
            <w:proofErr w:type="spellEnd"/>
            <w:r w:rsidRPr="0003164C">
              <w:rPr>
                <w:bCs/>
                <w:szCs w:val="20"/>
              </w:rPr>
              <w:t xml:space="preserve"> or </w:t>
            </w:r>
            <w:proofErr w:type="spellStart"/>
            <w:r w:rsidRPr="0003164C">
              <w:rPr>
                <w:bCs/>
                <w:szCs w:val="20"/>
              </w:rPr>
              <w:t>nDNA</w:t>
            </w:r>
            <w:proofErr w:type="spellEnd"/>
            <w:r w:rsidRPr="0003164C">
              <w:rPr>
                <w:bCs/>
                <w:szCs w:val="20"/>
              </w:rPr>
              <w:t xml:space="preserve"> variants, and vice versa. Mimicking other genetic and neuromuscular syndromes further complicates the diagnostic process, making WES the </w:t>
            </w:r>
            <w:r w:rsidR="005D2B5B">
              <w:rPr>
                <w:bCs/>
                <w:szCs w:val="20"/>
              </w:rPr>
              <w:t>“</w:t>
            </w:r>
            <w:r w:rsidRPr="0003164C">
              <w:rPr>
                <w:bCs/>
                <w:szCs w:val="20"/>
              </w:rPr>
              <w:t>state of the art next generation sequencing technique</w:t>
            </w:r>
            <w:r w:rsidR="005D2B5B">
              <w:rPr>
                <w:bCs/>
                <w:szCs w:val="20"/>
              </w:rPr>
              <w:t>”</w:t>
            </w:r>
            <w:r w:rsidRPr="0003164C">
              <w:rPr>
                <w:bCs/>
                <w:szCs w:val="20"/>
              </w:rPr>
              <w:t xml:space="preserve"> necessary to identify mitochondrial dis</w:t>
            </w:r>
            <w:r w:rsidR="000A4D89">
              <w:rPr>
                <w:bCs/>
                <w:szCs w:val="20"/>
              </w:rPr>
              <w:t>ease</w:t>
            </w:r>
            <w:r w:rsidRPr="0003164C">
              <w:rPr>
                <w:bCs/>
                <w:szCs w:val="20"/>
              </w:rPr>
              <w:t>s.</w:t>
            </w:r>
          </w:p>
        </w:tc>
        <w:tc>
          <w:tcPr>
            <w:tcW w:w="1506" w:type="pct"/>
          </w:tcPr>
          <w:p w14:paraId="6C041E36" w14:textId="32F0DB26" w:rsidR="009F5E34" w:rsidRDefault="000A0457" w:rsidP="000A0457">
            <w:pPr>
              <w:rPr>
                <w:bCs/>
                <w:szCs w:val="20"/>
              </w:rPr>
            </w:pPr>
            <w:r w:rsidRPr="0003164C">
              <w:rPr>
                <w:bCs/>
                <w:szCs w:val="20"/>
              </w:rPr>
              <w:t>Wortmann, Saskia B. et al.</w:t>
            </w:r>
            <w:r w:rsidR="009F5E34">
              <w:rPr>
                <w:bCs/>
                <w:szCs w:val="20"/>
              </w:rPr>
              <w:t xml:space="preserve"> 2015. </w:t>
            </w:r>
            <w:r w:rsidRPr="0003164C">
              <w:rPr>
                <w:bCs/>
                <w:szCs w:val="20"/>
              </w:rPr>
              <w:t> </w:t>
            </w:r>
            <w:r w:rsidRPr="009F5E34">
              <w:rPr>
                <w:bCs/>
                <w:szCs w:val="20"/>
              </w:rPr>
              <w:t>Journal Of Inherited Metabolic Disease,</w:t>
            </w:r>
            <w:r w:rsidRPr="0003164C">
              <w:rPr>
                <w:bCs/>
                <w:szCs w:val="20"/>
              </w:rPr>
              <w:t xml:space="preserve"> vol 38</w:t>
            </w:r>
            <w:r w:rsidR="009F5E34">
              <w:rPr>
                <w:bCs/>
                <w:szCs w:val="20"/>
              </w:rPr>
              <w:t>(3)</w:t>
            </w:r>
            <w:r w:rsidRPr="0003164C">
              <w:rPr>
                <w:bCs/>
                <w:szCs w:val="20"/>
              </w:rPr>
              <w:t xml:space="preserve"> pp. 437-443. </w:t>
            </w:r>
            <w:r w:rsidR="009F5E34">
              <w:rPr>
                <w:bCs/>
                <w:szCs w:val="20"/>
              </w:rPr>
              <w:t>Wiley</w:t>
            </w:r>
          </w:p>
          <w:p w14:paraId="4E145972" w14:textId="25A85E72" w:rsidR="000A0457" w:rsidRDefault="00913B21" w:rsidP="000A0457">
            <w:pPr>
              <w:rPr>
                <w:bCs/>
                <w:szCs w:val="20"/>
              </w:rPr>
            </w:pPr>
            <w:hyperlink r:id="rId20" w:history="1">
              <w:r w:rsidR="009F5E34" w:rsidRPr="008B27D4">
                <w:rPr>
                  <w:rStyle w:val="Hyperlink"/>
                  <w:bCs/>
                  <w:szCs w:val="20"/>
                </w:rPr>
                <w:t>https://doi:10.1007/s10545-015-9823-y</w:t>
              </w:r>
            </w:hyperlink>
          </w:p>
          <w:p w14:paraId="49E6A5AD" w14:textId="77777777" w:rsidR="009F5E34" w:rsidRDefault="009F5E34" w:rsidP="000A0457">
            <w:pPr>
              <w:rPr>
                <w:bCs/>
                <w:szCs w:val="20"/>
              </w:rPr>
            </w:pPr>
          </w:p>
          <w:p w14:paraId="07A84A03" w14:textId="7507FA25" w:rsidR="009F5E34" w:rsidRPr="0003164C" w:rsidRDefault="009F5E34" w:rsidP="000A0457">
            <w:pPr>
              <w:rPr>
                <w:bCs/>
                <w:szCs w:val="20"/>
              </w:rPr>
            </w:pPr>
          </w:p>
        </w:tc>
        <w:tc>
          <w:tcPr>
            <w:tcW w:w="548" w:type="pct"/>
          </w:tcPr>
          <w:p w14:paraId="5E2C08F0" w14:textId="053058D3" w:rsidR="000A0457" w:rsidRPr="0003164C" w:rsidRDefault="000A0457" w:rsidP="00FE55F1">
            <w:pPr>
              <w:rPr>
                <w:bCs/>
                <w:szCs w:val="20"/>
              </w:rPr>
            </w:pPr>
            <w:r w:rsidRPr="0003164C">
              <w:rPr>
                <w:bCs/>
                <w:szCs w:val="20"/>
              </w:rPr>
              <w:t>4 March 2015</w:t>
            </w:r>
          </w:p>
        </w:tc>
      </w:tr>
      <w:tr w:rsidR="00937963" w14:paraId="7487D41C" w14:textId="77777777" w:rsidTr="00C82C07">
        <w:trPr>
          <w:cantSplit/>
        </w:trPr>
        <w:tc>
          <w:tcPr>
            <w:tcW w:w="201" w:type="pct"/>
          </w:tcPr>
          <w:p w14:paraId="784F7A8F" w14:textId="0BFA714C" w:rsidR="000A0457" w:rsidRDefault="000A0457" w:rsidP="00FE55F1">
            <w:pPr>
              <w:rPr>
                <w:szCs w:val="20"/>
              </w:rPr>
            </w:pPr>
            <w:r>
              <w:rPr>
                <w:szCs w:val="20"/>
              </w:rPr>
              <w:t>9.</w:t>
            </w:r>
          </w:p>
        </w:tc>
        <w:tc>
          <w:tcPr>
            <w:tcW w:w="509" w:type="pct"/>
          </w:tcPr>
          <w:p w14:paraId="1C1DC2DA" w14:textId="29CB3BAB" w:rsidR="000A0457" w:rsidRPr="0003164C" w:rsidRDefault="000A0457" w:rsidP="00FE55F1">
            <w:pPr>
              <w:rPr>
                <w:bCs/>
                <w:szCs w:val="20"/>
              </w:rPr>
            </w:pPr>
            <w:r w:rsidRPr="0003164C">
              <w:rPr>
                <w:bCs/>
                <w:szCs w:val="20"/>
              </w:rPr>
              <w:t>Cohort Study</w:t>
            </w:r>
          </w:p>
        </w:tc>
        <w:tc>
          <w:tcPr>
            <w:tcW w:w="813" w:type="pct"/>
          </w:tcPr>
          <w:p w14:paraId="3CC8E542" w14:textId="3B8A1AD3" w:rsidR="000A0457" w:rsidRPr="0003164C" w:rsidRDefault="000A0457" w:rsidP="00FE55F1">
            <w:pPr>
              <w:rPr>
                <w:bCs/>
                <w:szCs w:val="20"/>
              </w:rPr>
            </w:pPr>
            <w:r w:rsidRPr="0003164C">
              <w:rPr>
                <w:bCs/>
                <w:szCs w:val="20"/>
              </w:rPr>
              <w:t>A Comprehensive Genomic Analysis Reveals the Genetic Landscape of Mitochondrial Respiratory Chain Complex Deficiencies</w:t>
            </w:r>
          </w:p>
        </w:tc>
        <w:tc>
          <w:tcPr>
            <w:tcW w:w="1423" w:type="pct"/>
          </w:tcPr>
          <w:p w14:paraId="020FFA6F" w14:textId="72AD60C4" w:rsidR="000A0457" w:rsidRPr="0003164C" w:rsidRDefault="00AD55E9" w:rsidP="00FE55F1">
            <w:pPr>
              <w:rPr>
                <w:bCs/>
                <w:szCs w:val="20"/>
              </w:rPr>
            </w:pPr>
            <w:r w:rsidRPr="0003164C">
              <w:rPr>
                <w:bCs/>
                <w:szCs w:val="20"/>
              </w:rPr>
              <w:t xml:space="preserve">Three novel disease-causing mitochondria-related genes were identified as well as other </w:t>
            </w:r>
            <w:r w:rsidR="000A4D89">
              <w:rPr>
                <w:bCs/>
                <w:szCs w:val="20"/>
              </w:rPr>
              <w:t>pathogenic</w:t>
            </w:r>
            <w:r w:rsidRPr="0003164C">
              <w:rPr>
                <w:bCs/>
                <w:szCs w:val="20"/>
              </w:rPr>
              <w:t xml:space="preserve"> </w:t>
            </w:r>
            <w:r w:rsidR="005D2B5B">
              <w:rPr>
                <w:bCs/>
                <w:szCs w:val="20"/>
              </w:rPr>
              <w:t>variant</w:t>
            </w:r>
            <w:r w:rsidRPr="0003164C">
              <w:rPr>
                <w:bCs/>
                <w:szCs w:val="20"/>
              </w:rPr>
              <w:t>s, validated by genetic and/or functional evidence. A comprehensive genomic analysis allowed</w:t>
            </w:r>
            <w:r w:rsidR="005D2B5B">
              <w:rPr>
                <w:bCs/>
                <w:szCs w:val="20"/>
              </w:rPr>
              <w:t xml:space="preserve"> for</w:t>
            </w:r>
            <w:r w:rsidRPr="0003164C">
              <w:rPr>
                <w:bCs/>
                <w:szCs w:val="20"/>
              </w:rPr>
              <w:t xml:space="preserve"> a firm genetic diagnoses in 34.5% of suspected cases, higher than the 25% </w:t>
            </w:r>
            <w:r w:rsidR="005D2B5B">
              <w:rPr>
                <w:bCs/>
                <w:szCs w:val="20"/>
              </w:rPr>
              <w:t xml:space="preserve">using </w:t>
            </w:r>
            <w:r w:rsidRPr="0003164C">
              <w:rPr>
                <w:bCs/>
                <w:szCs w:val="20"/>
              </w:rPr>
              <w:t xml:space="preserve">general diagnostic </w:t>
            </w:r>
            <w:r w:rsidR="005D2B5B">
              <w:rPr>
                <w:bCs/>
                <w:szCs w:val="20"/>
              </w:rPr>
              <w:t>methods</w:t>
            </w:r>
            <w:r w:rsidRPr="0003164C">
              <w:rPr>
                <w:bCs/>
                <w:szCs w:val="20"/>
              </w:rPr>
              <w:t>.</w:t>
            </w:r>
          </w:p>
        </w:tc>
        <w:tc>
          <w:tcPr>
            <w:tcW w:w="1506" w:type="pct"/>
          </w:tcPr>
          <w:p w14:paraId="37E533DA" w14:textId="00D16FBF" w:rsidR="000A0457" w:rsidRDefault="00AD55E9" w:rsidP="00AD55E9">
            <w:pPr>
              <w:rPr>
                <w:bCs/>
                <w:szCs w:val="20"/>
              </w:rPr>
            </w:pPr>
            <w:proofErr w:type="spellStart"/>
            <w:r w:rsidRPr="0003164C">
              <w:rPr>
                <w:bCs/>
                <w:szCs w:val="20"/>
              </w:rPr>
              <w:t>Kohda</w:t>
            </w:r>
            <w:proofErr w:type="spellEnd"/>
            <w:r w:rsidRPr="0003164C">
              <w:rPr>
                <w:bCs/>
                <w:szCs w:val="20"/>
              </w:rPr>
              <w:t>, Masakazu et al.</w:t>
            </w:r>
            <w:r w:rsidR="009F5E34">
              <w:rPr>
                <w:bCs/>
                <w:szCs w:val="20"/>
              </w:rPr>
              <w:t>, 2016</w:t>
            </w:r>
            <w:r w:rsidRPr="0003164C">
              <w:rPr>
                <w:bCs/>
                <w:szCs w:val="20"/>
              </w:rPr>
              <w:t>. </w:t>
            </w:r>
            <w:r w:rsidRPr="009F5E34">
              <w:rPr>
                <w:bCs/>
                <w:szCs w:val="20"/>
              </w:rPr>
              <w:t>PLOS Genetics, vol 12</w:t>
            </w:r>
            <w:r w:rsidR="009F5E34">
              <w:rPr>
                <w:bCs/>
                <w:szCs w:val="20"/>
              </w:rPr>
              <w:t>(1),</w:t>
            </w:r>
            <w:r w:rsidRPr="009F5E34">
              <w:rPr>
                <w:bCs/>
                <w:szCs w:val="20"/>
              </w:rPr>
              <w:t xml:space="preserve"> p. e1005679. Public Library Of Science </w:t>
            </w:r>
            <w:hyperlink r:id="rId21" w:history="1">
              <w:r w:rsidR="009F5E34" w:rsidRPr="008B27D4">
                <w:rPr>
                  <w:rStyle w:val="Hyperlink"/>
                  <w:bCs/>
                  <w:szCs w:val="20"/>
                </w:rPr>
                <w:t>https://doi:10.1371/journal.pgen.1005679</w:t>
              </w:r>
            </w:hyperlink>
          </w:p>
          <w:p w14:paraId="3A07258E" w14:textId="4EE4BAF5" w:rsidR="009F5E34" w:rsidRPr="0003164C" w:rsidRDefault="009F5E34" w:rsidP="00AD55E9">
            <w:pPr>
              <w:rPr>
                <w:bCs/>
                <w:szCs w:val="20"/>
              </w:rPr>
            </w:pPr>
          </w:p>
        </w:tc>
        <w:tc>
          <w:tcPr>
            <w:tcW w:w="548" w:type="pct"/>
          </w:tcPr>
          <w:p w14:paraId="3F387907" w14:textId="3E271ECB" w:rsidR="000A0457" w:rsidRPr="0003164C" w:rsidRDefault="00AD55E9" w:rsidP="00FE55F1">
            <w:pPr>
              <w:rPr>
                <w:bCs/>
                <w:szCs w:val="20"/>
              </w:rPr>
            </w:pPr>
            <w:r w:rsidRPr="0003164C">
              <w:rPr>
                <w:bCs/>
                <w:szCs w:val="20"/>
              </w:rPr>
              <w:t>7 January 2016</w:t>
            </w:r>
          </w:p>
        </w:tc>
      </w:tr>
      <w:tr w:rsidR="00AD55E9" w14:paraId="7C039BAC" w14:textId="77777777" w:rsidTr="00C82C07">
        <w:trPr>
          <w:cantSplit/>
        </w:trPr>
        <w:tc>
          <w:tcPr>
            <w:tcW w:w="201" w:type="pct"/>
          </w:tcPr>
          <w:p w14:paraId="17DBEB0D" w14:textId="6B3229EB" w:rsidR="00AD55E9" w:rsidRDefault="00AD55E9" w:rsidP="00FE55F1">
            <w:pPr>
              <w:rPr>
                <w:szCs w:val="20"/>
              </w:rPr>
            </w:pPr>
            <w:r>
              <w:rPr>
                <w:szCs w:val="20"/>
              </w:rPr>
              <w:t xml:space="preserve">10. </w:t>
            </w:r>
          </w:p>
        </w:tc>
        <w:tc>
          <w:tcPr>
            <w:tcW w:w="509" w:type="pct"/>
          </w:tcPr>
          <w:p w14:paraId="6AD50A71" w14:textId="7C85A76C" w:rsidR="00AD55E9" w:rsidRPr="0003164C" w:rsidRDefault="00AD55E9" w:rsidP="00FE55F1">
            <w:pPr>
              <w:rPr>
                <w:bCs/>
                <w:szCs w:val="20"/>
              </w:rPr>
            </w:pPr>
            <w:r w:rsidRPr="0003164C">
              <w:rPr>
                <w:bCs/>
                <w:szCs w:val="20"/>
              </w:rPr>
              <w:t>Cohort Study</w:t>
            </w:r>
          </w:p>
        </w:tc>
        <w:tc>
          <w:tcPr>
            <w:tcW w:w="813" w:type="pct"/>
          </w:tcPr>
          <w:p w14:paraId="09FE7E26" w14:textId="722F77EF" w:rsidR="00AD55E9" w:rsidRPr="0003164C" w:rsidRDefault="00AD55E9" w:rsidP="00FE55F1">
            <w:pPr>
              <w:rPr>
                <w:bCs/>
                <w:szCs w:val="20"/>
              </w:rPr>
            </w:pPr>
            <w:r w:rsidRPr="0003164C">
              <w:rPr>
                <w:bCs/>
                <w:szCs w:val="20"/>
              </w:rPr>
              <w:t>Diagnosing newborns with suspected mitochondrial disorders: an economic evaluation comparing early exome sequencing to current typical care.</w:t>
            </w:r>
          </w:p>
        </w:tc>
        <w:tc>
          <w:tcPr>
            <w:tcW w:w="1423" w:type="pct"/>
          </w:tcPr>
          <w:p w14:paraId="033A3D44" w14:textId="6101445A" w:rsidR="00AD55E9" w:rsidRPr="0003164C" w:rsidRDefault="00AD55E9" w:rsidP="00FE55F1">
            <w:pPr>
              <w:rPr>
                <w:bCs/>
                <w:szCs w:val="20"/>
              </w:rPr>
            </w:pPr>
            <w:r w:rsidRPr="0003164C">
              <w:rPr>
                <w:bCs/>
                <w:szCs w:val="20"/>
              </w:rPr>
              <w:t xml:space="preserve">Early exome sequencing whilst expensive, is an innovative diagnostic tool. Its reimbursement has been difficult to sell, but its value </w:t>
            </w:r>
            <w:r w:rsidR="00F16BAB">
              <w:rPr>
                <w:bCs/>
                <w:szCs w:val="20"/>
              </w:rPr>
              <w:t xml:space="preserve">was shown </w:t>
            </w:r>
            <w:r w:rsidRPr="0003164C">
              <w:rPr>
                <w:bCs/>
                <w:szCs w:val="20"/>
              </w:rPr>
              <w:t xml:space="preserve">by </w:t>
            </w:r>
            <w:r w:rsidR="00776DDB" w:rsidRPr="0003164C">
              <w:rPr>
                <w:bCs/>
                <w:szCs w:val="20"/>
              </w:rPr>
              <w:t>modelling</w:t>
            </w:r>
            <w:r w:rsidRPr="0003164C">
              <w:rPr>
                <w:bCs/>
                <w:szCs w:val="20"/>
              </w:rPr>
              <w:t xml:space="preserve"> the </w:t>
            </w:r>
            <w:r w:rsidR="009C0219">
              <w:rPr>
                <w:bCs/>
                <w:szCs w:val="20"/>
              </w:rPr>
              <w:t>“</w:t>
            </w:r>
            <w:r w:rsidRPr="0003164C">
              <w:rPr>
                <w:bCs/>
                <w:szCs w:val="20"/>
              </w:rPr>
              <w:t>clinical, health status, and cost</w:t>
            </w:r>
            <w:r w:rsidR="009C0219">
              <w:rPr>
                <w:bCs/>
                <w:szCs w:val="20"/>
              </w:rPr>
              <w:t>”</w:t>
            </w:r>
            <w:r w:rsidRPr="0003164C">
              <w:rPr>
                <w:bCs/>
                <w:szCs w:val="20"/>
              </w:rPr>
              <w:t xml:space="preserve"> associated with a severe neonatal mitochondrial disease, as well as reducing the emotional toll on families awaiting diagnosis.</w:t>
            </w:r>
          </w:p>
        </w:tc>
        <w:tc>
          <w:tcPr>
            <w:tcW w:w="1506" w:type="pct"/>
          </w:tcPr>
          <w:p w14:paraId="522521A4" w14:textId="37B95F90" w:rsidR="009F5E34" w:rsidRDefault="009F5E34" w:rsidP="00AD55E9">
            <w:pPr>
              <w:rPr>
                <w:bCs/>
                <w:szCs w:val="20"/>
              </w:rPr>
            </w:pPr>
            <w:r w:rsidRPr="009F5E34">
              <w:rPr>
                <w:bCs/>
                <w:szCs w:val="20"/>
              </w:rPr>
              <w:t>Crawford</w:t>
            </w:r>
            <w:r>
              <w:rPr>
                <w:bCs/>
                <w:szCs w:val="20"/>
              </w:rPr>
              <w:t xml:space="preserve"> et al., </w:t>
            </w:r>
            <w:r w:rsidR="00AA7AD9">
              <w:rPr>
                <w:bCs/>
                <w:szCs w:val="20"/>
              </w:rPr>
              <w:t>2021.</w:t>
            </w:r>
            <w:r w:rsidRPr="009F5E34">
              <w:rPr>
                <w:bCs/>
                <w:szCs w:val="20"/>
              </w:rPr>
              <w:t> </w:t>
            </w:r>
            <w:r w:rsidRPr="00AA7AD9">
              <w:rPr>
                <w:bCs/>
                <w:szCs w:val="20"/>
              </w:rPr>
              <w:t>Genet Med </w:t>
            </w:r>
          </w:p>
          <w:p w14:paraId="0EA5C1B5" w14:textId="6F39A4C8" w:rsidR="00AD55E9" w:rsidRDefault="00913B21" w:rsidP="00AD55E9">
            <w:pPr>
              <w:rPr>
                <w:bCs/>
                <w:szCs w:val="20"/>
              </w:rPr>
            </w:pPr>
            <w:hyperlink r:id="rId22" w:history="1">
              <w:r w:rsidR="00AA7AD9" w:rsidRPr="008B27D4">
                <w:rPr>
                  <w:rStyle w:val="Hyperlink"/>
                  <w:bCs/>
                  <w:szCs w:val="20"/>
                </w:rPr>
                <w:t>https://doi.org/10.1038/s41436-021-01210-0</w:t>
              </w:r>
            </w:hyperlink>
          </w:p>
          <w:p w14:paraId="6C4D1BCA" w14:textId="5D93EADB" w:rsidR="00AA7AD9" w:rsidRPr="0003164C" w:rsidRDefault="00AA7AD9" w:rsidP="00AD55E9">
            <w:pPr>
              <w:rPr>
                <w:bCs/>
                <w:szCs w:val="20"/>
              </w:rPr>
            </w:pPr>
          </w:p>
        </w:tc>
        <w:tc>
          <w:tcPr>
            <w:tcW w:w="548" w:type="pct"/>
          </w:tcPr>
          <w:p w14:paraId="652FF62A" w14:textId="6487A261" w:rsidR="00AD55E9" w:rsidRPr="0003164C" w:rsidRDefault="00AD55E9" w:rsidP="00FE55F1">
            <w:pPr>
              <w:rPr>
                <w:bCs/>
                <w:szCs w:val="20"/>
              </w:rPr>
            </w:pPr>
            <w:r w:rsidRPr="0003164C">
              <w:rPr>
                <w:bCs/>
                <w:szCs w:val="20"/>
              </w:rPr>
              <w:t>26 May 2021</w:t>
            </w:r>
          </w:p>
        </w:tc>
      </w:tr>
      <w:tr w:rsidR="00AD55E9" w14:paraId="2CC6CA72" w14:textId="77777777" w:rsidTr="00C82C07">
        <w:trPr>
          <w:cantSplit/>
        </w:trPr>
        <w:tc>
          <w:tcPr>
            <w:tcW w:w="201" w:type="pct"/>
          </w:tcPr>
          <w:p w14:paraId="0D3ED28A" w14:textId="22C5FEB3" w:rsidR="00AD55E9" w:rsidRDefault="00AD55E9" w:rsidP="00FE55F1">
            <w:pPr>
              <w:rPr>
                <w:szCs w:val="20"/>
              </w:rPr>
            </w:pPr>
            <w:r>
              <w:rPr>
                <w:szCs w:val="20"/>
              </w:rPr>
              <w:lastRenderedPageBreak/>
              <w:t>11.</w:t>
            </w:r>
          </w:p>
        </w:tc>
        <w:tc>
          <w:tcPr>
            <w:tcW w:w="509" w:type="pct"/>
          </w:tcPr>
          <w:p w14:paraId="3E1FA5FD" w14:textId="0A390EEC" w:rsidR="00AD55E9" w:rsidRPr="0003164C" w:rsidRDefault="00937963" w:rsidP="00FE55F1">
            <w:pPr>
              <w:rPr>
                <w:bCs/>
                <w:szCs w:val="20"/>
              </w:rPr>
            </w:pPr>
            <w:r w:rsidRPr="0003164C">
              <w:rPr>
                <w:bCs/>
                <w:szCs w:val="20"/>
              </w:rPr>
              <w:t>Retrospective clinical and data analysis</w:t>
            </w:r>
          </w:p>
        </w:tc>
        <w:tc>
          <w:tcPr>
            <w:tcW w:w="813" w:type="pct"/>
          </w:tcPr>
          <w:p w14:paraId="5F2FBB0B" w14:textId="1D98FB6F" w:rsidR="00AD55E9" w:rsidRPr="0003164C" w:rsidRDefault="00937963" w:rsidP="00FE55F1">
            <w:pPr>
              <w:rPr>
                <w:bCs/>
                <w:szCs w:val="20"/>
              </w:rPr>
            </w:pPr>
            <w:r w:rsidRPr="0003164C">
              <w:rPr>
                <w:bCs/>
                <w:szCs w:val="20"/>
              </w:rPr>
              <w:t>Neonatal onset of mitochondrial disorders in 129 patients: clinical and laboratory characteristics and a new approach to diagnosis</w:t>
            </w:r>
          </w:p>
        </w:tc>
        <w:tc>
          <w:tcPr>
            <w:tcW w:w="1423" w:type="pct"/>
          </w:tcPr>
          <w:p w14:paraId="4527708F" w14:textId="351EF6CB" w:rsidR="00AD55E9" w:rsidRPr="0003164C" w:rsidRDefault="00937963" w:rsidP="00FE55F1">
            <w:pPr>
              <w:rPr>
                <w:bCs/>
                <w:szCs w:val="20"/>
              </w:rPr>
            </w:pPr>
            <w:r w:rsidRPr="0003164C">
              <w:rPr>
                <w:bCs/>
                <w:szCs w:val="20"/>
              </w:rPr>
              <w:t xml:space="preserve">To date, the gold standard for mitochondrial disease diagnosis has been muscle biopsy. However, it’s invasive and has several limitations specific to neonates, in particular, difficult enzymatic study interpretations, low muscle mass, and their </w:t>
            </w:r>
            <w:r w:rsidR="00776DDB" w:rsidRPr="0003164C">
              <w:rPr>
                <w:bCs/>
                <w:szCs w:val="20"/>
              </w:rPr>
              <w:t>often-unstable</w:t>
            </w:r>
            <w:r w:rsidRPr="0003164C">
              <w:rPr>
                <w:bCs/>
                <w:szCs w:val="20"/>
              </w:rPr>
              <w:t xml:space="preserve"> clinical status. Therefore, </w:t>
            </w:r>
            <w:r w:rsidR="009C0219">
              <w:rPr>
                <w:bCs/>
                <w:szCs w:val="20"/>
              </w:rPr>
              <w:t>“</w:t>
            </w:r>
            <w:r w:rsidRPr="0003164C">
              <w:rPr>
                <w:bCs/>
                <w:szCs w:val="20"/>
              </w:rPr>
              <w:t>extensive molecular-genetic studies should be done before biopsy</w:t>
            </w:r>
            <w:r w:rsidR="009C0219">
              <w:rPr>
                <w:bCs/>
                <w:szCs w:val="20"/>
              </w:rPr>
              <w:t>”</w:t>
            </w:r>
            <w:r w:rsidRPr="0003164C">
              <w:rPr>
                <w:bCs/>
                <w:szCs w:val="20"/>
              </w:rPr>
              <w:t xml:space="preserve">.  </w:t>
            </w:r>
          </w:p>
        </w:tc>
        <w:tc>
          <w:tcPr>
            <w:tcW w:w="1506" w:type="pct"/>
          </w:tcPr>
          <w:p w14:paraId="17EFCDB6" w14:textId="77777777" w:rsidR="00AA7AD9" w:rsidRDefault="00AA7AD9" w:rsidP="00937963">
            <w:pPr>
              <w:rPr>
                <w:bCs/>
                <w:szCs w:val="20"/>
              </w:rPr>
            </w:pPr>
            <w:proofErr w:type="spellStart"/>
            <w:r w:rsidRPr="00AA7AD9">
              <w:rPr>
                <w:bCs/>
                <w:szCs w:val="20"/>
              </w:rPr>
              <w:t>Honzik</w:t>
            </w:r>
            <w:proofErr w:type="spellEnd"/>
            <w:r>
              <w:rPr>
                <w:bCs/>
                <w:szCs w:val="20"/>
              </w:rPr>
              <w:t xml:space="preserve"> et al. 2012</w:t>
            </w:r>
            <w:r w:rsidRPr="00AA7AD9">
              <w:rPr>
                <w:bCs/>
                <w:szCs w:val="20"/>
              </w:rPr>
              <w:t xml:space="preserve">. J Inherit </w:t>
            </w:r>
            <w:proofErr w:type="spellStart"/>
            <w:r w:rsidRPr="00AA7AD9">
              <w:rPr>
                <w:bCs/>
                <w:szCs w:val="20"/>
              </w:rPr>
              <w:t>Metab</w:t>
            </w:r>
            <w:proofErr w:type="spellEnd"/>
            <w:r w:rsidRPr="00AA7AD9">
              <w:rPr>
                <w:bCs/>
                <w:szCs w:val="20"/>
              </w:rPr>
              <w:t xml:space="preserve"> Dis. 2012 Sep;35(5):749-59. </w:t>
            </w:r>
          </w:p>
          <w:p w14:paraId="2782870A" w14:textId="6AF792E1" w:rsidR="00AA7AD9" w:rsidRDefault="00913B21" w:rsidP="00937963">
            <w:pPr>
              <w:rPr>
                <w:bCs/>
                <w:szCs w:val="20"/>
              </w:rPr>
            </w:pPr>
            <w:hyperlink r:id="rId23" w:history="1">
              <w:r w:rsidR="00AA7AD9" w:rsidRPr="008B27D4">
                <w:rPr>
                  <w:rStyle w:val="Hyperlink"/>
                  <w:bCs/>
                  <w:szCs w:val="20"/>
                </w:rPr>
                <w:t>https://pubmed.ncbi.nlm.nih.gov/22231385/</w:t>
              </w:r>
            </w:hyperlink>
          </w:p>
          <w:p w14:paraId="5DD051EC" w14:textId="77777777" w:rsidR="00AA7AD9" w:rsidRDefault="00AA7AD9" w:rsidP="00937963">
            <w:pPr>
              <w:rPr>
                <w:bCs/>
                <w:szCs w:val="20"/>
              </w:rPr>
            </w:pPr>
          </w:p>
          <w:p w14:paraId="1515F671" w14:textId="4090A12D" w:rsidR="00AA7AD9" w:rsidRPr="0003164C" w:rsidRDefault="00AA7AD9" w:rsidP="00937963">
            <w:pPr>
              <w:rPr>
                <w:bCs/>
                <w:szCs w:val="20"/>
              </w:rPr>
            </w:pPr>
          </w:p>
        </w:tc>
        <w:tc>
          <w:tcPr>
            <w:tcW w:w="548" w:type="pct"/>
          </w:tcPr>
          <w:p w14:paraId="069C1463" w14:textId="7A2EA994" w:rsidR="00AD55E9" w:rsidRPr="0003164C" w:rsidRDefault="00937963" w:rsidP="00FE55F1">
            <w:pPr>
              <w:rPr>
                <w:bCs/>
                <w:szCs w:val="20"/>
              </w:rPr>
            </w:pPr>
            <w:r w:rsidRPr="0003164C">
              <w:rPr>
                <w:bCs/>
                <w:szCs w:val="20"/>
              </w:rPr>
              <w:t>10 January 2012</w:t>
            </w:r>
          </w:p>
        </w:tc>
      </w:tr>
      <w:tr w:rsidR="00937963" w14:paraId="21BE72D4" w14:textId="77777777" w:rsidTr="00937963">
        <w:trPr>
          <w:cantSplit/>
        </w:trPr>
        <w:tc>
          <w:tcPr>
            <w:tcW w:w="201" w:type="pct"/>
          </w:tcPr>
          <w:p w14:paraId="5AAAC3CC" w14:textId="73BE19A7" w:rsidR="00937963" w:rsidRDefault="002309C3" w:rsidP="00FE55F1">
            <w:pPr>
              <w:rPr>
                <w:szCs w:val="20"/>
              </w:rPr>
            </w:pPr>
            <w:r>
              <w:rPr>
                <w:szCs w:val="20"/>
              </w:rPr>
              <w:t>12.</w:t>
            </w:r>
          </w:p>
        </w:tc>
        <w:tc>
          <w:tcPr>
            <w:tcW w:w="509" w:type="pct"/>
          </w:tcPr>
          <w:p w14:paraId="64263E60" w14:textId="6E04A6A2" w:rsidR="00937963" w:rsidRPr="0003164C" w:rsidRDefault="002309C3" w:rsidP="00FE55F1">
            <w:pPr>
              <w:rPr>
                <w:bCs/>
                <w:szCs w:val="20"/>
              </w:rPr>
            </w:pPr>
            <w:r w:rsidRPr="0003164C">
              <w:rPr>
                <w:bCs/>
                <w:szCs w:val="20"/>
              </w:rPr>
              <w:t>Review</w:t>
            </w:r>
          </w:p>
        </w:tc>
        <w:tc>
          <w:tcPr>
            <w:tcW w:w="813" w:type="pct"/>
          </w:tcPr>
          <w:p w14:paraId="2A33DDD7" w14:textId="7411A6B8" w:rsidR="00937963" w:rsidRPr="0003164C" w:rsidRDefault="002309C3" w:rsidP="00FE55F1">
            <w:pPr>
              <w:rPr>
                <w:bCs/>
                <w:szCs w:val="20"/>
              </w:rPr>
            </w:pPr>
            <w:r w:rsidRPr="0003164C">
              <w:rPr>
                <w:bCs/>
                <w:szCs w:val="20"/>
              </w:rPr>
              <w:t>Genetics of mitochondrial diseases: Identifying mutations to help diagnosis</w:t>
            </w:r>
          </w:p>
        </w:tc>
        <w:tc>
          <w:tcPr>
            <w:tcW w:w="1423" w:type="pct"/>
          </w:tcPr>
          <w:p w14:paraId="22D24957" w14:textId="3E8A1CB5" w:rsidR="00937963" w:rsidRPr="0003164C" w:rsidRDefault="002309C3" w:rsidP="00FE55F1">
            <w:pPr>
              <w:rPr>
                <w:bCs/>
                <w:szCs w:val="20"/>
              </w:rPr>
            </w:pPr>
            <w:r w:rsidRPr="0003164C">
              <w:rPr>
                <w:bCs/>
                <w:szCs w:val="20"/>
              </w:rPr>
              <w:t>Due to diversity, phenotypic overlap with other diseases, and absence of reliable biomarkers, the integration of WGS and WES, early in the diagnostic algorithm has become increasingly necessary. Capturing all genes, increases the mitochondrial disease diagnostic rate, accelerates novel disease gene discovery, and detects unexpected or treatable genetic diseases.</w:t>
            </w:r>
          </w:p>
        </w:tc>
        <w:tc>
          <w:tcPr>
            <w:tcW w:w="1506" w:type="pct"/>
          </w:tcPr>
          <w:p w14:paraId="4CCC17DC" w14:textId="1FCBA5EE" w:rsidR="00937963" w:rsidRDefault="00937963" w:rsidP="002309C3">
            <w:pPr>
              <w:rPr>
                <w:bCs/>
                <w:szCs w:val="20"/>
              </w:rPr>
            </w:pPr>
            <w:proofErr w:type="spellStart"/>
            <w:r w:rsidRPr="0003164C">
              <w:rPr>
                <w:bCs/>
                <w:szCs w:val="20"/>
              </w:rPr>
              <w:t>Stenton</w:t>
            </w:r>
            <w:proofErr w:type="spellEnd"/>
            <w:r w:rsidR="00AA7AD9">
              <w:rPr>
                <w:bCs/>
                <w:szCs w:val="20"/>
              </w:rPr>
              <w:t xml:space="preserve"> &amp;</w:t>
            </w:r>
            <w:r w:rsidRPr="0003164C">
              <w:rPr>
                <w:bCs/>
                <w:szCs w:val="20"/>
              </w:rPr>
              <w:t xml:space="preserve"> </w:t>
            </w:r>
            <w:proofErr w:type="spellStart"/>
            <w:r w:rsidRPr="0003164C">
              <w:rPr>
                <w:bCs/>
                <w:szCs w:val="20"/>
              </w:rPr>
              <w:t>Prokisch</w:t>
            </w:r>
            <w:proofErr w:type="spellEnd"/>
            <w:r w:rsidRPr="0003164C">
              <w:rPr>
                <w:bCs/>
                <w:szCs w:val="20"/>
              </w:rPr>
              <w:t xml:space="preserve">. </w:t>
            </w:r>
            <w:r w:rsidR="00AA7AD9">
              <w:rPr>
                <w:bCs/>
                <w:szCs w:val="20"/>
              </w:rPr>
              <w:t xml:space="preserve">2020. </w:t>
            </w:r>
            <w:r w:rsidRPr="0003164C">
              <w:rPr>
                <w:bCs/>
                <w:szCs w:val="20"/>
              </w:rPr>
              <w:t> </w:t>
            </w:r>
            <w:proofErr w:type="spellStart"/>
            <w:r w:rsidRPr="00AA7AD9">
              <w:rPr>
                <w:bCs/>
                <w:szCs w:val="20"/>
              </w:rPr>
              <w:t>Ebiomedicine</w:t>
            </w:r>
            <w:proofErr w:type="spellEnd"/>
            <w:r w:rsidRPr="00AA7AD9">
              <w:rPr>
                <w:bCs/>
                <w:szCs w:val="20"/>
              </w:rPr>
              <w:t>,</w:t>
            </w:r>
            <w:r w:rsidRPr="0003164C">
              <w:rPr>
                <w:bCs/>
                <w:szCs w:val="20"/>
              </w:rPr>
              <w:t xml:space="preserve"> vol 56, p. 102784. </w:t>
            </w:r>
            <w:r w:rsidRPr="00AA7AD9">
              <w:rPr>
                <w:bCs/>
                <w:szCs w:val="20"/>
              </w:rPr>
              <w:t>Elsevier BV,</w:t>
            </w:r>
            <w:r w:rsidRPr="0003164C">
              <w:rPr>
                <w:bCs/>
                <w:szCs w:val="20"/>
              </w:rPr>
              <w:t xml:space="preserve"> </w:t>
            </w:r>
            <w:hyperlink r:id="rId24" w:history="1">
              <w:r w:rsidR="00AA7AD9" w:rsidRPr="008B27D4">
                <w:rPr>
                  <w:rStyle w:val="Hyperlink"/>
                  <w:bCs/>
                  <w:szCs w:val="20"/>
                </w:rPr>
                <w:t>https://doi:10.1016/j.ebiom.2020.102784</w:t>
              </w:r>
            </w:hyperlink>
          </w:p>
          <w:p w14:paraId="785445F9" w14:textId="32CBBADA" w:rsidR="00AA7AD9" w:rsidRPr="0003164C" w:rsidRDefault="00AA7AD9" w:rsidP="002309C3">
            <w:pPr>
              <w:rPr>
                <w:bCs/>
                <w:szCs w:val="20"/>
              </w:rPr>
            </w:pPr>
          </w:p>
        </w:tc>
        <w:tc>
          <w:tcPr>
            <w:tcW w:w="548" w:type="pct"/>
          </w:tcPr>
          <w:p w14:paraId="540D6A93" w14:textId="069BDE0F" w:rsidR="00937963" w:rsidRPr="0003164C" w:rsidRDefault="002309C3" w:rsidP="00FE55F1">
            <w:pPr>
              <w:rPr>
                <w:bCs/>
                <w:szCs w:val="20"/>
              </w:rPr>
            </w:pPr>
            <w:r w:rsidRPr="0003164C">
              <w:rPr>
                <w:bCs/>
                <w:szCs w:val="20"/>
              </w:rPr>
              <w:t>23 May 2020</w:t>
            </w:r>
          </w:p>
        </w:tc>
      </w:tr>
      <w:tr w:rsidR="002309C3" w14:paraId="3F4D4D12" w14:textId="77777777" w:rsidTr="00937963">
        <w:trPr>
          <w:cantSplit/>
        </w:trPr>
        <w:tc>
          <w:tcPr>
            <w:tcW w:w="201" w:type="pct"/>
          </w:tcPr>
          <w:p w14:paraId="396B6EF2" w14:textId="6AA08282" w:rsidR="002309C3" w:rsidRDefault="002309C3" w:rsidP="00FE55F1">
            <w:pPr>
              <w:rPr>
                <w:szCs w:val="20"/>
              </w:rPr>
            </w:pPr>
            <w:r>
              <w:rPr>
                <w:szCs w:val="20"/>
              </w:rPr>
              <w:t>13.</w:t>
            </w:r>
          </w:p>
        </w:tc>
        <w:tc>
          <w:tcPr>
            <w:tcW w:w="509" w:type="pct"/>
          </w:tcPr>
          <w:p w14:paraId="698BFB79" w14:textId="47D42B4B" w:rsidR="002309C3" w:rsidRPr="0003164C" w:rsidRDefault="002309C3" w:rsidP="00FE55F1">
            <w:pPr>
              <w:rPr>
                <w:bCs/>
                <w:szCs w:val="20"/>
              </w:rPr>
            </w:pPr>
            <w:r w:rsidRPr="0003164C">
              <w:rPr>
                <w:bCs/>
                <w:szCs w:val="20"/>
              </w:rPr>
              <w:t>Invited Review</w:t>
            </w:r>
          </w:p>
        </w:tc>
        <w:tc>
          <w:tcPr>
            <w:tcW w:w="813" w:type="pct"/>
          </w:tcPr>
          <w:p w14:paraId="3A3B4EB0" w14:textId="5D2037C3" w:rsidR="002309C3" w:rsidRPr="0003164C" w:rsidRDefault="002309C3" w:rsidP="00FE55F1">
            <w:pPr>
              <w:rPr>
                <w:bCs/>
                <w:szCs w:val="20"/>
              </w:rPr>
            </w:pPr>
            <w:r w:rsidRPr="0003164C">
              <w:rPr>
                <w:bCs/>
                <w:szCs w:val="20"/>
              </w:rPr>
              <w:t>Mitochondrial Disease: Advances in Clinical Diagnosis, Management, Therapeutic Development, and Preventative Strategies</w:t>
            </w:r>
          </w:p>
        </w:tc>
        <w:tc>
          <w:tcPr>
            <w:tcW w:w="1423" w:type="pct"/>
          </w:tcPr>
          <w:p w14:paraId="104687D6" w14:textId="2450DEA2" w:rsidR="002309C3" w:rsidRPr="0003164C" w:rsidRDefault="002309C3" w:rsidP="00FE55F1">
            <w:pPr>
              <w:rPr>
                <w:bCs/>
                <w:szCs w:val="20"/>
              </w:rPr>
            </w:pPr>
            <w:r w:rsidRPr="0003164C">
              <w:rPr>
                <w:bCs/>
                <w:szCs w:val="20"/>
              </w:rPr>
              <w:t xml:space="preserve">The importance of a genetic mitochondrial diagnosis is supported by improved standards of patient care, </w:t>
            </w:r>
            <w:r w:rsidR="009C0219">
              <w:rPr>
                <w:bCs/>
                <w:szCs w:val="20"/>
              </w:rPr>
              <w:t>‘</w:t>
            </w:r>
            <w:r w:rsidRPr="0003164C">
              <w:rPr>
                <w:bCs/>
                <w:szCs w:val="20"/>
              </w:rPr>
              <w:t>complemented by emerging therapies that target specific molecular subtypes</w:t>
            </w:r>
            <w:r w:rsidR="009C0219">
              <w:rPr>
                <w:bCs/>
                <w:szCs w:val="20"/>
              </w:rPr>
              <w:t>’</w:t>
            </w:r>
            <w:r w:rsidRPr="0003164C">
              <w:rPr>
                <w:bCs/>
                <w:szCs w:val="20"/>
              </w:rPr>
              <w:t xml:space="preserve">, reproductive </w:t>
            </w:r>
            <w:r w:rsidR="00776DDB" w:rsidRPr="0003164C">
              <w:rPr>
                <w:bCs/>
                <w:szCs w:val="20"/>
              </w:rPr>
              <w:t>counselling</w:t>
            </w:r>
            <w:r w:rsidRPr="0003164C">
              <w:rPr>
                <w:bCs/>
                <w:szCs w:val="20"/>
              </w:rPr>
              <w:t xml:space="preserve"> options </w:t>
            </w:r>
            <w:r w:rsidR="009C0219">
              <w:rPr>
                <w:bCs/>
                <w:szCs w:val="20"/>
              </w:rPr>
              <w:t>with now available</w:t>
            </w:r>
            <w:r w:rsidRPr="0003164C">
              <w:rPr>
                <w:bCs/>
                <w:szCs w:val="20"/>
              </w:rPr>
              <w:t xml:space="preserve"> preimplantation genetic diagnosis at the time of IVF, and mitochondrial replacement technologies for some mtDNA disorders.</w:t>
            </w:r>
          </w:p>
        </w:tc>
        <w:tc>
          <w:tcPr>
            <w:tcW w:w="1506" w:type="pct"/>
          </w:tcPr>
          <w:p w14:paraId="41298FC2" w14:textId="77777777" w:rsidR="00AA7AD9" w:rsidRPr="00AA7AD9" w:rsidRDefault="002309C3" w:rsidP="002309C3">
            <w:pPr>
              <w:rPr>
                <w:bCs/>
                <w:szCs w:val="20"/>
              </w:rPr>
            </w:pPr>
            <w:proofErr w:type="spellStart"/>
            <w:r w:rsidRPr="0003164C">
              <w:rPr>
                <w:bCs/>
                <w:szCs w:val="20"/>
              </w:rPr>
              <w:t>Muraresku</w:t>
            </w:r>
            <w:proofErr w:type="spellEnd"/>
            <w:r w:rsidR="00AA7AD9">
              <w:rPr>
                <w:bCs/>
                <w:szCs w:val="20"/>
              </w:rPr>
              <w:t xml:space="preserve"> et al., 2018</w:t>
            </w:r>
            <w:r w:rsidRPr="0003164C">
              <w:rPr>
                <w:bCs/>
                <w:szCs w:val="20"/>
              </w:rPr>
              <w:t>. </w:t>
            </w:r>
            <w:proofErr w:type="spellStart"/>
            <w:r w:rsidRPr="00AA7AD9">
              <w:rPr>
                <w:bCs/>
                <w:szCs w:val="20"/>
              </w:rPr>
              <w:t>Curr</w:t>
            </w:r>
            <w:proofErr w:type="spellEnd"/>
            <w:r w:rsidRPr="00AA7AD9">
              <w:rPr>
                <w:bCs/>
                <w:szCs w:val="20"/>
              </w:rPr>
              <w:t xml:space="preserve"> Genet Med Rep 6, 62–72</w:t>
            </w:r>
          </w:p>
          <w:p w14:paraId="13207C42" w14:textId="3DC1716F" w:rsidR="002309C3" w:rsidRDefault="002309C3" w:rsidP="002309C3">
            <w:pPr>
              <w:rPr>
                <w:bCs/>
                <w:szCs w:val="20"/>
              </w:rPr>
            </w:pPr>
            <w:r w:rsidRPr="0003164C">
              <w:rPr>
                <w:bCs/>
                <w:szCs w:val="20"/>
              </w:rPr>
              <w:t xml:space="preserve"> </w:t>
            </w:r>
            <w:hyperlink r:id="rId25" w:history="1">
              <w:r w:rsidR="00AA7AD9" w:rsidRPr="008B27D4">
                <w:rPr>
                  <w:rStyle w:val="Hyperlink"/>
                  <w:bCs/>
                  <w:szCs w:val="20"/>
                </w:rPr>
                <w:t>https://doi.org/10.1007/s40142-018-0138-9</w:t>
              </w:r>
            </w:hyperlink>
          </w:p>
          <w:p w14:paraId="7CD5E4AC" w14:textId="49B72C04" w:rsidR="00AA7AD9" w:rsidRPr="0003164C" w:rsidRDefault="00AA7AD9" w:rsidP="002309C3">
            <w:pPr>
              <w:rPr>
                <w:bCs/>
                <w:szCs w:val="20"/>
              </w:rPr>
            </w:pPr>
          </w:p>
        </w:tc>
        <w:tc>
          <w:tcPr>
            <w:tcW w:w="548" w:type="pct"/>
          </w:tcPr>
          <w:p w14:paraId="34B282B6" w14:textId="5A495745" w:rsidR="002309C3" w:rsidRPr="0003164C" w:rsidRDefault="002309C3" w:rsidP="00FE55F1">
            <w:pPr>
              <w:rPr>
                <w:bCs/>
                <w:szCs w:val="20"/>
              </w:rPr>
            </w:pPr>
            <w:r w:rsidRPr="0003164C">
              <w:rPr>
                <w:bCs/>
                <w:szCs w:val="20"/>
              </w:rPr>
              <w:t>2 May 2018</w:t>
            </w:r>
          </w:p>
        </w:tc>
      </w:tr>
      <w:tr w:rsidR="002309C3" w14:paraId="0C9DC5FB" w14:textId="77777777" w:rsidTr="00937963">
        <w:trPr>
          <w:cantSplit/>
        </w:trPr>
        <w:tc>
          <w:tcPr>
            <w:tcW w:w="201" w:type="pct"/>
          </w:tcPr>
          <w:p w14:paraId="5D6266C8" w14:textId="3F8AD058" w:rsidR="002309C3" w:rsidRDefault="002309C3" w:rsidP="00FE55F1">
            <w:pPr>
              <w:rPr>
                <w:szCs w:val="20"/>
              </w:rPr>
            </w:pPr>
            <w:r>
              <w:rPr>
                <w:szCs w:val="20"/>
              </w:rPr>
              <w:lastRenderedPageBreak/>
              <w:t xml:space="preserve">14. </w:t>
            </w:r>
          </w:p>
        </w:tc>
        <w:tc>
          <w:tcPr>
            <w:tcW w:w="509" w:type="pct"/>
          </w:tcPr>
          <w:p w14:paraId="230DDCFA" w14:textId="345695DB" w:rsidR="002309C3" w:rsidRPr="0003164C" w:rsidRDefault="007F24DF" w:rsidP="00FE55F1">
            <w:pPr>
              <w:rPr>
                <w:bCs/>
                <w:szCs w:val="20"/>
              </w:rPr>
            </w:pPr>
            <w:r w:rsidRPr="0003164C">
              <w:rPr>
                <w:bCs/>
                <w:szCs w:val="20"/>
              </w:rPr>
              <w:t>Review</w:t>
            </w:r>
          </w:p>
        </w:tc>
        <w:tc>
          <w:tcPr>
            <w:tcW w:w="813" w:type="pct"/>
          </w:tcPr>
          <w:p w14:paraId="65E31FE3" w14:textId="552D10B1" w:rsidR="002309C3" w:rsidRPr="0003164C" w:rsidRDefault="002309C3" w:rsidP="00FE55F1">
            <w:pPr>
              <w:rPr>
                <w:bCs/>
                <w:szCs w:val="20"/>
              </w:rPr>
            </w:pPr>
            <w:r w:rsidRPr="0003164C">
              <w:rPr>
                <w:bCs/>
                <w:szCs w:val="20"/>
              </w:rPr>
              <w:t>Mitochondrial disease genetics update: recent insights into the molecular diagnosis and expanding phenotype of primary mitochondrial disease</w:t>
            </w:r>
          </w:p>
        </w:tc>
        <w:tc>
          <w:tcPr>
            <w:tcW w:w="1423" w:type="pct"/>
          </w:tcPr>
          <w:p w14:paraId="554B22BA" w14:textId="5713C623" w:rsidR="002309C3" w:rsidRPr="0003164C" w:rsidRDefault="007F24DF" w:rsidP="00FE55F1">
            <w:pPr>
              <w:rPr>
                <w:bCs/>
                <w:szCs w:val="20"/>
              </w:rPr>
            </w:pPr>
            <w:r w:rsidRPr="0003164C">
              <w:rPr>
                <w:bCs/>
                <w:szCs w:val="20"/>
              </w:rPr>
              <w:t>With &gt;350 genetic mutations now recognized in mitochondrial disease, WGS/WES approaches have dramatically accelerated gene discovery, diagnostic yield, and has significantly expand</w:t>
            </w:r>
            <w:r w:rsidR="00E478C5" w:rsidRPr="0003164C">
              <w:rPr>
                <w:bCs/>
                <w:szCs w:val="20"/>
              </w:rPr>
              <w:t>ed</w:t>
            </w:r>
            <w:r w:rsidRPr="0003164C">
              <w:rPr>
                <w:bCs/>
                <w:szCs w:val="20"/>
              </w:rPr>
              <w:t xml:space="preserve"> our understanding of clinical phenotypes and mitochondrial physiology</w:t>
            </w:r>
            <w:r w:rsidR="00E478C5" w:rsidRPr="0003164C">
              <w:rPr>
                <w:bCs/>
                <w:szCs w:val="20"/>
              </w:rPr>
              <w:t xml:space="preserve">, thus </w:t>
            </w:r>
            <w:r w:rsidRPr="0003164C">
              <w:rPr>
                <w:bCs/>
                <w:szCs w:val="20"/>
              </w:rPr>
              <w:t>allow</w:t>
            </w:r>
            <w:r w:rsidR="00E478C5" w:rsidRPr="0003164C">
              <w:rPr>
                <w:bCs/>
                <w:szCs w:val="20"/>
              </w:rPr>
              <w:t xml:space="preserve">ing </w:t>
            </w:r>
            <w:r w:rsidRPr="0003164C">
              <w:rPr>
                <w:bCs/>
                <w:szCs w:val="20"/>
              </w:rPr>
              <w:t xml:space="preserve"> for</w:t>
            </w:r>
            <w:r w:rsidR="00E478C5" w:rsidRPr="0003164C">
              <w:rPr>
                <w:bCs/>
                <w:szCs w:val="20"/>
              </w:rPr>
              <w:t xml:space="preserve"> more precise and</w:t>
            </w:r>
            <w:r w:rsidRPr="0003164C">
              <w:rPr>
                <w:bCs/>
                <w:szCs w:val="20"/>
              </w:rPr>
              <w:t xml:space="preserve"> </w:t>
            </w:r>
            <w:r w:rsidR="00E478C5" w:rsidRPr="0003164C">
              <w:rPr>
                <w:bCs/>
                <w:szCs w:val="20"/>
              </w:rPr>
              <w:t xml:space="preserve">targeted </w:t>
            </w:r>
            <w:r w:rsidRPr="0003164C">
              <w:rPr>
                <w:bCs/>
                <w:szCs w:val="20"/>
              </w:rPr>
              <w:t>therapeutics.</w:t>
            </w:r>
          </w:p>
        </w:tc>
        <w:tc>
          <w:tcPr>
            <w:tcW w:w="1506" w:type="pct"/>
          </w:tcPr>
          <w:p w14:paraId="648DE9EB" w14:textId="77777777" w:rsidR="00AA7AD9" w:rsidRDefault="00E478C5" w:rsidP="002309C3">
            <w:pPr>
              <w:rPr>
                <w:bCs/>
                <w:szCs w:val="20"/>
              </w:rPr>
            </w:pPr>
            <w:r w:rsidRPr="0003164C">
              <w:rPr>
                <w:bCs/>
                <w:szCs w:val="20"/>
              </w:rPr>
              <w:t xml:space="preserve">McCormick </w:t>
            </w:r>
            <w:r w:rsidR="00AA7AD9">
              <w:rPr>
                <w:bCs/>
                <w:szCs w:val="20"/>
              </w:rPr>
              <w:t xml:space="preserve">et al., 2018. </w:t>
            </w:r>
            <w:proofErr w:type="spellStart"/>
            <w:r w:rsidRPr="0003164C">
              <w:rPr>
                <w:bCs/>
                <w:szCs w:val="20"/>
              </w:rPr>
              <w:t>Curr</w:t>
            </w:r>
            <w:proofErr w:type="spellEnd"/>
            <w:r w:rsidRPr="0003164C">
              <w:rPr>
                <w:bCs/>
                <w:szCs w:val="20"/>
              </w:rPr>
              <w:t xml:space="preserve"> </w:t>
            </w:r>
            <w:proofErr w:type="spellStart"/>
            <w:r w:rsidRPr="0003164C">
              <w:rPr>
                <w:bCs/>
                <w:szCs w:val="20"/>
              </w:rPr>
              <w:t>Opin</w:t>
            </w:r>
            <w:proofErr w:type="spellEnd"/>
            <w:r w:rsidRPr="0003164C">
              <w:rPr>
                <w:bCs/>
                <w:szCs w:val="20"/>
              </w:rPr>
              <w:t xml:space="preserve"> </w:t>
            </w:r>
            <w:proofErr w:type="spellStart"/>
            <w:r w:rsidRPr="0003164C">
              <w:rPr>
                <w:bCs/>
                <w:szCs w:val="20"/>
              </w:rPr>
              <w:t>Pediatr</w:t>
            </w:r>
            <w:proofErr w:type="spellEnd"/>
            <w:r w:rsidRPr="0003164C">
              <w:rPr>
                <w:bCs/>
                <w:szCs w:val="20"/>
              </w:rPr>
              <w:t xml:space="preserve">. Dec;30(6):714-724. </w:t>
            </w:r>
          </w:p>
          <w:p w14:paraId="0245A71B" w14:textId="376EC606" w:rsidR="00AA7AD9" w:rsidRDefault="00913B21" w:rsidP="002309C3">
            <w:pPr>
              <w:rPr>
                <w:bCs/>
                <w:szCs w:val="20"/>
              </w:rPr>
            </w:pPr>
            <w:hyperlink r:id="rId26" w:history="1">
              <w:r w:rsidR="00AA7AD9" w:rsidRPr="008B27D4">
                <w:rPr>
                  <w:rStyle w:val="Hyperlink"/>
                  <w:bCs/>
                  <w:szCs w:val="20"/>
                </w:rPr>
                <w:t>https://doi:10.1097/MOP.0000000000000686</w:t>
              </w:r>
            </w:hyperlink>
          </w:p>
          <w:p w14:paraId="3E801C8D" w14:textId="2E55AB7F" w:rsidR="00AA7AD9" w:rsidRPr="0003164C" w:rsidRDefault="00AA7AD9" w:rsidP="002309C3">
            <w:pPr>
              <w:rPr>
                <w:bCs/>
                <w:szCs w:val="20"/>
              </w:rPr>
            </w:pPr>
          </w:p>
        </w:tc>
        <w:tc>
          <w:tcPr>
            <w:tcW w:w="548" w:type="pct"/>
          </w:tcPr>
          <w:p w14:paraId="53D4250A" w14:textId="657038E9" w:rsidR="002309C3" w:rsidRPr="0003164C" w:rsidRDefault="00E478C5" w:rsidP="00FE55F1">
            <w:pPr>
              <w:rPr>
                <w:bCs/>
                <w:szCs w:val="20"/>
              </w:rPr>
            </w:pPr>
            <w:r w:rsidRPr="0003164C">
              <w:rPr>
                <w:bCs/>
                <w:szCs w:val="20"/>
              </w:rPr>
              <w:t>December 2018</w:t>
            </w:r>
          </w:p>
        </w:tc>
      </w:tr>
      <w:tr w:rsidR="00E478C5" w14:paraId="5F3FA494" w14:textId="77777777" w:rsidTr="00937963">
        <w:trPr>
          <w:cantSplit/>
        </w:trPr>
        <w:tc>
          <w:tcPr>
            <w:tcW w:w="201" w:type="pct"/>
          </w:tcPr>
          <w:p w14:paraId="24014B5C" w14:textId="358C4349" w:rsidR="00E478C5" w:rsidRDefault="00E478C5" w:rsidP="00FE55F1">
            <w:pPr>
              <w:rPr>
                <w:szCs w:val="20"/>
              </w:rPr>
            </w:pPr>
            <w:r>
              <w:rPr>
                <w:szCs w:val="20"/>
              </w:rPr>
              <w:t>15.</w:t>
            </w:r>
          </w:p>
        </w:tc>
        <w:tc>
          <w:tcPr>
            <w:tcW w:w="509" w:type="pct"/>
          </w:tcPr>
          <w:p w14:paraId="60B4D034" w14:textId="47A57661" w:rsidR="00E478C5" w:rsidRPr="0003164C" w:rsidRDefault="00CC0E31" w:rsidP="00FE55F1">
            <w:pPr>
              <w:rPr>
                <w:bCs/>
                <w:szCs w:val="20"/>
              </w:rPr>
            </w:pPr>
            <w:r w:rsidRPr="0003164C">
              <w:rPr>
                <w:bCs/>
                <w:szCs w:val="20"/>
              </w:rPr>
              <w:t>Review</w:t>
            </w:r>
          </w:p>
        </w:tc>
        <w:tc>
          <w:tcPr>
            <w:tcW w:w="813" w:type="pct"/>
          </w:tcPr>
          <w:p w14:paraId="13A4352F" w14:textId="7F74CFDC" w:rsidR="00E478C5" w:rsidRPr="0003164C" w:rsidRDefault="00CC0E31" w:rsidP="00FE55F1">
            <w:pPr>
              <w:rPr>
                <w:bCs/>
                <w:szCs w:val="20"/>
              </w:rPr>
            </w:pPr>
            <w:r w:rsidRPr="0003164C">
              <w:rPr>
                <w:bCs/>
                <w:szCs w:val="20"/>
              </w:rPr>
              <w:t>Diagnosis of ‘possible’ mitochondrial disease: an existential crisis</w:t>
            </w:r>
          </w:p>
        </w:tc>
        <w:tc>
          <w:tcPr>
            <w:tcW w:w="1423" w:type="pct"/>
          </w:tcPr>
          <w:p w14:paraId="1D98FAD5" w14:textId="66233C5B" w:rsidR="00E478C5" w:rsidRPr="0003164C" w:rsidRDefault="00CC0E31" w:rsidP="00FE55F1">
            <w:pPr>
              <w:rPr>
                <w:bCs/>
                <w:szCs w:val="20"/>
              </w:rPr>
            </w:pPr>
            <w:r w:rsidRPr="0003164C">
              <w:rPr>
                <w:bCs/>
                <w:szCs w:val="20"/>
              </w:rPr>
              <w:t>When a genetic diagnosis is not obtained, the term ‘possible’ mitochondrial disease is often used, which may create harm through increased anxiety, a delayed correct diagnosis and inappropriate management or care.  Advances in genomic testing have therefore led to other genetic disorders being appropriately diagnosed instead</w:t>
            </w:r>
          </w:p>
        </w:tc>
        <w:tc>
          <w:tcPr>
            <w:tcW w:w="1506" w:type="pct"/>
          </w:tcPr>
          <w:p w14:paraId="5811A980" w14:textId="77777777" w:rsidR="00AA7AD9" w:rsidRDefault="00E478C5" w:rsidP="00E478C5">
            <w:pPr>
              <w:rPr>
                <w:bCs/>
                <w:szCs w:val="20"/>
              </w:rPr>
            </w:pPr>
            <w:r w:rsidRPr="0003164C">
              <w:rPr>
                <w:bCs/>
                <w:szCs w:val="20"/>
              </w:rPr>
              <w:t>Parikh et al.</w:t>
            </w:r>
            <w:r w:rsidR="00AA7AD9">
              <w:rPr>
                <w:bCs/>
                <w:szCs w:val="20"/>
              </w:rPr>
              <w:t>, 2019</w:t>
            </w:r>
            <w:r w:rsidRPr="0003164C">
              <w:rPr>
                <w:bCs/>
                <w:szCs w:val="20"/>
              </w:rPr>
              <w:t>. </w:t>
            </w:r>
            <w:r w:rsidRPr="00AA7AD9">
              <w:rPr>
                <w:bCs/>
                <w:szCs w:val="20"/>
              </w:rPr>
              <w:t>Journal Of Medical Genetics,</w:t>
            </w:r>
            <w:r w:rsidRPr="0003164C">
              <w:rPr>
                <w:bCs/>
                <w:szCs w:val="20"/>
              </w:rPr>
              <w:t xml:space="preserve"> vol 56, no. 3,</w:t>
            </w:r>
            <w:r w:rsidR="00AA7AD9">
              <w:rPr>
                <w:bCs/>
                <w:szCs w:val="20"/>
              </w:rPr>
              <w:t xml:space="preserve"> </w:t>
            </w:r>
            <w:r w:rsidRPr="0003164C">
              <w:rPr>
                <w:bCs/>
                <w:szCs w:val="20"/>
              </w:rPr>
              <w:t>pp. 123-130. </w:t>
            </w:r>
            <w:r w:rsidRPr="00AA7AD9">
              <w:rPr>
                <w:bCs/>
                <w:szCs w:val="20"/>
              </w:rPr>
              <w:t>BMJ,</w:t>
            </w:r>
            <w:r w:rsidRPr="0003164C">
              <w:rPr>
                <w:bCs/>
                <w:szCs w:val="20"/>
              </w:rPr>
              <w:t xml:space="preserve"> </w:t>
            </w:r>
          </w:p>
          <w:p w14:paraId="38194CB8" w14:textId="48749435" w:rsidR="00E478C5" w:rsidRDefault="00913B21" w:rsidP="00E478C5">
            <w:pPr>
              <w:rPr>
                <w:bCs/>
                <w:szCs w:val="20"/>
              </w:rPr>
            </w:pPr>
            <w:hyperlink r:id="rId27" w:history="1">
              <w:r w:rsidR="00AA7AD9" w:rsidRPr="008B27D4">
                <w:rPr>
                  <w:rStyle w:val="Hyperlink"/>
                  <w:bCs/>
                  <w:szCs w:val="20"/>
                </w:rPr>
                <w:t>https://doi:10.1136/jmedgenet-2018-105800</w:t>
              </w:r>
            </w:hyperlink>
          </w:p>
          <w:p w14:paraId="43BA81F8" w14:textId="77777777" w:rsidR="00AA7AD9" w:rsidRPr="0003164C" w:rsidRDefault="00AA7AD9" w:rsidP="00E478C5">
            <w:pPr>
              <w:rPr>
                <w:bCs/>
                <w:szCs w:val="20"/>
              </w:rPr>
            </w:pPr>
          </w:p>
          <w:p w14:paraId="10DB7E0C" w14:textId="77777777" w:rsidR="00E478C5" w:rsidRPr="0003164C" w:rsidRDefault="00E478C5" w:rsidP="002309C3">
            <w:pPr>
              <w:rPr>
                <w:bCs/>
                <w:szCs w:val="20"/>
              </w:rPr>
            </w:pPr>
          </w:p>
        </w:tc>
        <w:tc>
          <w:tcPr>
            <w:tcW w:w="548" w:type="pct"/>
          </w:tcPr>
          <w:p w14:paraId="4F7F3C78" w14:textId="40F8F344" w:rsidR="00E478C5" w:rsidRPr="0003164C" w:rsidRDefault="00CC0E31" w:rsidP="00FE55F1">
            <w:pPr>
              <w:rPr>
                <w:bCs/>
                <w:szCs w:val="20"/>
              </w:rPr>
            </w:pPr>
            <w:r w:rsidRPr="0003164C">
              <w:rPr>
                <w:bCs/>
                <w:szCs w:val="20"/>
              </w:rPr>
              <w:t>25 January 2019</w:t>
            </w:r>
          </w:p>
        </w:tc>
      </w:tr>
      <w:tr w:rsidR="00164479" w14:paraId="366EC561" w14:textId="77777777" w:rsidTr="00937963">
        <w:trPr>
          <w:cantSplit/>
        </w:trPr>
        <w:tc>
          <w:tcPr>
            <w:tcW w:w="201" w:type="pct"/>
          </w:tcPr>
          <w:p w14:paraId="193DBE80" w14:textId="0BF79784" w:rsidR="00164479" w:rsidRDefault="00164479" w:rsidP="00FE55F1">
            <w:pPr>
              <w:rPr>
                <w:szCs w:val="20"/>
              </w:rPr>
            </w:pPr>
            <w:r>
              <w:rPr>
                <w:szCs w:val="20"/>
              </w:rPr>
              <w:t>16.</w:t>
            </w:r>
          </w:p>
        </w:tc>
        <w:tc>
          <w:tcPr>
            <w:tcW w:w="509" w:type="pct"/>
          </w:tcPr>
          <w:p w14:paraId="70C1EA98" w14:textId="34F8B155" w:rsidR="00164479" w:rsidRPr="00A96B3E" w:rsidRDefault="00164479" w:rsidP="00FE55F1">
            <w:pPr>
              <w:rPr>
                <w:bCs/>
                <w:szCs w:val="20"/>
              </w:rPr>
            </w:pPr>
            <w:r w:rsidRPr="00A96B3E">
              <w:rPr>
                <w:bCs/>
                <w:szCs w:val="20"/>
              </w:rPr>
              <w:t>Clinical Trials Review</w:t>
            </w:r>
          </w:p>
        </w:tc>
        <w:tc>
          <w:tcPr>
            <w:tcW w:w="813" w:type="pct"/>
          </w:tcPr>
          <w:p w14:paraId="5A51CEF7" w14:textId="30C8117E" w:rsidR="00164479" w:rsidRPr="00A96B3E" w:rsidRDefault="00164479" w:rsidP="00FE55F1">
            <w:pPr>
              <w:rPr>
                <w:bCs/>
                <w:szCs w:val="20"/>
              </w:rPr>
            </w:pPr>
            <w:r w:rsidRPr="00A96B3E">
              <w:rPr>
                <w:bCs/>
                <w:szCs w:val="20"/>
              </w:rPr>
              <w:t>Therapeutic Approaches to Treat Mitochondrial Diseases: “One-Size-Fits-All” and “Precision Medicine” Strategies</w:t>
            </w:r>
          </w:p>
        </w:tc>
        <w:tc>
          <w:tcPr>
            <w:tcW w:w="1423" w:type="pct"/>
          </w:tcPr>
          <w:p w14:paraId="0F7DBC6A" w14:textId="53404CCE" w:rsidR="00164479" w:rsidRPr="00A96B3E" w:rsidRDefault="00164479" w:rsidP="00FE55F1">
            <w:pPr>
              <w:rPr>
                <w:bCs/>
                <w:szCs w:val="20"/>
              </w:rPr>
            </w:pPr>
            <w:r w:rsidRPr="00A96B3E">
              <w:rPr>
                <w:bCs/>
                <w:szCs w:val="20"/>
              </w:rPr>
              <w:t>New strategies are emerging</w:t>
            </w:r>
            <w:r w:rsidR="00EE4B5E">
              <w:rPr>
                <w:bCs/>
                <w:szCs w:val="20"/>
              </w:rPr>
              <w:t xml:space="preserve"> in mitochondrial disease management</w:t>
            </w:r>
            <w:r w:rsidRPr="00A96B3E">
              <w:rPr>
                <w:bCs/>
                <w:szCs w:val="20"/>
              </w:rPr>
              <w:t xml:space="preserve">, with </w:t>
            </w:r>
            <w:r w:rsidR="00EE4B5E">
              <w:rPr>
                <w:bCs/>
                <w:szCs w:val="20"/>
              </w:rPr>
              <w:t xml:space="preserve">numerous </w:t>
            </w:r>
            <w:r w:rsidRPr="00A96B3E">
              <w:rPr>
                <w:bCs/>
                <w:szCs w:val="20"/>
              </w:rPr>
              <w:t>promising preclinical and clinical results. This review examines both “one-size-fits-all” approaches and precision medicine strategies.</w:t>
            </w:r>
          </w:p>
        </w:tc>
        <w:tc>
          <w:tcPr>
            <w:tcW w:w="1506" w:type="pct"/>
          </w:tcPr>
          <w:p w14:paraId="0851CAF9" w14:textId="77777777" w:rsidR="000857C0" w:rsidRDefault="002D5A89" w:rsidP="00E478C5">
            <w:pPr>
              <w:rPr>
                <w:bCs/>
                <w:szCs w:val="20"/>
              </w:rPr>
            </w:pPr>
            <w:proofErr w:type="spellStart"/>
            <w:r w:rsidRPr="002D5A89">
              <w:rPr>
                <w:bCs/>
                <w:szCs w:val="20"/>
              </w:rPr>
              <w:t>Bottani</w:t>
            </w:r>
            <w:proofErr w:type="spellEnd"/>
            <w:r>
              <w:rPr>
                <w:bCs/>
                <w:szCs w:val="20"/>
              </w:rPr>
              <w:t xml:space="preserve"> et al., </w:t>
            </w:r>
            <w:r w:rsidR="000857C0">
              <w:rPr>
                <w:bCs/>
                <w:szCs w:val="20"/>
              </w:rPr>
              <w:t>2020</w:t>
            </w:r>
            <w:r w:rsidRPr="002D5A89">
              <w:rPr>
                <w:bCs/>
                <w:szCs w:val="20"/>
              </w:rPr>
              <w:t xml:space="preserve">. Pharmaceutics. 12(11):1083. </w:t>
            </w:r>
          </w:p>
          <w:p w14:paraId="298738A4" w14:textId="173DFE2F" w:rsidR="00164479" w:rsidRDefault="00913B21" w:rsidP="00E478C5">
            <w:pPr>
              <w:rPr>
                <w:bCs/>
                <w:szCs w:val="20"/>
              </w:rPr>
            </w:pPr>
            <w:hyperlink r:id="rId28" w:history="1">
              <w:r w:rsidR="000857C0" w:rsidRPr="008B27D4">
                <w:rPr>
                  <w:rStyle w:val="Hyperlink"/>
                  <w:bCs/>
                  <w:szCs w:val="20"/>
                </w:rPr>
                <w:t>https://doi:10.3390/pharmaceutics12111083</w:t>
              </w:r>
            </w:hyperlink>
          </w:p>
          <w:p w14:paraId="65B1EA73" w14:textId="7DEA8898" w:rsidR="002D5A89" w:rsidRPr="00A96B3E" w:rsidRDefault="002D5A89" w:rsidP="00E478C5">
            <w:pPr>
              <w:rPr>
                <w:bCs/>
                <w:szCs w:val="20"/>
              </w:rPr>
            </w:pPr>
          </w:p>
        </w:tc>
        <w:tc>
          <w:tcPr>
            <w:tcW w:w="548" w:type="pct"/>
          </w:tcPr>
          <w:p w14:paraId="757C239A" w14:textId="46FA562A" w:rsidR="00164479" w:rsidRPr="00A96B3E" w:rsidRDefault="00164479" w:rsidP="00FE55F1">
            <w:pPr>
              <w:rPr>
                <w:bCs/>
                <w:szCs w:val="20"/>
              </w:rPr>
            </w:pPr>
            <w:r w:rsidRPr="00A96B3E">
              <w:rPr>
                <w:bCs/>
                <w:szCs w:val="20"/>
              </w:rPr>
              <w:t>11 November 2020</w:t>
            </w:r>
          </w:p>
        </w:tc>
      </w:tr>
      <w:tr w:rsidR="00164479" w14:paraId="700DBC7C" w14:textId="77777777" w:rsidTr="00937963">
        <w:trPr>
          <w:cantSplit/>
        </w:trPr>
        <w:tc>
          <w:tcPr>
            <w:tcW w:w="201" w:type="pct"/>
          </w:tcPr>
          <w:p w14:paraId="6E014F6A" w14:textId="15060AA2" w:rsidR="00164479" w:rsidRDefault="00164479" w:rsidP="00FE55F1">
            <w:pPr>
              <w:rPr>
                <w:szCs w:val="20"/>
              </w:rPr>
            </w:pPr>
            <w:r>
              <w:rPr>
                <w:szCs w:val="20"/>
              </w:rPr>
              <w:lastRenderedPageBreak/>
              <w:t>17.</w:t>
            </w:r>
          </w:p>
        </w:tc>
        <w:tc>
          <w:tcPr>
            <w:tcW w:w="509" w:type="pct"/>
          </w:tcPr>
          <w:p w14:paraId="4350939D" w14:textId="5AC526C9" w:rsidR="00164479" w:rsidRPr="00A96B3E" w:rsidRDefault="00164479" w:rsidP="00FE55F1">
            <w:pPr>
              <w:rPr>
                <w:bCs/>
                <w:szCs w:val="20"/>
              </w:rPr>
            </w:pPr>
            <w:r w:rsidRPr="00A96B3E">
              <w:rPr>
                <w:bCs/>
                <w:szCs w:val="20"/>
              </w:rPr>
              <w:t>Letter to the Editor</w:t>
            </w:r>
          </w:p>
        </w:tc>
        <w:tc>
          <w:tcPr>
            <w:tcW w:w="813" w:type="pct"/>
          </w:tcPr>
          <w:p w14:paraId="053BBC7D" w14:textId="3265941C" w:rsidR="00164479" w:rsidRPr="00A96B3E" w:rsidRDefault="00164479" w:rsidP="00FE55F1">
            <w:pPr>
              <w:rPr>
                <w:bCs/>
                <w:szCs w:val="20"/>
              </w:rPr>
            </w:pPr>
            <w:r w:rsidRPr="00A96B3E">
              <w:rPr>
                <w:bCs/>
                <w:szCs w:val="20"/>
              </w:rPr>
              <w:t>Treatable mitochondrial diseases: cofactor metabolism and beyond</w:t>
            </w:r>
          </w:p>
        </w:tc>
        <w:tc>
          <w:tcPr>
            <w:tcW w:w="1423" w:type="pct"/>
          </w:tcPr>
          <w:p w14:paraId="5FBAC1B4" w14:textId="120FD336" w:rsidR="00164479" w:rsidRPr="00A96B3E" w:rsidRDefault="00526F8C" w:rsidP="00FE55F1">
            <w:pPr>
              <w:rPr>
                <w:bCs/>
                <w:szCs w:val="20"/>
              </w:rPr>
            </w:pPr>
            <w:r w:rsidRPr="00A96B3E">
              <w:rPr>
                <w:bCs/>
                <w:szCs w:val="20"/>
              </w:rPr>
              <w:t>NGS technologies expands our knowledge of treatable subgroups. The table recognises crucial subgroups presenting similarly to classical phenotypes (e.g. Leighs), that may suffer from a vitamin/cofactor-responsive condition. These disorders need to be urgently diagnosed via rapid genetic strategies to maximize treatment benefits and avoid any delays.</w:t>
            </w:r>
          </w:p>
        </w:tc>
        <w:tc>
          <w:tcPr>
            <w:tcW w:w="1506" w:type="pct"/>
          </w:tcPr>
          <w:p w14:paraId="5F3F3C60" w14:textId="77777777" w:rsidR="000857C0" w:rsidRDefault="00526F8C" w:rsidP="00E478C5">
            <w:pPr>
              <w:rPr>
                <w:bCs/>
                <w:szCs w:val="20"/>
              </w:rPr>
            </w:pPr>
            <w:bookmarkStart w:id="4" w:name="_Hlk78793103"/>
            <w:proofErr w:type="spellStart"/>
            <w:r w:rsidRPr="00A96B3E">
              <w:rPr>
                <w:bCs/>
                <w:szCs w:val="20"/>
              </w:rPr>
              <w:t>Distelmaier</w:t>
            </w:r>
            <w:proofErr w:type="spellEnd"/>
            <w:r w:rsidRPr="00A96B3E">
              <w:rPr>
                <w:bCs/>
                <w:szCs w:val="20"/>
              </w:rPr>
              <w:t xml:space="preserve"> </w:t>
            </w:r>
            <w:r w:rsidR="000857C0">
              <w:rPr>
                <w:bCs/>
                <w:szCs w:val="20"/>
              </w:rPr>
              <w:t>et al., 2016</w:t>
            </w:r>
            <w:bookmarkEnd w:id="4"/>
            <w:r w:rsidRPr="00A96B3E">
              <w:rPr>
                <w:bCs/>
                <w:szCs w:val="20"/>
              </w:rPr>
              <w:t>. Brain. 2017 Feb;140(2):e11.</w:t>
            </w:r>
          </w:p>
          <w:p w14:paraId="03A1A037" w14:textId="63F63CEF" w:rsidR="000857C0" w:rsidRDefault="00913B21" w:rsidP="00E478C5">
            <w:pPr>
              <w:rPr>
                <w:bCs/>
                <w:szCs w:val="20"/>
              </w:rPr>
            </w:pPr>
            <w:hyperlink r:id="rId29" w:history="1">
              <w:r w:rsidR="000857C0" w:rsidRPr="008B27D4">
                <w:rPr>
                  <w:rStyle w:val="Hyperlink"/>
                  <w:bCs/>
                  <w:szCs w:val="20"/>
                </w:rPr>
                <w:t>https://doi:10.1093/brain/aww303</w:t>
              </w:r>
            </w:hyperlink>
          </w:p>
          <w:p w14:paraId="03861A1D" w14:textId="77777777" w:rsidR="000857C0" w:rsidRDefault="000857C0" w:rsidP="00E478C5">
            <w:pPr>
              <w:rPr>
                <w:bCs/>
                <w:szCs w:val="20"/>
              </w:rPr>
            </w:pPr>
          </w:p>
          <w:p w14:paraId="2FEA9F3A" w14:textId="77777777" w:rsidR="000857C0" w:rsidRDefault="000857C0" w:rsidP="00E478C5">
            <w:pPr>
              <w:rPr>
                <w:bCs/>
                <w:szCs w:val="20"/>
              </w:rPr>
            </w:pPr>
          </w:p>
          <w:p w14:paraId="1AA5FC5F" w14:textId="56EB3C86" w:rsidR="00164479" w:rsidRPr="00A96B3E" w:rsidRDefault="00526F8C" w:rsidP="00E478C5">
            <w:pPr>
              <w:rPr>
                <w:bCs/>
                <w:szCs w:val="20"/>
              </w:rPr>
            </w:pPr>
            <w:r w:rsidRPr="00A96B3E">
              <w:rPr>
                <w:bCs/>
                <w:szCs w:val="20"/>
              </w:rPr>
              <w:t xml:space="preserve"> </w:t>
            </w:r>
          </w:p>
        </w:tc>
        <w:tc>
          <w:tcPr>
            <w:tcW w:w="548" w:type="pct"/>
          </w:tcPr>
          <w:p w14:paraId="6CCF8427" w14:textId="4C1D94BF" w:rsidR="00164479" w:rsidRPr="00A96B3E" w:rsidRDefault="00526F8C" w:rsidP="00FE55F1">
            <w:pPr>
              <w:rPr>
                <w:bCs/>
                <w:szCs w:val="20"/>
              </w:rPr>
            </w:pPr>
            <w:r w:rsidRPr="00A96B3E">
              <w:rPr>
                <w:bCs/>
                <w:szCs w:val="20"/>
              </w:rPr>
              <w:t>9 December 2016</w:t>
            </w:r>
          </w:p>
        </w:tc>
      </w:tr>
      <w:tr w:rsidR="00526F8C" w14:paraId="22729C83" w14:textId="77777777" w:rsidTr="00937963">
        <w:trPr>
          <w:cantSplit/>
        </w:trPr>
        <w:tc>
          <w:tcPr>
            <w:tcW w:w="201" w:type="pct"/>
          </w:tcPr>
          <w:p w14:paraId="47643023" w14:textId="01CD1D90" w:rsidR="00526F8C" w:rsidRDefault="00526F8C" w:rsidP="00FE55F1">
            <w:pPr>
              <w:rPr>
                <w:szCs w:val="20"/>
              </w:rPr>
            </w:pPr>
            <w:r>
              <w:rPr>
                <w:szCs w:val="20"/>
              </w:rPr>
              <w:t>18.</w:t>
            </w:r>
          </w:p>
        </w:tc>
        <w:tc>
          <w:tcPr>
            <w:tcW w:w="509" w:type="pct"/>
          </w:tcPr>
          <w:p w14:paraId="69978122" w14:textId="2502536B" w:rsidR="00526F8C" w:rsidRPr="00A96B3E" w:rsidRDefault="00526F8C" w:rsidP="00FE55F1">
            <w:pPr>
              <w:rPr>
                <w:bCs/>
                <w:szCs w:val="20"/>
              </w:rPr>
            </w:pPr>
            <w:r w:rsidRPr="00A96B3E">
              <w:rPr>
                <w:bCs/>
                <w:szCs w:val="20"/>
              </w:rPr>
              <w:t>Case Study</w:t>
            </w:r>
          </w:p>
        </w:tc>
        <w:tc>
          <w:tcPr>
            <w:tcW w:w="813" w:type="pct"/>
          </w:tcPr>
          <w:p w14:paraId="7441EE0F" w14:textId="54232E1C" w:rsidR="00526F8C" w:rsidRPr="00A96B3E" w:rsidRDefault="00526F8C" w:rsidP="00FE55F1">
            <w:pPr>
              <w:rPr>
                <w:bCs/>
                <w:szCs w:val="20"/>
              </w:rPr>
            </w:pPr>
            <w:r w:rsidRPr="00A96B3E">
              <w:rPr>
                <w:bCs/>
                <w:szCs w:val="20"/>
              </w:rPr>
              <w:t>MELAS Missed for Years: Stroke-Like Lesions Are No Indication for Brain Biopsy</w:t>
            </w:r>
          </w:p>
        </w:tc>
        <w:tc>
          <w:tcPr>
            <w:tcW w:w="1423" w:type="pct"/>
          </w:tcPr>
          <w:p w14:paraId="2056A731" w14:textId="4F7B3626" w:rsidR="00526F8C" w:rsidRPr="00A96B3E" w:rsidRDefault="00526F8C" w:rsidP="00FE55F1">
            <w:pPr>
              <w:rPr>
                <w:bCs/>
                <w:szCs w:val="20"/>
              </w:rPr>
            </w:pPr>
            <w:r w:rsidRPr="00A96B3E">
              <w:rPr>
                <w:bCs/>
                <w:szCs w:val="20"/>
              </w:rPr>
              <w:t xml:space="preserve">Late-onset mitochondrial disease may be missed for years, and stroke-like lesions may be easily misinterpreted and lead to brain biopsies. </w:t>
            </w:r>
            <w:r w:rsidR="00EC368C" w:rsidRPr="00A96B3E">
              <w:rPr>
                <w:bCs/>
                <w:szCs w:val="20"/>
              </w:rPr>
              <w:t>C</w:t>
            </w:r>
            <w:r w:rsidRPr="00A96B3E">
              <w:rPr>
                <w:bCs/>
                <w:szCs w:val="20"/>
              </w:rPr>
              <w:t>omplex and insidious presentations</w:t>
            </w:r>
            <w:r w:rsidR="00EC368C" w:rsidRPr="00A96B3E">
              <w:rPr>
                <w:bCs/>
                <w:szCs w:val="20"/>
              </w:rPr>
              <w:t xml:space="preserve"> </w:t>
            </w:r>
            <w:r w:rsidRPr="00A96B3E">
              <w:rPr>
                <w:bCs/>
                <w:szCs w:val="20"/>
              </w:rPr>
              <w:t xml:space="preserve">further delays and reduces the necessity for a proper diagnostic mitochondrial workup, whilst accruing excessive, </w:t>
            </w:r>
            <w:r w:rsidR="000857C0" w:rsidRPr="00A96B3E">
              <w:rPr>
                <w:bCs/>
                <w:szCs w:val="20"/>
              </w:rPr>
              <w:t>unwarranted,</w:t>
            </w:r>
            <w:r w:rsidRPr="00A96B3E">
              <w:rPr>
                <w:bCs/>
                <w:szCs w:val="20"/>
              </w:rPr>
              <w:t xml:space="preserve"> and costly investigations.</w:t>
            </w:r>
            <w:r w:rsidR="00905D4B" w:rsidRPr="00A96B3E">
              <w:rPr>
                <w:bCs/>
                <w:szCs w:val="20"/>
              </w:rPr>
              <w:t xml:space="preserve"> </w:t>
            </w:r>
          </w:p>
        </w:tc>
        <w:tc>
          <w:tcPr>
            <w:tcW w:w="1506" w:type="pct"/>
          </w:tcPr>
          <w:p w14:paraId="41DBCDC9" w14:textId="77777777" w:rsidR="000857C0" w:rsidRDefault="000857C0" w:rsidP="000857C0">
            <w:pPr>
              <w:rPr>
                <w:bCs/>
                <w:szCs w:val="20"/>
              </w:rPr>
            </w:pPr>
            <w:r w:rsidRPr="000857C0">
              <w:rPr>
                <w:bCs/>
                <w:szCs w:val="20"/>
              </w:rPr>
              <w:t>Finsterer</w:t>
            </w:r>
            <w:r>
              <w:rPr>
                <w:bCs/>
                <w:szCs w:val="20"/>
              </w:rPr>
              <w:t xml:space="preserve">, 2019. </w:t>
            </w:r>
            <w:r w:rsidRPr="000857C0">
              <w:rPr>
                <w:bCs/>
                <w:szCs w:val="20"/>
              </w:rPr>
              <w:t xml:space="preserve"> Case Reports </w:t>
            </w:r>
            <w:proofErr w:type="gramStart"/>
            <w:r w:rsidRPr="000857C0">
              <w:rPr>
                <w:bCs/>
                <w:szCs w:val="20"/>
              </w:rPr>
              <w:t>In</w:t>
            </w:r>
            <w:proofErr w:type="gramEnd"/>
            <w:r w:rsidRPr="000857C0">
              <w:rPr>
                <w:bCs/>
                <w:szCs w:val="20"/>
              </w:rPr>
              <w:t xml:space="preserve"> Neurological Medicine, vol 2019, 2019, pp. 1-4. </w:t>
            </w:r>
            <w:proofErr w:type="spellStart"/>
            <w:r w:rsidRPr="000857C0">
              <w:rPr>
                <w:bCs/>
                <w:szCs w:val="20"/>
              </w:rPr>
              <w:t>Hindawi</w:t>
            </w:r>
            <w:proofErr w:type="spellEnd"/>
            <w:r w:rsidRPr="000857C0">
              <w:rPr>
                <w:bCs/>
                <w:szCs w:val="20"/>
              </w:rPr>
              <w:t xml:space="preserve"> Limited, </w:t>
            </w:r>
          </w:p>
          <w:p w14:paraId="511352B8" w14:textId="2AD937CA" w:rsidR="000857C0" w:rsidRDefault="00913B21" w:rsidP="000857C0">
            <w:pPr>
              <w:rPr>
                <w:bCs/>
                <w:szCs w:val="20"/>
              </w:rPr>
            </w:pPr>
            <w:hyperlink r:id="rId30" w:history="1">
              <w:r w:rsidR="000857C0" w:rsidRPr="008B27D4">
                <w:rPr>
                  <w:rStyle w:val="Hyperlink"/>
                  <w:bCs/>
                  <w:szCs w:val="20"/>
                </w:rPr>
                <w:t>https://</w:t>
              </w:r>
              <w:r w:rsidR="000857C0" w:rsidRPr="000857C0">
                <w:rPr>
                  <w:rStyle w:val="Hyperlink"/>
                  <w:bCs/>
                  <w:szCs w:val="20"/>
                </w:rPr>
                <w:t>doi:10.1155/2019/9312451</w:t>
              </w:r>
            </w:hyperlink>
          </w:p>
          <w:p w14:paraId="63F25479" w14:textId="77777777" w:rsidR="000857C0" w:rsidRPr="00A96B3E" w:rsidRDefault="000857C0" w:rsidP="000857C0">
            <w:pPr>
              <w:rPr>
                <w:bCs/>
                <w:szCs w:val="20"/>
              </w:rPr>
            </w:pPr>
          </w:p>
          <w:p w14:paraId="3758D273" w14:textId="2F710C53" w:rsidR="00526F8C" w:rsidRPr="00A96B3E" w:rsidRDefault="00526F8C" w:rsidP="00E478C5">
            <w:pPr>
              <w:rPr>
                <w:bCs/>
                <w:szCs w:val="20"/>
              </w:rPr>
            </w:pPr>
          </w:p>
        </w:tc>
        <w:tc>
          <w:tcPr>
            <w:tcW w:w="548" w:type="pct"/>
          </w:tcPr>
          <w:p w14:paraId="658E62D6" w14:textId="1FE64AD0" w:rsidR="00526F8C" w:rsidRPr="00A96B3E" w:rsidRDefault="00EC368C" w:rsidP="00FE55F1">
            <w:pPr>
              <w:rPr>
                <w:bCs/>
                <w:szCs w:val="20"/>
              </w:rPr>
            </w:pPr>
            <w:r w:rsidRPr="00A96B3E">
              <w:rPr>
                <w:bCs/>
                <w:szCs w:val="20"/>
              </w:rPr>
              <w:t>16 December 2019</w:t>
            </w:r>
          </w:p>
        </w:tc>
      </w:tr>
      <w:tr w:rsidR="00AF7E2C" w14:paraId="2C9D0BC6" w14:textId="77777777" w:rsidTr="00937963">
        <w:trPr>
          <w:cantSplit/>
        </w:trPr>
        <w:tc>
          <w:tcPr>
            <w:tcW w:w="201" w:type="pct"/>
          </w:tcPr>
          <w:p w14:paraId="6639261A" w14:textId="37BB4AEE" w:rsidR="00AF7E2C" w:rsidRDefault="00271EE7" w:rsidP="00FE55F1">
            <w:pPr>
              <w:rPr>
                <w:szCs w:val="20"/>
              </w:rPr>
            </w:pPr>
            <w:r>
              <w:rPr>
                <w:szCs w:val="20"/>
              </w:rPr>
              <w:t>19.</w:t>
            </w:r>
          </w:p>
        </w:tc>
        <w:tc>
          <w:tcPr>
            <w:tcW w:w="509" w:type="pct"/>
          </w:tcPr>
          <w:p w14:paraId="39779022" w14:textId="450F46B7" w:rsidR="00AF7E2C" w:rsidRPr="00A96B3E" w:rsidRDefault="00AF7E2C" w:rsidP="00FE55F1">
            <w:pPr>
              <w:rPr>
                <w:bCs/>
                <w:szCs w:val="20"/>
              </w:rPr>
            </w:pPr>
            <w:r w:rsidRPr="00A96B3E">
              <w:rPr>
                <w:bCs/>
                <w:szCs w:val="20"/>
              </w:rPr>
              <w:t>Cohort study</w:t>
            </w:r>
          </w:p>
        </w:tc>
        <w:tc>
          <w:tcPr>
            <w:tcW w:w="813" w:type="pct"/>
          </w:tcPr>
          <w:p w14:paraId="4867206F" w14:textId="77777777" w:rsidR="00AF7E2C" w:rsidRPr="00AF7E2C" w:rsidRDefault="00AF7E2C" w:rsidP="00AF7E2C">
            <w:pPr>
              <w:rPr>
                <w:bCs/>
                <w:szCs w:val="20"/>
              </w:rPr>
            </w:pPr>
            <w:r w:rsidRPr="00AF7E2C">
              <w:rPr>
                <w:bCs/>
                <w:szCs w:val="20"/>
              </w:rPr>
              <w:t>Cost-effectiveness of massively parallel sequencing for diagnosis of paediatric muscle diseases</w:t>
            </w:r>
          </w:p>
          <w:p w14:paraId="3AE13647" w14:textId="77777777" w:rsidR="00AF7E2C" w:rsidRPr="00A96B3E" w:rsidRDefault="00AF7E2C" w:rsidP="00FE55F1">
            <w:pPr>
              <w:rPr>
                <w:bCs/>
                <w:szCs w:val="20"/>
              </w:rPr>
            </w:pPr>
          </w:p>
        </w:tc>
        <w:tc>
          <w:tcPr>
            <w:tcW w:w="1423" w:type="pct"/>
          </w:tcPr>
          <w:p w14:paraId="6CEC1808" w14:textId="21F31B9B" w:rsidR="00AF7E2C" w:rsidRPr="00A96B3E" w:rsidRDefault="000A5253" w:rsidP="00FE55F1">
            <w:pPr>
              <w:rPr>
                <w:bCs/>
                <w:szCs w:val="20"/>
              </w:rPr>
            </w:pPr>
            <w:r>
              <w:rPr>
                <w:bCs/>
                <w:szCs w:val="20"/>
              </w:rPr>
              <w:t>T</w:t>
            </w:r>
            <w:r w:rsidR="00905D4B" w:rsidRPr="00A96B3E">
              <w:rPr>
                <w:bCs/>
                <w:szCs w:val="20"/>
              </w:rPr>
              <w:t xml:space="preserve">he cost-effectiveness of using </w:t>
            </w:r>
            <w:r>
              <w:rPr>
                <w:bCs/>
                <w:szCs w:val="20"/>
              </w:rPr>
              <w:t>‘</w:t>
            </w:r>
            <w:r w:rsidR="00905D4B" w:rsidRPr="00A96B3E">
              <w:rPr>
                <w:bCs/>
                <w:szCs w:val="20"/>
              </w:rPr>
              <w:t>massively parallel sequencing technologies</w:t>
            </w:r>
            <w:r>
              <w:rPr>
                <w:bCs/>
                <w:szCs w:val="20"/>
              </w:rPr>
              <w:t>’</w:t>
            </w:r>
            <w:r w:rsidR="00905D4B" w:rsidRPr="00A96B3E">
              <w:rPr>
                <w:bCs/>
                <w:szCs w:val="20"/>
              </w:rPr>
              <w:t xml:space="preserve"> in </w:t>
            </w:r>
            <w:r>
              <w:rPr>
                <w:bCs/>
                <w:szCs w:val="20"/>
              </w:rPr>
              <w:t xml:space="preserve">the investigation of </w:t>
            </w:r>
            <w:r w:rsidR="00905D4B" w:rsidRPr="00A96B3E">
              <w:rPr>
                <w:bCs/>
                <w:szCs w:val="20"/>
              </w:rPr>
              <w:t>paediatric muscle disease</w:t>
            </w:r>
            <w:r>
              <w:rPr>
                <w:bCs/>
                <w:szCs w:val="20"/>
              </w:rPr>
              <w:t xml:space="preserve"> was examined</w:t>
            </w:r>
            <w:r w:rsidR="00905D4B" w:rsidRPr="00A96B3E">
              <w:rPr>
                <w:bCs/>
                <w:szCs w:val="20"/>
              </w:rPr>
              <w:t xml:space="preserve">. The value of implementing these </w:t>
            </w:r>
            <w:r>
              <w:rPr>
                <w:bCs/>
                <w:szCs w:val="20"/>
              </w:rPr>
              <w:t xml:space="preserve">diagnostic </w:t>
            </w:r>
            <w:r w:rsidR="00905D4B" w:rsidRPr="00A96B3E">
              <w:rPr>
                <w:bCs/>
                <w:szCs w:val="20"/>
              </w:rPr>
              <w:t>technologies in</w:t>
            </w:r>
            <w:r>
              <w:rPr>
                <w:bCs/>
                <w:szCs w:val="20"/>
              </w:rPr>
              <w:t>to</w:t>
            </w:r>
            <w:r w:rsidR="00905D4B" w:rsidRPr="00A96B3E">
              <w:rPr>
                <w:bCs/>
                <w:szCs w:val="20"/>
              </w:rPr>
              <w:t xml:space="preserve"> clinical practice</w:t>
            </w:r>
            <w:r>
              <w:rPr>
                <w:bCs/>
                <w:szCs w:val="20"/>
              </w:rPr>
              <w:t xml:space="preserve"> was re-enforced</w:t>
            </w:r>
            <w:r w:rsidR="00905D4B" w:rsidRPr="00A96B3E">
              <w:rPr>
                <w:bCs/>
                <w:szCs w:val="20"/>
              </w:rPr>
              <w:t xml:space="preserve">, </w:t>
            </w:r>
            <w:r>
              <w:rPr>
                <w:bCs/>
                <w:szCs w:val="20"/>
              </w:rPr>
              <w:t>especially those relating to M</w:t>
            </w:r>
            <w:r w:rsidR="00905D4B" w:rsidRPr="00A96B3E">
              <w:rPr>
                <w:bCs/>
                <w:szCs w:val="20"/>
              </w:rPr>
              <w:t xml:space="preserve">endelian </w:t>
            </w:r>
            <w:r>
              <w:rPr>
                <w:bCs/>
                <w:szCs w:val="20"/>
              </w:rPr>
              <w:t>inheritance</w:t>
            </w:r>
            <w:r w:rsidR="00905D4B" w:rsidRPr="00A96B3E">
              <w:rPr>
                <w:bCs/>
                <w:szCs w:val="20"/>
              </w:rPr>
              <w:t>, provid</w:t>
            </w:r>
            <w:r>
              <w:rPr>
                <w:bCs/>
                <w:szCs w:val="20"/>
              </w:rPr>
              <w:t>ing further ‘crucial</w:t>
            </w:r>
            <w:r w:rsidR="00905D4B" w:rsidRPr="00A96B3E">
              <w:rPr>
                <w:bCs/>
                <w:szCs w:val="20"/>
              </w:rPr>
              <w:t xml:space="preserve"> evidence for government subsidy and equitable access</w:t>
            </w:r>
            <w:r>
              <w:rPr>
                <w:bCs/>
                <w:szCs w:val="20"/>
              </w:rPr>
              <w:t>’</w:t>
            </w:r>
            <w:r w:rsidR="00905D4B" w:rsidRPr="00A96B3E">
              <w:rPr>
                <w:bCs/>
                <w:szCs w:val="20"/>
              </w:rPr>
              <w:t>.</w:t>
            </w:r>
          </w:p>
        </w:tc>
        <w:tc>
          <w:tcPr>
            <w:tcW w:w="1506" w:type="pct"/>
          </w:tcPr>
          <w:p w14:paraId="0CF7BD30" w14:textId="77777777" w:rsidR="000857C0" w:rsidRDefault="00AF7E2C" w:rsidP="00E478C5">
            <w:pPr>
              <w:rPr>
                <w:bCs/>
                <w:szCs w:val="20"/>
              </w:rPr>
            </w:pPr>
            <w:r w:rsidRPr="00A96B3E">
              <w:rPr>
                <w:bCs/>
                <w:szCs w:val="20"/>
              </w:rPr>
              <w:t>Schofield</w:t>
            </w:r>
            <w:r w:rsidR="000857C0">
              <w:rPr>
                <w:bCs/>
                <w:szCs w:val="20"/>
              </w:rPr>
              <w:t xml:space="preserve"> et al., 2017</w:t>
            </w:r>
            <w:r w:rsidRPr="00A96B3E">
              <w:rPr>
                <w:bCs/>
                <w:i/>
                <w:iCs/>
                <w:szCs w:val="20"/>
              </w:rPr>
              <w:t>.</w:t>
            </w:r>
            <w:r w:rsidRPr="00A96B3E">
              <w:rPr>
                <w:bCs/>
                <w:szCs w:val="20"/>
              </w:rPr>
              <w:t> </w:t>
            </w:r>
            <w:proofErr w:type="spellStart"/>
            <w:r w:rsidRPr="000857C0">
              <w:rPr>
                <w:bCs/>
                <w:szCs w:val="20"/>
              </w:rPr>
              <w:t>npj</w:t>
            </w:r>
            <w:proofErr w:type="spellEnd"/>
            <w:r w:rsidRPr="000857C0">
              <w:rPr>
                <w:bCs/>
                <w:szCs w:val="20"/>
              </w:rPr>
              <w:t xml:space="preserve"> Genomic Med 2, 4 </w:t>
            </w:r>
          </w:p>
          <w:p w14:paraId="7F50A487" w14:textId="6E7ADFF9" w:rsidR="00AF7E2C" w:rsidRDefault="00913B21" w:rsidP="00E478C5">
            <w:pPr>
              <w:rPr>
                <w:bCs/>
                <w:szCs w:val="20"/>
              </w:rPr>
            </w:pPr>
            <w:hyperlink r:id="rId31" w:history="1">
              <w:r w:rsidR="000857C0" w:rsidRPr="008B27D4">
                <w:rPr>
                  <w:rStyle w:val="Hyperlink"/>
                  <w:bCs/>
                  <w:szCs w:val="20"/>
                </w:rPr>
                <w:t>https://doi.org/10.1038/s41525-017-0006-7</w:t>
              </w:r>
            </w:hyperlink>
          </w:p>
          <w:p w14:paraId="3862EDBB" w14:textId="17219B54" w:rsidR="000857C0" w:rsidRPr="00A96B3E" w:rsidRDefault="000857C0" w:rsidP="00E478C5">
            <w:pPr>
              <w:rPr>
                <w:bCs/>
                <w:szCs w:val="20"/>
              </w:rPr>
            </w:pPr>
          </w:p>
        </w:tc>
        <w:tc>
          <w:tcPr>
            <w:tcW w:w="548" w:type="pct"/>
          </w:tcPr>
          <w:p w14:paraId="4646FE78" w14:textId="2797B18C" w:rsidR="00AF7E2C" w:rsidRPr="00A96B3E" w:rsidRDefault="00AF7E2C" w:rsidP="00FE55F1">
            <w:pPr>
              <w:rPr>
                <w:bCs/>
                <w:szCs w:val="20"/>
              </w:rPr>
            </w:pPr>
            <w:r w:rsidRPr="00A96B3E">
              <w:rPr>
                <w:bCs/>
                <w:szCs w:val="20"/>
              </w:rPr>
              <w:t>3 March 2017</w:t>
            </w:r>
          </w:p>
        </w:tc>
      </w:tr>
      <w:tr w:rsidR="00B37C51" w14:paraId="724F4E4D" w14:textId="77777777" w:rsidTr="00937963">
        <w:trPr>
          <w:cantSplit/>
        </w:trPr>
        <w:tc>
          <w:tcPr>
            <w:tcW w:w="201" w:type="pct"/>
          </w:tcPr>
          <w:p w14:paraId="71E49F9B" w14:textId="588543F5" w:rsidR="00B37C51" w:rsidRDefault="00271EE7" w:rsidP="00FE55F1">
            <w:pPr>
              <w:rPr>
                <w:szCs w:val="20"/>
              </w:rPr>
            </w:pPr>
            <w:r>
              <w:rPr>
                <w:szCs w:val="20"/>
              </w:rPr>
              <w:lastRenderedPageBreak/>
              <w:t>20.</w:t>
            </w:r>
          </w:p>
        </w:tc>
        <w:tc>
          <w:tcPr>
            <w:tcW w:w="509" w:type="pct"/>
          </w:tcPr>
          <w:p w14:paraId="6ACC02C1" w14:textId="5C3F29FF" w:rsidR="00B37C51" w:rsidRPr="00A96B3E" w:rsidRDefault="002E6C24" w:rsidP="00FE55F1">
            <w:pPr>
              <w:rPr>
                <w:bCs/>
                <w:szCs w:val="20"/>
              </w:rPr>
            </w:pPr>
            <w:r>
              <w:rPr>
                <w:bCs/>
                <w:szCs w:val="20"/>
              </w:rPr>
              <w:t>Review</w:t>
            </w:r>
          </w:p>
        </w:tc>
        <w:tc>
          <w:tcPr>
            <w:tcW w:w="813" w:type="pct"/>
          </w:tcPr>
          <w:p w14:paraId="62FCCFD1" w14:textId="77777777" w:rsidR="0048004A" w:rsidRPr="0048004A" w:rsidRDefault="0048004A" w:rsidP="0048004A">
            <w:pPr>
              <w:rPr>
                <w:bCs/>
                <w:szCs w:val="20"/>
              </w:rPr>
            </w:pPr>
            <w:r w:rsidRPr="0048004A">
              <w:rPr>
                <w:bCs/>
                <w:szCs w:val="20"/>
              </w:rPr>
              <w:t>Outcome Measures and Quality of Life in Mitochondrial Diseases</w:t>
            </w:r>
          </w:p>
          <w:p w14:paraId="2F929349" w14:textId="77777777" w:rsidR="00B37C51" w:rsidRPr="00AF7E2C" w:rsidRDefault="00B37C51" w:rsidP="00AF7E2C">
            <w:pPr>
              <w:rPr>
                <w:bCs/>
                <w:szCs w:val="20"/>
              </w:rPr>
            </w:pPr>
          </w:p>
        </w:tc>
        <w:tc>
          <w:tcPr>
            <w:tcW w:w="1423" w:type="pct"/>
          </w:tcPr>
          <w:p w14:paraId="25292406" w14:textId="4810711F" w:rsidR="00B37C51" w:rsidRPr="00A96B3E" w:rsidRDefault="008C7846" w:rsidP="00FE55F1">
            <w:pPr>
              <w:rPr>
                <w:bCs/>
                <w:szCs w:val="20"/>
              </w:rPr>
            </w:pPr>
            <w:r>
              <w:rPr>
                <w:bCs/>
                <w:szCs w:val="20"/>
              </w:rPr>
              <w:t xml:space="preserve">Due to its inherent </w:t>
            </w:r>
            <w:r w:rsidRPr="008C7846">
              <w:rPr>
                <w:bCs/>
                <w:szCs w:val="20"/>
              </w:rPr>
              <w:t>complex</w:t>
            </w:r>
            <w:r>
              <w:rPr>
                <w:bCs/>
                <w:szCs w:val="20"/>
              </w:rPr>
              <w:t xml:space="preserve">ities, </w:t>
            </w:r>
            <w:r w:rsidR="002E6C24">
              <w:rPr>
                <w:bCs/>
                <w:szCs w:val="20"/>
              </w:rPr>
              <w:t xml:space="preserve">such as </w:t>
            </w:r>
            <w:r>
              <w:rPr>
                <w:bCs/>
                <w:szCs w:val="20"/>
              </w:rPr>
              <w:t>cl</w:t>
            </w:r>
            <w:r w:rsidRPr="008C7846">
              <w:rPr>
                <w:bCs/>
                <w:szCs w:val="20"/>
              </w:rPr>
              <w:t>inical and genetic heterogeneity</w:t>
            </w:r>
            <w:r>
              <w:rPr>
                <w:bCs/>
                <w:szCs w:val="20"/>
              </w:rPr>
              <w:t xml:space="preserve">, unpredictable prognosis, and difficult </w:t>
            </w:r>
            <w:r w:rsidRPr="008C7846">
              <w:rPr>
                <w:bCs/>
                <w:szCs w:val="20"/>
              </w:rPr>
              <w:t>management</w:t>
            </w:r>
            <w:r>
              <w:rPr>
                <w:bCs/>
                <w:szCs w:val="20"/>
              </w:rPr>
              <w:t xml:space="preserve"> with</w:t>
            </w:r>
            <w:r w:rsidRPr="008C7846">
              <w:rPr>
                <w:bCs/>
                <w:szCs w:val="20"/>
              </w:rPr>
              <w:t xml:space="preserve"> </w:t>
            </w:r>
            <w:r>
              <w:rPr>
                <w:bCs/>
                <w:szCs w:val="20"/>
              </w:rPr>
              <w:t>no current</w:t>
            </w:r>
            <w:r w:rsidRPr="008C7846">
              <w:rPr>
                <w:bCs/>
                <w:szCs w:val="20"/>
              </w:rPr>
              <w:t xml:space="preserve"> cure</w:t>
            </w:r>
            <w:r>
              <w:rPr>
                <w:bCs/>
                <w:szCs w:val="20"/>
              </w:rPr>
              <w:t xml:space="preserve">s, </w:t>
            </w:r>
            <w:r w:rsidRPr="008C7846">
              <w:rPr>
                <w:bCs/>
                <w:szCs w:val="20"/>
              </w:rPr>
              <w:t>identify</w:t>
            </w:r>
            <w:r>
              <w:rPr>
                <w:bCs/>
                <w:szCs w:val="20"/>
              </w:rPr>
              <w:t>ing appropri</w:t>
            </w:r>
            <w:r w:rsidRPr="008C7846">
              <w:rPr>
                <w:bCs/>
                <w:szCs w:val="20"/>
              </w:rPr>
              <w:t>ate outcome measures</w:t>
            </w:r>
            <w:r>
              <w:rPr>
                <w:bCs/>
                <w:szCs w:val="20"/>
              </w:rPr>
              <w:t xml:space="preserve"> for MD</w:t>
            </w:r>
            <w:r w:rsidRPr="008C7846">
              <w:rPr>
                <w:bCs/>
                <w:szCs w:val="20"/>
              </w:rPr>
              <w:t xml:space="preserve"> </w:t>
            </w:r>
            <w:r>
              <w:rPr>
                <w:bCs/>
                <w:szCs w:val="20"/>
              </w:rPr>
              <w:t xml:space="preserve">has remained </w:t>
            </w:r>
            <w:r w:rsidR="000C3FD6">
              <w:rPr>
                <w:bCs/>
                <w:szCs w:val="20"/>
              </w:rPr>
              <w:t>elusive</w:t>
            </w:r>
            <w:r>
              <w:rPr>
                <w:bCs/>
                <w:szCs w:val="20"/>
              </w:rPr>
              <w:t xml:space="preserve">. </w:t>
            </w:r>
            <w:r w:rsidR="002E6C24">
              <w:rPr>
                <w:bCs/>
                <w:szCs w:val="20"/>
              </w:rPr>
              <w:t>This article assesses</w:t>
            </w:r>
            <w:r w:rsidRPr="008C7846">
              <w:rPr>
                <w:bCs/>
                <w:szCs w:val="20"/>
              </w:rPr>
              <w:t xml:space="preserve"> current outcome and quality of life</w:t>
            </w:r>
            <w:r w:rsidR="002E6C24">
              <w:rPr>
                <w:bCs/>
                <w:szCs w:val="20"/>
              </w:rPr>
              <w:t xml:space="preserve"> measures</w:t>
            </w:r>
            <w:r w:rsidRPr="008C7846">
              <w:rPr>
                <w:bCs/>
                <w:szCs w:val="20"/>
              </w:rPr>
              <w:t xml:space="preserve"> </w:t>
            </w:r>
            <w:r w:rsidR="002E6C24">
              <w:rPr>
                <w:bCs/>
                <w:szCs w:val="20"/>
              </w:rPr>
              <w:t>utilised, assessing</w:t>
            </w:r>
            <w:r w:rsidRPr="008C7846">
              <w:rPr>
                <w:bCs/>
                <w:szCs w:val="20"/>
              </w:rPr>
              <w:t xml:space="preserve"> their potential benefits and limitations.</w:t>
            </w:r>
          </w:p>
        </w:tc>
        <w:tc>
          <w:tcPr>
            <w:tcW w:w="1506" w:type="pct"/>
          </w:tcPr>
          <w:p w14:paraId="27A8AACA" w14:textId="227D4941" w:rsidR="00183944" w:rsidRDefault="0048004A" w:rsidP="00E478C5">
            <w:pPr>
              <w:rPr>
                <w:bCs/>
                <w:szCs w:val="20"/>
              </w:rPr>
            </w:pPr>
            <w:proofErr w:type="spellStart"/>
            <w:r w:rsidRPr="0048004A">
              <w:rPr>
                <w:bCs/>
                <w:szCs w:val="20"/>
              </w:rPr>
              <w:t>Koene</w:t>
            </w:r>
            <w:proofErr w:type="spellEnd"/>
            <w:r w:rsidR="00222DC2">
              <w:rPr>
                <w:bCs/>
                <w:szCs w:val="20"/>
              </w:rPr>
              <w:t xml:space="preserve"> et al., </w:t>
            </w:r>
            <w:r w:rsidRPr="0048004A">
              <w:rPr>
                <w:bCs/>
                <w:szCs w:val="20"/>
              </w:rPr>
              <w:t>2019</w:t>
            </w:r>
            <w:r w:rsidR="00222DC2">
              <w:rPr>
                <w:bCs/>
                <w:szCs w:val="20"/>
              </w:rPr>
              <w:t xml:space="preserve">. </w:t>
            </w:r>
            <w:r w:rsidR="00183944" w:rsidRPr="00183944">
              <w:rPr>
                <w:bCs/>
                <w:szCs w:val="20"/>
              </w:rPr>
              <w:t>Springer, Cham</w:t>
            </w:r>
          </w:p>
          <w:p w14:paraId="7537EA25" w14:textId="75CCE160" w:rsidR="00222DC2" w:rsidRDefault="00913B21" w:rsidP="00E478C5">
            <w:pPr>
              <w:rPr>
                <w:bCs/>
                <w:szCs w:val="20"/>
              </w:rPr>
            </w:pPr>
            <w:hyperlink r:id="rId32" w:history="1">
              <w:r w:rsidR="000857C0" w:rsidRPr="008B27D4">
                <w:rPr>
                  <w:rStyle w:val="Hyperlink"/>
                  <w:bCs/>
                  <w:szCs w:val="20"/>
                </w:rPr>
                <w:t>https://doi.org/10.1007/978-3-030-05517-2_19</w:t>
              </w:r>
            </w:hyperlink>
          </w:p>
          <w:p w14:paraId="49863648" w14:textId="77777777" w:rsidR="000857C0" w:rsidRDefault="000857C0" w:rsidP="00E478C5">
            <w:pPr>
              <w:rPr>
                <w:bCs/>
                <w:szCs w:val="20"/>
              </w:rPr>
            </w:pPr>
          </w:p>
          <w:p w14:paraId="3657BF1D" w14:textId="045CF945" w:rsidR="00B37C51" w:rsidRPr="00A96B3E" w:rsidRDefault="00B37C51" w:rsidP="00E478C5">
            <w:pPr>
              <w:rPr>
                <w:bCs/>
                <w:szCs w:val="20"/>
              </w:rPr>
            </w:pPr>
          </w:p>
        </w:tc>
        <w:tc>
          <w:tcPr>
            <w:tcW w:w="548" w:type="pct"/>
          </w:tcPr>
          <w:p w14:paraId="5F4B9992" w14:textId="0BD555F6" w:rsidR="00B37C51" w:rsidRPr="00A96B3E" w:rsidRDefault="0048004A" w:rsidP="00FE55F1">
            <w:pPr>
              <w:rPr>
                <w:bCs/>
                <w:szCs w:val="20"/>
              </w:rPr>
            </w:pPr>
            <w:r>
              <w:rPr>
                <w:bCs/>
                <w:szCs w:val="20"/>
              </w:rPr>
              <w:t>4 May 2019</w:t>
            </w:r>
          </w:p>
        </w:tc>
      </w:tr>
      <w:tr w:rsidR="00290D4D" w14:paraId="33D6DA35" w14:textId="77777777" w:rsidTr="00937963">
        <w:trPr>
          <w:cantSplit/>
        </w:trPr>
        <w:tc>
          <w:tcPr>
            <w:tcW w:w="201" w:type="pct"/>
          </w:tcPr>
          <w:p w14:paraId="60E3752D" w14:textId="73FFC78D" w:rsidR="00290D4D" w:rsidRDefault="00290D4D" w:rsidP="00FE55F1">
            <w:pPr>
              <w:rPr>
                <w:szCs w:val="20"/>
              </w:rPr>
            </w:pPr>
            <w:r>
              <w:rPr>
                <w:szCs w:val="20"/>
              </w:rPr>
              <w:t>21.</w:t>
            </w:r>
          </w:p>
        </w:tc>
        <w:tc>
          <w:tcPr>
            <w:tcW w:w="509" w:type="pct"/>
          </w:tcPr>
          <w:p w14:paraId="11132A33" w14:textId="428D3429" w:rsidR="00290D4D" w:rsidRDefault="009A725A" w:rsidP="00FE55F1">
            <w:pPr>
              <w:rPr>
                <w:bCs/>
                <w:szCs w:val="20"/>
              </w:rPr>
            </w:pPr>
            <w:r>
              <w:rPr>
                <w:bCs/>
                <w:szCs w:val="20"/>
              </w:rPr>
              <w:t>Data base analysis</w:t>
            </w:r>
          </w:p>
        </w:tc>
        <w:tc>
          <w:tcPr>
            <w:tcW w:w="813" w:type="pct"/>
          </w:tcPr>
          <w:p w14:paraId="27469AC1" w14:textId="7176682B" w:rsidR="00290D4D" w:rsidRPr="0048004A" w:rsidRDefault="00290D4D" w:rsidP="0048004A">
            <w:pPr>
              <w:rPr>
                <w:bCs/>
                <w:szCs w:val="20"/>
              </w:rPr>
            </w:pPr>
            <w:r w:rsidRPr="00290D4D">
              <w:rPr>
                <w:bCs/>
                <w:szCs w:val="20"/>
              </w:rPr>
              <w:t>Lifetime risk of autosomal recessive mitochondrial disorders calculated from genetic databases</w:t>
            </w:r>
          </w:p>
        </w:tc>
        <w:tc>
          <w:tcPr>
            <w:tcW w:w="1423" w:type="pct"/>
          </w:tcPr>
          <w:p w14:paraId="5AABA8BE" w14:textId="137FBCA4" w:rsidR="00290D4D" w:rsidRDefault="00EE4B5E" w:rsidP="00FE55F1">
            <w:pPr>
              <w:rPr>
                <w:bCs/>
                <w:szCs w:val="20"/>
              </w:rPr>
            </w:pPr>
            <w:r>
              <w:rPr>
                <w:bCs/>
                <w:szCs w:val="20"/>
              </w:rPr>
              <w:t>The ‘l</w:t>
            </w:r>
            <w:r w:rsidR="009A725A" w:rsidRPr="009A725A">
              <w:rPr>
                <w:bCs/>
                <w:szCs w:val="20"/>
              </w:rPr>
              <w:t>ifetime risk of all known autosomal recessive</w:t>
            </w:r>
            <w:r>
              <w:rPr>
                <w:bCs/>
                <w:szCs w:val="20"/>
              </w:rPr>
              <w:t>’</w:t>
            </w:r>
            <w:r w:rsidR="009A725A" w:rsidRPr="009A725A">
              <w:rPr>
                <w:bCs/>
                <w:szCs w:val="20"/>
              </w:rPr>
              <w:t xml:space="preserve"> mitochondrial dis</w:t>
            </w:r>
            <w:r w:rsidR="009A725A">
              <w:rPr>
                <w:bCs/>
                <w:szCs w:val="20"/>
              </w:rPr>
              <w:t xml:space="preserve">ease were calculated </w:t>
            </w:r>
            <w:r w:rsidR="009A725A" w:rsidRPr="009A725A">
              <w:rPr>
                <w:bCs/>
                <w:szCs w:val="20"/>
              </w:rPr>
              <w:t xml:space="preserve">on </w:t>
            </w:r>
            <w:r w:rsidR="009A725A">
              <w:rPr>
                <w:bCs/>
                <w:szCs w:val="20"/>
              </w:rPr>
              <w:t xml:space="preserve">the </w:t>
            </w:r>
            <w:r w:rsidR="009A725A" w:rsidRPr="009A725A">
              <w:rPr>
                <w:bCs/>
                <w:szCs w:val="20"/>
              </w:rPr>
              <w:t>basis of genetic data</w:t>
            </w:r>
            <w:r w:rsidR="009A725A">
              <w:rPr>
                <w:bCs/>
                <w:szCs w:val="20"/>
              </w:rPr>
              <w:t xml:space="preserve"> available on the</w:t>
            </w:r>
            <w:r w:rsidR="00222DC2">
              <w:rPr>
                <w:bCs/>
                <w:szCs w:val="20"/>
              </w:rPr>
              <w:t xml:space="preserve"> various data bases such as the</w:t>
            </w:r>
            <w:r w:rsidR="009A725A">
              <w:rPr>
                <w:bCs/>
                <w:szCs w:val="20"/>
              </w:rPr>
              <w:t xml:space="preserve"> European </w:t>
            </w:r>
            <w:proofErr w:type="spellStart"/>
            <w:r w:rsidR="009A725A">
              <w:rPr>
                <w:bCs/>
                <w:szCs w:val="20"/>
              </w:rPr>
              <w:t>gnomAD</w:t>
            </w:r>
            <w:proofErr w:type="spellEnd"/>
            <w:r w:rsidR="009A725A">
              <w:rPr>
                <w:bCs/>
                <w:szCs w:val="20"/>
              </w:rPr>
              <w:t xml:space="preserve">. </w:t>
            </w:r>
            <w:r w:rsidR="009A725A" w:rsidRPr="009A725A">
              <w:rPr>
                <w:bCs/>
                <w:szCs w:val="20"/>
              </w:rPr>
              <w:t xml:space="preserve"> </w:t>
            </w:r>
            <w:r w:rsidR="009A725A">
              <w:rPr>
                <w:bCs/>
                <w:szCs w:val="20"/>
              </w:rPr>
              <w:t>Results revealed a s</w:t>
            </w:r>
            <w:r w:rsidR="009A725A" w:rsidRPr="009A725A">
              <w:rPr>
                <w:bCs/>
                <w:szCs w:val="20"/>
              </w:rPr>
              <w:t>ubstantial</w:t>
            </w:r>
            <w:r w:rsidR="009A725A">
              <w:rPr>
                <w:bCs/>
                <w:szCs w:val="20"/>
              </w:rPr>
              <w:t xml:space="preserve">ly higher </w:t>
            </w:r>
            <w:r w:rsidR="009A725A" w:rsidRPr="009A725A">
              <w:rPr>
                <w:bCs/>
                <w:szCs w:val="20"/>
              </w:rPr>
              <w:t>cumulative prevalen</w:t>
            </w:r>
            <w:r w:rsidR="009A725A">
              <w:rPr>
                <w:bCs/>
                <w:szCs w:val="20"/>
              </w:rPr>
              <w:t xml:space="preserve">ce, than </w:t>
            </w:r>
            <w:r w:rsidR="009A725A" w:rsidRPr="009A725A">
              <w:rPr>
                <w:bCs/>
                <w:szCs w:val="20"/>
              </w:rPr>
              <w:t>previous estimates.</w:t>
            </w:r>
          </w:p>
        </w:tc>
        <w:tc>
          <w:tcPr>
            <w:tcW w:w="1506" w:type="pct"/>
          </w:tcPr>
          <w:p w14:paraId="136C71FD" w14:textId="2D0A72C3" w:rsidR="00290D4D" w:rsidRDefault="00290D4D" w:rsidP="00E478C5">
            <w:pPr>
              <w:rPr>
                <w:bCs/>
                <w:szCs w:val="20"/>
              </w:rPr>
            </w:pPr>
            <w:r w:rsidRPr="00290D4D">
              <w:rPr>
                <w:bCs/>
                <w:szCs w:val="20"/>
              </w:rPr>
              <w:t>Tan</w:t>
            </w:r>
            <w:r>
              <w:rPr>
                <w:bCs/>
                <w:szCs w:val="20"/>
              </w:rPr>
              <w:t xml:space="preserve"> et al., 2020</w:t>
            </w:r>
            <w:r w:rsidRPr="00290D4D">
              <w:rPr>
                <w:bCs/>
                <w:szCs w:val="20"/>
              </w:rPr>
              <w:t xml:space="preserve">. </w:t>
            </w:r>
            <w:proofErr w:type="spellStart"/>
            <w:r w:rsidRPr="00290D4D">
              <w:rPr>
                <w:bCs/>
                <w:szCs w:val="20"/>
              </w:rPr>
              <w:t>EBioMedicine</w:t>
            </w:r>
            <w:proofErr w:type="spellEnd"/>
            <w:r w:rsidRPr="00290D4D">
              <w:rPr>
                <w:bCs/>
                <w:szCs w:val="20"/>
              </w:rPr>
              <w:t xml:space="preserve">. </w:t>
            </w:r>
            <w:r w:rsidR="000857C0">
              <w:rPr>
                <w:bCs/>
                <w:szCs w:val="20"/>
              </w:rPr>
              <w:t xml:space="preserve">Vol </w:t>
            </w:r>
            <w:r w:rsidRPr="00290D4D">
              <w:rPr>
                <w:bCs/>
                <w:szCs w:val="20"/>
              </w:rPr>
              <w:t xml:space="preserve">54:102730. </w:t>
            </w:r>
          </w:p>
          <w:p w14:paraId="6945D706" w14:textId="705F41EA" w:rsidR="00290D4D" w:rsidRDefault="00913B21" w:rsidP="00E478C5">
            <w:pPr>
              <w:rPr>
                <w:bCs/>
                <w:szCs w:val="20"/>
              </w:rPr>
            </w:pPr>
            <w:hyperlink r:id="rId33" w:history="1">
              <w:r w:rsidR="000857C0" w:rsidRPr="008B27D4">
                <w:rPr>
                  <w:rStyle w:val="Hyperlink"/>
                  <w:bCs/>
                  <w:szCs w:val="20"/>
                </w:rPr>
                <w:t>https://doi:10.1016/j.ebiom.2020.102730</w:t>
              </w:r>
            </w:hyperlink>
          </w:p>
          <w:p w14:paraId="06755792" w14:textId="29602A5C" w:rsidR="000857C0" w:rsidRPr="0048004A" w:rsidRDefault="000857C0" w:rsidP="00E478C5">
            <w:pPr>
              <w:rPr>
                <w:bCs/>
                <w:szCs w:val="20"/>
              </w:rPr>
            </w:pPr>
          </w:p>
        </w:tc>
        <w:tc>
          <w:tcPr>
            <w:tcW w:w="548" w:type="pct"/>
          </w:tcPr>
          <w:p w14:paraId="5EAD27A5" w14:textId="2E8CF5B4" w:rsidR="00290D4D" w:rsidRDefault="009A725A" w:rsidP="00FE55F1">
            <w:pPr>
              <w:rPr>
                <w:bCs/>
                <w:szCs w:val="20"/>
              </w:rPr>
            </w:pPr>
            <w:r>
              <w:rPr>
                <w:bCs/>
                <w:szCs w:val="20"/>
              </w:rPr>
              <w:t>16 April 2020</w:t>
            </w:r>
          </w:p>
        </w:tc>
      </w:tr>
      <w:tr w:rsidR="00C037E0" w14:paraId="5798AD40" w14:textId="77777777" w:rsidTr="00937963">
        <w:trPr>
          <w:cantSplit/>
        </w:trPr>
        <w:tc>
          <w:tcPr>
            <w:tcW w:w="201" w:type="pct"/>
          </w:tcPr>
          <w:p w14:paraId="2883C4ED" w14:textId="4046BBE2" w:rsidR="00C037E0" w:rsidRDefault="0031484E" w:rsidP="00FE55F1">
            <w:pPr>
              <w:rPr>
                <w:szCs w:val="20"/>
              </w:rPr>
            </w:pPr>
            <w:r>
              <w:rPr>
                <w:szCs w:val="20"/>
              </w:rPr>
              <w:t>22.</w:t>
            </w:r>
          </w:p>
        </w:tc>
        <w:tc>
          <w:tcPr>
            <w:tcW w:w="509" w:type="pct"/>
          </w:tcPr>
          <w:p w14:paraId="6226869F" w14:textId="33389C79" w:rsidR="00C037E0" w:rsidRDefault="0031484E" w:rsidP="00FE55F1">
            <w:pPr>
              <w:rPr>
                <w:bCs/>
                <w:szCs w:val="20"/>
              </w:rPr>
            </w:pPr>
            <w:r>
              <w:rPr>
                <w:bCs/>
                <w:szCs w:val="20"/>
              </w:rPr>
              <w:t>Cohort Study</w:t>
            </w:r>
          </w:p>
        </w:tc>
        <w:tc>
          <w:tcPr>
            <w:tcW w:w="813" w:type="pct"/>
          </w:tcPr>
          <w:p w14:paraId="7B076962" w14:textId="65B80057" w:rsidR="00C037E0" w:rsidRPr="00290D4D" w:rsidRDefault="00C037E0" w:rsidP="0048004A">
            <w:pPr>
              <w:rPr>
                <w:bCs/>
                <w:szCs w:val="20"/>
              </w:rPr>
            </w:pPr>
            <w:r w:rsidRPr="00C037E0">
              <w:rPr>
                <w:bCs/>
                <w:szCs w:val="20"/>
              </w:rPr>
              <w:t>Prevalence of mitochondrial 1555A--&gt;G mutation in adults of European descent.</w:t>
            </w:r>
          </w:p>
        </w:tc>
        <w:tc>
          <w:tcPr>
            <w:tcW w:w="1423" w:type="pct"/>
          </w:tcPr>
          <w:p w14:paraId="6662DCD2" w14:textId="223222AE" w:rsidR="00C037E0" w:rsidRDefault="000E7790" w:rsidP="0031484E">
            <w:pPr>
              <w:rPr>
                <w:bCs/>
                <w:szCs w:val="20"/>
              </w:rPr>
            </w:pPr>
            <w:r>
              <w:rPr>
                <w:bCs/>
                <w:szCs w:val="20"/>
              </w:rPr>
              <w:t>I</w:t>
            </w:r>
            <w:r w:rsidR="0031484E">
              <w:rPr>
                <w:bCs/>
                <w:szCs w:val="20"/>
              </w:rPr>
              <w:t>nvolv</w:t>
            </w:r>
            <w:r>
              <w:rPr>
                <w:bCs/>
                <w:szCs w:val="20"/>
              </w:rPr>
              <w:t>ed</w:t>
            </w:r>
            <w:r w:rsidR="0031484E">
              <w:rPr>
                <w:bCs/>
                <w:szCs w:val="20"/>
              </w:rPr>
              <w:t xml:space="preserve"> the</w:t>
            </w:r>
            <w:r w:rsidR="0031484E" w:rsidRPr="0031484E">
              <w:rPr>
                <w:bCs/>
                <w:szCs w:val="20"/>
              </w:rPr>
              <w:t xml:space="preserve"> collect</w:t>
            </w:r>
            <w:r w:rsidR="0031484E">
              <w:rPr>
                <w:bCs/>
                <w:szCs w:val="20"/>
              </w:rPr>
              <w:t>ion of</w:t>
            </w:r>
            <w:r w:rsidR="0031484E" w:rsidRPr="0031484E">
              <w:rPr>
                <w:bCs/>
                <w:szCs w:val="20"/>
              </w:rPr>
              <w:t xml:space="preserve"> audiologic data</w:t>
            </w:r>
            <w:r w:rsidR="0031484E">
              <w:rPr>
                <w:bCs/>
                <w:szCs w:val="20"/>
              </w:rPr>
              <w:t xml:space="preserve">, </w:t>
            </w:r>
            <w:r w:rsidR="0031484E" w:rsidRPr="0031484E">
              <w:rPr>
                <w:bCs/>
                <w:szCs w:val="20"/>
              </w:rPr>
              <w:t xml:space="preserve">and DNA </w:t>
            </w:r>
            <w:r w:rsidR="0031484E">
              <w:rPr>
                <w:bCs/>
                <w:szCs w:val="20"/>
              </w:rPr>
              <w:t>samples (b</w:t>
            </w:r>
            <w:r w:rsidR="0031484E" w:rsidRPr="0031484E">
              <w:rPr>
                <w:bCs/>
                <w:szCs w:val="20"/>
              </w:rPr>
              <w:t>lood and hair-follicle</w:t>
            </w:r>
            <w:r w:rsidR="0031484E">
              <w:rPr>
                <w:bCs/>
                <w:szCs w:val="20"/>
              </w:rPr>
              <w:t xml:space="preserve">) </w:t>
            </w:r>
            <w:r w:rsidR="0031484E" w:rsidRPr="0031484E">
              <w:rPr>
                <w:bCs/>
                <w:szCs w:val="20"/>
              </w:rPr>
              <w:t xml:space="preserve">from 2856 subjects </w:t>
            </w:r>
            <w:r w:rsidR="0031484E">
              <w:rPr>
                <w:bCs/>
                <w:szCs w:val="20"/>
              </w:rPr>
              <w:t>(&gt;</w:t>
            </w:r>
            <w:r w:rsidR="0031484E" w:rsidRPr="0031484E">
              <w:rPr>
                <w:bCs/>
                <w:szCs w:val="20"/>
              </w:rPr>
              <w:t xml:space="preserve"> 49 years</w:t>
            </w:r>
            <w:r w:rsidR="0031484E">
              <w:rPr>
                <w:bCs/>
                <w:szCs w:val="20"/>
              </w:rPr>
              <w:t xml:space="preserve">) in the NSW Blue Mountains area. </w:t>
            </w:r>
            <w:r w:rsidR="0031484E" w:rsidRPr="0031484E">
              <w:rPr>
                <w:bCs/>
                <w:szCs w:val="20"/>
              </w:rPr>
              <w:t>The m.1555A</w:t>
            </w:r>
            <w:r w:rsidR="0031484E">
              <w:rPr>
                <w:bCs/>
                <w:szCs w:val="20"/>
              </w:rPr>
              <w:t>&gt;</w:t>
            </w:r>
            <w:r w:rsidR="0031484E" w:rsidRPr="0031484E">
              <w:rPr>
                <w:bCs/>
                <w:szCs w:val="20"/>
              </w:rPr>
              <w:t>G</w:t>
            </w:r>
            <w:r w:rsidR="0031484E">
              <w:rPr>
                <w:bCs/>
                <w:szCs w:val="20"/>
              </w:rPr>
              <w:t>, and</w:t>
            </w:r>
            <w:r w:rsidR="0031484E" w:rsidRPr="0031484E">
              <w:rPr>
                <w:bCs/>
                <w:szCs w:val="20"/>
              </w:rPr>
              <w:t xml:space="preserve"> m.3243A</w:t>
            </w:r>
            <w:r w:rsidR="0031484E">
              <w:rPr>
                <w:bCs/>
                <w:szCs w:val="20"/>
              </w:rPr>
              <w:t>&gt;</w:t>
            </w:r>
            <w:r w:rsidR="0031484E" w:rsidRPr="0031484E">
              <w:rPr>
                <w:bCs/>
                <w:szCs w:val="20"/>
              </w:rPr>
              <w:t xml:space="preserve">G </w:t>
            </w:r>
            <w:r>
              <w:rPr>
                <w:bCs/>
                <w:szCs w:val="20"/>
              </w:rPr>
              <w:t xml:space="preserve">variants </w:t>
            </w:r>
            <w:r w:rsidR="0031484E">
              <w:rPr>
                <w:bCs/>
                <w:szCs w:val="20"/>
              </w:rPr>
              <w:t>were investigated</w:t>
            </w:r>
            <w:r>
              <w:rPr>
                <w:bCs/>
                <w:szCs w:val="20"/>
              </w:rPr>
              <w:t>,</w:t>
            </w:r>
            <w:r w:rsidR="0031484E">
              <w:rPr>
                <w:bCs/>
                <w:szCs w:val="20"/>
              </w:rPr>
              <w:t xml:space="preserve"> </w:t>
            </w:r>
            <w:r>
              <w:rPr>
                <w:bCs/>
                <w:szCs w:val="20"/>
              </w:rPr>
              <w:t>with</w:t>
            </w:r>
            <w:r w:rsidR="0031484E">
              <w:rPr>
                <w:bCs/>
                <w:szCs w:val="20"/>
              </w:rPr>
              <w:t xml:space="preserve"> a </w:t>
            </w:r>
            <w:r w:rsidR="0031484E" w:rsidRPr="0031484E">
              <w:rPr>
                <w:bCs/>
                <w:szCs w:val="20"/>
              </w:rPr>
              <w:t>combined</w:t>
            </w:r>
            <w:r w:rsidR="0031484E">
              <w:rPr>
                <w:bCs/>
                <w:szCs w:val="20"/>
              </w:rPr>
              <w:t xml:space="preserve"> </w:t>
            </w:r>
            <w:r>
              <w:rPr>
                <w:bCs/>
                <w:szCs w:val="20"/>
              </w:rPr>
              <w:t xml:space="preserve">prevalence of approximately </w:t>
            </w:r>
            <w:r w:rsidR="0031484E" w:rsidRPr="0031484E">
              <w:rPr>
                <w:bCs/>
                <w:szCs w:val="20"/>
              </w:rPr>
              <w:t>1 in 250</w:t>
            </w:r>
            <w:r w:rsidR="0031484E">
              <w:rPr>
                <w:bCs/>
                <w:szCs w:val="20"/>
              </w:rPr>
              <w:t xml:space="preserve">, </w:t>
            </w:r>
            <w:r>
              <w:rPr>
                <w:bCs/>
                <w:szCs w:val="20"/>
              </w:rPr>
              <w:t xml:space="preserve">signifying </w:t>
            </w:r>
            <w:r w:rsidR="0031484E">
              <w:rPr>
                <w:bCs/>
                <w:szCs w:val="20"/>
              </w:rPr>
              <w:t>th</w:t>
            </w:r>
            <w:r>
              <w:rPr>
                <w:bCs/>
                <w:szCs w:val="20"/>
              </w:rPr>
              <w:t>eir importance in</w:t>
            </w:r>
            <w:r w:rsidR="0031484E" w:rsidRPr="0031484E">
              <w:rPr>
                <w:bCs/>
                <w:szCs w:val="20"/>
              </w:rPr>
              <w:t xml:space="preserve"> </w:t>
            </w:r>
            <w:r w:rsidR="00222DC2">
              <w:rPr>
                <w:bCs/>
                <w:szCs w:val="20"/>
              </w:rPr>
              <w:t xml:space="preserve">ADULT </w:t>
            </w:r>
            <w:r w:rsidR="0031484E" w:rsidRPr="0031484E">
              <w:rPr>
                <w:bCs/>
                <w:szCs w:val="20"/>
              </w:rPr>
              <w:t>sensorineural hearing los</w:t>
            </w:r>
            <w:r w:rsidR="00222DC2">
              <w:rPr>
                <w:bCs/>
                <w:szCs w:val="20"/>
              </w:rPr>
              <w:t>s</w:t>
            </w:r>
            <w:r>
              <w:rPr>
                <w:bCs/>
                <w:szCs w:val="20"/>
              </w:rPr>
              <w:t>.</w:t>
            </w:r>
          </w:p>
        </w:tc>
        <w:tc>
          <w:tcPr>
            <w:tcW w:w="1506" w:type="pct"/>
          </w:tcPr>
          <w:p w14:paraId="43D7EBDC" w14:textId="77777777" w:rsidR="000857C0" w:rsidRDefault="00C037E0" w:rsidP="00E478C5">
            <w:pPr>
              <w:rPr>
                <w:bCs/>
                <w:szCs w:val="20"/>
              </w:rPr>
            </w:pPr>
            <w:proofErr w:type="spellStart"/>
            <w:r w:rsidRPr="00C037E0">
              <w:rPr>
                <w:bCs/>
                <w:szCs w:val="20"/>
              </w:rPr>
              <w:t>Vandebona</w:t>
            </w:r>
            <w:proofErr w:type="spellEnd"/>
            <w:r>
              <w:rPr>
                <w:bCs/>
                <w:szCs w:val="20"/>
              </w:rPr>
              <w:t xml:space="preserve"> et</w:t>
            </w:r>
            <w:r w:rsidR="000E7790">
              <w:rPr>
                <w:bCs/>
                <w:szCs w:val="20"/>
              </w:rPr>
              <w:t xml:space="preserve"> </w:t>
            </w:r>
            <w:r>
              <w:rPr>
                <w:bCs/>
                <w:szCs w:val="20"/>
              </w:rPr>
              <w:t>al.,</w:t>
            </w:r>
            <w:r w:rsidRPr="00C037E0">
              <w:rPr>
                <w:bCs/>
                <w:szCs w:val="20"/>
              </w:rPr>
              <w:t xml:space="preserve"> </w:t>
            </w:r>
            <w:r w:rsidR="000857C0">
              <w:rPr>
                <w:bCs/>
                <w:szCs w:val="20"/>
              </w:rPr>
              <w:t xml:space="preserve">2009. </w:t>
            </w:r>
            <w:r w:rsidRPr="00C037E0">
              <w:rPr>
                <w:bCs/>
                <w:szCs w:val="20"/>
              </w:rPr>
              <w:t xml:space="preserve">N </w:t>
            </w:r>
            <w:proofErr w:type="spellStart"/>
            <w:r w:rsidRPr="00C037E0">
              <w:rPr>
                <w:bCs/>
                <w:szCs w:val="20"/>
              </w:rPr>
              <w:t>Engl</w:t>
            </w:r>
            <w:proofErr w:type="spellEnd"/>
            <w:r w:rsidRPr="00C037E0">
              <w:rPr>
                <w:bCs/>
                <w:szCs w:val="20"/>
              </w:rPr>
              <w:t xml:space="preserve"> J Med. 5;360(6):642-4. </w:t>
            </w:r>
          </w:p>
          <w:p w14:paraId="59006E61" w14:textId="027B2F51" w:rsidR="00C037E0" w:rsidRDefault="00913B21" w:rsidP="00E478C5">
            <w:pPr>
              <w:rPr>
                <w:bCs/>
                <w:szCs w:val="20"/>
              </w:rPr>
            </w:pPr>
            <w:hyperlink r:id="rId34" w:history="1">
              <w:r w:rsidR="000857C0" w:rsidRPr="008B27D4">
                <w:rPr>
                  <w:rStyle w:val="Hyperlink"/>
                  <w:bCs/>
                  <w:szCs w:val="20"/>
                </w:rPr>
                <w:t>https://DOI:10.1056/NEJMc0806397</w:t>
              </w:r>
            </w:hyperlink>
          </w:p>
          <w:p w14:paraId="79BE46D1" w14:textId="4010A115" w:rsidR="000857C0" w:rsidRPr="00290D4D" w:rsidRDefault="000857C0" w:rsidP="00E478C5">
            <w:pPr>
              <w:rPr>
                <w:bCs/>
                <w:szCs w:val="20"/>
              </w:rPr>
            </w:pPr>
          </w:p>
        </w:tc>
        <w:tc>
          <w:tcPr>
            <w:tcW w:w="548" w:type="pct"/>
          </w:tcPr>
          <w:p w14:paraId="13AFBAA9" w14:textId="0900F406" w:rsidR="00C037E0" w:rsidRDefault="0031484E" w:rsidP="00FE55F1">
            <w:pPr>
              <w:rPr>
                <w:bCs/>
                <w:szCs w:val="20"/>
              </w:rPr>
            </w:pPr>
            <w:r>
              <w:rPr>
                <w:bCs/>
                <w:szCs w:val="20"/>
              </w:rPr>
              <w:t>5 February 2009</w:t>
            </w:r>
          </w:p>
        </w:tc>
      </w:tr>
      <w:tr w:rsidR="00526148" w14:paraId="19B852EC" w14:textId="77777777" w:rsidTr="00222DC2">
        <w:trPr>
          <w:cantSplit/>
          <w:trHeight w:val="754"/>
        </w:trPr>
        <w:tc>
          <w:tcPr>
            <w:tcW w:w="201" w:type="pct"/>
          </w:tcPr>
          <w:p w14:paraId="73DBD118" w14:textId="496B63C9" w:rsidR="00526148" w:rsidRDefault="00362EE7" w:rsidP="00FE55F1">
            <w:pPr>
              <w:rPr>
                <w:szCs w:val="20"/>
              </w:rPr>
            </w:pPr>
            <w:r>
              <w:rPr>
                <w:szCs w:val="20"/>
              </w:rPr>
              <w:lastRenderedPageBreak/>
              <w:t>23.</w:t>
            </w:r>
          </w:p>
        </w:tc>
        <w:tc>
          <w:tcPr>
            <w:tcW w:w="509" w:type="pct"/>
          </w:tcPr>
          <w:p w14:paraId="52F16D0B" w14:textId="69B933E7" w:rsidR="00526148" w:rsidRDefault="00362EE7" w:rsidP="00FE55F1">
            <w:pPr>
              <w:rPr>
                <w:bCs/>
                <w:szCs w:val="20"/>
              </w:rPr>
            </w:pPr>
            <w:r>
              <w:rPr>
                <w:bCs/>
                <w:szCs w:val="20"/>
              </w:rPr>
              <w:t>Cohort Study</w:t>
            </w:r>
          </w:p>
        </w:tc>
        <w:tc>
          <w:tcPr>
            <w:tcW w:w="813" w:type="pct"/>
          </w:tcPr>
          <w:p w14:paraId="12F12B6C" w14:textId="28FF46E5" w:rsidR="00526148" w:rsidRPr="00C037E0" w:rsidRDefault="00362EE7" w:rsidP="0048004A">
            <w:pPr>
              <w:rPr>
                <w:bCs/>
                <w:szCs w:val="20"/>
              </w:rPr>
            </w:pPr>
            <w:r w:rsidRPr="00362EE7">
              <w:rPr>
                <w:bCs/>
                <w:szCs w:val="20"/>
              </w:rPr>
              <w:t>Prevalence of nuclear and mitochondrial DNA mutations related to adult mitochondrial disease.</w:t>
            </w:r>
          </w:p>
        </w:tc>
        <w:tc>
          <w:tcPr>
            <w:tcW w:w="1423" w:type="pct"/>
          </w:tcPr>
          <w:p w14:paraId="491B7B57" w14:textId="61D1B7EC" w:rsidR="00526148" w:rsidRDefault="00222DC2" w:rsidP="0031484E">
            <w:pPr>
              <w:rPr>
                <w:bCs/>
                <w:szCs w:val="20"/>
              </w:rPr>
            </w:pPr>
            <w:r>
              <w:rPr>
                <w:bCs/>
                <w:szCs w:val="20"/>
              </w:rPr>
              <w:t>Evaluation of</w:t>
            </w:r>
            <w:r w:rsidR="00362EE7" w:rsidRPr="00362EE7">
              <w:rPr>
                <w:bCs/>
                <w:szCs w:val="20"/>
              </w:rPr>
              <w:t xml:space="preserve"> </w:t>
            </w:r>
            <w:r>
              <w:rPr>
                <w:bCs/>
                <w:szCs w:val="20"/>
              </w:rPr>
              <w:t xml:space="preserve">clinic </w:t>
            </w:r>
            <w:r w:rsidR="00362EE7" w:rsidRPr="00362EE7">
              <w:rPr>
                <w:bCs/>
                <w:szCs w:val="20"/>
              </w:rPr>
              <w:t>data confirm</w:t>
            </w:r>
            <w:r>
              <w:rPr>
                <w:bCs/>
                <w:szCs w:val="20"/>
              </w:rPr>
              <w:t>ed</w:t>
            </w:r>
            <w:r w:rsidR="00362EE7" w:rsidRPr="00362EE7">
              <w:rPr>
                <w:bCs/>
                <w:szCs w:val="20"/>
              </w:rPr>
              <w:t xml:space="preserve"> that the</w:t>
            </w:r>
            <w:r>
              <w:rPr>
                <w:bCs/>
                <w:szCs w:val="20"/>
              </w:rPr>
              <w:t xml:space="preserve"> combined </w:t>
            </w:r>
            <w:r w:rsidR="00362EE7" w:rsidRPr="00362EE7">
              <w:rPr>
                <w:bCs/>
                <w:szCs w:val="20"/>
              </w:rPr>
              <w:t>prevalence of</w:t>
            </w:r>
            <w:r>
              <w:rPr>
                <w:bCs/>
                <w:szCs w:val="20"/>
              </w:rPr>
              <w:t xml:space="preserve"> both </w:t>
            </w:r>
            <w:r w:rsidR="00362EE7" w:rsidRPr="00362EE7">
              <w:rPr>
                <w:bCs/>
                <w:szCs w:val="20"/>
              </w:rPr>
              <w:t>pathogenic mitochondrial and nuclear genome</w:t>
            </w:r>
            <w:r>
              <w:rPr>
                <w:bCs/>
                <w:szCs w:val="20"/>
              </w:rPr>
              <w:t xml:space="preserve"> variants was approximately </w:t>
            </w:r>
            <w:r w:rsidR="00362EE7" w:rsidRPr="00362EE7">
              <w:rPr>
                <w:bCs/>
                <w:szCs w:val="20"/>
              </w:rPr>
              <w:t>1 in 4,300</w:t>
            </w:r>
            <w:r>
              <w:rPr>
                <w:bCs/>
                <w:szCs w:val="20"/>
              </w:rPr>
              <w:t xml:space="preserve"> ADULTS, making it </w:t>
            </w:r>
            <w:r w:rsidR="000A5253">
              <w:rPr>
                <w:bCs/>
                <w:szCs w:val="20"/>
              </w:rPr>
              <w:t>“</w:t>
            </w:r>
            <w:r>
              <w:rPr>
                <w:bCs/>
                <w:szCs w:val="20"/>
              </w:rPr>
              <w:t>one of the</w:t>
            </w:r>
            <w:r w:rsidR="00362EE7" w:rsidRPr="00362EE7">
              <w:rPr>
                <w:bCs/>
                <w:szCs w:val="20"/>
              </w:rPr>
              <w:t xml:space="preserve"> commonest adult forms of inherited neurological disorders</w:t>
            </w:r>
            <w:r w:rsidR="000A5253">
              <w:rPr>
                <w:bCs/>
                <w:szCs w:val="20"/>
              </w:rPr>
              <w:t>”</w:t>
            </w:r>
            <w:r>
              <w:rPr>
                <w:bCs/>
                <w:szCs w:val="20"/>
              </w:rPr>
              <w:t>.</w:t>
            </w:r>
          </w:p>
        </w:tc>
        <w:tc>
          <w:tcPr>
            <w:tcW w:w="1506" w:type="pct"/>
          </w:tcPr>
          <w:p w14:paraId="61F62D48" w14:textId="0DB869C1" w:rsidR="000857C0" w:rsidRDefault="00362EE7" w:rsidP="00E478C5">
            <w:pPr>
              <w:rPr>
                <w:bCs/>
                <w:szCs w:val="20"/>
              </w:rPr>
            </w:pPr>
            <w:r w:rsidRPr="00362EE7">
              <w:rPr>
                <w:bCs/>
                <w:szCs w:val="20"/>
              </w:rPr>
              <w:t xml:space="preserve">Gorman </w:t>
            </w:r>
            <w:r>
              <w:rPr>
                <w:bCs/>
                <w:szCs w:val="20"/>
              </w:rPr>
              <w:t>et al.</w:t>
            </w:r>
            <w:r w:rsidRPr="00362EE7">
              <w:rPr>
                <w:bCs/>
                <w:szCs w:val="20"/>
              </w:rPr>
              <w:t xml:space="preserve"> </w:t>
            </w:r>
            <w:r w:rsidR="000857C0">
              <w:rPr>
                <w:bCs/>
                <w:szCs w:val="20"/>
              </w:rPr>
              <w:t xml:space="preserve">2015. </w:t>
            </w:r>
            <w:r w:rsidRPr="00362EE7">
              <w:rPr>
                <w:bCs/>
                <w:szCs w:val="20"/>
              </w:rPr>
              <w:t xml:space="preserve">Ann Neurol. </w:t>
            </w:r>
            <w:r w:rsidR="000857C0">
              <w:rPr>
                <w:bCs/>
                <w:szCs w:val="20"/>
              </w:rPr>
              <w:t xml:space="preserve">Vol </w:t>
            </w:r>
            <w:r w:rsidRPr="00362EE7">
              <w:rPr>
                <w:bCs/>
                <w:szCs w:val="20"/>
              </w:rPr>
              <w:t>77(5):753-</w:t>
            </w:r>
            <w:r w:rsidR="000857C0">
              <w:rPr>
                <w:bCs/>
                <w:szCs w:val="20"/>
              </w:rPr>
              <w:t>75</w:t>
            </w:r>
            <w:r w:rsidRPr="00362EE7">
              <w:rPr>
                <w:bCs/>
                <w:szCs w:val="20"/>
              </w:rPr>
              <w:t xml:space="preserve">9. </w:t>
            </w:r>
          </w:p>
          <w:p w14:paraId="33602327" w14:textId="295855B8" w:rsidR="00526148" w:rsidRDefault="00913B21" w:rsidP="00E478C5">
            <w:pPr>
              <w:rPr>
                <w:bCs/>
                <w:szCs w:val="20"/>
              </w:rPr>
            </w:pPr>
            <w:hyperlink r:id="rId35" w:history="1">
              <w:r w:rsidR="000857C0" w:rsidRPr="008B27D4">
                <w:rPr>
                  <w:rStyle w:val="Hyperlink"/>
                  <w:bCs/>
                  <w:szCs w:val="20"/>
                </w:rPr>
                <w:t>https://doi:10.1002/ana.24362</w:t>
              </w:r>
            </w:hyperlink>
            <w:r w:rsidR="00362EE7" w:rsidRPr="00362EE7">
              <w:rPr>
                <w:bCs/>
                <w:szCs w:val="20"/>
              </w:rPr>
              <w:t>.</w:t>
            </w:r>
          </w:p>
          <w:p w14:paraId="3E579FC8" w14:textId="0EC1943A" w:rsidR="000857C0" w:rsidRPr="00C037E0" w:rsidRDefault="000857C0" w:rsidP="00E478C5">
            <w:pPr>
              <w:rPr>
                <w:bCs/>
                <w:szCs w:val="20"/>
              </w:rPr>
            </w:pPr>
          </w:p>
        </w:tc>
        <w:tc>
          <w:tcPr>
            <w:tcW w:w="548" w:type="pct"/>
          </w:tcPr>
          <w:p w14:paraId="42999A11" w14:textId="51B7E71B" w:rsidR="00526148" w:rsidRDefault="00362EE7" w:rsidP="00FE55F1">
            <w:pPr>
              <w:rPr>
                <w:bCs/>
                <w:szCs w:val="20"/>
              </w:rPr>
            </w:pPr>
            <w:r>
              <w:rPr>
                <w:bCs/>
                <w:szCs w:val="20"/>
              </w:rPr>
              <w:t>28 March 2015</w:t>
            </w:r>
          </w:p>
        </w:tc>
      </w:tr>
      <w:tr w:rsidR="00222DC2" w14:paraId="0A2AC47F" w14:textId="77777777" w:rsidTr="00222DC2">
        <w:trPr>
          <w:cantSplit/>
          <w:trHeight w:val="754"/>
        </w:trPr>
        <w:tc>
          <w:tcPr>
            <w:tcW w:w="201" w:type="pct"/>
          </w:tcPr>
          <w:p w14:paraId="7E1D6CBE" w14:textId="700AE752" w:rsidR="00222DC2" w:rsidRDefault="00222DC2" w:rsidP="00FE55F1">
            <w:pPr>
              <w:rPr>
                <w:szCs w:val="20"/>
              </w:rPr>
            </w:pPr>
            <w:r>
              <w:rPr>
                <w:szCs w:val="20"/>
              </w:rPr>
              <w:t>24.</w:t>
            </w:r>
          </w:p>
        </w:tc>
        <w:tc>
          <w:tcPr>
            <w:tcW w:w="509" w:type="pct"/>
          </w:tcPr>
          <w:p w14:paraId="49E1BA52" w14:textId="711E2F91" w:rsidR="00222DC2" w:rsidRDefault="00255DBF" w:rsidP="00FE55F1">
            <w:pPr>
              <w:rPr>
                <w:bCs/>
                <w:szCs w:val="20"/>
              </w:rPr>
            </w:pPr>
            <w:r>
              <w:rPr>
                <w:bCs/>
                <w:szCs w:val="20"/>
              </w:rPr>
              <w:t>Retrospective study</w:t>
            </w:r>
          </w:p>
        </w:tc>
        <w:tc>
          <w:tcPr>
            <w:tcW w:w="813" w:type="pct"/>
          </w:tcPr>
          <w:p w14:paraId="73B5BB05" w14:textId="70DA2F73" w:rsidR="00222DC2" w:rsidRPr="00362EE7" w:rsidRDefault="000857C0" w:rsidP="0048004A">
            <w:pPr>
              <w:rPr>
                <w:bCs/>
                <w:szCs w:val="20"/>
              </w:rPr>
            </w:pPr>
            <w:r w:rsidRPr="000857C0">
              <w:rPr>
                <w:bCs/>
                <w:szCs w:val="20"/>
              </w:rPr>
              <w:t>Minimum birth prevalence of mitochondrial respiratory chain disorders in children</w:t>
            </w:r>
          </w:p>
        </w:tc>
        <w:tc>
          <w:tcPr>
            <w:tcW w:w="1423" w:type="pct"/>
          </w:tcPr>
          <w:p w14:paraId="1DD4A9DA" w14:textId="680E8180" w:rsidR="00222DC2" w:rsidRDefault="00255DBF" w:rsidP="0031484E">
            <w:pPr>
              <w:rPr>
                <w:bCs/>
                <w:szCs w:val="20"/>
              </w:rPr>
            </w:pPr>
            <w:r>
              <w:rPr>
                <w:bCs/>
                <w:szCs w:val="20"/>
              </w:rPr>
              <w:t>T</w:t>
            </w:r>
            <w:r w:rsidRPr="00255DBF">
              <w:rPr>
                <w:bCs/>
                <w:szCs w:val="20"/>
              </w:rPr>
              <w:t>he minimum birth prevalence of respiratory chain disorders</w:t>
            </w:r>
            <w:r>
              <w:rPr>
                <w:bCs/>
                <w:szCs w:val="20"/>
              </w:rPr>
              <w:t xml:space="preserve"> with onset in</w:t>
            </w:r>
            <w:r w:rsidRPr="00255DBF">
              <w:rPr>
                <w:bCs/>
                <w:szCs w:val="20"/>
              </w:rPr>
              <w:t xml:space="preserve"> childhood, </w:t>
            </w:r>
            <w:r>
              <w:rPr>
                <w:bCs/>
                <w:szCs w:val="20"/>
              </w:rPr>
              <w:t xml:space="preserve">from </w:t>
            </w:r>
            <w:r w:rsidR="00231599">
              <w:rPr>
                <w:bCs/>
                <w:szCs w:val="20"/>
              </w:rPr>
              <w:t>‘our’</w:t>
            </w:r>
            <w:r w:rsidRPr="00255DBF">
              <w:rPr>
                <w:bCs/>
                <w:szCs w:val="20"/>
              </w:rPr>
              <w:t xml:space="preserve"> total data set</w:t>
            </w:r>
            <w:r>
              <w:rPr>
                <w:bCs/>
                <w:szCs w:val="20"/>
              </w:rPr>
              <w:t>,</w:t>
            </w:r>
            <w:r w:rsidRPr="00255DBF">
              <w:rPr>
                <w:bCs/>
                <w:szCs w:val="20"/>
              </w:rPr>
              <w:t xml:space="preserve"> </w:t>
            </w:r>
            <w:r>
              <w:rPr>
                <w:bCs/>
                <w:szCs w:val="20"/>
              </w:rPr>
              <w:t xml:space="preserve">was a </w:t>
            </w:r>
            <w:r w:rsidRPr="00255DBF">
              <w:rPr>
                <w:bCs/>
                <w:szCs w:val="20"/>
              </w:rPr>
              <w:t>predict</w:t>
            </w:r>
            <w:r>
              <w:rPr>
                <w:bCs/>
                <w:szCs w:val="20"/>
              </w:rPr>
              <w:t xml:space="preserve">ed 5/100,000.  </w:t>
            </w:r>
            <w:r w:rsidRPr="00255DBF">
              <w:rPr>
                <w:bCs/>
                <w:szCs w:val="20"/>
              </w:rPr>
              <w:t xml:space="preserve">Combining </w:t>
            </w:r>
            <w:r>
              <w:rPr>
                <w:bCs/>
                <w:szCs w:val="20"/>
              </w:rPr>
              <w:t xml:space="preserve">this </w:t>
            </w:r>
            <w:r w:rsidRPr="00255DBF">
              <w:rPr>
                <w:bCs/>
                <w:szCs w:val="20"/>
              </w:rPr>
              <w:t>data with a previous study on adult</w:t>
            </w:r>
            <w:r>
              <w:rPr>
                <w:bCs/>
                <w:szCs w:val="20"/>
              </w:rPr>
              <w:t>s, predicted</w:t>
            </w:r>
            <w:r w:rsidRPr="00255DBF">
              <w:rPr>
                <w:bCs/>
                <w:szCs w:val="20"/>
              </w:rPr>
              <w:t xml:space="preserve"> a minimum birth prevalence of 13.1/100 000</w:t>
            </w:r>
            <w:r>
              <w:rPr>
                <w:bCs/>
                <w:szCs w:val="20"/>
              </w:rPr>
              <w:t xml:space="preserve"> </w:t>
            </w:r>
            <w:r w:rsidR="00231599">
              <w:rPr>
                <w:bCs/>
                <w:szCs w:val="20"/>
              </w:rPr>
              <w:t xml:space="preserve">with </w:t>
            </w:r>
            <w:r w:rsidRPr="00255DBF">
              <w:rPr>
                <w:bCs/>
                <w:szCs w:val="20"/>
              </w:rPr>
              <w:t>onset at any age.</w:t>
            </w:r>
          </w:p>
        </w:tc>
        <w:tc>
          <w:tcPr>
            <w:tcW w:w="1506" w:type="pct"/>
          </w:tcPr>
          <w:p w14:paraId="7647F9E8" w14:textId="77777777" w:rsidR="000857C0" w:rsidRDefault="000857C0" w:rsidP="00E478C5">
            <w:pPr>
              <w:rPr>
                <w:bCs/>
                <w:szCs w:val="20"/>
              </w:rPr>
            </w:pPr>
            <w:proofErr w:type="spellStart"/>
            <w:r w:rsidRPr="000857C0">
              <w:rPr>
                <w:bCs/>
                <w:szCs w:val="20"/>
              </w:rPr>
              <w:t>Skladal</w:t>
            </w:r>
            <w:proofErr w:type="spellEnd"/>
            <w:r>
              <w:rPr>
                <w:bCs/>
                <w:szCs w:val="20"/>
              </w:rPr>
              <w:t xml:space="preserve"> et al., 2003. </w:t>
            </w:r>
            <w:r w:rsidRPr="000857C0">
              <w:rPr>
                <w:bCs/>
                <w:szCs w:val="20"/>
              </w:rPr>
              <w:t xml:space="preserve">Brain. </w:t>
            </w:r>
            <w:r>
              <w:rPr>
                <w:bCs/>
                <w:szCs w:val="20"/>
              </w:rPr>
              <w:t xml:space="preserve">Vol </w:t>
            </w:r>
            <w:r w:rsidRPr="000857C0">
              <w:rPr>
                <w:bCs/>
                <w:szCs w:val="20"/>
              </w:rPr>
              <w:t xml:space="preserve">126(Pt 8):1905-12. </w:t>
            </w:r>
          </w:p>
          <w:p w14:paraId="73D782F2" w14:textId="1A6797A8" w:rsidR="000857C0" w:rsidRDefault="00913B21" w:rsidP="00E478C5">
            <w:pPr>
              <w:rPr>
                <w:bCs/>
                <w:szCs w:val="20"/>
              </w:rPr>
            </w:pPr>
            <w:hyperlink r:id="rId36" w:history="1">
              <w:r w:rsidR="000857C0" w:rsidRPr="008B27D4">
                <w:rPr>
                  <w:rStyle w:val="Hyperlink"/>
                  <w:bCs/>
                  <w:szCs w:val="20"/>
                </w:rPr>
                <w:t>https://doi:10.1093/brain/awg170</w:t>
              </w:r>
            </w:hyperlink>
            <w:r w:rsidR="000857C0" w:rsidRPr="000857C0">
              <w:rPr>
                <w:bCs/>
                <w:szCs w:val="20"/>
              </w:rPr>
              <w:t>.</w:t>
            </w:r>
          </w:p>
          <w:p w14:paraId="0284CD91" w14:textId="499BAA0D" w:rsidR="00222DC2" w:rsidRPr="00362EE7" w:rsidRDefault="000857C0" w:rsidP="00E478C5">
            <w:pPr>
              <w:rPr>
                <w:bCs/>
                <w:szCs w:val="20"/>
              </w:rPr>
            </w:pPr>
            <w:r w:rsidRPr="000857C0">
              <w:rPr>
                <w:bCs/>
                <w:szCs w:val="20"/>
              </w:rPr>
              <w:t xml:space="preserve"> </w:t>
            </w:r>
          </w:p>
        </w:tc>
        <w:tc>
          <w:tcPr>
            <w:tcW w:w="548" w:type="pct"/>
          </w:tcPr>
          <w:p w14:paraId="3BCEDE16" w14:textId="384A6A1F" w:rsidR="00222DC2" w:rsidRDefault="00255DBF" w:rsidP="00FE55F1">
            <w:pPr>
              <w:rPr>
                <w:bCs/>
                <w:szCs w:val="20"/>
              </w:rPr>
            </w:pPr>
            <w:r>
              <w:rPr>
                <w:bCs/>
                <w:szCs w:val="20"/>
              </w:rPr>
              <w:t>21 May 2003</w:t>
            </w:r>
          </w:p>
        </w:tc>
      </w:tr>
      <w:tr w:rsidR="00407286" w14:paraId="312B0699" w14:textId="77777777" w:rsidTr="00222DC2">
        <w:trPr>
          <w:cantSplit/>
          <w:trHeight w:val="754"/>
        </w:trPr>
        <w:tc>
          <w:tcPr>
            <w:tcW w:w="201" w:type="pct"/>
          </w:tcPr>
          <w:p w14:paraId="177890EF" w14:textId="49417C8A" w:rsidR="00407286" w:rsidRDefault="00104BB9" w:rsidP="00FE55F1">
            <w:pPr>
              <w:rPr>
                <w:szCs w:val="20"/>
              </w:rPr>
            </w:pPr>
            <w:r>
              <w:rPr>
                <w:szCs w:val="20"/>
              </w:rPr>
              <w:t xml:space="preserve">25. </w:t>
            </w:r>
          </w:p>
        </w:tc>
        <w:tc>
          <w:tcPr>
            <w:tcW w:w="509" w:type="pct"/>
          </w:tcPr>
          <w:p w14:paraId="075CD0DB" w14:textId="2601081D" w:rsidR="00407286" w:rsidRDefault="00304424" w:rsidP="00FE55F1">
            <w:pPr>
              <w:rPr>
                <w:bCs/>
                <w:szCs w:val="20"/>
              </w:rPr>
            </w:pPr>
            <w:r>
              <w:rPr>
                <w:bCs/>
                <w:szCs w:val="20"/>
              </w:rPr>
              <w:t>Cohort Study</w:t>
            </w:r>
          </w:p>
        </w:tc>
        <w:tc>
          <w:tcPr>
            <w:tcW w:w="813" w:type="pct"/>
          </w:tcPr>
          <w:p w14:paraId="0EC52599" w14:textId="2E72A6A3" w:rsidR="00407286" w:rsidRPr="000857C0" w:rsidRDefault="00104BB9" w:rsidP="0048004A">
            <w:pPr>
              <w:rPr>
                <w:bCs/>
                <w:szCs w:val="20"/>
              </w:rPr>
            </w:pPr>
            <w:r w:rsidRPr="00104BB9">
              <w:rPr>
                <w:bCs/>
                <w:szCs w:val="20"/>
              </w:rPr>
              <w:t xml:space="preserve">Psychological functioning in children suspected </w:t>
            </w:r>
            <w:r w:rsidR="00304424">
              <w:rPr>
                <w:bCs/>
                <w:szCs w:val="20"/>
              </w:rPr>
              <w:t>for</w:t>
            </w:r>
            <w:r w:rsidRPr="00104BB9">
              <w:rPr>
                <w:bCs/>
                <w:szCs w:val="20"/>
              </w:rPr>
              <w:t xml:space="preserve"> mitochondrial disease: the need for care.</w:t>
            </w:r>
          </w:p>
        </w:tc>
        <w:tc>
          <w:tcPr>
            <w:tcW w:w="1423" w:type="pct"/>
          </w:tcPr>
          <w:p w14:paraId="3C400F5C" w14:textId="62A01A14" w:rsidR="00407286" w:rsidRDefault="00304424" w:rsidP="00304424">
            <w:pPr>
              <w:rPr>
                <w:bCs/>
                <w:szCs w:val="20"/>
              </w:rPr>
            </w:pPr>
            <w:r>
              <w:rPr>
                <w:bCs/>
                <w:szCs w:val="20"/>
              </w:rPr>
              <w:t xml:space="preserve">The </w:t>
            </w:r>
            <w:r w:rsidRPr="00304424">
              <w:rPr>
                <w:bCs/>
                <w:szCs w:val="20"/>
              </w:rPr>
              <w:t>psychological concerns of children with sus</w:t>
            </w:r>
            <w:r>
              <w:rPr>
                <w:bCs/>
                <w:szCs w:val="20"/>
              </w:rPr>
              <w:t>pected</w:t>
            </w:r>
            <w:r w:rsidRPr="00304424">
              <w:rPr>
                <w:bCs/>
                <w:szCs w:val="20"/>
              </w:rPr>
              <w:t xml:space="preserve"> MD</w:t>
            </w:r>
            <w:r>
              <w:rPr>
                <w:bCs/>
                <w:szCs w:val="20"/>
              </w:rPr>
              <w:t xml:space="preserve"> is </w:t>
            </w:r>
            <w:r w:rsidRPr="00304424">
              <w:rPr>
                <w:bCs/>
                <w:szCs w:val="20"/>
              </w:rPr>
              <w:t xml:space="preserve">important to </w:t>
            </w:r>
            <w:r>
              <w:rPr>
                <w:bCs/>
                <w:szCs w:val="20"/>
              </w:rPr>
              <w:t xml:space="preserve">note </w:t>
            </w:r>
            <w:r w:rsidRPr="00304424">
              <w:rPr>
                <w:bCs/>
                <w:szCs w:val="20"/>
              </w:rPr>
              <w:t xml:space="preserve">in </w:t>
            </w:r>
            <w:r>
              <w:rPr>
                <w:bCs/>
                <w:szCs w:val="20"/>
              </w:rPr>
              <w:t xml:space="preserve">the </w:t>
            </w:r>
            <w:r w:rsidRPr="00304424">
              <w:rPr>
                <w:bCs/>
                <w:szCs w:val="20"/>
              </w:rPr>
              <w:t>early stage</w:t>
            </w:r>
            <w:r>
              <w:rPr>
                <w:bCs/>
                <w:szCs w:val="20"/>
              </w:rPr>
              <w:t xml:space="preserve">s, </w:t>
            </w:r>
            <w:r w:rsidRPr="00304424">
              <w:rPr>
                <w:bCs/>
                <w:szCs w:val="20"/>
              </w:rPr>
              <w:t xml:space="preserve">to provide </w:t>
            </w:r>
            <w:r>
              <w:rPr>
                <w:bCs/>
                <w:szCs w:val="20"/>
              </w:rPr>
              <w:t>support, regardless of the outcome. C</w:t>
            </w:r>
            <w:r w:rsidRPr="00304424">
              <w:rPr>
                <w:bCs/>
                <w:szCs w:val="20"/>
              </w:rPr>
              <w:t>hildren without</w:t>
            </w:r>
            <w:r>
              <w:rPr>
                <w:bCs/>
                <w:szCs w:val="20"/>
              </w:rPr>
              <w:t xml:space="preserve"> a confirmed</w:t>
            </w:r>
            <w:r w:rsidRPr="00304424">
              <w:rPr>
                <w:bCs/>
                <w:szCs w:val="20"/>
              </w:rPr>
              <w:t xml:space="preserve"> diagnosis </w:t>
            </w:r>
            <w:r>
              <w:rPr>
                <w:bCs/>
                <w:szCs w:val="20"/>
              </w:rPr>
              <w:t>were just as</w:t>
            </w:r>
            <w:r w:rsidRPr="00304424">
              <w:rPr>
                <w:bCs/>
                <w:szCs w:val="20"/>
              </w:rPr>
              <w:t xml:space="preserve"> vulnerable </w:t>
            </w:r>
            <w:r>
              <w:rPr>
                <w:bCs/>
                <w:szCs w:val="20"/>
              </w:rPr>
              <w:t>to</w:t>
            </w:r>
            <w:r w:rsidR="00E473E1">
              <w:rPr>
                <w:bCs/>
                <w:szCs w:val="20"/>
              </w:rPr>
              <w:t xml:space="preserve"> negative</w:t>
            </w:r>
            <w:r>
              <w:rPr>
                <w:bCs/>
                <w:szCs w:val="20"/>
              </w:rPr>
              <w:t xml:space="preserve"> psychological effects because they remained </w:t>
            </w:r>
            <w:r w:rsidRPr="00304424">
              <w:rPr>
                <w:bCs/>
                <w:szCs w:val="20"/>
              </w:rPr>
              <w:t>uncertain</w:t>
            </w:r>
            <w:r>
              <w:rPr>
                <w:bCs/>
                <w:szCs w:val="20"/>
              </w:rPr>
              <w:t xml:space="preserve"> about where they stood </w:t>
            </w:r>
            <w:r w:rsidR="00204F2E">
              <w:rPr>
                <w:bCs/>
                <w:szCs w:val="20"/>
              </w:rPr>
              <w:t>in regard to care and diagnosis.</w:t>
            </w:r>
          </w:p>
        </w:tc>
        <w:tc>
          <w:tcPr>
            <w:tcW w:w="1506" w:type="pct"/>
          </w:tcPr>
          <w:p w14:paraId="381A37CA" w14:textId="77777777" w:rsidR="00304424" w:rsidRDefault="00104BB9" w:rsidP="00E478C5">
            <w:pPr>
              <w:rPr>
                <w:bCs/>
                <w:szCs w:val="20"/>
              </w:rPr>
            </w:pPr>
            <w:r w:rsidRPr="00104BB9">
              <w:rPr>
                <w:bCs/>
                <w:szCs w:val="20"/>
              </w:rPr>
              <w:t>van de Loo</w:t>
            </w:r>
            <w:r>
              <w:rPr>
                <w:bCs/>
                <w:szCs w:val="20"/>
              </w:rPr>
              <w:t xml:space="preserve"> et al., 2020.</w:t>
            </w:r>
            <w:r w:rsidRPr="00104BB9">
              <w:rPr>
                <w:bCs/>
                <w:szCs w:val="20"/>
              </w:rPr>
              <w:t> </w:t>
            </w:r>
            <w:proofErr w:type="spellStart"/>
            <w:r w:rsidRPr="00104BB9">
              <w:rPr>
                <w:bCs/>
                <w:szCs w:val="20"/>
              </w:rPr>
              <w:t>Orphanet</w:t>
            </w:r>
            <w:proofErr w:type="spellEnd"/>
            <w:r w:rsidRPr="00104BB9">
              <w:rPr>
                <w:bCs/>
                <w:szCs w:val="20"/>
              </w:rPr>
              <w:t xml:space="preserve"> J Rare Dis 15, 76</w:t>
            </w:r>
            <w:r w:rsidR="00304424">
              <w:rPr>
                <w:bCs/>
                <w:szCs w:val="20"/>
              </w:rPr>
              <w:t>.</w:t>
            </w:r>
          </w:p>
          <w:p w14:paraId="4CFA9760" w14:textId="0B026E11" w:rsidR="00407286" w:rsidRDefault="00104BB9" w:rsidP="00E478C5">
            <w:pPr>
              <w:rPr>
                <w:bCs/>
                <w:szCs w:val="20"/>
              </w:rPr>
            </w:pPr>
            <w:r w:rsidRPr="00104BB9">
              <w:rPr>
                <w:bCs/>
                <w:szCs w:val="20"/>
              </w:rPr>
              <w:t xml:space="preserve"> </w:t>
            </w:r>
            <w:hyperlink r:id="rId37" w:history="1">
              <w:r w:rsidR="00304424" w:rsidRPr="00815AAC">
                <w:rPr>
                  <w:rStyle w:val="Hyperlink"/>
                  <w:bCs/>
                  <w:szCs w:val="20"/>
                </w:rPr>
                <w:t>https://doi.org/10.1186/s13023-020-1342-8</w:t>
              </w:r>
            </w:hyperlink>
          </w:p>
          <w:p w14:paraId="009A1FC8" w14:textId="60DB0278" w:rsidR="00304424" w:rsidRPr="000857C0" w:rsidRDefault="00304424" w:rsidP="00E478C5">
            <w:pPr>
              <w:rPr>
                <w:bCs/>
                <w:szCs w:val="20"/>
              </w:rPr>
            </w:pPr>
          </w:p>
        </w:tc>
        <w:tc>
          <w:tcPr>
            <w:tcW w:w="548" w:type="pct"/>
          </w:tcPr>
          <w:p w14:paraId="33C1E997" w14:textId="3D9578C6" w:rsidR="00407286" w:rsidRDefault="00104BB9" w:rsidP="00FE55F1">
            <w:pPr>
              <w:rPr>
                <w:bCs/>
                <w:szCs w:val="20"/>
              </w:rPr>
            </w:pPr>
            <w:r>
              <w:rPr>
                <w:bCs/>
                <w:szCs w:val="20"/>
              </w:rPr>
              <w:t>24 March 2020</w:t>
            </w:r>
          </w:p>
        </w:tc>
      </w:tr>
      <w:tr w:rsidR="00407286" w14:paraId="1838D893" w14:textId="77777777" w:rsidTr="00222DC2">
        <w:trPr>
          <w:cantSplit/>
          <w:trHeight w:val="754"/>
        </w:trPr>
        <w:tc>
          <w:tcPr>
            <w:tcW w:w="201" w:type="pct"/>
          </w:tcPr>
          <w:p w14:paraId="1C5F37CC" w14:textId="57150F11" w:rsidR="00407286" w:rsidRDefault="00F81701" w:rsidP="00FE55F1">
            <w:pPr>
              <w:rPr>
                <w:szCs w:val="20"/>
              </w:rPr>
            </w:pPr>
            <w:r>
              <w:rPr>
                <w:szCs w:val="20"/>
              </w:rPr>
              <w:t>26.</w:t>
            </w:r>
          </w:p>
        </w:tc>
        <w:tc>
          <w:tcPr>
            <w:tcW w:w="509" w:type="pct"/>
          </w:tcPr>
          <w:p w14:paraId="0BEC3B58" w14:textId="2A5E1DE6" w:rsidR="00407286" w:rsidRDefault="00F81701" w:rsidP="00FE55F1">
            <w:pPr>
              <w:rPr>
                <w:bCs/>
                <w:szCs w:val="20"/>
              </w:rPr>
            </w:pPr>
            <w:r>
              <w:rPr>
                <w:bCs/>
                <w:szCs w:val="20"/>
              </w:rPr>
              <w:t>Cohort Study</w:t>
            </w:r>
          </w:p>
        </w:tc>
        <w:tc>
          <w:tcPr>
            <w:tcW w:w="813" w:type="pct"/>
          </w:tcPr>
          <w:p w14:paraId="00AD5539" w14:textId="7A196C02" w:rsidR="00407286" w:rsidRPr="000857C0" w:rsidRDefault="00F81701" w:rsidP="0048004A">
            <w:pPr>
              <w:rPr>
                <w:bCs/>
                <w:szCs w:val="20"/>
              </w:rPr>
            </w:pPr>
            <w:r w:rsidRPr="00F81701">
              <w:rPr>
                <w:bCs/>
                <w:szCs w:val="20"/>
              </w:rPr>
              <w:t xml:space="preserve">Quality </w:t>
            </w:r>
            <w:proofErr w:type="gramStart"/>
            <w:r w:rsidRPr="00F81701">
              <w:rPr>
                <w:bCs/>
                <w:szCs w:val="20"/>
              </w:rPr>
              <w:t>Of</w:t>
            </w:r>
            <w:proofErr w:type="gramEnd"/>
            <w:r w:rsidRPr="00F81701">
              <w:rPr>
                <w:bCs/>
                <w:szCs w:val="20"/>
              </w:rPr>
              <w:t xml:space="preserve"> Life In Adult Patients With Mitochondrial Myopathy</w:t>
            </w:r>
          </w:p>
        </w:tc>
        <w:tc>
          <w:tcPr>
            <w:tcW w:w="1423" w:type="pct"/>
          </w:tcPr>
          <w:p w14:paraId="14AB0C4E" w14:textId="39998B71" w:rsidR="00407286" w:rsidRDefault="00F81701" w:rsidP="0031484E">
            <w:pPr>
              <w:rPr>
                <w:bCs/>
                <w:szCs w:val="20"/>
              </w:rPr>
            </w:pPr>
            <w:r w:rsidRPr="00F81701">
              <w:rPr>
                <w:bCs/>
                <w:szCs w:val="20"/>
              </w:rPr>
              <w:t xml:space="preserve">The objective of this study </w:t>
            </w:r>
            <w:r w:rsidR="00E473E1">
              <w:rPr>
                <w:bCs/>
                <w:szCs w:val="20"/>
              </w:rPr>
              <w:t>determined that a relationship existed be</w:t>
            </w:r>
            <w:r w:rsidRPr="00F81701">
              <w:rPr>
                <w:bCs/>
                <w:szCs w:val="20"/>
              </w:rPr>
              <w:t>tween</w:t>
            </w:r>
            <w:r w:rsidR="00E473E1">
              <w:rPr>
                <w:bCs/>
                <w:szCs w:val="20"/>
              </w:rPr>
              <w:t xml:space="preserve"> higher disease progression in MD, and decreasing </w:t>
            </w:r>
            <w:r w:rsidRPr="00F81701">
              <w:rPr>
                <w:bCs/>
                <w:szCs w:val="20"/>
              </w:rPr>
              <w:t>quality of life</w:t>
            </w:r>
            <w:r w:rsidR="00E473E1">
              <w:rPr>
                <w:bCs/>
                <w:szCs w:val="20"/>
              </w:rPr>
              <w:t xml:space="preserve">. </w:t>
            </w:r>
          </w:p>
        </w:tc>
        <w:tc>
          <w:tcPr>
            <w:tcW w:w="1506" w:type="pct"/>
          </w:tcPr>
          <w:p w14:paraId="35488DA7" w14:textId="77777777" w:rsidR="00F81701" w:rsidRDefault="00F81701" w:rsidP="00F81701">
            <w:pPr>
              <w:rPr>
                <w:bCs/>
                <w:szCs w:val="20"/>
              </w:rPr>
            </w:pPr>
            <w:proofErr w:type="spellStart"/>
            <w:r w:rsidRPr="00F81701">
              <w:rPr>
                <w:bCs/>
                <w:szCs w:val="20"/>
              </w:rPr>
              <w:t>Orsucci</w:t>
            </w:r>
            <w:proofErr w:type="spellEnd"/>
            <w:r w:rsidRPr="00F81701">
              <w:rPr>
                <w:bCs/>
                <w:szCs w:val="20"/>
              </w:rPr>
              <w:t xml:space="preserve"> et al.</w:t>
            </w:r>
            <w:r>
              <w:rPr>
                <w:bCs/>
                <w:szCs w:val="20"/>
              </w:rPr>
              <w:t xml:space="preserve">, 2012. </w:t>
            </w:r>
            <w:r w:rsidRPr="00F81701">
              <w:rPr>
                <w:bCs/>
                <w:szCs w:val="20"/>
              </w:rPr>
              <w:t>Neuroepidemiology, vol 38, no. 3, 2012, pp. 194-195</w:t>
            </w:r>
          </w:p>
          <w:p w14:paraId="0103C057" w14:textId="3BFCC0AD" w:rsidR="00E473E1" w:rsidRPr="000857C0" w:rsidRDefault="00913B21" w:rsidP="00F81701">
            <w:pPr>
              <w:rPr>
                <w:bCs/>
                <w:szCs w:val="20"/>
              </w:rPr>
            </w:pPr>
            <w:hyperlink r:id="rId38" w:history="1">
              <w:r w:rsidR="00F81701" w:rsidRPr="00F81701">
                <w:rPr>
                  <w:rStyle w:val="Hyperlink"/>
                  <w:bCs/>
                  <w:szCs w:val="20"/>
                </w:rPr>
                <w:t>https://www.karger.com/Article/FullText/337161</w:t>
              </w:r>
            </w:hyperlink>
          </w:p>
        </w:tc>
        <w:tc>
          <w:tcPr>
            <w:tcW w:w="548" w:type="pct"/>
          </w:tcPr>
          <w:p w14:paraId="07F68AD6" w14:textId="1BCDFF68" w:rsidR="00407286" w:rsidRDefault="00F81701" w:rsidP="00FE55F1">
            <w:pPr>
              <w:rPr>
                <w:bCs/>
                <w:szCs w:val="20"/>
              </w:rPr>
            </w:pPr>
            <w:r>
              <w:rPr>
                <w:bCs/>
                <w:szCs w:val="20"/>
              </w:rPr>
              <w:t>May 2012</w:t>
            </w:r>
          </w:p>
        </w:tc>
      </w:tr>
      <w:tr w:rsidR="00F81701" w14:paraId="74A901B7" w14:textId="77777777" w:rsidTr="00222DC2">
        <w:trPr>
          <w:cantSplit/>
          <w:trHeight w:val="754"/>
        </w:trPr>
        <w:tc>
          <w:tcPr>
            <w:tcW w:w="201" w:type="pct"/>
          </w:tcPr>
          <w:p w14:paraId="5E69C0E8" w14:textId="4922248F" w:rsidR="00F81701" w:rsidRDefault="00F81701" w:rsidP="00FE55F1">
            <w:pPr>
              <w:rPr>
                <w:szCs w:val="20"/>
              </w:rPr>
            </w:pPr>
            <w:r>
              <w:rPr>
                <w:szCs w:val="20"/>
              </w:rPr>
              <w:lastRenderedPageBreak/>
              <w:t>27.</w:t>
            </w:r>
          </w:p>
        </w:tc>
        <w:tc>
          <w:tcPr>
            <w:tcW w:w="509" w:type="pct"/>
          </w:tcPr>
          <w:p w14:paraId="1A1A63BE" w14:textId="25CEDC3D" w:rsidR="00F81701" w:rsidRDefault="00F81701" w:rsidP="00FE55F1">
            <w:pPr>
              <w:rPr>
                <w:bCs/>
                <w:szCs w:val="20"/>
              </w:rPr>
            </w:pPr>
            <w:r>
              <w:rPr>
                <w:bCs/>
                <w:szCs w:val="20"/>
              </w:rPr>
              <w:t>Cohort Study</w:t>
            </w:r>
          </w:p>
        </w:tc>
        <w:tc>
          <w:tcPr>
            <w:tcW w:w="813" w:type="pct"/>
          </w:tcPr>
          <w:p w14:paraId="0171333D" w14:textId="33F7A551" w:rsidR="00F81701" w:rsidRPr="00F81701" w:rsidRDefault="00F81701" w:rsidP="0048004A">
            <w:pPr>
              <w:rPr>
                <w:bCs/>
                <w:szCs w:val="20"/>
              </w:rPr>
            </w:pPr>
            <w:r w:rsidRPr="00F81701">
              <w:rPr>
                <w:bCs/>
                <w:szCs w:val="20"/>
              </w:rPr>
              <w:t xml:space="preserve">Caregiver's Burden </w:t>
            </w:r>
            <w:proofErr w:type="gramStart"/>
            <w:r w:rsidRPr="00F81701">
              <w:rPr>
                <w:bCs/>
                <w:szCs w:val="20"/>
              </w:rPr>
              <w:t>And</w:t>
            </w:r>
            <w:proofErr w:type="gramEnd"/>
            <w:r w:rsidRPr="00F81701">
              <w:rPr>
                <w:bCs/>
                <w:szCs w:val="20"/>
              </w:rPr>
              <w:t xml:space="preserve"> Quality Of Life In Mitochondrial Disease</w:t>
            </w:r>
          </w:p>
        </w:tc>
        <w:tc>
          <w:tcPr>
            <w:tcW w:w="1423" w:type="pct"/>
          </w:tcPr>
          <w:p w14:paraId="6EC75C03" w14:textId="765580D5" w:rsidR="00F81701" w:rsidRPr="00F81701" w:rsidRDefault="00F81701" w:rsidP="0031484E">
            <w:pPr>
              <w:rPr>
                <w:bCs/>
                <w:szCs w:val="20"/>
              </w:rPr>
            </w:pPr>
            <w:r w:rsidRPr="00F81701">
              <w:rPr>
                <w:bCs/>
                <w:szCs w:val="20"/>
              </w:rPr>
              <w:t>Mothers of children with mitochondrial disease and</w:t>
            </w:r>
            <w:r w:rsidR="00E473E1">
              <w:rPr>
                <w:bCs/>
                <w:szCs w:val="20"/>
              </w:rPr>
              <w:t xml:space="preserve"> those of</w:t>
            </w:r>
            <w:r w:rsidRPr="00F81701">
              <w:rPr>
                <w:bCs/>
                <w:szCs w:val="20"/>
              </w:rPr>
              <w:t xml:space="preserve"> intractable epilepsy</w:t>
            </w:r>
            <w:r w:rsidR="00E473E1">
              <w:rPr>
                <w:bCs/>
                <w:szCs w:val="20"/>
              </w:rPr>
              <w:t xml:space="preserve"> were compared in indicators of caregivers  burden, which were </w:t>
            </w:r>
            <w:r w:rsidRPr="00F81701">
              <w:rPr>
                <w:bCs/>
                <w:szCs w:val="20"/>
              </w:rPr>
              <w:t xml:space="preserve">significantly higher </w:t>
            </w:r>
            <w:r w:rsidR="00E473E1">
              <w:rPr>
                <w:bCs/>
                <w:szCs w:val="20"/>
              </w:rPr>
              <w:t xml:space="preserve">in the MD mothers. </w:t>
            </w:r>
            <w:r w:rsidR="00645460">
              <w:rPr>
                <w:bCs/>
                <w:szCs w:val="20"/>
              </w:rPr>
              <w:t>P</w:t>
            </w:r>
            <w:r w:rsidRPr="00F81701">
              <w:rPr>
                <w:bCs/>
                <w:szCs w:val="20"/>
              </w:rPr>
              <w:t>oorer health-related quality of life</w:t>
            </w:r>
            <w:r w:rsidR="00645460">
              <w:rPr>
                <w:bCs/>
                <w:szCs w:val="20"/>
              </w:rPr>
              <w:t xml:space="preserve"> was also determined</w:t>
            </w:r>
            <w:r w:rsidRPr="00F81701">
              <w:rPr>
                <w:bCs/>
                <w:szCs w:val="20"/>
              </w:rPr>
              <w:t xml:space="preserve">, </w:t>
            </w:r>
            <w:r w:rsidR="00645460">
              <w:rPr>
                <w:bCs/>
                <w:szCs w:val="20"/>
              </w:rPr>
              <w:t xml:space="preserve">especially in regard to </w:t>
            </w:r>
            <w:r w:rsidRPr="00F81701">
              <w:rPr>
                <w:bCs/>
                <w:szCs w:val="20"/>
              </w:rPr>
              <w:t xml:space="preserve">role limitations, vitality, and mental health. </w:t>
            </w:r>
          </w:p>
        </w:tc>
        <w:tc>
          <w:tcPr>
            <w:tcW w:w="1506" w:type="pct"/>
          </w:tcPr>
          <w:p w14:paraId="52E47949" w14:textId="77777777" w:rsidR="00F81701" w:rsidRDefault="00F81701" w:rsidP="00F81701">
            <w:pPr>
              <w:rPr>
                <w:bCs/>
                <w:szCs w:val="20"/>
              </w:rPr>
            </w:pPr>
            <w:r w:rsidRPr="00F81701">
              <w:rPr>
                <w:bCs/>
                <w:szCs w:val="20"/>
              </w:rPr>
              <w:t>Kim, Kyung Ran et al.</w:t>
            </w:r>
            <w:r>
              <w:rPr>
                <w:bCs/>
                <w:szCs w:val="20"/>
              </w:rPr>
              <w:t>, 2010</w:t>
            </w:r>
            <w:r w:rsidRPr="00F81701">
              <w:rPr>
                <w:bCs/>
                <w:szCs w:val="20"/>
              </w:rPr>
              <w:t xml:space="preserve">.  </w:t>
            </w:r>
            <w:proofErr w:type="spellStart"/>
            <w:r w:rsidRPr="00F81701">
              <w:rPr>
                <w:bCs/>
                <w:szCs w:val="20"/>
              </w:rPr>
              <w:t>Pediatric</w:t>
            </w:r>
            <w:proofErr w:type="spellEnd"/>
            <w:r w:rsidRPr="00F81701">
              <w:rPr>
                <w:bCs/>
                <w:szCs w:val="20"/>
              </w:rPr>
              <w:t xml:space="preserve"> Neurology, vol 42, no. 4, 2010, pp. 271-276.  </w:t>
            </w:r>
          </w:p>
          <w:p w14:paraId="33E71F2A" w14:textId="16A55754" w:rsidR="00F81701" w:rsidRPr="00F81701" w:rsidRDefault="00913B21" w:rsidP="00F81701">
            <w:pPr>
              <w:rPr>
                <w:bCs/>
                <w:szCs w:val="20"/>
              </w:rPr>
            </w:pPr>
            <w:hyperlink r:id="rId39" w:history="1">
              <w:r w:rsidR="00F81701" w:rsidRPr="00815AAC">
                <w:rPr>
                  <w:rStyle w:val="Hyperlink"/>
                  <w:bCs/>
                  <w:szCs w:val="20"/>
                </w:rPr>
                <w:t>https://</w:t>
              </w:r>
              <w:r w:rsidR="00F81701" w:rsidRPr="00F81701">
                <w:rPr>
                  <w:rStyle w:val="Hyperlink"/>
                  <w:bCs/>
                  <w:szCs w:val="20"/>
                </w:rPr>
                <w:t>doi:10.1016/j.pediatrneurol.2009.11.012</w:t>
              </w:r>
            </w:hyperlink>
            <w:r w:rsidR="00F81701" w:rsidRPr="00F81701">
              <w:rPr>
                <w:bCs/>
                <w:szCs w:val="20"/>
              </w:rPr>
              <w:t xml:space="preserve"> </w:t>
            </w:r>
          </w:p>
          <w:p w14:paraId="7121C969" w14:textId="77777777" w:rsidR="00F81701" w:rsidRPr="00F81701" w:rsidRDefault="00F81701" w:rsidP="00F81701">
            <w:pPr>
              <w:rPr>
                <w:bCs/>
                <w:szCs w:val="20"/>
              </w:rPr>
            </w:pPr>
          </w:p>
        </w:tc>
        <w:tc>
          <w:tcPr>
            <w:tcW w:w="548" w:type="pct"/>
          </w:tcPr>
          <w:p w14:paraId="3838C34C" w14:textId="39AE3FDA" w:rsidR="00F81701" w:rsidRDefault="00F81701" w:rsidP="00FE55F1">
            <w:pPr>
              <w:rPr>
                <w:bCs/>
                <w:szCs w:val="20"/>
              </w:rPr>
            </w:pPr>
            <w:r>
              <w:rPr>
                <w:bCs/>
                <w:szCs w:val="20"/>
              </w:rPr>
              <w:t>1 April 2010</w:t>
            </w:r>
          </w:p>
        </w:tc>
      </w:tr>
      <w:tr w:rsidR="00C41CB6" w14:paraId="3EDEEB31" w14:textId="77777777" w:rsidTr="00222DC2">
        <w:trPr>
          <w:cantSplit/>
          <w:trHeight w:val="754"/>
        </w:trPr>
        <w:tc>
          <w:tcPr>
            <w:tcW w:w="201" w:type="pct"/>
          </w:tcPr>
          <w:p w14:paraId="2D801AF5" w14:textId="1D15E494" w:rsidR="00C41CB6" w:rsidRDefault="00C41CB6" w:rsidP="00FE55F1">
            <w:pPr>
              <w:rPr>
                <w:szCs w:val="20"/>
              </w:rPr>
            </w:pPr>
            <w:r>
              <w:rPr>
                <w:szCs w:val="20"/>
              </w:rPr>
              <w:t>28.</w:t>
            </w:r>
          </w:p>
        </w:tc>
        <w:tc>
          <w:tcPr>
            <w:tcW w:w="509" w:type="pct"/>
          </w:tcPr>
          <w:p w14:paraId="2697035F" w14:textId="4773E859" w:rsidR="00C41CB6" w:rsidRDefault="00C41CB6" w:rsidP="00FE55F1">
            <w:pPr>
              <w:rPr>
                <w:bCs/>
                <w:szCs w:val="20"/>
              </w:rPr>
            </w:pPr>
            <w:r>
              <w:rPr>
                <w:bCs/>
                <w:szCs w:val="20"/>
              </w:rPr>
              <w:t>Cohort Study</w:t>
            </w:r>
          </w:p>
        </w:tc>
        <w:tc>
          <w:tcPr>
            <w:tcW w:w="813" w:type="pct"/>
          </w:tcPr>
          <w:p w14:paraId="0A69093D" w14:textId="7055A184" w:rsidR="00C41CB6" w:rsidRPr="00F81701" w:rsidRDefault="00C41CB6" w:rsidP="0048004A">
            <w:pPr>
              <w:rPr>
                <w:bCs/>
                <w:szCs w:val="20"/>
              </w:rPr>
            </w:pPr>
            <w:r w:rsidRPr="00C41CB6">
              <w:rPr>
                <w:bCs/>
                <w:szCs w:val="20"/>
              </w:rPr>
              <w:t>Diagnostic odyssey of patients with mitochondrial disease: Results of a survey.</w:t>
            </w:r>
          </w:p>
        </w:tc>
        <w:tc>
          <w:tcPr>
            <w:tcW w:w="1423" w:type="pct"/>
          </w:tcPr>
          <w:p w14:paraId="7A9425B3" w14:textId="4936B052" w:rsidR="00C41CB6" w:rsidRPr="00F81701" w:rsidRDefault="00C41CB6" w:rsidP="0031484E">
            <w:pPr>
              <w:rPr>
                <w:bCs/>
                <w:szCs w:val="20"/>
              </w:rPr>
            </w:pPr>
            <w:r w:rsidRPr="00C41CB6">
              <w:rPr>
                <w:bCs/>
                <w:szCs w:val="20"/>
              </w:rPr>
              <w:t xml:space="preserve">The </w:t>
            </w:r>
            <w:r>
              <w:rPr>
                <w:bCs/>
                <w:szCs w:val="20"/>
              </w:rPr>
              <w:t xml:space="preserve">mitochondrial </w:t>
            </w:r>
            <w:r w:rsidRPr="00C41CB6">
              <w:rPr>
                <w:bCs/>
                <w:szCs w:val="20"/>
              </w:rPr>
              <w:t>diagnostic odyssey is complex</w:t>
            </w:r>
            <w:r>
              <w:rPr>
                <w:bCs/>
                <w:szCs w:val="20"/>
              </w:rPr>
              <w:t xml:space="preserve">, </w:t>
            </w:r>
            <w:r w:rsidRPr="00C41CB6">
              <w:rPr>
                <w:bCs/>
                <w:szCs w:val="20"/>
              </w:rPr>
              <w:t>burdensome</w:t>
            </w:r>
            <w:r>
              <w:rPr>
                <w:bCs/>
                <w:szCs w:val="20"/>
              </w:rPr>
              <w:t>, requiring numerous consults and investigations</w:t>
            </w:r>
            <w:r w:rsidRPr="00C41CB6">
              <w:rPr>
                <w:bCs/>
                <w:szCs w:val="20"/>
              </w:rPr>
              <w:t xml:space="preserve">, </w:t>
            </w:r>
            <w:r>
              <w:rPr>
                <w:bCs/>
                <w:szCs w:val="20"/>
              </w:rPr>
              <w:t>producing</w:t>
            </w:r>
            <w:r w:rsidRPr="00C41CB6">
              <w:rPr>
                <w:bCs/>
                <w:szCs w:val="20"/>
              </w:rPr>
              <w:t xml:space="preserve"> </w:t>
            </w:r>
            <w:r>
              <w:rPr>
                <w:bCs/>
                <w:szCs w:val="20"/>
              </w:rPr>
              <w:t xml:space="preserve">often conflicting and uncertain </w:t>
            </w:r>
            <w:r w:rsidRPr="00C41CB6">
              <w:rPr>
                <w:bCs/>
                <w:szCs w:val="20"/>
              </w:rPr>
              <w:t>diagno</w:t>
            </w:r>
            <w:r>
              <w:rPr>
                <w:bCs/>
                <w:szCs w:val="20"/>
              </w:rPr>
              <w:t xml:space="preserve">ses, reflecting  </w:t>
            </w:r>
            <w:r w:rsidRPr="00C41CB6">
              <w:rPr>
                <w:bCs/>
                <w:szCs w:val="20"/>
              </w:rPr>
              <w:t xml:space="preserve">clinician unfamiliarity. </w:t>
            </w:r>
            <w:r>
              <w:rPr>
                <w:bCs/>
                <w:szCs w:val="20"/>
              </w:rPr>
              <w:t>The</w:t>
            </w:r>
            <w:r w:rsidRPr="00C41CB6">
              <w:rPr>
                <w:bCs/>
                <w:szCs w:val="20"/>
              </w:rPr>
              <w:t xml:space="preserve"> replication </w:t>
            </w:r>
            <w:r>
              <w:rPr>
                <w:bCs/>
                <w:szCs w:val="20"/>
              </w:rPr>
              <w:t xml:space="preserve">of this study </w:t>
            </w:r>
            <w:r w:rsidRPr="00C41CB6">
              <w:rPr>
                <w:bCs/>
                <w:szCs w:val="20"/>
              </w:rPr>
              <w:t xml:space="preserve">at appropriate intervals will assist in tracking </w:t>
            </w:r>
            <w:r>
              <w:rPr>
                <w:bCs/>
                <w:szCs w:val="20"/>
              </w:rPr>
              <w:t xml:space="preserve">future approaches to MD, in particularly the emergence and acceptance of </w:t>
            </w:r>
            <w:r w:rsidRPr="00C41CB6">
              <w:rPr>
                <w:bCs/>
                <w:szCs w:val="20"/>
              </w:rPr>
              <w:t>exome testing</w:t>
            </w:r>
            <w:r>
              <w:rPr>
                <w:bCs/>
                <w:szCs w:val="20"/>
              </w:rPr>
              <w:t xml:space="preserve"> in diagnostics.</w:t>
            </w:r>
          </w:p>
        </w:tc>
        <w:tc>
          <w:tcPr>
            <w:tcW w:w="1506" w:type="pct"/>
          </w:tcPr>
          <w:p w14:paraId="13D131C0" w14:textId="77777777" w:rsidR="00011ACD" w:rsidRDefault="00C41CB6" w:rsidP="00F81701">
            <w:pPr>
              <w:rPr>
                <w:bCs/>
                <w:szCs w:val="20"/>
              </w:rPr>
            </w:pPr>
            <w:r w:rsidRPr="00C41CB6">
              <w:rPr>
                <w:bCs/>
                <w:szCs w:val="20"/>
              </w:rPr>
              <w:t>Grier</w:t>
            </w:r>
            <w:r>
              <w:rPr>
                <w:bCs/>
                <w:szCs w:val="20"/>
              </w:rPr>
              <w:t xml:space="preserve"> et al., 2018.</w:t>
            </w:r>
            <w:r w:rsidRPr="00C41CB6">
              <w:rPr>
                <w:bCs/>
                <w:szCs w:val="20"/>
              </w:rPr>
              <w:t xml:space="preserve"> Neurol Genet. 2018 Mar 26;4(2):e230. </w:t>
            </w:r>
          </w:p>
          <w:p w14:paraId="2846D919" w14:textId="4A092DF3" w:rsidR="00011ACD" w:rsidRDefault="00913B21" w:rsidP="00F81701">
            <w:pPr>
              <w:rPr>
                <w:bCs/>
                <w:szCs w:val="20"/>
              </w:rPr>
            </w:pPr>
            <w:hyperlink r:id="rId40" w:history="1">
              <w:r w:rsidR="00011ACD" w:rsidRPr="00CB5C3D">
                <w:rPr>
                  <w:rStyle w:val="Hyperlink"/>
                  <w:bCs/>
                  <w:szCs w:val="20"/>
                </w:rPr>
                <w:t>https://doi:10.1212/NXG.0000000000000230</w:t>
              </w:r>
            </w:hyperlink>
            <w:r w:rsidR="00011ACD">
              <w:rPr>
                <w:bCs/>
                <w:szCs w:val="20"/>
              </w:rPr>
              <w:t>.</w:t>
            </w:r>
          </w:p>
          <w:p w14:paraId="5004C6EE" w14:textId="77777777" w:rsidR="00011ACD" w:rsidRDefault="00011ACD" w:rsidP="00F81701">
            <w:pPr>
              <w:rPr>
                <w:bCs/>
                <w:szCs w:val="20"/>
              </w:rPr>
            </w:pPr>
          </w:p>
          <w:p w14:paraId="20773B3E" w14:textId="1C209027" w:rsidR="00011ACD" w:rsidRPr="00F81701" w:rsidRDefault="00011ACD" w:rsidP="00F81701">
            <w:pPr>
              <w:rPr>
                <w:bCs/>
                <w:szCs w:val="20"/>
              </w:rPr>
            </w:pPr>
          </w:p>
        </w:tc>
        <w:tc>
          <w:tcPr>
            <w:tcW w:w="548" w:type="pct"/>
          </w:tcPr>
          <w:p w14:paraId="19286CB4" w14:textId="19BA2BAE" w:rsidR="00C41CB6" w:rsidRDefault="00C41CB6" w:rsidP="00FE55F1">
            <w:pPr>
              <w:rPr>
                <w:bCs/>
                <w:szCs w:val="20"/>
              </w:rPr>
            </w:pPr>
            <w:r>
              <w:rPr>
                <w:bCs/>
                <w:szCs w:val="20"/>
              </w:rPr>
              <w:t>April 2018</w:t>
            </w:r>
          </w:p>
        </w:tc>
      </w:tr>
      <w:tr w:rsidR="00C41CB6" w14:paraId="41F81903" w14:textId="77777777" w:rsidTr="00222DC2">
        <w:trPr>
          <w:cantSplit/>
          <w:trHeight w:val="754"/>
        </w:trPr>
        <w:tc>
          <w:tcPr>
            <w:tcW w:w="201" w:type="pct"/>
          </w:tcPr>
          <w:p w14:paraId="51E8E001" w14:textId="5A37B9A8" w:rsidR="00C41CB6" w:rsidRDefault="00C41CB6" w:rsidP="00FE55F1">
            <w:pPr>
              <w:rPr>
                <w:szCs w:val="20"/>
              </w:rPr>
            </w:pPr>
            <w:r>
              <w:rPr>
                <w:szCs w:val="20"/>
              </w:rPr>
              <w:t xml:space="preserve">29. </w:t>
            </w:r>
          </w:p>
        </w:tc>
        <w:tc>
          <w:tcPr>
            <w:tcW w:w="509" w:type="pct"/>
          </w:tcPr>
          <w:p w14:paraId="6DE67627" w14:textId="16E710B0" w:rsidR="00C41CB6" w:rsidRDefault="00011ACD" w:rsidP="00FE55F1">
            <w:pPr>
              <w:rPr>
                <w:bCs/>
                <w:szCs w:val="20"/>
              </w:rPr>
            </w:pPr>
            <w:r>
              <w:rPr>
                <w:bCs/>
                <w:szCs w:val="20"/>
              </w:rPr>
              <w:t>Study of diagnostic accuracy</w:t>
            </w:r>
          </w:p>
        </w:tc>
        <w:tc>
          <w:tcPr>
            <w:tcW w:w="813" w:type="pct"/>
          </w:tcPr>
          <w:p w14:paraId="3D4FB6AC" w14:textId="002C303E" w:rsidR="00C41CB6" w:rsidRPr="00C41CB6" w:rsidRDefault="00011ACD" w:rsidP="0048004A">
            <w:pPr>
              <w:rPr>
                <w:bCs/>
                <w:szCs w:val="20"/>
              </w:rPr>
            </w:pPr>
            <w:r w:rsidRPr="00011ACD">
              <w:rPr>
                <w:bCs/>
                <w:szCs w:val="20"/>
              </w:rPr>
              <w:t>Mitochondrial disorders: a proposal for consensus diagnostic criteria in infants and children.</w:t>
            </w:r>
          </w:p>
        </w:tc>
        <w:tc>
          <w:tcPr>
            <w:tcW w:w="1423" w:type="pct"/>
          </w:tcPr>
          <w:p w14:paraId="361FABBE" w14:textId="4897F626" w:rsidR="00C41CB6" w:rsidRPr="00C41CB6" w:rsidRDefault="00011ACD" w:rsidP="0031484E">
            <w:pPr>
              <w:rPr>
                <w:bCs/>
                <w:szCs w:val="20"/>
              </w:rPr>
            </w:pPr>
            <w:r>
              <w:rPr>
                <w:bCs/>
                <w:szCs w:val="20"/>
              </w:rPr>
              <w:t>A new proposed MD c</w:t>
            </w:r>
            <w:r w:rsidRPr="00011ACD">
              <w:rPr>
                <w:bCs/>
                <w:szCs w:val="20"/>
              </w:rPr>
              <w:t>riteria classification</w:t>
            </w:r>
            <w:r>
              <w:rPr>
                <w:bCs/>
                <w:szCs w:val="20"/>
              </w:rPr>
              <w:t xml:space="preserve"> dubbed the ”</w:t>
            </w:r>
            <w:r w:rsidRPr="00011ACD">
              <w:rPr>
                <w:bCs/>
                <w:szCs w:val="20"/>
              </w:rPr>
              <w:t>Nijmegen Clinical Criteria</w:t>
            </w:r>
            <w:r>
              <w:rPr>
                <w:bCs/>
                <w:szCs w:val="20"/>
              </w:rPr>
              <w:t xml:space="preserve">”, </w:t>
            </w:r>
            <w:r w:rsidRPr="00011ACD">
              <w:rPr>
                <w:bCs/>
                <w:szCs w:val="20"/>
              </w:rPr>
              <w:t xml:space="preserve">allows </w:t>
            </w:r>
            <w:r>
              <w:rPr>
                <w:bCs/>
                <w:szCs w:val="20"/>
              </w:rPr>
              <w:t xml:space="preserve">for </w:t>
            </w:r>
            <w:r w:rsidRPr="00011ACD">
              <w:rPr>
                <w:bCs/>
                <w:szCs w:val="20"/>
              </w:rPr>
              <w:t>more precise definition</w:t>
            </w:r>
            <w:r w:rsidR="007F1E8D">
              <w:rPr>
                <w:bCs/>
                <w:szCs w:val="20"/>
              </w:rPr>
              <w:t>s</w:t>
            </w:r>
            <w:r w:rsidRPr="00011ACD">
              <w:rPr>
                <w:bCs/>
                <w:szCs w:val="20"/>
              </w:rPr>
              <w:t xml:space="preserve"> of clinical</w:t>
            </w:r>
            <w:r w:rsidR="007F1E8D">
              <w:rPr>
                <w:bCs/>
                <w:szCs w:val="20"/>
              </w:rPr>
              <w:t xml:space="preserve"> and</w:t>
            </w:r>
            <w:r w:rsidRPr="00011ACD">
              <w:rPr>
                <w:bCs/>
                <w:szCs w:val="20"/>
              </w:rPr>
              <w:t xml:space="preserve"> metabolic</w:t>
            </w:r>
            <w:r w:rsidR="007F1E8D">
              <w:rPr>
                <w:bCs/>
                <w:szCs w:val="20"/>
              </w:rPr>
              <w:t xml:space="preserve"> indicators, with an i</w:t>
            </w:r>
            <w:r w:rsidR="007F1E8D" w:rsidRPr="00011ACD">
              <w:rPr>
                <w:bCs/>
                <w:szCs w:val="20"/>
              </w:rPr>
              <w:t>ndependent</w:t>
            </w:r>
            <w:r w:rsidRPr="00011ACD">
              <w:rPr>
                <w:bCs/>
                <w:szCs w:val="20"/>
              </w:rPr>
              <w:t xml:space="preserve"> scoring </w:t>
            </w:r>
            <w:r w:rsidR="007F1E8D">
              <w:rPr>
                <w:bCs/>
                <w:szCs w:val="20"/>
              </w:rPr>
              <w:t xml:space="preserve">system inclusive of </w:t>
            </w:r>
            <w:r w:rsidRPr="00011ACD">
              <w:rPr>
                <w:bCs/>
                <w:szCs w:val="20"/>
              </w:rPr>
              <w:t>investigations</w:t>
            </w:r>
            <w:r w:rsidR="007F1E8D">
              <w:rPr>
                <w:bCs/>
                <w:szCs w:val="20"/>
              </w:rPr>
              <w:t>,</w:t>
            </w:r>
            <w:r w:rsidRPr="00011ACD">
              <w:rPr>
                <w:bCs/>
                <w:szCs w:val="20"/>
              </w:rPr>
              <w:t xml:space="preserve"> before</w:t>
            </w:r>
            <w:r w:rsidR="007F1E8D">
              <w:rPr>
                <w:bCs/>
                <w:szCs w:val="20"/>
              </w:rPr>
              <w:t xml:space="preserve"> determining the overall risk of MD</w:t>
            </w:r>
            <w:r w:rsidRPr="00011ACD">
              <w:rPr>
                <w:bCs/>
                <w:szCs w:val="20"/>
              </w:rPr>
              <w:t>.</w:t>
            </w:r>
          </w:p>
        </w:tc>
        <w:tc>
          <w:tcPr>
            <w:tcW w:w="1506" w:type="pct"/>
          </w:tcPr>
          <w:p w14:paraId="5D8460B5" w14:textId="77777777" w:rsidR="00011ACD" w:rsidRDefault="00011ACD" w:rsidP="00F81701">
            <w:pPr>
              <w:rPr>
                <w:bCs/>
                <w:szCs w:val="20"/>
              </w:rPr>
            </w:pPr>
            <w:r w:rsidRPr="00011ACD">
              <w:rPr>
                <w:bCs/>
                <w:szCs w:val="20"/>
              </w:rPr>
              <w:t xml:space="preserve">Wolf </w:t>
            </w:r>
            <w:r>
              <w:rPr>
                <w:bCs/>
                <w:szCs w:val="20"/>
              </w:rPr>
              <w:t xml:space="preserve">and </w:t>
            </w:r>
            <w:proofErr w:type="spellStart"/>
            <w:r>
              <w:rPr>
                <w:bCs/>
                <w:szCs w:val="20"/>
              </w:rPr>
              <w:t>Smeitink</w:t>
            </w:r>
            <w:proofErr w:type="spellEnd"/>
            <w:r>
              <w:rPr>
                <w:bCs/>
                <w:szCs w:val="20"/>
              </w:rPr>
              <w:t xml:space="preserve">, 2002. </w:t>
            </w:r>
            <w:r w:rsidRPr="00011ACD">
              <w:rPr>
                <w:bCs/>
                <w:szCs w:val="20"/>
              </w:rPr>
              <w:t xml:space="preserve"> Neurology. 2002 Nov 12;59(9):1402-5. </w:t>
            </w:r>
          </w:p>
          <w:p w14:paraId="7F58771E" w14:textId="72D7915A" w:rsidR="00C41CB6" w:rsidRDefault="00913B21" w:rsidP="00F81701">
            <w:pPr>
              <w:rPr>
                <w:bCs/>
                <w:szCs w:val="20"/>
              </w:rPr>
            </w:pPr>
            <w:hyperlink r:id="rId41" w:history="1">
              <w:r w:rsidR="00011ACD" w:rsidRPr="00CB5C3D">
                <w:rPr>
                  <w:rStyle w:val="Hyperlink"/>
                  <w:bCs/>
                  <w:szCs w:val="20"/>
                </w:rPr>
                <w:t>https://doi:10.1212/01.wnl.0000031795.91814.d8</w:t>
              </w:r>
            </w:hyperlink>
            <w:r w:rsidR="00011ACD" w:rsidRPr="00011ACD">
              <w:rPr>
                <w:bCs/>
                <w:szCs w:val="20"/>
              </w:rPr>
              <w:t>.</w:t>
            </w:r>
          </w:p>
          <w:p w14:paraId="780C67E5" w14:textId="683CCB84" w:rsidR="00011ACD" w:rsidRPr="00C41CB6" w:rsidRDefault="00011ACD" w:rsidP="00F81701">
            <w:pPr>
              <w:rPr>
                <w:bCs/>
                <w:szCs w:val="20"/>
              </w:rPr>
            </w:pPr>
          </w:p>
        </w:tc>
        <w:tc>
          <w:tcPr>
            <w:tcW w:w="548" w:type="pct"/>
          </w:tcPr>
          <w:p w14:paraId="0EFAAE29" w14:textId="77777777" w:rsidR="00C41CB6" w:rsidRDefault="00C41CB6" w:rsidP="00FE55F1">
            <w:pPr>
              <w:rPr>
                <w:bCs/>
                <w:szCs w:val="20"/>
              </w:rPr>
            </w:pPr>
          </w:p>
        </w:tc>
      </w:tr>
    </w:tbl>
    <w:p w14:paraId="24EEA7BC" w14:textId="77777777" w:rsidR="00DD308E" w:rsidRDefault="00DD308E" w:rsidP="00DD308E">
      <w:pPr>
        <w:rPr>
          <w:i/>
          <w:szCs w:val="20"/>
        </w:rPr>
      </w:pPr>
      <w:r>
        <w:rPr>
          <w:i/>
          <w:szCs w:val="20"/>
        </w:rPr>
        <w:br w:type="page"/>
      </w:r>
    </w:p>
    <w:p w14:paraId="571C7952"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Pr>
      <w:tblGrid>
        <w:gridCol w:w="909"/>
        <w:gridCol w:w="2497"/>
        <w:gridCol w:w="2686"/>
        <w:gridCol w:w="2918"/>
        <w:gridCol w:w="3476"/>
        <w:gridCol w:w="1462"/>
      </w:tblGrid>
      <w:tr w:rsidR="004C49EF" w14:paraId="1CE8FE28" w14:textId="77777777" w:rsidTr="00C82C07">
        <w:trPr>
          <w:cantSplit/>
          <w:tblHeader/>
        </w:trPr>
        <w:tc>
          <w:tcPr>
            <w:tcW w:w="326" w:type="pct"/>
          </w:tcPr>
          <w:p w14:paraId="7A67201E" w14:textId="77777777" w:rsidR="004C49EF" w:rsidRDefault="004C49EF" w:rsidP="00855944">
            <w:pPr>
              <w:pStyle w:val="TableHEADER"/>
            </w:pPr>
          </w:p>
        </w:tc>
        <w:tc>
          <w:tcPr>
            <w:tcW w:w="895" w:type="pct"/>
          </w:tcPr>
          <w:p w14:paraId="61481D3A" w14:textId="502E2D02" w:rsidR="004C49EF" w:rsidRDefault="004C49EF" w:rsidP="00855944">
            <w:pPr>
              <w:pStyle w:val="TableHEADER"/>
            </w:pPr>
            <w:r>
              <w:t>Type of study design</w:t>
            </w:r>
          </w:p>
        </w:tc>
        <w:tc>
          <w:tcPr>
            <w:tcW w:w="963" w:type="pct"/>
          </w:tcPr>
          <w:p w14:paraId="26961D81" w14:textId="16818A0F" w:rsidR="004C49EF" w:rsidRDefault="004C49EF" w:rsidP="00855944">
            <w:pPr>
              <w:pStyle w:val="TableHEADER"/>
            </w:pPr>
            <w:r>
              <w:t xml:space="preserve">Title of research </w:t>
            </w:r>
          </w:p>
        </w:tc>
        <w:tc>
          <w:tcPr>
            <w:tcW w:w="1046" w:type="pct"/>
          </w:tcPr>
          <w:p w14:paraId="67F692C3" w14:textId="029A1D3F" w:rsidR="004C49EF" w:rsidRDefault="00367C1B" w:rsidP="00855944">
            <w:pPr>
              <w:pStyle w:val="TableHEADER"/>
            </w:pPr>
            <w:r>
              <w:t xml:space="preserve">Short description of research </w:t>
            </w:r>
          </w:p>
        </w:tc>
        <w:tc>
          <w:tcPr>
            <w:tcW w:w="1246" w:type="pct"/>
          </w:tcPr>
          <w:p w14:paraId="796925D1" w14:textId="77777777" w:rsidR="004C49EF" w:rsidRDefault="004C49EF" w:rsidP="00855944">
            <w:pPr>
              <w:pStyle w:val="TableHEADER"/>
            </w:pPr>
            <w:r w:rsidRPr="00E82F54">
              <w:t xml:space="preserve">Website link to </w:t>
            </w:r>
            <w:r>
              <w:t>research (if available)</w:t>
            </w:r>
          </w:p>
        </w:tc>
        <w:tc>
          <w:tcPr>
            <w:tcW w:w="524" w:type="pct"/>
          </w:tcPr>
          <w:p w14:paraId="51DCC11B" w14:textId="44CB23C5" w:rsidR="004C49EF" w:rsidRDefault="004C49EF" w:rsidP="00855944">
            <w:pPr>
              <w:pStyle w:val="TableHEADER"/>
            </w:pPr>
            <w:r w:rsidRPr="00E82F54">
              <w:t>Dat</w:t>
            </w:r>
            <w:r w:rsidR="00644D92">
              <w:t>e</w:t>
            </w:r>
          </w:p>
        </w:tc>
      </w:tr>
      <w:tr w:rsidR="00733F71" w:rsidRPr="007C7BE7" w14:paraId="723217A2" w14:textId="77777777" w:rsidTr="00C82C07">
        <w:trPr>
          <w:cantSplit/>
        </w:trPr>
        <w:tc>
          <w:tcPr>
            <w:tcW w:w="326" w:type="pct"/>
          </w:tcPr>
          <w:p w14:paraId="316AF3BD" w14:textId="77777777" w:rsidR="00733F71" w:rsidRPr="00965B6B" w:rsidRDefault="00733F71" w:rsidP="00733F71">
            <w:pPr>
              <w:rPr>
                <w:szCs w:val="20"/>
              </w:rPr>
            </w:pPr>
            <w:r w:rsidRPr="00965B6B">
              <w:rPr>
                <w:szCs w:val="20"/>
              </w:rPr>
              <w:t>1</w:t>
            </w:r>
            <w:r>
              <w:rPr>
                <w:szCs w:val="20"/>
              </w:rPr>
              <w:t>.</w:t>
            </w:r>
          </w:p>
        </w:tc>
        <w:tc>
          <w:tcPr>
            <w:tcW w:w="895" w:type="pct"/>
          </w:tcPr>
          <w:p w14:paraId="4F9811F0" w14:textId="1C99B193" w:rsidR="00625988" w:rsidRPr="007C7BE7" w:rsidRDefault="00625988" w:rsidP="00733F71">
            <w:pPr>
              <w:rPr>
                <w:rFonts w:cstheme="minorHAnsi"/>
                <w:b/>
                <w:bCs/>
                <w:szCs w:val="20"/>
              </w:rPr>
            </w:pPr>
            <w:r w:rsidRPr="007C7BE7">
              <w:rPr>
                <w:rFonts w:cstheme="minorHAnsi"/>
                <w:b/>
                <w:bCs/>
                <w:szCs w:val="20"/>
              </w:rPr>
              <w:t>Cohort Study</w:t>
            </w:r>
          </w:p>
          <w:p w14:paraId="6F155DC4" w14:textId="24EF59F2" w:rsidR="00A85BC5" w:rsidRPr="007C7BE7" w:rsidRDefault="00A85BC5" w:rsidP="00733F71">
            <w:pPr>
              <w:rPr>
                <w:b/>
                <w:szCs w:val="20"/>
              </w:rPr>
            </w:pPr>
          </w:p>
        </w:tc>
        <w:tc>
          <w:tcPr>
            <w:tcW w:w="963" w:type="pct"/>
          </w:tcPr>
          <w:p w14:paraId="21BB2CAE" w14:textId="6B2ED9B1" w:rsidR="00733F71" w:rsidRPr="007C7BE7" w:rsidRDefault="00625988" w:rsidP="00733F71">
            <w:pPr>
              <w:rPr>
                <w:b/>
                <w:szCs w:val="20"/>
              </w:rPr>
            </w:pPr>
            <w:r w:rsidRPr="007C7BE7">
              <w:rPr>
                <w:b/>
                <w:bCs/>
                <w:i/>
                <w:szCs w:val="20"/>
              </w:rPr>
              <w:t>Whole genome sequencing simplifies the diagnosis of mitochondrial disease</w:t>
            </w:r>
          </w:p>
        </w:tc>
        <w:tc>
          <w:tcPr>
            <w:tcW w:w="1046" w:type="pct"/>
          </w:tcPr>
          <w:p w14:paraId="24ADC815" w14:textId="5C2451BF" w:rsidR="00733F71" w:rsidRPr="007C7BE7" w:rsidRDefault="00733F71" w:rsidP="00733F71">
            <w:pPr>
              <w:rPr>
                <w:b/>
                <w:szCs w:val="20"/>
              </w:rPr>
            </w:pPr>
            <w:r w:rsidRPr="007C7BE7">
              <w:rPr>
                <w:rFonts w:cstheme="minorHAnsi"/>
                <w:bCs/>
                <w:szCs w:val="20"/>
              </w:rPr>
              <w:t>Cohort study demonstrating that WGS simplifies the diagnosis of mitochondrial disease and identifies causative gene mutations in 5</w:t>
            </w:r>
            <w:r w:rsidR="00B27F94" w:rsidRPr="007C7BE7">
              <w:rPr>
                <w:rFonts w:cstheme="minorHAnsi"/>
                <w:bCs/>
                <w:szCs w:val="20"/>
              </w:rPr>
              <w:t>4</w:t>
            </w:r>
            <w:r w:rsidRPr="007C7BE7">
              <w:rPr>
                <w:rFonts w:cstheme="minorHAnsi"/>
                <w:bCs/>
                <w:szCs w:val="20"/>
              </w:rPr>
              <w:t>% of patients suspected to have mitochondrial disease</w:t>
            </w:r>
          </w:p>
        </w:tc>
        <w:tc>
          <w:tcPr>
            <w:tcW w:w="1246" w:type="pct"/>
          </w:tcPr>
          <w:p w14:paraId="7726E024" w14:textId="2AECA7E8" w:rsidR="00644D92" w:rsidRPr="007C7BE7" w:rsidRDefault="007C7BE7" w:rsidP="00644D92">
            <w:pPr>
              <w:rPr>
                <w:b/>
                <w:color w:val="FF0000"/>
                <w:szCs w:val="20"/>
              </w:rPr>
            </w:pPr>
            <w:r w:rsidRPr="007C7BE7">
              <w:rPr>
                <w:rFonts w:cstheme="minorHAnsi"/>
                <w:bCs/>
                <w:szCs w:val="20"/>
              </w:rPr>
              <w:t xml:space="preserve">In submission </w:t>
            </w:r>
            <w:r w:rsidR="00644D92" w:rsidRPr="00644D92">
              <w:rPr>
                <w:rFonts w:cstheme="minorHAnsi"/>
                <w:b/>
                <w:szCs w:val="20"/>
              </w:rPr>
              <w:t>REDACTED</w:t>
            </w:r>
          </w:p>
          <w:p w14:paraId="39E1A24C" w14:textId="0A7F3AAE" w:rsidR="007C7BE7" w:rsidRPr="007C7BE7" w:rsidRDefault="007C7BE7" w:rsidP="005A32DC">
            <w:pPr>
              <w:rPr>
                <w:b/>
                <w:szCs w:val="20"/>
              </w:rPr>
            </w:pPr>
            <w:r w:rsidRPr="007C7BE7">
              <w:rPr>
                <w:b/>
                <w:color w:val="FF0000"/>
                <w:szCs w:val="20"/>
              </w:rPr>
              <w:t xml:space="preserve"> </w:t>
            </w:r>
          </w:p>
        </w:tc>
        <w:tc>
          <w:tcPr>
            <w:tcW w:w="524" w:type="pct"/>
          </w:tcPr>
          <w:p w14:paraId="201C2131" w14:textId="151FD028" w:rsidR="005A32DC" w:rsidRPr="007C7BE7" w:rsidRDefault="007C7BE7" w:rsidP="00733F71">
            <w:pPr>
              <w:rPr>
                <w:b/>
                <w:szCs w:val="20"/>
              </w:rPr>
            </w:pPr>
            <w:r w:rsidRPr="007C7BE7">
              <w:rPr>
                <w:rFonts w:cstheme="minorHAnsi"/>
                <w:bCs/>
                <w:szCs w:val="20"/>
              </w:rPr>
              <w:t>In submission</w:t>
            </w:r>
          </w:p>
        </w:tc>
      </w:tr>
    </w:tbl>
    <w:p w14:paraId="0642EDA6" w14:textId="4221F657" w:rsidR="004C49EF" w:rsidRPr="00E82F54" w:rsidRDefault="004C49EF" w:rsidP="006527A9">
      <w:pPr>
        <w:spacing w:after="0"/>
        <w:rPr>
          <w:i/>
          <w:szCs w:val="20"/>
        </w:rPr>
      </w:pPr>
    </w:p>
    <w:p w14:paraId="50A3B21A" w14:textId="77777777" w:rsidR="00DD308E" w:rsidRDefault="00F301F1">
      <w:pPr>
        <w:rPr>
          <w:b/>
          <w:sz w:val="32"/>
          <w:szCs w:val="32"/>
        </w:rPr>
        <w:sectPr w:rsidR="00DD308E" w:rsidSect="00DD308E">
          <w:pgSz w:w="16838" w:h="11906" w:orient="landscape"/>
          <w:pgMar w:top="1440" w:right="1440" w:bottom="1440" w:left="1440" w:header="708" w:footer="708" w:gutter="0"/>
          <w:cols w:space="708"/>
          <w:docGrid w:linePitch="360"/>
        </w:sectPr>
      </w:pPr>
      <w:r>
        <w:rPr>
          <w:b/>
          <w:sz w:val="32"/>
          <w:szCs w:val="32"/>
        </w:rPr>
        <w:br w:type="page"/>
      </w:r>
    </w:p>
    <w:p w14:paraId="32F45D26"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0A1FAD52" w14:textId="60F97222" w:rsidR="009F1349" w:rsidRDefault="00E82F54" w:rsidP="006527A9">
      <w:pPr>
        <w:pStyle w:val="Heading2"/>
      </w:pPr>
      <w:r w:rsidRPr="0063578F">
        <w:t xml:space="preserve">List </w:t>
      </w:r>
      <w:r w:rsidR="00EA173C" w:rsidRPr="0063578F">
        <w:t>all appropriate professional bodies / organisations</w:t>
      </w:r>
      <w:r w:rsidRPr="0063578F">
        <w:t xml:space="preserve"> representing the group(s) of health profess</w:t>
      </w:r>
      <w:r w:rsidR="00EA173C" w:rsidRPr="0063578F">
        <w:t xml:space="preserve">ionals who provide the service </w:t>
      </w:r>
      <w:r w:rsidR="00F93784" w:rsidRPr="0063578F">
        <w:t xml:space="preserve">(please </w:t>
      </w:r>
      <w:r w:rsidR="00EA173C" w:rsidRPr="0063578F">
        <w:t>attach</w:t>
      </w:r>
      <w:r w:rsidR="00F93784" w:rsidRPr="0063578F">
        <w:t xml:space="preserve"> a </w:t>
      </w:r>
      <w:r w:rsidR="00254813" w:rsidRPr="0063578F">
        <w:t>statement of clinical relevance from</w:t>
      </w:r>
      <w:r w:rsidR="00EA173C" w:rsidRPr="0063578F">
        <w:t xml:space="preserve"> each </w:t>
      </w:r>
      <w:r w:rsidR="00F93784" w:rsidRPr="0063578F">
        <w:t>group</w:t>
      </w:r>
      <w:r w:rsidR="00EA173C" w:rsidRPr="0063578F">
        <w:t xml:space="preserve"> nominated</w:t>
      </w:r>
      <w:r w:rsidR="00F93784" w:rsidRPr="0063578F">
        <w:t>)</w:t>
      </w:r>
      <w:r w:rsidR="00A727B6" w:rsidRPr="0063578F">
        <w:t>:</w:t>
      </w:r>
    </w:p>
    <w:p w14:paraId="37DE8D9C" w14:textId="7DF98FB1" w:rsidR="00776DDB" w:rsidRPr="00776DDB" w:rsidRDefault="00776DDB" w:rsidP="00776DDB">
      <w:pPr>
        <w:ind w:left="360"/>
      </w:pPr>
      <w:r w:rsidRPr="00776DDB">
        <w:t xml:space="preserve">Mitochondrial disease is diagnosed by expert doctors, familiar with the diagnostic clinical pathway. These include neurologists, metabolic physicians, clinical </w:t>
      </w:r>
      <w:r w:rsidR="008E7915" w:rsidRPr="00776DDB">
        <w:t>geneticists,</w:t>
      </w:r>
      <w:r w:rsidRPr="00776DDB">
        <w:t xml:space="preserve"> and ophthalmologists. Professional organisations representing these doctors include:</w:t>
      </w:r>
    </w:p>
    <w:p w14:paraId="6FEB75C2" w14:textId="77777777" w:rsidR="00776DDB" w:rsidRPr="00776DDB" w:rsidRDefault="00776DDB" w:rsidP="00D54508">
      <w:pPr>
        <w:numPr>
          <w:ilvl w:val="0"/>
          <w:numId w:val="15"/>
        </w:numPr>
      </w:pPr>
      <w:bookmarkStart w:id="5" w:name="_Hlk77179588"/>
      <w:r w:rsidRPr="00776DDB">
        <w:t>Australian and New Zealand Association of Neurologists (ANZAN): Most patients with mitochondrial disease are diagnosed by adult neurologists (Grier et al)</w:t>
      </w:r>
      <w:r w:rsidRPr="00776DDB">
        <w:rPr>
          <w:vertAlign w:val="superscript"/>
        </w:rPr>
        <w:endnoteReference w:id="1"/>
      </w:r>
    </w:p>
    <w:p w14:paraId="37117662" w14:textId="77777777" w:rsidR="00776DDB" w:rsidRPr="00776DDB" w:rsidRDefault="00776DDB" w:rsidP="00D54508">
      <w:pPr>
        <w:numPr>
          <w:ilvl w:val="0"/>
          <w:numId w:val="15"/>
        </w:numPr>
      </w:pPr>
      <w:r w:rsidRPr="00776DDB">
        <w:t>Royal Australasian College of Physicians (RACP): Many patients with mitochondrial disease are diagnosed by general neurologists or other consultant physicians (Grier et al)</w:t>
      </w:r>
    </w:p>
    <w:p w14:paraId="33F75E73" w14:textId="77777777" w:rsidR="00776DDB" w:rsidRPr="00776DDB" w:rsidRDefault="00776DDB" w:rsidP="00D54508">
      <w:pPr>
        <w:numPr>
          <w:ilvl w:val="0"/>
          <w:numId w:val="15"/>
        </w:numPr>
      </w:pPr>
      <w:r w:rsidRPr="00776DDB">
        <w:t>Human Genetics Society of Australasia (HGSA): Some patients with mitochondrial disease are diagnosed by clinical geneticists and metabolic physicians (Grier et al)</w:t>
      </w:r>
    </w:p>
    <w:p w14:paraId="33EF3B3E" w14:textId="2BF44950" w:rsidR="00776DDB" w:rsidRPr="00776DDB" w:rsidRDefault="00776DDB" w:rsidP="00D54508">
      <w:pPr>
        <w:numPr>
          <w:ilvl w:val="0"/>
          <w:numId w:val="15"/>
        </w:numPr>
      </w:pPr>
      <w:r w:rsidRPr="00776DDB">
        <w:t>Royal College of Ophthalmologists: Some patients with ophthalmological features/manifestations of mitochondrial disease are diagnosed by ophthalmologists</w:t>
      </w:r>
    </w:p>
    <w:p w14:paraId="7BC08EB7" w14:textId="77777777" w:rsidR="00776DDB" w:rsidRPr="00776DDB" w:rsidRDefault="00776DDB" w:rsidP="00776DDB">
      <w:pPr>
        <w:ind w:left="360"/>
      </w:pPr>
      <w:r w:rsidRPr="00776DDB">
        <w:t xml:space="preserve">NATA approved laboratories offering WGS as diagnostic testing </w:t>
      </w:r>
      <w:proofErr w:type="gramStart"/>
      <w:r w:rsidRPr="00776DDB">
        <w:t>are able to</w:t>
      </w:r>
      <w:proofErr w:type="gramEnd"/>
      <w:r w:rsidRPr="00776DDB">
        <w:t xml:space="preserve"> provide diagnostic genetic testing for mitochondrial disease. Professional organisations involved in the service provision for this include:</w:t>
      </w:r>
    </w:p>
    <w:p w14:paraId="1394DB23" w14:textId="38D00776" w:rsidR="008B5575" w:rsidRDefault="00E64C61" w:rsidP="006527A9">
      <w:pPr>
        <w:pStyle w:val="ListParagraph"/>
        <w:numPr>
          <w:ilvl w:val="0"/>
          <w:numId w:val="15"/>
        </w:numPr>
      </w:pPr>
      <w:r w:rsidRPr="00E64C61">
        <w:t xml:space="preserve">Royal College of Pathologists of Australasia (RCPA). It should also be noted that the previous gold standard diagnostic investigation for mitochondrial disease (histological review of a muscle biopsy), was also provided by pathologists. </w:t>
      </w:r>
      <w:bookmarkEnd w:id="5"/>
    </w:p>
    <w:p w14:paraId="466FD6D3" w14:textId="546EEB23" w:rsidR="00EA173C" w:rsidRDefault="00EA173C" w:rsidP="006527A9">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1594F254" w14:textId="28F1011B" w:rsidR="00A5450B" w:rsidRDefault="00E4435E" w:rsidP="00E4435E">
      <w:pPr>
        <w:ind w:left="360"/>
      </w:pPr>
      <w:bookmarkStart w:id="6" w:name="_Hlk77179693"/>
      <w:r>
        <w:t>Royal College of Pathologists</w:t>
      </w:r>
      <w:r w:rsidR="00580F68">
        <w:t xml:space="preserve"> Australia</w:t>
      </w:r>
      <w:r>
        <w:t xml:space="preserve"> (RCPA)</w:t>
      </w:r>
      <w:r w:rsidR="008E685D">
        <w:t xml:space="preserve">: </w:t>
      </w:r>
      <w:bookmarkEnd w:id="6"/>
      <w:r w:rsidR="008E685D">
        <w:t>there will be a shift in the diagnostic paradigm from mu</w:t>
      </w:r>
      <w:r w:rsidR="00FE7146">
        <w:t>s</w:t>
      </w:r>
      <w:r w:rsidR="008E685D">
        <w:t xml:space="preserve">cle biopsy to genetic testing- both services </w:t>
      </w:r>
      <w:r w:rsidR="00FE7146">
        <w:t>are/</w:t>
      </w:r>
      <w:r w:rsidR="008E685D">
        <w:t>will be provided by pathology services</w:t>
      </w:r>
      <w:r w:rsidR="009B762B">
        <w:t>.</w:t>
      </w:r>
    </w:p>
    <w:p w14:paraId="0ADF80A2" w14:textId="79AF37FF" w:rsidR="00E4435E" w:rsidRDefault="00A5450B" w:rsidP="00A5450B">
      <w:pPr>
        <w:ind w:left="360"/>
      </w:pPr>
      <w:r>
        <w:t xml:space="preserve">State level Pathology: there will be a shift in the diagnostic paradigm from </w:t>
      </w:r>
      <w:r w:rsidR="009B762B">
        <w:t>muscle</w:t>
      </w:r>
      <w:r>
        <w:t xml:space="preserve"> biopsy to genetic testing- both services will be provided by pathology service</w:t>
      </w:r>
      <w:r w:rsidR="006527A9">
        <w:t>.</w:t>
      </w:r>
    </w:p>
    <w:p w14:paraId="4B91361E"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0150C00C" w14:textId="79F8CCC5" w:rsidR="008E685D" w:rsidRDefault="008E685D" w:rsidP="00D54508">
      <w:pPr>
        <w:pStyle w:val="ListParagraph"/>
        <w:numPr>
          <w:ilvl w:val="0"/>
          <w:numId w:val="16"/>
        </w:numPr>
      </w:pPr>
      <w:r>
        <w:t xml:space="preserve">Australian </w:t>
      </w:r>
      <w:r w:rsidR="004B603D">
        <w:t>M</w:t>
      </w:r>
      <w:r>
        <w:t xml:space="preserve">itochondrial </w:t>
      </w:r>
      <w:r w:rsidR="004B603D">
        <w:t>D</w:t>
      </w:r>
      <w:r>
        <w:t xml:space="preserve">isease </w:t>
      </w:r>
      <w:r w:rsidR="004B603D">
        <w:t>M</w:t>
      </w:r>
      <w:r>
        <w:t xml:space="preserve">edical </w:t>
      </w:r>
      <w:r w:rsidR="004B603D">
        <w:t>N</w:t>
      </w:r>
      <w:r>
        <w:t>etwork (current applicants)</w:t>
      </w:r>
    </w:p>
    <w:p w14:paraId="476E3758" w14:textId="1FD2AD25" w:rsidR="00F76F9E" w:rsidRDefault="00F76F9E" w:rsidP="00D54508">
      <w:pPr>
        <w:pStyle w:val="ListParagraph"/>
        <w:numPr>
          <w:ilvl w:val="0"/>
          <w:numId w:val="16"/>
        </w:numPr>
      </w:pPr>
      <w:r>
        <w:t>Royal Australasian College of Physicians (RACP)</w:t>
      </w:r>
    </w:p>
    <w:p w14:paraId="6A4E052E" w14:textId="6D26C384" w:rsidR="00F76F9E" w:rsidRDefault="00F76F9E" w:rsidP="00D54508">
      <w:pPr>
        <w:pStyle w:val="ListParagraph"/>
        <w:numPr>
          <w:ilvl w:val="0"/>
          <w:numId w:val="16"/>
        </w:numPr>
      </w:pPr>
      <w:r>
        <w:t xml:space="preserve">Australian and New Zealand Association of Neurologists (ANZAN) </w:t>
      </w:r>
    </w:p>
    <w:p w14:paraId="0FDF7DCA" w14:textId="472C3200" w:rsidR="00F76F9E" w:rsidRDefault="00F76F9E" w:rsidP="00D54508">
      <w:pPr>
        <w:pStyle w:val="ListParagraph"/>
        <w:numPr>
          <w:ilvl w:val="0"/>
          <w:numId w:val="16"/>
        </w:numPr>
      </w:pPr>
      <w:r>
        <w:t>Human Genetics Society of Australasia (HGSA)</w:t>
      </w:r>
    </w:p>
    <w:p w14:paraId="049DFC53" w14:textId="776305D2" w:rsidR="00DB7F3E" w:rsidRDefault="00F76F9E" w:rsidP="006527A9">
      <w:pPr>
        <w:pStyle w:val="ListParagraph"/>
        <w:numPr>
          <w:ilvl w:val="0"/>
          <w:numId w:val="16"/>
        </w:numPr>
      </w:pPr>
      <w:r w:rsidRPr="00F76F9E">
        <w:t>Royal College of Pathologists Australia (RCPA)</w:t>
      </w:r>
    </w:p>
    <w:p w14:paraId="2CED122B" w14:textId="02FCD02B" w:rsidR="008E7915" w:rsidRDefault="00900242" w:rsidP="006527A9">
      <w:pPr>
        <w:ind w:left="360"/>
      </w:pPr>
      <w:r w:rsidRPr="00900242">
        <w:rPr>
          <w:b/>
          <w:bCs/>
          <w:color w:val="FF0000"/>
        </w:rPr>
        <w:t>PLEASE NOTE:</w:t>
      </w:r>
      <w:r w:rsidRPr="00900242">
        <w:rPr>
          <w:color w:val="FF0000"/>
        </w:rPr>
        <w:t xml:space="preserve"> </w:t>
      </w:r>
      <w:r w:rsidR="008E7915" w:rsidRPr="00900242">
        <w:rPr>
          <w:color w:val="FF0000"/>
        </w:rPr>
        <w:t xml:space="preserve"> </w:t>
      </w:r>
      <w:r w:rsidR="008E7915">
        <w:t xml:space="preserve">that all the above relevant ‘letters of support’ have been </w:t>
      </w:r>
      <w:r w:rsidR="00864A57">
        <w:t xml:space="preserve">electronically </w:t>
      </w:r>
      <w:r w:rsidR="008E7915">
        <w:t>forwarded onto the HTA with the first submission of this application</w:t>
      </w:r>
      <w:r w:rsidR="00864A57">
        <w:t xml:space="preserve"> earlier this year,</w:t>
      </w:r>
      <w:r w:rsidR="008E7915">
        <w:t xml:space="preserve"> </w:t>
      </w:r>
      <w:r w:rsidR="00864A57">
        <w:t xml:space="preserve">drafted as </w:t>
      </w:r>
      <w:r w:rsidR="00864A57" w:rsidRPr="00864A57">
        <w:t xml:space="preserve">either </w:t>
      </w:r>
      <w:r w:rsidR="00864A57">
        <w:t xml:space="preserve">an </w:t>
      </w:r>
      <w:r w:rsidR="00864A57" w:rsidRPr="00864A57">
        <w:t>email response</w:t>
      </w:r>
      <w:r w:rsidR="00864A57">
        <w:t xml:space="preserve"> </w:t>
      </w:r>
      <w:r w:rsidR="00864A57" w:rsidRPr="00864A57">
        <w:t>or as a</w:t>
      </w:r>
      <w:r w:rsidR="00864A57">
        <w:t xml:space="preserve"> </w:t>
      </w:r>
      <w:r w:rsidR="00864A57" w:rsidRPr="00864A57">
        <w:t>letter</w:t>
      </w:r>
      <w:r w:rsidR="00864A57">
        <w:t xml:space="preserve"> </w:t>
      </w:r>
      <w:r>
        <w:t xml:space="preserve">of </w:t>
      </w:r>
      <w:r w:rsidR="00864A57">
        <w:t xml:space="preserve">attachment. </w:t>
      </w:r>
    </w:p>
    <w:p w14:paraId="56B54A59"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03F22B0D" w14:textId="6C0B1605" w:rsidR="00EE6450" w:rsidRDefault="006527A9" w:rsidP="00EE6450">
      <w:pPr>
        <w:ind w:left="426"/>
        <w:rPr>
          <w:szCs w:val="20"/>
        </w:rPr>
      </w:pPr>
      <w:r>
        <w:t>N/A</w:t>
      </w:r>
    </w:p>
    <w:p w14:paraId="4B78037A" w14:textId="660055FB" w:rsidR="00B207C9" w:rsidRPr="006527A9" w:rsidRDefault="00E82F54" w:rsidP="006527A9">
      <w:pPr>
        <w:pStyle w:val="Heading2"/>
      </w:pPr>
      <w:r w:rsidRPr="00154B00">
        <w:t>Nominate two experts who could be approached about the proposed medical service and the current clinical management of the service(s):</w:t>
      </w:r>
    </w:p>
    <w:p w14:paraId="5B4FC447" w14:textId="787213F9" w:rsidR="003C4E51" w:rsidRDefault="006527A9" w:rsidP="006527A9">
      <w:pPr>
        <w:ind w:left="426"/>
        <w:rPr>
          <w:b/>
          <w:sz w:val="32"/>
          <w:szCs w:val="32"/>
        </w:rPr>
      </w:pPr>
      <w:r w:rsidRPr="006527A9">
        <w:rPr>
          <w:b/>
          <w:bCs/>
          <w:szCs w:val="20"/>
        </w:rPr>
        <w:t>REDACTED</w:t>
      </w:r>
      <w:r w:rsidR="003C4E51">
        <w:rPr>
          <w:b/>
          <w:sz w:val="32"/>
          <w:szCs w:val="32"/>
        </w:rPr>
        <w:br w:type="page"/>
      </w:r>
    </w:p>
    <w:p w14:paraId="3620458A" w14:textId="77777777" w:rsidR="00E82F54" w:rsidRPr="00EA173C" w:rsidRDefault="00F93784" w:rsidP="009944A4">
      <w:pPr>
        <w:pStyle w:val="Heading1"/>
        <w:ind w:left="0" w:firstLine="0"/>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0F189740" w14:textId="77777777" w:rsidR="0021185D" w:rsidRPr="005C3AE7" w:rsidRDefault="005C3AE7" w:rsidP="006527A9">
      <w:pPr>
        <w:pStyle w:val="Subtitle"/>
        <w:ind w:left="0"/>
      </w:pPr>
      <w:r w:rsidRPr="005C3AE7">
        <w:t xml:space="preserve">PART 6a – </w:t>
      </w:r>
      <w:r w:rsidR="0021185D" w:rsidRPr="005C3AE7">
        <w:t>INFORMATION ABOUT THE PROPOSED POPULATION</w:t>
      </w:r>
    </w:p>
    <w:p w14:paraId="172575ED" w14:textId="327AAE26" w:rsidR="00FD179F" w:rsidRPr="006527A9" w:rsidRDefault="0021185D" w:rsidP="00FD179F">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900242"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362126BD" w14:textId="544D9964" w:rsidR="00E64C61" w:rsidRPr="00E64C61" w:rsidRDefault="00E64C61" w:rsidP="00E64C61">
      <w:pPr>
        <w:ind w:left="142"/>
        <w:rPr>
          <w:szCs w:val="20"/>
        </w:rPr>
      </w:pPr>
      <w:r w:rsidRPr="00E64C61">
        <w:rPr>
          <w:szCs w:val="20"/>
        </w:rPr>
        <w:t xml:space="preserve">Mitochondrial diseases (MDs) are a group of rare disorders that are genetically and clinically heterogeneous. They represent the largest group of inborn errors of metabolism, having more than 350 pathogenic genetic variants ascribed either </w:t>
      </w:r>
      <w:r>
        <w:rPr>
          <w:szCs w:val="20"/>
        </w:rPr>
        <w:t xml:space="preserve">to </w:t>
      </w:r>
      <w:r w:rsidR="00854D13">
        <w:rPr>
          <w:szCs w:val="20"/>
        </w:rPr>
        <w:t xml:space="preserve">the </w:t>
      </w:r>
      <w:r w:rsidRPr="00E64C61">
        <w:rPr>
          <w:szCs w:val="20"/>
        </w:rPr>
        <w:t xml:space="preserve">mitochondrial or nuclear </w:t>
      </w:r>
      <w:r w:rsidR="00854D13">
        <w:rPr>
          <w:szCs w:val="20"/>
        </w:rPr>
        <w:t>genome</w:t>
      </w:r>
      <w:r w:rsidRPr="00E64C61">
        <w:rPr>
          <w:szCs w:val="20"/>
        </w:rPr>
        <w:t xml:space="preserve">.  </w:t>
      </w:r>
    </w:p>
    <w:p w14:paraId="7CD1CE14" w14:textId="3790B161" w:rsidR="004E3382" w:rsidRPr="004E3382" w:rsidRDefault="004E3382" w:rsidP="004E3382">
      <w:pPr>
        <w:ind w:left="142"/>
      </w:pPr>
      <w:r w:rsidRPr="004E3382">
        <w:t>Severe cases may present in childhood, but most cases develop across the life span. Many cases (both adult and children) are severely debilitating or fatal</w:t>
      </w:r>
      <w:r w:rsidR="00352A94">
        <w:t>, with age of onset being the strongest predictor of mortality</w:t>
      </w:r>
      <w:r w:rsidRPr="004E3382">
        <w:t>. However, survival into adulthood is often seen, and progression of symptoms in many affected organs (</w:t>
      </w:r>
      <w:r w:rsidR="00352A94" w:rsidRPr="004E3382">
        <w:t>e.g.,</w:t>
      </w:r>
      <w:r w:rsidRPr="004E3382">
        <w:t xml:space="preserve"> brain, heart, liver, etc) is often relentless</w:t>
      </w:r>
      <w:r w:rsidR="00352A94">
        <w:t>, with neuromuscular symptoms and fatiguability being the greatest contributors to functional disabilities</w:t>
      </w:r>
      <w:r w:rsidRPr="004E3382">
        <w:t>. For some disorders such as MNGIE (mitochondrial neuro</w:t>
      </w:r>
      <w:r w:rsidR="00352A94">
        <w:t>-</w:t>
      </w:r>
      <w:r w:rsidRPr="004E3382">
        <w:t>gastrointestinal encephalomyopathy) , therapeutic intervention with life-saving procedures such as liver or bone marrow transplantation can be curative. For others such as POLG (DNA polymerase gamma genetic illness) or MELAS (mitochondrial encephalomyopathy, lactic acidosis and stroke-like episodes), preventative strategies can limit life-threatening complications such as status epilepticus (persistent and/or recurring +/- refractory seizures) or stroke-like episodes/encephalopathy, if diagnosed early enough to intervene. Early, accurate diagnosis can optimise  medical management and allow for appropriate targeted therapies whilst avoiding harmful medications, which then slows  the natural  progression of the condition.</w:t>
      </w:r>
    </w:p>
    <w:p w14:paraId="17DBD612" w14:textId="77777777" w:rsidR="004E3382" w:rsidRPr="004E3382" w:rsidRDefault="004E3382" w:rsidP="004E3382">
      <w:pPr>
        <w:ind w:left="142"/>
      </w:pPr>
      <w:r w:rsidRPr="004E3382">
        <w:t xml:space="preserve">Accurate diagnosis can also inform appropriate medical surveillance and avoidance of at-risk lifestyle behaviours (e.g., smoking in </w:t>
      </w:r>
      <w:proofErr w:type="spellStart"/>
      <w:r w:rsidRPr="004E3382">
        <w:t>Leber’s</w:t>
      </w:r>
      <w:proofErr w:type="spellEnd"/>
      <w:r w:rsidRPr="004E3382">
        <w:t xml:space="preserve"> Hereditary Optic Atrophy). Furthermore, establishing a genetic diagnosis has the potential to inform family planning for affected families. </w:t>
      </w:r>
    </w:p>
    <w:p w14:paraId="67B02D4E" w14:textId="37526B0E" w:rsidR="004E3382" w:rsidRPr="004E3382" w:rsidRDefault="004E3382" w:rsidP="004E3382">
      <w:pPr>
        <w:ind w:left="142"/>
      </w:pPr>
      <w:r w:rsidRPr="004E3382">
        <w:t xml:space="preserve">MD is also costly to the individual, their family and to the community, because of its progressive nature and tendency to advance to multi-organ dysfunction. Those with a high variant load in their mtDNA often have severe presentations of MD early in life, while those with a lower variant load can remain in good health for much longer before showing signs of the disease in later life. Surgery, procedures, or illnesses such as bacterial or viral infections may also expedite the natural progression of MD symptoms in some patients. This broad nature of MD’s disease burden means that MD sufferers tend to require several specialised physicians for various system involvement </w:t>
      </w:r>
      <w:r w:rsidR="00352A94">
        <w:t xml:space="preserve">(e.g., endocrinologists for diabetic management) </w:t>
      </w:r>
      <w:r w:rsidRPr="004E3382">
        <w:t>and are more liable to suffer deterioration in their health that requires ex</w:t>
      </w:r>
      <w:r w:rsidR="00352A94">
        <w:t>t</w:t>
      </w:r>
      <w:r w:rsidRPr="004E3382">
        <w:t>ensive medical intervention</w:t>
      </w:r>
      <w:r w:rsidR="00352A94">
        <w:t>s, such as cochlear implants, further increasing healthcare costs</w:t>
      </w:r>
      <w:r w:rsidRPr="004E3382">
        <w:t xml:space="preserve">. </w:t>
      </w:r>
    </w:p>
    <w:p w14:paraId="62DE3313" w14:textId="7E114B0B" w:rsidR="0078300A" w:rsidRDefault="00F303FA" w:rsidP="00F60993">
      <w:pPr>
        <w:ind w:left="142"/>
      </w:pPr>
      <w:r>
        <w:t>To date, a</w:t>
      </w:r>
      <w:r w:rsidR="005A6324">
        <w:t xml:space="preserve"> handful of studies have </w:t>
      </w:r>
      <w:r>
        <w:t>demonstrated the</w:t>
      </w:r>
      <w:r w:rsidR="005A6324">
        <w:t xml:space="preserve"> effects of disease burden on </w:t>
      </w:r>
      <w:r>
        <w:t xml:space="preserve">mitochondrial </w:t>
      </w:r>
      <w:r w:rsidR="005A6324">
        <w:t>patients</w:t>
      </w:r>
      <w:r>
        <w:t xml:space="preserve">, </w:t>
      </w:r>
      <w:r w:rsidR="005A6324">
        <w:t>their families and/or carers. Besides the numerous symptoms p</w:t>
      </w:r>
      <w:r w:rsidR="005A6324" w:rsidRPr="005A6324">
        <w:t>atient</w:t>
      </w:r>
      <w:r w:rsidR="005A6324">
        <w:t>s display, they have</w:t>
      </w:r>
      <w:r w:rsidR="005A6324" w:rsidRPr="005A6324">
        <w:t xml:space="preserve"> </w:t>
      </w:r>
      <w:r w:rsidR="005A6324">
        <w:t xml:space="preserve">also </w:t>
      </w:r>
      <w:r w:rsidR="005A6324" w:rsidRPr="005A6324">
        <w:t xml:space="preserve">reported </w:t>
      </w:r>
      <w:r w:rsidR="005A6324">
        <w:t xml:space="preserve">health </w:t>
      </w:r>
      <w:r w:rsidR="005A6324" w:rsidRPr="005A6324">
        <w:t xml:space="preserve">outcomes </w:t>
      </w:r>
      <w:r>
        <w:t xml:space="preserve">in terms of </w:t>
      </w:r>
      <w:r w:rsidR="005A6324">
        <w:t xml:space="preserve">increased </w:t>
      </w:r>
      <w:r w:rsidR="005A6324" w:rsidRPr="005A6324">
        <w:t>fatigue</w:t>
      </w:r>
      <w:r w:rsidR="005A6324">
        <w:t xml:space="preserve">, </w:t>
      </w:r>
      <w:r w:rsidR="005A6324" w:rsidRPr="005A6324">
        <w:t>mental health problems</w:t>
      </w:r>
      <w:r w:rsidR="005A6324">
        <w:t xml:space="preserve">, and a </w:t>
      </w:r>
      <w:r w:rsidR="005A6324" w:rsidRPr="005A6324">
        <w:t>lowered quality of life</w:t>
      </w:r>
      <w:r w:rsidR="005A6324">
        <w:t xml:space="preserve"> </w:t>
      </w:r>
      <w:r>
        <w:t>in</w:t>
      </w:r>
      <w:r w:rsidR="005A6324">
        <w:t xml:space="preserve"> direct relationship to disease progression.  A </w:t>
      </w:r>
      <w:r w:rsidR="005A6324" w:rsidRPr="005A6324">
        <w:t xml:space="preserve">study </w:t>
      </w:r>
      <w:r w:rsidR="005A6324">
        <w:t>by van de Loo et al (2020), high</w:t>
      </w:r>
      <w:r w:rsidR="005A6324" w:rsidRPr="005A6324">
        <w:t>light</w:t>
      </w:r>
      <w:r w:rsidR="005A6324">
        <w:t>ed</w:t>
      </w:r>
      <w:r w:rsidR="005A6324" w:rsidRPr="005A6324">
        <w:t xml:space="preserve"> the psychological </w:t>
      </w:r>
      <w:r w:rsidR="0078300A">
        <w:t>effects within children, suggesting that those</w:t>
      </w:r>
      <w:r w:rsidR="005A6324" w:rsidRPr="005A6324">
        <w:t xml:space="preserve"> without a diagnosis are </w:t>
      </w:r>
      <w:r w:rsidR="0078300A">
        <w:t xml:space="preserve">just as </w:t>
      </w:r>
      <w:r w:rsidR="005A6324" w:rsidRPr="005A6324">
        <w:t xml:space="preserve">vulnerable </w:t>
      </w:r>
      <w:r w:rsidR="0078300A">
        <w:t>to anxiety and depression due to the absence of explanation</w:t>
      </w:r>
      <w:r w:rsidR="006C20F6">
        <w:t xml:space="preserve"> for their symptoms,</w:t>
      </w:r>
      <w:r w:rsidR="0078300A">
        <w:t xml:space="preserve"> as those who receive confirmation</w:t>
      </w:r>
      <w:r w:rsidR="006C20F6">
        <w:t xml:space="preserve"> of MD</w:t>
      </w:r>
      <w:r w:rsidR="0078300A">
        <w:t xml:space="preserve">. Reinforcing the need for WGS in children, to not just avoid harmful biopsies, but for clarification and in a sense ‘justification’ of their </w:t>
      </w:r>
      <w:r>
        <w:t xml:space="preserve">often </w:t>
      </w:r>
      <w:r w:rsidR="0078300A">
        <w:t xml:space="preserve">complex, ill-defined symptoms. </w:t>
      </w:r>
    </w:p>
    <w:p w14:paraId="09FE973B" w14:textId="2777B834" w:rsidR="004E3382" w:rsidRDefault="006C20F6" w:rsidP="006527A9">
      <w:pPr>
        <w:ind w:left="142"/>
      </w:pPr>
      <w:r>
        <w:t>Similarly,</w:t>
      </w:r>
      <w:r w:rsidR="00F303FA">
        <w:t xml:space="preserve"> disease burden </w:t>
      </w:r>
      <w:r>
        <w:t xml:space="preserve">on carers may </w:t>
      </w:r>
      <w:r w:rsidR="00AF06C0">
        <w:t xml:space="preserve">also </w:t>
      </w:r>
      <w:r>
        <w:t xml:space="preserve">go beyond the effects of symptoms alone. </w:t>
      </w:r>
      <w:r w:rsidR="006E7F19">
        <w:t>W</w:t>
      </w:r>
      <w:r>
        <w:t>hen mothers of chi</w:t>
      </w:r>
      <w:r w:rsidR="00F108A5" w:rsidRPr="00F108A5">
        <w:t>ldren with</w:t>
      </w:r>
      <w:r>
        <w:t xml:space="preserve"> MD, were compared to mother</w:t>
      </w:r>
      <w:r w:rsidR="006E7F19">
        <w:t>s</w:t>
      </w:r>
      <w:r>
        <w:t xml:space="preserve"> of children with intractable epilepsy</w:t>
      </w:r>
      <w:r w:rsidR="006E7F19">
        <w:t xml:space="preserve">, they </w:t>
      </w:r>
      <w:r>
        <w:t xml:space="preserve">demonstrated </w:t>
      </w:r>
      <w:r w:rsidR="00F108A5" w:rsidRPr="00F108A5">
        <w:t>significantly higher caregiver burden</w:t>
      </w:r>
      <w:r w:rsidR="006E7F19">
        <w:t>,</w:t>
      </w:r>
      <w:r w:rsidR="00AE3181">
        <w:t xml:space="preserve"> </w:t>
      </w:r>
      <w:r w:rsidR="00E534EF">
        <w:t xml:space="preserve">through indicators such as increased </w:t>
      </w:r>
      <w:r w:rsidR="00AE3181">
        <w:t xml:space="preserve">depression and anxiety, </w:t>
      </w:r>
      <w:r w:rsidR="006D7958">
        <w:t xml:space="preserve">role limitations and reduced vitality, all contributing to a </w:t>
      </w:r>
      <w:r w:rsidR="00E534EF">
        <w:t>lower</w:t>
      </w:r>
      <w:r w:rsidR="00F108A5" w:rsidRPr="00F108A5">
        <w:t xml:space="preserve"> quality of life</w:t>
      </w:r>
      <w:r w:rsidR="00E534EF">
        <w:t xml:space="preserve"> (Kim et al, 2010)</w:t>
      </w:r>
      <w:r w:rsidR="00AE3181">
        <w:t xml:space="preserve">.  </w:t>
      </w:r>
      <w:r w:rsidR="00F108A5" w:rsidRPr="00F108A5">
        <w:t xml:space="preserve"> </w:t>
      </w:r>
    </w:p>
    <w:p w14:paraId="6DD1FD4F" w14:textId="77777777" w:rsidR="004E3382" w:rsidRPr="004E3382" w:rsidRDefault="004E3382" w:rsidP="004E3382">
      <w:pPr>
        <w:ind w:left="142"/>
      </w:pPr>
      <w:r w:rsidRPr="004E3382">
        <w:t>There are few studies on the health costs of MD. Cohen et al. (2018) reported six-fold insurance costs for MD patients compared to the general population. McCormack et al. (2017) reported total hospital costs for MD patients at about US$113M per annum . Individual Patients with MD were quoted within an Australian Senate Committee report to have benefited from Medicare subsidies of about $4000 in a single year</w:t>
      </w:r>
      <w:r w:rsidRPr="004E3382">
        <w:rPr>
          <w:vertAlign w:val="superscript"/>
        </w:rPr>
        <w:endnoteReference w:id="2"/>
      </w:r>
      <w:r w:rsidRPr="004E3382">
        <w:t>.</w:t>
      </w:r>
    </w:p>
    <w:p w14:paraId="4FF6FC6C" w14:textId="77777777" w:rsidR="00900242" w:rsidRPr="006A1A63" w:rsidRDefault="00900242" w:rsidP="00BD38B3">
      <w:pPr>
        <w:tabs>
          <w:tab w:val="right" w:pos="9026"/>
        </w:tabs>
      </w:pPr>
    </w:p>
    <w:p w14:paraId="4E8A8BCD" w14:textId="29F391C7" w:rsidR="00AA5FDA" w:rsidRDefault="00AA5FDA" w:rsidP="00F60993">
      <w:pPr>
        <w:pStyle w:val="Heading2"/>
        <w:ind w:left="142"/>
      </w:pPr>
      <w:r w:rsidRPr="00154B00">
        <w:lastRenderedPageBreak/>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w:t>
      </w:r>
      <w:r w:rsidR="008E6FC0" w:rsidRPr="00154B00">
        <w:t>managed,</w:t>
      </w:r>
      <w:r w:rsidR="0018630F" w:rsidRPr="00154B00">
        <w:t xml:space="preserve">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22000061" w14:textId="77777777" w:rsidR="00FD179F" w:rsidRPr="00FD179F" w:rsidRDefault="00FD179F" w:rsidP="00F60993">
      <w:pPr>
        <w:ind w:left="142"/>
      </w:pPr>
      <w:r w:rsidRPr="00FD179F">
        <w:t xml:space="preserve">Whilst the general presentation of MD in neonates and children differs in many aspects to that of adults, there are also many overlapping features, along with that of the numerous phenotypes, of which many can present at any age.  In summary, the adage of “any organ, any symptom, any age”, often applies to MD presentations, </w:t>
      </w:r>
    </w:p>
    <w:p w14:paraId="3A05963F" w14:textId="77777777" w:rsidR="007D0145" w:rsidRPr="007D0145" w:rsidRDefault="007D0145" w:rsidP="007D0145">
      <w:pPr>
        <w:ind w:left="142"/>
        <w:rPr>
          <w:rFonts w:ascii="Calibri" w:eastAsia="Calibri" w:hAnsi="Calibri" w:cs="Times New Roman"/>
        </w:rPr>
      </w:pPr>
      <w:r w:rsidRPr="007D0145">
        <w:rPr>
          <w:rFonts w:ascii="Calibri" w:eastAsia="Calibri" w:hAnsi="Calibri" w:cs="Times New Roman"/>
        </w:rPr>
        <w:t xml:space="preserve">Principal clinical indicators in neonates and children </w:t>
      </w:r>
      <w:proofErr w:type="gramStart"/>
      <w:r w:rsidRPr="007D0145">
        <w:rPr>
          <w:rFonts w:ascii="Calibri" w:eastAsia="Calibri" w:hAnsi="Calibri" w:cs="Times New Roman"/>
        </w:rPr>
        <w:t>include;</w:t>
      </w:r>
      <w:proofErr w:type="gramEnd"/>
    </w:p>
    <w:p w14:paraId="0361B1BA"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unexplained single/multi- organ dysfunction or fulminant failure (in particular, liver),  </w:t>
      </w:r>
    </w:p>
    <w:p w14:paraId="55EBE0F2" w14:textId="02D2B41A"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CNS involvement (seizures, particularly if they are refractory, developmental delays, neuro</w:t>
      </w:r>
      <w:r>
        <w:rPr>
          <w:rFonts w:ascii="Calibri" w:eastAsia="Calibri" w:hAnsi="Calibri" w:cs="Times New Roman"/>
        </w:rPr>
        <w:t>-</w:t>
      </w:r>
      <w:r w:rsidRPr="007D0145">
        <w:rPr>
          <w:rFonts w:ascii="Calibri" w:eastAsia="Calibri" w:hAnsi="Calibri" w:cs="Times New Roman"/>
        </w:rPr>
        <w:t xml:space="preserve">regression, intellectual disabilities, progressive encephalopathy or encephalomyopathy, somnolence, stroke-like events, and severe/recurrent migraines, movement disorders, dystonia), </w:t>
      </w:r>
    </w:p>
    <w:p w14:paraId="55217C7A"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feeding difficulties , </w:t>
      </w:r>
    </w:p>
    <w:p w14:paraId="00B148FD"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failure to thrive</w:t>
      </w:r>
    </w:p>
    <w:p w14:paraId="2C49BE45"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short stature</w:t>
      </w:r>
    </w:p>
    <w:p w14:paraId="241524ED"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cardiomyopathy, cardiac arrythmias, </w:t>
      </w:r>
    </w:p>
    <w:p w14:paraId="5A365E7E"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profound myopathy and/or rhabdomyolysis, ptosis, exercise intolerance </w:t>
      </w:r>
    </w:p>
    <w:p w14:paraId="72D3E76B"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GIT disturbances, </w:t>
      </w:r>
    </w:p>
    <w:p w14:paraId="4661DBB9"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profound hypoglycaemia, </w:t>
      </w:r>
    </w:p>
    <w:p w14:paraId="333718C2"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diabetes mellitus and other endocrinopathies including hypothyroidism, hypoparathyroidism, hypopituitarism, diabetes insipidus, adrenal insufficiency, hypogonadism, growth hormone deficiency, SIADH</w:t>
      </w:r>
    </w:p>
    <w:p w14:paraId="63BD8811"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anaemia, pancreatic and/or bone marrow failure,</w:t>
      </w:r>
    </w:p>
    <w:p w14:paraId="7919D9DA"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hearing loss (in particular, neurosensory hearing loss),  </w:t>
      </w:r>
    </w:p>
    <w:p w14:paraId="6FC76CB0"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visual loss, external ophthalmoplegia, pigmentary retinopathy &amp; optic neuropathy, cataract, corneal clouding, glaucoma</w:t>
      </w:r>
    </w:p>
    <w:p w14:paraId="50A19CBD"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renal impairment, renal tubular acidosis</w:t>
      </w:r>
    </w:p>
    <w:p w14:paraId="6306E1CA"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prenatal- intrauterine growth retardation</w:t>
      </w:r>
    </w:p>
    <w:p w14:paraId="1A10E823"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 hirsutism, </w:t>
      </w:r>
    </w:p>
    <w:p w14:paraId="15A653D2" w14:textId="77777777" w:rsidR="007D0145"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 xml:space="preserve">severe &amp; recurrent fevers,  immunodeficiency </w:t>
      </w:r>
    </w:p>
    <w:p w14:paraId="185D9D85" w14:textId="6DEFDA94" w:rsidR="00FD179F" w:rsidRPr="007D0145" w:rsidRDefault="007D0145" w:rsidP="006527A9">
      <w:pPr>
        <w:numPr>
          <w:ilvl w:val="0"/>
          <w:numId w:val="32"/>
        </w:numPr>
        <w:spacing w:before="0" w:after="60"/>
        <w:ind w:left="714" w:hanging="357"/>
        <w:rPr>
          <w:rFonts w:ascii="Calibri" w:eastAsia="Calibri" w:hAnsi="Calibri" w:cs="Times New Roman"/>
        </w:rPr>
      </w:pPr>
      <w:r w:rsidRPr="007D0145">
        <w:rPr>
          <w:rFonts w:ascii="Calibri" w:eastAsia="Calibri" w:hAnsi="Calibri" w:cs="Times New Roman"/>
        </w:rPr>
        <w:t>family history (unexplained developmental delays, seizures, premature death, unexplained neuromuscular  disorders, migraine, deafness, and diabetes, cardiomyopathy),</w:t>
      </w:r>
    </w:p>
    <w:p w14:paraId="06AE26F7" w14:textId="77777777" w:rsidR="001A4FE6" w:rsidRPr="00FD179F" w:rsidRDefault="001A4FE6" w:rsidP="001A4FE6">
      <w:pPr>
        <w:ind w:left="720"/>
      </w:pPr>
    </w:p>
    <w:p w14:paraId="5A70B98D" w14:textId="77777777" w:rsidR="00FD179F" w:rsidRPr="00FD179F" w:rsidRDefault="00FD179F" w:rsidP="001A4FE6">
      <w:proofErr w:type="gramStart"/>
      <w:r w:rsidRPr="00FD179F">
        <w:t>Similarly</w:t>
      </w:r>
      <w:proofErr w:type="gramEnd"/>
      <w:r w:rsidRPr="00FD179F">
        <w:t xml:space="preserve"> principal clinical indicators in adults (over 18 years of age) would include;</w:t>
      </w:r>
    </w:p>
    <w:p w14:paraId="318B45F1" w14:textId="77777777" w:rsidR="00FD179F" w:rsidRPr="00FD179F" w:rsidRDefault="00FD179F" w:rsidP="006527A9">
      <w:pPr>
        <w:numPr>
          <w:ilvl w:val="0"/>
          <w:numId w:val="18"/>
        </w:numPr>
        <w:spacing w:before="0" w:after="60"/>
        <w:ind w:left="1077" w:hanging="357"/>
      </w:pPr>
      <w:r w:rsidRPr="00FD179F">
        <w:t xml:space="preserve">CNS involvement (ataxia, neuropathy, seizures especially if refractory, progressive encephalopathy or encephalomyopathy, stroke-like events, severe/recurrent migraines, unexplained cognitive regression, dementia), </w:t>
      </w:r>
    </w:p>
    <w:p w14:paraId="470701B9" w14:textId="77777777" w:rsidR="00FD179F" w:rsidRPr="00FD179F" w:rsidRDefault="00FD179F" w:rsidP="006527A9">
      <w:pPr>
        <w:numPr>
          <w:ilvl w:val="0"/>
          <w:numId w:val="18"/>
        </w:numPr>
        <w:spacing w:before="0" w:after="60"/>
        <w:ind w:left="1077" w:hanging="357"/>
      </w:pPr>
      <w:r w:rsidRPr="00FD179F">
        <w:t>cardiomyopathy, cardiac arrythmias, cardiac failure</w:t>
      </w:r>
    </w:p>
    <w:p w14:paraId="72D9E182" w14:textId="77777777" w:rsidR="00FD179F" w:rsidRPr="00FD179F" w:rsidRDefault="00FD179F" w:rsidP="006527A9">
      <w:pPr>
        <w:numPr>
          <w:ilvl w:val="0"/>
          <w:numId w:val="18"/>
        </w:numPr>
        <w:spacing w:before="0" w:after="60"/>
        <w:ind w:left="1077" w:hanging="357"/>
      </w:pPr>
      <w:r w:rsidRPr="00FD179F">
        <w:t>profound myopathy (fatigue, weakness), rhabdomyolysis, worsening exercise intolerance,</w:t>
      </w:r>
    </w:p>
    <w:p w14:paraId="2BAD271F" w14:textId="77777777" w:rsidR="00FD179F" w:rsidRPr="00FD179F" w:rsidRDefault="00FD179F" w:rsidP="006527A9">
      <w:pPr>
        <w:numPr>
          <w:ilvl w:val="0"/>
          <w:numId w:val="18"/>
        </w:numPr>
        <w:spacing w:before="0" w:after="60"/>
        <w:ind w:left="1077" w:hanging="357"/>
      </w:pPr>
      <w:r w:rsidRPr="00FD179F">
        <w:t>GIT disturbances, in particular pseudo-obstruction</w:t>
      </w:r>
    </w:p>
    <w:p w14:paraId="2CC2A382" w14:textId="77777777" w:rsidR="00FD179F" w:rsidRPr="00FD179F" w:rsidRDefault="00FD179F" w:rsidP="006527A9">
      <w:pPr>
        <w:numPr>
          <w:ilvl w:val="0"/>
          <w:numId w:val="18"/>
        </w:numPr>
        <w:spacing w:before="0" w:after="60"/>
        <w:ind w:left="1077" w:hanging="357"/>
      </w:pPr>
      <w:r w:rsidRPr="00FD179F">
        <w:t xml:space="preserve">unexplained single/multi- organ dysfunction or fulminant failure (in particular the liver, kidneys),  </w:t>
      </w:r>
    </w:p>
    <w:p w14:paraId="4207847F" w14:textId="77777777" w:rsidR="00FD179F" w:rsidRPr="00FD179F" w:rsidRDefault="00FD179F" w:rsidP="006527A9">
      <w:pPr>
        <w:numPr>
          <w:ilvl w:val="0"/>
          <w:numId w:val="18"/>
        </w:numPr>
        <w:spacing w:before="0" w:after="60"/>
        <w:ind w:left="1077" w:hanging="357"/>
      </w:pPr>
      <w:r w:rsidRPr="00FD179F">
        <w:t>anaemia, pancreatic &amp;/or bone marrow failure,</w:t>
      </w:r>
    </w:p>
    <w:p w14:paraId="3572E6E9" w14:textId="77777777" w:rsidR="00FD179F" w:rsidRPr="00FD179F" w:rsidRDefault="00FD179F" w:rsidP="006527A9">
      <w:pPr>
        <w:numPr>
          <w:ilvl w:val="0"/>
          <w:numId w:val="18"/>
        </w:numPr>
        <w:spacing w:before="0" w:after="60"/>
        <w:ind w:left="1077" w:hanging="357"/>
      </w:pPr>
      <w:r w:rsidRPr="00FD179F">
        <w:t xml:space="preserve">hearing loss (neurosensory hearing loss especially if initially unilateral, fluctuating), </w:t>
      </w:r>
    </w:p>
    <w:p w14:paraId="14114C44" w14:textId="75B847C5" w:rsidR="00FD179F" w:rsidRPr="00FD179F" w:rsidRDefault="00FD179F" w:rsidP="006527A9">
      <w:pPr>
        <w:numPr>
          <w:ilvl w:val="0"/>
          <w:numId w:val="18"/>
        </w:numPr>
        <w:spacing w:before="0" w:after="60"/>
        <w:ind w:left="1077" w:hanging="357"/>
      </w:pPr>
      <w:r w:rsidRPr="00FD179F">
        <w:t xml:space="preserve">visual loss which can be transient, acute, or progressive, chronic progressive external ophthalmoplegia, pigmentary retinopathy and/or optic neuropathy, </w:t>
      </w:r>
    </w:p>
    <w:p w14:paraId="76A79B73" w14:textId="77777777" w:rsidR="00FD179F" w:rsidRPr="00FD179F" w:rsidRDefault="00FD179F" w:rsidP="006527A9">
      <w:pPr>
        <w:numPr>
          <w:ilvl w:val="0"/>
          <w:numId w:val="18"/>
        </w:numPr>
        <w:spacing w:before="0" w:after="60"/>
        <w:ind w:left="1077" w:hanging="357"/>
      </w:pPr>
      <w:r w:rsidRPr="00FD179F">
        <w:lastRenderedPageBreak/>
        <w:t>family history (unexplained developmental delays, seizures, premature death, unexplained neuromuscular  disorders, migraine, deafness, and diabetes),</w:t>
      </w:r>
    </w:p>
    <w:p w14:paraId="17038750" w14:textId="77777777" w:rsidR="00FD179F" w:rsidRPr="00FD179F" w:rsidRDefault="00FD179F" w:rsidP="006527A9">
      <w:pPr>
        <w:numPr>
          <w:ilvl w:val="0"/>
          <w:numId w:val="18"/>
        </w:numPr>
        <w:spacing w:before="0" w:after="60"/>
        <w:ind w:left="1077" w:hanging="357"/>
      </w:pPr>
      <w:r w:rsidRPr="00FD179F">
        <w:t xml:space="preserve">endocrine disturbances (diabetes, hypothyroidism), short stature, hirsutism, </w:t>
      </w:r>
    </w:p>
    <w:p w14:paraId="7D6AB757" w14:textId="77777777" w:rsidR="00FD179F" w:rsidRPr="00FD179F" w:rsidRDefault="00FD179F" w:rsidP="006527A9">
      <w:pPr>
        <w:numPr>
          <w:ilvl w:val="0"/>
          <w:numId w:val="18"/>
        </w:numPr>
        <w:spacing w:before="0" w:after="60"/>
        <w:ind w:left="1077" w:hanging="357"/>
      </w:pPr>
      <w:r w:rsidRPr="00FD179F">
        <w:t>severe &amp; recurrent fevers with slow recovery periods</w:t>
      </w:r>
    </w:p>
    <w:p w14:paraId="3D0404DD" w14:textId="77777777" w:rsidR="00E5332C" w:rsidRPr="00E5332C" w:rsidRDefault="00E5332C" w:rsidP="00E5332C">
      <w:pPr>
        <w:ind w:left="426"/>
      </w:pPr>
      <w:r w:rsidRPr="00E5332C">
        <w:t>Patients with MD may present with a single or with a combination of many of these clinical manifestations, at any given time during their disease course. Occasionally these patients present in crisis during acute exacerbations as inpatients.</w:t>
      </w:r>
    </w:p>
    <w:p w14:paraId="5E3B77E3" w14:textId="77777777" w:rsidR="00E5332C" w:rsidRPr="00E5332C" w:rsidRDefault="00E5332C" w:rsidP="00E5332C">
      <w:pPr>
        <w:ind w:left="426"/>
      </w:pPr>
      <w:r w:rsidRPr="00E5332C">
        <w:t>Most affected patients undergo an initial clinical assessment and are investigated and managed by expert adult neurologists, paediatric neurologists, metabolic physicians, or clinical/metabolic geneticists after being referred to by a non-expert specialist or  general practitioner. After a comprehensive clinical assessment involving a complete neuromuscular workup, hearing and visual assessments, and systems review (GIT, CVS, endocrine, haemopoietic and immune), MD experts undertake investigatory tests based on the clinical phenotype or presentation, which may include the following:</w:t>
      </w:r>
    </w:p>
    <w:p w14:paraId="3346C056" w14:textId="77777777" w:rsidR="008335E9" w:rsidRDefault="008335E9" w:rsidP="008335E9">
      <w:pPr>
        <w:numPr>
          <w:ilvl w:val="0"/>
          <w:numId w:val="19"/>
        </w:numPr>
      </w:pPr>
      <w:r>
        <w:t xml:space="preserve">Blood tests including comprehensive biochemical and haematological investigations, </w:t>
      </w:r>
    </w:p>
    <w:p w14:paraId="3C4D6315" w14:textId="44900E24" w:rsidR="008335E9" w:rsidRDefault="008335E9" w:rsidP="008335E9">
      <w:pPr>
        <w:numPr>
          <w:ilvl w:val="0"/>
          <w:numId w:val="19"/>
        </w:numPr>
      </w:pPr>
      <w:r>
        <w:t>Metabolic analysis for biomarkers of mitochondrial dysfunction may reveal raised serum lactate and/or pyruvate, with a normal or decreased lactate/pyruvate ratio, hyperammonaemia,</w:t>
      </w:r>
      <w:r w:rsidR="00855A62">
        <w:t xml:space="preserve"> raised</w:t>
      </w:r>
      <w:r>
        <w:t xml:space="preserve"> serum alanine, </w:t>
      </w:r>
      <w:r w:rsidR="00855A62">
        <w:t xml:space="preserve">raised </w:t>
      </w:r>
      <w:r>
        <w:t xml:space="preserve">creatine kinase, </w:t>
      </w:r>
      <w:r w:rsidR="00855A62">
        <w:t xml:space="preserve">presence of </w:t>
      </w:r>
      <w:r>
        <w:t>urinary Krebs cycle intermediates and organic acids, cerebrospinal fluid elevations of lactate, pyruvate, alanine and protein, and the emergence of new primary biomarkers such as FGF21 and GDF15.</w:t>
      </w:r>
    </w:p>
    <w:p w14:paraId="7FDEED2C" w14:textId="77777777" w:rsidR="008335E9" w:rsidRDefault="008335E9" w:rsidP="008335E9">
      <w:pPr>
        <w:numPr>
          <w:ilvl w:val="0"/>
          <w:numId w:val="19"/>
        </w:numPr>
      </w:pPr>
      <w:r>
        <w:t>Neuroimaging (CT, MRI, MRS), neurophysiological studies (EEG, NCS, EMG, VEPs, SEPs)</w:t>
      </w:r>
    </w:p>
    <w:p w14:paraId="263DBB4E" w14:textId="77777777" w:rsidR="008335E9" w:rsidRDefault="008335E9" w:rsidP="008335E9">
      <w:pPr>
        <w:numPr>
          <w:ilvl w:val="0"/>
          <w:numId w:val="19"/>
        </w:numPr>
      </w:pPr>
      <w:r>
        <w:t xml:space="preserve">Systems review including cardiological (ECG, echo, </w:t>
      </w:r>
      <w:proofErr w:type="spellStart"/>
      <w:r>
        <w:t>holter</w:t>
      </w:r>
      <w:proofErr w:type="spellEnd"/>
      <w:r>
        <w:t>), gastrointestinal (U/S, AXR, CT, transit studies, gastric emptying studies, endoscopies), liver, renal assessments.</w:t>
      </w:r>
    </w:p>
    <w:p w14:paraId="29475ECD" w14:textId="77777777" w:rsidR="008335E9" w:rsidRDefault="008335E9" w:rsidP="008335E9">
      <w:pPr>
        <w:numPr>
          <w:ilvl w:val="0"/>
          <w:numId w:val="19"/>
        </w:numPr>
      </w:pPr>
      <w:r>
        <w:t>Ophthalmological assessment</w:t>
      </w:r>
    </w:p>
    <w:p w14:paraId="54BEF71B" w14:textId="0B98780C" w:rsidR="00FD179F" w:rsidRPr="00FD179F" w:rsidRDefault="008335E9" w:rsidP="008335E9">
      <w:pPr>
        <w:numPr>
          <w:ilvl w:val="0"/>
          <w:numId w:val="19"/>
        </w:numPr>
      </w:pPr>
      <w:r>
        <w:t xml:space="preserve">Muscle or tissue biopsies for histological, biochemical (including CoQ10), enzymological (including functional respiratory chain) analysis, histochemical stains, electron microscopy.      </w:t>
      </w:r>
    </w:p>
    <w:p w14:paraId="28198C63" w14:textId="77777777" w:rsidR="00C12E43" w:rsidRPr="00C12E43" w:rsidRDefault="00C12E43" w:rsidP="00C12E43">
      <w:pPr>
        <w:ind w:left="426"/>
      </w:pPr>
      <w:r w:rsidRPr="00C12E43">
        <w:t xml:space="preserve">The clinical and phenotypical diversity in the environment of its two genome complexities </w:t>
      </w:r>
      <w:proofErr w:type="gramStart"/>
      <w:r w:rsidRPr="00C12E43">
        <w:t>and  heterogeneities</w:t>
      </w:r>
      <w:proofErr w:type="gramEnd"/>
      <w:r w:rsidRPr="00C12E43">
        <w:t>, makes the MD diagnosis process complicated, arduous, and expensive, with multiple tests involved.  Therefore, its presentation is often confused with numerous other illnesses, especially those featuring neuromuscular symptoms, such as Multiple Sclerosis and Motor Neurone Disease, whilst its broad range of symptoms, often places it undiagnosed, under the care of varying specialities and services, such as endocrinologists for diabetes and audiologists for hearing aids.  Hence MD has long been referred to as the “</w:t>
      </w:r>
      <w:r w:rsidRPr="00C12E43">
        <w:rPr>
          <w:b/>
          <w:bCs/>
          <w:i/>
          <w:iCs/>
        </w:rPr>
        <w:t>great mimicker</w:t>
      </w:r>
      <w:r w:rsidRPr="00C12E43">
        <w:t>” or “</w:t>
      </w:r>
      <w:r w:rsidRPr="00C12E43">
        <w:rPr>
          <w:b/>
          <w:bCs/>
          <w:i/>
          <w:iCs/>
        </w:rPr>
        <w:t>notorious masquerader</w:t>
      </w:r>
      <w:r w:rsidRPr="00C12E43">
        <w:t xml:space="preserve">”.  </w:t>
      </w:r>
    </w:p>
    <w:p w14:paraId="692A992D" w14:textId="20CD472F" w:rsidR="00C0389D" w:rsidRDefault="001C395B" w:rsidP="00FD179F">
      <w:pPr>
        <w:ind w:left="426"/>
      </w:pPr>
      <w:r>
        <w:t>This overlapping phenotype with other illness</w:t>
      </w:r>
      <w:r w:rsidR="0007420C">
        <w:t>es</w:t>
      </w:r>
      <w:r>
        <w:t xml:space="preserve">, may </w:t>
      </w:r>
      <w:r w:rsidR="009F094A">
        <w:t>well</w:t>
      </w:r>
      <w:r>
        <w:t xml:space="preserve"> be reciprocated </w:t>
      </w:r>
      <w:r w:rsidR="009F094A">
        <w:t>when</w:t>
      </w:r>
      <w:r>
        <w:t xml:space="preserve"> </w:t>
      </w:r>
      <w:r w:rsidR="00322CA8">
        <w:t>they</w:t>
      </w:r>
      <w:r>
        <w:t xml:space="preserve"> </w:t>
      </w:r>
      <w:r w:rsidR="009F094A">
        <w:t xml:space="preserve">in turn </w:t>
      </w:r>
      <w:r w:rsidR="00322CA8">
        <w:t xml:space="preserve">are </w:t>
      </w:r>
      <w:r>
        <w:t>mis</w:t>
      </w:r>
      <w:r w:rsidR="009F094A">
        <w:t>diagnosed</w:t>
      </w:r>
      <w:r>
        <w:t xml:space="preserve"> for M</w:t>
      </w:r>
      <w:r w:rsidR="009F094A">
        <w:t>D.  Safeguards against misdiagnosis have long been adhered to by a clinician with mitochondrial experience, whilst journeying the diagnostic pathway, because until the recent emergence of NGS technologies, MD diagnosis was as much a ‘</w:t>
      </w:r>
      <w:r w:rsidR="009F094A" w:rsidRPr="00322CA8">
        <w:rPr>
          <w:b/>
          <w:bCs/>
          <w:i/>
          <w:iCs/>
        </w:rPr>
        <w:t>diagnosis of exclusion</w:t>
      </w:r>
      <w:r w:rsidR="009F094A">
        <w:t xml:space="preserve">’ as it was of ‘inclusion’. </w:t>
      </w:r>
      <w:r w:rsidR="001847D8">
        <w:t>T</w:t>
      </w:r>
      <w:r w:rsidR="009F094A">
        <w:t>he reliance</w:t>
      </w:r>
      <w:r w:rsidR="00322CA8">
        <w:t xml:space="preserve"> of a ‘suspected diagnosis’</w:t>
      </w:r>
      <w:r w:rsidR="009F094A">
        <w:t xml:space="preserve"> </w:t>
      </w:r>
      <w:r w:rsidR="003A22BC">
        <w:t>being</w:t>
      </w:r>
      <w:r w:rsidR="009F094A">
        <w:t xml:space="preserve"> </w:t>
      </w:r>
      <w:r w:rsidR="00322CA8">
        <w:t>determined by the intuitive clinician, evidencing the</w:t>
      </w:r>
      <w:r w:rsidR="009F094A" w:rsidRPr="009F094A">
        <w:t xml:space="preserve"> clinical</w:t>
      </w:r>
      <w:r w:rsidR="009F094A">
        <w:t xml:space="preserve"> and investigative indicators</w:t>
      </w:r>
      <w:r w:rsidR="00322CA8">
        <w:t xml:space="preserve"> (</w:t>
      </w:r>
      <w:r w:rsidR="00FD5317">
        <w:t>and</w:t>
      </w:r>
      <w:r w:rsidR="00322CA8">
        <w:t xml:space="preserve"> excluding alternatives), whilst seeking</w:t>
      </w:r>
      <w:r w:rsidR="009F094A">
        <w:t xml:space="preserve"> support</w:t>
      </w:r>
      <w:r w:rsidR="00322CA8">
        <w:t xml:space="preserve"> from</w:t>
      </w:r>
      <w:r w:rsidR="009F094A">
        <w:t xml:space="preserve"> </w:t>
      </w:r>
      <w:r w:rsidR="009F094A" w:rsidRPr="009F094A">
        <w:t>biochemical, en</w:t>
      </w:r>
      <w:r w:rsidR="009F094A" w:rsidRPr="009F094A">
        <w:softHyphen/>
        <w:t>zymological,</w:t>
      </w:r>
      <w:r w:rsidR="00322CA8">
        <w:t xml:space="preserve"> and</w:t>
      </w:r>
      <w:r w:rsidR="009F094A" w:rsidRPr="009F094A">
        <w:t xml:space="preserve"> histopathological</w:t>
      </w:r>
      <w:r w:rsidR="00322CA8">
        <w:t xml:space="preserve"> analysis of both the mitochondria and</w:t>
      </w:r>
      <w:r w:rsidR="009F094A" w:rsidRPr="009F094A">
        <w:t xml:space="preserve"> respiratory chain (RC)</w:t>
      </w:r>
      <w:r w:rsidR="00322CA8">
        <w:t xml:space="preserve">.  </w:t>
      </w:r>
    </w:p>
    <w:p w14:paraId="751107E2" w14:textId="340AD8D7" w:rsidR="009F094A" w:rsidRDefault="00322CA8" w:rsidP="00FD179F">
      <w:pPr>
        <w:ind w:left="426"/>
      </w:pPr>
      <w:r>
        <w:t xml:space="preserve">To date, the same diagnostic </w:t>
      </w:r>
      <w:r w:rsidR="00FF2272">
        <w:t>principles are</w:t>
      </w:r>
      <w:r>
        <w:t xml:space="preserve"> still inherent in the ‘workup’ of a mitochondrial patient</w:t>
      </w:r>
      <w:r w:rsidR="001847D8">
        <w:t xml:space="preserve">, to maximise the yield of the </w:t>
      </w:r>
      <w:r w:rsidR="00C0389D">
        <w:t xml:space="preserve">tissue </w:t>
      </w:r>
      <w:r w:rsidR="001847D8">
        <w:t xml:space="preserve">biopsy, </w:t>
      </w:r>
      <w:r w:rsidR="0007420C">
        <w:t xml:space="preserve">and can now similarly be practised if/when </w:t>
      </w:r>
      <w:r w:rsidR="001847D8">
        <w:t>WGS</w:t>
      </w:r>
      <w:r w:rsidR="0007420C">
        <w:t xml:space="preserve"> is adopted.</w:t>
      </w:r>
      <w:r>
        <w:t xml:space="preserve"> </w:t>
      </w:r>
    </w:p>
    <w:p w14:paraId="0796D9A4" w14:textId="61041CE9" w:rsidR="001C395B" w:rsidRPr="00FD179F" w:rsidRDefault="00FD5317" w:rsidP="00FD179F">
      <w:pPr>
        <w:ind w:left="426"/>
      </w:pPr>
      <w:r>
        <w:t xml:space="preserve">Similarly, </w:t>
      </w:r>
      <w:r w:rsidR="0007420C">
        <w:t>since</w:t>
      </w:r>
      <w:r>
        <w:t xml:space="preserve"> mitochondrial disease </w:t>
      </w:r>
      <w:r w:rsidR="0007420C">
        <w:t>is</w:t>
      </w:r>
      <w:r w:rsidR="001C395B">
        <w:t xml:space="preserve"> a </w:t>
      </w:r>
      <w:r>
        <w:t>‘</w:t>
      </w:r>
      <w:r w:rsidR="001C395B">
        <w:t>primary</w:t>
      </w:r>
      <w:r>
        <w:t>’</w:t>
      </w:r>
      <w:r w:rsidR="001C395B">
        <w:t xml:space="preserve"> disorder</w:t>
      </w:r>
      <w:r>
        <w:t xml:space="preserve">, </w:t>
      </w:r>
      <w:r w:rsidR="0007420C">
        <w:t xml:space="preserve">that is, as a result of </w:t>
      </w:r>
      <w:r>
        <w:t xml:space="preserve">a </w:t>
      </w:r>
      <w:r w:rsidR="0007420C">
        <w:t>defect in the</w:t>
      </w:r>
      <w:r>
        <w:t xml:space="preserve"> respiratory chain </w:t>
      </w:r>
      <w:r w:rsidR="0007420C">
        <w:t xml:space="preserve">causing oxidative phosphorylation </w:t>
      </w:r>
      <w:r>
        <w:t xml:space="preserve">dysfunction, secondary </w:t>
      </w:r>
      <w:r w:rsidR="0007420C">
        <w:t>causes</w:t>
      </w:r>
      <w:r>
        <w:t xml:space="preserve"> </w:t>
      </w:r>
      <w:r w:rsidR="003A22BC">
        <w:t>are also</w:t>
      </w:r>
      <w:r w:rsidR="0007420C">
        <w:t xml:space="preserve"> excluded along</w:t>
      </w:r>
      <w:r w:rsidR="001847D8">
        <w:t xml:space="preserve"> the </w:t>
      </w:r>
      <w:r w:rsidR="003A22BC">
        <w:t xml:space="preserve">course of the </w:t>
      </w:r>
      <w:r w:rsidR="001847D8">
        <w:t xml:space="preserve">diagnostic pathway. </w:t>
      </w:r>
      <w:r w:rsidR="001C395B">
        <w:t xml:space="preserve"> </w:t>
      </w:r>
    </w:p>
    <w:p w14:paraId="4AF81CEF" w14:textId="2EC30FC0" w:rsidR="00C12E43" w:rsidRPr="00C12E43" w:rsidRDefault="00C12E43" w:rsidP="00C12E43">
      <w:pPr>
        <w:ind w:left="426"/>
      </w:pPr>
      <w:r w:rsidRPr="00C12E43">
        <w:t xml:space="preserve">Within the current boundaries of the ‘Medicare Benefits Schedule (MBS)”, the only subsidised genetic testing available to confirm a MD diagnosis is for children &lt;10 years with clinical features pertaining to item numbers 73358 and 73359 . In this clinical representation WGS may be applied if the presentation includes moderate developmental delay and/or intellectual disability, or dysmorphic facial appearance and  &gt;1 major structural congenital anomaly. All other MD presentations, and all presentations for </w:t>
      </w:r>
      <w:r w:rsidRPr="00C12E43">
        <w:lastRenderedPageBreak/>
        <w:t xml:space="preserve">children &gt;10years, are currently not eligible for subsidised genetic testing to confirm their diagnosis. </w:t>
      </w:r>
      <w:r>
        <w:t>Regardless</w:t>
      </w:r>
      <w:r w:rsidRPr="00C12E43">
        <w:t xml:space="preserve"> </w:t>
      </w:r>
      <w:r>
        <w:t>o</w:t>
      </w:r>
      <w:r w:rsidRPr="00C12E43">
        <w:t>f a genetic variant being detected</w:t>
      </w:r>
      <w:r>
        <w:t xml:space="preserve"> (or not)</w:t>
      </w:r>
      <w:r w:rsidRPr="00C12E43">
        <w:t xml:space="preserve"> in children</w:t>
      </w:r>
      <w:r>
        <w:t xml:space="preserve"> qualifying for item numbers 73358/9</w:t>
      </w:r>
      <w:r w:rsidRPr="00C12E43">
        <w:t xml:space="preserve">, </w:t>
      </w:r>
      <w:r>
        <w:t xml:space="preserve">a clear and precise phenotypical classification of their </w:t>
      </w:r>
      <w:r w:rsidRPr="00C12E43">
        <w:t xml:space="preserve">MD and its pathogenic relevance, must still proceed. </w:t>
      </w:r>
    </w:p>
    <w:p w14:paraId="2B7AD970" w14:textId="77777777" w:rsidR="00C12E43" w:rsidRPr="00C12E43" w:rsidRDefault="00C12E43" w:rsidP="00C12E43">
      <w:pPr>
        <w:ind w:left="426"/>
      </w:pPr>
      <w:r w:rsidRPr="00C12E43">
        <w:t xml:space="preserve">Where the medical climate is amenable, and there is an indicative phenotypical presentation, an “expert mitochondrial specialist” may order a specific candidate gene test within the current Australian Healthcare system.  This is, however, subject to approval from the remunerating tertiary hospital service or paid for (out of pocket) by the patient/child’s family. If the specific candidate gene test was non-confirmatory, WGS would still be required to identify any causative MD genes.  </w:t>
      </w:r>
    </w:p>
    <w:p w14:paraId="73D87686" w14:textId="4B753E07" w:rsidR="00FD179F" w:rsidRPr="00FA0378" w:rsidRDefault="00C12E43" w:rsidP="006527A9">
      <w:pPr>
        <w:ind w:left="426"/>
      </w:pPr>
      <w:r w:rsidRPr="00C12E43">
        <w:t xml:space="preserve">In summary, within the environment of today’s Australian Healthcare system and MBS subsidisation, a diagnosis of MD can only be </w:t>
      </w:r>
      <w:r w:rsidRPr="00C12E43">
        <w:rPr>
          <w:b/>
          <w:bCs/>
        </w:rPr>
        <w:t xml:space="preserve">suspected </w:t>
      </w:r>
      <w:r w:rsidRPr="00C12E43">
        <w:rPr>
          <w:bCs/>
        </w:rPr>
        <w:t>in the majority of cases</w:t>
      </w:r>
      <w:r w:rsidRPr="00C12E43">
        <w:t>, since it is solely reliant upon the combination of clinical, biochemical, en</w:t>
      </w:r>
      <w:r w:rsidRPr="00C12E43">
        <w:softHyphen/>
        <w:t>zymological, histopathological, and respiratory chain (RC) analysis, via a tissue biopsy, predominantly muscle.</w:t>
      </w:r>
      <w:r w:rsidR="00D84616">
        <w:t xml:space="preserve"> A process that can often take years and is thwart with hesitancies when determining what level of investigations and re-investigations are necessary. </w:t>
      </w:r>
      <w:r w:rsidRPr="00C12E43">
        <w:t xml:space="preserve"> Instead, a genetic </w:t>
      </w:r>
      <w:r w:rsidRPr="00C12E43">
        <w:rPr>
          <w:b/>
          <w:bCs/>
        </w:rPr>
        <w:t>confirmation</w:t>
      </w:r>
      <w:r w:rsidRPr="00C12E43">
        <w:t xml:space="preserve"> expedite</w:t>
      </w:r>
      <w:r w:rsidR="00D84616">
        <w:t>s</w:t>
      </w:r>
      <w:r w:rsidRPr="00C12E43">
        <w:t xml:space="preserve"> diagnosis, avoid</w:t>
      </w:r>
      <w:r w:rsidR="00D84616">
        <w:t>s</w:t>
      </w:r>
      <w:r w:rsidRPr="00C12E43">
        <w:t xml:space="preserve"> invasive biopsies, optimise</w:t>
      </w:r>
      <w:r w:rsidR="00D84616">
        <w:t>s</w:t>
      </w:r>
      <w:r w:rsidRPr="00C12E43">
        <w:t xml:space="preserve"> management</w:t>
      </w:r>
      <w:r w:rsidR="00D84616">
        <w:t xml:space="preserve"> earlier</w:t>
      </w:r>
      <w:r w:rsidRPr="00C12E43">
        <w:t>, avoid</w:t>
      </w:r>
      <w:r w:rsidR="00D84616">
        <w:t>s</w:t>
      </w:r>
      <w:r w:rsidRPr="00C12E43">
        <w:t xml:space="preserve"> harmful and unnecessary treatments, allow</w:t>
      </w:r>
      <w:r w:rsidR="00D84616">
        <w:t>s</w:t>
      </w:r>
      <w:r w:rsidRPr="00C12E43">
        <w:t xml:space="preserve"> cascade testing of affected relatives and family planning</w:t>
      </w:r>
      <w:r w:rsidR="00D84616">
        <w:t xml:space="preserve">. However, </w:t>
      </w:r>
      <w:r w:rsidRPr="00C12E43">
        <w:t>it is only possible in some children &lt;10 years who qualify for MBS item numbers 73358 and 73359.</w:t>
      </w:r>
    </w:p>
    <w:p w14:paraId="18894C8D" w14:textId="67726A7B" w:rsidR="0018630F" w:rsidRPr="00F60993" w:rsidRDefault="0018630F" w:rsidP="00530204">
      <w:pPr>
        <w:pStyle w:val="Heading2"/>
      </w:pPr>
      <w:r w:rsidRPr="00F60993">
        <w:t xml:space="preserve">Define and summarise the current clinical management pathway </w:t>
      </w:r>
      <w:r w:rsidRPr="00F60993">
        <w:rPr>
          <w:i/>
        </w:rPr>
        <w:t>before</w:t>
      </w:r>
      <w:r w:rsidRPr="00F60993">
        <w:t xml:space="preserve"> patients would be eligible for the proposed medical service (supplement this summary with </w:t>
      </w:r>
      <w:r w:rsidR="00F33F1A" w:rsidRPr="00F60993">
        <w:t xml:space="preserve">an </w:t>
      </w:r>
      <w:r w:rsidR="006919F3" w:rsidRPr="00F60993">
        <w:t>easy-to-follow</w:t>
      </w:r>
      <w:r w:rsidR="00F33F1A" w:rsidRPr="00F60993">
        <w:t xml:space="preserve"> flowchart </w:t>
      </w:r>
      <w:r w:rsidR="00DF0C51" w:rsidRPr="00F60993">
        <w:t xml:space="preserve">[as an attachment to the Application Form] </w:t>
      </w:r>
      <w:r w:rsidR="00F33F1A" w:rsidRPr="00F60993">
        <w:t>dep</w:t>
      </w:r>
      <w:r w:rsidRPr="00F60993">
        <w:t>icting the current clinical manag</w:t>
      </w:r>
      <w:r w:rsidR="00197D29" w:rsidRPr="00F60993">
        <w:t>ement pathway up to this point):</w:t>
      </w:r>
    </w:p>
    <w:p w14:paraId="5DF18EA1" w14:textId="320BDAD0" w:rsidR="00677F74" w:rsidRPr="006527A9" w:rsidRDefault="00CE05C5" w:rsidP="00D73646">
      <w:pPr>
        <w:ind w:left="426"/>
        <w:rPr>
          <w:szCs w:val="20"/>
        </w:rPr>
      </w:pPr>
      <w:bookmarkStart w:id="7" w:name="_Hlk77462855"/>
      <w:r w:rsidRPr="006527A9">
        <w:rPr>
          <w:szCs w:val="20"/>
        </w:rPr>
        <w:t xml:space="preserve">The current clinical management pathway as depicted by </w:t>
      </w:r>
      <w:r w:rsidR="00C71E62" w:rsidRPr="006527A9">
        <w:rPr>
          <w:szCs w:val="20"/>
        </w:rPr>
        <w:t>‘</w:t>
      </w:r>
      <w:r w:rsidRPr="006527A9">
        <w:rPr>
          <w:szCs w:val="20"/>
        </w:rPr>
        <w:t>Flow Diagram A</w:t>
      </w:r>
      <w:r w:rsidR="00C71E62" w:rsidRPr="006527A9">
        <w:rPr>
          <w:szCs w:val="20"/>
        </w:rPr>
        <w:t>’</w:t>
      </w:r>
      <w:r w:rsidRPr="006527A9">
        <w:rPr>
          <w:szCs w:val="20"/>
        </w:rPr>
        <w:t xml:space="preserve"> within the Appendix, demonstrates the diagnostic process for children under 1</w:t>
      </w:r>
      <w:r w:rsidR="00310C4D" w:rsidRPr="006527A9">
        <w:rPr>
          <w:szCs w:val="20"/>
        </w:rPr>
        <w:t>6</w:t>
      </w:r>
      <w:r w:rsidRPr="006527A9">
        <w:rPr>
          <w:szCs w:val="20"/>
        </w:rPr>
        <w:t xml:space="preserve"> years</w:t>
      </w:r>
      <w:r w:rsidR="008F0447" w:rsidRPr="006527A9">
        <w:rPr>
          <w:szCs w:val="20"/>
        </w:rPr>
        <w:t>, suspected of MD</w:t>
      </w:r>
      <w:bookmarkEnd w:id="7"/>
      <w:r w:rsidRPr="006527A9">
        <w:rPr>
          <w:szCs w:val="20"/>
        </w:rPr>
        <w:t xml:space="preserve">. </w:t>
      </w:r>
    </w:p>
    <w:p w14:paraId="3D1EA957" w14:textId="584BFCF1" w:rsidR="00C82A00" w:rsidRPr="00C82A00" w:rsidRDefault="00C82A00" w:rsidP="00C82A00">
      <w:pPr>
        <w:ind w:left="426"/>
        <w:rPr>
          <w:rFonts w:ascii="Calibri" w:eastAsia="Calibri" w:hAnsi="Calibri" w:cs="Times New Roman"/>
        </w:rPr>
      </w:pPr>
      <w:r w:rsidRPr="00C82A00">
        <w:rPr>
          <w:rFonts w:ascii="Calibri" w:eastAsia="Calibri" w:hAnsi="Calibri" w:cs="Times New Roman"/>
        </w:rPr>
        <w:t>Neonates present acutely and often with immediate admission to a neonatal intensive care unit with variable manifestations including encephalopathy, encephalomyopathy, severe systemic metabolic acidosis, lactic acid</w:t>
      </w:r>
      <w:r w:rsidR="00CC7A82">
        <w:rPr>
          <w:rFonts w:ascii="Calibri" w:eastAsia="Calibri" w:hAnsi="Calibri" w:cs="Times New Roman"/>
        </w:rPr>
        <w:t>a</w:t>
      </w:r>
      <w:r w:rsidRPr="00C82A00">
        <w:rPr>
          <w:rFonts w:ascii="Calibri" w:eastAsia="Calibri" w:hAnsi="Calibri" w:cs="Times New Roman"/>
        </w:rPr>
        <w:t xml:space="preserve">emia, multi-organ failure (liver, renal), hypoglycaemia, cardiomyopathy which may mimic other inborn errors of metabolism, and as such may often be diagnosed without the need for MBS listed WGS testing. Children in their early infancy may also present with sudden deteriorations, a ‘failure to thrive’ and/or motor regression of their developmental milestones.  As children approach their adolescence, less acute and more chronic presentations begin to emerge, with many in their teenage years presenting similarly to an adult MD patient. </w:t>
      </w:r>
    </w:p>
    <w:p w14:paraId="32DD052D" w14:textId="77777777" w:rsidR="006769C7" w:rsidRPr="006769C7" w:rsidRDefault="006769C7" w:rsidP="006769C7">
      <w:pPr>
        <w:ind w:left="426"/>
      </w:pPr>
      <w:r w:rsidRPr="006769C7">
        <w:t xml:space="preserve">Due to the crisis presentation in neonates and earlier childhood, diagnosis of MD is often more swiftly sought, and investigations are extensive in an attempt to rapidly alter the deteriorating health of the child.  As the child ages, presentations become more sub-acute or chronic. Investigations by the consulting paediatric neurologist, clinical geneticist/metabolic geneticist, or paediatrician, become more selective. Often in teenage years, diagnosis is all too frequently delayed as the symptoms become more ill-defined, complex, slowly progressive and ‘adolescent behaviour’ often obscures the presentation. </w:t>
      </w:r>
    </w:p>
    <w:p w14:paraId="641C60DE" w14:textId="77777777" w:rsidR="006769C7" w:rsidRPr="006769C7" w:rsidRDefault="006769C7" w:rsidP="006769C7">
      <w:pPr>
        <w:ind w:left="426"/>
      </w:pPr>
      <w:r w:rsidRPr="006769C7">
        <w:t xml:space="preserve">Whilst general clinical and investigative assessments are easily managed by the patient and their family, the more informative but invasive test of tissue biopsies, in particular muscle, is often ‘balked’ at by the caring physician to avoid what may be perceived as harmful, extensive, costly, and unnecessary procedures. Diagnosis of MD is often then delayed and deferred until adulthood. </w:t>
      </w:r>
    </w:p>
    <w:p w14:paraId="2FBD1677" w14:textId="76339452" w:rsidR="006769C7" w:rsidRDefault="006769C7" w:rsidP="006769C7">
      <w:pPr>
        <w:ind w:left="426"/>
      </w:pPr>
      <w:r w:rsidRPr="006769C7">
        <w:t xml:space="preserve">A ‘strongly suspected’ MD diagnosis is therefore more often actively sought in the younger child, and unless it is phenotypically evident or clinical deterioration necessitates it, a diagnosis is often very late or deferred in an older child or adolescent. </w:t>
      </w:r>
    </w:p>
    <w:p w14:paraId="33CE07C6" w14:textId="54F8AE02" w:rsidR="00CC7A82" w:rsidRPr="006769C7" w:rsidRDefault="00CC7A82" w:rsidP="006769C7">
      <w:pPr>
        <w:ind w:left="426"/>
      </w:pPr>
      <w:r>
        <w:t>A point to note is that, in current diagnostic practices, the clinical presentation and evidence of mitochondrial dysfunction is frequently guided by the Nijmegen scoring criteria</w:t>
      </w:r>
      <w:r w:rsidR="00FD4C67">
        <w:t xml:space="preserve"> (see table 2 in Appendix)</w:t>
      </w:r>
      <w:r w:rsidR="008046A7">
        <w:t>, especially in the paediatric environment</w:t>
      </w:r>
      <w:r>
        <w:t xml:space="preserve">. </w:t>
      </w:r>
      <w:r w:rsidR="008046A7">
        <w:t>However, because it was derived nearly 20 years ago, before the emergence of current NGS technologies, o</w:t>
      </w:r>
      <w:r>
        <w:t>ne of its limitation is that tissue morphology (invasive biopsies) is included in the scoring system, and there are caps on clinical and metabolic/imaging criteria, hence this may preclude some patients from genetic testing if the score is insufficient</w:t>
      </w:r>
      <w:r w:rsidR="008046A7">
        <w:t xml:space="preserve"> (</w:t>
      </w:r>
      <w:r>
        <w:t>i.e., within probable range</w:t>
      </w:r>
      <w:r w:rsidR="008046A7">
        <w:t>)</w:t>
      </w:r>
      <w:r>
        <w:t xml:space="preserve">. In these situations, </w:t>
      </w:r>
      <w:r w:rsidR="008046A7">
        <w:t xml:space="preserve">a </w:t>
      </w:r>
      <w:r w:rsidR="004F36EB">
        <w:t xml:space="preserve">round table discussion with ‘mitochondrial experts’, </w:t>
      </w:r>
      <w:r w:rsidR="008046A7">
        <w:t>may</w:t>
      </w:r>
      <w:r w:rsidR="004F36EB">
        <w:t xml:space="preserve"> best guide the need for WGS. </w:t>
      </w:r>
    </w:p>
    <w:p w14:paraId="0BD628B8" w14:textId="6BD97512" w:rsidR="006769C7" w:rsidRDefault="006769C7" w:rsidP="006527A9">
      <w:pPr>
        <w:ind w:left="426"/>
      </w:pPr>
      <w:r w:rsidRPr="006769C7">
        <w:lastRenderedPageBreak/>
        <w:t xml:space="preserve">For children &lt;10 years with developmental delay, intellectual disability or at least two congenital abnormalities in whom MBS item numbers 73358 and 73359 does apply, confirmatory genetic testing may be an option.  Independent of a genetic variant being discovered, a full physical assessment is still necessary for these children, as it is for a ‘highly suspected’ MD child, to fully determine their clinical phenotype and spectrum of mitochondrial-related features. This is needed in order to monitor symptomatology, optimise management, better understand their prognosis, assess disease progression and the underlying pathogenic relevance.  However, in children without a genetic diagnosis, a muscle biopsy (or other tissue) is often still required </w:t>
      </w:r>
      <w:proofErr w:type="gramStart"/>
      <w:r w:rsidRPr="006769C7">
        <w:t>in order to</w:t>
      </w:r>
      <w:proofErr w:type="gramEnd"/>
      <w:r w:rsidRPr="006769C7">
        <w:t xml:space="preserve"> procure a comprehensive understanding of their ‘mitochondrial involvement’.    </w:t>
      </w:r>
    </w:p>
    <w:p w14:paraId="5BBBC508" w14:textId="73F6CC52" w:rsidR="008F0447" w:rsidRPr="006527A9" w:rsidRDefault="008F0447" w:rsidP="008F0447">
      <w:pPr>
        <w:ind w:left="426"/>
        <w:rPr>
          <w:szCs w:val="20"/>
        </w:rPr>
      </w:pPr>
      <w:r w:rsidRPr="006527A9">
        <w:rPr>
          <w:szCs w:val="20"/>
        </w:rPr>
        <w:t>The current clinical management pathway as depicted by ‘Flow Diagram B’ within the Appendix, demonstrates the diagnostic process for adults (&gt;1</w:t>
      </w:r>
      <w:r w:rsidR="00310C4D" w:rsidRPr="006527A9">
        <w:rPr>
          <w:szCs w:val="20"/>
        </w:rPr>
        <w:t>6</w:t>
      </w:r>
      <w:r w:rsidRPr="006527A9">
        <w:rPr>
          <w:szCs w:val="20"/>
        </w:rPr>
        <w:t xml:space="preserve"> years) suspected of having MD. </w:t>
      </w:r>
    </w:p>
    <w:p w14:paraId="70E78C0E" w14:textId="2222A293" w:rsidR="00C96A41" w:rsidRPr="008F0447" w:rsidRDefault="00836AA0" w:rsidP="00C96A41">
      <w:pPr>
        <w:ind w:left="426"/>
      </w:pPr>
      <w:r>
        <w:t>Similarly,</w:t>
      </w:r>
      <w:r w:rsidR="00C96A41">
        <w:t xml:space="preserve"> to adolescents, adults more often present with less</w:t>
      </w:r>
      <w:r w:rsidR="00C96A41" w:rsidRPr="008F0447">
        <w:t xml:space="preserve"> acute and more chronic</w:t>
      </w:r>
      <w:r w:rsidR="00C96A41">
        <w:t xml:space="preserve"> disease progression.  Again, </w:t>
      </w:r>
      <w:r w:rsidR="00C96A41" w:rsidRPr="008F0447">
        <w:t>diagnosis is all too frequently delayed</w:t>
      </w:r>
      <w:r w:rsidR="00C96A41">
        <w:t xml:space="preserve">, obscured by ill-defined, complex </w:t>
      </w:r>
      <w:r w:rsidR="00C96A41" w:rsidRPr="008F0447">
        <w:t>symptoms</w:t>
      </w:r>
      <w:r w:rsidR="00C96A41">
        <w:t>, which</w:t>
      </w:r>
      <w:r w:rsidR="00C96A41" w:rsidRPr="008F0447">
        <w:t xml:space="preserve"> slowly progress</w:t>
      </w:r>
      <w:r w:rsidR="00C96A41">
        <w:t>,</w:t>
      </w:r>
      <w:r w:rsidR="00C96A41" w:rsidRPr="008F0447">
        <w:t xml:space="preserve"> </w:t>
      </w:r>
      <w:r w:rsidR="00C96A41" w:rsidRPr="005D6EF8">
        <w:t xml:space="preserve">causing years of frustration and </w:t>
      </w:r>
      <w:r w:rsidR="00C96A41">
        <w:t>‘</w:t>
      </w:r>
      <w:r w:rsidR="00C96A41" w:rsidRPr="005D6EF8">
        <w:t>all too frequently</w:t>
      </w:r>
      <w:r w:rsidR="00C96A41">
        <w:t>’</w:t>
      </w:r>
      <w:r w:rsidR="00C96A41" w:rsidRPr="005D6EF8">
        <w:t xml:space="preserve"> psychological disturbances</w:t>
      </w:r>
      <w:r w:rsidR="00C96A41">
        <w:t>, complicated by ‘</w:t>
      </w:r>
      <w:r w:rsidR="00C96A41" w:rsidRPr="008F0447">
        <w:t>behaviour</w:t>
      </w:r>
      <w:r w:rsidR="00C96A41">
        <w:t xml:space="preserve"> of a chronic illness</w:t>
      </w:r>
      <w:r w:rsidR="00C96A41" w:rsidRPr="008F0447">
        <w:t>’</w:t>
      </w:r>
      <w:r w:rsidR="00C96A41">
        <w:t xml:space="preserve">.  More often than not, patients find themselves managed under numerous specialities, and attending multiple clinics for their various system involvement.  It often requires a crisis event, strong clinical acumen or a renewed perspective by a caring physician, a classical phenotype evolving, or an unrelenting frustrated patient seeking an answer, for the suspicion of MD to emerge, and a diagnosis to be sought in an adult.  </w:t>
      </w:r>
    </w:p>
    <w:p w14:paraId="7DF4DD4F" w14:textId="4C780360" w:rsidR="00C96A41" w:rsidRDefault="00C96A41" w:rsidP="00C96A41">
      <w:pPr>
        <w:ind w:left="426"/>
      </w:pPr>
      <w:r>
        <w:t xml:space="preserve">The diagnostic odyssey involves both </w:t>
      </w:r>
      <w:r w:rsidRPr="008F0447">
        <w:t>general clinical and investigative assessments</w:t>
      </w:r>
      <w:r>
        <w:t>, similar to that of children, and are well tolerated b</w:t>
      </w:r>
      <w:r w:rsidRPr="008F0447">
        <w:t xml:space="preserve">y </w:t>
      </w:r>
      <w:r>
        <w:t>a</w:t>
      </w:r>
      <w:r w:rsidRPr="008F0447">
        <w:t xml:space="preserve"> patient</w:t>
      </w:r>
      <w:r>
        <w:t>, simply wishing to understand their symptomatology.  T</w:t>
      </w:r>
      <w:r w:rsidRPr="008F0447">
        <w:t xml:space="preserve">he more informative but invasive test of tissue biopsies, in particular muscle, is often </w:t>
      </w:r>
      <w:r>
        <w:t xml:space="preserve">still delayed </w:t>
      </w:r>
      <w:r w:rsidRPr="008F0447">
        <w:t>by the caring physician</w:t>
      </w:r>
      <w:r>
        <w:t>, in part due to the same reasons of causing</w:t>
      </w:r>
      <w:r w:rsidRPr="008F0447">
        <w:t xml:space="preserve"> harm, </w:t>
      </w:r>
      <w:r>
        <w:t xml:space="preserve">and being </w:t>
      </w:r>
      <w:r w:rsidRPr="008F0447">
        <w:t>ex</w:t>
      </w:r>
      <w:r>
        <w:t>ces</w:t>
      </w:r>
      <w:r w:rsidRPr="008F0447">
        <w:t xml:space="preserve">sive, </w:t>
      </w:r>
      <w:r w:rsidR="00836AA0" w:rsidRPr="008F0447">
        <w:t>costly,</w:t>
      </w:r>
      <w:r w:rsidRPr="008F0447">
        <w:t xml:space="preserve"> and </w:t>
      </w:r>
      <w:r>
        <w:t xml:space="preserve">potentially </w:t>
      </w:r>
      <w:r w:rsidRPr="008F0447">
        <w:t>unnecessary</w:t>
      </w:r>
      <w:r>
        <w:t>, but also in part due to the physician’s awareness that it may exacerbate the patients actual condition</w:t>
      </w:r>
      <w:r w:rsidRPr="008F0447">
        <w:t xml:space="preserve">. </w:t>
      </w:r>
      <w:r>
        <w:t xml:space="preserve"> Hence, a </w:t>
      </w:r>
      <w:r w:rsidRPr="008F0447">
        <w:t xml:space="preserve">‘strongly suspected’ </w:t>
      </w:r>
      <w:r>
        <w:t>d</w:t>
      </w:r>
      <w:r w:rsidRPr="008F0447">
        <w:t>iagnosis</w:t>
      </w:r>
      <w:r>
        <w:t xml:space="preserve">, an evident </w:t>
      </w:r>
      <w:r w:rsidRPr="008F0447">
        <w:t>phenotyp</w:t>
      </w:r>
      <w:r>
        <w:t>e,</w:t>
      </w:r>
      <w:r w:rsidRPr="008F0447">
        <w:t xml:space="preserve"> or a </w:t>
      </w:r>
      <w:r>
        <w:t xml:space="preserve">rapid </w:t>
      </w:r>
      <w:r w:rsidRPr="008F0447">
        <w:t>deterioration</w:t>
      </w:r>
      <w:r>
        <w:t xml:space="preserve">, is sought before a referral is made to a mitochondrial specialist, and allowing appropriate management to commence. </w:t>
      </w:r>
    </w:p>
    <w:p w14:paraId="35DB1304" w14:textId="48D2A72D" w:rsidR="00C96A41" w:rsidRDefault="00C96A41" w:rsidP="00D54508">
      <w:pPr>
        <w:numPr>
          <w:ilvl w:val="1"/>
          <w:numId w:val="25"/>
        </w:numPr>
      </w:pPr>
      <w:r w:rsidRPr="005D6EF8">
        <w:t xml:space="preserve">Unlike children, there is no option currently under the Medicare Benefit Scheduling Scheme, for adults to meet any criteria for genetic testing.  Through restricted availability and access, some patients may have single candidate gene testing dependent upon the approval of the remunerating tertiary hospital </w:t>
      </w:r>
      <w:r w:rsidR="00836AA0" w:rsidRPr="005D6EF8">
        <w:t>service,</w:t>
      </w:r>
      <w:r w:rsidRPr="005D6EF8">
        <w:t xml:space="preserve"> or </w:t>
      </w:r>
      <w:r>
        <w:t xml:space="preserve">it may be </w:t>
      </w:r>
      <w:r w:rsidRPr="005D6EF8">
        <w:t>paid for (out of pocket) by the patient</w:t>
      </w:r>
      <w:r>
        <w:t xml:space="preserve"> themselves</w:t>
      </w:r>
      <w:r w:rsidRPr="005D6EF8">
        <w:t xml:space="preserve">. </w:t>
      </w:r>
    </w:p>
    <w:p w14:paraId="5ABCEAEB" w14:textId="5735C434" w:rsidR="006769C7" w:rsidRPr="006F370D" w:rsidRDefault="006769C7" w:rsidP="006769C7">
      <w:pPr>
        <w:numPr>
          <w:ilvl w:val="1"/>
          <w:numId w:val="25"/>
        </w:numPr>
      </w:pPr>
      <w:r w:rsidRPr="005C5C30">
        <w:t xml:space="preserve">With WGS, both </w:t>
      </w:r>
      <w:proofErr w:type="spellStart"/>
      <w:r w:rsidRPr="005C5C30">
        <w:t>nDNA</w:t>
      </w:r>
      <w:proofErr w:type="spellEnd"/>
      <w:r w:rsidRPr="005C5C30">
        <w:t xml:space="preserve"> and </w:t>
      </w:r>
      <w:proofErr w:type="spellStart"/>
      <w:r w:rsidRPr="005C5C30">
        <w:t>mtDNA</w:t>
      </w:r>
      <w:proofErr w:type="spellEnd"/>
      <w:r w:rsidRPr="005C5C30">
        <w:t xml:space="preserve"> </w:t>
      </w:r>
      <w:r w:rsidR="005007E0">
        <w:t>variant</w:t>
      </w:r>
      <w:r>
        <w:t>s</w:t>
      </w:r>
      <w:r w:rsidRPr="005C5C30">
        <w:t xml:space="preserve"> would be identified. Given the specific characteristics of heteroplasmy and variable tissue specific thresholds, causative mtDNA </w:t>
      </w:r>
      <w:r w:rsidR="005007E0">
        <w:t>variants may on occasion be</w:t>
      </w:r>
      <w:r w:rsidRPr="005C5C30">
        <w:t xml:space="preserve"> undetectable in the blood of patients with MD. Should WGS fail to identify a causative </w:t>
      </w:r>
      <w:proofErr w:type="spellStart"/>
      <w:r w:rsidRPr="005C5C30">
        <w:t>nDNA</w:t>
      </w:r>
      <w:proofErr w:type="spellEnd"/>
      <w:r w:rsidRPr="005C5C30">
        <w:t xml:space="preserve"> or </w:t>
      </w:r>
      <w:proofErr w:type="spellStart"/>
      <w:r w:rsidRPr="005C5C30">
        <w:t>mtDNA</w:t>
      </w:r>
      <w:proofErr w:type="spellEnd"/>
      <w:r w:rsidRPr="005C5C30">
        <w:t xml:space="preserve"> </w:t>
      </w:r>
      <w:r w:rsidR="005007E0">
        <w:t>variant</w:t>
      </w:r>
      <w:r w:rsidRPr="005C5C30">
        <w:t>, the</w:t>
      </w:r>
      <w:r>
        <w:t>n</w:t>
      </w:r>
      <w:r w:rsidRPr="005C5C30">
        <w:t xml:space="preserve"> further genetic testing such as long-range PCR in </w:t>
      </w:r>
      <w:r>
        <w:t xml:space="preserve">samples </w:t>
      </w:r>
      <w:r w:rsidRPr="005C5C30">
        <w:t>such as saliva, urinary epithelial cells, or muscle tissue, may still be required</w:t>
      </w:r>
      <w:r w:rsidR="005007E0">
        <w:t>, but only</w:t>
      </w:r>
      <w:r w:rsidRPr="005C5C30">
        <w:t xml:space="preserve"> in cases with high indexes of clinical suspicion of MD, </w:t>
      </w:r>
      <w:r w:rsidRPr="006F370D">
        <w:t xml:space="preserve">i.e., undiagnosed patients with CPEO </w:t>
      </w:r>
      <w:r w:rsidR="005007E0">
        <w:t xml:space="preserve">(chronic progressive external ophthalmoplegia) </w:t>
      </w:r>
      <w:r w:rsidRPr="006F370D">
        <w:t xml:space="preserve">who were suspected as having single mtDNA </w:t>
      </w:r>
      <w:r w:rsidR="005007E0">
        <w:t>delet</w:t>
      </w:r>
      <w:r>
        <w:t>ion</w:t>
      </w:r>
      <w:r w:rsidRPr="006F370D">
        <w:t xml:space="preserve"> may need a needle muscle biopsy and a long-range PCR.</w:t>
      </w:r>
    </w:p>
    <w:p w14:paraId="251C9478" w14:textId="2856781E" w:rsidR="005007E0" w:rsidRDefault="006769C7" w:rsidP="006527A9">
      <w:pPr>
        <w:ind w:left="426"/>
      </w:pPr>
      <w:r w:rsidRPr="006F370D">
        <w:t xml:space="preserve">Rarely, biochemical tests performed on the muscle biopsy in undiagnosed cases may be required in suspected cases.  </w:t>
      </w:r>
      <w:r w:rsidR="005007E0">
        <w:t>We believe, t</w:t>
      </w:r>
      <w:r>
        <w:t>he complex c</w:t>
      </w:r>
      <w:r w:rsidRPr="006F370D">
        <w:t>ost</w:t>
      </w:r>
      <w:r>
        <w:t xml:space="preserve">ing for which has been calculated in previous MSAC submissions </w:t>
      </w:r>
      <w:r w:rsidR="005007E0">
        <w:t xml:space="preserve">(e.g., MSAC application 1585) </w:t>
      </w:r>
      <w:r>
        <w:t>also involving the examination of muscle biopsies</w:t>
      </w:r>
      <w:r w:rsidR="005007E0">
        <w:t>.</w:t>
      </w:r>
    </w:p>
    <w:p w14:paraId="2C4506D1" w14:textId="77777777" w:rsidR="005007E0" w:rsidRDefault="005007E0" w:rsidP="00DB3CFB">
      <w:pPr>
        <w:pStyle w:val="Subtitle"/>
        <w:ind w:left="0"/>
      </w:pPr>
    </w:p>
    <w:p w14:paraId="508D57CD" w14:textId="5478759E" w:rsidR="002A50FD" w:rsidRPr="00881F93" w:rsidRDefault="005C3AE7" w:rsidP="00DB3CFB">
      <w:pPr>
        <w:pStyle w:val="Subtitle"/>
        <w:ind w:left="0"/>
      </w:pPr>
      <w:r>
        <w:t xml:space="preserve">PART 6b – </w:t>
      </w:r>
      <w:r w:rsidR="002A50FD" w:rsidRPr="00881F93">
        <w:t>INFORMATION ABOUT THE INTERVENTION</w:t>
      </w:r>
    </w:p>
    <w:p w14:paraId="22EC805E" w14:textId="2629053A" w:rsidR="00563016" w:rsidRDefault="002A6753" w:rsidP="006527A9">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3E306CC8" w14:textId="77777777" w:rsidR="00BD4888" w:rsidRPr="00BD4888" w:rsidRDefault="00BD4888" w:rsidP="006527A9">
      <w:pPr>
        <w:ind w:left="360"/>
        <w:rPr>
          <w:szCs w:val="20"/>
        </w:rPr>
      </w:pPr>
      <w:r w:rsidRPr="00BD4888">
        <w:rPr>
          <w:szCs w:val="20"/>
        </w:rPr>
        <w:t>Once MD is suspected after a thorough analysis of the clinical and investigatory indicators by the diagnosing neurologist (or other MD diagnostic specialist), a recommendation and request for WGS (as the proposed test) would be made. The patient would then require genetic counselling to provide informed consent to undergo WGS.</w:t>
      </w:r>
    </w:p>
    <w:p w14:paraId="62CA0055" w14:textId="2A1B077E" w:rsidR="00BD4888" w:rsidRPr="00BD4888" w:rsidRDefault="00BD4888" w:rsidP="006527A9">
      <w:pPr>
        <w:ind w:left="360"/>
        <w:rPr>
          <w:szCs w:val="20"/>
        </w:rPr>
      </w:pPr>
      <w:r w:rsidRPr="00BD4888">
        <w:rPr>
          <w:szCs w:val="20"/>
        </w:rPr>
        <w:t xml:space="preserve">The WGS data would undergo detailed bioinformatic analysis, with variant calling in a curated list of </w:t>
      </w:r>
      <w:r w:rsidR="00DB7323">
        <w:rPr>
          <w:szCs w:val="20"/>
        </w:rPr>
        <w:t xml:space="preserve">more than 350, </w:t>
      </w:r>
      <w:r w:rsidRPr="00BD4888">
        <w:rPr>
          <w:szCs w:val="20"/>
        </w:rPr>
        <w:t xml:space="preserve">known to be associated with MD and the phenotype under investigation.  This reference gene </w:t>
      </w:r>
      <w:r w:rsidRPr="00BD4888">
        <w:rPr>
          <w:szCs w:val="20"/>
        </w:rPr>
        <w:lastRenderedPageBreak/>
        <w:t>list will be developed in consultation with the NATA accredited genetic service and the referring MD experts, neurologists, clinical geneticists, metabolic physicians, and genetic pathologists. Such lists already exist and guide practise within current genetic services that provide candidate gene testing. The “</w:t>
      </w:r>
      <w:proofErr w:type="spellStart"/>
      <w:r w:rsidRPr="00BD4888">
        <w:rPr>
          <w:szCs w:val="20"/>
        </w:rPr>
        <w:t>PanelApp</w:t>
      </w:r>
      <w:proofErr w:type="spellEnd"/>
      <w:r w:rsidRPr="00BD4888">
        <w:rPr>
          <w:szCs w:val="20"/>
        </w:rPr>
        <w:t xml:space="preserve"> Australia” is used in Australia, available at </w:t>
      </w:r>
      <w:hyperlink r:id="rId42" w:history="1">
        <w:r w:rsidRPr="00BD4888">
          <w:rPr>
            <w:rStyle w:val="Hyperlink"/>
            <w:szCs w:val="20"/>
          </w:rPr>
          <w:t>https://panelapp.agha.umccr.org/</w:t>
        </w:r>
      </w:hyperlink>
      <w:r w:rsidRPr="00BD4888">
        <w:rPr>
          <w:szCs w:val="20"/>
        </w:rPr>
        <w:t>, that includes 277 genetic variants for MD.    However, the mitochondrial panel available at “</w:t>
      </w:r>
      <w:proofErr w:type="spellStart"/>
      <w:r w:rsidRPr="00BD4888">
        <w:rPr>
          <w:szCs w:val="20"/>
        </w:rPr>
        <w:t>PanelApp</w:t>
      </w:r>
      <w:proofErr w:type="spellEnd"/>
      <w:r w:rsidRPr="00BD4888">
        <w:rPr>
          <w:szCs w:val="20"/>
        </w:rPr>
        <w:t xml:space="preserve"> UK”, is more comprehensive and includes over 400 mitochondrial genetic variants, and would be referred to in any re-analysis. </w:t>
      </w:r>
    </w:p>
    <w:p w14:paraId="7A7BA83F" w14:textId="77777777" w:rsidR="00BD4888" w:rsidRPr="00BD4888" w:rsidRDefault="00BD4888" w:rsidP="006527A9">
      <w:pPr>
        <w:ind w:left="360"/>
        <w:rPr>
          <w:szCs w:val="20"/>
        </w:rPr>
      </w:pPr>
      <w:r w:rsidRPr="00BD4888">
        <w:rPr>
          <w:szCs w:val="20"/>
        </w:rPr>
        <w:t xml:space="preserve">The proposed MBS item number for WGS would NOT replace any currently available item numbers for candidate gene testing, but would instead be ‘in addition to’.  However, its application would negate the need for the majority of muscle (or other tissue) biopsies, their analysis, and all costs incurred for these procedures.  A definitive diagnosis of MD would be achieved earlier by a WGS test, avoiding numerous future, repeated investigations, and potentially harmful unnecessary treatments.  </w:t>
      </w:r>
    </w:p>
    <w:p w14:paraId="791695A9" w14:textId="1CC11E33" w:rsidR="002C09F8" w:rsidRPr="00154B00" w:rsidRDefault="00BD4888" w:rsidP="006527A9">
      <w:pPr>
        <w:ind w:left="360"/>
        <w:rPr>
          <w:szCs w:val="20"/>
        </w:rPr>
      </w:pPr>
      <w:r w:rsidRPr="00BD4888">
        <w:rPr>
          <w:szCs w:val="20"/>
        </w:rPr>
        <w:t xml:space="preserve">In the event of a nondiagnostic or negative WGS/WES result, the need for further investigations (if any) depends on the phenotype or presentation of the patient. The one example being phenotypically evident CPEO, </w:t>
      </w:r>
      <w:r w:rsidR="00DB7323">
        <w:rPr>
          <w:szCs w:val="20"/>
        </w:rPr>
        <w:t xml:space="preserve">as mentioned in Q26, </w:t>
      </w:r>
      <w:r w:rsidRPr="00BD4888">
        <w:rPr>
          <w:szCs w:val="20"/>
        </w:rPr>
        <w:t>which may be due to a single mtDNA deletion, sometimes not detected on WGS/WES</w:t>
      </w:r>
      <w:r w:rsidR="00DB7323">
        <w:rPr>
          <w:szCs w:val="20"/>
        </w:rPr>
        <w:t xml:space="preserve">. </w:t>
      </w:r>
      <w:r w:rsidRPr="00BD4888">
        <w:rPr>
          <w:szCs w:val="20"/>
        </w:rPr>
        <w:t>If still a high level of suspicion remains for MD, then a muscle (or other tissue) biopsy may still be warranted, otherwise regular follow up and review to monitor for changes or disease progression would be recommended.</w:t>
      </w:r>
    </w:p>
    <w:p w14:paraId="2F3E24FB" w14:textId="77777777" w:rsidR="002A6753" w:rsidRPr="00154B00" w:rsidRDefault="002A6753" w:rsidP="00707F83">
      <w:pPr>
        <w:pStyle w:val="Heading2"/>
        <w:spacing w:before="200"/>
        <w:ind w:left="357" w:hanging="357"/>
        <w:contextualSpacing w:val="0"/>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7E1D7909" w14:textId="32D0E233" w:rsidR="002A6753" w:rsidRPr="00154B00" w:rsidRDefault="00633F46" w:rsidP="00E357B9">
      <w:pPr>
        <w:ind w:left="426"/>
        <w:rPr>
          <w:szCs w:val="20"/>
        </w:rPr>
      </w:pPr>
      <w:r>
        <w:t>No.</w:t>
      </w:r>
    </w:p>
    <w:p w14:paraId="4BB955E4" w14:textId="77777777" w:rsidR="00C22AD8" w:rsidRPr="00154B00" w:rsidRDefault="00C22AD8" w:rsidP="00707F83">
      <w:pPr>
        <w:pStyle w:val="Heading2"/>
        <w:spacing w:before="200"/>
        <w:ind w:left="357" w:hanging="357"/>
        <w:contextualSpacing w:val="0"/>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2020DCFA" w14:textId="076C160F" w:rsidR="00DF0C51" w:rsidRDefault="00633F46" w:rsidP="00E357B9">
      <w:pPr>
        <w:ind w:left="426"/>
        <w:rPr>
          <w:b/>
          <w:szCs w:val="20"/>
        </w:rPr>
      </w:pPr>
      <w:r>
        <w:t>Not applicable</w:t>
      </w:r>
    </w:p>
    <w:p w14:paraId="27CA31CC" w14:textId="77777777" w:rsidR="006B1B49" w:rsidRPr="00E357B9" w:rsidRDefault="006B1B49" w:rsidP="00707F83">
      <w:pPr>
        <w:pStyle w:val="Heading2"/>
        <w:spacing w:before="200"/>
        <w:ind w:left="357" w:hanging="357"/>
        <w:contextualSpacing w:val="0"/>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xml:space="preserve">, quantity, </w:t>
      </w:r>
      <w:proofErr w:type="gramStart"/>
      <w:r w:rsidR="00DF0C51">
        <w:t>duration</w:t>
      </w:r>
      <w:proofErr w:type="gramEnd"/>
      <w:r w:rsidR="00DF0C51">
        <w:t xml:space="preserve"> or frequency</w:t>
      </w:r>
      <w:r w:rsidR="00D30BDC">
        <w:t>)</w:t>
      </w:r>
      <w:r w:rsidR="00AE1188">
        <w:t>:</w:t>
      </w:r>
    </w:p>
    <w:p w14:paraId="7B93DDBF" w14:textId="0F231194" w:rsidR="00DB7323" w:rsidRDefault="00DB7323" w:rsidP="00DB7323">
      <w:pPr>
        <w:ind w:left="360"/>
      </w:pPr>
      <w:r>
        <w:t xml:space="preserve">Currently there are only a few Australian diagnostic laboratories that offer </w:t>
      </w:r>
      <w:r w:rsidR="00854D13">
        <w:t xml:space="preserve">WGS </w:t>
      </w:r>
      <w:r>
        <w:t xml:space="preserve">diagnostic genetic testing. Victorian Clinical Genetics Services is the main service provider in Australia. It is expected that other state level diagnostic laboratories (such as </w:t>
      </w:r>
      <w:r w:rsidR="00B41653">
        <w:t xml:space="preserve">SEALS - </w:t>
      </w:r>
      <w:r>
        <w:t>NSW Pathology) will become accredited to deliver equivalent services in the near future (i.e., 2021).</w:t>
      </w:r>
    </w:p>
    <w:p w14:paraId="72AED208" w14:textId="77777777" w:rsidR="00DB7323" w:rsidRDefault="00DB7323" w:rsidP="00DB7323">
      <w:pPr>
        <w:ind w:left="360"/>
      </w:pPr>
      <w:r>
        <w:t xml:space="preserve">The WGS sample is agnostic to tissue chosen, and generally blood is preferred due to it convenience, </w:t>
      </w:r>
      <w:proofErr w:type="gramStart"/>
      <w:r>
        <w:t>accessibility</w:t>
      </w:r>
      <w:proofErr w:type="gramEnd"/>
      <w:r>
        <w:t xml:space="preserve"> and transportability. However, due to issues of heteroplasmy, other samples such as saliva or urinary epithelial cells would be used to detect mtDNA mutations.</w:t>
      </w:r>
    </w:p>
    <w:p w14:paraId="12E523D2" w14:textId="0227AC9C" w:rsidR="00CC09D7" w:rsidRPr="00F8372B" w:rsidRDefault="00DB7323" w:rsidP="00183E60">
      <w:pPr>
        <w:ind w:left="360"/>
      </w:pPr>
      <w:r>
        <w:t>The WGS test would only need to be performed once in the patient’s life, and the data permanently recorded for later analysis if and when required.   As new disease genes or variants are discovered the gene lists will be expanded, allowing subsequent re-analysis of the initial WGS data.  Ideally, provision to permit re-analysis of the WGS data at future dates when clinically indicated should be made.</w:t>
      </w:r>
    </w:p>
    <w:p w14:paraId="29960580" w14:textId="72F51005" w:rsidR="00791C8D" w:rsidRDefault="00791C8D" w:rsidP="00707F83">
      <w:pPr>
        <w:pStyle w:val="Heading2"/>
        <w:spacing w:before="200"/>
        <w:ind w:left="357" w:hanging="357"/>
        <w:contextualSpacing w:val="0"/>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5A322C87" w14:textId="70334F5A" w:rsidR="009F640D" w:rsidRDefault="006F27E5" w:rsidP="00884E69">
      <w:pPr>
        <w:ind w:left="426"/>
      </w:pPr>
      <w:r>
        <w:t xml:space="preserve">The volume of access to the relevant healthcare resources and medical services is partaken within the processes of the diagnostic workup, moving towards, and thereby </w:t>
      </w:r>
      <w:r w:rsidR="00C75501" w:rsidRPr="00C75501">
        <w:rPr>
          <w:b/>
          <w:bCs/>
          <w:u w:val="single"/>
        </w:rPr>
        <w:t>before</w:t>
      </w:r>
      <w:r w:rsidR="00C75501">
        <w:t xml:space="preserve"> WGS, </w:t>
      </w:r>
      <w:r>
        <w:t xml:space="preserve">justifying the </w:t>
      </w:r>
      <w:r w:rsidR="0009532B">
        <w:t>need for</w:t>
      </w:r>
      <w:r>
        <w:t xml:space="preserve"> </w:t>
      </w:r>
      <w:r w:rsidR="00C75501">
        <w:t>this service and</w:t>
      </w:r>
      <w:r w:rsidR="009F640D">
        <w:t xml:space="preserve"> maximising diagnostic yield</w:t>
      </w:r>
      <w:r>
        <w:t>.  As mentioned</w:t>
      </w:r>
      <w:r w:rsidR="009F640D">
        <w:t xml:space="preserve"> earlier</w:t>
      </w:r>
      <w:r>
        <w:t xml:space="preserve"> in Q25, </w:t>
      </w:r>
      <w:r w:rsidR="009F640D">
        <w:t xml:space="preserve">mitochondrial disease </w:t>
      </w:r>
      <w:r w:rsidRPr="006F27E5">
        <w:t>diagnosis</w:t>
      </w:r>
      <w:r w:rsidR="009F640D">
        <w:t xml:space="preserve"> </w:t>
      </w:r>
      <w:r>
        <w:t xml:space="preserve">has been </w:t>
      </w:r>
      <w:r w:rsidRPr="006F27E5">
        <w:t>as much a ‘</w:t>
      </w:r>
      <w:r w:rsidRPr="006F27E5">
        <w:rPr>
          <w:b/>
          <w:bCs/>
          <w:i/>
          <w:iCs/>
        </w:rPr>
        <w:t>diagnosis of exclusion</w:t>
      </w:r>
      <w:r w:rsidRPr="006F27E5">
        <w:t>’ as of ‘inclusion’</w:t>
      </w:r>
      <w:r>
        <w:t xml:space="preserve">, reliant upon </w:t>
      </w:r>
      <w:r w:rsidRPr="006F27E5">
        <w:t xml:space="preserve">the </w:t>
      </w:r>
      <w:r>
        <w:t xml:space="preserve">combination of </w:t>
      </w:r>
      <w:r w:rsidRPr="006F27E5">
        <w:t>clinical and investigative indicators</w:t>
      </w:r>
      <w:r w:rsidR="009F640D">
        <w:t xml:space="preserve">, with the </w:t>
      </w:r>
      <w:r w:rsidRPr="006F27E5">
        <w:t>exclu</w:t>
      </w:r>
      <w:r w:rsidR="009F640D">
        <w:t xml:space="preserve">sion of mimickers, before </w:t>
      </w:r>
      <w:r w:rsidRPr="006F27E5">
        <w:t xml:space="preserve">seeking support from </w:t>
      </w:r>
      <w:r w:rsidR="009F640D">
        <w:t>tissue sample analysis. The proposed service</w:t>
      </w:r>
      <w:r w:rsidR="003F621E">
        <w:t xml:space="preserve"> simply</w:t>
      </w:r>
      <w:r w:rsidR="009F640D">
        <w:t xml:space="preserve"> </w:t>
      </w:r>
      <w:r w:rsidR="0009532B">
        <w:t>replaces the possibility of tissue analysis evidence, with more sensitive</w:t>
      </w:r>
      <w:r w:rsidR="003F621E">
        <w:t xml:space="preserve"> and definitive</w:t>
      </w:r>
      <w:r w:rsidR="0009532B">
        <w:t xml:space="preserve"> diagnostic WGS.  </w:t>
      </w:r>
    </w:p>
    <w:p w14:paraId="264E5C4F" w14:textId="77777777" w:rsidR="00707F83" w:rsidRDefault="00707F83">
      <w:pPr>
        <w:spacing w:before="0" w:after="200" w:line="276" w:lineRule="auto"/>
      </w:pPr>
      <w:r>
        <w:br w:type="page"/>
      </w:r>
    </w:p>
    <w:p w14:paraId="6E4B5BB5" w14:textId="7ADDB3F9" w:rsidR="00C75501" w:rsidRDefault="00C75501" w:rsidP="006527A9">
      <w:pPr>
        <w:ind w:left="426"/>
      </w:pPr>
      <w:r>
        <w:lastRenderedPageBreak/>
        <w:t xml:space="preserve">Genetic counselling, to support patients undergoing diagnostic genetic testing for MD, is required prior to WGS, and best undertaken by the caring physician with mitochondrial experience. An appropriately qualified laboratory geneticist/bioinformatician would be responsible for overseeing the WGS in the laboratory and providing the clinical report that would include interpretation of the results. Specialist /expert consultation for delivery of genetic results after the test results became available, would also be needed. </w:t>
      </w:r>
    </w:p>
    <w:p w14:paraId="217E7106" w14:textId="77777777" w:rsidR="00183E60" w:rsidRDefault="00183E60">
      <w:pPr>
        <w:spacing w:before="0" w:after="200" w:line="276" w:lineRule="auto"/>
        <w:rPr>
          <w:b/>
          <w:szCs w:val="20"/>
        </w:rPr>
      </w:pPr>
      <w:r>
        <w:br w:type="page"/>
      </w:r>
    </w:p>
    <w:p w14:paraId="7B5DD73D" w14:textId="47159192" w:rsidR="00B17E26" w:rsidRPr="00154B00" w:rsidRDefault="00B17E26" w:rsidP="00530204">
      <w:pPr>
        <w:pStyle w:val="Heading2"/>
      </w:pPr>
      <w:r w:rsidRPr="00154B00">
        <w:lastRenderedPageBreak/>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01D31D1E" w14:textId="633B3B58" w:rsidR="003F7255" w:rsidRPr="00154B00" w:rsidRDefault="003F7255" w:rsidP="003F7255">
      <w:pPr>
        <w:ind w:left="426"/>
        <w:rPr>
          <w:szCs w:val="20"/>
        </w:rPr>
      </w:pPr>
      <w:r>
        <w:t xml:space="preserve">Experts in MD, including neurologists (adult and paediatric), metabolic physicians, ophthalmologists and clinical/metabolic geneticists would all have the potential to request the proposed service, and to organise or offer appropriate genetic counselling in the process of ensuring an informed consent has occurred. Pathology service staff would be integral in the collection, processing, transporting and storage of the WGS samples taken.  </w:t>
      </w:r>
    </w:p>
    <w:p w14:paraId="472ED865"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6B306C5C" w14:textId="66CC16C9" w:rsidR="00B17E26" w:rsidRPr="00154B00" w:rsidRDefault="00F2095F" w:rsidP="00884E69">
      <w:pPr>
        <w:ind w:left="426"/>
        <w:rPr>
          <w:szCs w:val="20"/>
        </w:rPr>
      </w:pPr>
      <w:r>
        <w:t>Not applicable</w:t>
      </w:r>
    </w:p>
    <w:p w14:paraId="3BBA052D" w14:textId="1EB0A60E"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r w:rsidR="00F2095F">
        <w:t xml:space="preserve"> </w:t>
      </w:r>
    </w:p>
    <w:p w14:paraId="2F57A40D" w14:textId="77777777" w:rsidR="003F7255" w:rsidRDefault="003F7255" w:rsidP="005E0745">
      <w:pPr>
        <w:pStyle w:val="Heading2"/>
        <w:numPr>
          <w:ilvl w:val="0"/>
          <w:numId w:val="0"/>
        </w:numPr>
        <w:ind w:left="360"/>
        <w:rPr>
          <w:b w:val="0"/>
          <w:bCs/>
        </w:rPr>
      </w:pPr>
    </w:p>
    <w:p w14:paraId="4C98B048" w14:textId="2726AE90" w:rsidR="00F2095F" w:rsidRPr="00F2095F" w:rsidRDefault="003F7255" w:rsidP="005E0745">
      <w:pPr>
        <w:pStyle w:val="Heading2"/>
        <w:numPr>
          <w:ilvl w:val="0"/>
          <w:numId w:val="0"/>
        </w:numPr>
        <w:ind w:left="360"/>
        <w:rPr>
          <w:b w:val="0"/>
          <w:bCs/>
        </w:rPr>
      </w:pPr>
      <w:r w:rsidRPr="003F7255">
        <w:rPr>
          <w:b w:val="0"/>
          <w:bCs/>
        </w:rPr>
        <w:t>Mitochondrial disease experts’, including neurologists (adult and paediatric), metabolic physicians, ophthalmologists and clinical/metabolic geneticists who have experience in the care of MD patients would be able to request the WGS test.</w:t>
      </w:r>
      <w:r w:rsidR="00F2095F" w:rsidRPr="00F2095F">
        <w:rPr>
          <w:b w:val="0"/>
          <w:bCs/>
        </w:rPr>
        <w:br/>
      </w:r>
    </w:p>
    <w:p w14:paraId="4DC67C06" w14:textId="367AC44E"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w:t>
      </w:r>
      <w:r w:rsidR="0014736E" w:rsidRPr="002209F5">
        <w:t>perform</w:t>
      </w:r>
      <w:r w:rsidR="0014736E" w:rsidRPr="00154B00">
        <w:t xml:space="preserve"> </w:t>
      </w:r>
      <w:r w:rsidRPr="00154B00">
        <w:t xml:space="preserve">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r w:rsidR="00F2095F">
        <w:t xml:space="preserve"> </w:t>
      </w:r>
    </w:p>
    <w:p w14:paraId="1B6C16B2" w14:textId="77777777" w:rsidR="003F7255" w:rsidRPr="00154B00" w:rsidRDefault="003F7255" w:rsidP="003F7255">
      <w:pPr>
        <w:ind w:left="426"/>
        <w:rPr>
          <w:szCs w:val="20"/>
        </w:rPr>
      </w:pPr>
      <w:r>
        <w:t xml:space="preserve">Only NATA approved pathology laboratories would be able to perform WGS for MD diagnostic testing. Neurologists, metabolic physicians, </w:t>
      </w:r>
      <w:r w:rsidRPr="00532274">
        <w:t>ophthalmologists</w:t>
      </w:r>
      <w:r>
        <w:t xml:space="preserve"> and clinical/metabolic geneticists with clinical expertise and experience in MD care would be able to access the test results. Depending on the clinician’s subgroup or specialty,  accreditation by their relevant college (e.g., RACP, RACPA, HGSA) would be required.</w:t>
      </w:r>
    </w:p>
    <w:p w14:paraId="1AFD8A50"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0BAFF010" w14:textId="77777777" w:rsidR="000A478F" w:rsidRDefault="00B44092"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0A478F">
        <w:rPr>
          <w:szCs w:val="20"/>
        </w:rPr>
        <w:t xml:space="preserve"> </w:t>
      </w:r>
      <w:r w:rsidR="000A478F">
        <w:t>Inpatient private hospital</w:t>
      </w:r>
      <w:r w:rsidR="0079354C">
        <w:t xml:space="preserve"> (admitted patient)</w:t>
      </w:r>
    </w:p>
    <w:p w14:paraId="779956D9" w14:textId="77777777" w:rsidR="000A478F" w:rsidRDefault="00B44092"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0A478F">
        <w:rPr>
          <w:szCs w:val="20"/>
        </w:rPr>
        <w:t xml:space="preserve"> </w:t>
      </w:r>
      <w:r w:rsidR="000A478F">
        <w:t>Inpatient public hospital</w:t>
      </w:r>
      <w:r w:rsidR="0079354C">
        <w:t xml:space="preserve"> (admitted patient)</w:t>
      </w:r>
    </w:p>
    <w:p w14:paraId="50A5B625" w14:textId="77777777" w:rsidR="000A478F" w:rsidRDefault="00B44092"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0A478F">
        <w:rPr>
          <w:szCs w:val="20"/>
        </w:rPr>
        <w:t xml:space="preserve"> </w:t>
      </w:r>
      <w:r w:rsidR="003904AC">
        <w:rPr>
          <w:szCs w:val="20"/>
        </w:rPr>
        <w:t>Private o</w:t>
      </w:r>
      <w:r w:rsidR="000A478F">
        <w:t>utpatient clinic</w:t>
      </w:r>
    </w:p>
    <w:p w14:paraId="00499844" w14:textId="77777777" w:rsidR="0079354C" w:rsidRDefault="00B44092"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79354C">
        <w:rPr>
          <w:szCs w:val="20"/>
        </w:rPr>
        <w:t xml:space="preserve"> Public outpatient clinic</w:t>
      </w:r>
    </w:p>
    <w:p w14:paraId="22630E9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t>Emergency Department</w:t>
      </w:r>
    </w:p>
    <w:p w14:paraId="4D3499CB"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75FCD32A" w14:textId="77777777" w:rsidR="0079354C" w:rsidRDefault="00B44092"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79354C">
        <w:rPr>
          <w:szCs w:val="20"/>
        </w:rPr>
        <w:t xml:space="preserve"> Private consulting rooms – specialist</w:t>
      </w:r>
    </w:p>
    <w:p w14:paraId="7F3DEAF7"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Private consulting rooms – other health practitioner (nurse or allied health)</w:t>
      </w:r>
    </w:p>
    <w:p w14:paraId="056BF78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rsidR="0079354C">
        <w:rPr>
          <w:szCs w:val="20"/>
        </w:rPr>
        <w:t>Private d</w:t>
      </w:r>
      <w:r>
        <w:t>ay surgery c</w:t>
      </w:r>
      <w:r w:rsidR="0079354C">
        <w:t>linic (admitted patient)</w:t>
      </w:r>
    </w:p>
    <w:p w14:paraId="1A048C67"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Private day surgery clinic (non-admitted patient)</w:t>
      </w:r>
    </w:p>
    <w:p w14:paraId="3B8B1D64"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Public day surgery clinic (admitted patient)</w:t>
      </w:r>
    </w:p>
    <w:p w14:paraId="62F3543A"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Public day surgery clinic (non-admitted patient)</w:t>
      </w:r>
    </w:p>
    <w:p w14:paraId="2BF3192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t>Residential aged care facility</w:t>
      </w:r>
    </w:p>
    <w:p w14:paraId="2819A09A"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t>Patient’s home</w:t>
      </w:r>
    </w:p>
    <w:p w14:paraId="7A32F1D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t>Laboratory</w:t>
      </w:r>
    </w:p>
    <w:p w14:paraId="0F7479EF"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913B21">
        <w:rPr>
          <w:szCs w:val="20"/>
        </w:rPr>
      </w:r>
      <w:r w:rsidR="00913B21">
        <w:rPr>
          <w:szCs w:val="20"/>
        </w:rPr>
        <w:fldChar w:fldCharType="separate"/>
      </w:r>
      <w:r w:rsidRPr="000A5B32">
        <w:rPr>
          <w:szCs w:val="20"/>
        </w:rPr>
        <w:fldChar w:fldCharType="end"/>
      </w:r>
      <w:r>
        <w:rPr>
          <w:szCs w:val="20"/>
        </w:rPr>
        <w:t xml:space="preserve"> </w:t>
      </w:r>
      <w:r>
        <w:t>Other – please specify below</w:t>
      </w:r>
    </w:p>
    <w:p w14:paraId="166E8CC5" w14:textId="77777777" w:rsidR="003433D1" w:rsidRPr="005C3AE7" w:rsidRDefault="00E048ED" w:rsidP="00D54508">
      <w:pPr>
        <w:pStyle w:val="ListParagraph"/>
        <w:numPr>
          <w:ilvl w:val="0"/>
          <w:numId w:val="7"/>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16856C07" w14:textId="5BC09BAB" w:rsidR="00F2095F" w:rsidRDefault="00F2095F" w:rsidP="0052728D">
      <w:pPr>
        <w:ind w:left="360"/>
      </w:pPr>
      <w:r>
        <w:t xml:space="preserve">Inpatient private hospital – while this setting would not account for delivery of WGS for many of the patient population suggested, there is the possibility that patients may be seen in this setting, for example patients undergoing elective surgery with adverse reactions to anaesthetic in private hospitals. </w:t>
      </w:r>
    </w:p>
    <w:p w14:paraId="178E1533" w14:textId="0554798B" w:rsidR="00F2095F" w:rsidRDefault="00F2095F" w:rsidP="0052728D">
      <w:pPr>
        <w:ind w:left="360"/>
      </w:pPr>
      <w:r>
        <w:t xml:space="preserve">Inpatient public hospital – these patients may </w:t>
      </w:r>
      <w:r w:rsidR="0052728D">
        <w:t>be admitted</w:t>
      </w:r>
      <w:r>
        <w:t xml:space="preserve"> to the hospital with </w:t>
      </w:r>
      <w:r w:rsidR="00320551">
        <w:t xml:space="preserve">acute or </w:t>
      </w:r>
      <w:r>
        <w:t xml:space="preserve">complex medical </w:t>
      </w:r>
      <w:r w:rsidR="0052728D">
        <w:t>presentations</w:t>
      </w:r>
      <w:r>
        <w:t xml:space="preserve"> requiring </w:t>
      </w:r>
      <w:r w:rsidR="0052728D">
        <w:t>investigation</w:t>
      </w:r>
      <w:r>
        <w:t xml:space="preserve">.  This may be the first time that a genetic syndrome is suspected as the cause of their medical condition and the provision of </w:t>
      </w:r>
      <w:r w:rsidR="0052728D">
        <w:t>WGS</w:t>
      </w:r>
      <w:r>
        <w:t xml:space="preserve"> could be ordered while that patient is still </w:t>
      </w:r>
      <w:r w:rsidR="00320551">
        <w:t xml:space="preserve">admitted </w:t>
      </w:r>
      <w:r>
        <w:t xml:space="preserve">under </w:t>
      </w:r>
      <w:r w:rsidR="00320551">
        <w:t xml:space="preserve">public </w:t>
      </w:r>
      <w:r>
        <w:t>hospital care.</w:t>
      </w:r>
    </w:p>
    <w:p w14:paraId="40CFF209" w14:textId="35A2140D" w:rsidR="00F2095F" w:rsidRPr="0052728D" w:rsidRDefault="00F2095F" w:rsidP="0052728D">
      <w:pPr>
        <w:ind w:left="360"/>
        <w:rPr>
          <w:b/>
          <w:szCs w:val="20"/>
        </w:rPr>
      </w:pPr>
      <w:r>
        <w:lastRenderedPageBreak/>
        <w:t xml:space="preserve">Outpatient clinics / consulting rooms – </w:t>
      </w:r>
      <w:r w:rsidR="0052728D">
        <w:t xml:space="preserve">this is the commonest </w:t>
      </w:r>
      <w:r w:rsidR="00320551">
        <w:t>setting that provides clinical review/</w:t>
      </w:r>
      <w:r w:rsidR="0052728D">
        <w:t xml:space="preserve">service for </w:t>
      </w:r>
      <w:r>
        <w:t xml:space="preserve">patients </w:t>
      </w:r>
      <w:r w:rsidR="0052728D">
        <w:t xml:space="preserve">with mitochondrial disease. Patients </w:t>
      </w:r>
      <w:r w:rsidR="00320551">
        <w:t xml:space="preserve">are often referred for review and diagnosis to an outpatient clinic or the consulting rooms of a clinical expert. Diagnosed patients </w:t>
      </w:r>
      <w:r w:rsidR="0052728D">
        <w:t>often need</w:t>
      </w:r>
      <w:r>
        <w:t xml:space="preserve"> monitoring by a number of different specialists </w:t>
      </w:r>
      <w:r w:rsidR="00320551">
        <w:t xml:space="preserve">in the context of </w:t>
      </w:r>
      <w:r>
        <w:t>outpatient clinics or consulting rooms within both public and private settings.</w:t>
      </w:r>
    </w:p>
    <w:p w14:paraId="6AAA3F30" w14:textId="77777777" w:rsidR="003E30FB" w:rsidRDefault="003E30FB" w:rsidP="00530204">
      <w:pPr>
        <w:pStyle w:val="Heading2"/>
      </w:pPr>
      <w:r>
        <w:t xml:space="preserve">Is the </w:t>
      </w:r>
      <w:r w:rsidRPr="001B29A1">
        <w:t>proposed</w:t>
      </w:r>
      <w:r>
        <w:t xml:space="preserve"> medical service intended to be entirely rendered in Australia?</w:t>
      </w:r>
    </w:p>
    <w:p w14:paraId="204706EE" w14:textId="77777777" w:rsidR="000A478F" w:rsidRDefault="00B44092"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0A478F">
        <w:rPr>
          <w:szCs w:val="20"/>
        </w:rPr>
        <w:t xml:space="preserve"> Yes</w:t>
      </w:r>
    </w:p>
    <w:p w14:paraId="6DE723A5" w14:textId="47402742" w:rsidR="003E30FB" w:rsidRPr="006527A9" w:rsidRDefault="000A478F" w:rsidP="006527A9">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1D303024" w14:textId="303CDE67" w:rsidR="00E60529" w:rsidRPr="006527A9" w:rsidRDefault="005C3AE7" w:rsidP="006527A9">
      <w:pPr>
        <w:pStyle w:val="Subtitle"/>
        <w:spacing w:before="240"/>
        <w:ind w:left="0"/>
      </w:pPr>
      <w:r w:rsidRPr="006527A9">
        <w:t xml:space="preserve">PART 6c – </w:t>
      </w:r>
      <w:r w:rsidR="00E60529" w:rsidRPr="006527A9">
        <w:t>INFORMATION ABOUT THE COMPARATOR</w:t>
      </w:r>
      <w:r w:rsidR="00A83EC6" w:rsidRPr="006527A9">
        <w:t>(S)</w:t>
      </w:r>
    </w:p>
    <w:p w14:paraId="5CB38CD3" w14:textId="5B3D6368"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14736E" w:rsidRPr="001B29A1">
        <w:t>population</w:t>
      </w:r>
      <w:r w:rsidR="0014736E" w:rsidRPr="00154B00">
        <w:t xml:space="preserve"> currently</w:t>
      </w:r>
      <w:r w:rsidR="0014736E">
        <w:t xml:space="preserve"> </w:t>
      </w:r>
      <w:r w:rsidR="000159B9" w:rsidRPr="00154B00">
        <w:t xml:space="preserve">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2A655366" w14:textId="77777777" w:rsidR="00C560D3" w:rsidRDefault="007955A1" w:rsidP="00534B80">
      <w:pPr>
        <w:spacing w:before="60" w:after="60"/>
        <w:ind w:left="360"/>
        <w:rPr>
          <w:rFonts w:cs="Arial"/>
        </w:rPr>
      </w:pPr>
      <w:r w:rsidRPr="0079288C">
        <w:rPr>
          <w:rFonts w:cs="Arial"/>
          <w:b/>
          <w:i/>
        </w:rPr>
        <w:t>Comparator technology</w:t>
      </w:r>
      <w:r w:rsidRPr="007316C1">
        <w:rPr>
          <w:rFonts w:cs="Arial"/>
          <w:i/>
        </w:rPr>
        <w:t>:</w:t>
      </w:r>
      <w:r w:rsidRPr="007316C1">
        <w:rPr>
          <w:rFonts w:cs="Arial"/>
        </w:rPr>
        <w:t xml:space="preserve"> </w:t>
      </w:r>
    </w:p>
    <w:p w14:paraId="238E274B" w14:textId="6EA87472" w:rsidR="00C560D3" w:rsidRDefault="00C560D3" w:rsidP="00534B80">
      <w:pPr>
        <w:spacing w:before="60" w:after="60"/>
        <w:ind w:left="360"/>
        <w:rPr>
          <w:rFonts w:cs="Arial"/>
        </w:rPr>
      </w:pPr>
      <w:r>
        <w:rPr>
          <w:rFonts w:cs="Arial"/>
        </w:rPr>
        <w:t xml:space="preserve">No genetic testing is </w:t>
      </w:r>
      <w:r w:rsidR="00707F85">
        <w:rPr>
          <w:rFonts w:cs="Arial"/>
        </w:rPr>
        <w:t>veritably</w:t>
      </w:r>
      <w:r w:rsidR="00314C6D">
        <w:rPr>
          <w:rFonts w:cs="Arial"/>
        </w:rPr>
        <w:t xml:space="preserve"> </w:t>
      </w:r>
      <w:r>
        <w:rPr>
          <w:rFonts w:cs="Arial"/>
        </w:rPr>
        <w:t>the current compar</w:t>
      </w:r>
      <w:r w:rsidR="003C1AE0">
        <w:rPr>
          <w:rFonts w:cs="Arial"/>
        </w:rPr>
        <w:t>a</w:t>
      </w:r>
      <w:r>
        <w:rPr>
          <w:rFonts w:cs="Arial"/>
        </w:rPr>
        <w:t>tor.</w:t>
      </w:r>
    </w:p>
    <w:p w14:paraId="0F43667E" w14:textId="1624E77B" w:rsidR="002A5D8F" w:rsidRPr="002A5D8F" w:rsidRDefault="002A5D8F" w:rsidP="002A5D8F">
      <w:pPr>
        <w:spacing w:before="60" w:after="60"/>
        <w:ind w:left="360"/>
        <w:rPr>
          <w:bCs/>
          <w:iCs/>
          <w:szCs w:val="20"/>
        </w:rPr>
      </w:pPr>
      <w:r w:rsidRPr="002A5D8F">
        <w:rPr>
          <w:bCs/>
          <w:iCs/>
          <w:szCs w:val="20"/>
        </w:rPr>
        <w:t xml:space="preserve">However, the diagnosis of MD is currently informed by MBS subsidised diagnostic tests such as muscle or other tissue biopsies that are performed in </w:t>
      </w:r>
      <w:r w:rsidR="00F01A62">
        <w:rPr>
          <w:bCs/>
          <w:iCs/>
          <w:szCs w:val="20"/>
        </w:rPr>
        <w:t xml:space="preserve">suspected </w:t>
      </w:r>
      <w:r w:rsidRPr="002A5D8F">
        <w:rPr>
          <w:bCs/>
          <w:iCs/>
          <w:szCs w:val="20"/>
        </w:rPr>
        <w:t>patients. Biopsies are not suitable comparators to WGS as they do not provide a definitive genetic (</w:t>
      </w:r>
      <w:r w:rsidR="0052219E" w:rsidRPr="002A5D8F">
        <w:rPr>
          <w:bCs/>
          <w:iCs/>
          <w:szCs w:val="20"/>
        </w:rPr>
        <w:t>i.e.,</w:t>
      </w:r>
      <w:r w:rsidRPr="002A5D8F">
        <w:rPr>
          <w:bCs/>
          <w:iCs/>
          <w:szCs w:val="20"/>
        </w:rPr>
        <w:t xml:space="preserve"> molecular) diagnosis for MD. However, muscle or tissue biopsies are often </w:t>
      </w:r>
      <w:r w:rsidR="00F01A62">
        <w:rPr>
          <w:bCs/>
          <w:iCs/>
          <w:szCs w:val="20"/>
        </w:rPr>
        <w:t xml:space="preserve">still </w:t>
      </w:r>
      <w:r w:rsidRPr="002A5D8F">
        <w:rPr>
          <w:bCs/>
          <w:iCs/>
          <w:szCs w:val="20"/>
        </w:rPr>
        <w:t>performed</w:t>
      </w:r>
      <w:r w:rsidR="00F01A62">
        <w:rPr>
          <w:bCs/>
          <w:iCs/>
          <w:szCs w:val="20"/>
        </w:rPr>
        <w:t>, and</w:t>
      </w:r>
      <w:r w:rsidRPr="002A5D8F">
        <w:rPr>
          <w:bCs/>
          <w:iCs/>
          <w:szCs w:val="20"/>
        </w:rPr>
        <w:t xml:space="preserve"> in order to justify the</w:t>
      </w:r>
      <w:r w:rsidR="00F01A62">
        <w:rPr>
          <w:bCs/>
          <w:iCs/>
          <w:szCs w:val="20"/>
        </w:rPr>
        <w:t>ir</w:t>
      </w:r>
      <w:r w:rsidRPr="002A5D8F">
        <w:rPr>
          <w:bCs/>
          <w:iCs/>
          <w:szCs w:val="20"/>
        </w:rPr>
        <w:t xml:space="preserve"> invasiveness</w:t>
      </w:r>
      <w:r w:rsidR="00F01A62">
        <w:rPr>
          <w:bCs/>
          <w:iCs/>
          <w:szCs w:val="20"/>
        </w:rPr>
        <w:t>, ‘</w:t>
      </w:r>
      <w:r w:rsidRPr="002A5D8F">
        <w:rPr>
          <w:bCs/>
          <w:iCs/>
          <w:szCs w:val="20"/>
        </w:rPr>
        <w:t>out of pocket</w:t>
      </w:r>
      <w:r w:rsidR="00F01A62">
        <w:rPr>
          <w:bCs/>
          <w:iCs/>
          <w:szCs w:val="20"/>
        </w:rPr>
        <w:t>’</w:t>
      </w:r>
      <w:r w:rsidRPr="002A5D8F">
        <w:rPr>
          <w:bCs/>
          <w:iCs/>
          <w:szCs w:val="20"/>
        </w:rPr>
        <w:t xml:space="preserve"> expenses that result from proceeding to genetic testing</w:t>
      </w:r>
      <w:r w:rsidR="00F01A62">
        <w:rPr>
          <w:bCs/>
          <w:iCs/>
          <w:szCs w:val="20"/>
        </w:rPr>
        <w:t xml:space="preserve"> become the comparator for the patient</w:t>
      </w:r>
      <w:r w:rsidRPr="002A5D8F">
        <w:rPr>
          <w:bCs/>
          <w:iCs/>
          <w:szCs w:val="20"/>
        </w:rPr>
        <w:t xml:space="preserve">. </w:t>
      </w:r>
      <w:r w:rsidR="00F01A62">
        <w:rPr>
          <w:bCs/>
          <w:iCs/>
          <w:szCs w:val="20"/>
        </w:rPr>
        <w:t xml:space="preserve"> When incurred, t</w:t>
      </w:r>
      <w:r w:rsidRPr="002A5D8F">
        <w:rPr>
          <w:bCs/>
          <w:iCs/>
          <w:szCs w:val="20"/>
        </w:rPr>
        <w:t>hese expenses are currently met by affected individuals or families</w:t>
      </w:r>
      <w:r w:rsidR="002455F8">
        <w:rPr>
          <w:bCs/>
          <w:iCs/>
          <w:szCs w:val="20"/>
        </w:rPr>
        <w:t>,</w:t>
      </w:r>
      <w:r w:rsidRPr="002A5D8F">
        <w:rPr>
          <w:bCs/>
          <w:iCs/>
          <w:szCs w:val="20"/>
        </w:rPr>
        <w:t xml:space="preserve"> or</w:t>
      </w:r>
      <w:r w:rsidR="002455F8">
        <w:rPr>
          <w:bCs/>
          <w:iCs/>
          <w:szCs w:val="20"/>
        </w:rPr>
        <w:t xml:space="preserve"> on occasion, </w:t>
      </w:r>
      <w:r w:rsidRPr="002A5D8F">
        <w:rPr>
          <w:bCs/>
          <w:iCs/>
          <w:szCs w:val="20"/>
        </w:rPr>
        <w:t xml:space="preserve">by access through the state public health system. In the absence of a genetic diagnosis, targeted therapies and/or reproductive technologies which prevent the inheritance of the condition in future children are unable to be initiated. Also, the current muscle or tissue biopsies do not allow for cascade testing in family members. Thus, without genetic testing affected relatives are also unable to undergo informed family planning still need to undergo extensive investigation if clinically affected.  </w:t>
      </w:r>
    </w:p>
    <w:p w14:paraId="27BFA580" w14:textId="77777777" w:rsidR="002A5D8F" w:rsidRPr="002A5D8F" w:rsidRDefault="002A5D8F" w:rsidP="002A5D8F">
      <w:pPr>
        <w:spacing w:before="60" w:after="60"/>
        <w:ind w:left="360"/>
        <w:rPr>
          <w:bCs/>
          <w:iCs/>
          <w:szCs w:val="20"/>
        </w:rPr>
      </w:pPr>
      <w:r w:rsidRPr="002A5D8F">
        <w:rPr>
          <w:bCs/>
          <w:iCs/>
          <w:szCs w:val="20"/>
        </w:rPr>
        <w:t xml:space="preserve">It should also be noted that muscle biopsy is usually performed under general anaesthetic during a short stay admission. Muscle or tissue biopsies will not be required if diagnostic WGS is introduced on the MBS. </w:t>
      </w:r>
    </w:p>
    <w:p w14:paraId="463DAE0D" w14:textId="253F9820" w:rsidR="00DF5FF3" w:rsidRPr="00505ED1" w:rsidRDefault="002A5D8F" w:rsidP="006527A9">
      <w:pPr>
        <w:spacing w:before="60" w:after="60"/>
        <w:ind w:left="360"/>
        <w:rPr>
          <w:bCs/>
          <w:iCs/>
          <w:szCs w:val="20"/>
        </w:rPr>
      </w:pPr>
      <w:r w:rsidRPr="002A5D8F">
        <w:rPr>
          <w:bCs/>
          <w:iCs/>
          <w:szCs w:val="20"/>
        </w:rPr>
        <w:t>It is also important to note that, in current clinical practice, clinicians may request sequential series of single gene tests, again, funded outside the MBS on either a user-pay basis or by utilising services such as state/territory health department funding.</w:t>
      </w:r>
    </w:p>
    <w:p w14:paraId="603B2E22" w14:textId="77777777" w:rsidR="00757232" w:rsidRPr="00911D51" w:rsidRDefault="00AF5D1E" w:rsidP="00530204">
      <w:pPr>
        <w:pStyle w:val="Heading2"/>
      </w:pPr>
      <w:r w:rsidRPr="00911D51">
        <w:t xml:space="preserve">Does the medical service </w:t>
      </w:r>
      <w:r w:rsidR="003904AC" w:rsidRPr="00911D51">
        <w:t>(</w:t>
      </w:r>
      <w:r w:rsidRPr="00911D51">
        <w:t>that has been nominated as the comparator</w:t>
      </w:r>
      <w:r w:rsidR="003904AC" w:rsidRPr="00911D51">
        <w:t>)</w:t>
      </w:r>
      <w:r w:rsidR="000159B9" w:rsidRPr="00911D51">
        <w:t xml:space="preserve"> </w:t>
      </w:r>
      <w:r w:rsidRPr="00911D51">
        <w:t>have an existing MBS item number</w:t>
      </w:r>
      <w:r w:rsidR="00D30BDC" w:rsidRPr="00911D51">
        <w:t>(s)</w:t>
      </w:r>
      <w:r w:rsidR="00757232" w:rsidRPr="00911D51">
        <w:t>?</w:t>
      </w:r>
    </w:p>
    <w:p w14:paraId="5965B214" w14:textId="71474197" w:rsidR="006A1038" w:rsidRDefault="007B3725" w:rsidP="006A1038">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6A1038">
        <w:rPr>
          <w:szCs w:val="20"/>
        </w:rPr>
        <w:t xml:space="preserve">Yes (please </w:t>
      </w:r>
      <w:r w:rsidR="003904AC">
        <w:rPr>
          <w:szCs w:val="20"/>
        </w:rPr>
        <w:t xml:space="preserve">list </w:t>
      </w:r>
      <w:r w:rsidR="006A1038">
        <w:rPr>
          <w:szCs w:val="20"/>
        </w:rPr>
        <w:t>all relevant MBS item numbers below)</w:t>
      </w:r>
    </w:p>
    <w:p w14:paraId="2D6DA067" w14:textId="3F78A920" w:rsidR="000159B9" w:rsidRDefault="007B3725"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6A1038">
        <w:rPr>
          <w:szCs w:val="20"/>
        </w:rPr>
        <w:t xml:space="preserve">No  </w:t>
      </w:r>
    </w:p>
    <w:p w14:paraId="12FD0A2B" w14:textId="107BC96C" w:rsidR="00B40B6E" w:rsidRDefault="00B40B6E" w:rsidP="006A1038">
      <w:pPr>
        <w:spacing w:before="0" w:after="0"/>
        <w:ind w:left="426"/>
        <w:rPr>
          <w:szCs w:val="20"/>
        </w:rPr>
      </w:pPr>
    </w:p>
    <w:p w14:paraId="77EAF7BE" w14:textId="02D1F745" w:rsidR="00B40B6E" w:rsidRDefault="00B40B6E" w:rsidP="006A1038">
      <w:pPr>
        <w:spacing w:before="0" w:after="0"/>
        <w:ind w:left="426"/>
        <w:rPr>
          <w:szCs w:val="20"/>
        </w:rPr>
      </w:pPr>
      <w:r w:rsidRPr="00B40B6E">
        <w:rPr>
          <w:szCs w:val="20"/>
        </w:rPr>
        <w:t>Whilst there is no relevant nor specific MBS item numbers for genetic testing in MD, as stated earlier, a very limited number of children &lt;10 years may qualify for item number</w:t>
      </w:r>
      <w:r w:rsidR="0052219E">
        <w:rPr>
          <w:szCs w:val="20"/>
        </w:rPr>
        <w:t>s</w:t>
      </w:r>
      <w:r w:rsidRPr="00B40B6E">
        <w:rPr>
          <w:szCs w:val="20"/>
        </w:rPr>
        <w:t xml:space="preserve"> 73</w:t>
      </w:r>
      <w:r w:rsidR="0052219E">
        <w:rPr>
          <w:szCs w:val="20"/>
        </w:rPr>
        <w:t>358 and 73359</w:t>
      </w:r>
      <w:r w:rsidRPr="00B40B6E">
        <w:rPr>
          <w:szCs w:val="20"/>
        </w:rPr>
        <w:t xml:space="preserve">. This however leaves the vast majority of patients with MD not meeting the criteria for any of the other MBS subsidised genetic tests. However, if WGS is introduced, the following MBS item numbers below will be unnecessary for the diagnosis of MD:  </w:t>
      </w:r>
    </w:p>
    <w:p w14:paraId="61AF61EA" w14:textId="7469170A" w:rsidR="000159B9" w:rsidRDefault="00E11D36" w:rsidP="00D54508">
      <w:pPr>
        <w:pStyle w:val="ListParagraph"/>
        <w:numPr>
          <w:ilvl w:val="0"/>
          <w:numId w:val="20"/>
        </w:numPr>
      </w:pPr>
      <w:r>
        <w:t>Muscle biopsy 30075 ($154)</w:t>
      </w:r>
    </w:p>
    <w:p w14:paraId="640FA24E" w14:textId="739852A2" w:rsidR="0048328E" w:rsidRDefault="0048328E" w:rsidP="00D54508">
      <w:pPr>
        <w:pStyle w:val="ListParagraph"/>
        <w:numPr>
          <w:ilvl w:val="0"/>
          <w:numId w:val="20"/>
        </w:numPr>
      </w:pPr>
      <w:r>
        <w:t>Other medical services that are required to support the nominated comparator (</w:t>
      </w:r>
      <w:r w:rsidR="002A5D8F">
        <w:t>i.e.,</w:t>
      </w:r>
      <w:r>
        <w:t xml:space="preserve"> muscle biopsy) </w:t>
      </w:r>
      <w:r w:rsidR="00816F8B">
        <w:t xml:space="preserve">which </w:t>
      </w:r>
      <w:r>
        <w:t xml:space="preserve">include: </w:t>
      </w:r>
      <w:r w:rsidR="00A8772C">
        <w:t xml:space="preserve"> </w:t>
      </w:r>
    </w:p>
    <w:p w14:paraId="74168D88" w14:textId="416216CA" w:rsidR="00E11D36" w:rsidRDefault="00E11D36" w:rsidP="00D54508">
      <w:pPr>
        <w:pStyle w:val="ListParagraph"/>
        <w:numPr>
          <w:ilvl w:val="0"/>
          <w:numId w:val="21"/>
        </w:numPr>
        <w:ind w:left="1985" w:hanging="425"/>
      </w:pPr>
      <w:r>
        <w:t xml:space="preserve">Day stay </w:t>
      </w:r>
      <w:r w:rsidR="002A5D8F">
        <w:t>surgery</w:t>
      </w:r>
      <w:r w:rsidR="0052219E">
        <w:t xml:space="preserve"> admission </w:t>
      </w:r>
    </w:p>
    <w:p w14:paraId="6B11216A" w14:textId="6DF4AB04" w:rsidR="0052219E" w:rsidRDefault="0052219E" w:rsidP="00D54508">
      <w:pPr>
        <w:pStyle w:val="ListParagraph"/>
        <w:numPr>
          <w:ilvl w:val="0"/>
          <w:numId w:val="21"/>
        </w:numPr>
        <w:ind w:left="1985" w:hanging="425"/>
      </w:pPr>
      <w:r>
        <w:t>Procedural (theatre) costs</w:t>
      </w:r>
    </w:p>
    <w:p w14:paraId="1A2138FD" w14:textId="1AA8D731" w:rsidR="00E11D36" w:rsidRDefault="00E11D36" w:rsidP="00D54508">
      <w:pPr>
        <w:pStyle w:val="ListParagraph"/>
        <w:numPr>
          <w:ilvl w:val="0"/>
          <w:numId w:val="21"/>
        </w:numPr>
        <w:ind w:left="1985" w:hanging="425"/>
      </w:pPr>
      <w:r>
        <w:t>General anaesthesia</w:t>
      </w:r>
    </w:p>
    <w:p w14:paraId="5A543B2E" w14:textId="09E6BE50" w:rsidR="00E11D36" w:rsidRDefault="00E11D36" w:rsidP="00D54508">
      <w:pPr>
        <w:pStyle w:val="ListParagraph"/>
        <w:numPr>
          <w:ilvl w:val="0"/>
          <w:numId w:val="21"/>
        </w:numPr>
        <w:ind w:left="1985" w:hanging="425"/>
      </w:pPr>
      <w:r>
        <w:t>Anaesth</w:t>
      </w:r>
      <w:r w:rsidR="002A5D8F">
        <w:t>et</w:t>
      </w:r>
      <w:r>
        <w:t>ic consultation</w:t>
      </w:r>
    </w:p>
    <w:p w14:paraId="167320EE" w14:textId="7351A98A" w:rsidR="00E11D36" w:rsidRDefault="00E11D36" w:rsidP="00D54508">
      <w:pPr>
        <w:pStyle w:val="ListParagraph"/>
        <w:numPr>
          <w:ilvl w:val="0"/>
          <w:numId w:val="21"/>
        </w:numPr>
        <w:ind w:left="1985" w:hanging="425"/>
      </w:pPr>
      <w:r>
        <w:t xml:space="preserve">Surgeon consultation </w:t>
      </w:r>
    </w:p>
    <w:p w14:paraId="6B481A91" w14:textId="78A5D80E" w:rsidR="0048328E" w:rsidRDefault="0052219E" w:rsidP="006527A9">
      <w:pPr>
        <w:pStyle w:val="ListParagraph"/>
        <w:numPr>
          <w:ilvl w:val="0"/>
          <w:numId w:val="21"/>
        </w:numPr>
        <w:spacing w:before="0" w:after="60"/>
        <w:ind w:left="1985" w:hanging="425"/>
        <w:contextualSpacing w:val="0"/>
      </w:pPr>
      <w:r>
        <w:t>Pathology Services (</w:t>
      </w:r>
      <w:r w:rsidR="00E11D36">
        <w:t>Histological evaluation of muscle tissue</w:t>
      </w:r>
      <w:r>
        <w:t>)</w:t>
      </w:r>
    </w:p>
    <w:p w14:paraId="19F59D56" w14:textId="417526D7" w:rsidR="006527A9" w:rsidRDefault="00816F8B" w:rsidP="006527A9">
      <w:pPr>
        <w:spacing w:before="0" w:after="60"/>
      </w:pPr>
      <w:r>
        <w:t xml:space="preserve">                (Totals for which have been calculated </w:t>
      </w:r>
      <w:proofErr w:type="gramStart"/>
      <w:r w:rsidR="003F7255">
        <w:t>in regard to</w:t>
      </w:r>
      <w:proofErr w:type="gramEnd"/>
      <w:r>
        <w:t xml:space="preserve"> the current NMD application 1585, we believe)</w:t>
      </w:r>
      <w:r w:rsidR="00B40B6E">
        <w:t xml:space="preserve"> </w:t>
      </w:r>
    </w:p>
    <w:p w14:paraId="6C92805E" w14:textId="5CA95016" w:rsidR="00481FD9" w:rsidRPr="006527A9" w:rsidRDefault="006527A9" w:rsidP="00644D92">
      <w:pPr>
        <w:spacing w:before="0" w:after="200" w:line="276" w:lineRule="auto"/>
        <w:rPr>
          <w:b/>
          <w:bCs/>
        </w:rPr>
      </w:pPr>
      <w:r>
        <w:br w:type="page"/>
      </w:r>
      <w:r w:rsidR="00E330B3" w:rsidRPr="006527A9">
        <w:rPr>
          <w:b/>
          <w:bCs/>
        </w:rPr>
        <w:lastRenderedPageBreak/>
        <w:t xml:space="preserve">40. Define and summarise the current clinical management pathway/s that patients may follow after they receive the medical service that has been nominated as the comparator (supplement this summary with an </w:t>
      </w:r>
      <w:r w:rsidR="0052219E" w:rsidRPr="006527A9">
        <w:rPr>
          <w:b/>
          <w:bCs/>
        </w:rPr>
        <w:t>easy-to-follow</w:t>
      </w:r>
      <w:r w:rsidR="00E330B3" w:rsidRPr="006527A9">
        <w:rPr>
          <w:b/>
          <w:bCs/>
        </w:rPr>
        <w:t xml:space="preserve"> flowchart [as an attachment to the Application Form] depicting the current clinical management pathway that patients may follow from the point of receiving the comparator onwards, including health care resources):</w:t>
      </w:r>
    </w:p>
    <w:p w14:paraId="443AFEBE" w14:textId="77777777" w:rsidR="00481FD9" w:rsidRDefault="00481FD9" w:rsidP="00991C55">
      <w:pPr>
        <w:suppressAutoHyphens/>
        <w:spacing w:before="0" w:after="0" w:line="1" w:lineRule="atLeast"/>
        <w:textDirection w:val="btLr"/>
        <w:textAlignment w:val="top"/>
        <w:outlineLvl w:val="0"/>
      </w:pPr>
    </w:p>
    <w:p w14:paraId="33051AF4" w14:textId="17ECB20F" w:rsidR="00E330B3" w:rsidRPr="006527A9" w:rsidRDefault="00E330B3" w:rsidP="006527A9">
      <w:pPr>
        <w:suppressAutoHyphens/>
        <w:spacing w:before="0" w:after="0" w:line="1" w:lineRule="atLeast"/>
        <w:ind w:left="284"/>
        <w:textDirection w:val="btLr"/>
        <w:textAlignment w:val="top"/>
        <w:outlineLvl w:val="0"/>
        <w:rPr>
          <w:szCs w:val="20"/>
        </w:rPr>
      </w:pPr>
      <w:r w:rsidRPr="006527A9">
        <w:rPr>
          <w:szCs w:val="20"/>
        </w:rPr>
        <w:t xml:space="preserve">The current clinical management pathway </w:t>
      </w:r>
      <w:r w:rsidR="001014EB" w:rsidRPr="006527A9">
        <w:rPr>
          <w:szCs w:val="20"/>
        </w:rPr>
        <w:t xml:space="preserve">(applicable to both children and adults) </w:t>
      </w:r>
      <w:r w:rsidRPr="006527A9">
        <w:rPr>
          <w:szCs w:val="20"/>
        </w:rPr>
        <w:t xml:space="preserve">as depicted by ‘Flow Diagram C’ within the Appendix, demonstrates the current clinical management pathway of a patient suspected of MD, </w:t>
      </w:r>
      <w:r w:rsidRPr="006527A9">
        <w:rPr>
          <w:i/>
          <w:iCs/>
          <w:szCs w:val="20"/>
        </w:rPr>
        <w:t>after</w:t>
      </w:r>
      <w:r w:rsidRPr="006527A9">
        <w:rPr>
          <w:szCs w:val="20"/>
        </w:rPr>
        <w:t xml:space="preserve"> they receive a </w:t>
      </w:r>
      <w:r w:rsidR="00B40B6E" w:rsidRPr="006527A9">
        <w:rPr>
          <w:szCs w:val="20"/>
        </w:rPr>
        <w:t>clinical</w:t>
      </w:r>
      <w:r w:rsidRPr="006527A9">
        <w:rPr>
          <w:szCs w:val="20"/>
        </w:rPr>
        <w:t xml:space="preserve"> evaluation +/- biopsy </w:t>
      </w:r>
      <w:r w:rsidR="007B1936" w:rsidRPr="006527A9">
        <w:rPr>
          <w:szCs w:val="20"/>
        </w:rPr>
        <w:t xml:space="preserve">only </w:t>
      </w:r>
      <w:r w:rsidRPr="006527A9">
        <w:rPr>
          <w:szCs w:val="20"/>
        </w:rPr>
        <w:t>to assess their diagnosis.</w:t>
      </w:r>
    </w:p>
    <w:p w14:paraId="0986BD6E" w14:textId="77777777" w:rsidR="00E330B3" w:rsidRDefault="00E330B3" w:rsidP="006527A9">
      <w:pPr>
        <w:suppressAutoHyphens/>
        <w:spacing w:before="0" w:after="0" w:line="1" w:lineRule="atLeast"/>
        <w:ind w:left="284"/>
        <w:textDirection w:val="btLr"/>
        <w:textAlignment w:val="top"/>
        <w:outlineLvl w:val="0"/>
      </w:pPr>
    </w:p>
    <w:p w14:paraId="75C5DE59" w14:textId="65E7D296" w:rsidR="002E0B3A" w:rsidRDefault="00481FD9" w:rsidP="006527A9">
      <w:pPr>
        <w:suppressAutoHyphens/>
        <w:spacing w:before="0" w:after="0" w:line="1" w:lineRule="atLeast"/>
        <w:ind w:left="284"/>
        <w:textDirection w:val="btLr"/>
        <w:textAlignment w:val="top"/>
        <w:outlineLvl w:val="0"/>
      </w:pPr>
      <w:r>
        <w:t xml:space="preserve">Referring to our response </w:t>
      </w:r>
      <w:r w:rsidR="008013BE">
        <w:t xml:space="preserve">in Q38, currently there is no genetic testing available under the MBS to confirm the diagnosis of MD.  Clinicians </w:t>
      </w:r>
      <w:r w:rsidR="00124DB9">
        <w:t xml:space="preserve">instead </w:t>
      </w:r>
      <w:r w:rsidR="008013BE">
        <w:t>are reliant upon ‘building a case’ to evidence the diagnosis for MD</w:t>
      </w:r>
      <w:r w:rsidR="00124DB9">
        <w:t xml:space="preserve">, and the use of a tissue biopsy, predominantly muscle, to support probable dysfunction within the mitochondrial respiratory chain. </w:t>
      </w:r>
    </w:p>
    <w:p w14:paraId="0BD9931F" w14:textId="77777777" w:rsidR="008013BE" w:rsidRDefault="008013BE" w:rsidP="006527A9">
      <w:pPr>
        <w:suppressAutoHyphens/>
        <w:spacing w:before="0" w:after="0" w:line="1" w:lineRule="atLeast"/>
        <w:ind w:left="284"/>
        <w:textDirection w:val="btLr"/>
        <w:textAlignment w:val="top"/>
        <w:outlineLvl w:val="0"/>
      </w:pPr>
    </w:p>
    <w:p w14:paraId="4F790A71" w14:textId="1B8CD0C9" w:rsidR="00991C55" w:rsidRDefault="000971B8" w:rsidP="006527A9">
      <w:pPr>
        <w:suppressAutoHyphens/>
        <w:spacing w:before="0" w:after="0" w:line="1" w:lineRule="atLeast"/>
        <w:ind w:left="284"/>
        <w:textDirection w:val="btLr"/>
        <w:textAlignment w:val="top"/>
        <w:outlineLvl w:val="0"/>
      </w:pPr>
      <w:r>
        <w:t>After a muscle biopsy is performed</w:t>
      </w:r>
      <w:r w:rsidR="00D957D6">
        <w:t xml:space="preserve"> </w:t>
      </w:r>
      <w:r>
        <w:t xml:space="preserve">that is </w:t>
      </w:r>
      <w:r w:rsidR="003B0781">
        <w:t>‘</w:t>
      </w:r>
      <w:r>
        <w:t>diagnostic</w:t>
      </w:r>
      <w:r w:rsidR="003B0781">
        <w:t>’</w:t>
      </w:r>
      <w:r>
        <w:t xml:space="preserve"> of mitochondrial disease, patients proceed to symptomatic treatment that may be </w:t>
      </w:r>
      <w:r w:rsidR="00295C82">
        <w:t xml:space="preserve">general to the illness or </w:t>
      </w:r>
      <w:r>
        <w:t>specific to the patient</w:t>
      </w:r>
      <w:r w:rsidR="003B0781">
        <w:t>’</w:t>
      </w:r>
      <w:r>
        <w:t>s phenotype</w:t>
      </w:r>
      <w:r w:rsidR="003B0781">
        <w:t>,</w:t>
      </w:r>
      <w:r>
        <w:t xml:space="preserve"> </w:t>
      </w:r>
      <w:r w:rsidR="003B0781">
        <w:t>[</w:t>
      </w:r>
      <w:r>
        <w:t>e.g. seizures are treated with anticonvulsants with avoidance of sodium valproate, diabetes is treated with avoidance of metformin, exercise intolerance is treated with aerobic exercise that is restricted to 70% Maximal heart rate, profound hearing loss treated with cochlea implant- see Liang</w:t>
      </w:r>
      <w:r w:rsidR="00991C55">
        <w:t xml:space="preserve"> et al. </w:t>
      </w:r>
      <w:r w:rsidR="00991C55">
        <w:rPr>
          <w:rFonts w:ascii="Times New Roman" w:eastAsia="Times New Roman" w:hAnsi="Times New Roman" w:cs="Times New Roman"/>
          <w:color w:val="000000"/>
        </w:rPr>
        <w:t>2011</w:t>
      </w:r>
      <w:r w:rsidR="003B0781">
        <w:rPr>
          <w:rFonts w:ascii="Times New Roman" w:eastAsia="Times New Roman" w:hAnsi="Times New Roman" w:cs="Times New Roman"/>
          <w:color w:val="000000"/>
        </w:rPr>
        <w:t>,</w:t>
      </w:r>
      <w:r w:rsidR="00991C55">
        <w:rPr>
          <w:rFonts w:ascii="Times New Roman" w:eastAsia="Times New Roman" w:hAnsi="Times New Roman" w:cs="Times New Roman"/>
          <w:color w:val="000000"/>
        </w:rPr>
        <w:t xml:space="preserve"> </w:t>
      </w:r>
      <w:r w:rsidR="003B0781">
        <w:rPr>
          <w:rFonts w:ascii="Times New Roman" w:eastAsia="Times New Roman" w:hAnsi="Times New Roman" w:cs="Times New Roman"/>
          <w:color w:val="000000"/>
        </w:rPr>
        <w:t>‘</w:t>
      </w:r>
      <w:r w:rsidR="00991C55">
        <w:t>How to treat mitochondrial disease</w:t>
      </w:r>
      <w:r w:rsidR="003B0781">
        <w:t>’ within</w:t>
      </w:r>
      <w:r w:rsidR="00991C55">
        <w:t xml:space="preserve"> </w:t>
      </w:r>
      <w:r w:rsidR="003B0781">
        <w:t>the</w:t>
      </w:r>
      <w:r w:rsidR="00991C55">
        <w:t xml:space="preserve"> </w:t>
      </w:r>
      <w:r w:rsidR="00991C55" w:rsidRPr="003B0781">
        <w:rPr>
          <w:i/>
          <w:iCs/>
        </w:rPr>
        <w:t>Australian Docto</w:t>
      </w:r>
      <w:r w:rsidR="003B0781">
        <w:rPr>
          <w:i/>
          <w:iCs/>
        </w:rPr>
        <w:t xml:space="preserve">r, </w:t>
      </w:r>
      <w:r w:rsidR="00991C55">
        <w:t>2011 Mar 25:27-34</w:t>
      </w:r>
      <w:r w:rsidR="003B0781">
        <w:t>]</w:t>
      </w:r>
      <w:r>
        <w:t xml:space="preserve">. </w:t>
      </w:r>
      <w:r w:rsidR="00991C55">
        <w:t>However, without a confirmed genetic diagnosis, patients are unable to be</w:t>
      </w:r>
      <w:r w:rsidR="00D957D6">
        <w:t xml:space="preserve"> accurately</w:t>
      </w:r>
      <w:r w:rsidR="00991C55">
        <w:t xml:space="preserve"> informed of disease transmission when </w:t>
      </w:r>
      <w:r w:rsidR="00DD758A">
        <w:t xml:space="preserve">family </w:t>
      </w:r>
      <w:r w:rsidR="00991C55">
        <w:t>planning</w:t>
      </w:r>
      <w:r w:rsidR="00DD758A">
        <w:t>, as clinicians are left to ‘best guess’</w:t>
      </w:r>
      <w:r w:rsidR="00DD758A" w:rsidRPr="00DD758A">
        <w:t xml:space="preserve"> the most common variant </w:t>
      </w:r>
      <w:r w:rsidR="00DD758A">
        <w:t xml:space="preserve">applicable to </w:t>
      </w:r>
      <w:r w:rsidR="00DD758A" w:rsidRPr="00DD758A">
        <w:t>the phenotypical presentation</w:t>
      </w:r>
      <w:r w:rsidR="00DD758A">
        <w:t xml:space="preserve"> of the patient and their family history</w:t>
      </w:r>
      <w:r w:rsidR="00D957D6">
        <w:t xml:space="preserve">. </w:t>
      </w:r>
      <w:r w:rsidR="00271A35">
        <w:t>The g</w:t>
      </w:r>
      <w:r w:rsidR="00EA6789">
        <w:t>enetic counsell</w:t>
      </w:r>
      <w:r w:rsidR="00271A35">
        <w:t>ing process is hindered by</w:t>
      </w:r>
      <w:r w:rsidR="00EA6789">
        <w:t xml:space="preserve"> </w:t>
      </w:r>
      <w:r w:rsidR="00255587">
        <w:t>the same</w:t>
      </w:r>
      <w:r w:rsidR="00EA6789">
        <w:t xml:space="preserve"> barriers</w:t>
      </w:r>
      <w:r w:rsidR="00DD758A">
        <w:t xml:space="preserve">.  </w:t>
      </w:r>
      <w:r w:rsidR="00012A7D">
        <w:t>Similarly,</w:t>
      </w:r>
      <w:r w:rsidR="00FB613D">
        <w:t xml:space="preserve"> </w:t>
      </w:r>
      <w:r w:rsidR="00012A7D">
        <w:t>patient</w:t>
      </w:r>
      <w:r w:rsidR="00991C55">
        <w:t xml:space="preserve"> management is</w:t>
      </w:r>
      <w:r w:rsidR="00965841">
        <w:t xml:space="preserve"> indexed according to the</w:t>
      </w:r>
      <w:r w:rsidR="00991C55">
        <w:t xml:space="preserve"> </w:t>
      </w:r>
      <w:r w:rsidR="00FB613D">
        <w:t xml:space="preserve">level of </w:t>
      </w:r>
      <w:r w:rsidR="00991C55">
        <w:t xml:space="preserve">clinical suspicion for the specific mitochondrial disease </w:t>
      </w:r>
      <w:r w:rsidR="003B0781">
        <w:t>present</w:t>
      </w:r>
      <w:r w:rsidR="00D957D6">
        <w:t>ation</w:t>
      </w:r>
      <w:r w:rsidR="00991C55">
        <w:t xml:space="preserve"> in the patient</w:t>
      </w:r>
      <w:r w:rsidR="00DD758A">
        <w:t xml:space="preserve">, </w:t>
      </w:r>
      <w:r w:rsidR="00965841">
        <w:t>supported by investigations</w:t>
      </w:r>
      <w:r w:rsidR="0030090F">
        <w:t xml:space="preserve"> indicative of </w:t>
      </w:r>
      <w:r w:rsidR="00D957D6">
        <w:t>the diagnosis</w:t>
      </w:r>
      <w:r w:rsidR="000F1196">
        <w:t>.  H</w:t>
      </w:r>
      <w:r w:rsidR="0030090F">
        <w:t>owever</w:t>
      </w:r>
      <w:r w:rsidR="000F1196">
        <w:t>,</w:t>
      </w:r>
      <w:r w:rsidR="0030090F">
        <w:t xml:space="preserve"> limitations on </w:t>
      </w:r>
      <w:r w:rsidR="00DA4CC9">
        <w:t xml:space="preserve">implementing </w:t>
      </w:r>
      <w:r w:rsidR="0030090F">
        <w:t>precision therapies remain without an identified genetic variant</w:t>
      </w:r>
      <w:r w:rsidR="00DA4CC9">
        <w:t>.</w:t>
      </w:r>
    </w:p>
    <w:p w14:paraId="590ACBC5" w14:textId="0E381F88" w:rsidR="008B1EFC" w:rsidRDefault="008B1EFC" w:rsidP="006527A9">
      <w:pPr>
        <w:suppressAutoHyphens/>
        <w:spacing w:before="0" w:after="0" w:line="1" w:lineRule="atLeast"/>
        <w:ind w:left="284"/>
        <w:textDirection w:val="btLr"/>
        <w:textAlignment w:val="top"/>
        <w:outlineLvl w:val="0"/>
      </w:pPr>
    </w:p>
    <w:p w14:paraId="1A1E6B84" w14:textId="3A8574F7" w:rsidR="008B1EFC" w:rsidRPr="00991C55" w:rsidRDefault="008B1EFC" w:rsidP="006527A9">
      <w:pPr>
        <w:suppressAutoHyphens/>
        <w:spacing w:before="0" w:after="0" w:line="1" w:lineRule="atLeast"/>
        <w:ind w:left="284"/>
        <w:textDirection w:val="btLr"/>
        <w:textAlignment w:val="top"/>
        <w:outlineLvl w:val="0"/>
        <w:rPr>
          <w:rFonts w:ascii="Times New Roman" w:eastAsia="Times New Roman" w:hAnsi="Times New Roman" w:cs="Times New Roman"/>
        </w:rPr>
      </w:pPr>
      <w:r>
        <w:t>Without a ‘diagnostic’ muscle (or tissue) biopsy, which occur</w:t>
      </w:r>
      <w:r w:rsidR="00DA4CC9">
        <w:t>s</w:t>
      </w:r>
      <w:r>
        <w:t xml:space="preserve"> in approximately </w:t>
      </w:r>
      <w:r w:rsidR="00B40B6E">
        <w:t>two thirds</w:t>
      </w:r>
      <w:r>
        <w:t xml:space="preserve"> of mitochondrial disease patients, the clinician is then reliant upon either a strong phenotypical presentation within the patient,  a ‘best guess’ from </w:t>
      </w:r>
      <w:r w:rsidR="002D777A">
        <w:t xml:space="preserve">clinical indicators and/or </w:t>
      </w:r>
      <w:r>
        <w:t xml:space="preserve">other investigations undertaken, family history and/or clinical representation within other relatives, disease progression assessed </w:t>
      </w:r>
      <w:r w:rsidR="002D777A">
        <w:t>during</w:t>
      </w:r>
      <w:r>
        <w:t xml:space="preserve"> follow-up </w:t>
      </w:r>
      <w:r w:rsidR="00F54951">
        <w:t xml:space="preserve">consultations, the elimination of MD mimics, </w:t>
      </w:r>
      <w:r w:rsidR="002D777A">
        <w:t xml:space="preserve">in discussion with other ‘mitochondrial specialists’ within their network,  similar presenting case studies, and </w:t>
      </w:r>
      <w:r w:rsidR="00481FD9">
        <w:t>online review.</w:t>
      </w:r>
    </w:p>
    <w:p w14:paraId="5F052604" w14:textId="38FBCF2A" w:rsidR="00A83EC6" w:rsidRPr="00154B00" w:rsidRDefault="00E330B3" w:rsidP="00E330B3">
      <w:pPr>
        <w:pStyle w:val="Heading2"/>
        <w:numPr>
          <w:ilvl w:val="0"/>
          <w:numId w:val="0"/>
        </w:numPr>
        <w:ind w:left="360" w:hanging="360"/>
      </w:pPr>
      <w:r>
        <w:t>41</w:t>
      </w:r>
      <w:r w:rsidR="006527A9">
        <w:tab/>
      </w:r>
      <w:r w:rsidR="005C3AE7">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6390596B" w14:textId="77777777" w:rsidR="001B29A1" w:rsidRDefault="001B29A1" w:rsidP="001B29A1">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913B21">
        <w:rPr>
          <w:szCs w:val="20"/>
        </w:rPr>
      </w:r>
      <w:r w:rsidR="00913B21">
        <w:rPr>
          <w:szCs w:val="20"/>
        </w:rPr>
        <w:fldChar w:fldCharType="separate"/>
      </w:r>
      <w:r w:rsidRPr="00753C44">
        <w:rPr>
          <w:szCs w:val="20"/>
        </w:rPr>
        <w:fldChar w:fldCharType="end"/>
      </w:r>
      <w:r>
        <w:rPr>
          <w:szCs w:val="20"/>
        </w:rPr>
        <w:t xml:space="preserve"> </w:t>
      </w:r>
      <w:r w:rsidR="00282BE8">
        <w:rPr>
          <w:szCs w:val="20"/>
        </w:rPr>
        <w:t>In addition to (i.e. it is an add-on service)</w:t>
      </w:r>
      <w:r>
        <w:rPr>
          <w:szCs w:val="20"/>
        </w:rPr>
        <w:t xml:space="preserve"> </w:t>
      </w:r>
    </w:p>
    <w:p w14:paraId="33C34247" w14:textId="744F8E36" w:rsidR="001B29A1" w:rsidRDefault="00842BE8"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1B29A1">
        <w:rPr>
          <w:szCs w:val="20"/>
        </w:rPr>
        <w:t xml:space="preserve"> </w:t>
      </w:r>
      <w:r w:rsidR="00282BE8">
        <w:rPr>
          <w:szCs w:val="20"/>
        </w:rPr>
        <w:t>Instead of (i.e. it is a replacement or alternative)</w:t>
      </w:r>
    </w:p>
    <w:p w14:paraId="64D2608D" w14:textId="77777777" w:rsidR="00E70D86" w:rsidRPr="00154B00" w:rsidRDefault="00E70D86" w:rsidP="00D54508">
      <w:pPr>
        <w:pStyle w:val="Heading2"/>
        <w:numPr>
          <w:ilvl w:val="0"/>
          <w:numId w:val="8"/>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30903937" w14:textId="29CF198C" w:rsidR="00B40B6E" w:rsidRDefault="00B40B6E" w:rsidP="006527A9">
      <w:pPr>
        <w:spacing w:before="0"/>
        <w:ind w:left="360"/>
      </w:pPr>
      <w:r w:rsidRPr="00B40B6E">
        <w:t>Muscle biopsies will no longer be required when WGS testing confirms the diagnosis of MD and is utilised as the diagnostic service of choice. This would avoid histological, enzymological and/or biochemical analysis of muscle biopsy tissue, general anaesthetic, a surgical procedure, and a short stay admission for patients suspected of having mitochondrial disease. These patients would also avoid the risks of the procedure precipitating deterioration of the MD patient’s physical state, a recognised complication after exposure to surgical procedures/ general anaesthetic.</w:t>
      </w:r>
    </w:p>
    <w:p w14:paraId="0D36A9B5" w14:textId="77777777" w:rsidR="006527A9" w:rsidRDefault="003F7255" w:rsidP="006527A9">
      <w:pPr>
        <w:spacing w:before="0"/>
        <w:ind w:left="360"/>
      </w:pPr>
      <w:r>
        <w:t>By providing WGS as a single, comprehensive test, patients will avoid follow-on and/or repeat genetic counselling, follow-up consultations for candidate gene testing which may be offered serially, and will also allow the data retrieved from the single WSG testing to be stored and accessed later as required when new MD-associated genetic variants emerge.</w:t>
      </w:r>
    </w:p>
    <w:p w14:paraId="34161B07" w14:textId="77777777" w:rsidR="006527A9" w:rsidRDefault="006527A9">
      <w:pPr>
        <w:spacing w:before="0" w:after="200" w:line="276" w:lineRule="auto"/>
      </w:pPr>
      <w:r>
        <w:br w:type="page"/>
      </w:r>
    </w:p>
    <w:p w14:paraId="7F3054B5" w14:textId="5704447A" w:rsidR="004C566B" w:rsidRDefault="00DC740C" w:rsidP="006527A9">
      <w:pPr>
        <w:pStyle w:val="Heading2"/>
        <w:numPr>
          <w:ilvl w:val="0"/>
          <w:numId w:val="0"/>
        </w:numPr>
        <w:ind w:left="360" w:hanging="360"/>
      </w:pPr>
      <w:r w:rsidRPr="00F60993">
        <w:lastRenderedPageBreak/>
        <w:t xml:space="preserve">42. </w:t>
      </w:r>
      <w:r w:rsidR="009C03FB" w:rsidRPr="00F60993">
        <w:t>Define and summarise how</w:t>
      </w:r>
      <w:r w:rsidR="00F33F1A" w:rsidRPr="00F60993">
        <w:t xml:space="preserve"> curr</w:t>
      </w:r>
      <w:r w:rsidR="009C03FB" w:rsidRPr="00F60993">
        <w:t>ent clinical management pathways (from the point of service delivery onwards) are</w:t>
      </w:r>
      <w:r w:rsidR="00F33F1A" w:rsidRPr="00F60993">
        <w:t xml:space="preserve"> expected to change as a consequence of introducing the proposed medical service</w:t>
      </w:r>
      <w:r w:rsidR="003904AC" w:rsidRPr="00F60993">
        <w:t>,</w:t>
      </w:r>
      <w:r w:rsidR="00F33F1A" w:rsidRPr="00F60993">
        <w:t xml:space="preserve"> </w:t>
      </w:r>
      <w:r w:rsidR="007D2358" w:rsidRPr="00F60993">
        <w:t xml:space="preserve">including variation in health care resources </w:t>
      </w:r>
      <w:r w:rsidR="009C03FB" w:rsidRPr="00F60993">
        <w:t>(</w:t>
      </w:r>
      <w:r w:rsidR="002053F2" w:rsidRPr="00F60993">
        <w:t xml:space="preserve">Refer to </w:t>
      </w:r>
      <w:r w:rsidR="00F33F1A" w:rsidRPr="00F60993">
        <w:t xml:space="preserve">Question </w:t>
      </w:r>
      <w:r w:rsidR="00197D29" w:rsidRPr="00F60993">
        <w:t>39</w:t>
      </w:r>
      <w:r w:rsidR="00F33F1A" w:rsidRPr="00F60993">
        <w:t xml:space="preserve"> as baseline)</w:t>
      </w:r>
      <w:r w:rsidR="00AE1188" w:rsidRPr="00F60993">
        <w:t>:</w:t>
      </w:r>
    </w:p>
    <w:p w14:paraId="761E33FA" w14:textId="6332D720" w:rsidR="007B1936" w:rsidRPr="006527A9" w:rsidRDefault="007B1936" w:rsidP="007B1936">
      <w:pPr>
        <w:pStyle w:val="ListParagraph"/>
        <w:ind w:left="360"/>
        <w:rPr>
          <w:szCs w:val="20"/>
        </w:rPr>
      </w:pPr>
      <w:r w:rsidRPr="006527A9">
        <w:rPr>
          <w:szCs w:val="20"/>
        </w:rPr>
        <w:t xml:space="preserve">Please refer to Flow Diagram D (children &lt;16 years) and E (adults &gt;16 years) within the Appendix for changes in the </w:t>
      </w:r>
      <w:r w:rsidRPr="006527A9">
        <w:rPr>
          <w:b/>
          <w:bCs/>
          <w:i/>
          <w:iCs/>
          <w:szCs w:val="20"/>
        </w:rPr>
        <w:t>diagnostic process</w:t>
      </w:r>
      <w:r w:rsidRPr="006527A9">
        <w:rPr>
          <w:szCs w:val="20"/>
        </w:rPr>
        <w:t xml:space="preserve"> for a patient suspected of MD, and Flow Diagram F, for general changes in the </w:t>
      </w:r>
      <w:r w:rsidRPr="006527A9">
        <w:rPr>
          <w:b/>
          <w:bCs/>
          <w:i/>
          <w:iCs/>
          <w:szCs w:val="20"/>
        </w:rPr>
        <w:t>clinical management pathway,</w:t>
      </w:r>
      <w:r w:rsidRPr="006527A9">
        <w:rPr>
          <w:szCs w:val="20"/>
        </w:rPr>
        <w:t xml:space="preserve"> after the introduction of WGS</w:t>
      </w:r>
      <w:r w:rsidR="00F60993" w:rsidRPr="006527A9">
        <w:rPr>
          <w:szCs w:val="20"/>
        </w:rPr>
        <w:t xml:space="preserve"> (applicable to both children and adults)</w:t>
      </w:r>
      <w:r w:rsidRPr="006527A9">
        <w:rPr>
          <w:szCs w:val="20"/>
        </w:rPr>
        <w:t xml:space="preserve">. </w:t>
      </w:r>
    </w:p>
    <w:p w14:paraId="2E0E3F04" w14:textId="73945624" w:rsidR="009948EA" w:rsidRDefault="009948EA" w:rsidP="00E92EFD">
      <w:pPr>
        <w:pStyle w:val="ListParagraph"/>
        <w:ind w:left="360"/>
      </w:pPr>
    </w:p>
    <w:p w14:paraId="4B4D58A2" w14:textId="77777777" w:rsidR="00534352" w:rsidRPr="009948EA" w:rsidRDefault="00534352" w:rsidP="00534352">
      <w:pPr>
        <w:pStyle w:val="ListParagraph"/>
        <w:ind w:left="360"/>
        <w:rPr>
          <w:bCs/>
        </w:rPr>
      </w:pPr>
      <w:r>
        <w:rPr>
          <w:bCs/>
        </w:rPr>
        <w:t>As discussed earlier</w:t>
      </w:r>
      <w:r w:rsidRPr="009948EA">
        <w:rPr>
          <w:bCs/>
        </w:rPr>
        <w:t xml:space="preserve">, </w:t>
      </w:r>
      <w:r>
        <w:rPr>
          <w:bCs/>
        </w:rPr>
        <w:t>MDs</w:t>
      </w:r>
      <w:r w:rsidRPr="009948EA">
        <w:rPr>
          <w:bCs/>
        </w:rPr>
        <w:t xml:space="preserve"> are characterized by a broad spectrum of phenotypes, clinically non-specific presentations, and an often chronic and complex progression of symptoms, caused by varying and overlapping </w:t>
      </w:r>
      <w:proofErr w:type="spellStart"/>
      <w:r w:rsidRPr="009948EA">
        <w:rPr>
          <w:bCs/>
        </w:rPr>
        <w:t>mtDNA</w:t>
      </w:r>
      <w:proofErr w:type="spellEnd"/>
      <w:r w:rsidRPr="009948EA">
        <w:rPr>
          <w:bCs/>
        </w:rPr>
        <w:t xml:space="preserve"> or </w:t>
      </w:r>
      <w:proofErr w:type="spellStart"/>
      <w:r w:rsidRPr="009948EA">
        <w:rPr>
          <w:bCs/>
        </w:rPr>
        <w:t>nDNA</w:t>
      </w:r>
      <w:proofErr w:type="spellEnd"/>
      <w:r w:rsidRPr="009948EA">
        <w:rPr>
          <w:bCs/>
        </w:rPr>
        <w:t xml:space="preserve"> </w:t>
      </w:r>
      <w:r>
        <w:rPr>
          <w:bCs/>
        </w:rPr>
        <w:t>mutations</w:t>
      </w:r>
      <w:r w:rsidRPr="009948EA">
        <w:rPr>
          <w:bCs/>
        </w:rPr>
        <w:t xml:space="preserve">. Their mimicking of other conditions including various genetic and neuromuscular syndromes, further complicates the diagnostic process, and reaffirms the need for a genetic confirmation via WGS (supported by </w:t>
      </w:r>
      <w:r>
        <w:rPr>
          <w:bCs/>
        </w:rPr>
        <w:t>various</w:t>
      </w:r>
      <w:r w:rsidRPr="009948EA">
        <w:rPr>
          <w:bCs/>
        </w:rPr>
        <w:t xml:space="preserve"> articles listed in </w:t>
      </w:r>
      <w:r>
        <w:rPr>
          <w:bCs/>
        </w:rPr>
        <w:t xml:space="preserve">Part 4, </w:t>
      </w:r>
      <w:r w:rsidRPr="009948EA">
        <w:rPr>
          <w:bCs/>
        </w:rPr>
        <w:t>Q17</w:t>
      </w:r>
      <w:r>
        <w:rPr>
          <w:bCs/>
        </w:rPr>
        <w:t xml:space="preserve"> table</w:t>
      </w:r>
      <w:r w:rsidRPr="009948EA">
        <w:rPr>
          <w:bCs/>
        </w:rPr>
        <w:t>).</w:t>
      </w:r>
    </w:p>
    <w:p w14:paraId="714E0F2C" w14:textId="77777777" w:rsidR="00534352" w:rsidRPr="009948EA" w:rsidRDefault="00534352" w:rsidP="00534352">
      <w:pPr>
        <w:pStyle w:val="ListParagraph"/>
        <w:ind w:left="360"/>
        <w:rPr>
          <w:bCs/>
        </w:rPr>
      </w:pPr>
      <w:r w:rsidRPr="009948EA">
        <w:rPr>
          <w:bCs/>
        </w:rPr>
        <w:t xml:space="preserve"> </w:t>
      </w:r>
    </w:p>
    <w:p w14:paraId="5AA90065" w14:textId="77777777" w:rsidR="00534352" w:rsidRDefault="00534352" w:rsidP="00534352">
      <w:pPr>
        <w:pStyle w:val="ListParagraph"/>
        <w:ind w:left="360"/>
        <w:rPr>
          <w:bCs/>
        </w:rPr>
      </w:pPr>
      <w:r w:rsidRPr="009948EA">
        <w:rPr>
          <w:bCs/>
        </w:rPr>
        <w:t>Patients are currently reliant upon a ‘suspicion only’ diagnosis of MD, available through the combination of clinical, biochemical, en</w:t>
      </w:r>
      <w:r w:rsidRPr="009948EA">
        <w:rPr>
          <w:bCs/>
        </w:rPr>
        <w:softHyphen/>
        <w:t>zymological, histopathological, and respiratory chain (RC) analysis, supported by the analysis of a tissue biopsy, predominantly muscle.   As there is no definitive genetic diagnostic test available on the MBS for MD, it is proposed that WGS, as the ‘state of the art next generation sequencing technique’ be adopted here in Australia, as it is becoming increasingly essential in the confirmation</w:t>
      </w:r>
      <w:r>
        <w:rPr>
          <w:bCs/>
        </w:rPr>
        <w:t>, identification,</w:t>
      </w:r>
      <w:r w:rsidRPr="009948EA">
        <w:rPr>
          <w:bCs/>
        </w:rPr>
        <w:t xml:space="preserve"> and management of </w:t>
      </w:r>
      <w:r>
        <w:rPr>
          <w:bCs/>
        </w:rPr>
        <w:t xml:space="preserve">MD. </w:t>
      </w:r>
    </w:p>
    <w:p w14:paraId="208114CF" w14:textId="77777777" w:rsidR="00534352" w:rsidRDefault="00534352" w:rsidP="00534352">
      <w:pPr>
        <w:pStyle w:val="ListParagraph"/>
        <w:ind w:left="360"/>
        <w:rPr>
          <w:bCs/>
        </w:rPr>
      </w:pPr>
    </w:p>
    <w:p w14:paraId="1308152E" w14:textId="77777777" w:rsidR="00534352" w:rsidRDefault="00534352" w:rsidP="00534352">
      <w:pPr>
        <w:pStyle w:val="ListParagraph"/>
        <w:ind w:left="360"/>
        <w:rPr>
          <w:bCs/>
        </w:rPr>
      </w:pPr>
      <w:r w:rsidRPr="00342524">
        <w:rPr>
          <w:bCs/>
        </w:rPr>
        <w:t xml:space="preserve">With the introduction of diagnostic WGS, a precise molecular diagnosis can be </w:t>
      </w:r>
      <w:r>
        <w:rPr>
          <w:bCs/>
        </w:rPr>
        <w:t>achieved</w:t>
      </w:r>
      <w:r w:rsidRPr="00342524">
        <w:rPr>
          <w:bCs/>
        </w:rPr>
        <w:t xml:space="preserve"> in the majority of patients. In the cohort study of adults suspected of having mitochondrial disease, 54% of patients achieved a diagnosis compared to 10-27% receiving a diagnosis through the </w:t>
      </w:r>
      <w:r>
        <w:rPr>
          <w:bCs/>
        </w:rPr>
        <w:t>current</w:t>
      </w:r>
      <w:r w:rsidRPr="00342524">
        <w:rPr>
          <w:bCs/>
        </w:rPr>
        <w:t xml:space="preserve"> pathway using muscle biopsy +/- singleton genetic testing</w:t>
      </w:r>
      <w:r>
        <w:rPr>
          <w:bCs/>
        </w:rPr>
        <w:t xml:space="preserve"> (which is currently not MBS subsidised, and so falsely raises the diagnostic yield)</w:t>
      </w:r>
      <w:r w:rsidRPr="00342524">
        <w:rPr>
          <w:bCs/>
        </w:rPr>
        <w:t xml:space="preserve">. </w:t>
      </w:r>
      <w:r>
        <w:rPr>
          <w:bCs/>
        </w:rPr>
        <w:t xml:space="preserve"> M</w:t>
      </w:r>
      <w:r w:rsidRPr="00342524">
        <w:rPr>
          <w:bCs/>
        </w:rPr>
        <w:t>uscle biopsies will no</w:t>
      </w:r>
      <w:r>
        <w:rPr>
          <w:bCs/>
        </w:rPr>
        <w:t xml:space="preserve"> longer</w:t>
      </w:r>
      <w:r w:rsidRPr="00342524">
        <w:rPr>
          <w:bCs/>
        </w:rPr>
        <w:t xml:space="preserve"> be needed </w:t>
      </w:r>
      <w:r>
        <w:rPr>
          <w:bCs/>
        </w:rPr>
        <w:t>except i</w:t>
      </w:r>
      <w:r w:rsidRPr="002A3B38">
        <w:rPr>
          <w:bCs/>
        </w:rPr>
        <w:t xml:space="preserve">n some circumstances where a genetic diagnosis is not </w:t>
      </w:r>
      <w:r>
        <w:rPr>
          <w:bCs/>
        </w:rPr>
        <w:t>determined</w:t>
      </w:r>
      <w:r w:rsidRPr="002A3B38">
        <w:rPr>
          <w:bCs/>
        </w:rPr>
        <w:t xml:space="preserve"> </w:t>
      </w:r>
      <w:r>
        <w:rPr>
          <w:bCs/>
        </w:rPr>
        <w:t>via</w:t>
      </w:r>
      <w:r w:rsidRPr="002A3B38">
        <w:rPr>
          <w:bCs/>
        </w:rPr>
        <w:t xml:space="preserve"> WGS, </w:t>
      </w:r>
      <w:r>
        <w:rPr>
          <w:bCs/>
        </w:rPr>
        <w:t>and a follow-up biopsy has been shown to be of value.  This is estimated</w:t>
      </w:r>
      <w:r w:rsidRPr="002A3B38">
        <w:rPr>
          <w:bCs/>
        </w:rPr>
        <w:t xml:space="preserve"> to occur in approximately 13% of patients (adjusted from our cohort)</w:t>
      </w:r>
      <w:r>
        <w:rPr>
          <w:bCs/>
        </w:rPr>
        <w:t xml:space="preserve">, and </w:t>
      </w:r>
      <w:r w:rsidRPr="002A3B38">
        <w:rPr>
          <w:bCs/>
        </w:rPr>
        <w:t xml:space="preserve">in ‘undiagnosed’ patients with CPEO who were suspected </w:t>
      </w:r>
      <w:r>
        <w:rPr>
          <w:bCs/>
        </w:rPr>
        <w:t>of</w:t>
      </w:r>
      <w:r w:rsidRPr="002A3B38">
        <w:rPr>
          <w:bCs/>
        </w:rPr>
        <w:t xml:space="preserve"> having </w:t>
      </w:r>
      <w:r>
        <w:rPr>
          <w:bCs/>
        </w:rPr>
        <w:t xml:space="preserve">a </w:t>
      </w:r>
      <w:r w:rsidRPr="002A3B38">
        <w:rPr>
          <w:bCs/>
        </w:rPr>
        <w:t>single mtDNA deletion. In this situation</w:t>
      </w:r>
      <w:r>
        <w:rPr>
          <w:bCs/>
        </w:rPr>
        <w:t>,</w:t>
      </w:r>
      <w:r w:rsidRPr="002A3B38">
        <w:rPr>
          <w:bCs/>
        </w:rPr>
        <w:t xml:space="preserve"> a </w:t>
      </w:r>
      <w:r>
        <w:rPr>
          <w:bCs/>
        </w:rPr>
        <w:t xml:space="preserve">saliva sample, a </w:t>
      </w:r>
      <w:r w:rsidRPr="002A3B38">
        <w:rPr>
          <w:bCs/>
        </w:rPr>
        <w:t xml:space="preserve">needle biopsy </w:t>
      </w:r>
      <w:r>
        <w:rPr>
          <w:bCs/>
        </w:rPr>
        <w:t>(agnostic of tissue chosen) or</w:t>
      </w:r>
      <w:r w:rsidRPr="002A3B38">
        <w:rPr>
          <w:bCs/>
        </w:rPr>
        <w:t xml:space="preserve"> a long-range PCR would be performed. </w:t>
      </w:r>
    </w:p>
    <w:p w14:paraId="3821403B" w14:textId="77777777" w:rsidR="00534352" w:rsidRPr="002A3B38" w:rsidRDefault="00534352" w:rsidP="00534352">
      <w:pPr>
        <w:pStyle w:val="ListParagraph"/>
        <w:ind w:left="360"/>
        <w:rPr>
          <w:bCs/>
        </w:rPr>
      </w:pPr>
    </w:p>
    <w:p w14:paraId="6EA9EBF3" w14:textId="77777777" w:rsidR="00534352" w:rsidRDefault="00534352" w:rsidP="00534352">
      <w:pPr>
        <w:pStyle w:val="ListParagraph"/>
        <w:ind w:left="360"/>
      </w:pPr>
      <w:r>
        <w:t>Currently there are &gt;350 genetic variants recognised to be causal of MD, which may well extend beyond 400 by the completion of this application.  NATA accredited diagnostic services such as the “</w:t>
      </w:r>
      <w:r w:rsidRPr="00B05735">
        <w:t>Victorian Clinical Genetic Services</w:t>
      </w:r>
      <w:r>
        <w:t xml:space="preserve">”, have access to comprehensive reference lists of known variants available nationally or internationally on websites such as </w:t>
      </w:r>
      <w:proofErr w:type="spellStart"/>
      <w:r>
        <w:t>PanelApp</w:t>
      </w:r>
      <w:proofErr w:type="spellEnd"/>
      <w:r>
        <w:t xml:space="preserve"> Australia or </w:t>
      </w:r>
      <w:proofErr w:type="spellStart"/>
      <w:r>
        <w:t>PanelApp</w:t>
      </w:r>
      <w:proofErr w:type="spellEnd"/>
      <w:r>
        <w:t xml:space="preserve"> UK.  Otherwise, they may seek advice from alternative sites such as the</w:t>
      </w:r>
      <w:r w:rsidRPr="00B91E54">
        <w:t> </w:t>
      </w:r>
      <w:r>
        <w:t xml:space="preserve">international </w:t>
      </w:r>
      <w:r w:rsidRPr="00B91E54">
        <w:t>“Mitochondrial Disease Sequence Data Resource (</w:t>
      </w:r>
      <w:proofErr w:type="spellStart"/>
      <w:r w:rsidRPr="00B91E54">
        <w:t>MSeqDR</w:t>
      </w:r>
      <w:proofErr w:type="spellEnd"/>
      <w:r w:rsidRPr="00B91E54">
        <w:t>) Consortium”</w:t>
      </w:r>
      <w:r>
        <w:t xml:space="preserve">, which </w:t>
      </w:r>
      <w:r w:rsidRPr="00B91E54">
        <w:t>identif</w:t>
      </w:r>
      <w:r>
        <w:t>ies</w:t>
      </w:r>
      <w:r w:rsidRPr="00B91E54">
        <w:t xml:space="preserve"> and prioritize</w:t>
      </w:r>
      <w:r>
        <w:t>s</w:t>
      </w:r>
      <w:r w:rsidRPr="00B91E54">
        <w:t xml:space="preserve"> specific genomic data analysis </w:t>
      </w:r>
      <w:r>
        <w:t xml:space="preserve">to meet the </w:t>
      </w:r>
      <w:r w:rsidRPr="00B91E54">
        <w:t>needs</w:t>
      </w:r>
      <w:r>
        <w:t xml:space="preserve"> of the mitochondrial medical and research community world-wide. </w:t>
      </w:r>
    </w:p>
    <w:p w14:paraId="07CDC54A" w14:textId="77777777" w:rsidR="00534352" w:rsidRDefault="00534352" w:rsidP="00534352">
      <w:pPr>
        <w:pStyle w:val="ListParagraph"/>
        <w:ind w:left="360"/>
      </w:pPr>
    </w:p>
    <w:p w14:paraId="7C164CAB" w14:textId="77777777" w:rsidR="00534352" w:rsidRDefault="00534352" w:rsidP="00534352">
      <w:pPr>
        <w:pStyle w:val="ListParagraph"/>
        <w:ind w:left="360"/>
      </w:pPr>
      <w:r w:rsidRPr="00A5223A">
        <w:t xml:space="preserve">After </w:t>
      </w:r>
      <w:r>
        <w:t>determination</w:t>
      </w:r>
      <w:r w:rsidRPr="00A5223A">
        <w:t xml:space="preserve"> of a genetic diagnosis, patients with </w:t>
      </w:r>
      <w:r>
        <w:t>MD</w:t>
      </w:r>
      <w:r w:rsidRPr="00A5223A">
        <w:t xml:space="preserve"> are able to under</w:t>
      </w:r>
      <w:r>
        <w:t>go</w:t>
      </w:r>
      <w:r w:rsidRPr="00A5223A">
        <w:t xml:space="preserve"> disease specific treatment</w:t>
      </w:r>
      <w:r>
        <w:t>s</w:t>
      </w:r>
      <w:r w:rsidRPr="00A5223A">
        <w:t xml:space="preserve"> and interventions to prevent adverse outcomes (e.g., MNGIE, LHON, MELAS), avoid medications that can cause adverse outcomes (e.g.</w:t>
      </w:r>
      <w:r>
        <w:t xml:space="preserve">  POLG</w:t>
      </w:r>
      <w:r w:rsidRPr="00A5223A">
        <w:t xml:space="preserve">) and unnecessary treatments as well as </w:t>
      </w:r>
      <w:r>
        <w:t xml:space="preserve">consider </w:t>
      </w:r>
      <w:r w:rsidRPr="00A5223A">
        <w:t>informed family planning</w:t>
      </w:r>
      <w:r>
        <w:t xml:space="preserve"> options</w:t>
      </w:r>
      <w:r w:rsidRPr="00A5223A">
        <w:t xml:space="preserve">. </w:t>
      </w:r>
      <w:r>
        <w:t>That is, w</w:t>
      </w:r>
      <w:r w:rsidRPr="006869DA">
        <w:rPr>
          <w:bCs/>
        </w:rPr>
        <w:t xml:space="preserve">ith genetic testing, access to targeted therapies or </w:t>
      </w:r>
      <w:r>
        <w:rPr>
          <w:bCs/>
        </w:rPr>
        <w:t xml:space="preserve">assisted </w:t>
      </w:r>
      <w:r w:rsidRPr="006869DA">
        <w:rPr>
          <w:bCs/>
        </w:rPr>
        <w:t>reproductive technologies</w:t>
      </w:r>
      <w:r>
        <w:rPr>
          <w:bCs/>
        </w:rPr>
        <w:t xml:space="preserve"> (ART)</w:t>
      </w:r>
      <w:r w:rsidRPr="006869DA">
        <w:rPr>
          <w:bCs/>
        </w:rPr>
        <w:t xml:space="preserve"> to prevent </w:t>
      </w:r>
      <w:r>
        <w:rPr>
          <w:bCs/>
        </w:rPr>
        <w:t>disease inheritance,</w:t>
      </w:r>
      <w:r w:rsidRPr="006869DA">
        <w:rPr>
          <w:bCs/>
        </w:rPr>
        <w:t xml:space="preserve"> can be confidently provided.</w:t>
      </w:r>
      <w:r>
        <w:rPr>
          <w:bCs/>
        </w:rPr>
        <w:t xml:space="preserve"> </w:t>
      </w:r>
      <w:r w:rsidRPr="00A5223A">
        <w:t xml:space="preserve">The </w:t>
      </w:r>
      <w:r>
        <w:t xml:space="preserve">precise </w:t>
      </w:r>
      <w:r w:rsidRPr="00A5223A">
        <w:t xml:space="preserve">clinical management pathway followed is dependent </w:t>
      </w:r>
      <w:r>
        <w:t>up</w:t>
      </w:r>
      <w:r w:rsidRPr="00A5223A">
        <w:t xml:space="preserve">on the specific </w:t>
      </w:r>
      <w:r>
        <w:t>MD</w:t>
      </w:r>
      <w:r w:rsidRPr="00A5223A">
        <w:t xml:space="preserve"> that is </w:t>
      </w:r>
      <w:r>
        <w:t>identified</w:t>
      </w:r>
      <w:r w:rsidRPr="00A5223A">
        <w:t xml:space="preserve"> by the genetic testing (i.e., precision medicine)</w:t>
      </w:r>
      <w:r>
        <w:t>.</w:t>
      </w:r>
    </w:p>
    <w:p w14:paraId="7E884370" w14:textId="77777777" w:rsidR="00534352" w:rsidRDefault="00534352" w:rsidP="00534352">
      <w:pPr>
        <w:pStyle w:val="ListParagraph"/>
        <w:ind w:left="360"/>
      </w:pPr>
    </w:p>
    <w:p w14:paraId="4C9021B0" w14:textId="77777777" w:rsidR="00534352" w:rsidRPr="00585F5C" w:rsidRDefault="00534352" w:rsidP="00534352">
      <w:pPr>
        <w:pStyle w:val="ListParagraph"/>
        <w:ind w:left="360"/>
      </w:pPr>
      <w:r w:rsidRPr="00585F5C">
        <w:t xml:space="preserve">The most common general therapies available to the </w:t>
      </w:r>
      <w:r>
        <w:t>MD</w:t>
      </w:r>
      <w:r w:rsidRPr="00585F5C">
        <w:t xml:space="preserve"> patient are those described within the mitochondrial cocktail which can vary slightly from specialist to specialist and country to country. This includes a combination of nutraceuticals, often in higher than the recommended doses but within safe thresholds, and includes CoQ10, magnesium orotate, riboflavin, thiamine, and vitamins E and C.  Other nutraceuticals often recommended in addition to the cocktail, include Idebenone (in place of CoQ10), nicotinamide riboside (NAD+), vitamin A, carnitine, and creatine. These are all currently freely available ‘over the counter’ and not subsidised by the PBS.  Due to the large variety and higher doses of nutraceuticals required within the mitochondrial cocktail, patients may often spend in excess of $</w:t>
      </w:r>
      <w:r>
        <w:t>4</w:t>
      </w:r>
      <w:r w:rsidRPr="00585F5C">
        <w:t>00 per month, with NAD+ alone costing approximately $180 per month.  Whilst the</w:t>
      </w:r>
      <w:r>
        <w:t xml:space="preserve"> ‘mitochondrial cocktail’ </w:t>
      </w:r>
      <w:r w:rsidRPr="00585F5C">
        <w:t xml:space="preserve"> </w:t>
      </w:r>
      <w:r w:rsidRPr="00585F5C">
        <w:lastRenderedPageBreak/>
        <w:t>remain</w:t>
      </w:r>
      <w:r>
        <w:t>s</w:t>
      </w:r>
      <w:r w:rsidRPr="00585F5C">
        <w:t xml:space="preserve"> the</w:t>
      </w:r>
      <w:r>
        <w:t xml:space="preserve"> primary current and general reco</w:t>
      </w:r>
      <w:r w:rsidRPr="00585F5C">
        <w:t xml:space="preserve">mmendation for </w:t>
      </w:r>
      <w:r>
        <w:t xml:space="preserve">MD </w:t>
      </w:r>
      <w:r w:rsidRPr="00585F5C">
        <w:t xml:space="preserve">management, studies are inconclusive as to </w:t>
      </w:r>
      <w:r>
        <w:t>the</w:t>
      </w:r>
      <w:r w:rsidRPr="00585F5C">
        <w:t xml:space="preserve"> real value</w:t>
      </w:r>
      <w:r>
        <w:t xml:space="preserve"> of it as a whole</w:t>
      </w:r>
      <w:r w:rsidRPr="00585F5C">
        <w:t>.</w:t>
      </w:r>
    </w:p>
    <w:p w14:paraId="50693C78" w14:textId="77777777" w:rsidR="00534352" w:rsidRPr="00585F5C" w:rsidRDefault="00534352" w:rsidP="00534352">
      <w:pPr>
        <w:pStyle w:val="ListParagraph"/>
        <w:ind w:left="360"/>
      </w:pPr>
    </w:p>
    <w:p w14:paraId="7041B822" w14:textId="77777777" w:rsidR="00534352" w:rsidRPr="00585F5C" w:rsidRDefault="00534352" w:rsidP="00534352">
      <w:pPr>
        <w:pStyle w:val="ListParagraph"/>
        <w:ind w:left="360"/>
      </w:pPr>
      <w:r w:rsidRPr="00585F5C">
        <w:t>A genetic diagnosis would allow a patient to seek more targeted therapeutics</w:t>
      </w:r>
      <w:r>
        <w:t>,</w:t>
      </w:r>
      <w:r w:rsidRPr="00585F5C">
        <w:t xml:space="preserve"> and nutraceuticals appropriate for </w:t>
      </w:r>
      <w:r>
        <w:t>treat</w:t>
      </w:r>
      <w:r w:rsidRPr="00585F5C">
        <w:t>ing their</w:t>
      </w:r>
      <w:r>
        <w:t xml:space="preserve"> individual genotype</w:t>
      </w:r>
      <w:r w:rsidRPr="00585F5C">
        <w:t>, there</w:t>
      </w:r>
      <w:r>
        <w:t>by</w:t>
      </w:r>
      <w:r w:rsidRPr="00585F5C">
        <w:t xml:space="preserve"> </w:t>
      </w:r>
      <w:r>
        <w:t>improving disease management, slowed disease progression with the minimisation of metabolic crises</w:t>
      </w:r>
      <w:r w:rsidRPr="00585F5C">
        <w:t xml:space="preserve">.  If </w:t>
      </w:r>
      <w:r>
        <w:t xml:space="preserve">a </w:t>
      </w:r>
      <w:r w:rsidRPr="00585F5C">
        <w:t xml:space="preserve">targeted nutraceutical could be delivered more effectively and cost efficiently, </w:t>
      </w:r>
      <w:r>
        <w:t>then greater</w:t>
      </w:r>
      <w:r w:rsidRPr="00585F5C">
        <w:t xml:space="preserve"> compliance would</w:t>
      </w:r>
      <w:r>
        <w:t xml:space="preserve"> also</w:t>
      </w:r>
      <w:r w:rsidRPr="00585F5C">
        <w:t xml:space="preserve"> </w:t>
      </w:r>
      <w:r>
        <w:t>follow,</w:t>
      </w:r>
      <w:r w:rsidRPr="00585F5C">
        <w:t xml:space="preserve"> as would</w:t>
      </w:r>
      <w:r>
        <w:t xml:space="preserve"> greater</w:t>
      </w:r>
      <w:r w:rsidRPr="00585F5C">
        <w:t xml:space="preserve"> health outcomes. A non-genetic diagnosis allows the current management strategies of costly broad </w:t>
      </w:r>
      <w:r>
        <w:t>spectrum</w:t>
      </w:r>
      <w:r w:rsidRPr="00585F5C">
        <w:t xml:space="preserve"> ‘cocktail</w:t>
      </w:r>
      <w:r>
        <w:t>s</w:t>
      </w:r>
      <w:r w:rsidRPr="00585F5C">
        <w:t xml:space="preserve">’ to continue .  </w:t>
      </w:r>
    </w:p>
    <w:p w14:paraId="2441E9D0" w14:textId="77777777" w:rsidR="00534352" w:rsidRDefault="00534352" w:rsidP="00534352">
      <w:pPr>
        <w:pStyle w:val="ListParagraph"/>
        <w:ind w:left="360"/>
        <w:rPr>
          <w:highlight w:val="cyan"/>
        </w:rPr>
      </w:pPr>
    </w:p>
    <w:p w14:paraId="0FB394FA" w14:textId="77777777" w:rsidR="00534352" w:rsidRDefault="00534352" w:rsidP="00534352">
      <w:pPr>
        <w:pStyle w:val="ListParagraph"/>
        <w:ind w:left="360"/>
      </w:pPr>
      <w:r w:rsidRPr="00074690">
        <w:t xml:space="preserve">Current PBS approved therapies available to the </w:t>
      </w:r>
      <w:r>
        <w:t>MD</w:t>
      </w:r>
      <w:r w:rsidRPr="00074690">
        <w:t xml:space="preserve"> patient include those predominantly used for </w:t>
      </w:r>
      <w:r w:rsidRPr="009A7E40">
        <w:rPr>
          <w:b/>
          <w:bCs/>
        </w:rPr>
        <w:t>symptomatic control</w:t>
      </w:r>
      <w:r w:rsidRPr="00074690">
        <w:t xml:space="preserve"> and </w:t>
      </w:r>
      <w:r w:rsidRPr="009A7E40">
        <w:rPr>
          <w:b/>
          <w:bCs/>
        </w:rPr>
        <w:t>organ involvement</w:t>
      </w:r>
      <w:r w:rsidRPr="00074690">
        <w:t xml:space="preserve">. </w:t>
      </w:r>
      <w:r>
        <w:t xml:space="preserve">Such examples include the current PBS listed oral hypoglycaemic agents and Insulin available to treat diabetes, with the judicious use of Metformin. The wide range of anti-epileptic medications available, are vital for the control of seizures in the majority of patients affected, again practising caution in regard to Sodium Valproate.  </w:t>
      </w:r>
    </w:p>
    <w:p w14:paraId="7766E813" w14:textId="77777777" w:rsidR="00534352" w:rsidRDefault="00534352" w:rsidP="00534352">
      <w:pPr>
        <w:pStyle w:val="ListParagraph"/>
        <w:ind w:left="360"/>
      </w:pPr>
    </w:p>
    <w:p w14:paraId="41E21604" w14:textId="77777777" w:rsidR="00534352" w:rsidRPr="00074690" w:rsidRDefault="00534352" w:rsidP="00534352">
      <w:pPr>
        <w:pStyle w:val="ListParagraph"/>
        <w:ind w:left="360"/>
      </w:pPr>
      <w:r>
        <w:t>There are no current treatments (or cures) specifically for MDs as a whole available on the PBS, although the list below demonstrates several PBS and MBS funded targeted therapies.   However, alternative funding is available for a few select targeted treatments via various</w:t>
      </w:r>
      <w:r w:rsidRPr="00074690">
        <w:t xml:space="preserve"> subsidi</w:t>
      </w:r>
      <w:r>
        <w:t>s</w:t>
      </w:r>
      <w:r w:rsidRPr="00074690">
        <w:t>ed schemes</w:t>
      </w:r>
      <w:r>
        <w:t>,</w:t>
      </w:r>
      <w:r w:rsidRPr="00074690">
        <w:t xml:space="preserve"> such as Idebenone for LHON, and arginine and</w:t>
      </w:r>
      <w:r>
        <w:t>/or</w:t>
      </w:r>
      <w:r w:rsidRPr="00074690">
        <w:t xml:space="preserve"> carnitine for use in children with a confirmed metabolic disorder such </w:t>
      </w:r>
      <w:r w:rsidRPr="000D22F0">
        <w:t>MELAS</w:t>
      </w:r>
      <w:r>
        <w:t>.</w:t>
      </w:r>
      <w:r w:rsidRPr="000D22F0">
        <w:t xml:space="preserve">   </w:t>
      </w:r>
    </w:p>
    <w:p w14:paraId="19736DB3" w14:textId="77777777" w:rsidR="00534352" w:rsidRDefault="00534352" w:rsidP="00534352">
      <w:pPr>
        <w:pStyle w:val="ListParagraph"/>
        <w:ind w:left="360"/>
        <w:rPr>
          <w:highlight w:val="cyan"/>
        </w:rPr>
      </w:pPr>
    </w:p>
    <w:p w14:paraId="7C44221F" w14:textId="77777777" w:rsidR="00534352" w:rsidRDefault="00534352" w:rsidP="00534352">
      <w:pPr>
        <w:pStyle w:val="ListParagraph"/>
        <w:ind w:left="360"/>
      </w:pPr>
      <w:r>
        <w:t xml:space="preserve">Targeted treatment and management strategies listed include, </w:t>
      </w:r>
    </w:p>
    <w:p w14:paraId="5CDE0502" w14:textId="77777777" w:rsidR="00534352" w:rsidRDefault="00534352" w:rsidP="00534352">
      <w:pPr>
        <w:pStyle w:val="ListParagraph"/>
        <w:numPr>
          <w:ilvl w:val="0"/>
          <w:numId w:val="26"/>
        </w:numPr>
      </w:pPr>
      <w:r>
        <w:t xml:space="preserve">numerous  available and condition-effective nutraceuticals (generally non-subsidised but may occasionally be subsidised via various schemes), </w:t>
      </w:r>
    </w:p>
    <w:p w14:paraId="4C730068" w14:textId="77777777" w:rsidR="00534352" w:rsidRDefault="00534352" w:rsidP="00534352">
      <w:pPr>
        <w:pStyle w:val="ListParagraph"/>
        <w:numPr>
          <w:ilvl w:val="0"/>
          <w:numId w:val="26"/>
        </w:numPr>
      </w:pPr>
      <w:r>
        <w:t>current PBS available medication to support organ dysfunction/failure (e.g., pancreatic replacement enzymes in Pearson’s disease)</w:t>
      </w:r>
    </w:p>
    <w:p w14:paraId="72E37816" w14:textId="77777777" w:rsidR="00534352" w:rsidRDefault="00534352" w:rsidP="00534352">
      <w:pPr>
        <w:pStyle w:val="ListParagraph"/>
        <w:numPr>
          <w:ilvl w:val="0"/>
          <w:numId w:val="26"/>
        </w:numPr>
      </w:pPr>
      <w:r>
        <w:t xml:space="preserve">conventional but potentially harmful therapies to avoid (e.g., sodium valproate for seizures in POLG), </w:t>
      </w:r>
    </w:p>
    <w:p w14:paraId="1B82C9D3" w14:textId="77777777" w:rsidR="00534352" w:rsidRDefault="00534352" w:rsidP="00534352">
      <w:pPr>
        <w:pStyle w:val="ListParagraph"/>
        <w:numPr>
          <w:ilvl w:val="0"/>
          <w:numId w:val="26"/>
        </w:numPr>
      </w:pPr>
      <w:r>
        <w:t>available surgical and therapeutical options (e.g., a</w:t>
      </w:r>
      <w:r w:rsidRPr="00E82177">
        <w:t>llogeneic hematopoietic stem cell transplant</w:t>
      </w:r>
      <w:r>
        <w:t xml:space="preserve">, and liver transplant in MNGIE), </w:t>
      </w:r>
    </w:p>
    <w:p w14:paraId="03855170" w14:textId="77777777" w:rsidR="00534352" w:rsidRDefault="00534352" w:rsidP="00534352">
      <w:pPr>
        <w:pStyle w:val="ListParagraph"/>
        <w:numPr>
          <w:ilvl w:val="0"/>
          <w:numId w:val="26"/>
        </w:numPr>
      </w:pPr>
      <w:r>
        <w:t xml:space="preserve">rescue and supportive therapies, </w:t>
      </w:r>
      <w:r w:rsidRPr="00E82177">
        <w:t xml:space="preserve"> </w:t>
      </w:r>
    </w:p>
    <w:p w14:paraId="2C91E87E" w14:textId="77777777" w:rsidR="00534352" w:rsidRDefault="00534352" w:rsidP="00534352">
      <w:pPr>
        <w:pStyle w:val="ListParagraph"/>
        <w:numPr>
          <w:ilvl w:val="0"/>
          <w:numId w:val="26"/>
        </w:numPr>
      </w:pPr>
      <w:r>
        <w:t xml:space="preserve">effective lifestyle options (e.g., ketogenic diet), </w:t>
      </w:r>
    </w:p>
    <w:p w14:paraId="7490E317" w14:textId="77777777" w:rsidR="00534352" w:rsidRDefault="00534352" w:rsidP="00534352">
      <w:pPr>
        <w:pStyle w:val="ListParagraph"/>
        <w:numPr>
          <w:ilvl w:val="0"/>
          <w:numId w:val="26"/>
        </w:numPr>
      </w:pPr>
      <w:r>
        <w:t xml:space="preserve">preventative strategies (e.g., ART and PGD in respect to </w:t>
      </w:r>
      <w:proofErr w:type="spellStart"/>
      <w:r>
        <w:t>nDNA</w:t>
      </w:r>
      <w:proofErr w:type="spellEnd"/>
      <w:r>
        <w:t xml:space="preserve"> variants ), and</w:t>
      </w:r>
    </w:p>
    <w:p w14:paraId="7564E7D5" w14:textId="77777777" w:rsidR="00534352" w:rsidRDefault="00534352" w:rsidP="00534352">
      <w:pPr>
        <w:pStyle w:val="ListParagraph"/>
        <w:numPr>
          <w:ilvl w:val="0"/>
          <w:numId w:val="26"/>
        </w:numPr>
      </w:pPr>
      <w:r>
        <w:t xml:space="preserve">new developments offering curative interventions or improvements decreasing morbidity and mortality. </w:t>
      </w:r>
    </w:p>
    <w:p w14:paraId="24E44F3F" w14:textId="0AC2BBA4" w:rsidR="002E2B44" w:rsidRPr="00183E60" w:rsidRDefault="00534352" w:rsidP="00183E60">
      <w:pPr>
        <w:ind w:left="426"/>
      </w:pPr>
      <w:r w:rsidRPr="00534352">
        <w:rPr>
          <w:b/>
          <w:bCs/>
          <w:color w:val="FF0000"/>
        </w:rPr>
        <w:t xml:space="preserve">PLEASE </w:t>
      </w:r>
      <w:proofErr w:type="gramStart"/>
      <w:r w:rsidRPr="00534352">
        <w:rPr>
          <w:b/>
          <w:bCs/>
          <w:color w:val="FF0000"/>
        </w:rPr>
        <w:t>NOTE :</w:t>
      </w:r>
      <w:proofErr w:type="gramEnd"/>
      <w:r w:rsidRPr="00534352">
        <w:rPr>
          <w:color w:val="FF0000"/>
        </w:rPr>
        <w:t xml:space="preserve"> </w:t>
      </w:r>
      <w:r w:rsidRPr="00955330">
        <w:t xml:space="preserve">Table 1 in the Appendix, details a comprehensive list of available treatments </w:t>
      </w:r>
      <w:r>
        <w:t>linked to</w:t>
      </w:r>
      <w:r w:rsidRPr="00955330">
        <w:t xml:space="preserve"> the known</w:t>
      </w:r>
      <w:r>
        <w:t xml:space="preserve"> </w:t>
      </w:r>
      <w:r w:rsidRPr="00955330">
        <w:t>genetic variant/s of each phenotype.</w:t>
      </w:r>
    </w:p>
    <w:p w14:paraId="331377B2" w14:textId="77777777" w:rsidR="00DF0D47" w:rsidRPr="00881F93" w:rsidRDefault="005C3AE7" w:rsidP="006527A9">
      <w:pPr>
        <w:pStyle w:val="Subtitle"/>
        <w:ind w:left="0"/>
      </w:pPr>
      <w:r>
        <w:t xml:space="preserve">PART 6d – </w:t>
      </w:r>
      <w:r w:rsidR="00DF0D47" w:rsidRPr="00881F93">
        <w:t xml:space="preserve">INFORMATION ABOUT THE </w:t>
      </w:r>
      <w:r w:rsidR="00CF5AD8" w:rsidRPr="00881F93">
        <w:t xml:space="preserve">CLINICAL </w:t>
      </w:r>
      <w:r w:rsidR="00DF0D47" w:rsidRPr="00881F93">
        <w:t>OUTCOME</w:t>
      </w:r>
    </w:p>
    <w:p w14:paraId="0CE3C6C0" w14:textId="4134D275" w:rsidR="004E3CC7" w:rsidRPr="00F60993" w:rsidRDefault="007B1936" w:rsidP="007B1936">
      <w:pPr>
        <w:pStyle w:val="Heading2"/>
        <w:numPr>
          <w:ilvl w:val="0"/>
          <w:numId w:val="0"/>
        </w:numPr>
        <w:ind w:left="360" w:hanging="360"/>
      </w:pPr>
      <w:r w:rsidRPr="00F60993">
        <w:t xml:space="preserve">43. </w:t>
      </w:r>
      <w:r w:rsidR="004E3CC7" w:rsidRPr="00F60993">
        <w:t>Summarise the clinical claims for the proposed medical service against the appropriate comparator(s), in terms of consequences for health outcomes</w:t>
      </w:r>
      <w:r w:rsidR="00CF5AD8" w:rsidRPr="00F60993">
        <w:t xml:space="preserve"> (</w:t>
      </w:r>
      <w:r w:rsidR="009F0C02" w:rsidRPr="00F60993">
        <w:t>comparative benefits and harms)</w:t>
      </w:r>
      <w:r w:rsidR="00AE1188" w:rsidRPr="00F60993">
        <w:t>:</w:t>
      </w:r>
    </w:p>
    <w:p w14:paraId="7FCC7825" w14:textId="77777777" w:rsidR="00523996" w:rsidRPr="00790691" w:rsidRDefault="00523996" w:rsidP="006527A9">
      <w:pPr>
        <w:ind w:left="360"/>
      </w:pPr>
      <w:r w:rsidRPr="00790691">
        <w:t xml:space="preserve">In </w:t>
      </w:r>
      <w:r>
        <w:t>a</w:t>
      </w:r>
      <w:r w:rsidRPr="00790691">
        <w:t xml:space="preserve"> study using WGS to diagnose 242 patients with suspected </w:t>
      </w:r>
      <w:r>
        <w:t>MD</w:t>
      </w:r>
      <w:r w:rsidRPr="00790691">
        <w:t xml:space="preserve"> (Davis et al, submitted 2021), a </w:t>
      </w:r>
      <w:r>
        <w:t xml:space="preserve">definitive genetic </w:t>
      </w:r>
      <w:r w:rsidRPr="00790691">
        <w:t>diagnosis</w:t>
      </w:r>
      <w:r>
        <w:t xml:space="preserve"> was achieved</w:t>
      </w:r>
      <w:r w:rsidRPr="00790691">
        <w:t xml:space="preserve"> in 130/242 patients. </w:t>
      </w:r>
    </w:p>
    <w:p w14:paraId="622A2D88" w14:textId="77777777" w:rsidR="00523996" w:rsidRPr="00790691" w:rsidRDefault="00523996" w:rsidP="006527A9">
      <w:pPr>
        <w:ind w:left="360"/>
      </w:pPr>
      <w:r w:rsidRPr="00790691">
        <w:t xml:space="preserve">This </w:t>
      </w:r>
      <w:r>
        <w:t xml:space="preserve">diagnosis </w:t>
      </w:r>
      <w:r w:rsidRPr="00790691">
        <w:t>changed management in 42/130 patients by informing precise treatment for 27/130 patients who achieved a molecular diagnosis (16 patients with Stroke-like episodes, 6 patients with LHON, 3 patients with MNGIE, 2 patients with congenital myasthenia), enabling informed avoidance of inappropriate medications in 15 patients (MIDD x8, POLG x7) and restored reproductive confidence in 30 additional families.</w:t>
      </w:r>
    </w:p>
    <w:p w14:paraId="0721B19F" w14:textId="77777777" w:rsidR="00523996" w:rsidRDefault="00523996" w:rsidP="006527A9">
      <w:pPr>
        <w:ind w:left="360"/>
      </w:pPr>
      <w:r w:rsidRPr="00790691">
        <w:t xml:space="preserve">From a clinical perspective, an accurate assignment of </w:t>
      </w:r>
      <w:r>
        <w:t>a genetic variants has important</w:t>
      </w:r>
      <w:r w:rsidRPr="00790691">
        <w:t xml:space="preserve"> prognostic and therapeutic implications for the patient. Clinicians can reach a definitive diagnosis earlier</w:t>
      </w:r>
      <w:r>
        <w:t xml:space="preserve"> in the medical odyssey)</w:t>
      </w:r>
      <w:r w:rsidRPr="00790691">
        <w:t>; they can provide patient-centred monitoring and therapy; and refer patients to other relevant healthcare services and clinicians</w:t>
      </w:r>
      <w:r>
        <w:t xml:space="preserve"> as required</w:t>
      </w:r>
      <w:r w:rsidRPr="00790691">
        <w:t xml:space="preserve">. Also, genetic counselling services </w:t>
      </w:r>
      <w:r>
        <w:t>can be offered</w:t>
      </w:r>
      <w:r w:rsidRPr="00790691">
        <w:t xml:space="preserve">, </w:t>
      </w:r>
      <w:r>
        <w:t xml:space="preserve">with </w:t>
      </w:r>
      <w:r w:rsidRPr="00790691">
        <w:t>clinicians able to provide relevant information on prognosis, family planning and long-term management.</w:t>
      </w:r>
    </w:p>
    <w:p w14:paraId="32A7D3DD" w14:textId="77777777" w:rsidR="00523996" w:rsidRDefault="00523996" w:rsidP="006527A9">
      <w:pPr>
        <w:ind w:left="360"/>
      </w:pPr>
      <w:r>
        <w:lastRenderedPageBreak/>
        <w:t xml:space="preserve">Providing patients with a definitive genetic diagnosis prevents recurrent reviews and often invasive, costly re-evaluations. A single WGS test will often prove to be much more cost-effective, than a repeated complex array of investigations including potentially harmful invasive tissue biopsies and successive candidate gene testing.   Mitochondrial mimickers can be more confidently detected, and patients moved more quickly and decisively into appropriate management strategies that can prevent metabolic crises, improve quality of life indicators, and avoid inappropriate management that may be harmful. </w:t>
      </w:r>
    </w:p>
    <w:p w14:paraId="6B779A7A" w14:textId="77777777" w:rsidR="00523996" w:rsidRDefault="00523996" w:rsidP="006527A9">
      <w:pPr>
        <w:ind w:left="360"/>
      </w:pPr>
      <w:r>
        <w:t xml:space="preserve">Identification of the causative gene variant in a MD patient also allows for cascade testing, not just amongst those asymptomatic family members seeking family planning guidance, but more significantly in those family members with spurious symptomology that are undergoing their own complex diagnostic pathway to find a definitive diagnosis for themselves. </w:t>
      </w:r>
    </w:p>
    <w:p w14:paraId="666E2850" w14:textId="0BF884BD" w:rsidR="00523996" w:rsidRPr="005E06E1" w:rsidRDefault="00523996" w:rsidP="006527A9">
      <w:pPr>
        <w:ind w:left="360"/>
      </w:pPr>
      <w:r w:rsidRPr="005E06E1">
        <w:t>Precision therapies would be</w:t>
      </w:r>
      <w:r>
        <w:t>come</w:t>
      </w:r>
      <w:r w:rsidRPr="005E06E1">
        <w:t xml:space="preserve"> available to a patient with a genetically confirmed diagnosis, </w:t>
      </w:r>
      <w:r>
        <w:t xml:space="preserve">and are </w:t>
      </w:r>
      <w:r w:rsidRPr="005E06E1">
        <w:t xml:space="preserve">often expected to slow disease progression rather than reverse </w:t>
      </w:r>
      <w:r w:rsidR="00016E1D">
        <w:t xml:space="preserve">any related </w:t>
      </w:r>
      <w:r w:rsidRPr="005E06E1">
        <w:t xml:space="preserve">morbidity.  </w:t>
      </w:r>
      <w:r>
        <w:t>Since such therapies</w:t>
      </w:r>
      <w:r w:rsidRPr="005E06E1">
        <w:t xml:space="preserve"> target the underlying biochemical defect associated with </w:t>
      </w:r>
      <w:r>
        <w:t>a particular</w:t>
      </w:r>
      <w:r w:rsidRPr="005E06E1">
        <w:t xml:space="preserve"> pathogenic </w:t>
      </w:r>
      <w:r>
        <w:t xml:space="preserve"> variant</w:t>
      </w:r>
      <w:r w:rsidRPr="005E06E1">
        <w:t xml:space="preserve">, </w:t>
      </w:r>
      <w:r>
        <w:t xml:space="preserve">to </w:t>
      </w:r>
      <w:r w:rsidRPr="005E06E1">
        <w:t xml:space="preserve">reliably identify and quantify any subtle </w:t>
      </w:r>
      <w:r>
        <w:t xml:space="preserve">resultant </w:t>
      </w:r>
      <w:r w:rsidRPr="005E06E1">
        <w:t xml:space="preserve">changes in symptomatology </w:t>
      </w:r>
      <w:r>
        <w:t>and health outcomes, becomes th</w:t>
      </w:r>
      <w:r w:rsidRPr="006B7132">
        <w:t>e challenge</w:t>
      </w:r>
      <w:r w:rsidRPr="005E06E1">
        <w:t xml:space="preserve">. Clinician-observed outcomes may not necessarily reflect what the patient (or carer) perceives, whereas patient-reported outcomes best reflect quality-of-life status, any small changes detected in an extensive list of symptoms, perceived performance changes, altered social participation, and </w:t>
      </w:r>
      <w:r>
        <w:t xml:space="preserve">disease </w:t>
      </w:r>
      <w:r w:rsidRPr="005E06E1">
        <w:t>barriers</w:t>
      </w:r>
      <w:r>
        <w:t xml:space="preserve">, are so best studied when seeking potential health outcomes subsequent to precision therapeutics. </w:t>
      </w:r>
      <w:r w:rsidRPr="005E06E1">
        <w:t xml:space="preserve">   </w:t>
      </w:r>
      <w:r>
        <w:t xml:space="preserve">In return, gene identification also allows for greater understanding of MD pathophysiology, and the emergence of an increasing number of precision therapeutics. </w:t>
      </w:r>
    </w:p>
    <w:p w14:paraId="2B0D77C8" w14:textId="77777777" w:rsidR="00523996" w:rsidRDefault="00523996" w:rsidP="006527A9">
      <w:pPr>
        <w:ind w:left="360"/>
      </w:pPr>
      <w:r>
        <w:t xml:space="preserve">Other genetic disorders, such as childhood neuromuscular disorders, have benefited from next generation sequencing (NGS) technologies into the diagnostic pathway for patients, with improved cost-effectiveness (as reported by Schofield et al. 2017), better management strategies, and informed family planning options. </w:t>
      </w:r>
    </w:p>
    <w:p w14:paraId="556FAD53" w14:textId="4B93D136" w:rsidR="001F474A" w:rsidRPr="001F474A" w:rsidRDefault="008B4E46" w:rsidP="006527A9">
      <w:pPr>
        <w:ind w:left="360"/>
      </w:pPr>
      <w:r>
        <w:t>Overall, d</w:t>
      </w:r>
      <w:r w:rsidR="001F474A" w:rsidRPr="001F474A">
        <w:t xml:space="preserve">etermining health outcomes in mitochondrial disease studies and services is challenging for many reasons inherent to the illness, and clinical trials are only as reliable and credible as the endpoints chosen to produce the meaningful data needed.  </w:t>
      </w:r>
    </w:p>
    <w:p w14:paraId="2B49F175" w14:textId="65C0FD33" w:rsidR="00AF7E2C" w:rsidRPr="00BE6154" w:rsidRDefault="001F474A" w:rsidP="006527A9">
      <w:pPr>
        <w:ind w:left="360"/>
      </w:pPr>
      <w:r w:rsidRPr="001F474A">
        <w:t xml:space="preserve">Therefore, future large-scale clinical trials to determine more accurate health outcomes in mitochondrial disease, and detailed subsequent disease progression, will require multicentre collaboration nationally and most likely internationally, to overcome as many of its inherent barriers as feasible. Then the benefits of WGS and the identification of a pathogenic variant, can be more widely determined in both diagnostics and disease management.  </w:t>
      </w:r>
    </w:p>
    <w:p w14:paraId="2603AC82" w14:textId="320B146F" w:rsidR="004E3CC7" w:rsidRPr="00154B00" w:rsidRDefault="007B1936" w:rsidP="007B1936">
      <w:pPr>
        <w:pStyle w:val="Heading2"/>
        <w:numPr>
          <w:ilvl w:val="0"/>
          <w:numId w:val="0"/>
        </w:numPr>
        <w:ind w:left="360" w:hanging="360"/>
      </w:pPr>
      <w:r>
        <w:t xml:space="preserve">44. </w:t>
      </w:r>
      <w:r w:rsidR="004E3CC7" w:rsidRPr="00154B00">
        <w:t xml:space="preserve">Please advise if the </w:t>
      </w:r>
      <w:r w:rsidR="00CF5AD8" w:rsidRPr="00092580">
        <w:t>overall</w:t>
      </w:r>
      <w:r w:rsidR="00CF5AD8">
        <w:t xml:space="preserve"> </w:t>
      </w:r>
      <w:r w:rsidR="004E3CC7" w:rsidRPr="00154B00">
        <w:t>clinical claim is for:</w:t>
      </w:r>
    </w:p>
    <w:p w14:paraId="75FDB94F" w14:textId="77777777" w:rsidR="001B29A1" w:rsidRPr="001B29A1" w:rsidRDefault="00B44092"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913B21">
        <w:rPr>
          <w:szCs w:val="20"/>
        </w:rPr>
      </w:r>
      <w:r w:rsidR="00913B21">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21BB13D9" w14:textId="42FFC673" w:rsidR="004E3CC7"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913B21">
        <w:rPr>
          <w:szCs w:val="20"/>
        </w:rPr>
      </w:r>
      <w:r w:rsidR="00913B21">
        <w:rPr>
          <w:szCs w:val="20"/>
        </w:rPr>
        <w:fldChar w:fldCharType="separate"/>
      </w:r>
      <w:r w:rsidRPr="001B29A1">
        <w:rPr>
          <w:szCs w:val="20"/>
        </w:rPr>
        <w:fldChar w:fldCharType="end"/>
      </w:r>
      <w:r w:rsidRPr="001B29A1">
        <w:rPr>
          <w:szCs w:val="20"/>
        </w:rPr>
        <w:t xml:space="preserve"> Non-inferiority</w:t>
      </w:r>
      <w:r w:rsidRPr="001B29A1">
        <w:rPr>
          <w:szCs w:val="20"/>
        </w:rPr>
        <w:tab/>
      </w:r>
    </w:p>
    <w:p w14:paraId="696D0650" w14:textId="77777777" w:rsidR="003C7B58" w:rsidRPr="001B29A1" w:rsidRDefault="003C7B58" w:rsidP="001B29A1">
      <w:pPr>
        <w:spacing w:before="0" w:after="0"/>
        <w:ind w:left="426"/>
        <w:rPr>
          <w:szCs w:val="20"/>
        </w:rPr>
      </w:pPr>
    </w:p>
    <w:p w14:paraId="17920A20" w14:textId="37BE7B26" w:rsidR="006D39DC" w:rsidRDefault="007B1936" w:rsidP="002E2B44">
      <w:pPr>
        <w:pStyle w:val="Heading2"/>
        <w:numPr>
          <w:ilvl w:val="0"/>
          <w:numId w:val="0"/>
        </w:numPr>
        <w:ind w:left="360" w:hanging="360"/>
      </w:pPr>
      <w:r w:rsidRPr="004F01A7">
        <w:t>45</w:t>
      </w:r>
      <w:r w:rsidRPr="00BB1997">
        <w:t xml:space="preserve">. </w:t>
      </w:r>
      <w:r w:rsidR="001B29A1" w:rsidRPr="00BB1997">
        <w:t>Below, l</w:t>
      </w:r>
      <w:r w:rsidR="00B25D20" w:rsidRPr="00BB1997">
        <w:t xml:space="preserve">ist the key health outcomes </w:t>
      </w:r>
      <w:r w:rsidR="00707D4D" w:rsidRPr="00BB1997">
        <w:t xml:space="preserve">(major and minor – prioritising major key health outcomes first) </w:t>
      </w:r>
      <w:r w:rsidR="00B25D20" w:rsidRPr="00BB1997">
        <w:t>that will ne</w:t>
      </w:r>
      <w:r w:rsidR="00AD37D4" w:rsidRPr="00BB1997">
        <w:t xml:space="preserve">ed to be specifically measured </w:t>
      </w:r>
      <w:r w:rsidR="00B25D20" w:rsidRPr="00BB1997">
        <w:t>in assessing the clinical claim of the proposed medica</w:t>
      </w:r>
      <w:r w:rsidR="001B29A1" w:rsidRPr="00BB1997">
        <w:t>l service versus the comparator</w:t>
      </w:r>
      <w:r w:rsidR="00AD37D4" w:rsidRPr="00BB1997">
        <w:t>:</w:t>
      </w:r>
    </w:p>
    <w:p w14:paraId="60B96B8F" w14:textId="77777777" w:rsidR="00523996" w:rsidRPr="00212A04" w:rsidRDefault="00523996" w:rsidP="00183E60">
      <w:pPr>
        <w:ind w:left="360"/>
        <w:rPr>
          <w:b/>
          <w:bCs/>
          <w:u w:val="single"/>
        </w:rPr>
      </w:pPr>
      <w:r w:rsidRPr="00212A04">
        <w:rPr>
          <w:b/>
          <w:bCs/>
          <w:u w:val="single"/>
        </w:rPr>
        <w:t xml:space="preserve">MAJOR:  </w:t>
      </w:r>
    </w:p>
    <w:p w14:paraId="44603A92" w14:textId="3421704E" w:rsidR="00523996" w:rsidRDefault="00523996" w:rsidP="00183E60">
      <w:pPr>
        <w:ind w:left="360"/>
      </w:pPr>
      <w:r w:rsidRPr="00212A04">
        <w:rPr>
          <w:b/>
          <w:bCs/>
        </w:rPr>
        <w:t>Clinical Effectiveness</w:t>
      </w:r>
    </w:p>
    <w:p w14:paraId="5C855AF0" w14:textId="1F40261B" w:rsidR="00BB1997" w:rsidRDefault="00523996" w:rsidP="00183E60">
      <w:pPr>
        <w:pStyle w:val="ListParagraph"/>
        <w:numPr>
          <w:ilvl w:val="0"/>
          <w:numId w:val="31"/>
        </w:numPr>
        <w:ind w:left="567" w:hanging="207"/>
      </w:pPr>
      <w:r>
        <w:t xml:space="preserve">confirmed diagnosis allowing for effective </w:t>
      </w:r>
      <w:r w:rsidR="00BB1997">
        <w:t xml:space="preserve">and appropriate MD </w:t>
      </w:r>
      <w:r>
        <w:t>treatment and management</w:t>
      </w:r>
      <w:r w:rsidR="00BB1997">
        <w:t xml:space="preserve"> to commence,</w:t>
      </w:r>
    </w:p>
    <w:p w14:paraId="17690447" w14:textId="67B93E80" w:rsidR="00791043" w:rsidRDefault="00791043" w:rsidP="00183E60">
      <w:pPr>
        <w:pStyle w:val="ListParagraph"/>
        <w:numPr>
          <w:ilvl w:val="0"/>
          <w:numId w:val="31"/>
        </w:numPr>
        <w:ind w:left="567" w:hanging="207"/>
      </w:pPr>
      <w:r>
        <w:t xml:space="preserve">earlier confirmed diagnosis allowing for </w:t>
      </w:r>
      <w:r w:rsidR="00BB1997">
        <w:t xml:space="preserve">earlier </w:t>
      </w:r>
      <w:r>
        <w:t xml:space="preserve">effective </w:t>
      </w:r>
      <w:r w:rsidR="00BB1997">
        <w:t>and appropriate management</w:t>
      </w:r>
      <w:r w:rsidR="00523996">
        <w:t xml:space="preserve"> </w:t>
      </w:r>
      <w:r>
        <w:t xml:space="preserve">which </w:t>
      </w:r>
      <w:r w:rsidR="00523996">
        <w:t>may halt or delay disease progression,</w:t>
      </w:r>
      <w:r w:rsidR="00BB1997" w:rsidRPr="00BB1997">
        <w:t xml:space="preserve"> prevent</w:t>
      </w:r>
      <w:r w:rsidR="00BB1997">
        <w:t>ing</w:t>
      </w:r>
      <w:r w:rsidR="00BB1997" w:rsidRPr="00BB1997">
        <w:t xml:space="preserve"> and/or minimis</w:t>
      </w:r>
      <w:r w:rsidR="00BB1997">
        <w:t>ing</w:t>
      </w:r>
      <w:r w:rsidR="00BB1997" w:rsidRPr="00BB1997">
        <w:t xml:space="preserve"> metabolic crises</w:t>
      </w:r>
      <w:r>
        <w:t xml:space="preserve">, </w:t>
      </w:r>
    </w:p>
    <w:p w14:paraId="1D49569D" w14:textId="5E0412C8" w:rsidR="00523996" w:rsidRDefault="00BB1997" w:rsidP="00183E60">
      <w:pPr>
        <w:pStyle w:val="ListParagraph"/>
        <w:numPr>
          <w:ilvl w:val="0"/>
          <w:numId w:val="31"/>
        </w:numPr>
        <w:ind w:left="567" w:hanging="207"/>
      </w:pPr>
      <w:r>
        <w:t xml:space="preserve">genetic </w:t>
      </w:r>
      <w:r w:rsidR="00523996">
        <w:t xml:space="preserve">diagnosis allowing for </w:t>
      </w:r>
      <w:r w:rsidR="00791043">
        <w:t xml:space="preserve">effective and </w:t>
      </w:r>
      <w:r w:rsidR="00523996">
        <w:t xml:space="preserve">appropriate </w:t>
      </w:r>
      <w:r w:rsidR="00791043">
        <w:t xml:space="preserve">targeted </w:t>
      </w:r>
      <w:r w:rsidR="00523996">
        <w:t>key management strategies,</w:t>
      </w:r>
    </w:p>
    <w:p w14:paraId="6AFB1E8B" w14:textId="7977783D" w:rsidR="00791043" w:rsidRDefault="00791043" w:rsidP="00183E60">
      <w:pPr>
        <w:pStyle w:val="ListParagraph"/>
        <w:numPr>
          <w:ilvl w:val="0"/>
          <w:numId w:val="31"/>
        </w:numPr>
        <w:ind w:left="567" w:hanging="207"/>
      </w:pPr>
      <w:r>
        <w:t xml:space="preserve">earlier genetic diagnosis allowing for earlier </w:t>
      </w:r>
      <w:r w:rsidRPr="00791043">
        <w:t xml:space="preserve">effective and appropriate </w:t>
      </w:r>
      <w:r>
        <w:t xml:space="preserve">targeted key </w:t>
      </w:r>
      <w:r w:rsidRPr="00791043">
        <w:t>management</w:t>
      </w:r>
      <w:r>
        <w:t xml:space="preserve"> strategies</w:t>
      </w:r>
      <w:r w:rsidRPr="00791043">
        <w:t xml:space="preserve"> which may halt or delay disease progression, preventing and/or minimising metabolic crises,</w:t>
      </w:r>
    </w:p>
    <w:p w14:paraId="268D5907" w14:textId="7345324C" w:rsidR="00523996" w:rsidRDefault="00791043" w:rsidP="00183E60">
      <w:pPr>
        <w:pStyle w:val="ListParagraph"/>
        <w:numPr>
          <w:ilvl w:val="0"/>
          <w:numId w:val="31"/>
        </w:numPr>
        <w:ind w:left="567" w:hanging="207"/>
      </w:pPr>
      <w:r>
        <w:t>identification of the specific</w:t>
      </w:r>
      <w:r w:rsidR="00523996">
        <w:t xml:space="preserve"> </w:t>
      </w:r>
      <w:r w:rsidR="00502F02">
        <w:t xml:space="preserve">pathogenic </w:t>
      </w:r>
      <w:r>
        <w:t>variant</w:t>
      </w:r>
      <w:r w:rsidR="00523996">
        <w:t xml:space="preserve"> allowing for</w:t>
      </w:r>
      <w:r>
        <w:t xml:space="preserve"> the</w:t>
      </w:r>
      <w:r w:rsidR="00523996">
        <w:t xml:space="preserve"> provision of effective targeted treatments within </w:t>
      </w:r>
      <w:r>
        <w:t>each</w:t>
      </w:r>
      <w:r w:rsidR="00523996">
        <w:t xml:space="preserve"> individual syndrome,</w:t>
      </w:r>
    </w:p>
    <w:p w14:paraId="04EBCC4D" w14:textId="77777777" w:rsidR="00183E60" w:rsidRDefault="00735DA8" w:rsidP="00183E60">
      <w:pPr>
        <w:pStyle w:val="ListParagraph"/>
        <w:numPr>
          <w:ilvl w:val="0"/>
          <w:numId w:val="31"/>
        </w:numPr>
        <w:ind w:left="567" w:hanging="207"/>
      </w:pPr>
      <w:r>
        <w:t>cessation</w:t>
      </w:r>
      <w:r w:rsidR="00791043">
        <w:t xml:space="preserve"> of inappropriate</w:t>
      </w:r>
      <w:r>
        <w:t>,</w:t>
      </w:r>
      <w:r w:rsidR="00502F02">
        <w:t xml:space="preserve"> </w:t>
      </w:r>
      <w:r>
        <w:t xml:space="preserve">ineffective, </w:t>
      </w:r>
      <w:r w:rsidR="00502F02">
        <w:t>and potentially harmful</w:t>
      </w:r>
      <w:r w:rsidR="00791043">
        <w:t xml:space="preserve"> treatments, </w:t>
      </w:r>
    </w:p>
    <w:p w14:paraId="179D3551" w14:textId="650954BA" w:rsidR="00523996" w:rsidRDefault="00183E60" w:rsidP="00183E60">
      <w:pPr>
        <w:pStyle w:val="ListParagraph"/>
        <w:numPr>
          <w:ilvl w:val="0"/>
          <w:numId w:val="31"/>
        </w:numPr>
        <w:ind w:left="567" w:hanging="207"/>
      </w:pPr>
      <w:r>
        <w:lastRenderedPageBreak/>
        <w:t>I</w:t>
      </w:r>
      <w:r w:rsidR="00523996">
        <w:t>mproved and appropriate clinical monitoring for known disease</w:t>
      </w:r>
      <w:r w:rsidR="00502F02">
        <w:t>/syndrome</w:t>
      </w:r>
      <w:r w:rsidR="00523996">
        <w:t xml:space="preserve"> indicators and complications</w:t>
      </w:r>
      <w:r w:rsidR="00791043">
        <w:t>,</w:t>
      </w:r>
      <w:r w:rsidR="00523996">
        <w:t xml:space="preserve"> </w:t>
      </w:r>
    </w:p>
    <w:p w14:paraId="33B181CB" w14:textId="39EE9999" w:rsidR="00B37275" w:rsidRDefault="00791043" w:rsidP="00183E60">
      <w:pPr>
        <w:pStyle w:val="ListParagraph"/>
        <w:numPr>
          <w:ilvl w:val="0"/>
          <w:numId w:val="31"/>
        </w:numPr>
        <w:ind w:left="720"/>
      </w:pPr>
      <w:r>
        <w:t xml:space="preserve">accurate and </w:t>
      </w:r>
      <w:r w:rsidR="00523996">
        <w:t>informed counselling for family planning,</w:t>
      </w:r>
    </w:p>
    <w:p w14:paraId="058B5C14" w14:textId="1FB39E93" w:rsidR="00B37275" w:rsidRDefault="00B37275" w:rsidP="00183E60">
      <w:pPr>
        <w:pStyle w:val="ListParagraph"/>
        <w:numPr>
          <w:ilvl w:val="0"/>
          <w:numId w:val="31"/>
        </w:numPr>
        <w:ind w:left="720"/>
      </w:pPr>
      <w:r>
        <w:t>avoidance of children born with MD,</w:t>
      </w:r>
    </w:p>
    <w:p w14:paraId="48F605AD" w14:textId="55CBADAE" w:rsidR="00523996" w:rsidRDefault="00523996" w:rsidP="00183E60">
      <w:pPr>
        <w:pStyle w:val="ListParagraph"/>
        <w:numPr>
          <w:ilvl w:val="0"/>
          <w:numId w:val="31"/>
        </w:numPr>
        <w:ind w:left="720"/>
      </w:pPr>
      <w:r>
        <w:t xml:space="preserve">informed decision making </w:t>
      </w:r>
      <w:r w:rsidR="005F2E67">
        <w:t xml:space="preserve">applying to any </w:t>
      </w:r>
      <w:r>
        <w:t xml:space="preserve">current </w:t>
      </w:r>
      <w:r w:rsidR="005F2E67">
        <w:t xml:space="preserve">or future </w:t>
      </w:r>
      <w:r>
        <w:t>children and/or foetus</w:t>
      </w:r>
      <w:r w:rsidR="005F2E67">
        <w:t xml:space="preserve"> at risk of MD</w:t>
      </w:r>
      <w:r>
        <w:t xml:space="preserve">, </w:t>
      </w:r>
    </w:p>
    <w:p w14:paraId="21449418" w14:textId="2373196F" w:rsidR="00523996" w:rsidRDefault="00523996" w:rsidP="00183E60">
      <w:pPr>
        <w:pStyle w:val="ListParagraph"/>
        <w:numPr>
          <w:ilvl w:val="0"/>
          <w:numId w:val="31"/>
        </w:numPr>
        <w:ind w:left="720"/>
      </w:pPr>
      <w:r>
        <w:t xml:space="preserve">informed </w:t>
      </w:r>
      <w:r w:rsidR="005F2E67">
        <w:t xml:space="preserve">clinical and inheritance </w:t>
      </w:r>
      <w:r>
        <w:t xml:space="preserve">risk management </w:t>
      </w:r>
      <w:r w:rsidR="005F2E67">
        <w:t xml:space="preserve">applying </w:t>
      </w:r>
      <w:r>
        <w:t xml:space="preserve">to </w:t>
      </w:r>
      <w:r w:rsidR="005F2E67">
        <w:t xml:space="preserve">any </w:t>
      </w:r>
      <w:r>
        <w:t xml:space="preserve">potentially affected family members </w:t>
      </w:r>
    </w:p>
    <w:p w14:paraId="5EF212D1" w14:textId="368DB867" w:rsidR="00523996" w:rsidRDefault="00523996" w:rsidP="00183E60">
      <w:pPr>
        <w:ind w:firstLine="360"/>
      </w:pPr>
      <w:r w:rsidRPr="00212A04">
        <w:rPr>
          <w:b/>
          <w:bCs/>
        </w:rPr>
        <w:t>Safety Outcomes</w:t>
      </w:r>
    </w:p>
    <w:p w14:paraId="07C8BB50" w14:textId="6F34EE1E" w:rsidR="00523996" w:rsidRDefault="00523996" w:rsidP="00183E60">
      <w:pPr>
        <w:pStyle w:val="ListParagraph"/>
        <w:numPr>
          <w:ilvl w:val="0"/>
          <w:numId w:val="31"/>
        </w:numPr>
        <w:ind w:left="720"/>
      </w:pPr>
      <w:r>
        <w:t>avoidance of intrusive</w:t>
      </w:r>
      <w:r w:rsidR="00B814E8">
        <w:t xml:space="preserve"> and potentially harmful</w:t>
      </w:r>
      <w:r>
        <w:t xml:space="preserve"> investigations currently in practice to aid diagnosis, </w:t>
      </w:r>
      <w:r w:rsidR="00B814E8">
        <w:t>such as</w:t>
      </w:r>
      <w:r>
        <w:t xml:space="preserve"> invasive tissue biopsies (particularly muscle) and general anaesthetics (e.g., </w:t>
      </w:r>
      <w:r w:rsidR="00B814E8">
        <w:t>muscle</w:t>
      </w:r>
      <w:r>
        <w:t xml:space="preserve"> biopsies, childhood MRI),</w:t>
      </w:r>
    </w:p>
    <w:p w14:paraId="3AC6A84E" w14:textId="7BCA7A8D" w:rsidR="00523996" w:rsidRDefault="00523996" w:rsidP="00183E60">
      <w:pPr>
        <w:pStyle w:val="ListParagraph"/>
        <w:numPr>
          <w:ilvl w:val="0"/>
          <w:numId w:val="31"/>
        </w:numPr>
        <w:ind w:left="720"/>
      </w:pPr>
      <w:r>
        <w:t xml:space="preserve">avoidance of inappropriate or unnecessary investigations and interventions,  (mitochondrial patients are particularly </w:t>
      </w:r>
      <w:r w:rsidR="00B814E8">
        <w:t>vulnerable to delayed r</w:t>
      </w:r>
      <w:r>
        <w:t>ecovery and metabolic crises</w:t>
      </w:r>
      <w:r w:rsidR="00B814E8">
        <w:t xml:space="preserve">, as a result of </w:t>
      </w:r>
      <w:r>
        <w:t>procedures and</w:t>
      </w:r>
      <w:r w:rsidR="00B814E8">
        <w:t>/or</w:t>
      </w:r>
      <w:r>
        <w:t xml:space="preserve"> general anaesthetics),</w:t>
      </w:r>
    </w:p>
    <w:p w14:paraId="3341092F" w14:textId="59A8B282" w:rsidR="001B29A1" w:rsidRPr="00183E60" w:rsidRDefault="00735DA8" w:rsidP="00183E60">
      <w:pPr>
        <w:pStyle w:val="ListParagraph"/>
        <w:numPr>
          <w:ilvl w:val="0"/>
          <w:numId w:val="31"/>
        </w:numPr>
        <w:ind w:left="720"/>
      </w:pPr>
      <w:r>
        <w:t>avoidance</w:t>
      </w:r>
      <w:r w:rsidR="00523996">
        <w:t xml:space="preserve"> of inappropriate</w:t>
      </w:r>
      <w:r>
        <w:t>,</w:t>
      </w:r>
      <w:r w:rsidR="00523996">
        <w:t xml:space="preserve"> ineffective</w:t>
      </w:r>
      <w:r>
        <w:t>, and potentially harmful</w:t>
      </w:r>
      <w:r w:rsidR="00523996">
        <w:t xml:space="preserve"> treatments</w:t>
      </w:r>
      <w:r w:rsidR="00B37275">
        <w:t>,</w:t>
      </w:r>
    </w:p>
    <w:p w14:paraId="0A51DDFB" w14:textId="32E6BA57" w:rsidR="00043612" w:rsidRPr="00212A04" w:rsidRDefault="00043612" w:rsidP="00183E60">
      <w:pPr>
        <w:ind w:firstLine="360"/>
        <w:rPr>
          <w:b/>
          <w:bCs/>
          <w:u w:val="single"/>
        </w:rPr>
      </w:pPr>
      <w:r w:rsidRPr="00212A04">
        <w:rPr>
          <w:b/>
          <w:bCs/>
          <w:u w:val="single"/>
        </w:rPr>
        <w:t>MINOR:</w:t>
      </w:r>
    </w:p>
    <w:p w14:paraId="2844418D" w14:textId="16B27B08" w:rsidR="00735DA8" w:rsidRPr="00183E60" w:rsidRDefault="00735DA8" w:rsidP="00183E60">
      <w:pPr>
        <w:ind w:firstLine="360"/>
        <w:rPr>
          <w:b/>
          <w:bCs/>
        </w:rPr>
      </w:pPr>
      <w:r w:rsidRPr="00183E60">
        <w:rPr>
          <w:b/>
          <w:bCs/>
        </w:rPr>
        <w:t>Clinical Effectiveness</w:t>
      </w:r>
    </w:p>
    <w:p w14:paraId="3C4B6F1A" w14:textId="77777777" w:rsidR="00FC30C6" w:rsidRPr="00183E60" w:rsidRDefault="00FC30C6" w:rsidP="00183E60">
      <w:pPr>
        <w:pStyle w:val="ListParagraph"/>
        <w:numPr>
          <w:ilvl w:val="0"/>
          <w:numId w:val="31"/>
        </w:numPr>
        <w:ind w:left="720"/>
      </w:pPr>
      <w:r w:rsidRPr="00183E60">
        <w:t>Improved accessibility to services upon receipt of confirmed diagnosis (e.g., NDIS, Enable)</w:t>
      </w:r>
    </w:p>
    <w:p w14:paraId="34F213A2" w14:textId="77777777" w:rsidR="00FC30C6" w:rsidRPr="00183E60" w:rsidRDefault="00FC30C6" w:rsidP="00183E60">
      <w:pPr>
        <w:pStyle w:val="ListParagraph"/>
        <w:numPr>
          <w:ilvl w:val="0"/>
          <w:numId w:val="31"/>
        </w:numPr>
        <w:ind w:left="720"/>
      </w:pPr>
      <w:r w:rsidRPr="00183E60">
        <w:t>Improved accessibility to funds upon receipt of confirmed diagnosis (e.g., superannuation, disability support pensions, carers payments, sick leave entitlements)</w:t>
      </w:r>
    </w:p>
    <w:p w14:paraId="45E809DD" w14:textId="77777777" w:rsidR="00FC30C6" w:rsidRPr="00183E60" w:rsidRDefault="00FC30C6" w:rsidP="00183E60">
      <w:pPr>
        <w:pStyle w:val="ListParagraph"/>
        <w:numPr>
          <w:ilvl w:val="0"/>
          <w:numId w:val="31"/>
        </w:numPr>
        <w:ind w:left="720"/>
      </w:pPr>
      <w:r w:rsidRPr="00183E60">
        <w:t>Improved ‘Quality of Life’ (QoL) contributors and parameters,</w:t>
      </w:r>
    </w:p>
    <w:p w14:paraId="71CF3F38" w14:textId="77777777" w:rsidR="00FC30C6" w:rsidRPr="00183E60" w:rsidRDefault="00FC30C6" w:rsidP="00183E60">
      <w:pPr>
        <w:pStyle w:val="ListParagraph"/>
        <w:numPr>
          <w:ilvl w:val="0"/>
          <w:numId w:val="31"/>
        </w:numPr>
        <w:ind w:left="720"/>
      </w:pPr>
      <w:r w:rsidRPr="00183E60">
        <w:t>Positive social impacts secondary to improved and effective management strategies, and improved QoL parameters,</w:t>
      </w:r>
    </w:p>
    <w:p w14:paraId="36B942AD" w14:textId="77777777" w:rsidR="00FC30C6" w:rsidRPr="00183E60" w:rsidRDefault="00FC30C6" w:rsidP="00183E60">
      <w:pPr>
        <w:pStyle w:val="ListParagraph"/>
        <w:numPr>
          <w:ilvl w:val="0"/>
          <w:numId w:val="31"/>
        </w:numPr>
        <w:ind w:left="720"/>
      </w:pPr>
      <w:r w:rsidRPr="00183E60">
        <w:t>Positive relationship impacts secondary to improved and effective management strategies, and improved QoL parameters,</w:t>
      </w:r>
    </w:p>
    <w:p w14:paraId="7C3FC015" w14:textId="77777777" w:rsidR="00FC30C6" w:rsidRPr="00183E60" w:rsidRDefault="00FC30C6" w:rsidP="00183E60">
      <w:pPr>
        <w:pStyle w:val="ListParagraph"/>
        <w:numPr>
          <w:ilvl w:val="0"/>
          <w:numId w:val="31"/>
        </w:numPr>
        <w:ind w:left="720"/>
      </w:pPr>
      <w:r w:rsidRPr="00183E60">
        <w:t xml:space="preserve">Positive psychological impacts from genetic counselling and/or testing and/or pre-emptive results, </w:t>
      </w:r>
    </w:p>
    <w:p w14:paraId="34B8F2A5" w14:textId="77777777" w:rsidR="00FC30C6" w:rsidRPr="00183E60" w:rsidRDefault="00FC30C6" w:rsidP="00183E60">
      <w:pPr>
        <w:pStyle w:val="ListParagraph"/>
        <w:numPr>
          <w:ilvl w:val="0"/>
          <w:numId w:val="31"/>
        </w:numPr>
        <w:ind w:left="720"/>
      </w:pPr>
      <w:r w:rsidRPr="00183E60">
        <w:t>Positive psychological impacts of cascade or WGS testing in children and/or foetus, and the resultant decisions (e.g., early diagnosis, option of termination, removal of anxiety if negative),</w:t>
      </w:r>
    </w:p>
    <w:p w14:paraId="36417816" w14:textId="77777777" w:rsidR="00FC30C6" w:rsidRPr="00183E60" w:rsidRDefault="00FC30C6" w:rsidP="00183E60">
      <w:pPr>
        <w:pStyle w:val="ListParagraph"/>
        <w:numPr>
          <w:ilvl w:val="0"/>
          <w:numId w:val="31"/>
        </w:numPr>
        <w:ind w:left="720"/>
      </w:pPr>
      <w:r w:rsidRPr="00183E60">
        <w:t>Availability of cascade testing to family members,</w:t>
      </w:r>
    </w:p>
    <w:p w14:paraId="485D3D50" w14:textId="6B575F34" w:rsidR="00FC30C6" w:rsidRPr="00183E60" w:rsidRDefault="00FC30C6" w:rsidP="00183E60">
      <w:pPr>
        <w:pStyle w:val="ListParagraph"/>
        <w:numPr>
          <w:ilvl w:val="0"/>
          <w:numId w:val="31"/>
        </w:numPr>
        <w:ind w:left="720"/>
      </w:pPr>
      <w:r w:rsidRPr="00183E60">
        <w:t xml:space="preserve">Clinical and psychological benefits to family members of a confirmed diagnosis </w:t>
      </w:r>
    </w:p>
    <w:p w14:paraId="6F723965" w14:textId="6D9A0275" w:rsidR="00043612" w:rsidRPr="00183E60" w:rsidRDefault="00043612" w:rsidP="00183E60">
      <w:pPr>
        <w:ind w:left="360"/>
        <w:rPr>
          <w:b/>
          <w:bCs/>
        </w:rPr>
      </w:pPr>
      <w:r w:rsidRPr="00183E60">
        <w:rPr>
          <w:b/>
          <w:bCs/>
        </w:rPr>
        <w:t>Safety</w:t>
      </w:r>
    </w:p>
    <w:p w14:paraId="125E161E" w14:textId="6B7BAABD" w:rsidR="00ED11A6" w:rsidRPr="00183E60" w:rsidRDefault="00ED11A6" w:rsidP="00183E60">
      <w:pPr>
        <w:pStyle w:val="ListParagraph"/>
        <w:numPr>
          <w:ilvl w:val="0"/>
          <w:numId w:val="31"/>
        </w:numPr>
        <w:ind w:left="720"/>
      </w:pPr>
      <w:r w:rsidRPr="00183E60">
        <w:t xml:space="preserve">Avoidance of inappropriate and potentially harmful treatments in family members, </w:t>
      </w:r>
    </w:p>
    <w:p w14:paraId="0C10B894" w14:textId="2144FC0D" w:rsidR="00043612" w:rsidRPr="00183E60" w:rsidRDefault="00043612" w:rsidP="00183E60">
      <w:pPr>
        <w:pStyle w:val="ListParagraph"/>
        <w:numPr>
          <w:ilvl w:val="0"/>
          <w:numId w:val="31"/>
        </w:numPr>
        <w:ind w:left="720"/>
      </w:pPr>
      <w:r w:rsidRPr="00183E60">
        <w:t xml:space="preserve">Avoidance of extensive, </w:t>
      </w:r>
      <w:r w:rsidR="00ED11A6" w:rsidRPr="00183E60">
        <w:t>unnecessary,</w:t>
      </w:r>
      <w:r w:rsidRPr="00183E60">
        <w:t xml:space="preserve"> and harmful investigations in family members  </w:t>
      </w:r>
    </w:p>
    <w:p w14:paraId="7885B3FE" w14:textId="77777777" w:rsidR="00043612" w:rsidRPr="00183E60" w:rsidRDefault="00043612" w:rsidP="00183E60">
      <w:pPr>
        <w:ind w:left="360"/>
        <w:rPr>
          <w:b/>
          <w:bCs/>
        </w:rPr>
      </w:pPr>
      <w:r w:rsidRPr="00183E60">
        <w:rPr>
          <w:b/>
          <w:bCs/>
        </w:rPr>
        <w:t xml:space="preserve">Cost effectiveness </w:t>
      </w:r>
    </w:p>
    <w:p w14:paraId="5B1783D0" w14:textId="1583E70C" w:rsidR="00474FF3" w:rsidRPr="00183E60" w:rsidRDefault="00ED11A6" w:rsidP="00183E60">
      <w:pPr>
        <w:pStyle w:val="ListParagraph"/>
        <w:numPr>
          <w:ilvl w:val="0"/>
          <w:numId w:val="31"/>
        </w:numPr>
        <w:ind w:left="720"/>
      </w:pPr>
      <w:r w:rsidRPr="00183E60">
        <w:t xml:space="preserve">Cost-effective targeted treatments and management strategies for patient and </w:t>
      </w:r>
      <w:r w:rsidR="00474FF3" w:rsidRPr="00183E60">
        <w:t xml:space="preserve">caring </w:t>
      </w:r>
      <w:r w:rsidRPr="00183E60">
        <w:t>family,</w:t>
      </w:r>
    </w:p>
    <w:p w14:paraId="004364C5" w14:textId="052E4E0C" w:rsidR="00474FF3" w:rsidRPr="00183E60" w:rsidRDefault="00474FF3" w:rsidP="00183E60">
      <w:pPr>
        <w:pStyle w:val="ListParagraph"/>
        <w:numPr>
          <w:ilvl w:val="0"/>
          <w:numId w:val="31"/>
        </w:numPr>
        <w:ind w:left="720"/>
      </w:pPr>
      <w:r w:rsidRPr="00183E60">
        <w:t xml:space="preserve">Cost-effective </w:t>
      </w:r>
      <w:r w:rsidR="004B273A" w:rsidRPr="00183E60">
        <w:t xml:space="preserve">benefits of </w:t>
      </w:r>
      <w:r w:rsidRPr="00183E60">
        <w:t xml:space="preserve">targeted treatments for the patient rather than </w:t>
      </w:r>
      <w:r w:rsidR="004B273A" w:rsidRPr="00183E60">
        <w:t xml:space="preserve">the more </w:t>
      </w:r>
      <w:r w:rsidRPr="00183E60">
        <w:t xml:space="preserve">expensive </w:t>
      </w:r>
      <w:r w:rsidR="004B273A" w:rsidRPr="00183E60">
        <w:t>‘</w:t>
      </w:r>
      <w:r w:rsidRPr="00183E60">
        <w:t>broad spectrum mitochondrial cocktail</w:t>
      </w:r>
      <w:r w:rsidR="004B273A" w:rsidRPr="00183E60">
        <w:t xml:space="preserve">’, </w:t>
      </w:r>
    </w:p>
    <w:p w14:paraId="7F181614" w14:textId="7C0E7434" w:rsidR="00ED11A6" w:rsidRPr="00183E60" w:rsidRDefault="00ED11A6" w:rsidP="00183E60">
      <w:pPr>
        <w:pStyle w:val="ListParagraph"/>
        <w:numPr>
          <w:ilvl w:val="0"/>
          <w:numId w:val="31"/>
        </w:numPr>
        <w:ind w:left="720"/>
      </w:pPr>
      <w:r w:rsidRPr="00183E60">
        <w:t>Economic impacts on work and family finances with improved accessibility to funds, services, and better management,</w:t>
      </w:r>
    </w:p>
    <w:p w14:paraId="518CE67A" w14:textId="46A7FCB9" w:rsidR="001C177C" w:rsidRPr="00183E60" w:rsidRDefault="001C177C" w:rsidP="00183E60">
      <w:pPr>
        <w:pStyle w:val="ListParagraph"/>
        <w:numPr>
          <w:ilvl w:val="0"/>
          <w:numId w:val="31"/>
        </w:numPr>
        <w:ind w:left="720"/>
      </w:pPr>
      <w:r w:rsidRPr="00183E60">
        <w:t>Economic adverse events from receiving an identified genetic variant (e.g., health, work, and life insurance policies)</w:t>
      </w:r>
    </w:p>
    <w:p w14:paraId="41CBB519" w14:textId="03297FC3" w:rsidR="007A644C" w:rsidRPr="00183E60" w:rsidRDefault="007A644C" w:rsidP="00183E60">
      <w:pPr>
        <w:pStyle w:val="ListParagraph"/>
        <w:numPr>
          <w:ilvl w:val="0"/>
          <w:numId w:val="31"/>
        </w:numPr>
        <w:ind w:left="720"/>
      </w:pPr>
      <w:bookmarkStart w:id="8" w:name="_Hlk77943886"/>
      <w:r w:rsidRPr="00183E60">
        <w:t xml:space="preserve">Cost-efficient benefit of </w:t>
      </w:r>
      <w:r w:rsidR="00043612" w:rsidRPr="00183E60">
        <w:t xml:space="preserve">WGS </w:t>
      </w:r>
      <w:bookmarkEnd w:id="8"/>
      <w:r w:rsidRPr="00183E60">
        <w:t>over</w:t>
      </w:r>
      <w:r w:rsidR="00043612" w:rsidRPr="00183E60">
        <w:t xml:space="preserve"> </w:t>
      </w:r>
      <w:r w:rsidRPr="00183E60">
        <w:t xml:space="preserve">both </w:t>
      </w:r>
      <w:r w:rsidR="00043612" w:rsidRPr="00183E60">
        <w:t>multiple single</w:t>
      </w:r>
      <w:r w:rsidRPr="00183E60">
        <w:t>-</w:t>
      </w:r>
      <w:r w:rsidR="00043612" w:rsidRPr="00183E60">
        <w:t>gene test</w:t>
      </w:r>
      <w:r w:rsidRPr="00183E60">
        <w:t>s</w:t>
      </w:r>
      <w:r w:rsidR="00043612" w:rsidRPr="00183E60">
        <w:t xml:space="preserve"> and combined WES (for </w:t>
      </w:r>
      <w:proofErr w:type="spellStart"/>
      <w:r w:rsidR="00043612" w:rsidRPr="00183E60">
        <w:t>nDNA</w:t>
      </w:r>
      <w:proofErr w:type="spellEnd"/>
      <w:r w:rsidR="00043612" w:rsidRPr="00183E60">
        <w:t xml:space="preserve"> and </w:t>
      </w:r>
      <w:proofErr w:type="spellStart"/>
      <w:r w:rsidR="00043612" w:rsidRPr="00183E60">
        <w:t>mtDNA</w:t>
      </w:r>
      <w:proofErr w:type="spellEnd"/>
      <w:r w:rsidR="00043612" w:rsidRPr="00183E60">
        <w:t>)</w:t>
      </w:r>
      <w:r w:rsidRPr="00183E60">
        <w:t>,</w:t>
      </w:r>
    </w:p>
    <w:p w14:paraId="3C571A40" w14:textId="44FA9F9E" w:rsidR="00043612" w:rsidRPr="00183E60" w:rsidRDefault="007A644C" w:rsidP="00183E60">
      <w:pPr>
        <w:pStyle w:val="ListParagraph"/>
        <w:numPr>
          <w:ilvl w:val="0"/>
          <w:numId w:val="31"/>
        </w:numPr>
        <w:ind w:left="720"/>
      </w:pPr>
      <w:r w:rsidRPr="00183E60">
        <w:t>Cost-efficient benefit of a single genetic test, that is WGS only, means a re</w:t>
      </w:r>
      <w:r w:rsidR="00043612" w:rsidRPr="00183E60">
        <w:t xml:space="preserve">duction </w:t>
      </w:r>
      <w:r w:rsidRPr="00183E60">
        <w:t xml:space="preserve">in the need for </w:t>
      </w:r>
      <w:r w:rsidR="00043612" w:rsidRPr="00183E60">
        <w:t xml:space="preserve">multiple </w:t>
      </w:r>
      <w:r w:rsidRPr="00183E60">
        <w:t xml:space="preserve">follow-up consults </w:t>
      </w:r>
      <w:r w:rsidR="00B37275" w:rsidRPr="00183E60">
        <w:t xml:space="preserve">with/without </w:t>
      </w:r>
      <w:r w:rsidR="00043612" w:rsidRPr="00183E60">
        <w:t>genetic counselling</w:t>
      </w:r>
      <w:r w:rsidR="00B37275" w:rsidRPr="00183E60">
        <w:t>,</w:t>
      </w:r>
    </w:p>
    <w:p w14:paraId="466519A8" w14:textId="571E9EB3" w:rsidR="00A26169" w:rsidRPr="00183E60" w:rsidRDefault="00A26169" w:rsidP="00183E60">
      <w:pPr>
        <w:pStyle w:val="ListParagraph"/>
        <w:numPr>
          <w:ilvl w:val="0"/>
          <w:numId w:val="31"/>
        </w:numPr>
        <w:ind w:left="720"/>
      </w:pPr>
      <w:r w:rsidRPr="00183E60">
        <w:t xml:space="preserve">Less economic impacts (for family and healthcare system) by avoiding children born with MD, </w:t>
      </w:r>
    </w:p>
    <w:p w14:paraId="58BE5B9E" w14:textId="49A293AE" w:rsidR="00043612" w:rsidRPr="00183E60" w:rsidRDefault="001C067A" w:rsidP="00183E60">
      <w:pPr>
        <w:pStyle w:val="ListParagraph"/>
        <w:numPr>
          <w:ilvl w:val="0"/>
          <w:numId w:val="31"/>
        </w:numPr>
        <w:ind w:left="720"/>
      </w:pPr>
      <w:r w:rsidRPr="00183E60">
        <w:t>Economic benefits to families and healthcare, from c</w:t>
      </w:r>
      <w:r w:rsidR="00043612" w:rsidRPr="00183E60">
        <w:t>ascade testing</w:t>
      </w:r>
      <w:r w:rsidRPr="00183E60">
        <w:t>, which</w:t>
      </w:r>
      <w:r w:rsidR="00043612" w:rsidRPr="00183E60">
        <w:t xml:space="preserve"> </w:t>
      </w:r>
      <w:r w:rsidR="00A26169" w:rsidRPr="00183E60">
        <w:t>results in reduced</w:t>
      </w:r>
      <w:r w:rsidR="00043612" w:rsidRPr="00183E60">
        <w:t xml:space="preserve"> unnecessary investigations</w:t>
      </w:r>
      <w:r w:rsidR="00A26169" w:rsidRPr="00183E60">
        <w:t xml:space="preserve"> and treatments</w:t>
      </w:r>
      <w:r w:rsidR="00043612" w:rsidRPr="00183E60">
        <w:t>, earlier appropriate management</w:t>
      </w:r>
      <w:r w:rsidR="00A26169" w:rsidRPr="00183E60">
        <w:t xml:space="preserve">, </w:t>
      </w:r>
      <w:r w:rsidR="00043612" w:rsidRPr="00183E60">
        <w:t xml:space="preserve">and </w:t>
      </w:r>
      <w:r w:rsidR="00A26169" w:rsidRPr="00183E60">
        <w:t xml:space="preserve">a reduction in an </w:t>
      </w:r>
      <w:r w:rsidR="00043612" w:rsidRPr="00183E60">
        <w:t>inheritable condition</w:t>
      </w:r>
      <w:r w:rsidR="00474FF3" w:rsidRPr="00183E60">
        <w:t xml:space="preserve"> (</w:t>
      </w:r>
      <w:r w:rsidRPr="00183E60">
        <w:t>i.e., MD</w:t>
      </w:r>
      <w:r w:rsidR="00474FF3" w:rsidRPr="00183E60">
        <w:t>)</w:t>
      </w:r>
      <w:r w:rsidRPr="00183E60">
        <w:t>,</w:t>
      </w:r>
    </w:p>
    <w:p w14:paraId="7F656FB1" w14:textId="5207DB1E" w:rsidR="00043612" w:rsidRPr="00183E60" w:rsidRDefault="001C067A" w:rsidP="00183E60">
      <w:pPr>
        <w:pStyle w:val="ListParagraph"/>
        <w:numPr>
          <w:ilvl w:val="0"/>
          <w:numId w:val="31"/>
        </w:numPr>
        <w:ind w:left="720"/>
      </w:pPr>
      <w:r w:rsidRPr="00183E60">
        <w:t>In reference to cascade testing, any a</w:t>
      </w:r>
      <w:r w:rsidR="00043612" w:rsidRPr="00183E60">
        <w:t xml:space="preserve">dditional </w:t>
      </w:r>
      <w:r w:rsidRPr="00183E60">
        <w:t xml:space="preserve">costings </w:t>
      </w:r>
      <w:r w:rsidR="00043612" w:rsidRPr="00183E60">
        <w:t xml:space="preserve">in </w:t>
      </w:r>
      <w:r w:rsidRPr="00183E60">
        <w:t xml:space="preserve">performing tests, consultations (+/- genetic counselling), and </w:t>
      </w:r>
      <w:r w:rsidR="00043612" w:rsidRPr="00183E60">
        <w:t>family planning</w:t>
      </w:r>
      <w:r w:rsidRPr="00183E60">
        <w:t xml:space="preserve"> technologies (ART), w</w:t>
      </w:r>
      <w:r w:rsidR="00043612" w:rsidRPr="00183E60">
        <w:t xml:space="preserve">ould be offset by </w:t>
      </w:r>
      <w:r w:rsidRPr="00183E60">
        <w:t xml:space="preserve">the economic </w:t>
      </w:r>
      <w:r w:rsidR="00043612" w:rsidRPr="00183E60">
        <w:t xml:space="preserve">benefits of </w:t>
      </w:r>
      <w:r w:rsidRPr="00183E60">
        <w:lastRenderedPageBreak/>
        <w:t xml:space="preserve">reduced </w:t>
      </w:r>
      <w:r w:rsidR="00043612" w:rsidRPr="00183E60">
        <w:t>burden</w:t>
      </w:r>
      <w:r w:rsidRPr="00183E60">
        <w:t xml:space="preserve"> of disease load, both within families and healthcare systems,</w:t>
      </w:r>
      <w:r w:rsidR="00474FF3" w:rsidRPr="00183E60">
        <w:t xml:space="preserve"> and</w:t>
      </w:r>
      <w:r w:rsidR="00043612" w:rsidRPr="00183E60">
        <w:t xml:space="preserve"> greater efficiency</w:t>
      </w:r>
      <w:r w:rsidR="00183E60" w:rsidRPr="00183E60">
        <w:t xml:space="preserve"> </w:t>
      </w:r>
      <w:r w:rsidR="00474FF3" w:rsidRPr="00183E60">
        <w:t>of</w:t>
      </w:r>
      <w:r w:rsidR="00043612" w:rsidRPr="00183E60">
        <w:t xml:space="preserve"> care</w:t>
      </w:r>
      <w:r w:rsidR="00474FF3" w:rsidRPr="00183E60">
        <w:t>,</w:t>
      </w:r>
      <w:r w:rsidR="00043612" w:rsidRPr="00183E60">
        <w:t xml:space="preserve"> </w:t>
      </w:r>
    </w:p>
    <w:p w14:paraId="5ADC4D40" w14:textId="6B0A1630" w:rsidR="00043612" w:rsidRPr="00183E60" w:rsidRDefault="00043612" w:rsidP="00183E60">
      <w:pPr>
        <w:pStyle w:val="ListParagraph"/>
        <w:numPr>
          <w:ilvl w:val="0"/>
          <w:numId w:val="31"/>
        </w:numPr>
        <w:ind w:left="720"/>
      </w:pPr>
      <w:r w:rsidRPr="00183E60">
        <w:t xml:space="preserve">Cost effectiveness of ART </w:t>
      </w:r>
      <w:r w:rsidR="00474FF3" w:rsidRPr="00183E60">
        <w:t>+/-</w:t>
      </w:r>
      <w:r w:rsidRPr="00183E60">
        <w:t xml:space="preserve"> PGD procedures against a lifetime of </w:t>
      </w:r>
      <w:r w:rsidR="00474FF3" w:rsidRPr="00183E60">
        <w:t>healthcare costs in a</w:t>
      </w:r>
      <w:r w:rsidRPr="00183E60">
        <w:t xml:space="preserve"> child or adult</w:t>
      </w:r>
      <w:r w:rsidR="00474FF3" w:rsidRPr="00183E60">
        <w:t xml:space="preserve"> born with MD</w:t>
      </w:r>
      <w:r w:rsidRPr="00183E60">
        <w:t>, for parents</w:t>
      </w:r>
      <w:r w:rsidR="00474FF3" w:rsidRPr="00183E60">
        <w:t xml:space="preserve">, families, </w:t>
      </w:r>
      <w:proofErr w:type="gramStart"/>
      <w:r w:rsidRPr="00183E60">
        <w:t>carers</w:t>
      </w:r>
      <w:proofErr w:type="gramEnd"/>
      <w:r w:rsidRPr="00183E60">
        <w:t xml:space="preserve"> and </w:t>
      </w:r>
      <w:r w:rsidR="00474FF3" w:rsidRPr="00183E60">
        <w:t>healthcare systems,</w:t>
      </w:r>
    </w:p>
    <w:p w14:paraId="476F6F6E" w14:textId="499FE0E7" w:rsidR="00474FF3" w:rsidRPr="00183E60" w:rsidRDefault="00474FF3" w:rsidP="00183E60">
      <w:pPr>
        <w:pStyle w:val="ListParagraph"/>
        <w:numPr>
          <w:ilvl w:val="0"/>
          <w:numId w:val="31"/>
        </w:numPr>
        <w:ind w:left="720"/>
      </w:pPr>
      <w:r w:rsidRPr="00183E60">
        <w:t>C</w:t>
      </w:r>
      <w:r w:rsidR="00043612" w:rsidRPr="00183E60">
        <w:t xml:space="preserve">ost </w:t>
      </w:r>
      <w:r w:rsidRPr="00183E60">
        <w:t xml:space="preserve">of </w:t>
      </w:r>
      <w:r w:rsidR="00043612" w:rsidRPr="00183E60">
        <w:t>more effective targeted treatments</w:t>
      </w:r>
      <w:r w:rsidRPr="00183E60">
        <w:t xml:space="preserve"> against quality-adjusted life years,  </w:t>
      </w:r>
    </w:p>
    <w:p w14:paraId="38D4033D" w14:textId="7CE88055" w:rsidR="00043612" w:rsidRPr="00183E60" w:rsidRDefault="00474FF3" w:rsidP="00183E60">
      <w:pPr>
        <w:pStyle w:val="ListParagraph"/>
        <w:numPr>
          <w:ilvl w:val="0"/>
          <w:numId w:val="31"/>
        </w:numPr>
        <w:ind w:left="720"/>
      </w:pPr>
      <w:r w:rsidRPr="00183E60">
        <w:t xml:space="preserve">Cost benefits to </w:t>
      </w:r>
      <w:r w:rsidR="00043612" w:rsidRPr="00183E60">
        <w:t xml:space="preserve">Australian Government healthcare </w:t>
      </w:r>
      <w:r w:rsidRPr="00183E60">
        <w:t>as a whole</w:t>
      </w:r>
      <w:r w:rsidR="00043612" w:rsidRPr="00183E60">
        <w:t xml:space="preserve"> </w:t>
      </w:r>
    </w:p>
    <w:p w14:paraId="388D1886" w14:textId="44534DEB" w:rsidR="000A154C" w:rsidRDefault="000A154C">
      <w:pPr>
        <w:spacing w:before="0" w:after="200" w:line="276" w:lineRule="auto"/>
      </w:pPr>
      <w:r>
        <w:br w:type="page"/>
      </w:r>
    </w:p>
    <w:p w14:paraId="610A1EF9" w14:textId="4B231EF9" w:rsidR="00C776B1" w:rsidRPr="00C776B1" w:rsidRDefault="005C3AE7" w:rsidP="0056015F">
      <w:pPr>
        <w:pStyle w:val="Heading1"/>
      </w:pPr>
      <w:r>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5C531A8F" w14:textId="2E518AC1" w:rsidR="006C74B1" w:rsidRPr="00092580" w:rsidRDefault="006D39DC" w:rsidP="006D39DC">
      <w:pPr>
        <w:pStyle w:val="Heading2"/>
        <w:numPr>
          <w:ilvl w:val="0"/>
          <w:numId w:val="0"/>
        </w:numPr>
        <w:ind w:left="360" w:hanging="360"/>
      </w:pPr>
      <w:r>
        <w:t xml:space="preserve">46. </w:t>
      </w:r>
      <w:r w:rsidR="00BE0FDE"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21DC0394" w14:textId="77777777" w:rsidR="00523996" w:rsidRPr="00CE50BE" w:rsidRDefault="00523996" w:rsidP="00183E60">
      <w:pPr>
        <w:ind w:left="284"/>
      </w:pPr>
      <w:r w:rsidRPr="00CE50BE">
        <w:t xml:space="preserve">Prevalence: </w:t>
      </w:r>
      <w:r>
        <w:t>MD</w:t>
      </w:r>
      <w:r w:rsidRPr="00CE50BE">
        <w:t xml:space="preserve"> is caused by </w:t>
      </w:r>
      <w:r>
        <w:t xml:space="preserve">genetic </w:t>
      </w:r>
      <w:r w:rsidRPr="00CE50BE">
        <w:t xml:space="preserve">mutations in </w:t>
      </w:r>
      <w:r>
        <w:t>either</w:t>
      </w:r>
      <w:r w:rsidRPr="00CE50BE">
        <w:t xml:space="preserve"> nuclear and mitochondrial DNA (</w:t>
      </w:r>
      <w:proofErr w:type="spellStart"/>
      <w:r w:rsidRPr="00CE50BE">
        <w:t>nDNA</w:t>
      </w:r>
      <w:proofErr w:type="spellEnd"/>
      <w:r w:rsidRPr="00CE50BE">
        <w:t xml:space="preserve"> and </w:t>
      </w:r>
      <w:proofErr w:type="spellStart"/>
      <w:r w:rsidRPr="00CE50BE">
        <w:t>mtDNA</w:t>
      </w:r>
      <w:proofErr w:type="spellEnd"/>
      <w:r w:rsidRPr="00CE50BE">
        <w:t xml:space="preserve">). Although the minimum prevalence of disease </w:t>
      </w:r>
      <w:r>
        <w:t>associated with</w:t>
      </w:r>
      <w:r w:rsidRPr="00CE50BE">
        <w:t xml:space="preserve"> mtDNA mutations in the Australian community is </w:t>
      </w:r>
      <w:r>
        <w:t>estimated</w:t>
      </w:r>
      <w:r w:rsidRPr="00CE50BE">
        <w:t xml:space="preserve"> to be 1 in 250 or 120 000 Australians (</w:t>
      </w:r>
      <w:proofErr w:type="spellStart"/>
      <w:r w:rsidRPr="00CE50BE">
        <w:t>Vandebona</w:t>
      </w:r>
      <w:proofErr w:type="spellEnd"/>
      <w:r w:rsidRPr="00CE50BE">
        <w:t xml:space="preserve"> NEJM 2009), the birth prevalence of </w:t>
      </w:r>
      <w:r>
        <w:t>MD</w:t>
      </w:r>
      <w:r w:rsidRPr="00CE50BE">
        <w:t xml:space="preserve"> is reported to be 1 in 5000 children (</w:t>
      </w:r>
      <w:proofErr w:type="spellStart"/>
      <w:r w:rsidRPr="00CE50BE">
        <w:t>Skadel</w:t>
      </w:r>
      <w:proofErr w:type="spellEnd"/>
      <w:r w:rsidRPr="00CE50BE">
        <w:t xml:space="preserve"> Ann Neurol 2003) and 1 in 4300 adults (Gorman Ann Neurol; 2015)</w:t>
      </w:r>
      <w:r>
        <w:t xml:space="preserve"> in international studies. </w:t>
      </w:r>
    </w:p>
    <w:p w14:paraId="69D47DE0" w14:textId="409D66BE" w:rsidR="00523996" w:rsidRPr="00467667" w:rsidRDefault="009944A4" w:rsidP="00183E60">
      <w:pPr>
        <w:ind w:left="284"/>
      </w:pPr>
      <w:r w:rsidRPr="00CE50BE">
        <w:t>Incidence</w:t>
      </w:r>
      <w:r w:rsidRPr="00310685">
        <w:t>:</w:t>
      </w:r>
      <w:r w:rsidR="00310685">
        <w:t xml:space="preserve">  </w:t>
      </w:r>
      <w:r w:rsidR="000C4835" w:rsidRPr="000C4835">
        <w:t xml:space="preserve">There are no data documenting the incidence of mitochondrial disease in Australia. However, </w:t>
      </w:r>
      <w:r w:rsidR="000C4835">
        <w:t>a</w:t>
      </w:r>
      <w:r w:rsidR="00523996" w:rsidRPr="00310685">
        <w:t xml:space="preserve"> study by Tan et al (2020) in Munich Germany, evaluated 249 genetic variants on their in-house database and determined that the collective lifetime risk of mitochondrial disease was on average 31.8/100,000 (or 1.6/5000) and similar in that of the global dataset, but 48.4/100,000 (or 2.4/5000) in the European </w:t>
      </w:r>
      <w:proofErr w:type="spellStart"/>
      <w:r w:rsidR="00523996" w:rsidRPr="00310685">
        <w:t>gnomAD</w:t>
      </w:r>
      <w:proofErr w:type="spellEnd"/>
      <w:r w:rsidR="00523996" w:rsidRPr="00310685">
        <w:t xml:space="preserve"> dataset.   In general, their results suggested that the MD collective lifetime risk is significantly higher than previously thought, especially when compared to newborn screening tests such as PKU, calculated as 0.8/5,000</w:t>
      </w:r>
      <w:r w:rsidR="00310685">
        <w:t>.</w:t>
      </w:r>
    </w:p>
    <w:p w14:paraId="08E42F4A" w14:textId="20639B20" w:rsidR="00CE50BE" w:rsidRDefault="00523996" w:rsidP="00183E60">
      <w:pPr>
        <w:ind w:left="284"/>
      </w:pPr>
      <w:r w:rsidRPr="00CE50BE">
        <w:t>Based on the numbers referred (</w:t>
      </w:r>
      <w:r w:rsidR="00310685">
        <w:t>70-8</w:t>
      </w:r>
      <w:r w:rsidRPr="00CE50BE">
        <w:t xml:space="preserve">0/year) and confirmed (approximately one third of referred patients or </w:t>
      </w:r>
      <w:r w:rsidR="00310685">
        <w:t xml:space="preserve">approximately </w:t>
      </w:r>
      <w:r w:rsidRPr="00CE50BE">
        <w:t>2</w:t>
      </w:r>
      <w:r w:rsidR="00310685">
        <w:t>5</w:t>
      </w:r>
      <w:r w:rsidRPr="00CE50BE">
        <w:t xml:space="preserve"> patients) for the diagnosis of MD in NSW, it is </w:t>
      </w:r>
      <w:r>
        <w:t>estimated</w:t>
      </w:r>
      <w:r w:rsidRPr="00CE50BE">
        <w:t xml:space="preserve"> that </w:t>
      </w:r>
      <w:r w:rsidR="00310685">
        <w:t>approximately 150</w:t>
      </w:r>
      <w:r w:rsidRPr="00CE50BE">
        <w:t xml:space="preserve"> patients per year across Australia would have confirmed </w:t>
      </w:r>
      <w:r>
        <w:t>MD</w:t>
      </w:r>
      <w:r w:rsidRPr="00CE50BE">
        <w:t>.</w:t>
      </w:r>
    </w:p>
    <w:p w14:paraId="4E771F91" w14:textId="57A57C63" w:rsidR="00382407" w:rsidRPr="00154B00" w:rsidRDefault="006D39DC" w:rsidP="006D39DC">
      <w:pPr>
        <w:pStyle w:val="Heading2"/>
        <w:numPr>
          <w:ilvl w:val="0"/>
          <w:numId w:val="0"/>
        </w:numPr>
        <w:ind w:left="360" w:hanging="360"/>
      </w:pPr>
      <w:r>
        <w:t xml:space="preserve">47. </w:t>
      </w:r>
      <w:r w:rsidR="00382407" w:rsidRPr="00154B00">
        <w:t xml:space="preserve">Estimate the </w:t>
      </w:r>
      <w:r w:rsidR="00382407" w:rsidRPr="00AE1188">
        <w:t>number</w:t>
      </w:r>
      <w:r w:rsidR="00382407" w:rsidRPr="00154B00">
        <w:t xml:space="preserve"> of times the proposed medical service</w:t>
      </w:r>
      <w:r w:rsidR="005A58BA">
        <w:t>(s)</w:t>
      </w:r>
      <w:r w:rsidR="00382407" w:rsidRPr="00154B00">
        <w:t xml:space="preserve"> would be </w:t>
      </w:r>
      <w:r w:rsidR="00AE1188">
        <w:t>delivered to a patient per year:</w:t>
      </w:r>
    </w:p>
    <w:p w14:paraId="1B0851F4" w14:textId="5C002809" w:rsidR="005118BA" w:rsidRDefault="005118BA" w:rsidP="00183E60">
      <w:pPr>
        <w:ind w:left="284"/>
        <w:rPr>
          <w:szCs w:val="20"/>
        </w:rPr>
      </w:pPr>
      <w:r>
        <w:rPr>
          <w:szCs w:val="20"/>
        </w:rPr>
        <w:t xml:space="preserve">WGS would be undertaken once per patient per lifetime </w:t>
      </w:r>
      <w:proofErr w:type="gramStart"/>
      <w:r>
        <w:rPr>
          <w:szCs w:val="20"/>
        </w:rPr>
        <w:t>during the course of</w:t>
      </w:r>
      <w:proofErr w:type="gramEnd"/>
      <w:r>
        <w:rPr>
          <w:szCs w:val="20"/>
        </w:rPr>
        <w:t xml:space="preserve"> a diagnostic workup.  Re-analysis of the WGS data would occur in undiagnosed cases as new variants emerge over time, or as clinically indicated.  This would apply to approximately 50% of cases </w:t>
      </w:r>
      <w:bookmarkStart w:id="9" w:name="_Hlk77252984"/>
      <w:r>
        <w:rPr>
          <w:szCs w:val="20"/>
        </w:rPr>
        <w:t xml:space="preserve">with the potential for re-analysis no more than once every 18months. </w:t>
      </w:r>
      <w:bookmarkEnd w:id="9"/>
    </w:p>
    <w:p w14:paraId="293CC37A" w14:textId="77777777" w:rsidR="005118BA" w:rsidRDefault="005118BA" w:rsidP="00183E60">
      <w:pPr>
        <w:ind w:left="284"/>
        <w:rPr>
          <w:szCs w:val="20"/>
        </w:rPr>
      </w:pPr>
      <w:r>
        <w:rPr>
          <w:szCs w:val="20"/>
        </w:rPr>
        <w:t xml:space="preserve">The re-analysis of WGS data would apply to fewer patients in the future as the diagnostic rate increases. Cascade testing may be required during the initial reporting of the WGS test to aid in the </w:t>
      </w:r>
      <w:r w:rsidRPr="00D94F6C">
        <w:rPr>
          <w:szCs w:val="20"/>
        </w:rPr>
        <w:t>interpret</w:t>
      </w:r>
      <w:r>
        <w:rPr>
          <w:szCs w:val="20"/>
        </w:rPr>
        <w:t xml:space="preserve">ation of variants, but this is included the costings by the lab. Cascade testing of family members after obtaining a positive result, would only be required once per variant per lifetime. </w:t>
      </w:r>
    </w:p>
    <w:p w14:paraId="6778E802" w14:textId="7D021F61" w:rsidR="006054E2" w:rsidRPr="00154B00" w:rsidRDefault="005118BA" w:rsidP="00183E60">
      <w:pPr>
        <w:ind w:left="284"/>
        <w:rPr>
          <w:szCs w:val="20"/>
        </w:rPr>
      </w:pPr>
      <w:r>
        <w:rPr>
          <w:szCs w:val="20"/>
        </w:rPr>
        <w:t>C</w:t>
      </w:r>
      <w:r w:rsidRPr="00D94F6C">
        <w:rPr>
          <w:szCs w:val="20"/>
        </w:rPr>
        <w:t>urrently</w:t>
      </w:r>
      <w:r>
        <w:rPr>
          <w:szCs w:val="20"/>
        </w:rPr>
        <w:t xml:space="preserve">, there is </w:t>
      </w:r>
      <w:r w:rsidRPr="00D94F6C">
        <w:rPr>
          <w:szCs w:val="20"/>
        </w:rPr>
        <w:t>no relevant clinical indication for</w:t>
      </w:r>
      <w:r>
        <w:rPr>
          <w:szCs w:val="20"/>
        </w:rPr>
        <w:t xml:space="preserve"> the isolated</w:t>
      </w:r>
      <w:r w:rsidRPr="00D94F6C">
        <w:rPr>
          <w:szCs w:val="20"/>
        </w:rPr>
        <w:t xml:space="preserve"> testing </w:t>
      </w:r>
      <w:r>
        <w:rPr>
          <w:szCs w:val="20"/>
        </w:rPr>
        <w:t xml:space="preserve">of </w:t>
      </w:r>
      <w:r w:rsidRPr="00D94F6C">
        <w:rPr>
          <w:szCs w:val="20"/>
        </w:rPr>
        <w:t xml:space="preserve">MD in </w:t>
      </w:r>
      <w:r>
        <w:rPr>
          <w:szCs w:val="20"/>
        </w:rPr>
        <w:t xml:space="preserve">a </w:t>
      </w:r>
      <w:r w:rsidRPr="00D94F6C">
        <w:rPr>
          <w:szCs w:val="20"/>
        </w:rPr>
        <w:t>foetus</w:t>
      </w:r>
      <w:r>
        <w:rPr>
          <w:szCs w:val="20"/>
        </w:rPr>
        <w:t xml:space="preserve"> in</w:t>
      </w:r>
      <w:r w:rsidRPr="00D94F6C">
        <w:rPr>
          <w:szCs w:val="20"/>
        </w:rPr>
        <w:t xml:space="preserve"> the absence of </w:t>
      </w:r>
      <w:r>
        <w:rPr>
          <w:szCs w:val="20"/>
        </w:rPr>
        <w:t>genetic variants</w:t>
      </w:r>
      <w:r w:rsidRPr="00D94F6C">
        <w:rPr>
          <w:szCs w:val="20"/>
        </w:rPr>
        <w:t xml:space="preserve"> in the parents</w:t>
      </w:r>
      <w:r>
        <w:rPr>
          <w:szCs w:val="20"/>
        </w:rPr>
        <w:t xml:space="preserve"> and/or siblings, as there’s</w:t>
      </w:r>
      <w:r w:rsidRPr="00D94F6C">
        <w:rPr>
          <w:szCs w:val="20"/>
        </w:rPr>
        <w:t xml:space="preserve"> no </w:t>
      </w:r>
      <w:r>
        <w:rPr>
          <w:szCs w:val="20"/>
        </w:rPr>
        <w:t xml:space="preserve">distinct </w:t>
      </w:r>
      <w:r w:rsidRPr="00D94F6C">
        <w:rPr>
          <w:szCs w:val="20"/>
        </w:rPr>
        <w:t>foetal presentation</w:t>
      </w:r>
      <w:r>
        <w:rPr>
          <w:szCs w:val="20"/>
        </w:rPr>
        <w:t>,</w:t>
      </w:r>
      <w:r w:rsidRPr="00D94F6C">
        <w:rPr>
          <w:szCs w:val="20"/>
        </w:rPr>
        <w:t xml:space="preserve"> subject to alter</w:t>
      </w:r>
      <w:r>
        <w:rPr>
          <w:szCs w:val="20"/>
        </w:rPr>
        <w:t>ing antenatal</w:t>
      </w:r>
      <w:r w:rsidRPr="00D94F6C">
        <w:rPr>
          <w:szCs w:val="20"/>
        </w:rPr>
        <w:t xml:space="preserve"> management</w:t>
      </w:r>
      <w:r>
        <w:rPr>
          <w:szCs w:val="20"/>
        </w:rPr>
        <w:t xml:space="preserve">.  However, confirmation of a genetic variant in one parent (autosomal dominant), both parents (autosomal recessive), the mother’s mitochondrial genome, or in a sibling, could lead to prenatal genetic testing of the foetus after informed genetic counselling.  </w:t>
      </w:r>
    </w:p>
    <w:p w14:paraId="474C320A" w14:textId="150AC387" w:rsidR="00382407" w:rsidRPr="00154B00" w:rsidRDefault="006D39DC" w:rsidP="006D39DC">
      <w:pPr>
        <w:pStyle w:val="Heading2"/>
        <w:numPr>
          <w:ilvl w:val="0"/>
          <w:numId w:val="0"/>
        </w:numPr>
        <w:ind w:left="360" w:hanging="360"/>
      </w:pPr>
      <w:r>
        <w:t xml:space="preserve">48. </w:t>
      </w:r>
      <w:r w:rsidR="00382407" w:rsidRPr="00154B00">
        <w:t>How many years would the proposed medical service</w:t>
      </w:r>
      <w:r w:rsidR="005A58BA">
        <w:t>(s)</w:t>
      </w:r>
      <w:r w:rsidR="00382407" w:rsidRPr="00154B00">
        <w:t xml:space="preserve"> be required for the patient?</w:t>
      </w:r>
    </w:p>
    <w:p w14:paraId="58819402" w14:textId="77777777" w:rsidR="005118BA" w:rsidRPr="00183E60" w:rsidRDefault="005118BA" w:rsidP="00183E60">
      <w:pPr>
        <w:ind w:left="284"/>
        <w:rPr>
          <w:szCs w:val="20"/>
        </w:rPr>
      </w:pPr>
      <w:r w:rsidRPr="00183E60">
        <w:rPr>
          <w:szCs w:val="20"/>
        </w:rPr>
        <w:t xml:space="preserve">Not applicable for WGS testing [see proposed Items A and B].   </w:t>
      </w:r>
    </w:p>
    <w:p w14:paraId="5852E5B8" w14:textId="557AB476" w:rsidR="005118BA" w:rsidRPr="00183E60" w:rsidRDefault="005118BA" w:rsidP="00183E60">
      <w:pPr>
        <w:ind w:left="284"/>
        <w:rPr>
          <w:szCs w:val="20"/>
        </w:rPr>
      </w:pPr>
      <w:r w:rsidRPr="00183E60">
        <w:rPr>
          <w:szCs w:val="20"/>
        </w:rPr>
        <w:t xml:space="preserve">Re-analysis of WGS data from a single test would only occur in the absence of an initial genetic diagnosis [refer to proposed item C], and would be applied no more than once every 18 months for the duration of the person’s illness, or until a diagnosis is confirmed. </w:t>
      </w:r>
    </w:p>
    <w:p w14:paraId="195CD53C" w14:textId="0C84A8F8" w:rsidR="002A6753" w:rsidRPr="00154B00" w:rsidRDefault="006D39DC" w:rsidP="006D39DC">
      <w:pPr>
        <w:pStyle w:val="Heading2"/>
        <w:numPr>
          <w:ilvl w:val="0"/>
          <w:numId w:val="0"/>
        </w:numPr>
        <w:ind w:left="360" w:hanging="360"/>
        <w:rPr>
          <w:b w:val="0"/>
        </w:rPr>
      </w:pPr>
      <w:r>
        <w:t xml:space="preserve">49. </w:t>
      </w:r>
      <w:r w:rsidR="000E47E7" w:rsidRPr="00154B00">
        <w:t xml:space="preserve">Estimate </w:t>
      </w:r>
      <w:r w:rsidR="002A6753" w:rsidRPr="00154B00">
        <w:t xml:space="preserve">the projected number of patients who will utilise the proposed </w:t>
      </w:r>
      <w:r w:rsidR="000E47E7" w:rsidRPr="00154B00">
        <w:t xml:space="preserve">medical </w:t>
      </w:r>
      <w:r w:rsidR="002A6753" w:rsidRPr="00154B00">
        <w:t>ser</w:t>
      </w:r>
      <w:r w:rsidR="00AE1188">
        <w:t>vice(s) for the first full year:</w:t>
      </w:r>
    </w:p>
    <w:p w14:paraId="16A678F7" w14:textId="5F6A062E" w:rsidR="007E5087" w:rsidRPr="00183E60" w:rsidRDefault="005118BA" w:rsidP="00183E60">
      <w:pPr>
        <w:ind w:left="284"/>
        <w:rPr>
          <w:szCs w:val="20"/>
        </w:rPr>
      </w:pPr>
      <w:r w:rsidRPr="00183E60">
        <w:rPr>
          <w:szCs w:val="20"/>
        </w:rPr>
        <w:t>Given the backlog of patients awaiting this service in 2021, the projected number of patients seeking WGS for the diagnosis of MD is estimated to be up to 400 cases nationally, within the first full year</w:t>
      </w:r>
    </w:p>
    <w:p w14:paraId="24BCE669" w14:textId="77777777" w:rsidR="00183E60" w:rsidRDefault="00183E60">
      <w:pPr>
        <w:spacing w:before="0" w:after="200" w:line="276" w:lineRule="auto"/>
        <w:rPr>
          <w:b/>
          <w:szCs w:val="20"/>
        </w:rPr>
      </w:pPr>
      <w:r>
        <w:br w:type="page"/>
      </w:r>
    </w:p>
    <w:p w14:paraId="0CF7A457" w14:textId="1BC9B8A2" w:rsidR="00974D50" w:rsidRPr="00154B00" w:rsidRDefault="006D39DC" w:rsidP="006D39DC">
      <w:pPr>
        <w:pStyle w:val="Heading2"/>
        <w:numPr>
          <w:ilvl w:val="0"/>
          <w:numId w:val="0"/>
        </w:numPr>
        <w:ind w:left="360" w:hanging="360"/>
        <w:rPr>
          <w:b w:val="0"/>
        </w:rPr>
      </w:pPr>
      <w:r>
        <w:lastRenderedPageBreak/>
        <w:t xml:space="preserve">50. </w:t>
      </w:r>
      <w:r w:rsidR="005A58BA">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rsidR="005A58BA">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1368573A" w14:textId="4A51C25D" w:rsidR="001B171D" w:rsidRPr="00183E60" w:rsidRDefault="007E5087" w:rsidP="00183E60">
      <w:pPr>
        <w:ind w:left="284"/>
        <w:rPr>
          <w:szCs w:val="20"/>
        </w:rPr>
      </w:pPr>
      <w:r w:rsidRPr="00183E60">
        <w:rPr>
          <w:szCs w:val="20"/>
        </w:rPr>
        <w:t xml:space="preserve">Given that we estimate that 300 cases/year would be seeking </w:t>
      </w:r>
      <w:proofErr w:type="gramStart"/>
      <w:r w:rsidRPr="00183E60">
        <w:rPr>
          <w:szCs w:val="20"/>
        </w:rPr>
        <w:t>diagnosis, and</w:t>
      </w:r>
      <w:proofErr w:type="gramEnd"/>
      <w:r w:rsidRPr="00183E60">
        <w:rPr>
          <w:szCs w:val="20"/>
        </w:rPr>
        <w:t xml:space="preserve"> allowing for the backlog of 100 cases seeking this medical service already waiting, it is anticipated that 1000 WGS tests will be requested in the first 3 years.</w:t>
      </w:r>
    </w:p>
    <w:p w14:paraId="05F09332" w14:textId="5E3D20B3" w:rsidR="007E5087" w:rsidRPr="00183E60" w:rsidRDefault="007E5087" w:rsidP="00183E60">
      <w:pPr>
        <w:ind w:left="284"/>
        <w:rPr>
          <w:szCs w:val="20"/>
        </w:rPr>
      </w:pPr>
      <w:r w:rsidRPr="00183E60">
        <w:rPr>
          <w:szCs w:val="20"/>
        </w:rPr>
        <w:t>Risk of leakage will be managed by restricting ordering of WGS testing to neurologists</w:t>
      </w:r>
      <w:r w:rsidR="003E3E01" w:rsidRPr="00183E60">
        <w:rPr>
          <w:szCs w:val="20"/>
        </w:rPr>
        <w:t xml:space="preserve"> (adult and paediatric)</w:t>
      </w:r>
      <w:r w:rsidRPr="00183E60">
        <w:rPr>
          <w:szCs w:val="20"/>
        </w:rPr>
        <w:t>, metabolic physicians</w:t>
      </w:r>
      <w:r w:rsidR="003E3E01" w:rsidRPr="00183E60">
        <w:rPr>
          <w:szCs w:val="20"/>
        </w:rPr>
        <w:t xml:space="preserve">, </w:t>
      </w:r>
      <w:r w:rsidR="001B2589" w:rsidRPr="00183E60">
        <w:rPr>
          <w:szCs w:val="20"/>
        </w:rPr>
        <w:t>ophthalmologists,</w:t>
      </w:r>
      <w:r w:rsidRPr="00183E60">
        <w:rPr>
          <w:szCs w:val="20"/>
        </w:rPr>
        <w:t xml:space="preserve"> and clinical geneticists</w:t>
      </w:r>
      <w:r w:rsidR="00E20638" w:rsidRPr="00183E60">
        <w:rPr>
          <w:szCs w:val="20"/>
        </w:rPr>
        <w:t xml:space="preserve"> with experience in the assessment, </w:t>
      </w:r>
      <w:proofErr w:type="gramStart"/>
      <w:r w:rsidR="00E20638" w:rsidRPr="00183E60">
        <w:rPr>
          <w:szCs w:val="20"/>
        </w:rPr>
        <w:t>management</w:t>
      </w:r>
      <w:proofErr w:type="gramEnd"/>
      <w:r w:rsidR="00E20638" w:rsidRPr="00183E60">
        <w:rPr>
          <w:szCs w:val="20"/>
        </w:rPr>
        <w:t xml:space="preserve"> and treatment of </w:t>
      </w:r>
      <w:r w:rsidR="005118BA" w:rsidRPr="00183E60">
        <w:rPr>
          <w:szCs w:val="20"/>
        </w:rPr>
        <w:t>MD</w:t>
      </w:r>
      <w:r w:rsidRPr="00183E60">
        <w:rPr>
          <w:szCs w:val="20"/>
        </w:rPr>
        <w:t xml:space="preserve">. The Australian Mitochondrial Disease </w:t>
      </w:r>
      <w:r w:rsidR="00A615A5" w:rsidRPr="00183E60">
        <w:rPr>
          <w:szCs w:val="20"/>
        </w:rPr>
        <w:t xml:space="preserve">Medical </w:t>
      </w:r>
      <w:r w:rsidRPr="00183E60">
        <w:rPr>
          <w:szCs w:val="20"/>
        </w:rPr>
        <w:t xml:space="preserve">Network would provide support and education to doctors seeking to gain this level of expertise. </w:t>
      </w:r>
    </w:p>
    <w:p w14:paraId="5AA3A95A" w14:textId="43CB15D5" w:rsidR="00C6698E" w:rsidRDefault="00C6698E">
      <w:pPr>
        <w:spacing w:before="0" w:after="200" w:line="276" w:lineRule="auto"/>
        <w:rPr>
          <w:bCs/>
          <w:color w:val="4F81BD" w:themeColor="accent1"/>
          <w:sz w:val="40"/>
          <w:szCs w:val="32"/>
        </w:rPr>
      </w:pPr>
      <w:r>
        <w:br w:type="page"/>
      </w:r>
    </w:p>
    <w:p w14:paraId="734CAA3F" w14:textId="6B132480" w:rsidR="00B315C0" w:rsidRPr="00E25D51" w:rsidRDefault="001B5169" w:rsidP="00183E60">
      <w:pPr>
        <w:pStyle w:val="Heading1"/>
      </w:pPr>
      <w:r>
        <w:lastRenderedPageBreak/>
        <w:t>PART 8</w:t>
      </w:r>
      <w:r w:rsidR="00F93784">
        <w:t xml:space="preserve"> – </w:t>
      </w:r>
      <w:r w:rsidR="005A58BA">
        <w:t>COST</w:t>
      </w:r>
      <w:r w:rsidR="00951933" w:rsidRPr="00C776B1">
        <w:t xml:space="preserve"> INFORMATION</w:t>
      </w:r>
    </w:p>
    <w:p w14:paraId="154FE9A4" w14:textId="7D3F18EE" w:rsidR="006A649A" w:rsidRPr="00AE1188" w:rsidRDefault="006D39DC" w:rsidP="006D39DC">
      <w:pPr>
        <w:pStyle w:val="Heading2"/>
        <w:numPr>
          <w:ilvl w:val="0"/>
          <w:numId w:val="0"/>
        </w:numPr>
        <w:ind w:left="360" w:hanging="360"/>
      </w:pPr>
      <w:r>
        <w:t xml:space="preserve">51.  </w:t>
      </w:r>
      <w:r w:rsidR="006A649A" w:rsidRPr="00AE1188">
        <w:t>Indicate the likely</w:t>
      </w:r>
      <w:r w:rsidR="005A58BA" w:rsidRPr="00AE1188">
        <w:t xml:space="preserve"> </w:t>
      </w:r>
      <w:r w:rsidR="006A649A" w:rsidRPr="00AE1188">
        <w:t xml:space="preserve">cost of </w:t>
      </w:r>
      <w:r w:rsidR="005A58BA" w:rsidRPr="00AE1188">
        <w:t xml:space="preserve">providing the </w:t>
      </w:r>
      <w:r w:rsidR="006A649A"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21BEB29D" w14:textId="77777777" w:rsidR="00596C1A" w:rsidRPr="00596C1A" w:rsidRDefault="00596C1A" w:rsidP="00596C1A">
      <w:pPr>
        <w:ind w:left="360"/>
      </w:pPr>
      <w:r w:rsidRPr="00596C1A">
        <w:t xml:space="preserve">Initially, the cost incurred towards WGS testing would involve the consultation process that has already been established and embedded into the diagnostic pathway. This would include everything from the original presentation to the GP, with referral onto a general specialist (most commonly a neurologist or paediatrician) and then onto the specialised services of a ‘mitochondrial expert’, most often established within the outpatient clinic of a larger teaching hospital. </w:t>
      </w:r>
    </w:p>
    <w:p w14:paraId="2BD6FC7D" w14:textId="77777777" w:rsidR="00596C1A" w:rsidRPr="00596C1A" w:rsidRDefault="00596C1A" w:rsidP="00596C1A">
      <w:pPr>
        <w:ind w:left="360"/>
      </w:pPr>
      <w:r w:rsidRPr="00596C1A">
        <w:t xml:space="preserve">The diagnostic path would only vary after completing the preliminary round of investigations, during which the suspicion of a mitochondrial disease is either raised or repealed. The decision to then consider WGS, as opposed to the traditional tissue biopsy, is where the proposed medical service costs begin to accrue. </w:t>
      </w:r>
    </w:p>
    <w:p w14:paraId="2AD7F6F0" w14:textId="3E91A2E0" w:rsidR="00292237" w:rsidRPr="00292237" w:rsidRDefault="00292237" w:rsidP="00292237">
      <w:pPr>
        <w:ind w:left="360"/>
      </w:pPr>
      <w:r w:rsidRPr="00292237">
        <w:t xml:space="preserve">Pre-WGS counselling </w:t>
      </w:r>
      <w:r w:rsidR="00596C1A">
        <w:t>w</w:t>
      </w:r>
      <w:r w:rsidRPr="00292237">
        <w:t xml:space="preserve">ould be performed by either the ‘mitochondrial expert’, or caring physician within the setting of the hospital outpatient department, and approximates to $100-200 for a 30-60minute consult (MBS Item number 116 or 110).  Follow-up consultation to deliver the diagnosis and plan future management would then be required with similar costing. </w:t>
      </w:r>
    </w:p>
    <w:p w14:paraId="3A29236A" w14:textId="3BC7D02E" w:rsidR="00292237" w:rsidRPr="00292237" w:rsidRDefault="00292237" w:rsidP="00292237">
      <w:pPr>
        <w:ind w:left="360"/>
        <w:rPr>
          <w:bCs/>
        </w:rPr>
      </w:pPr>
      <w:r w:rsidRPr="00292237">
        <w:t xml:space="preserve">The WGS testing is most often performed by the pathology service within the hospital setting in communication with a </w:t>
      </w:r>
      <w:r w:rsidRPr="00292237">
        <w:rPr>
          <w:b/>
        </w:rPr>
        <w:t xml:space="preserve">NATA accredited diagnostic service </w:t>
      </w:r>
      <w:r w:rsidRPr="00292237">
        <w:rPr>
          <w:bCs/>
        </w:rPr>
        <w:t>appropriate for the molecular diagnosis of mitochondrial disease. Currently there are &gt;350 variants associated with mitochondrial disease</w:t>
      </w:r>
      <w:r w:rsidR="00C03047">
        <w:rPr>
          <w:bCs/>
        </w:rPr>
        <w:t xml:space="preserve">, see reference </w:t>
      </w:r>
      <w:r w:rsidR="00FE1661">
        <w:rPr>
          <w:bCs/>
        </w:rPr>
        <w:t xml:space="preserve">nuclear </w:t>
      </w:r>
      <w:r w:rsidR="00C03047">
        <w:rPr>
          <w:bCs/>
        </w:rPr>
        <w:t>gene</w:t>
      </w:r>
      <w:r w:rsidRPr="00292237">
        <w:rPr>
          <w:bCs/>
        </w:rPr>
        <w:t xml:space="preserve"> list </w:t>
      </w:r>
      <w:r w:rsidR="00614A96">
        <w:rPr>
          <w:bCs/>
        </w:rPr>
        <w:t>i</w:t>
      </w:r>
      <w:r w:rsidR="00C03047">
        <w:rPr>
          <w:bCs/>
        </w:rPr>
        <w:t xml:space="preserve">n </w:t>
      </w:r>
      <w:r w:rsidRPr="00292237">
        <w:rPr>
          <w:bCs/>
        </w:rPr>
        <w:t>supplementary table 1</w:t>
      </w:r>
      <w:r w:rsidR="00C03047">
        <w:rPr>
          <w:bCs/>
        </w:rPr>
        <w:t>, Ryan et al (2021, page 39</w:t>
      </w:r>
      <w:r w:rsidRPr="00292237">
        <w:rPr>
          <w:bCs/>
        </w:rPr>
        <w:t>)</w:t>
      </w:r>
      <w:r w:rsidR="00FE1661">
        <w:rPr>
          <w:bCs/>
        </w:rPr>
        <w:t xml:space="preserve"> as an example</w:t>
      </w:r>
      <w:r w:rsidR="00C03047">
        <w:rPr>
          <w:bCs/>
        </w:rPr>
        <w:t xml:space="preserve">.  However, </w:t>
      </w:r>
      <w:r w:rsidRPr="00292237">
        <w:rPr>
          <w:bCs/>
        </w:rPr>
        <w:t>by the termination of this application i</w:t>
      </w:r>
      <w:r w:rsidR="00997DFD">
        <w:rPr>
          <w:bCs/>
        </w:rPr>
        <w:t>t</w:t>
      </w:r>
      <w:r w:rsidRPr="00292237">
        <w:rPr>
          <w:bCs/>
        </w:rPr>
        <w:t xml:space="preserve"> may well be &gt;400, </w:t>
      </w:r>
      <w:r w:rsidR="00614A96">
        <w:rPr>
          <w:bCs/>
        </w:rPr>
        <w:t>at</w:t>
      </w:r>
      <w:r w:rsidRPr="00292237">
        <w:rPr>
          <w:bCs/>
        </w:rPr>
        <w:t xml:space="preserve"> which time the</w:t>
      </w:r>
      <w:r w:rsidR="00614A96">
        <w:rPr>
          <w:bCs/>
        </w:rPr>
        <w:t xml:space="preserve"> diagnostic WGS </w:t>
      </w:r>
      <w:r w:rsidRPr="00292237">
        <w:rPr>
          <w:bCs/>
        </w:rPr>
        <w:t xml:space="preserve">costing </w:t>
      </w:r>
      <w:r w:rsidR="00C03047">
        <w:rPr>
          <w:bCs/>
        </w:rPr>
        <w:t>as offered</w:t>
      </w:r>
      <w:r w:rsidRPr="00292237">
        <w:rPr>
          <w:bCs/>
        </w:rPr>
        <w:t xml:space="preserve"> by </w:t>
      </w:r>
      <w:r w:rsidR="00614A96">
        <w:rPr>
          <w:bCs/>
        </w:rPr>
        <w:t xml:space="preserve">the </w:t>
      </w:r>
      <w:r w:rsidRPr="00292237">
        <w:rPr>
          <w:bCs/>
        </w:rPr>
        <w:t xml:space="preserve">VCGS </w:t>
      </w:r>
      <w:r w:rsidR="00614A96">
        <w:rPr>
          <w:bCs/>
        </w:rPr>
        <w:t xml:space="preserve">for &gt;400 genes, </w:t>
      </w:r>
      <w:r w:rsidRPr="00292237">
        <w:rPr>
          <w:bCs/>
        </w:rPr>
        <w:t xml:space="preserve">may </w:t>
      </w:r>
      <w:r w:rsidR="00614A96">
        <w:rPr>
          <w:bCs/>
        </w:rPr>
        <w:t xml:space="preserve">need to </w:t>
      </w:r>
      <w:r w:rsidRPr="00292237">
        <w:rPr>
          <w:bCs/>
        </w:rPr>
        <w:t xml:space="preserve">be </w:t>
      </w:r>
      <w:r w:rsidR="00614A96">
        <w:rPr>
          <w:bCs/>
        </w:rPr>
        <w:t>applied</w:t>
      </w:r>
      <w:r w:rsidRPr="00292237">
        <w:rPr>
          <w:bCs/>
        </w:rPr>
        <w:t xml:space="preserve">. </w:t>
      </w:r>
      <w:r w:rsidR="00FE1661">
        <w:rPr>
          <w:bCs/>
        </w:rPr>
        <w:t>E</w:t>
      </w:r>
      <w:r w:rsidR="00997DFD">
        <w:rPr>
          <w:bCs/>
        </w:rPr>
        <w:t xml:space="preserve">ither international or national </w:t>
      </w:r>
      <w:r w:rsidR="00614A96">
        <w:rPr>
          <w:bCs/>
        </w:rPr>
        <w:t>r</w:t>
      </w:r>
      <w:r w:rsidR="00C03047" w:rsidRPr="00596C1A">
        <w:rPr>
          <w:bCs/>
        </w:rPr>
        <w:t xml:space="preserve">ecognised reference lists of mitochondrial pathogenic variants, such as those available in </w:t>
      </w:r>
      <w:proofErr w:type="spellStart"/>
      <w:r w:rsidR="00C03047" w:rsidRPr="00596C1A">
        <w:rPr>
          <w:bCs/>
        </w:rPr>
        <w:t>PanelApp</w:t>
      </w:r>
      <w:proofErr w:type="spellEnd"/>
      <w:r w:rsidR="00C03047" w:rsidRPr="00596C1A">
        <w:rPr>
          <w:bCs/>
        </w:rPr>
        <w:t xml:space="preserve"> (UK or Australia) </w:t>
      </w:r>
      <w:r w:rsidR="00614A96">
        <w:rPr>
          <w:bCs/>
        </w:rPr>
        <w:t>c</w:t>
      </w:r>
      <w:r w:rsidR="00C03047" w:rsidRPr="00596C1A">
        <w:rPr>
          <w:bCs/>
        </w:rPr>
        <w:t xml:space="preserve">ould be </w:t>
      </w:r>
      <w:r w:rsidR="00614A96">
        <w:rPr>
          <w:bCs/>
        </w:rPr>
        <w:t>sourc</w:t>
      </w:r>
      <w:r w:rsidR="00C03047" w:rsidRPr="00596C1A">
        <w:rPr>
          <w:bCs/>
        </w:rPr>
        <w:t>ed.</w:t>
      </w:r>
    </w:p>
    <w:p w14:paraId="331DC70A" w14:textId="77777777" w:rsidR="005118BA" w:rsidRPr="00292237" w:rsidRDefault="005118BA" w:rsidP="005118BA">
      <w:pPr>
        <w:ind w:left="360"/>
      </w:pPr>
      <w:r w:rsidRPr="00292237">
        <w:rPr>
          <w:bCs/>
        </w:rPr>
        <w:t>The clinical diagnostic laboratories providing such WGS services</w:t>
      </w:r>
      <w:r>
        <w:rPr>
          <w:bCs/>
        </w:rPr>
        <w:t>, and their costs,</w:t>
      </w:r>
      <w:r w:rsidRPr="00292237">
        <w:rPr>
          <w:bCs/>
        </w:rPr>
        <w:t xml:space="preserve"> currently </w:t>
      </w:r>
      <w:proofErr w:type="gramStart"/>
      <w:r w:rsidRPr="00292237">
        <w:rPr>
          <w:bCs/>
        </w:rPr>
        <w:t>include;</w:t>
      </w:r>
      <w:proofErr w:type="gramEnd"/>
      <w:r w:rsidRPr="00292237">
        <w:t xml:space="preserve">        </w:t>
      </w:r>
    </w:p>
    <w:p w14:paraId="1869A440" w14:textId="77777777" w:rsidR="005118BA" w:rsidRPr="00292237" w:rsidRDefault="005118BA" w:rsidP="005118BA">
      <w:pPr>
        <w:ind w:left="360"/>
        <w:rPr>
          <w:b/>
        </w:rPr>
      </w:pPr>
      <w:r w:rsidRPr="00292237">
        <w:rPr>
          <w:b/>
          <w:bCs/>
        </w:rPr>
        <w:t xml:space="preserve">Victorian Clinical Genetic Services </w:t>
      </w:r>
    </w:p>
    <w:p w14:paraId="27CEE805" w14:textId="77777777" w:rsidR="005118BA" w:rsidRPr="00292237" w:rsidRDefault="005118BA" w:rsidP="005118BA">
      <w:pPr>
        <w:ind w:left="360"/>
      </w:pPr>
      <w:r>
        <w:t>WGS</w:t>
      </w:r>
      <w:r w:rsidRPr="00292237">
        <w:t xml:space="preserve"> (overall cost from receipt of patient sample</w:t>
      </w:r>
      <w:r>
        <w:t>, DNA sequencing, informatics analysis</w:t>
      </w:r>
      <w:r w:rsidRPr="00292237">
        <w:t xml:space="preserve"> </w:t>
      </w:r>
      <w:r>
        <w:t xml:space="preserve">through </w:t>
      </w:r>
      <w:r w:rsidRPr="00292237">
        <w:t xml:space="preserve">to </w:t>
      </w:r>
      <w:r>
        <w:t xml:space="preserve">provision of </w:t>
      </w:r>
      <w:r w:rsidRPr="00292237">
        <w:t>clinical report, and includes cascade testing if required for variant interpretation)</w:t>
      </w:r>
    </w:p>
    <w:p w14:paraId="47A7C735" w14:textId="77777777" w:rsidR="005118BA" w:rsidRPr="00292237" w:rsidRDefault="005118BA" w:rsidP="005118BA">
      <w:pPr>
        <w:numPr>
          <w:ilvl w:val="0"/>
          <w:numId w:val="24"/>
        </w:numPr>
      </w:pPr>
      <w:r w:rsidRPr="00292237">
        <w:t>$3000 for 101-400 genes</w:t>
      </w:r>
      <w:r>
        <w:t xml:space="preserve"> +</w:t>
      </w:r>
      <w:r w:rsidRPr="00292237">
        <w:t xml:space="preserve"> Inclusive of </w:t>
      </w:r>
      <w:r>
        <w:t xml:space="preserve">both </w:t>
      </w:r>
      <w:proofErr w:type="spellStart"/>
      <w:r w:rsidRPr="00292237">
        <w:t>nDNA</w:t>
      </w:r>
      <w:proofErr w:type="spellEnd"/>
      <w:r w:rsidRPr="00292237">
        <w:t xml:space="preserve"> and </w:t>
      </w:r>
      <w:proofErr w:type="spellStart"/>
      <w:r w:rsidRPr="00292237">
        <w:t>mtDNA</w:t>
      </w:r>
      <w:proofErr w:type="spellEnd"/>
      <w:r w:rsidRPr="00292237">
        <w:t xml:space="preserve"> analysis and</w:t>
      </w:r>
    </w:p>
    <w:p w14:paraId="0A92095C" w14:textId="77777777" w:rsidR="005118BA" w:rsidRDefault="005118BA" w:rsidP="005118BA">
      <w:pPr>
        <w:numPr>
          <w:ilvl w:val="0"/>
          <w:numId w:val="24"/>
        </w:numPr>
      </w:pPr>
      <w:r w:rsidRPr="00292237">
        <w:t xml:space="preserve">$4300 for &gt;400 genes + Inclusive of </w:t>
      </w:r>
      <w:r>
        <w:t xml:space="preserve">both </w:t>
      </w:r>
      <w:proofErr w:type="spellStart"/>
      <w:r w:rsidRPr="00292237">
        <w:t>nDNA</w:t>
      </w:r>
      <w:proofErr w:type="spellEnd"/>
      <w:r w:rsidRPr="00292237">
        <w:t xml:space="preserve"> and </w:t>
      </w:r>
      <w:proofErr w:type="spellStart"/>
      <w:r w:rsidRPr="00292237">
        <w:t>mtDNA</w:t>
      </w:r>
      <w:proofErr w:type="spellEnd"/>
      <w:r w:rsidRPr="00292237">
        <w:t xml:space="preserve"> analysis</w:t>
      </w:r>
    </w:p>
    <w:p w14:paraId="1F7DBE61" w14:textId="77777777" w:rsidR="005118BA" w:rsidRPr="00292237" w:rsidRDefault="005118BA" w:rsidP="005118BA">
      <w:pPr>
        <w:ind w:left="760"/>
      </w:pPr>
      <w:r>
        <w:rPr>
          <w:b/>
          <w:bCs/>
          <w:color w:val="FF0000"/>
          <w:u w:val="single"/>
        </w:rPr>
        <w:t>PLEASE NOTE</w:t>
      </w:r>
      <w:r w:rsidRPr="00EA32BA">
        <w:rPr>
          <w:b/>
          <w:bCs/>
          <w:color w:val="FF0000"/>
        </w:rPr>
        <w:t>:</w:t>
      </w:r>
      <w:r w:rsidRPr="00292237">
        <w:rPr>
          <w:b/>
          <w:bCs/>
          <w:color w:val="FF0000"/>
        </w:rPr>
        <w:t xml:space="preserve"> </w:t>
      </w:r>
      <w:r w:rsidRPr="00EA32BA">
        <w:rPr>
          <w:b/>
          <w:bCs/>
          <w:color w:val="FF0000"/>
        </w:rPr>
        <w:t xml:space="preserve"> </w:t>
      </w:r>
      <w:r w:rsidRPr="00292237">
        <w:t xml:space="preserve">WGS includes mtDNA analysis in addition to variant calling in </w:t>
      </w:r>
      <w:proofErr w:type="spellStart"/>
      <w:r w:rsidRPr="00292237">
        <w:t>nDNA</w:t>
      </w:r>
      <w:proofErr w:type="spellEnd"/>
      <w:r w:rsidRPr="00292237">
        <w:t>; this includes running the raw data through an additional mtDNA variant calling program and additional bioinformatic analysis of mtDNA.</w:t>
      </w:r>
      <w:r>
        <w:t xml:space="preserve"> (Hence the additional costs over item numbers 73358 and 73359)</w:t>
      </w:r>
      <w:r w:rsidRPr="00292237">
        <w:t xml:space="preserve"> </w:t>
      </w:r>
    </w:p>
    <w:p w14:paraId="35FD4C4E" w14:textId="77777777" w:rsidR="005118BA" w:rsidRPr="00292237" w:rsidRDefault="005118BA" w:rsidP="005118BA">
      <w:pPr>
        <w:ind w:left="360"/>
      </w:pPr>
      <w:r w:rsidRPr="00292237">
        <w:t>Cascade testing of single variant = approximately $450</w:t>
      </w:r>
    </w:p>
    <w:p w14:paraId="51652799" w14:textId="77777777" w:rsidR="005118BA" w:rsidRPr="00292237" w:rsidRDefault="005118BA" w:rsidP="005118BA">
      <w:pPr>
        <w:rPr>
          <w:bCs/>
        </w:rPr>
      </w:pPr>
      <w:r>
        <w:rPr>
          <w:b/>
        </w:rPr>
        <w:t xml:space="preserve">       </w:t>
      </w:r>
      <w:r w:rsidRPr="00292237">
        <w:rPr>
          <w:b/>
        </w:rPr>
        <w:t xml:space="preserve"> </w:t>
      </w:r>
      <w:r w:rsidRPr="00292237">
        <w:rPr>
          <w:bCs/>
        </w:rPr>
        <w:t xml:space="preserve">Re-analysis of WGS data: </w:t>
      </w:r>
    </w:p>
    <w:p w14:paraId="30ACFB90" w14:textId="77777777" w:rsidR="005118BA" w:rsidRPr="00292237" w:rsidRDefault="005118BA" w:rsidP="00183E60">
      <w:pPr>
        <w:numPr>
          <w:ilvl w:val="0"/>
          <w:numId w:val="22"/>
        </w:numPr>
        <w:ind w:left="1134" w:hanging="425"/>
        <w:rPr>
          <w:bCs/>
        </w:rPr>
      </w:pPr>
      <w:r w:rsidRPr="00292237">
        <w:rPr>
          <w:bCs/>
        </w:rPr>
        <w:t xml:space="preserve">Production of a report where there are no new findings = $350  </w:t>
      </w:r>
    </w:p>
    <w:p w14:paraId="3728CBC3" w14:textId="291BAB07" w:rsidR="005118BA" w:rsidRPr="00183E60" w:rsidRDefault="005118BA" w:rsidP="00183E60">
      <w:pPr>
        <w:numPr>
          <w:ilvl w:val="0"/>
          <w:numId w:val="22"/>
        </w:numPr>
        <w:ind w:left="1134" w:hanging="425"/>
        <w:rPr>
          <w:bCs/>
        </w:rPr>
      </w:pPr>
      <w:r w:rsidRPr="00292237">
        <w:rPr>
          <w:bCs/>
        </w:rPr>
        <w:t xml:space="preserve">Production of a report </w:t>
      </w:r>
      <w:r>
        <w:rPr>
          <w:bCs/>
        </w:rPr>
        <w:t>including</w:t>
      </w:r>
      <w:r w:rsidRPr="00292237">
        <w:rPr>
          <w:bCs/>
        </w:rPr>
        <w:t xml:space="preserve"> curation of new variants = $650 </w:t>
      </w:r>
    </w:p>
    <w:p w14:paraId="4B7B6ADA" w14:textId="7A1CE714" w:rsidR="00A20428" w:rsidRPr="00C82C07" w:rsidRDefault="006A26AE" w:rsidP="00A20428">
      <w:pPr>
        <w:ind w:left="360"/>
        <w:rPr>
          <w:b/>
          <w:bCs/>
        </w:rPr>
      </w:pPr>
      <w:r>
        <w:rPr>
          <w:b/>
          <w:bCs/>
        </w:rPr>
        <w:t>SEALS</w:t>
      </w:r>
      <w:r w:rsidR="002C0010">
        <w:rPr>
          <w:b/>
          <w:bCs/>
        </w:rPr>
        <w:t>-NSW PATHOLOGY</w:t>
      </w:r>
    </w:p>
    <w:p w14:paraId="5587470A" w14:textId="6BC58171" w:rsidR="001B488E" w:rsidRDefault="002C0010" w:rsidP="001B488E">
      <w:pPr>
        <w:ind w:left="360"/>
      </w:pPr>
      <w:r>
        <w:t>Only offering ‘</w:t>
      </w:r>
      <w:r w:rsidR="001B488E" w:rsidRPr="001B488E">
        <w:t xml:space="preserve">Whole </w:t>
      </w:r>
      <w:r w:rsidR="00A73CB8" w:rsidRPr="00A73CB8">
        <w:rPr>
          <w:b/>
          <w:bCs/>
          <w:u w:val="single"/>
        </w:rPr>
        <w:t>Ex</w:t>
      </w:r>
      <w:r w:rsidR="001B488E" w:rsidRPr="00A73CB8">
        <w:rPr>
          <w:b/>
          <w:bCs/>
          <w:u w:val="single"/>
        </w:rPr>
        <w:t>ome</w:t>
      </w:r>
      <w:r w:rsidR="001B488E" w:rsidRPr="001B488E">
        <w:t xml:space="preserve"> Sequencing</w:t>
      </w:r>
      <w:r>
        <w:t>’</w:t>
      </w:r>
      <w:r w:rsidR="00D07C79">
        <w:t xml:space="preserve"> </w:t>
      </w:r>
      <w:r>
        <w:t xml:space="preserve">and so currently not a viable option for a comprehensive mitochondrial disease analysis, </w:t>
      </w:r>
    </w:p>
    <w:p w14:paraId="5E91E5C5" w14:textId="01F4BFA5" w:rsidR="00D07C79" w:rsidRDefault="001B488E" w:rsidP="00D54508">
      <w:pPr>
        <w:pStyle w:val="ListParagraph"/>
        <w:numPr>
          <w:ilvl w:val="0"/>
          <w:numId w:val="23"/>
        </w:numPr>
      </w:pPr>
      <w:r>
        <w:t>$</w:t>
      </w:r>
      <w:r w:rsidR="00D07C79">
        <w:t>20</w:t>
      </w:r>
      <w:r>
        <w:t>00</w:t>
      </w:r>
      <w:r w:rsidR="003A053C">
        <w:t xml:space="preserve"> </w:t>
      </w:r>
      <w:r w:rsidR="00A73CB8">
        <w:t>(</w:t>
      </w:r>
      <w:r w:rsidR="002C0010">
        <w:t>singleton</w:t>
      </w:r>
      <w:r w:rsidR="007731B4">
        <w:t xml:space="preserve"> - </w:t>
      </w:r>
      <w:proofErr w:type="spellStart"/>
      <w:r w:rsidR="007731B4">
        <w:t>nDNA</w:t>
      </w:r>
      <w:proofErr w:type="spellEnd"/>
      <w:r w:rsidR="007731B4">
        <w:t xml:space="preserve"> analysis only</w:t>
      </w:r>
      <w:r w:rsidR="00A73CB8">
        <w:t>)</w:t>
      </w:r>
      <w:r w:rsidR="00D07C79">
        <w:t xml:space="preserve"> </w:t>
      </w:r>
    </w:p>
    <w:p w14:paraId="4379CCC8" w14:textId="1EC1F874" w:rsidR="001B488E" w:rsidRPr="001B488E" w:rsidRDefault="00D07C79" w:rsidP="00D54508">
      <w:pPr>
        <w:pStyle w:val="ListParagraph"/>
        <w:numPr>
          <w:ilvl w:val="0"/>
          <w:numId w:val="23"/>
        </w:numPr>
      </w:pPr>
      <w:r>
        <w:t xml:space="preserve">$2800 </w:t>
      </w:r>
      <w:r w:rsidR="007731B4">
        <w:t>(</w:t>
      </w:r>
      <w:proofErr w:type="spellStart"/>
      <w:r>
        <w:t>triome</w:t>
      </w:r>
      <w:proofErr w:type="spellEnd"/>
      <w:r w:rsidR="007731B4">
        <w:t xml:space="preserve"> - </w:t>
      </w:r>
      <w:proofErr w:type="spellStart"/>
      <w:r w:rsidR="007731B4">
        <w:t>nDNA</w:t>
      </w:r>
      <w:proofErr w:type="spellEnd"/>
      <w:r w:rsidR="007731B4">
        <w:t xml:space="preserve"> analysis only))</w:t>
      </w:r>
    </w:p>
    <w:p w14:paraId="3EA34A68" w14:textId="2B0FB017" w:rsidR="00A20428" w:rsidRPr="002454C8" w:rsidRDefault="00A20428" w:rsidP="00A20428">
      <w:pPr>
        <w:ind w:left="360"/>
      </w:pPr>
      <w:r w:rsidRPr="002454C8">
        <w:t xml:space="preserve">Cascade testing of single </w:t>
      </w:r>
      <w:r w:rsidR="007731B4">
        <w:t xml:space="preserve">nuclear DNA </w:t>
      </w:r>
      <w:r w:rsidRPr="002454C8">
        <w:t>variant: $</w:t>
      </w:r>
      <w:r w:rsidR="00692F93">
        <w:t>35</w:t>
      </w:r>
      <w:r w:rsidRPr="002454C8">
        <w:t xml:space="preserve">0 </w:t>
      </w:r>
    </w:p>
    <w:p w14:paraId="196A5A8A" w14:textId="4E2FCE73" w:rsidR="00A20428" w:rsidRDefault="00A20428" w:rsidP="00A20428">
      <w:pPr>
        <w:ind w:left="360"/>
      </w:pPr>
      <w:r w:rsidRPr="002454C8">
        <w:t>Re</w:t>
      </w:r>
      <w:r w:rsidR="001B488E">
        <w:t>-</w:t>
      </w:r>
      <w:r w:rsidRPr="002454C8">
        <w:t xml:space="preserve">analysis of whole exome data: </w:t>
      </w:r>
    </w:p>
    <w:p w14:paraId="635F9825" w14:textId="72596773" w:rsidR="001B488E" w:rsidRDefault="001B488E" w:rsidP="00183E60">
      <w:pPr>
        <w:pStyle w:val="ListParagraph"/>
        <w:numPr>
          <w:ilvl w:val="0"/>
          <w:numId w:val="23"/>
        </w:numPr>
      </w:pPr>
      <w:r w:rsidRPr="001B488E">
        <w:t xml:space="preserve">Production of a report </w:t>
      </w:r>
      <w:r w:rsidR="002C0010">
        <w:t>(irrespective of no or</w:t>
      </w:r>
      <w:r w:rsidRPr="001B488E">
        <w:t xml:space="preserve"> new variants</w:t>
      </w:r>
      <w:r w:rsidR="002C0010">
        <w:t xml:space="preserve"> being detected)</w:t>
      </w:r>
      <w:r w:rsidRPr="001B488E">
        <w:t>: $</w:t>
      </w:r>
      <w:r w:rsidR="00692F93">
        <w:t>42</w:t>
      </w:r>
      <w:r w:rsidRPr="001B488E">
        <w:t>0</w:t>
      </w:r>
    </w:p>
    <w:p w14:paraId="2CC24E90" w14:textId="77777777" w:rsidR="009C1BD5" w:rsidRPr="002454C8" w:rsidRDefault="009C1BD5" w:rsidP="009C1BD5">
      <w:pPr>
        <w:pStyle w:val="ListParagraph"/>
        <w:ind w:left="1080"/>
      </w:pPr>
    </w:p>
    <w:p w14:paraId="1281DFC7" w14:textId="6CEE35E5" w:rsidR="00951933" w:rsidRPr="00154B00" w:rsidRDefault="006D39DC" w:rsidP="006D39DC">
      <w:pPr>
        <w:pStyle w:val="Heading2"/>
        <w:numPr>
          <w:ilvl w:val="0"/>
          <w:numId w:val="0"/>
        </w:numPr>
        <w:ind w:left="360" w:hanging="360"/>
      </w:pPr>
      <w:r>
        <w:t xml:space="preserve">52. </w:t>
      </w:r>
      <w:r w:rsidR="00951933" w:rsidRPr="00154B00">
        <w:t xml:space="preserve">Specify how </w:t>
      </w:r>
      <w:r w:rsidR="00951933" w:rsidRPr="00AE1188">
        <w:t>long</w:t>
      </w:r>
      <w:r w:rsidR="00951933" w:rsidRPr="00154B00">
        <w:t xml:space="preserve"> the proposed medical ser</w:t>
      </w:r>
      <w:r w:rsidR="00AE1188">
        <w:t>vice typically takes to perform:</w:t>
      </w:r>
    </w:p>
    <w:p w14:paraId="06A99FE6" w14:textId="4B2BF9C8" w:rsidR="007E5087" w:rsidRDefault="007E5087" w:rsidP="007E5087">
      <w:pPr>
        <w:ind w:left="426"/>
      </w:pPr>
      <w:r>
        <w:t xml:space="preserve">Provision of WGS requires pre-test genetic counselling for the patient </w:t>
      </w:r>
      <w:r w:rsidR="00D72D14">
        <w:t xml:space="preserve">and any relevant family members (such as parents), </w:t>
      </w:r>
      <w:r>
        <w:t xml:space="preserve">which </w:t>
      </w:r>
      <w:r w:rsidR="002E3E1D">
        <w:t>may</w:t>
      </w:r>
      <w:r>
        <w:t xml:space="preserve"> take 30</w:t>
      </w:r>
      <w:r w:rsidR="002E3E1D">
        <w:t>-</w:t>
      </w:r>
      <w:r w:rsidR="00D72D14">
        <w:t xml:space="preserve">60 minutes </w:t>
      </w:r>
      <w:r>
        <w:t>of</w:t>
      </w:r>
      <w:r w:rsidR="00855D00">
        <w:t xml:space="preserve"> the</w:t>
      </w:r>
      <w:r>
        <w:t xml:space="preserve"> specialist</w:t>
      </w:r>
      <w:r w:rsidR="00855D00">
        <w:t xml:space="preserve">’s </w:t>
      </w:r>
      <w:r>
        <w:t xml:space="preserve"> time.</w:t>
      </w:r>
    </w:p>
    <w:p w14:paraId="3467DDFF" w14:textId="1F030D5D" w:rsidR="007E5087" w:rsidRDefault="007E5087" w:rsidP="007E5087">
      <w:pPr>
        <w:ind w:left="426"/>
      </w:pPr>
      <w:r>
        <w:t xml:space="preserve">The </w:t>
      </w:r>
      <w:r w:rsidR="002E3E1D">
        <w:t xml:space="preserve">test itself can be performed almost immediately (after the appropriate genetic counselling) by a local pathology centre with access to a NATA accredited diagnostic service. </w:t>
      </w:r>
      <w:r w:rsidR="001B2589">
        <w:t>Turnaround</w:t>
      </w:r>
      <w:r>
        <w:t xml:space="preserve"> times for the WGS are </w:t>
      </w:r>
      <w:r w:rsidRPr="00321B7C">
        <w:t xml:space="preserve">currently </w:t>
      </w:r>
      <w:r w:rsidR="00EE4A44">
        <w:t>3-4 months</w:t>
      </w:r>
      <w:r>
        <w:t>, but this may improve when the current bottleneck of bioinformatics/curation is appropriately resourced.</w:t>
      </w:r>
    </w:p>
    <w:p w14:paraId="1D510786" w14:textId="77777777" w:rsidR="00580F3A" w:rsidRDefault="00580F3A" w:rsidP="00580F3A">
      <w:pPr>
        <w:ind w:left="426"/>
      </w:pPr>
      <w:r>
        <w:t xml:space="preserve">Delivery of the results to the patient (and/or the relevant family members such as parents) by the treating clinician would require another consult with an expected duration of 30-60 minutes if the WGS pathology report includes a genetic diagnosis and a discussion of cascade testing is required. Further genetic counselling (of approximately one hour duration) may be required for the delivery of cascade testing results. </w:t>
      </w:r>
    </w:p>
    <w:p w14:paraId="489A72DA" w14:textId="77777777" w:rsidR="00580F3A" w:rsidRDefault="00580F3A" w:rsidP="00580F3A">
      <w:pPr>
        <w:ind w:left="426"/>
      </w:pPr>
      <w:r>
        <w:t xml:space="preserve">If a genetic diagnosis is not able to be determined from the WGS testing, then follow-up consults (of indeterminable varying lengths), in discussion with the patient/family would then be required. In the event of either a VUS, novel gene or a known genetic variant of uncertain clinical significance to the patient, then repeated assessments and evaluations of uncertain time periods over undetermined time frames would need to occur. </w:t>
      </w:r>
    </w:p>
    <w:p w14:paraId="5691D40B" w14:textId="586C3105" w:rsidR="00103709" w:rsidRDefault="00580F3A" w:rsidP="00183E60">
      <w:pPr>
        <w:ind w:left="426"/>
      </w:pPr>
      <w:r>
        <w:t xml:space="preserve">Re-analysis of WGS data would take between 6-8 weeks, and then dependent upon its findings, follow-up as above would be required, including appropriate genetic counselling by the specialist when a diagnosis has been determined.  </w:t>
      </w:r>
    </w:p>
    <w:p w14:paraId="416F1856" w14:textId="49A163A8" w:rsidR="0007032F" w:rsidRDefault="006D39DC" w:rsidP="00183E60">
      <w:pPr>
        <w:pStyle w:val="Heading2"/>
        <w:numPr>
          <w:ilvl w:val="0"/>
          <w:numId w:val="0"/>
        </w:numPr>
        <w:ind w:left="360" w:hanging="360"/>
      </w:pPr>
      <w:r>
        <w:t xml:space="preserve">53. </w:t>
      </w:r>
      <w:r w:rsidR="0054192F" w:rsidRPr="00450BBE">
        <w:t>If public funding is sought through the MBS, please draft a proposed MBS item descriptor to define the population and medical service usage characteristics that would define eligibility for MBS funding.</w:t>
      </w:r>
    </w:p>
    <w:p w14:paraId="326E1B68" w14:textId="4F7911E0" w:rsidR="0007032F" w:rsidRDefault="0007032F" w:rsidP="00183E60">
      <w:pPr>
        <w:ind w:left="360"/>
      </w:pPr>
      <w:r w:rsidRPr="0007032F">
        <w:t xml:space="preserve">Upon the acceptance of genetic testing for mitochondrial disease, the new additional item numbers </w:t>
      </w:r>
      <w:r>
        <w:t xml:space="preserve">A, B and C </w:t>
      </w:r>
      <w:r w:rsidRPr="0007032F">
        <w:t xml:space="preserve">would </w:t>
      </w:r>
      <w:r>
        <w:t xml:space="preserve">need to either be incorporated into current </w:t>
      </w:r>
      <w:r w:rsidRPr="0007032F">
        <w:t>MBS Item numbers 73361, 73362 and 73363</w:t>
      </w:r>
      <w:r>
        <w:t xml:space="preserve"> applicable to cascade testing, otherwise as proposed below, new item numbers D, E</w:t>
      </w:r>
      <w:r w:rsidR="00855D00">
        <w:t>,</w:t>
      </w:r>
      <w:r>
        <w:t xml:space="preserve"> F </w:t>
      </w:r>
      <w:r w:rsidR="00855D00">
        <w:t xml:space="preserve">and G </w:t>
      </w:r>
      <w:r>
        <w:t>would need to be generated.</w:t>
      </w:r>
    </w:p>
    <w:p w14:paraId="5A2457DA" w14:textId="1C7793CF" w:rsidR="000D48CB" w:rsidRPr="00D93AA1" w:rsidRDefault="000D48CB" w:rsidP="00183E60">
      <w:pPr>
        <w:ind w:left="360"/>
        <w:rPr>
          <w:b/>
          <w:bCs/>
          <w:u w:val="single"/>
        </w:rPr>
      </w:pPr>
      <w:r w:rsidRPr="00D93AA1">
        <w:rPr>
          <w:b/>
          <w:bCs/>
          <w:u w:val="single"/>
        </w:rPr>
        <w:t>Item A </w:t>
      </w:r>
    </w:p>
    <w:p w14:paraId="3F4B3EC1" w14:textId="0B31C590" w:rsidR="000D48CB" w:rsidRPr="0093154C" w:rsidRDefault="000D48CB" w:rsidP="00183E60">
      <w:pPr>
        <w:ind w:left="360"/>
      </w:pPr>
      <w:r w:rsidRPr="003B757B">
        <w:t xml:space="preserve">Characterisation </w:t>
      </w:r>
      <w:r w:rsidR="007D016D" w:rsidRPr="007D016D">
        <w:t xml:space="preserve">via whole exome or genome sequencing and analysis, of germline variants </w:t>
      </w:r>
      <w:r w:rsidRPr="003B757B">
        <w:t xml:space="preserve">, from a phenotypically driven gene list </w:t>
      </w:r>
      <w:r w:rsidR="008E7915">
        <w:t xml:space="preserve">(accessible </w:t>
      </w:r>
      <w:r w:rsidRPr="003B757B">
        <w:t>present in nuclear and mitochondrial DNA of a patient with a strong suspicion of a mitochondrial disease based on the following criteria</w:t>
      </w:r>
      <w:r w:rsidRPr="0093154C">
        <w:t>:</w:t>
      </w:r>
    </w:p>
    <w:p w14:paraId="44B355EB" w14:textId="77777777" w:rsidR="000D48CB" w:rsidRPr="0093154C" w:rsidRDefault="000D48CB" w:rsidP="00183E60">
      <w:pPr>
        <w:ind w:left="360"/>
      </w:pPr>
      <w:r w:rsidRPr="0093154C">
        <w:t>(a) the characterisation is:</w:t>
      </w:r>
    </w:p>
    <w:p w14:paraId="2EF3F01D" w14:textId="1873D845" w:rsidR="000D48CB" w:rsidRPr="0093154C" w:rsidRDefault="000D48CB" w:rsidP="00183E60">
      <w:pPr>
        <w:spacing w:after="0"/>
        <w:ind w:left="720"/>
      </w:pPr>
      <w:r w:rsidRPr="0093154C">
        <w:t>(</w:t>
      </w:r>
      <w:proofErr w:type="spellStart"/>
      <w:r w:rsidRPr="0093154C">
        <w:t>i</w:t>
      </w:r>
      <w:proofErr w:type="spellEnd"/>
      <w:r w:rsidRPr="0093154C">
        <w:t>) requested by a</w:t>
      </w:r>
      <w:r w:rsidR="006D6AC5" w:rsidRPr="006D6AC5">
        <w:t xml:space="preserve"> Specialist or Consultant Physician experienced in the treatment of</w:t>
      </w:r>
      <w:r w:rsidR="004454E0">
        <w:t xml:space="preserve"> </w:t>
      </w:r>
      <w:r w:rsidR="00FA1F74">
        <w:t>mitochondrial disease</w:t>
      </w:r>
      <w:r w:rsidRPr="0093154C">
        <w:t>; or</w:t>
      </w:r>
    </w:p>
    <w:p w14:paraId="5F4F56E9" w14:textId="416C26CF" w:rsidR="000D48CB" w:rsidRPr="0093154C" w:rsidRDefault="000D48CB" w:rsidP="00183E60">
      <w:pPr>
        <w:spacing w:before="0"/>
        <w:ind w:left="720"/>
      </w:pPr>
      <w:r w:rsidRPr="00FA1F74">
        <w:t xml:space="preserve">(ii) requested by </w:t>
      </w:r>
      <w:r w:rsidR="006D6AC5">
        <w:t xml:space="preserve"> a Specialist or Consultant Physician practising as a</w:t>
      </w:r>
      <w:r w:rsidRPr="00FA1F74">
        <w:t xml:space="preserve"> </w:t>
      </w:r>
      <w:r w:rsidR="006D6AC5" w:rsidRPr="006D6AC5">
        <w:t>neurologist</w:t>
      </w:r>
      <w:r w:rsidR="00521F1E">
        <w:t xml:space="preserve"> (paediatric or adult)</w:t>
      </w:r>
      <w:r w:rsidR="006D6AC5" w:rsidRPr="006D6AC5">
        <w:t>, metabolic physician, clinical</w:t>
      </w:r>
      <w:r w:rsidR="0032034A">
        <w:t xml:space="preserve"> or metabolic</w:t>
      </w:r>
      <w:r w:rsidR="006D6AC5" w:rsidRPr="006D6AC5">
        <w:t xml:space="preserve"> geneticist</w:t>
      </w:r>
      <w:r w:rsidR="0032034A">
        <w:t>,</w:t>
      </w:r>
      <w:r w:rsidR="006D6AC5" w:rsidRPr="006D6AC5">
        <w:t xml:space="preserve"> </w:t>
      </w:r>
      <w:r w:rsidR="007D016D">
        <w:t>or</w:t>
      </w:r>
      <w:r w:rsidR="006D6AC5" w:rsidRPr="006D6AC5">
        <w:t xml:space="preserve"> ophthalmologist who have experience in the treatment of mitochondrial disease</w:t>
      </w:r>
      <w:r w:rsidR="006D6AC5">
        <w:t xml:space="preserve"> </w:t>
      </w:r>
      <w:r w:rsidRPr="00FA1F74">
        <w:t>;</w:t>
      </w:r>
      <w:r w:rsidRPr="0093154C">
        <w:t xml:space="preserve"> and</w:t>
      </w:r>
    </w:p>
    <w:p w14:paraId="77AC22F3" w14:textId="4C5C24F8" w:rsidR="000E52B4" w:rsidRPr="000E52B4" w:rsidRDefault="000D48CB" w:rsidP="00183E60">
      <w:pPr>
        <w:ind w:left="426"/>
        <w:rPr>
          <w:rFonts w:ascii="Calibri" w:eastAsia="Calibri" w:hAnsi="Calibri" w:cs="Times New Roman"/>
        </w:rPr>
      </w:pPr>
      <w:r w:rsidRPr="0093154C">
        <w:t>(</w:t>
      </w:r>
      <w:r>
        <w:t>b</w:t>
      </w:r>
      <w:r w:rsidRPr="0093154C">
        <w:t xml:space="preserve">) </w:t>
      </w:r>
      <w:r w:rsidR="000E52B4" w:rsidRPr="000E52B4">
        <w:rPr>
          <w:rFonts w:ascii="Calibri" w:eastAsia="Calibri" w:hAnsi="Calibri" w:cs="Times New Roman"/>
        </w:rPr>
        <w:t xml:space="preserve"> </w:t>
      </w:r>
      <w:bookmarkStart w:id="10" w:name="_Hlk77929910"/>
      <w:r w:rsidR="000E52B4" w:rsidRPr="000E52B4">
        <w:rPr>
          <w:rFonts w:ascii="Calibri" w:eastAsia="Calibri" w:hAnsi="Calibri" w:cs="Times New Roman"/>
        </w:rPr>
        <w:t xml:space="preserve">onset </w:t>
      </w:r>
      <w:r w:rsidR="000E52B4" w:rsidRPr="00653479">
        <w:rPr>
          <w:rFonts w:ascii="Calibri" w:eastAsia="Calibri" w:hAnsi="Calibri" w:cs="Times New Roman"/>
        </w:rPr>
        <w:t>of one or more clinical features indicative</w:t>
      </w:r>
      <w:r w:rsidR="000E52B4" w:rsidRPr="000E52B4">
        <w:rPr>
          <w:rFonts w:ascii="Calibri" w:eastAsia="Calibri" w:hAnsi="Calibri" w:cs="Times New Roman"/>
        </w:rPr>
        <w:t xml:space="preserve"> of mitochondrial disease inclusive of </w:t>
      </w:r>
      <w:r w:rsidR="005D64B5">
        <w:rPr>
          <w:rFonts w:ascii="Calibri" w:eastAsia="Calibri" w:hAnsi="Calibri" w:cs="Times New Roman"/>
        </w:rPr>
        <w:t xml:space="preserve">at least one or more of </w:t>
      </w:r>
      <w:r w:rsidR="000E52B4" w:rsidRPr="000E52B4">
        <w:rPr>
          <w:rFonts w:ascii="Calibri" w:eastAsia="Calibri" w:hAnsi="Calibri" w:cs="Times New Roman"/>
        </w:rPr>
        <w:t>the following:</w:t>
      </w:r>
    </w:p>
    <w:p w14:paraId="21C5C289" w14:textId="2016C65F"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w:t>
      </w:r>
      <w:proofErr w:type="spellStart"/>
      <w:r w:rsidRPr="000E52B4">
        <w:rPr>
          <w:rFonts w:ascii="Calibri" w:eastAsia="Calibri" w:hAnsi="Calibri" w:cs="Times New Roman"/>
        </w:rPr>
        <w:t>i</w:t>
      </w:r>
      <w:proofErr w:type="spellEnd"/>
      <w:r w:rsidRPr="000E52B4">
        <w:rPr>
          <w:rFonts w:ascii="Calibri" w:eastAsia="Calibri" w:hAnsi="Calibri" w:cs="Times New Roman"/>
        </w:rPr>
        <w:t xml:space="preserve">)   </w:t>
      </w:r>
      <w:r w:rsidR="00656F09">
        <w:rPr>
          <w:rFonts w:ascii="Calibri" w:eastAsia="Calibri" w:hAnsi="Calibri" w:cs="Times New Roman"/>
        </w:rPr>
        <w:t xml:space="preserve">  </w:t>
      </w:r>
      <w:r w:rsidRPr="000E52B4">
        <w:rPr>
          <w:rFonts w:ascii="Calibri" w:eastAsia="Calibri" w:hAnsi="Calibri" w:cs="Times New Roman"/>
        </w:rPr>
        <w:t>Evident mitochondrial dysfunction in children &lt;16years, and/or</w:t>
      </w:r>
    </w:p>
    <w:p w14:paraId="3AC4B7CB"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(ii)    Unexplained hypotonia, weakness, failure to thrive and a metabolic acidosis in children, and/or</w:t>
      </w:r>
    </w:p>
    <w:p w14:paraId="27CBBF2A"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(iii)   Unexplained single or multi- organ dysfunction or fulminant failure (in particular but not limited to hepatopathy, pancreatic and/or bone marrow failure ) in children &lt;10years, and/or</w:t>
      </w:r>
    </w:p>
    <w:p w14:paraId="4E716E9F"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 xml:space="preserve">(iv)   Unexplained profound hypoglycaemia  and/or </w:t>
      </w:r>
    </w:p>
    <w:p w14:paraId="70ADA4B9"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(v)    Refractory seizures, developmental delays, and progressive encephalopathy or encephalomyopathy in children &lt;16years, and/or</w:t>
      </w:r>
    </w:p>
    <w:p w14:paraId="50953AAD"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(vi)   Cardiomyopathy and/or cardiac arrythmias in children &lt;16years, and/or</w:t>
      </w:r>
    </w:p>
    <w:p w14:paraId="07F8E73A"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(vi)   Rapid hearing and/or visual loss in children &lt;16years, and/or</w:t>
      </w:r>
    </w:p>
    <w:p w14:paraId="72CB5084"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(vii)  Stroke-like episodes, encephalopathy, seizures, muscle fatigue and weakness, and/or</w:t>
      </w:r>
    </w:p>
    <w:p w14:paraId="7CDCDDD9"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t xml:space="preserve">(viii) External ophthalmoplegia, and/or </w:t>
      </w:r>
    </w:p>
    <w:p w14:paraId="4037BE73" w14:textId="77777777" w:rsidR="000E52B4" w:rsidRPr="000E52B4" w:rsidRDefault="000E52B4" w:rsidP="00183E60">
      <w:pPr>
        <w:spacing w:before="0" w:after="0"/>
        <w:ind w:left="720"/>
        <w:rPr>
          <w:rFonts w:ascii="Calibri" w:eastAsia="Calibri" w:hAnsi="Calibri" w:cs="Times New Roman"/>
        </w:rPr>
      </w:pPr>
      <w:r w:rsidRPr="000E52B4">
        <w:rPr>
          <w:rFonts w:ascii="Calibri" w:eastAsia="Calibri" w:hAnsi="Calibri" w:cs="Times New Roman"/>
        </w:rPr>
        <w:lastRenderedPageBreak/>
        <w:t xml:space="preserve">(ix)   Hearing loss, diabetes, short stature, endocrinopathy, and/or </w:t>
      </w:r>
    </w:p>
    <w:p w14:paraId="35921BEB" w14:textId="24C4FE35" w:rsidR="000E52B4" w:rsidRPr="000E52B4" w:rsidRDefault="000E52B4" w:rsidP="00183E60">
      <w:pPr>
        <w:spacing w:before="0"/>
        <w:ind w:left="720"/>
        <w:rPr>
          <w:rFonts w:ascii="Calibri" w:eastAsia="Calibri" w:hAnsi="Calibri" w:cs="Times New Roman"/>
        </w:rPr>
      </w:pPr>
      <w:r w:rsidRPr="000E52B4">
        <w:rPr>
          <w:rFonts w:ascii="Calibri" w:eastAsia="Calibri" w:hAnsi="Calibri" w:cs="Times New Roman"/>
        </w:rPr>
        <w:t xml:space="preserve">(x)   </w:t>
      </w:r>
      <w:r w:rsidR="00656F09">
        <w:rPr>
          <w:rFonts w:ascii="Calibri" w:eastAsia="Calibri" w:hAnsi="Calibri" w:cs="Times New Roman"/>
        </w:rPr>
        <w:t xml:space="preserve"> </w:t>
      </w:r>
      <w:r w:rsidRPr="000E52B4">
        <w:rPr>
          <w:rFonts w:ascii="Calibri" w:eastAsia="Calibri" w:hAnsi="Calibri" w:cs="Times New Roman"/>
        </w:rPr>
        <w:t>Family history of any of the above(c) the characterisation is performed following the performance for the patient of a service to which item 73292 applies for which the results were non-informative; and</w:t>
      </w:r>
    </w:p>
    <w:bookmarkEnd w:id="10"/>
    <w:p w14:paraId="23CAF9FE" w14:textId="0E2B7807" w:rsidR="007D016D" w:rsidRDefault="007D016D" w:rsidP="00C82C07">
      <w:r w:rsidRPr="007D016D">
        <w:t>(</w:t>
      </w:r>
      <w:r w:rsidR="00446DB4">
        <w:t>c</w:t>
      </w:r>
      <w:r w:rsidRPr="007D016D">
        <w:t>) the characterisation is not performed in conjunction with a service to which item</w:t>
      </w:r>
      <w:r w:rsidR="006054E2">
        <w:t xml:space="preserve">s </w:t>
      </w:r>
      <w:r w:rsidR="00151BB7">
        <w:t>B</w:t>
      </w:r>
      <w:r w:rsidR="006054E2">
        <w:t>, 73358 or</w:t>
      </w:r>
      <w:r w:rsidRPr="007D016D">
        <w:t xml:space="preserve"> 73359 applies</w:t>
      </w:r>
    </w:p>
    <w:p w14:paraId="456BC86C" w14:textId="77777777" w:rsidR="000D48CB" w:rsidRPr="0093154C" w:rsidRDefault="000D48CB" w:rsidP="000D48CB">
      <w:r w:rsidRPr="0093154C">
        <w:t>Applicable only once per lifetime</w:t>
      </w:r>
    </w:p>
    <w:p w14:paraId="6D9429BE" w14:textId="34686C44" w:rsidR="005E335E" w:rsidRDefault="000D48CB" w:rsidP="000D48CB">
      <w:r w:rsidRPr="0093154C">
        <w:rPr>
          <w:b/>
          <w:bCs/>
        </w:rPr>
        <w:t>Fee:</w:t>
      </w:r>
      <w:r w:rsidRPr="0093154C">
        <w:t> $</w:t>
      </w:r>
      <w:proofErr w:type="spellStart"/>
      <w:proofErr w:type="gramStart"/>
      <w:r>
        <w:t>xxxx.xx</w:t>
      </w:r>
      <w:proofErr w:type="spellEnd"/>
      <w:proofErr w:type="gramEnd"/>
      <w:r>
        <w:t xml:space="preserve"> </w:t>
      </w:r>
      <w:r w:rsidRPr="0093154C">
        <w:rPr>
          <w:b/>
          <w:bCs/>
        </w:rPr>
        <w:t>Benefit:</w:t>
      </w:r>
      <w:r w:rsidRPr="0093154C">
        <w:t> 75% = $</w:t>
      </w:r>
      <w:proofErr w:type="spellStart"/>
      <w:r>
        <w:t>xxxx.xx</w:t>
      </w:r>
      <w:proofErr w:type="spellEnd"/>
      <w:r w:rsidRPr="0093154C">
        <w:t xml:space="preserve"> 85% = $</w:t>
      </w:r>
      <w:proofErr w:type="spellStart"/>
      <w:r>
        <w:t>xxxx.xx</w:t>
      </w:r>
      <w:proofErr w:type="spellEnd"/>
    </w:p>
    <w:p w14:paraId="218DC1A6" w14:textId="62977BD3" w:rsidR="005E335E" w:rsidRPr="00D93AA1" w:rsidRDefault="005E335E" w:rsidP="00183E60">
      <w:pPr>
        <w:spacing w:before="240"/>
        <w:rPr>
          <w:b/>
          <w:bCs/>
          <w:u w:val="single"/>
        </w:rPr>
      </w:pPr>
      <w:r w:rsidRPr="00D93AA1">
        <w:rPr>
          <w:b/>
          <w:bCs/>
          <w:u w:val="single"/>
        </w:rPr>
        <w:t xml:space="preserve">Item B </w:t>
      </w:r>
    </w:p>
    <w:p w14:paraId="480FA1C6" w14:textId="49AC1EA3" w:rsidR="005E335E" w:rsidRPr="005E335E" w:rsidRDefault="005E335E" w:rsidP="005E335E">
      <w:r w:rsidRPr="005E335E">
        <w:t>Characterisation via whole exome or genome sequencing and analysis, of germline variants</w:t>
      </w:r>
      <w:r w:rsidR="00CA10FC">
        <w:t>,</w:t>
      </w:r>
      <w:r w:rsidRPr="005E335E">
        <w:t xml:space="preserve"> from a phenotypically driven gene list present in nuclear and mitochondrial DNA of a patient with a strong suspicion of a mitochondrial disease based on the following criteria:</w:t>
      </w:r>
    </w:p>
    <w:p w14:paraId="1ABE1714" w14:textId="77777777" w:rsidR="005E335E" w:rsidRPr="005E335E" w:rsidRDefault="005E335E" w:rsidP="005E335E">
      <w:r w:rsidRPr="005E335E">
        <w:t>(a) the characterisation is:</w:t>
      </w:r>
    </w:p>
    <w:p w14:paraId="09880E32" w14:textId="77777777" w:rsidR="005E335E" w:rsidRPr="005E335E" w:rsidRDefault="005E335E" w:rsidP="00D93AA1">
      <w:pPr>
        <w:spacing w:after="0"/>
        <w:ind w:left="426"/>
      </w:pPr>
      <w:r w:rsidRPr="005E335E">
        <w:t>(</w:t>
      </w:r>
      <w:proofErr w:type="spellStart"/>
      <w:r w:rsidRPr="005E335E">
        <w:t>i</w:t>
      </w:r>
      <w:proofErr w:type="spellEnd"/>
      <w:r w:rsidRPr="005E335E">
        <w:t>) requested by a Specialist or Consultant Physician experienced in the treatment of mitochondrial disease ; or</w:t>
      </w:r>
    </w:p>
    <w:p w14:paraId="439542EB" w14:textId="6B69D2FC" w:rsidR="005E335E" w:rsidRPr="005E335E" w:rsidRDefault="005E335E" w:rsidP="00D93AA1">
      <w:pPr>
        <w:ind w:left="426"/>
      </w:pPr>
      <w:r w:rsidRPr="005E335E">
        <w:t>(ii) requested by  a Specialist or Consultant Physician practising as a neurologist</w:t>
      </w:r>
      <w:r w:rsidR="00521F1E">
        <w:t xml:space="preserve"> (paediatric or adult)</w:t>
      </w:r>
      <w:r w:rsidRPr="005E335E">
        <w:t xml:space="preserve">, metabolic physician, clinical </w:t>
      </w:r>
      <w:r w:rsidR="0032034A">
        <w:t xml:space="preserve">or metabolic </w:t>
      </w:r>
      <w:r w:rsidRPr="005E335E">
        <w:t>geneticist</w:t>
      </w:r>
      <w:r w:rsidR="0032034A">
        <w:t>,</w:t>
      </w:r>
      <w:r w:rsidRPr="005E335E">
        <w:t xml:space="preserve"> or ophthalmologist who have experience in the treatment of mitochondrial disease ; and</w:t>
      </w:r>
    </w:p>
    <w:p w14:paraId="11C45D08" w14:textId="77777777" w:rsidR="005E335E" w:rsidRPr="005E335E" w:rsidRDefault="005E335E" w:rsidP="005E335E">
      <w:r w:rsidRPr="005E335E">
        <w:t>(b) the request for the characterisation states that singleton testing is inappropriate; and</w:t>
      </w:r>
    </w:p>
    <w:p w14:paraId="1187C0A1" w14:textId="62451AFD" w:rsidR="005D64B5" w:rsidRPr="000E52B4" w:rsidRDefault="005E335E" w:rsidP="005D64B5">
      <w:pPr>
        <w:rPr>
          <w:rFonts w:ascii="Calibri" w:eastAsia="Calibri" w:hAnsi="Calibri" w:cs="Times New Roman"/>
        </w:rPr>
      </w:pPr>
      <w:r w:rsidRPr="00653479">
        <w:t>(c)</w:t>
      </w:r>
      <w:r w:rsidR="00521F1E" w:rsidRPr="00653479">
        <w:t xml:space="preserve"> </w:t>
      </w:r>
      <w:r w:rsidR="005D64B5" w:rsidRPr="00653479">
        <w:rPr>
          <w:rFonts w:ascii="Calibri" w:eastAsia="Calibri" w:hAnsi="Calibri" w:cs="Times New Roman"/>
        </w:rPr>
        <w:t>onset of one or more clinical features indicative</w:t>
      </w:r>
      <w:r w:rsidR="005D64B5" w:rsidRPr="000E52B4">
        <w:rPr>
          <w:rFonts w:ascii="Calibri" w:eastAsia="Calibri" w:hAnsi="Calibri" w:cs="Times New Roman"/>
        </w:rPr>
        <w:t xml:space="preserve"> of mitochondrial disease inclusive of </w:t>
      </w:r>
      <w:r w:rsidR="0022705F">
        <w:rPr>
          <w:rFonts w:ascii="Calibri" w:eastAsia="Calibri" w:hAnsi="Calibri" w:cs="Times New Roman"/>
        </w:rPr>
        <w:t xml:space="preserve">at least one or more of </w:t>
      </w:r>
      <w:r w:rsidR="005D64B5" w:rsidRPr="000E52B4">
        <w:rPr>
          <w:rFonts w:ascii="Calibri" w:eastAsia="Calibri" w:hAnsi="Calibri" w:cs="Times New Roman"/>
        </w:rPr>
        <w:t>the following:</w:t>
      </w:r>
    </w:p>
    <w:p w14:paraId="1FF5958A" w14:textId="07F20475"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w:t>
      </w:r>
      <w:proofErr w:type="spellStart"/>
      <w:r>
        <w:rPr>
          <w:rFonts w:ascii="Calibri" w:eastAsia="Calibri" w:hAnsi="Calibri" w:cs="Times New Roman"/>
        </w:rPr>
        <w:t>i</w:t>
      </w:r>
      <w:bookmarkStart w:id="11" w:name="_Hlk77930735"/>
      <w:proofErr w:type="spellEnd"/>
      <w:r w:rsidRPr="000E52B4">
        <w:rPr>
          <w:rFonts w:ascii="Calibri" w:eastAsia="Calibri" w:hAnsi="Calibri" w:cs="Times New Roman"/>
        </w:rPr>
        <w:t xml:space="preserve">)   </w:t>
      </w:r>
      <w:r>
        <w:rPr>
          <w:rFonts w:ascii="Calibri" w:eastAsia="Calibri" w:hAnsi="Calibri" w:cs="Times New Roman"/>
        </w:rPr>
        <w:t xml:space="preserve">  </w:t>
      </w:r>
      <w:r w:rsidRPr="000E52B4">
        <w:rPr>
          <w:rFonts w:ascii="Calibri" w:eastAsia="Calibri" w:hAnsi="Calibri" w:cs="Times New Roman"/>
        </w:rPr>
        <w:t>Evident mitochondrial dysfunction in children &lt;16years, and/or</w:t>
      </w:r>
    </w:p>
    <w:p w14:paraId="2B7699B0"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(ii)    Unexplained hypotonia, weakness, failure to thrive and a metabolic acidosis in children, and/or</w:t>
      </w:r>
    </w:p>
    <w:p w14:paraId="7FF2C482"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(iii)   Unexplained single or multi- organ dysfunction or fulminant failure (in particular but not limited to hepatopathy, pancreatic and/or bone marrow failure ) in children &lt;10years, and/or</w:t>
      </w:r>
    </w:p>
    <w:p w14:paraId="1F69ABAF"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 xml:space="preserve">(iv)   Unexplained profound hypoglycaemia  and/or </w:t>
      </w:r>
    </w:p>
    <w:p w14:paraId="33EC272D"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(v)    Refractory seizures, developmental delays, and progressive encephalopathy or encephalomyopathy in children &lt;16years, and/or</w:t>
      </w:r>
    </w:p>
    <w:p w14:paraId="05A7B195"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(vi)   Cardiomyopathy and/or cardiac arrythmias in children &lt;16years, and/or</w:t>
      </w:r>
    </w:p>
    <w:p w14:paraId="0D545881"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(vi)   Rapid hearing and/or visual loss in children &lt;16years, and/or</w:t>
      </w:r>
    </w:p>
    <w:p w14:paraId="77D40941"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(vii)  Stroke-like episodes, encephalopathy, seizures, muscle fatigue and weakness, and/or</w:t>
      </w:r>
    </w:p>
    <w:p w14:paraId="1C73EBE4"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 xml:space="preserve">(viii) External ophthalmoplegia, and/or </w:t>
      </w:r>
    </w:p>
    <w:p w14:paraId="262D4540" w14:textId="77777777" w:rsidR="005D64B5" w:rsidRPr="000E52B4" w:rsidRDefault="005D64B5" w:rsidP="005D64B5">
      <w:pPr>
        <w:spacing w:before="0" w:after="0"/>
        <w:ind w:left="426"/>
        <w:rPr>
          <w:rFonts w:ascii="Calibri" w:eastAsia="Calibri" w:hAnsi="Calibri" w:cs="Times New Roman"/>
        </w:rPr>
      </w:pPr>
      <w:r w:rsidRPr="000E52B4">
        <w:rPr>
          <w:rFonts w:ascii="Calibri" w:eastAsia="Calibri" w:hAnsi="Calibri" w:cs="Times New Roman"/>
        </w:rPr>
        <w:t xml:space="preserve">(ix)   Hearing loss, diabetes, short stature, endocrinopathy, and/or </w:t>
      </w:r>
    </w:p>
    <w:p w14:paraId="31C65D4D" w14:textId="77777777" w:rsidR="005D64B5" w:rsidRPr="000E52B4" w:rsidRDefault="005D64B5" w:rsidP="005D64B5">
      <w:pPr>
        <w:spacing w:before="0"/>
        <w:ind w:left="426"/>
        <w:rPr>
          <w:rFonts w:ascii="Calibri" w:eastAsia="Calibri" w:hAnsi="Calibri" w:cs="Times New Roman"/>
        </w:rPr>
      </w:pPr>
      <w:r w:rsidRPr="000E52B4">
        <w:rPr>
          <w:rFonts w:ascii="Calibri" w:eastAsia="Calibri" w:hAnsi="Calibri" w:cs="Times New Roman"/>
        </w:rPr>
        <w:t xml:space="preserve">(x)   </w:t>
      </w:r>
      <w:r>
        <w:rPr>
          <w:rFonts w:ascii="Calibri" w:eastAsia="Calibri" w:hAnsi="Calibri" w:cs="Times New Roman"/>
        </w:rPr>
        <w:t xml:space="preserve"> </w:t>
      </w:r>
      <w:r w:rsidRPr="000E52B4">
        <w:rPr>
          <w:rFonts w:ascii="Calibri" w:eastAsia="Calibri" w:hAnsi="Calibri" w:cs="Times New Roman"/>
        </w:rPr>
        <w:t>Family history of any of the above(c) the characterisation is performed following the performance for the patient of a service to which item 73292 applies for which the results were non-informative; and</w:t>
      </w:r>
    </w:p>
    <w:bookmarkEnd w:id="11"/>
    <w:p w14:paraId="3C8DB6E5" w14:textId="04142109" w:rsidR="005E335E" w:rsidRPr="005E335E" w:rsidRDefault="005E335E" w:rsidP="005D64B5">
      <w:r w:rsidRPr="005E335E">
        <w:t>(d) the characterisation is performed following the performance for the patient of a service to which item 73292 applies for which the results were non-informative; and</w:t>
      </w:r>
    </w:p>
    <w:p w14:paraId="23AE30C1" w14:textId="77777777" w:rsidR="005E335E" w:rsidRPr="005E335E" w:rsidRDefault="005E335E" w:rsidP="005E335E">
      <w:r w:rsidRPr="005E335E">
        <w:t>(e) the characterisation is performed using a sample from the patient and a sample from each of the patient’s biological parents; and</w:t>
      </w:r>
    </w:p>
    <w:p w14:paraId="68A9CEB7" w14:textId="4AEEC1AC" w:rsidR="007B1F8C" w:rsidRPr="005E335E" w:rsidRDefault="005E335E" w:rsidP="005E335E">
      <w:r w:rsidRPr="005E335E">
        <w:t xml:space="preserve">(f) the characterisation is not performed in conjunction with a service to which item </w:t>
      </w:r>
      <w:r w:rsidR="00935183">
        <w:t>A</w:t>
      </w:r>
      <w:r w:rsidR="006054E2">
        <w:t xml:space="preserve">, 73358 </w:t>
      </w:r>
      <w:r w:rsidR="00935183">
        <w:t xml:space="preserve">or </w:t>
      </w:r>
      <w:r w:rsidRPr="005E335E">
        <w:t>7335</w:t>
      </w:r>
      <w:r w:rsidR="006054E2">
        <w:t>9</w:t>
      </w:r>
      <w:r w:rsidR="00935183">
        <w:t xml:space="preserve"> </w:t>
      </w:r>
      <w:r w:rsidRPr="005E335E">
        <w:t>applies</w:t>
      </w:r>
      <w:r w:rsidR="006A26AE">
        <w:t>.</w:t>
      </w:r>
    </w:p>
    <w:p w14:paraId="6876265E" w14:textId="2075A5E8" w:rsidR="005E335E" w:rsidRDefault="005E335E" w:rsidP="000D48CB">
      <w:r w:rsidRPr="005E335E">
        <w:t>Applicable only once per lifetime</w:t>
      </w:r>
    </w:p>
    <w:p w14:paraId="03B575AB" w14:textId="250E2C2B" w:rsidR="00161F80" w:rsidRDefault="008E6903" w:rsidP="000D48CB">
      <w:r w:rsidRPr="008E6903">
        <w:rPr>
          <w:b/>
          <w:bCs/>
        </w:rPr>
        <w:t>Fee:</w:t>
      </w:r>
      <w:r w:rsidRPr="008E6903">
        <w:t> $</w:t>
      </w:r>
      <w:proofErr w:type="spellStart"/>
      <w:proofErr w:type="gramStart"/>
      <w:r w:rsidRPr="008E6903">
        <w:t>xxxx.xx</w:t>
      </w:r>
      <w:proofErr w:type="spellEnd"/>
      <w:proofErr w:type="gramEnd"/>
      <w:r w:rsidRPr="008E6903">
        <w:t xml:space="preserve"> </w:t>
      </w:r>
      <w:r w:rsidRPr="008E6903">
        <w:rPr>
          <w:b/>
          <w:bCs/>
        </w:rPr>
        <w:t>Benefit:</w:t>
      </w:r>
      <w:r w:rsidRPr="008E6903">
        <w:t> 75% = $</w:t>
      </w:r>
      <w:proofErr w:type="spellStart"/>
      <w:r w:rsidRPr="008E6903">
        <w:t>xxxx.xx</w:t>
      </w:r>
      <w:proofErr w:type="spellEnd"/>
      <w:r w:rsidRPr="008E6903">
        <w:t xml:space="preserve"> 85% = $</w:t>
      </w:r>
      <w:proofErr w:type="spellStart"/>
      <w:r w:rsidRPr="008E6903">
        <w:t>xxxx.xx</w:t>
      </w:r>
      <w:proofErr w:type="spellEnd"/>
    </w:p>
    <w:p w14:paraId="7C6BE47C" w14:textId="77777777" w:rsidR="00183E60" w:rsidRDefault="00183E60">
      <w:pPr>
        <w:spacing w:before="0" w:after="200" w:line="276" w:lineRule="auto"/>
        <w:rPr>
          <w:b/>
          <w:bCs/>
          <w:u w:val="single"/>
        </w:rPr>
      </w:pPr>
      <w:r>
        <w:rPr>
          <w:b/>
          <w:bCs/>
          <w:u w:val="single"/>
        </w:rPr>
        <w:br w:type="page"/>
      </w:r>
    </w:p>
    <w:p w14:paraId="20AF6518" w14:textId="7130E91D" w:rsidR="000D48CB" w:rsidRPr="00D93AA1" w:rsidRDefault="000D48CB" w:rsidP="000D48CB">
      <w:pPr>
        <w:rPr>
          <w:b/>
          <w:bCs/>
          <w:u w:val="single"/>
        </w:rPr>
      </w:pPr>
      <w:r w:rsidRPr="00D93AA1">
        <w:rPr>
          <w:b/>
          <w:bCs/>
          <w:u w:val="single"/>
        </w:rPr>
        <w:lastRenderedPageBreak/>
        <w:t xml:space="preserve">Item </w:t>
      </w:r>
      <w:r w:rsidR="00935183" w:rsidRPr="00D93AA1">
        <w:rPr>
          <w:b/>
          <w:bCs/>
          <w:u w:val="single"/>
        </w:rPr>
        <w:t>C</w:t>
      </w:r>
      <w:r w:rsidRPr="00D93AA1">
        <w:rPr>
          <w:b/>
          <w:bCs/>
          <w:u w:val="single"/>
        </w:rPr>
        <w:t xml:space="preserve"> </w:t>
      </w:r>
    </w:p>
    <w:p w14:paraId="33051493" w14:textId="38272836" w:rsidR="000D48CB" w:rsidRDefault="000D48CB" w:rsidP="000D48CB">
      <w:r>
        <w:t>Re-analysis of whole</w:t>
      </w:r>
      <w:r w:rsidR="00907016">
        <w:t xml:space="preserve"> exome or</w:t>
      </w:r>
      <w:r>
        <w:t xml:space="preserve"> genome data obtained in performing a service to which item A </w:t>
      </w:r>
      <w:r w:rsidR="00935183">
        <w:t xml:space="preserve">or B </w:t>
      </w:r>
      <w:r>
        <w:t xml:space="preserve">applies, for characterisation of previously unreported </w:t>
      </w:r>
      <w:r w:rsidR="00907016">
        <w:t xml:space="preserve"> germline</w:t>
      </w:r>
      <w:r>
        <w:t xml:space="preserve"> variants related to the clinical phenotype, if:</w:t>
      </w:r>
    </w:p>
    <w:p w14:paraId="64F309BE" w14:textId="77777777" w:rsidR="000D48CB" w:rsidRDefault="000D48CB" w:rsidP="00C82C07">
      <w:r>
        <w:t>(a) the re-analysis is:</w:t>
      </w:r>
    </w:p>
    <w:p w14:paraId="41386073" w14:textId="5701B376" w:rsidR="00FA1F74" w:rsidRPr="0093154C" w:rsidRDefault="00446DB4" w:rsidP="00D93AA1">
      <w:pPr>
        <w:spacing w:after="0"/>
        <w:ind w:left="426"/>
      </w:pPr>
      <w:r>
        <w:t>(</w:t>
      </w:r>
      <w:proofErr w:type="spellStart"/>
      <w:r w:rsidR="00FA1F74" w:rsidRPr="0093154C">
        <w:t>i</w:t>
      </w:r>
      <w:proofErr w:type="spellEnd"/>
      <w:r w:rsidR="00FA1F74" w:rsidRPr="0093154C">
        <w:t>) requested by a</w:t>
      </w:r>
      <w:r w:rsidR="00FA1F74">
        <w:t xml:space="preserve"> </w:t>
      </w:r>
      <w:r w:rsidR="00907016" w:rsidRPr="00907016">
        <w:t xml:space="preserve">Specialist or Consultant Physician experienced in the treatment of </w:t>
      </w:r>
      <w:r w:rsidR="00FA1F74">
        <w:t>mitochondrial disease</w:t>
      </w:r>
      <w:r w:rsidR="00FA1F74" w:rsidRPr="0093154C">
        <w:t>; or</w:t>
      </w:r>
    </w:p>
    <w:p w14:paraId="2AD8FD8F" w14:textId="2D29C2B9" w:rsidR="00FA1F74" w:rsidRPr="0093154C" w:rsidRDefault="00FA1F74" w:rsidP="00D93AA1">
      <w:pPr>
        <w:ind w:left="426"/>
      </w:pPr>
      <w:r w:rsidRPr="00FA1F74">
        <w:t xml:space="preserve">(ii) requested by </w:t>
      </w:r>
      <w:r w:rsidR="00935183">
        <w:t>a Specialist or C</w:t>
      </w:r>
      <w:r w:rsidR="00907016">
        <w:t xml:space="preserve">onsultant </w:t>
      </w:r>
      <w:r w:rsidR="00521F1E">
        <w:t>P</w:t>
      </w:r>
      <w:r w:rsidR="00907016">
        <w:t xml:space="preserve">hysician practising as </w:t>
      </w:r>
      <w:r w:rsidR="00935183">
        <w:t xml:space="preserve">a </w:t>
      </w:r>
      <w:r w:rsidRPr="00FA1F74">
        <w:t>neurologist</w:t>
      </w:r>
      <w:r w:rsidR="00521F1E">
        <w:t xml:space="preserve"> (paediatric or adult)</w:t>
      </w:r>
      <w:r w:rsidRPr="00FA1F74">
        <w:t xml:space="preserve">, metabolic physician, clinical </w:t>
      </w:r>
      <w:r w:rsidR="0032034A">
        <w:t xml:space="preserve">or metabolic </w:t>
      </w:r>
      <w:r w:rsidRPr="00FA1F74">
        <w:t>geneticist</w:t>
      </w:r>
      <w:r w:rsidR="00BB5763">
        <w:t>,</w:t>
      </w:r>
      <w:r w:rsidR="00935183">
        <w:t xml:space="preserve"> or </w:t>
      </w:r>
      <w:r w:rsidRPr="00FA1F74">
        <w:t>ophthalmologist who have experience in the</w:t>
      </w:r>
      <w:r w:rsidR="00907016">
        <w:t xml:space="preserve"> treatment</w:t>
      </w:r>
      <w:r w:rsidRPr="00FA1F74">
        <w:t xml:space="preserve"> of mitochondrial disease;</w:t>
      </w:r>
      <w:r w:rsidRPr="0093154C">
        <w:t xml:space="preserve"> and</w:t>
      </w:r>
    </w:p>
    <w:p w14:paraId="23B86B66" w14:textId="3A642A7E" w:rsidR="000D48CB" w:rsidRDefault="000D48CB" w:rsidP="00C82C07">
      <w:r>
        <w:t xml:space="preserve">(b) the patient is strongly suspected of having </w:t>
      </w:r>
      <w:r w:rsidR="00907016">
        <w:t xml:space="preserve">a monogenic </w:t>
      </w:r>
      <w:r w:rsidRPr="0052680A">
        <w:t>mitochondrial disease</w:t>
      </w:r>
      <w:r>
        <w:t>; and</w:t>
      </w:r>
    </w:p>
    <w:p w14:paraId="74FCE7E4" w14:textId="77777777" w:rsidR="000D48CB" w:rsidRDefault="000D48CB" w:rsidP="00C82C07">
      <w:r>
        <w:t>(c) the re-analysis is performed at least 18 months after:</w:t>
      </w:r>
    </w:p>
    <w:p w14:paraId="25590CBE" w14:textId="6D90EBBF" w:rsidR="000D48CB" w:rsidRDefault="000D48CB" w:rsidP="00D93AA1">
      <w:pPr>
        <w:spacing w:after="0"/>
        <w:ind w:left="426"/>
      </w:pPr>
      <w:r>
        <w:t>(</w:t>
      </w:r>
      <w:proofErr w:type="spellStart"/>
      <w:r>
        <w:t>i</w:t>
      </w:r>
      <w:proofErr w:type="spellEnd"/>
      <w:r>
        <w:t>) a service to which item A</w:t>
      </w:r>
      <w:r w:rsidR="00935183">
        <w:t xml:space="preserve"> or B </w:t>
      </w:r>
      <w:r>
        <w:t xml:space="preserve"> applies; or</w:t>
      </w:r>
    </w:p>
    <w:p w14:paraId="644A92B0" w14:textId="6BB0F200" w:rsidR="000D48CB" w:rsidRDefault="000D48CB" w:rsidP="00D93AA1">
      <w:pPr>
        <w:spacing w:before="0"/>
        <w:ind w:left="426"/>
      </w:pPr>
      <w:r>
        <w:t>(ii) a service to which this item applies</w:t>
      </w:r>
    </w:p>
    <w:p w14:paraId="61E833FA" w14:textId="09D1982D" w:rsidR="00935183" w:rsidRDefault="00935183" w:rsidP="00074EEB">
      <w:r>
        <w:t xml:space="preserve">Applicable </w:t>
      </w:r>
      <w:r w:rsidR="00074EEB">
        <w:t xml:space="preserve">for the duration of the patient’s illness or until a diagnosis is </w:t>
      </w:r>
      <w:r w:rsidR="001B2589">
        <w:t>confirmed.</w:t>
      </w:r>
    </w:p>
    <w:p w14:paraId="7FB9C410" w14:textId="2BC141B1" w:rsidR="00D93AA1" w:rsidRDefault="00BB60FE" w:rsidP="00BB60FE">
      <w:r w:rsidRPr="0093154C">
        <w:rPr>
          <w:b/>
          <w:bCs/>
        </w:rPr>
        <w:t>Fee:</w:t>
      </w:r>
      <w:r w:rsidRPr="0093154C">
        <w:t> $</w:t>
      </w:r>
      <w:proofErr w:type="spellStart"/>
      <w:proofErr w:type="gramStart"/>
      <w:r>
        <w:t>xxxx.xx</w:t>
      </w:r>
      <w:proofErr w:type="spellEnd"/>
      <w:proofErr w:type="gramEnd"/>
      <w:r>
        <w:t xml:space="preserve"> </w:t>
      </w:r>
      <w:r w:rsidRPr="0093154C">
        <w:rPr>
          <w:b/>
          <w:bCs/>
        </w:rPr>
        <w:t>Benefit:</w:t>
      </w:r>
      <w:r w:rsidRPr="0093154C">
        <w:t> 75% = $</w:t>
      </w:r>
      <w:proofErr w:type="spellStart"/>
      <w:r>
        <w:t>xxxx.xx</w:t>
      </w:r>
      <w:proofErr w:type="spellEnd"/>
      <w:r w:rsidRPr="0093154C">
        <w:t xml:space="preserve"> 85% = $</w:t>
      </w:r>
      <w:proofErr w:type="spellStart"/>
      <w:r>
        <w:t>xxxx.xx</w:t>
      </w:r>
      <w:proofErr w:type="spellEnd"/>
    </w:p>
    <w:p w14:paraId="2A9FF99D" w14:textId="77AE95E7" w:rsidR="00907016" w:rsidRPr="00D93AA1" w:rsidRDefault="00907016" w:rsidP="00183E60">
      <w:pPr>
        <w:spacing w:before="240"/>
        <w:rPr>
          <w:b/>
          <w:bCs/>
          <w:u w:val="single"/>
        </w:rPr>
      </w:pPr>
      <w:r w:rsidRPr="00D93AA1">
        <w:rPr>
          <w:b/>
          <w:bCs/>
          <w:u w:val="single"/>
        </w:rPr>
        <w:t xml:space="preserve">Item </w:t>
      </w:r>
      <w:r w:rsidR="004454E0" w:rsidRPr="00D93AA1">
        <w:rPr>
          <w:b/>
          <w:bCs/>
          <w:u w:val="single"/>
        </w:rPr>
        <w:t>D</w:t>
      </w:r>
    </w:p>
    <w:p w14:paraId="7CCC0E60" w14:textId="3AB4047F" w:rsidR="00907016" w:rsidRPr="00907016" w:rsidRDefault="00907016" w:rsidP="00907016">
      <w:r w:rsidRPr="00907016">
        <w:t>Detection of a single gene variant for diagnostic purposes</w:t>
      </w:r>
      <w:r w:rsidR="008C47E6">
        <w:t xml:space="preserve"> in suspected mitochondrial disease</w:t>
      </w:r>
      <w:r w:rsidRPr="00907016">
        <w:t>, if:</w:t>
      </w:r>
    </w:p>
    <w:p w14:paraId="3B50830B" w14:textId="77777777" w:rsidR="00907016" w:rsidRPr="00907016" w:rsidRDefault="00907016" w:rsidP="00907016">
      <w:r w:rsidRPr="00907016">
        <w:t>(a) the detection is:</w:t>
      </w:r>
    </w:p>
    <w:p w14:paraId="1AC014BD" w14:textId="3D49A9C5" w:rsidR="00907016" w:rsidRPr="00907016" w:rsidRDefault="00907016" w:rsidP="00D93AA1">
      <w:pPr>
        <w:spacing w:after="0"/>
        <w:ind w:left="426"/>
      </w:pPr>
      <w:r w:rsidRPr="00907016">
        <w:t>(</w:t>
      </w:r>
      <w:proofErr w:type="spellStart"/>
      <w:r w:rsidRPr="00907016">
        <w:t>i</w:t>
      </w:r>
      <w:proofErr w:type="spellEnd"/>
      <w:r w:rsidRPr="00907016">
        <w:t xml:space="preserve">) requested by a </w:t>
      </w:r>
      <w:r w:rsidR="008C47E6">
        <w:t>S</w:t>
      </w:r>
      <w:r w:rsidR="006D6AC5">
        <w:t xml:space="preserve">pecialist or </w:t>
      </w:r>
      <w:r w:rsidR="008C47E6">
        <w:t>C</w:t>
      </w:r>
      <w:r w:rsidRPr="00907016">
        <w:t xml:space="preserve">onsultant </w:t>
      </w:r>
      <w:r w:rsidR="008C47E6">
        <w:t>P</w:t>
      </w:r>
      <w:r w:rsidRPr="00907016">
        <w:t xml:space="preserve">hysician </w:t>
      </w:r>
      <w:r w:rsidR="006D6AC5">
        <w:t>experienced in the treatment of mitochondrial disease</w:t>
      </w:r>
      <w:r w:rsidRPr="00907016">
        <w:t>; or</w:t>
      </w:r>
    </w:p>
    <w:p w14:paraId="55E86509" w14:textId="646D946C" w:rsidR="00907016" w:rsidRPr="00907016" w:rsidRDefault="00907016" w:rsidP="00D93AA1">
      <w:pPr>
        <w:ind w:left="426"/>
      </w:pPr>
      <w:r w:rsidRPr="00907016">
        <w:t>(ii) requested by a</w:t>
      </w:r>
      <w:r w:rsidR="008C47E6">
        <w:t xml:space="preserve"> Specialist or C</w:t>
      </w:r>
      <w:r w:rsidRPr="00907016">
        <w:t xml:space="preserve">onsultant </w:t>
      </w:r>
      <w:r w:rsidR="008C47E6">
        <w:t>P</w:t>
      </w:r>
      <w:r w:rsidRPr="00907016">
        <w:t xml:space="preserve">hysician practising as a </w:t>
      </w:r>
      <w:r w:rsidR="006D6AC5" w:rsidRPr="006D6AC5">
        <w:t>neurologist</w:t>
      </w:r>
      <w:r w:rsidR="00074EEB">
        <w:t xml:space="preserve"> (paediatric or adult)</w:t>
      </w:r>
      <w:r w:rsidR="006D6AC5" w:rsidRPr="006D6AC5">
        <w:t xml:space="preserve">, metabolic physician, clinical </w:t>
      </w:r>
      <w:r w:rsidR="00BB5763">
        <w:t xml:space="preserve">or metabolic </w:t>
      </w:r>
      <w:r w:rsidR="006D6AC5" w:rsidRPr="006D6AC5">
        <w:t>geneticist</w:t>
      </w:r>
      <w:r w:rsidR="00BB5763">
        <w:t>,</w:t>
      </w:r>
      <w:r w:rsidR="006D6AC5" w:rsidRPr="006D6AC5">
        <w:t xml:space="preserve"> </w:t>
      </w:r>
      <w:r w:rsidR="00BB5763">
        <w:t>or</w:t>
      </w:r>
      <w:r w:rsidR="006D6AC5" w:rsidRPr="006D6AC5">
        <w:t xml:space="preserve"> ophthalmologist who have experience in the treatment of mitochondrial disease</w:t>
      </w:r>
      <w:r w:rsidRPr="00907016">
        <w:t>; and</w:t>
      </w:r>
    </w:p>
    <w:p w14:paraId="4F78E3F5" w14:textId="08A0295B" w:rsidR="00907016" w:rsidRPr="00907016" w:rsidRDefault="00907016" w:rsidP="00907016">
      <w:r w:rsidRPr="00907016">
        <w:t xml:space="preserve">(b) the patient has a biological sibling with a known monogenic </w:t>
      </w:r>
      <w:r w:rsidR="006D6AC5">
        <w:t>mitochondrial disease</w:t>
      </w:r>
      <w:r w:rsidRPr="00907016">
        <w:t>; and</w:t>
      </w:r>
    </w:p>
    <w:p w14:paraId="6BCE181A" w14:textId="6A705B7E" w:rsidR="00907016" w:rsidRPr="00907016" w:rsidRDefault="00907016" w:rsidP="00907016">
      <w:r w:rsidRPr="00907016">
        <w:t>(c) a service to which item</w:t>
      </w:r>
      <w:r w:rsidR="008C47E6">
        <w:t xml:space="preserve"> numbers</w:t>
      </w:r>
      <w:r w:rsidRPr="00907016">
        <w:t xml:space="preserve"> </w:t>
      </w:r>
      <w:r w:rsidR="006D6AC5">
        <w:t>A</w:t>
      </w:r>
      <w:r w:rsidR="00074EEB">
        <w:t xml:space="preserve">, </w:t>
      </w:r>
      <w:r w:rsidRPr="00907016">
        <w:t xml:space="preserve"> </w:t>
      </w:r>
      <w:r w:rsidR="006D6AC5">
        <w:t>B</w:t>
      </w:r>
      <w:r w:rsidR="000A37F2">
        <w:t xml:space="preserve">, </w:t>
      </w:r>
      <w:r w:rsidR="00074EEB">
        <w:t xml:space="preserve"> C</w:t>
      </w:r>
      <w:r w:rsidR="000A37F2">
        <w:t>, 73358, 73359 or 73360</w:t>
      </w:r>
      <w:r w:rsidR="006D6AC5">
        <w:t xml:space="preserve"> </w:t>
      </w:r>
      <w:r w:rsidRPr="00907016">
        <w:t>applies</w:t>
      </w:r>
      <w:r w:rsidR="008C47E6">
        <w:t>,</w:t>
      </w:r>
      <w:r w:rsidRPr="00907016">
        <w:t xml:space="preserve"> has identified the causative variant for the sibling’s condition; and</w:t>
      </w:r>
    </w:p>
    <w:p w14:paraId="5C7F7F13" w14:textId="77777777" w:rsidR="00907016" w:rsidRPr="00907016" w:rsidRDefault="00907016" w:rsidP="00907016">
      <w:r w:rsidRPr="00907016">
        <w:t>(d) the results of the testing performed for the sibling are made available for the purpose of providing the detection for the patient; and</w:t>
      </w:r>
    </w:p>
    <w:p w14:paraId="223AEFD2" w14:textId="4684FE0B" w:rsidR="00907016" w:rsidRPr="00907016" w:rsidRDefault="00907016" w:rsidP="00907016">
      <w:r w:rsidRPr="00907016">
        <w:t xml:space="preserve">(e) the detection is not performed in conjunction with a service to which item </w:t>
      </w:r>
      <w:r w:rsidR="000A37F2">
        <w:t xml:space="preserve">E, F, 73361, </w:t>
      </w:r>
      <w:r w:rsidRPr="00907016">
        <w:t>73362 or 73363 applies</w:t>
      </w:r>
    </w:p>
    <w:p w14:paraId="4A0EFEB1" w14:textId="672B9E57" w:rsidR="00907016" w:rsidRDefault="00907016" w:rsidP="00907016">
      <w:r w:rsidRPr="00907016">
        <w:t>Applicable only once per variant per lifetime</w:t>
      </w:r>
    </w:p>
    <w:p w14:paraId="42BE5CE3" w14:textId="3001F580" w:rsidR="008C47E6" w:rsidRDefault="008C47E6" w:rsidP="00907016">
      <w:r w:rsidRPr="008C47E6">
        <w:rPr>
          <w:b/>
          <w:bCs/>
        </w:rPr>
        <w:t>Fee:</w:t>
      </w:r>
      <w:r w:rsidRPr="008C47E6">
        <w:t> $</w:t>
      </w:r>
      <w:proofErr w:type="spellStart"/>
      <w:proofErr w:type="gramStart"/>
      <w:r w:rsidRPr="008C47E6">
        <w:t>xxxx.xx</w:t>
      </w:r>
      <w:proofErr w:type="spellEnd"/>
      <w:proofErr w:type="gramEnd"/>
      <w:r w:rsidRPr="008C47E6">
        <w:t xml:space="preserve"> </w:t>
      </w:r>
      <w:r w:rsidRPr="008C47E6">
        <w:rPr>
          <w:b/>
          <w:bCs/>
        </w:rPr>
        <w:t>Benefit:</w:t>
      </w:r>
      <w:r w:rsidRPr="008C47E6">
        <w:t> 75% = $</w:t>
      </w:r>
      <w:proofErr w:type="spellStart"/>
      <w:r w:rsidRPr="008C47E6">
        <w:t>xxxx.xx</w:t>
      </w:r>
      <w:proofErr w:type="spellEnd"/>
      <w:r w:rsidRPr="008C47E6">
        <w:t xml:space="preserve"> 85% = $</w:t>
      </w:r>
      <w:proofErr w:type="spellStart"/>
      <w:r w:rsidRPr="008C47E6">
        <w:t>xxxx.xx</w:t>
      </w:r>
      <w:proofErr w:type="spellEnd"/>
    </w:p>
    <w:p w14:paraId="53DC9AA0" w14:textId="167192DB" w:rsidR="00523BEB" w:rsidRPr="00D93AA1" w:rsidRDefault="00523BEB" w:rsidP="00183E60">
      <w:pPr>
        <w:spacing w:before="240"/>
        <w:rPr>
          <w:b/>
          <w:bCs/>
          <w:u w:val="single"/>
        </w:rPr>
      </w:pPr>
      <w:r w:rsidRPr="00D93AA1">
        <w:rPr>
          <w:b/>
          <w:bCs/>
          <w:u w:val="single"/>
        </w:rPr>
        <w:t>Item E</w:t>
      </w:r>
    </w:p>
    <w:p w14:paraId="3DD85E06" w14:textId="77777777" w:rsidR="00523BEB" w:rsidRPr="00523BEB" w:rsidRDefault="00523BEB" w:rsidP="00523BEB">
      <w:r w:rsidRPr="00523BEB">
        <w:t>Detection of a single gene variant for the purpose of reproductive decision making, if:</w:t>
      </w:r>
    </w:p>
    <w:p w14:paraId="309BD0AA" w14:textId="2AB451E3" w:rsidR="00523BEB" w:rsidRPr="00523BEB" w:rsidRDefault="00523BEB" w:rsidP="00523BEB">
      <w:r w:rsidRPr="00523BEB">
        <w:t xml:space="preserve">(a) the detection is requested by a </w:t>
      </w:r>
      <w:r>
        <w:t>C</w:t>
      </w:r>
      <w:r w:rsidRPr="00523BEB">
        <w:t xml:space="preserve">onsultant </w:t>
      </w:r>
      <w:r>
        <w:t>P</w:t>
      </w:r>
      <w:r w:rsidRPr="00523BEB">
        <w:t xml:space="preserve">hysician or </w:t>
      </w:r>
      <w:r>
        <w:t>S</w:t>
      </w:r>
      <w:r w:rsidRPr="00523BEB">
        <w:t>pecialist</w:t>
      </w:r>
      <w:r w:rsidR="000A37F2">
        <w:t xml:space="preserve"> experienced in the treatment of mitochondrial disease</w:t>
      </w:r>
      <w:r w:rsidRPr="00523BEB">
        <w:t>; and</w:t>
      </w:r>
    </w:p>
    <w:p w14:paraId="64A0E458" w14:textId="08F72BF0" w:rsidR="00523BEB" w:rsidRPr="00523BEB" w:rsidRDefault="00523BEB" w:rsidP="00523BEB">
      <w:r w:rsidRPr="00523BEB">
        <w:t>(b) the patient has a first-degree relative with a known monogenic</w:t>
      </w:r>
      <w:r>
        <w:t xml:space="preserve"> mitochondrial disease</w:t>
      </w:r>
      <w:r w:rsidR="00166E0C">
        <w:t xml:space="preserve"> that can be plausibly shared between them</w:t>
      </w:r>
      <w:r w:rsidRPr="00523BEB">
        <w:t>; and</w:t>
      </w:r>
    </w:p>
    <w:p w14:paraId="0B64F4F7" w14:textId="677E49D2" w:rsidR="00523BEB" w:rsidRPr="00523BEB" w:rsidRDefault="00523BEB" w:rsidP="00523BEB">
      <w:r w:rsidRPr="00523BEB">
        <w:t>(c) a service to which item</w:t>
      </w:r>
      <w:r>
        <w:t xml:space="preserve"> numbers A, B, C,</w:t>
      </w:r>
      <w:r w:rsidRPr="00523BEB">
        <w:t xml:space="preserve"> 73358, 73359 or 73360 applies has identified the causative variant for the relative; and</w:t>
      </w:r>
    </w:p>
    <w:p w14:paraId="3B1657E9" w14:textId="77777777" w:rsidR="00523BEB" w:rsidRPr="00523BEB" w:rsidRDefault="00523BEB" w:rsidP="00523BEB">
      <w:r w:rsidRPr="00523BEB">
        <w:t>(d) the results of the testing performed for the relative are made available for the purpose of providing the detection for the patient; and</w:t>
      </w:r>
    </w:p>
    <w:p w14:paraId="6337579D" w14:textId="6F3F32D9" w:rsidR="00523BEB" w:rsidRPr="00523BEB" w:rsidRDefault="00523BEB" w:rsidP="00523BEB">
      <w:r w:rsidRPr="00523BEB">
        <w:t>(e) the detection is not performed in conjunction with item</w:t>
      </w:r>
      <w:r>
        <w:t xml:space="preserve"> numbers D, F,</w:t>
      </w:r>
      <w:r w:rsidRPr="00523BEB">
        <w:t xml:space="preserve"> 73361</w:t>
      </w:r>
      <w:r w:rsidR="000A37F2">
        <w:t>, 73362,</w:t>
      </w:r>
      <w:r w:rsidRPr="00523BEB">
        <w:t xml:space="preserve"> or 73363</w:t>
      </w:r>
    </w:p>
    <w:p w14:paraId="5D29174C" w14:textId="4D8F4E3B" w:rsidR="00523BEB" w:rsidRPr="00523BEB" w:rsidRDefault="00523BEB" w:rsidP="00523BEB">
      <w:r w:rsidRPr="00523BEB">
        <w:lastRenderedPageBreak/>
        <w:t>Applicable only once per variant per lifetime</w:t>
      </w:r>
    </w:p>
    <w:p w14:paraId="0FD5E0EC" w14:textId="52295910" w:rsidR="00523BEB" w:rsidRDefault="00523BEB" w:rsidP="00907016">
      <w:r w:rsidRPr="00523BEB">
        <w:rPr>
          <w:b/>
          <w:bCs/>
        </w:rPr>
        <w:t>Fee:</w:t>
      </w:r>
      <w:r w:rsidRPr="00523BEB">
        <w:t> </w:t>
      </w:r>
      <w:r>
        <w:t>$</w:t>
      </w:r>
      <w:proofErr w:type="spellStart"/>
      <w:proofErr w:type="gramStart"/>
      <w:r>
        <w:t>xxx</w:t>
      </w:r>
      <w:r w:rsidR="001B2589">
        <w:t>.</w:t>
      </w:r>
      <w:r>
        <w:t>xx</w:t>
      </w:r>
      <w:proofErr w:type="spellEnd"/>
      <w:proofErr w:type="gramEnd"/>
      <w:r w:rsidRPr="00523BEB">
        <w:t> </w:t>
      </w:r>
      <w:r>
        <w:t xml:space="preserve"> </w:t>
      </w:r>
      <w:r w:rsidRPr="00523BEB">
        <w:rPr>
          <w:b/>
          <w:bCs/>
        </w:rPr>
        <w:t>Benefit:</w:t>
      </w:r>
      <w:r w:rsidRPr="00523BEB">
        <w:t> 75% = $</w:t>
      </w:r>
      <w:proofErr w:type="spellStart"/>
      <w:r>
        <w:t>xxx</w:t>
      </w:r>
      <w:r w:rsidR="001B2589">
        <w:t>.</w:t>
      </w:r>
      <w:r>
        <w:t>xx</w:t>
      </w:r>
      <w:proofErr w:type="spellEnd"/>
      <w:r>
        <w:t xml:space="preserve">  </w:t>
      </w:r>
      <w:r w:rsidRPr="00523BEB">
        <w:t>85% = $</w:t>
      </w:r>
      <w:proofErr w:type="spellStart"/>
      <w:r>
        <w:t>xxx</w:t>
      </w:r>
      <w:r w:rsidR="001B2589">
        <w:t>.</w:t>
      </w:r>
      <w:r>
        <w:t>xx</w:t>
      </w:r>
      <w:proofErr w:type="spellEnd"/>
    </w:p>
    <w:p w14:paraId="05756403" w14:textId="547A47BF" w:rsidR="008C47E6" w:rsidRPr="000819BB" w:rsidRDefault="008C47E6" w:rsidP="00183E60">
      <w:pPr>
        <w:spacing w:before="240"/>
        <w:rPr>
          <w:b/>
          <w:bCs/>
          <w:u w:val="single"/>
        </w:rPr>
      </w:pPr>
      <w:r w:rsidRPr="000819BB">
        <w:rPr>
          <w:b/>
          <w:bCs/>
          <w:u w:val="single"/>
        </w:rPr>
        <w:t xml:space="preserve">Item </w:t>
      </w:r>
      <w:r w:rsidR="00523BEB" w:rsidRPr="000819BB">
        <w:rPr>
          <w:b/>
          <w:bCs/>
          <w:u w:val="single"/>
        </w:rPr>
        <w:t>F</w:t>
      </w:r>
    </w:p>
    <w:p w14:paraId="0B533877" w14:textId="77777777" w:rsidR="008C47E6" w:rsidRPr="008C47E6" w:rsidRDefault="008C47E6" w:rsidP="008C47E6">
      <w:r w:rsidRPr="008C47E6">
        <w:t>Detection of a single gene variant for segregation purposes in relation to a person, if:</w:t>
      </w:r>
    </w:p>
    <w:p w14:paraId="12A9F23E" w14:textId="77777777" w:rsidR="008C47E6" w:rsidRPr="008C47E6" w:rsidRDefault="008C47E6" w:rsidP="008C47E6">
      <w:r w:rsidRPr="008C47E6">
        <w:t>(a) the detection is:</w:t>
      </w:r>
    </w:p>
    <w:p w14:paraId="3681D824" w14:textId="77777777" w:rsidR="008C47E6" w:rsidRPr="00907016" w:rsidRDefault="008C47E6" w:rsidP="000819BB">
      <w:pPr>
        <w:ind w:left="426"/>
      </w:pPr>
      <w:r w:rsidRPr="008C47E6">
        <w:t>(</w:t>
      </w:r>
      <w:proofErr w:type="spellStart"/>
      <w:r w:rsidRPr="008C47E6">
        <w:t>i</w:t>
      </w:r>
      <w:proofErr w:type="spellEnd"/>
      <w:r w:rsidRPr="008C47E6">
        <w:t xml:space="preserve">) </w:t>
      </w:r>
      <w:r w:rsidRPr="00907016">
        <w:t xml:space="preserve">requested by a </w:t>
      </w:r>
      <w:r w:rsidRPr="008C47E6">
        <w:t>Specialist or C</w:t>
      </w:r>
      <w:r w:rsidRPr="00907016">
        <w:t xml:space="preserve">onsultant </w:t>
      </w:r>
      <w:r w:rsidRPr="008C47E6">
        <w:t>P</w:t>
      </w:r>
      <w:r w:rsidRPr="00907016">
        <w:t xml:space="preserve">hysician </w:t>
      </w:r>
      <w:r w:rsidRPr="008C47E6">
        <w:t>experienced in the treatment of mitochondrial disease</w:t>
      </w:r>
      <w:r w:rsidRPr="00907016">
        <w:t>; or</w:t>
      </w:r>
    </w:p>
    <w:p w14:paraId="2E4DA4A3" w14:textId="67A0D50C" w:rsidR="008C47E6" w:rsidRPr="008C47E6" w:rsidRDefault="008C47E6" w:rsidP="000819BB">
      <w:pPr>
        <w:ind w:left="426"/>
      </w:pPr>
      <w:r w:rsidRPr="008C47E6">
        <w:t xml:space="preserve">(ii) requested by a Specialist or Consultant Physician practising as a neurologist (paediatric or adult), metabolic physician, clinical </w:t>
      </w:r>
      <w:r w:rsidR="00BB5763">
        <w:t xml:space="preserve">or metabolic </w:t>
      </w:r>
      <w:r w:rsidRPr="008C47E6">
        <w:t>geneticist</w:t>
      </w:r>
      <w:r w:rsidR="00BB5763">
        <w:t>, or</w:t>
      </w:r>
      <w:r w:rsidRPr="008C47E6">
        <w:t xml:space="preserve"> ophthalmologist who have experience in the treatment of mitochondrial disease; and</w:t>
      </w:r>
    </w:p>
    <w:p w14:paraId="1FFC5696" w14:textId="77777777" w:rsidR="008C47E6" w:rsidRPr="008C47E6" w:rsidRDefault="008C47E6" w:rsidP="008C47E6">
      <w:r w:rsidRPr="008C47E6">
        <w:t>(b) the patient:</w:t>
      </w:r>
    </w:p>
    <w:p w14:paraId="2E9271D0" w14:textId="1974198C" w:rsidR="008C47E6" w:rsidRPr="008C47E6" w:rsidRDefault="008C47E6" w:rsidP="000819BB">
      <w:pPr>
        <w:ind w:left="426"/>
      </w:pPr>
      <w:bookmarkStart w:id="12" w:name="_Hlk77803314"/>
      <w:r w:rsidRPr="008C47E6">
        <w:t>(</w:t>
      </w:r>
      <w:proofErr w:type="spellStart"/>
      <w:r w:rsidRPr="008C47E6">
        <w:t>i</w:t>
      </w:r>
      <w:proofErr w:type="spellEnd"/>
      <w:r w:rsidRPr="008C47E6">
        <w:t xml:space="preserve">) is a biological parent or other biological relative of the person and has a known </w:t>
      </w:r>
      <w:r w:rsidR="00523BEB">
        <w:t xml:space="preserve">mitochondrial disease </w:t>
      </w:r>
      <w:r w:rsidRPr="008C47E6">
        <w:t>phenotype of the person; or</w:t>
      </w:r>
    </w:p>
    <w:p w14:paraId="432510AE" w14:textId="0D5D3DE7" w:rsidR="008C47E6" w:rsidRDefault="008C47E6" w:rsidP="000819BB">
      <w:pPr>
        <w:ind w:left="426"/>
      </w:pPr>
      <w:r w:rsidRPr="008C47E6">
        <w:t xml:space="preserve">(ii) is a biological parent of the person and has suspected monogenic </w:t>
      </w:r>
      <w:r w:rsidR="00523BEB">
        <w:t>mitochondrial disease</w:t>
      </w:r>
      <w:r w:rsidRPr="008C47E6">
        <w:t>; and</w:t>
      </w:r>
    </w:p>
    <w:bookmarkEnd w:id="12"/>
    <w:p w14:paraId="61E5204B" w14:textId="54291F06" w:rsidR="00345A96" w:rsidRDefault="00166E0C" w:rsidP="00345A96">
      <w:r>
        <w:t>(c) the single gene variant can be plausibly shared between</w:t>
      </w:r>
      <w:r w:rsidR="00345A96">
        <w:t xml:space="preserve"> the patient and</w:t>
      </w:r>
      <w:r w:rsidR="00345A96" w:rsidRPr="008C47E6">
        <w:t xml:space="preserve"> the person </w:t>
      </w:r>
      <w:r w:rsidR="00345A96">
        <w:t>who</w:t>
      </w:r>
      <w:r w:rsidR="00345A96" w:rsidRPr="008C47E6">
        <w:t xml:space="preserve"> has </w:t>
      </w:r>
      <w:r w:rsidR="00345A96">
        <w:t>known or suspected</w:t>
      </w:r>
      <w:r w:rsidR="00345A96" w:rsidRPr="008C47E6">
        <w:t xml:space="preserve"> monogenic </w:t>
      </w:r>
      <w:r w:rsidR="00345A96">
        <w:t>mitochondrial disease</w:t>
      </w:r>
      <w:r w:rsidR="00345A96" w:rsidRPr="008C47E6">
        <w:t>; and</w:t>
      </w:r>
    </w:p>
    <w:p w14:paraId="4D1C84BC" w14:textId="6004FEA1" w:rsidR="00166E0C" w:rsidRPr="008C47E6" w:rsidRDefault="00166E0C" w:rsidP="00166E0C">
      <w:r>
        <w:t xml:space="preserve">the biological </w:t>
      </w:r>
      <w:r w:rsidR="00345A96">
        <w:t xml:space="preserve">parent or biological </w:t>
      </w:r>
      <w:r>
        <w:t xml:space="preserve">relative </w:t>
      </w:r>
      <w:r w:rsidR="00345A96">
        <w:t xml:space="preserve">of the person and has a </w:t>
      </w:r>
      <w:r>
        <w:t xml:space="preserve">with the single gene variant; and </w:t>
      </w:r>
    </w:p>
    <w:p w14:paraId="7FFDAE10" w14:textId="7A29742A" w:rsidR="008C47E6" w:rsidRPr="008C47E6" w:rsidRDefault="008C47E6" w:rsidP="008C47E6">
      <w:r w:rsidRPr="008C47E6">
        <w:t>(</w:t>
      </w:r>
      <w:r w:rsidR="00166E0C">
        <w:t>d</w:t>
      </w:r>
      <w:r w:rsidRPr="008C47E6">
        <w:t xml:space="preserve">) a sample has not previously been tested for the patient for a service to which item </w:t>
      </w:r>
      <w:r w:rsidR="00523BEB">
        <w:t xml:space="preserve"> A</w:t>
      </w:r>
      <w:r w:rsidR="000A37F2">
        <w:t xml:space="preserve">, </w:t>
      </w:r>
      <w:r w:rsidR="00523BEB">
        <w:t>B</w:t>
      </w:r>
      <w:r w:rsidR="000A37F2">
        <w:t>, 73358, or 73359</w:t>
      </w:r>
      <w:r w:rsidRPr="008C47E6">
        <w:t xml:space="preserve"> applies; and</w:t>
      </w:r>
    </w:p>
    <w:p w14:paraId="420B8743" w14:textId="60E5A2DB" w:rsidR="008C47E6" w:rsidRPr="008C47E6" w:rsidRDefault="008C47E6" w:rsidP="008C47E6">
      <w:r w:rsidRPr="008C47E6">
        <w:t>(</w:t>
      </w:r>
      <w:r w:rsidR="00166E0C">
        <w:t>e</w:t>
      </w:r>
      <w:r w:rsidRPr="008C47E6">
        <w:t xml:space="preserve">) a service to which item </w:t>
      </w:r>
      <w:r w:rsidR="00523BEB">
        <w:t xml:space="preserve">A, B, C, </w:t>
      </w:r>
      <w:r w:rsidRPr="008C47E6">
        <w:t xml:space="preserve">73358, 73359 or 73360 applies has identified a potentially </w:t>
      </w:r>
      <w:r w:rsidR="00523BEB">
        <w:t xml:space="preserve">mitochondrial disease </w:t>
      </w:r>
      <w:r w:rsidRPr="008C47E6">
        <w:t>causative variant for the person; and</w:t>
      </w:r>
    </w:p>
    <w:p w14:paraId="4F50DB19" w14:textId="3DBC0310" w:rsidR="008C47E6" w:rsidRPr="008C47E6" w:rsidRDefault="008C47E6" w:rsidP="008C47E6">
      <w:r w:rsidRPr="008C47E6">
        <w:t>(</w:t>
      </w:r>
      <w:r w:rsidR="00166E0C">
        <w:t>f</w:t>
      </w:r>
      <w:r w:rsidRPr="008C47E6">
        <w:t>) the results of the testing performed for the patient are made available for the purpose of providing the detection for the person; and</w:t>
      </w:r>
    </w:p>
    <w:p w14:paraId="6BF22C0A" w14:textId="35AB842E" w:rsidR="008C47E6" w:rsidRPr="008C47E6" w:rsidRDefault="008C47E6" w:rsidP="008C47E6">
      <w:r w:rsidRPr="008C47E6">
        <w:t>(</w:t>
      </w:r>
      <w:r w:rsidR="00166E0C">
        <w:t>g</w:t>
      </w:r>
      <w:r w:rsidRPr="008C47E6">
        <w:t xml:space="preserve">) the detection is not performed in conjunction with item </w:t>
      </w:r>
      <w:r w:rsidR="000A37F2">
        <w:t xml:space="preserve">D, E, </w:t>
      </w:r>
      <w:r w:rsidRPr="008C47E6">
        <w:t>73361</w:t>
      </w:r>
      <w:r w:rsidR="000A37F2">
        <w:t>,</w:t>
      </w:r>
      <w:r w:rsidRPr="008C47E6">
        <w:t xml:space="preserve"> 73362</w:t>
      </w:r>
      <w:r w:rsidR="000A37F2">
        <w:t xml:space="preserve"> or 73363.</w:t>
      </w:r>
    </w:p>
    <w:p w14:paraId="4490734B" w14:textId="213C1D2B" w:rsidR="008C47E6" w:rsidRPr="008C47E6" w:rsidRDefault="008C47E6" w:rsidP="008C47E6">
      <w:r w:rsidRPr="008C47E6">
        <w:t>Applicable only once per variant per lifetime</w:t>
      </w:r>
    </w:p>
    <w:p w14:paraId="5363AB9C" w14:textId="314FFAD9" w:rsidR="00B43C9C" w:rsidRDefault="008C47E6" w:rsidP="008C47E6">
      <w:r w:rsidRPr="008C47E6">
        <w:rPr>
          <w:b/>
          <w:bCs/>
        </w:rPr>
        <w:t>Fee:</w:t>
      </w:r>
      <w:r w:rsidRPr="008C47E6">
        <w:t> $</w:t>
      </w:r>
      <w:proofErr w:type="spellStart"/>
      <w:proofErr w:type="gramStart"/>
      <w:r w:rsidRPr="008C47E6">
        <w:t>xxxx.xx</w:t>
      </w:r>
      <w:proofErr w:type="spellEnd"/>
      <w:proofErr w:type="gramEnd"/>
      <w:r w:rsidRPr="008C47E6">
        <w:t xml:space="preserve"> </w:t>
      </w:r>
      <w:r w:rsidRPr="008C47E6">
        <w:rPr>
          <w:b/>
          <w:bCs/>
        </w:rPr>
        <w:t>Benefit:</w:t>
      </w:r>
      <w:r w:rsidRPr="008C47E6">
        <w:t> 75% = $</w:t>
      </w:r>
      <w:proofErr w:type="spellStart"/>
      <w:r w:rsidRPr="008C47E6">
        <w:t>xxxx.xx</w:t>
      </w:r>
      <w:proofErr w:type="spellEnd"/>
      <w:r w:rsidRPr="008C47E6">
        <w:t xml:space="preserve"> 85% = $</w:t>
      </w:r>
      <w:proofErr w:type="spellStart"/>
      <w:r w:rsidRPr="008C47E6">
        <w:t>xxxx.xx</w:t>
      </w:r>
      <w:proofErr w:type="spellEnd"/>
    </w:p>
    <w:p w14:paraId="64EE487A" w14:textId="47E9881A" w:rsidR="00B43C9C" w:rsidRPr="000819BB" w:rsidRDefault="00B43C9C" w:rsidP="00183E60">
      <w:pPr>
        <w:spacing w:before="240"/>
        <w:rPr>
          <w:b/>
          <w:bCs/>
          <w:u w:val="single"/>
        </w:rPr>
      </w:pPr>
      <w:r w:rsidRPr="000819BB">
        <w:rPr>
          <w:b/>
          <w:bCs/>
          <w:u w:val="single"/>
        </w:rPr>
        <w:t xml:space="preserve">Item G </w:t>
      </w:r>
    </w:p>
    <w:p w14:paraId="7A603407" w14:textId="77C74EBE" w:rsidR="00B43C9C" w:rsidRDefault="00B43C9C" w:rsidP="00B43C9C">
      <w:r w:rsidRPr="00B43C9C">
        <w:t>Detection of a single gene variant</w:t>
      </w:r>
      <w:r w:rsidR="00BE0991">
        <w:t xml:space="preserve"> for diagnostic purpose</w:t>
      </w:r>
      <w:r w:rsidRPr="00B43C9C">
        <w:t xml:space="preserve">, in a </w:t>
      </w:r>
      <w:r>
        <w:t>sample of foetal tissue</w:t>
      </w:r>
      <w:r w:rsidR="00BE0991">
        <w:t>, if</w:t>
      </w:r>
    </w:p>
    <w:p w14:paraId="08FD56EE" w14:textId="77777777" w:rsidR="00BE0991" w:rsidRPr="00BE0991" w:rsidRDefault="00BE0991" w:rsidP="00BE0991">
      <w:r w:rsidRPr="00BE0991">
        <w:t>(a) the detection is:</w:t>
      </w:r>
    </w:p>
    <w:p w14:paraId="79FCAC31" w14:textId="77777777" w:rsidR="00BE0991" w:rsidRPr="00BE0991" w:rsidRDefault="00BE0991" w:rsidP="000819BB">
      <w:pPr>
        <w:ind w:left="426"/>
      </w:pPr>
      <w:r w:rsidRPr="00BE0991">
        <w:t>(</w:t>
      </w:r>
      <w:proofErr w:type="spellStart"/>
      <w:r w:rsidRPr="00BE0991">
        <w:t>i</w:t>
      </w:r>
      <w:proofErr w:type="spellEnd"/>
      <w:r w:rsidRPr="00BE0991">
        <w:t>) requested by a Specialist or Consultant Physician experienced in the treatment of mitochondrial disease; or</w:t>
      </w:r>
    </w:p>
    <w:p w14:paraId="6D66DBCB" w14:textId="5E0836F7" w:rsidR="00BE0991" w:rsidRPr="00BE0991" w:rsidRDefault="00BE0991" w:rsidP="000819BB">
      <w:pPr>
        <w:ind w:left="426"/>
      </w:pPr>
      <w:r w:rsidRPr="00BE0991">
        <w:t xml:space="preserve">(ii) requested by a Specialist or Consultant Physician practising as a neurologist (paediatric or adult), metabolic physician, clinical </w:t>
      </w:r>
      <w:r w:rsidR="00BB5763">
        <w:t xml:space="preserve">or metabolic </w:t>
      </w:r>
      <w:r w:rsidRPr="00BE0991">
        <w:t>geneticist</w:t>
      </w:r>
      <w:r w:rsidR="00BB5763">
        <w:t xml:space="preserve">, or </w:t>
      </w:r>
      <w:r w:rsidRPr="00BE0991">
        <w:t>ophthalmologist who have experience in the treatment of mitochondrial disease; and</w:t>
      </w:r>
    </w:p>
    <w:p w14:paraId="3AD9208D" w14:textId="20C5FB90" w:rsidR="008703A8" w:rsidRDefault="00BE0991" w:rsidP="00BE0991">
      <w:r w:rsidRPr="00BE0991">
        <w:t xml:space="preserve">(b) </w:t>
      </w:r>
      <w:r w:rsidR="00133246">
        <w:t xml:space="preserve">the </w:t>
      </w:r>
      <w:r w:rsidR="00A1274D">
        <w:t>single gene</w:t>
      </w:r>
      <w:r w:rsidR="00BE5631">
        <w:t xml:space="preserve"> </w:t>
      </w:r>
      <w:r w:rsidR="00DB6DB6">
        <w:t xml:space="preserve">variant </w:t>
      </w:r>
      <w:r w:rsidR="00BE5631">
        <w:t>has been</w:t>
      </w:r>
      <w:r w:rsidR="008703A8">
        <w:t>:</w:t>
      </w:r>
    </w:p>
    <w:p w14:paraId="7E1DDED3" w14:textId="55C8F40A" w:rsidR="003F487C" w:rsidRDefault="003F487C" w:rsidP="000819BB">
      <w:pPr>
        <w:ind w:left="426"/>
      </w:pPr>
      <w:r>
        <w:t>(</w:t>
      </w:r>
      <w:proofErr w:type="spellStart"/>
      <w:r>
        <w:t>i</w:t>
      </w:r>
      <w:proofErr w:type="spellEnd"/>
      <w:r>
        <w:t>)</w:t>
      </w:r>
      <w:r w:rsidR="00A1274D">
        <w:t xml:space="preserve">   </w:t>
      </w:r>
      <w:r>
        <w:t xml:space="preserve"> </w:t>
      </w:r>
      <w:r w:rsidR="008703A8">
        <w:t xml:space="preserve">identified in </w:t>
      </w:r>
      <w:r w:rsidR="00BE5631" w:rsidRPr="00BE0991">
        <w:t xml:space="preserve">the </w:t>
      </w:r>
      <w:r w:rsidR="00BE5631" w:rsidRPr="00BE5631">
        <w:t>biological mother</w:t>
      </w:r>
      <w:r w:rsidR="00DB6DB6">
        <w:t xml:space="preserve"> and is of</w:t>
      </w:r>
      <w:r w:rsidR="00BE5631" w:rsidRPr="00BE5631">
        <w:t xml:space="preserve"> mitochondrial genome lineage</w:t>
      </w:r>
      <w:r w:rsidR="00BE5631" w:rsidRPr="00BE0991">
        <w:t>;</w:t>
      </w:r>
      <w:r w:rsidR="00DB6DB6">
        <w:t xml:space="preserve"> or</w:t>
      </w:r>
    </w:p>
    <w:p w14:paraId="3EEA68DB" w14:textId="536B5D25" w:rsidR="00BE5631" w:rsidRDefault="003F487C" w:rsidP="000819BB">
      <w:pPr>
        <w:ind w:left="426"/>
      </w:pPr>
      <w:r>
        <w:t>(ii)</w:t>
      </w:r>
      <w:r w:rsidR="00A1274D">
        <w:t xml:space="preserve">  </w:t>
      </w:r>
      <w:r>
        <w:t xml:space="preserve"> </w:t>
      </w:r>
      <w:r w:rsidR="008703A8">
        <w:t xml:space="preserve">identified in </w:t>
      </w:r>
      <w:r w:rsidR="00DB6DB6">
        <w:t>both biological parents,</w:t>
      </w:r>
      <w:r w:rsidR="00BE5631" w:rsidRPr="00BE5631">
        <w:t xml:space="preserve"> present in the mendeliome</w:t>
      </w:r>
      <w:r w:rsidR="00DB6DB6">
        <w:t xml:space="preserve"> as autosomal recessive: or</w:t>
      </w:r>
    </w:p>
    <w:p w14:paraId="2760D686" w14:textId="58E13E50" w:rsidR="008703A8" w:rsidRDefault="00DB6DB6" w:rsidP="000819BB">
      <w:pPr>
        <w:ind w:left="426"/>
      </w:pPr>
      <w:r>
        <w:t>(iii)</w:t>
      </w:r>
      <w:r w:rsidR="00A1274D">
        <w:t xml:space="preserve"> </w:t>
      </w:r>
      <w:r>
        <w:t xml:space="preserve"> </w:t>
      </w:r>
      <w:r w:rsidR="008703A8">
        <w:t xml:space="preserve">identified in either </w:t>
      </w:r>
      <w:r w:rsidR="00A1274D">
        <w:t xml:space="preserve">biological </w:t>
      </w:r>
      <w:r>
        <w:t>parent</w:t>
      </w:r>
      <w:r w:rsidR="008703A8">
        <w:t xml:space="preserve">, present in the mendeliome as autosomal dominant: </w:t>
      </w:r>
      <w:r w:rsidR="00A1274D">
        <w:t>or</w:t>
      </w:r>
    </w:p>
    <w:p w14:paraId="6FE746E9" w14:textId="12100941" w:rsidR="00A1274D" w:rsidRDefault="00A1274D" w:rsidP="000819BB">
      <w:pPr>
        <w:ind w:left="426"/>
      </w:pPr>
      <w:r>
        <w:t xml:space="preserve">(iv)  identified in a biological sibling  </w:t>
      </w:r>
    </w:p>
    <w:p w14:paraId="2472A33C" w14:textId="051720A2" w:rsidR="00BE0991" w:rsidRPr="00BE0991" w:rsidRDefault="00BE0991" w:rsidP="00BE0991">
      <w:r w:rsidRPr="00BE0991">
        <w:t>(c) a service to which item numbers A,  B,  C, 73358, 73359 or 73360 applies, has identified the causative variant for the</w:t>
      </w:r>
      <w:r w:rsidR="008703A8">
        <w:t xml:space="preserve"> condition of the</w:t>
      </w:r>
      <w:r w:rsidRPr="00BE0991">
        <w:t xml:space="preserve"> </w:t>
      </w:r>
      <w:r w:rsidR="008703A8">
        <w:t>foetus</w:t>
      </w:r>
      <w:r w:rsidRPr="00BE0991">
        <w:t>’s</w:t>
      </w:r>
      <w:r w:rsidR="008703A8">
        <w:t xml:space="preserve"> first-degree relative;</w:t>
      </w:r>
      <w:r w:rsidRPr="00BE0991">
        <w:t xml:space="preserve"> and</w:t>
      </w:r>
    </w:p>
    <w:p w14:paraId="5CED0678" w14:textId="74086328" w:rsidR="00BE0991" w:rsidRPr="00BE0991" w:rsidRDefault="00BE0991" w:rsidP="00BE0991">
      <w:r w:rsidRPr="00BE0991">
        <w:lastRenderedPageBreak/>
        <w:t xml:space="preserve">(d) the results of the testing performed for the </w:t>
      </w:r>
      <w:r w:rsidR="008703A8">
        <w:t>foetus</w:t>
      </w:r>
      <w:r w:rsidRPr="00BE0991">
        <w:t xml:space="preserve"> are made available for the purpose of providing the detection for the pa</w:t>
      </w:r>
      <w:r w:rsidR="008703A8">
        <w:t>rent/s</w:t>
      </w:r>
      <w:r w:rsidRPr="00BE0991">
        <w:t>; and</w:t>
      </w:r>
    </w:p>
    <w:p w14:paraId="0C1E02FD" w14:textId="794058A9" w:rsidR="00BE0991" w:rsidRPr="00BE0991" w:rsidRDefault="00BE0991" w:rsidP="00BE0991">
      <w:r w:rsidRPr="00BE0991">
        <w:t xml:space="preserve">(e) the detection is not performed in conjunction with a service to which item </w:t>
      </w:r>
      <w:r w:rsidR="008703A8">
        <w:t xml:space="preserve">D, </w:t>
      </w:r>
      <w:r w:rsidRPr="00BE0991">
        <w:t>E, F, 73361, 73362 or 73363 applies</w:t>
      </w:r>
    </w:p>
    <w:p w14:paraId="7DE5A656" w14:textId="77777777" w:rsidR="00B43C9C" w:rsidRPr="00B43C9C" w:rsidRDefault="00B43C9C" w:rsidP="00B43C9C">
      <w:r w:rsidRPr="00B43C9C">
        <w:t>Applicable only once per variant per lifetime</w:t>
      </w:r>
    </w:p>
    <w:p w14:paraId="045C56D1" w14:textId="74867109" w:rsidR="00183E60" w:rsidRPr="00183E60" w:rsidRDefault="00B43C9C" w:rsidP="00183E60">
      <w:r w:rsidRPr="00B43C9C">
        <w:rPr>
          <w:b/>
          <w:bCs/>
        </w:rPr>
        <w:t>Fee:</w:t>
      </w:r>
      <w:r w:rsidRPr="00B43C9C">
        <w:t> $</w:t>
      </w:r>
      <w:proofErr w:type="spellStart"/>
      <w:proofErr w:type="gramStart"/>
      <w:r w:rsidRPr="00B43C9C">
        <w:t>xxx.xx</w:t>
      </w:r>
      <w:proofErr w:type="spellEnd"/>
      <w:proofErr w:type="gramEnd"/>
      <w:r w:rsidRPr="00B43C9C">
        <w:t xml:space="preserve">  </w:t>
      </w:r>
      <w:r w:rsidRPr="00B43C9C">
        <w:rPr>
          <w:b/>
          <w:bCs/>
        </w:rPr>
        <w:t>Benefit:</w:t>
      </w:r>
      <w:r w:rsidRPr="00B43C9C">
        <w:t> 75% = $</w:t>
      </w:r>
      <w:proofErr w:type="spellStart"/>
      <w:r w:rsidRPr="00B43C9C">
        <w:t>xxx.xx</w:t>
      </w:r>
      <w:proofErr w:type="spellEnd"/>
      <w:r w:rsidRPr="00B43C9C">
        <w:t xml:space="preserve">  85% = $</w:t>
      </w:r>
      <w:proofErr w:type="spellStart"/>
      <w:r w:rsidRPr="00B43C9C">
        <w:t>xxx.xx</w:t>
      </w:r>
      <w:proofErr w:type="spellEnd"/>
    </w:p>
    <w:p w14:paraId="1DCF15E9" w14:textId="007E324D" w:rsidR="00710F2E" w:rsidRPr="002437D2" w:rsidRDefault="00710F2E" w:rsidP="00183E60">
      <w:pPr>
        <w:spacing w:before="240"/>
        <w:rPr>
          <w:b/>
          <w:bCs/>
          <w:u w:val="single"/>
        </w:rPr>
      </w:pPr>
      <w:r w:rsidRPr="002437D2">
        <w:rPr>
          <w:b/>
          <w:bCs/>
          <w:u w:val="single"/>
        </w:rPr>
        <w:t xml:space="preserve">Item </w:t>
      </w:r>
      <w:r w:rsidR="006A6733" w:rsidRPr="002437D2">
        <w:rPr>
          <w:b/>
          <w:bCs/>
          <w:u w:val="single"/>
        </w:rPr>
        <w:t>H</w:t>
      </w:r>
    </w:p>
    <w:p w14:paraId="2C885A05" w14:textId="77777777" w:rsidR="00710F2E" w:rsidRPr="00710F2E" w:rsidRDefault="00710F2E" w:rsidP="00710F2E">
      <w:r w:rsidRPr="00710F2E">
        <w:t>Characterisation of a single mitochondrial DNA deletion for diagnostic purposes in a patient suspected to have mitochondrial disease based on the following criteria:</w:t>
      </w:r>
    </w:p>
    <w:p w14:paraId="05F24B82" w14:textId="77777777" w:rsidR="00710F2E" w:rsidRPr="00710F2E" w:rsidRDefault="00710F2E" w:rsidP="00710F2E">
      <w:r w:rsidRPr="00710F2E">
        <w:t>(a) the characterisation is:</w:t>
      </w:r>
    </w:p>
    <w:p w14:paraId="3B477DF6" w14:textId="77777777" w:rsidR="00710F2E" w:rsidRPr="00710F2E" w:rsidRDefault="00710F2E" w:rsidP="000819BB">
      <w:pPr>
        <w:ind w:left="426"/>
      </w:pPr>
      <w:r w:rsidRPr="00710F2E">
        <w:t>(</w:t>
      </w:r>
      <w:proofErr w:type="spellStart"/>
      <w:r w:rsidRPr="00710F2E">
        <w:t>i</w:t>
      </w:r>
      <w:proofErr w:type="spellEnd"/>
      <w:r w:rsidRPr="00710F2E">
        <w:t>) requested by a Specialist or Consultant Physician experienced in the treatment of mitochondrial disease; or</w:t>
      </w:r>
    </w:p>
    <w:p w14:paraId="40B82800" w14:textId="2FE771FA" w:rsidR="00710F2E" w:rsidRPr="00710F2E" w:rsidRDefault="00710F2E" w:rsidP="000819BB">
      <w:pPr>
        <w:ind w:left="426"/>
      </w:pPr>
      <w:r w:rsidRPr="00710F2E">
        <w:t>(ii) requested by  a Specialist or Consultant Physician practising as a neurologist (paediatric or adult), metabolic physician, clinical</w:t>
      </w:r>
      <w:r w:rsidR="00BB5763">
        <w:t xml:space="preserve"> or metabolic</w:t>
      </w:r>
      <w:r w:rsidRPr="00710F2E">
        <w:t xml:space="preserve"> geneticist</w:t>
      </w:r>
      <w:r w:rsidR="00BB5763">
        <w:t>,</w:t>
      </w:r>
      <w:r w:rsidRPr="00710F2E">
        <w:t xml:space="preserve"> or ophthalmologist who have experience in the treatment of mitochondrial disease ; and</w:t>
      </w:r>
    </w:p>
    <w:p w14:paraId="73E35579" w14:textId="77777777" w:rsidR="00710F2E" w:rsidRPr="00710F2E" w:rsidRDefault="00710F2E" w:rsidP="00710F2E">
      <w:r w:rsidRPr="00710F2E">
        <w:t>(b) onset of one or more clinical features indicative of mitochondrial disease inclusive of at least one or more of the following:</w:t>
      </w:r>
    </w:p>
    <w:p w14:paraId="69D1B842" w14:textId="17D13AB4" w:rsidR="0022705F" w:rsidRPr="000E52B4" w:rsidRDefault="00710F2E" w:rsidP="0022705F">
      <w:pPr>
        <w:ind w:left="426"/>
      </w:pPr>
      <w:r w:rsidRPr="00710F2E">
        <w:t>(</w:t>
      </w:r>
      <w:proofErr w:type="spellStart"/>
      <w:r w:rsidRPr="00710F2E">
        <w:t>i</w:t>
      </w:r>
      <w:proofErr w:type="spellEnd"/>
      <w:r w:rsidRPr="00710F2E">
        <w:t xml:space="preserve">)  </w:t>
      </w:r>
      <w:r w:rsidR="0022705F">
        <w:t xml:space="preserve">  </w:t>
      </w:r>
      <w:r w:rsidR="0022705F" w:rsidRPr="0022705F">
        <w:t xml:space="preserve"> </w:t>
      </w:r>
      <w:r w:rsidR="0022705F" w:rsidRPr="000E52B4">
        <w:t>Evident mitochondrial dysfunction in children &lt;16years, and/or</w:t>
      </w:r>
    </w:p>
    <w:p w14:paraId="2D96A22E" w14:textId="77777777" w:rsidR="0022705F" w:rsidRPr="0022705F" w:rsidRDefault="0022705F" w:rsidP="0022705F">
      <w:pPr>
        <w:ind w:left="426"/>
      </w:pPr>
      <w:r w:rsidRPr="0022705F">
        <w:t>(ii)    Unexplained hypotonia, weakness, failure to thrive and a metabolic acidosis in children, and/or</w:t>
      </w:r>
    </w:p>
    <w:p w14:paraId="06D88F43" w14:textId="77777777" w:rsidR="0022705F" w:rsidRPr="0022705F" w:rsidRDefault="0022705F" w:rsidP="0022705F">
      <w:pPr>
        <w:ind w:left="426"/>
      </w:pPr>
      <w:r w:rsidRPr="0022705F">
        <w:t>(iii)   Unexplained single or multi- organ dysfunction or fulminant failure (in particular but not limited to hepatopathy, pancreatic and/or bone marrow failure ) in children &lt;10years, and/or</w:t>
      </w:r>
    </w:p>
    <w:p w14:paraId="3CFCBAEE" w14:textId="77777777" w:rsidR="0022705F" w:rsidRPr="0022705F" w:rsidRDefault="0022705F" w:rsidP="0022705F">
      <w:pPr>
        <w:ind w:left="426"/>
      </w:pPr>
      <w:r w:rsidRPr="0022705F">
        <w:t xml:space="preserve">(iv)   Unexplained profound hypoglycaemia  and/or </w:t>
      </w:r>
    </w:p>
    <w:p w14:paraId="469C2223" w14:textId="77777777" w:rsidR="0022705F" w:rsidRPr="0022705F" w:rsidRDefault="0022705F" w:rsidP="0022705F">
      <w:pPr>
        <w:ind w:left="426"/>
      </w:pPr>
      <w:r w:rsidRPr="0022705F">
        <w:t>(v)    Refractory seizures, developmental delays, and progressive encephalopathy or encephalomyopathy in children &lt;16years, and/or</w:t>
      </w:r>
    </w:p>
    <w:p w14:paraId="6ED68535" w14:textId="77777777" w:rsidR="0022705F" w:rsidRPr="0022705F" w:rsidRDefault="0022705F" w:rsidP="0022705F">
      <w:pPr>
        <w:ind w:left="426"/>
      </w:pPr>
      <w:r w:rsidRPr="0022705F">
        <w:t>(vi)   Cardiomyopathy and/or cardiac arrythmias in children &lt;16years, and/or</w:t>
      </w:r>
    </w:p>
    <w:p w14:paraId="36C1430E" w14:textId="77777777" w:rsidR="0022705F" w:rsidRPr="0022705F" w:rsidRDefault="0022705F" w:rsidP="0022705F">
      <w:pPr>
        <w:ind w:left="426"/>
      </w:pPr>
      <w:r w:rsidRPr="0022705F">
        <w:t>(vi)   Rapid hearing and/or visual loss in children &lt;16years, and/or</w:t>
      </w:r>
    </w:p>
    <w:p w14:paraId="2F365338" w14:textId="77777777" w:rsidR="0022705F" w:rsidRPr="0022705F" w:rsidRDefault="0022705F" w:rsidP="0022705F">
      <w:pPr>
        <w:ind w:left="426"/>
      </w:pPr>
      <w:r w:rsidRPr="0022705F">
        <w:t>(vii)  Stroke-like episodes, encephalopathy, seizures, muscle fatigue and weakness, and/or</w:t>
      </w:r>
    </w:p>
    <w:p w14:paraId="52234ABB" w14:textId="77777777" w:rsidR="0022705F" w:rsidRPr="0022705F" w:rsidRDefault="0022705F" w:rsidP="0022705F">
      <w:pPr>
        <w:ind w:left="426"/>
      </w:pPr>
      <w:r w:rsidRPr="0022705F">
        <w:t xml:space="preserve">(viii) External ophthalmoplegia, and/or </w:t>
      </w:r>
    </w:p>
    <w:p w14:paraId="2EF6DB66" w14:textId="77777777" w:rsidR="0022705F" w:rsidRPr="0022705F" w:rsidRDefault="0022705F" w:rsidP="0022705F">
      <w:pPr>
        <w:ind w:left="426"/>
      </w:pPr>
      <w:r w:rsidRPr="0022705F">
        <w:t xml:space="preserve">(ix)   Hearing loss, diabetes, short stature, endocrinopathy, and/or </w:t>
      </w:r>
    </w:p>
    <w:p w14:paraId="6593F486" w14:textId="4F661642" w:rsidR="000819BB" w:rsidRDefault="0022705F" w:rsidP="00B41653">
      <w:pPr>
        <w:ind w:left="426"/>
      </w:pPr>
      <w:r w:rsidRPr="0022705F">
        <w:t>(x)    Family history of any of the above(c) the characterisation is performed following the performance for the patient of a service to which item 73292 applies for which the results were non-informative; and</w:t>
      </w:r>
      <w:r w:rsidR="00710F2E" w:rsidRPr="00710F2E">
        <w:t xml:space="preserve"> </w:t>
      </w:r>
      <w:r w:rsidR="00710F2E">
        <w:t xml:space="preserve">  </w:t>
      </w:r>
    </w:p>
    <w:p w14:paraId="7F846786" w14:textId="4DBAA96D" w:rsidR="00710F2E" w:rsidRDefault="00710F2E" w:rsidP="00710F2E">
      <w:r w:rsidRPr="00653479">
        <w:t>(c) the characterisation is performed following the performance for the patient of a service to which item</w:t>
      </w:r>
      <w:r w:rsidR="0022705F" w:rsidRPr="00653479">
        <w:t>s</w:t>
      </w:r>
      <w:r w:rsidRPr="00653479">
        <w:t xml:space="preserve"> 73292</w:t>
      </w:r>
      <w:r w:rsidR="0022705F" w:rsidRPr="00653479">
        <w:t>, A, B, 73358 or 73359</w:t>
      </w:r>
      <w:r w:rsidRPr="00653479">
        <w:t xml:space="preserve"> applies for which the results were non-informative; and</w:t>
      </w:r>
    </w:p>
    <w:p w14:paraId="186144E2" w14:textId="77777777" w:rsidR="00710F2E" w:rsidRPr="00710F2E" w:rsidRDefault="00710F2E" w:rsidP="00710F2E">
      <w:r w:rsidRPr="00710F2E">
        <w:t>Applicable only once per lifetime</w:t>
      </w:r>
    </w:p>
    <w:p w14:paraId="477EE4F0" w14:textId="23778AE1" w:rsidR="00710F2E" w:rsidRPr="00710F2E" w:rsidRDefault="00710F2E" w:rsidP="00183E60">
      <w:r w:rsidRPr="00710F2E">
        <w:rPr>
          <w:b/>
          <w:bCs/>
        </w:rPr>
        <w:t>Fee:</w:t>
      </w:r>
      <w:r w:rsidRPr="00710F2E">
        <w:t> $</w:t>
      </w:r>
      <w:proofErr w:type="spellStart"/>
      <w:proofErr w:type="gramStart"/>
      <w:r w:rsidRPr="00710F2E">
        <w:t>xxxx.xx</w:t>
      </w:r>
      <w:proofErr w:type="spellEnd"/>
      <w:proofErr w:type="gramEnd"/>
      <w:r w:rsidRPr="00710F2E">
        <w:t xml:space="preserve"> </w:t>
      </w:r>
      <w:r w:rsidRPr="00710F2E">
        <w:rPr>
          <w:b/>
          <w:bCs/>
        </w:rPr>
        <w:t>Benefit:</w:t>
      </w:r>
      <w:r w:rsidRPr="00710F2E">
        <w:t> 75% = $</w:t>
      </w:r>
      <w:proofErr w:type="spellStart"/>
      <w:r w:rsidRPr="00710F2E">
        <w:t>xxxx.xx</w:t>
      </w:r>
      <w:proofErr w:type="spellEnd"/>
      <w:r w:rsidRPr="00710F2E">
        <w:t xml:space="preserve"> 85% = $</w:t>
      </w:r>
      <w:proofErr w:type="spellStart"/>
      <w:r w:rsidRPr="00710F2E">
        <w:t>xxxx.xx</w:t>
      </w:r>
      <w:proofErr w:type="spellEnd"/>
    </w:p>
    <w:p w14:paraId="71D07358" w14:textId="30D332C8" w:rsidR="00550F9B" w:rsidRDefault="00550F9B" w:rsidP="006527A9"/>
    <w:sectPr w:rsidR="00550F9B" w:rsidSect="006527A9">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FB2D6" w14:textId="77777777" w:rsidR="00644D92" w:rsidRDefault="00644D92" w:rsidP="00CF2DFA">
      <w:pPr>
        <w:spacing w:after="0"/>
      </w:pPr>
      <w:r>
        <w:separator/>
      </w:r>
    </w:p>
  </w:endnote>
  <w:endnote w:type="continuationSeparator" w:id="0">
    <w:p w14:paraId="0854501E" w14:textId="77777777" w:rsidR="00644D92" w:rsidRDefault="00644D92" w:rsidP="00CF2DFA">
      <w:pPr>
        <w:spacing w:after="0"/>
      </w:pPr>
      <w:r>
        <w:continuationSeparator/>
      </w:r>
    </w:p>
  </w:endnote>
  <w:endnote w:id="1">
    <w:p w14:paraId="393C57D9" w14:textId="77777777" w:rsidR="00644D92" w:rsidRPr="00644D92" w:rsidRDefault="00644D92" w:rsidP="00776DDB">
      <w:pPr>
        <w:pStyle w:val="EndnoteText"/>
        <w:spacing w:line="276" w:lineRule="auto"/>
        <w:rPr>
          <w:sz w:val="16"/>
          <w:szCs w:val="16"/>
        </w:rPr>
      </w:pPr>
      <w:r w:rsidRPr="00644D92">
        <w:rPr>
          <w:rStyle w:val="EndnoteReference"/>
          <w:sz w:val="16"/>
          <w:szCs w:val="16"/>
        </w:rPr>
        <w:endnoteRef/>
      </w:r>
      <w:r w:rsidRPr="00644D92">
        <w:rPr>
          <w:sz w:val="16"/>
          <w:szCs w:val="16"/>
        </w:rPr>
        <w:t xml:space="preserve"> Johnston Grier,  Michio Hirano, Amel Karaa, Emma Shepard, and John L.P. Thompson, (2018) Diagnostic odyssey of patients with mitochondrial: Results of a Survey. Neurol Genet. 2018;4(2):e230. Published 2018 Mar 26. doi:10.1212/NXG.0000000000000230</w:t>
      </w:r>
    </w:p>
  </w:endnote>
  <w:endnote w:id="2">
    <w:p w14:paraId="04B1347C" w14:textId="77777777" w:rsidR="00644D92" w:rsidRPr="00644D92" w:rsidRDefault="00644D92" w:rsidP="004E3382">
      <w:pPr>
        <w:pStyle w:val="EndnoteText"/>
        <w:rPr>
          <w:sz w:val="16"/>
          <w:szCs w:val="16"/>
        </w:rPr>
      </w:pPr>
      <w:r w:rsidRPr="00644D92">
        <w:rPr>
          <w:rStyle w:val="EndnoteReference"/>
          <w:sz w:val="16"/>
          <w:szCs w:val="16"/>
        </w:rPr>
        <w:endnoteRef/>
      </w:r>
      <w:r w:rsidRPr="00644D92">
        <w:rPr>
          <w:sz w:val="16"/>
          <w:szCs w:val="16"/>
        </w:rPr>
        <w:t xml:space="preserve"> Science of mitochondrial donation and related matters. The Senate, Community Affairs References Committee. Commonwealth of Australia, June 2018, Australia.</w:t>
      </w:r>
    </w:p>
    <w:p w14:paraId="6E7D298E" w14:textId="77777777" w:rsidR="00644D92" w:rsidRDefault="00644D92" w:rsidP="004E3382">
      <w:pPr>
        <w:pStyle w:val="EndnoteText"/>
        <w:jc w:val="center"/>
        <w:rPr>
          <w:sz w:val="32"/>
          <w:szCs w:val="32"/>
        </w:rPr>
      </w:pPr>
    </w:p>
    <w:p w14:paraId="4A34C468" w14:textId="77777777" w:rsidR="00644D92" w:rsidRDefault="00644D92" w:rsidP="004E3382">
      <w:pPr>
        <w:pStyle w:val="EndnoteText"/>
        <w:jc w:val="center"/>
        <w:rPr>
          <w:sz w:val="32"/>
          <w:szCs w:val="32"/>
        </w:rPr>
      </w:pPr>
    </w:p>
    <w:p w14:paraId="738C2E28" w14:textId="655F95C2" w:rsidR="00644D92" w:rsidRDefault="00644D92" w:rsidP="004E3382">
      <w:pPr>
        <w:pStyle w:val="EndnoteText"/>
        <w:jc w:val="center"/>
        <w:rPr>
          <w:sz w:val="32"/>
          <w:szCs w:val="32"/>
        </w:rPr>
      </w:pPr>
      <w:r w:rsidRPr="00F92F39">
        <w:rPr>
          <w:sz w:val="32"/>
          <w:szCs w:val="32"/>
        </w:rPr>
        <w:t>APPENDIX</w:t>
      </w:r>
    </w:p>
    <w:p w14:paraId="09CC0166" w14:textId="77777777" w:rsidR="00644D92" w:rsidRDefault="00644D92" w:rsidP="004E3382">
      <w:pPr>
        <w:pStyle w:val="EndnoteText"/>
      </w:pPr>
    </w:p>
    <w:p w14:paraId="725E612C" w14:textId="77777777" w:rsidR="00644D92" w:rsidRPr="00644D92" w:rsidRDefault="00644D92" w:rsidP="004E3382">
      <w:pPr>
        <w:pStyle w:val="EndnoteText"/>
        <w:rPr>
          <w:b/>
          <w:bCs/>
        </w:rPr>
      </w:pPr>
      <w:r w:rsidRPr="00644D92">
        <w:rPr>
          <w:b/>
          <w:bCs/>
        </w:rPr>
        <w:t>Flow Diagram A</w:t>
      </w:r>
    </w:p>
    <w:p w14:paraId="29C2BAE3" w14:textId="77777777" w:rsidR="00644D92" w:rsidRDefault="00644D92" w:rsidP="004E3382">
      <w:pPr>
        <w:pStyle w:val="EndnoteText"/>
      </w:pPr>
    </w:p>
    <w:p w14:paraId="2E887181" w14:textId="7697A7C9" w:rsidR="00644D92" w:rsidRDefault="00644D92" w:rsidP="004E3382">
      <w:pPr>
        <w:pStyle w:val="EndnoteText"/>
      </w:pPr>
      <w:r>
        <w:rPr>
          <w:noProof/>
        </w:rPr>
        <w:drawing>
          <wp:inline distT="0" distB="0" distL="0" distR="0" wp14:anchorId="330CC6A0" wp14:editId="4E1D9581">
            <wp:extent cx="6471113" cy="3647090"/>
            <wp:effectExtent l="0" t="0" r="635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1"/>
                    <a:srcRect l="24758" t="22459" r="11424" b="13573"/>
                    <a:stretch/>
                  </pic:blipFill>
                  <pic:spPr bwMode="auto">
                    <a:xfrm>
                      <a:off x="0" y="0"/>
                      <a:ext cx="6524826" cy="3677362"/>
                    </a:xfrm>
                    <a:prstGeom prst="rect">
                      <a:avLst/>
                    </a:prstGeom>
                    <a:ln>
                      <a:noFill/>
                    </a:ln>
                    <a:extLst>
                      <a:ext uri="{53640926-AAD7-44D8-BBD7-CCE9431645EC}">
                        <a14:shadowObscured xmlns:a14="http://schemas.microsoft.com/office/drawing/2010/main"/>
                      </a:ext>
                    </a:extLst>
                  </pic:spPr>
                </pic:pic>
              </a:graphicData>
            </a:graphic>
          </wp:inline>
        </w:drawing>
      </w:r>
    </w:p>
    <w:p w14:paraId="43772FF0" w14:textId="5B4C06E3" w:rsidR="00644D92" w:rsidRDefault="00644D92" w:rsidP="004E3382">
      <w:pPr>
        <w:pStyle w:val="EndnoteText"/>
      </w:pPr>
      <w:r>
        <w:t xml:space="preserve"> </w:t>
      </w:r>
    </w:p>
    <w:p w14:paraId="6DB4D647" w14:textId="77777777" w:rsidR="00644D92" w:rsidRDefault="00644D92" w:rsidP="004E3382">
      <w:pPr>
        <w:pStyle w:val="EndnoteText"/>
      </w:pPr>
    </w:p>
    <w:p w14:paraId="4D8D63B8" w14:textId="2E848C45" w:rsidR="00644D92" w:rsidRPr="00AF2BB0" w:rsidRDefault="00644D92" w:rsidP="004E3382">
      <w:pPr>
        <w:pStyle w:val="EndnoteText"/>
        <w:rPr>
          <w:b/>
          <w:bCs/>
        </w:rPr>
      </w:pPr>
      <w:r w:rsidRPr="00AF2BB0">
        <w:rPr>
          <w:b/>
          <w:bCs/>
        </w:rPr>
        <w:t>Flow Diagram B</w:t>
      </w:r>
    </w:p>
    <w:p w14:paraId="59B07469" w14:textId="1EB13636" w:rsidR="00644D92" w:rsidRDefault="00644D92" w:rsidP="004E3382">
      <w:pPr>
        <w:pStyle w:val="EndnoteText"/>
      </w:pPr>
      <w:r w:rsidRPr="00E93F9B">
        <w:rPr>
          <w:noProof/>
        </w:rPr>
        <w:drawing>
          <wp:inline distT="0" distB="0" distL="0" distR="0" wp14:anchorId="0F7979E1" wp14:editId="6B1FA923">
            <wp:extent cx="6273800" cy="3553691"/>
            <wp:effectExtent l="0" t="0" r="0" b="889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2"/>
                    <a:srcRect l="24595" t="22463" r="12032" b="13695"/>
                    <a:stretch/>
                  </pic:blipFill>
                  <pic:spPr bwMode="auto">
                    <a:xfrm>
                      <a:off x="0" y="0"/>
                      <a:ext cx="6293059" cy="3564600"/>
                    </a:xfrm>
                    <a:prstGeom prst="rect">
                      <a:avLst/>
                    </a:prstGeom>
                    <a:ln>
                      <a:noFill/>
                    </a:ln>
                    <a:extLst>
                      <a:ext uri="{53640926-AAD7-44D8-BBD7-CCE9431645EC}">
                        <a14:shadowObscured xmlns:a14="http://schemas.microsoft.com/office/drawing/2010/main"/>
                      </a:ext>
                    </a:extLst>
                  </pic:spPr>
                </pic:pic>
              </a:graphicData>
            </a:graphic>
          </wp:inline>
        </w:drawing>
      </w:r>
    </w:p>
    <w:p w14:paraId="30146607" w14:textId="2536E6CE" w:rsidR="00644D92" w:rsidRDefault="00644D92" w:rsidP="004E3382">
      <w:pPr>
        <w:pStyle w:val="EndnoteText"/>
      </w:pPr>
    </w:p>
    <w:p w14:paraId="136D3DD7" w14:textId="77777777" w:rsidR="00AF2BB0" w:rsidRDefault="00AF2BB0" w:rsidP="004E3382">
      <w:pPr>
        <w:pStyle w:val="EndnoteText"/>
        <w:rPr>
          <w:b/>
          <w:bCs/>
        </w:rPr>
      </w:pPr>
    </w:p>
    <w:p w14:paraId="0F07AB19" w14:textId="77777777" w:rsidR="00AF2BB0" w:rsidRDefault="00AF2BB0" w:rsidP="004E3382">
      <w:pPr>
        <w:pStyle w:val="EndnoteText"/>
        <w:rPr>
          <w:b/>
          <w:bCs/>
        </w:rPr>
      </w:pPr>
    </w:p>
    <w:p w14:paraId="65FAA3AA" w14:textId="60EA13D5" w:rsidR="00644D92" w:rsidRPr="00644D92" w:rsidRDefault="00644D92" w:rsidP="004E3382">
      <w:pPr>
        <w:pStyle w:val="EndnoteText"/>
        <w:rPr>
          <w:b/>
          <w:bCs/>
        </w:rPr>
      </w:pPr>
      <w:r w:rsidRPr="00644D92">
        <w:rPr>
          <w:b/>
          <w:bCs/>
        </w:rPr>
        <w:t>Flow Diagram C</w:t>
      </w:r>
    </w:p>
    <w:p w14:paraId="5B659383" w14:textId="77777777" w:rsidR="00644D92" w:rsidRDefault="00644D92" w:rsidP="004E3382">
      <w:pPr>
        <w:pStyle w:val="EndnoteText"/>
      </w:pPr>
    </w:p>
    <w:p w14:paraId="62D8F1DD" w14:textId="3F666518" w:rsidR="00644D92" w:rsidRDefault="00644D92" w:rsidP="004E3382">
      <w:pPr>
        <w:pStyle w:val="EndnoteText"/>
      </w:pPr>
      <w:r w:rsidRPr="000A6006">
        <w:rPr>
          <w:noProof/>
        </w:rPr>
        <w:drawing>
          <wp:inline distT="0" distB="0" distL="0" distR="0" wp14:anchorId="722D9F9F" wp14:editId="32D9F363">
            <wp:extent cx="6389694" cy="3589867"/>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2863" cy="3597265"/>
                    </a:xfrm>
                    <a:prstGeom prst="rect">
                      <a:avLst/>
                    </a:prstGeom>
                    <a:noFill/>
                    <a:ln>
                      <a:noFill/>
                    </a:ln>
                  </pic:spPr>
                </pic:pic>
              </a:graphicData>
            </a:graphic>
          </wp:inline>
        </w:drawing>
      </w:r>
    </w:p>
    <w:p w14:paraId="40ACBA84" w14:textId="77777777" w:rsidR="00644D92" w:rsidRDefault="00644D92" w:rsidP="004E3382">
      <w:pPr>
        <w:pStyle w:val="EndnoteText"/>
      </w:pPr>
    </w:p>
    <w:p w14:paraId="60D324CE" w14:textId="77777777" w:rsidR="00644D92" w:rsidRDefault="00644D92" w:rsidP="004E3382">
      <w:pPr>
        <w:pStyle w:val="EndnoteText"/>
      </w:pPr>
    </w:p>
    <w:p w14:paraId="3C7CE5F5" w14:textId="47FF1D23" w:rsidR="00644D92" w:rsidRPr="00AF2BB0" w:rsidRDefault="00644D92" w:rsidP="004E3382">
      <w:pPr>
        <w:pStyle w:val="EndnoteText"/>
        <w:rPr>
          <w:b/>
          <w:bCs/>
        </w:rPr>
      </w:pPr>
      <w:r w:rsidRPr="00AF2BB0">
        <w:rPr>
          <w:b/>
          <w:bCs/>
        </w:rPr>
        <w:t>Flow Diagram D</w:t>
      </w:r>
    </w:p>
    <w:p w14:paraId="1E8EBE53" w14:textId="77777777" w:rsidR="00644D92" w:rsidRDefault="00644D92" w:rsidP="004E3382">
      <w:pPr>
        <w:pStyle w:val="EndnoteText"/>
      </w:pPr>
    </w:p>
    <w:p w14:paraId="65283338" w14:textId="0D041513" w:rsidR="00644D92" w:rsidRDefault="00644D92" w:rsidP="004E3382">
      <w:pPr>
        <w:pStyle w:val="EndnoteText"/>
      </w:pPr>
      <w:r w:rsidRPr="00E93F9B">
        <w:rPr>
          <w:noProof/>
        </w:rPr>
        <w:drawing>
          <wp:inline distT="0" distB="0" distL="0" distR="0" wp14:anchorId="70A93ACA" wp14:editId="20994370">
            <wp:extent cx="6022848" cy="3411871"/>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4"/>
                    <a:srcRect l="24892" t="21951" r="11280" b="13741"/>
                    <a:stretch/>
                  </pic:blipFill>
                  <pic:spPr bwMode="auto">
                    <a:xfrm>
                      <a:off x="0" y="0"/>
                      <a:ext cx="6042309" cy="3422895"/>
                    </a:xfrm>
                    <a:prstGeom prst="rect">
                      <a:avLst/>
                    </a:prstGeom>
                    <a:ln>
                      <a:noFill/>
                    </a:ln>
                    <a:extLst>
                      <a:ext uri="{53640926-AAD7-44D8-BBD7-CCE9431645EC}">
                        <a14:shadowObscured xmlns:a14="http://schemas.microsoft.com/office/drawing/2010/main"/>
                      </a:ext>
                    </a:extLst>
                  </pic:spPr>
                </pic:pic>
              </a:graphicData>
            </a:graphic>
          </wp:inline>
        </w:drawing>
      </w:r>
    </w:p>
    <w:p w14:paraId="5241C69B" w14:textId="77777777" w:rsidR="00644D92" w:rsidRDefault="00644D92" w:rsidP="004E3382">
      <w:pPr>
        <w:pStyle w:val="EndnoteText"/>
      </w:pPr>
    </w:p>
    <w:p w14:paraId="406D0B4A" w14:textId="77777777" w:rsidR="00644D92" w:rsidRDefault="00644D92" w:rsidP="004E3382">
      <w:pPr>
        <w:pStyle w:val="EndnoteText"/>
      </w:pPr>
    </w:p>
    <w:p w14:paraId="3256EDB3" w14:textId="77777777" w:rsidR="00644D92" w:rsidRDefault="00644D92" w:rsidP="004E3382">
      <w:pPr>
        <w:pStyle w:val="EndnoteText"/>
      </w:pPr>
    </w:p>
    <w:p w14:paraId="76C6B031" w14:textId="77777777" w:rsidR="00644D92" w:rsidRDefault="00644D92" w:rsidP="004E3382">
      <w:pPr>
        <w:pStyle w:val="EndnoteText"/>
      </w:pPr>
    </w:p>
    <w:p w14:paraId="4D645902" w14:textId="77777777" w:rsidR="00644D92" w:rsidRDefault="00644D92" w:rsidP="004E3382">
      <w:pPr>
        <w:pStyle w:val="EndnoteText"/>
        <w:rPr>
          <w:b/>
          <w:bCs/>
        </w:rPr>
      </w:pPr>
    </w:p>
    <w:p w14:paraId="6CA7E87B" w14:textId="77777777" w:rsidR="00AF2BB0" w:rsidRDefault="00AF2BB0" w:rsidP="004E3382">
      <w:pPr>
        <w:pStyle w:val="EndnoteText"/>
        <w:rPr>
          <w:b/>
          <w:bCs/>
        </w:rPr>
      </w:pPr>
    </w:p>
    <w:p w14:paraId="14C32A8B" w14:textId="343B93F5" w:rsidR="00644D92" w:rsidRPr="00644D92" w:rsidRDefault="00644D92" w:rsidP="004E3382">
      <w:pPr>
        <w:pStyle w:val="EndnoteText"/>
        <w:rPr>
          <w:b/>
          <w:bCs/>
        </w:rPr>
      </w:pPr>
      <w:r w:rsidRPr="00644D92">
        <w:rPr>
          <w:b/>
          <w:bCs/>
        </w:rPr>
        <w:t>Flow Diagram E</w:t>
      </w:r>
    </w:p>
    <w:p w14:paraId="61AC2F14" w14:textId="5CA11DB8" w:rsidR="00644D92" w:rsidRDefault="00644D92" w:rsidP="004E3382">
      <w:pPr>
        <w:pStyle w:val="EndnoteText"/>
      </w:pPr>
      <w:r w:rsidRPr="00E93F9B">
        <w:rPr>
          <w:noProof/>
        </w:rPr>
        <w:drawing>
          <wp:inline distT="0" distB="0" distL="0" distR="0" wp14:anchorId="2BFE10CF" wp14:editId="33F23869">
            <wp:extent cx="6273360" cy="3496963"/>
            <wp:effectExtent l="0" t="0" r="0" b="8255"/>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pic:nvPicPr>
                  <pic:blipFill rotWithShape="1">
                    <a:blip r:embed="rId5"/>
                    <a:srcRect l="24637" t="22540" r="11534" b="14180"/>
                    <a:stretch/>
                  </pic:blipFill>
                  <pic:spPr bwMode="auto">
                    <a:xfrm>
                      <a:off x="0" y="0"/>
                      <a:ext cx="6291689" cy="3507180"/>
                    </a:xfrm>
                    <a:prstGeom prst="rect">
                      <a:avLst/>
                    </a:prstGeom>
                    <a:ln>
                      <a:noFill/>
                    </a:ln>
                    <a:extLst>
                      <a:ext uri="{53640926-AAD7-44D8-BBD7-CCE9431645EC}">
                        <a14:shadowObscured xmlns:a14="http://schemas.microsoft.com/office/drawing/2010/main"/>
                      </a:ext>
                    </a:extLst>
                  </pic:spPr>
                </pic:pic>
              </a:graphicData>
            </a:graphic>
          </wp:inline>
        </w:drawing>
      </w:r>
    </w:p>
    <w:p w14:paraId="616BA92C" w14:textId="77777777" w:rsidR="00644D92" w:rsidRDefault="00644D92" w:rsidP="004E3382">
      <w:pPr>
        <w:pStyle w:val="EndnoteText"/>
      </w:pPr>
    </w:p>
    <w:p w14:paraId="7A45D58C" w14:textId="77777777" w:rsidR="00644D92" w:rsidRPr="00644D92" w:rsidRDefault="00644D92" w:rsidP="004E3382">
      <w:pPr>
        <w:pStyle w:val="EndnoteText"/>
        <w:rPr>
          <w:b/>
          <w:bCs/>
        </w:rPr>
      </w:pPr>
      <w:r w:rsidRPr="00644D92">
        <w:rPr>
          <w:b/>
          <w:bCs/>
        </w:rPr>
        <w:t>Flow Diagram F</w:t>
      </w:r>
    </w:p>
    <w:p w14:paraId="7A03F779" w14:textId="77777777" w:rsidR="00644D92" w:rsidRDefault="00644D92" w:rsidP="004E3382">
      <w:pPr>
        <w:pStyle w:val="EndnoteText"/>
      </w:pPr>
    </w:p>
    <w:p w14:paraId="0539D226" w14:textId="77777777" w:rsidR="00644D92" w:rsidRDefault="00644D92" w:rsidP="004E3382">
      <w:pPr>
        <w:pStyle w:val="EndnoteText"/>
      </w:pPr>
    </w:p>
    <w:p w14:paraId="163FB295" w14:textId="3D515784" w:rsidR="00644D92" w:rsidRDefault="00644D92" w:rsidP="004E3382">
      <w:pPr>
        <w:pStyle w:val="EndnoteText"/>
      </w:pPr>
      <w:r w:rsidRPr="00E93F9B">
        <w:rPr>
          <w:noProof/>
        </w:rPr>
        <w:drawing>
          <wp:inline distT="0" distB="0" distL="0" distR="0" wp14:anchorId="7497294F" wp14:editId="72BDD852">
            <wp:extent cx="6139543" cy="3428147"/>
            <wp:effectExtent l="0" t="0" r="0" b="127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6"/>
                    <a:srcRect l="24368" t="22190" r="11221" b="13845"/>
                    <a:stretch/>
                  </pic:blipFill>
                  <pic:spPr bwMode="auto">
                    <a:xfrm>
                      <a:off x="0" y="0"/>
                      <a:ext cx="6153492" cy="3435936"/>
                    </a:xfrm>
                    <a:prstGeom prst="rect">
                      <a:avLst/>
                    </a:prstGeom>
                    <a:ln>
                      <a:noFill/>
                    </a:ln>
                    <a:extLst>
                      <a:ext uri="{53640926-AAD7-44D8-BBD7-CCE9431645EC}">
                        <a14:shadowObscured xmlns:a14="http://schemas.microsoft.com/office/drawing/2010/main"/>
                      </a:ext>
                    </a:extLst>
                  </pic:spPr>
                </pic:pic>
              </a:graphicData>
            </a:graphic>
          </wp:inline>
        </w:drawing>
      </w:r>
    </w:p>
    <w:p w14:paraId="24B2A924" w14:textId="77777777" w:rsidR="00644D92" w:rsidRDefault="00644D92" w:rsidP="004E3382">
      <w:pPr>
        <w:pStyle w:val="EndnoteText"/>
      </w:pPr>
    </w:p>
    <w:p w14:paraId="750F8797" w14:textId="77777777" w:rsidR="00644D92" w:rsidRDefault="00644D92" w:rsidP="004E3382">
      <w:pPr>
        <w:pStyle w:val="EndnoteText"/>
      </w:pPr>
    </w:p>
    <w:p w14:paraId="363AD9AA" w14:textId="77777777" w:rsidR="00644D92" w:rsidRDefault="00644D92" w:rsidP="004E3382">
      <w:pPr>
        <w:pStyle w:val="EndnoteText"/>
      </w:pPr>
    </w:p>
    <w:p w14:paraId="12FF8776" w14:textId="77777777" w:rsidR="00644D92" w:rsidRDefault="00644D92" w:rsidP="004E3382">
      <w:pPr>
        <w:pStyle w:val="EndnoteText"/>
      </w:pPr>
    </w:p>
    <w:p w14:paraId="3DD4B2D1" w14:textId="77777777" w:rsidR="00644D92" w:rsidRDefault="00644D92" w:rsidP="004E3382">
      <w:pPr>
        <w:pStyle w:val="EndnoteText"/>
      </w:pPr>
    </w:p>
    <w:p w14:paraId="22B5FF3B" w14:textId="77777777" w:rsidR="00644D92" w:rsidRDefault="00644D92" w:rsidP="004E3382">
      <w:pPr>
        <w:pStyle w:val="EndnoteText"/>
        <w:rPr>
          <w:b/>
          <w:bCs/>
        </w:rPr>
      </w:pPr>
    </w:p>
    <w:p w14:paraId="04DD875A" w14:textId="77777777" w:rsidR="00644D92" w:rsidRDefault="00644D92" w:rsidP="004E3382">
      <w:pPr>
        <w:pStyle w:val="EndnoteText"/>
        <w:rPr>
          <w:b/>
          <w:bCs/>
        </w:rPr>
      </w:pPr>
    </w:p>
    <w:p w14:paraId="2788FE1F" w14:textId="3B0D3601" w:rsidR="00644D92" w:rsidRPr="00644D92" w:rsidRDefault="00644D92" w:rsidP="004E3382">
      <w:pPr>
        <w:pStyle w:val="EndnoteText"/>
        <w:rPr>
          <w:b/>
          <w:bCs/>
        </w:rPr>
      </w:pPr>
      <w:r w:rsidRPr="00644D92">
        <w:rPr>
          <w:b/>
          <w:bCs/>
        </w:rPr>
        <w:t xml:space="preserve">Table 1 - Targeted Therapies - reliant upon the confirmation of a genetic diagnosis  </w:t>
      </w:r>
    </w:p>
    <w:p w14:paraId="178D9A9F" w14:textId="0C6D0D3B" w:rsidR="00644D92" w:rsidRPr="00644D92" w:rsidRDefault="00644D92" w:rsidP="004E3382">
      <w:pPr>
        <w:pStyle w:val="EndnoteText"/>
        <w:rPr>
          <w:b/>
          <w:bCs/>
        </w:rPr>
      </w:pPr>
      <w:r w:rsidRPr="00644D92">
        <w:rPr>
          <w:b/>
          <w:bCs/>
        </w:rPr>
        <w:t xml:space="preserve">                 (Sourced from Bottani et al., 2020, and Distelmaier et al., 2016)</w:t>
      </w:r>
    </w:p>
    <w:p w14:paraId="2E718CF2" w14:textId="77777777" w:rsidR="00644D92" w:rsidRDefault="00644D92" w:rsidP="004E3382">
      <w:pPr>
        <w:pStyle w:val="EndnoteText"/>
      </w:pPr>
    </w:p>
    <w:tbl>
      <w:tblPr>
        <w:tblStyle w:val="TableGrid"/>
        <w:tblW w:w="10065" w:type="dxa"/>
        <w:tblInd w:w="-431" w:type="dxa"/>
        <w:tblLook w:val="04A0" w:firstRow="1" w:lastRow="0" w:firstColumn="1" w:lastColumn="0" w:noHBand="0" w:noVBand="1"/>
      </w:tblPr>
      <w:tblGrid>
        <w:gridCol w:w="2978"/>
        <w:gridCol w:w="2693"/>
        <w:gridCol w:w="4394"/>
      </w:tblGrid>
      <w:tr w:rsidR="00644D92" w14:paraId="001D168D" w14:textId="77777777" w:rsidTr="003A650C">
        <w:trPr>
          <w:tblHeader/>
        </w:trPr>
        <w:tc>
          <w:tcPr>
            <w:tcW w:w="2978" w:type="dxa"/>
            <w:tcBorders>
              <w:top w:val="double" w:sz="4" w:space="0" w:color="auto"/>
              <w:left w:val="double" w:sz="4" w:space="0" w:color="auto"/>
              <w:bottom w:val="double" w:sz="4" w:space="0" w:color="auto"/>
            </w:tcBorders>
          </w:tcPr>
          <w:p w14:paraId="5538E8D1" w14:textId="77777777" w:rsidR="00644D92" w:rsidRPr="003C3A01" w:rsidRDefault="00644D92" w:rsidP="00AF2BB0">
            <w:pPr>
              <w:spacing w:before="60" w:after="60"/>
              <w:rPr>
                <w:b/>
                <w:bCs/>
                <w:i/>
                <w:iCs/>
              </w:rPr>
            </w:pPr>
            <w:r w:rsidRPr="003C3A01">
              <w:rPr>
                <w:b/>
                <w:bCs/>
                <w:i/>
                <w:iCs/>
              </w:rPr>
              <w:t>PHENOTYPE</w:t>
            </w:r>
          </w:p>
        </w:tc>
        <w:tc>
          <w:tcPr>
            <w:tcW w:w="2693" w:type="dxa"/>
            <w:tcBorders>
              <w:top w:val="double" w:sz="4" w:space="0" w:color="auto"/>
              <w:bottom w:val="double" w:sz="4" w:space="0" w:color="auto"/>
            </w:tcBorders>
          </w:tcPr>
          <w:p w14:paraId="03489004" w14:textId="77777777" w:rsidR="00644D92" w:rsidRPr="003C3A01" w:rsidRDefault="00644D92" w:rsidP="00AF2BB0">
            <w:pPr>
              <w:spacing w:before="60" w:after="60"/>
              <w:rPr>
                <w:b/>
                <w:bCs/>
                <w:i/>
                <w:iCs/>
              </w:rPr>
            </w:pPr>
            <w:r w:rsidRPr="003C3A01">
              <w:rPr>
                <w:b/>
                <w:bCs/>
                <w:i/>
                <w:iCs/>
              </w:rPr>
              <w:t>GENOTYPE</w:t>
            </w:r>
          </w:p>
        </w:tc>
        <w:tc>
          <w:tcPr>
            <w:tcW w:w="4394" w:type="dxa"/>
            <w:tcBorders>
              <w:top w:val="double" w:sz="4" w:space="0" w:color="auto"/>
              <w:bottom w:val="double" w:sz="4" w:space="0" w:color="auto"/>
              <w:right w:val="double" w:sz="4" w:space="0" w:color="auto"/>
            </w:tcBorders>
          </w:tcPr>
          <w:p w14:paraId="11C9A71F" w14:textId="77777777" w:rsidR="00644D92" w:rsidRPr="003C3A01" w:rsidRDefault="00644D92" w:rsidP="00AF2BB0">
            <w:pPr>
              <w:spacing w:before="60" w:after="60"/>
              <w:rPr>
                <w:b/>
                <w:bCs/>
                <w:i/>
                <w:iCs/>
              </w:rPr>
            </w:pPr>
            <w:r w:rsidRPr="003C3A01">
              <w:rPr>
                <w:b/>
                <w:bCs/>
                <w:i/>
                <w:iCs/>
              </w:rPr>
              <w:t>MANAGEMENT</w:t>
            </w:r>
          </w:p>
        </w:tc>
      </w:tr>
      <w:tr w:rsidR="00644D92" w14:paraId="7FDDE703" w14:textId="77777777" w:rsidTr="003A650C">
        <w:tc>
          <w:tcPr>
            <w:tcW w:w="2978" w:type="dxa"/>
            <w:tcBorders>
              <w:top w:val="double" w:sz="4" w:space="0" w:color="auto"/>
              <w:left w:val="double" w:sz="4" w:space="0" w:color="auto"/>
            </w:tcBorders>
          </w:tcPr>
          <w:p w14:paraId="47BE8AEF" w14:textId="16AF39E0" w:rsidR="00644D92" w:rsidRDefault="00644D92" w:rsidP="00AF2BB0">
            <w:pPr>
              <w:spacing w:before="60" w:after="60"/>
            </w:pPr>
            <w:r>
              <w:t xml:space="preserve">MELAS (mitochondrial encephalopathy, lactic-acidosis, stroke-like syndrome) </w:t>
            </w:r>
          </w:p>
          <w:p w14:paraId="76F6D1DF" w14:textId="4B22A4D5" w:rsidR="00644D92" w:rsidRDefault="00644D92" w:rsidP="00AF2BB0">
            <w:pPr>
              <w:spacing w:before="60" w:after="60"/>
            </w:pPr>
            <w:r>
              <w:t>MIDD (maternally inherited diabetes and deafness)</w:t>
            </w:r>
          </w:p>
        </w:tc>
        <w:tc>
          <w:tcPr>
            <w:tcW w:w="2693" w:type="dxa"/>
            <w:tcBorders>
              <w:top w:val="double" w:sz="4" w:space="0" w:color="auto"/>
            </w:tcBorders>
          </w:tcPr>
          <w:p w14:paraId="75DE501F" w14:textId="77777777" w:rsidR="00644D92" w:rsidRDefault="00644D92" w:rsidP="00AF2BB0">
            <w:pPr>
              <w:spacing w:before="60" w:after="60"/>
            </w:pPr>
            <w:r>
              <w:t>mtDNA: m.3243A&gt;G</w:t>
            </w:r>
          </w:p>
          <w:p w14:paraId="6CB4A414" w14:textId="77777777" w:rsidR="00644D92" w:rsidRDefault="00644D92" w:rsidP="00AF2BB0">
            <w:pPr>
              <w:spacing w:before="60" w:after="60"/>
            </w:pPr>
          </w:p>
          <w:p w14:paraId="690785FB" w14:textId="77777777" w:rsidR="00644D92" w:rsidRDefault="00644D92" w:rsidP="00AF2BB0">
            <w:pPr>
              <w:spacing w:before="60" w:after="60"/>
            </w:pPr>
          </w:p>
          <w:p w14:paraId="60ABCB9E" w14:textId="77777777" w:rsidR="00644D92" w:rsidRDefault="00644D92" w:rsidP="00AF2BB0">
            <w:pPr>
              <w:spacing w:before="60" w:after="60"/>
            </w:pPr>
          </w:p>
          <w:p w14:paraId="39AF59A5" w14:textId="77777777" w:rsidR="00644D92" w:rsidRDefault="00644D92" w:rsidP="00AF2BB0">
            <w:pPr>
              <w:spacing w:before="60" w:after="60"/>
            </w:pPr>
          </w:p>
          <w:p w14:paraId="170EE257" w14:textId="77777777" w:rsidR="00644D92" w:rsidRDefault="00644D92" w:rsidP="00AF2BB0">
            <w:pPr>
              <w:spacing w:before="60" w:after="60"/>
            </w:pPr>
          </w:p>
          <w:p w14:paraId="310DDD74" w14:textId="77777777" w:rsidR="00644D92" w:rsidRDefault="00644D92" w:rsidP="00AF2BB0">
            <w:pPr>
              <w:spacing w:before="60" w:after="60"/>
            </w:pPr>
          </w:p>
          <w:p w14:paraId="7BF5674E" w14:textId="77777777" w:rsidR="00644D92" w:rsidRDefault="00644D92" w:rsidP="00AF2BB0">
            <w:pPr>
              <w:spacing w:before="60" w:after="60"/>
            </w:pPr>
          </w:p>
          <w:p w14:paraId="10891612" w14:textId="77777777" w:rsidR="00644D92" w:rsidRDefault="00644D92" w:rsidP="00AF2BB0">
            <w:pPr>
              <w:spacing w:before="60" w:after="60"/>
            </w:pPr>
          </w:p>
          <w:p w14:paraId="76207864" w14:textId="77777777" w:rsidR="00644D92" w:rsidRDefault="00644D92" w:rsidP="00AF2BB0">
            <w:pPr>
              <w:spacing w:before="60" w:after="60"/>
            </w:pPr>
          </w:p>
          <w:p w14:paraId="56B79BF3" w14:textId="77777777" w:rsidR="00644D92" w:rsidRDefault="00644D92" w:rsidP="00AF2BB0">
            <w:pPr>
              <w:spacing w:before="60" w:after="60"/>
            </w:pPr>
          </w:p>
          <w:p w14:paraId="5CE68A6C" w14:textId="77777777" w:rsidR="00644D92" w:rsidRDefault="00644D92" w:rsidP="00AF2BB0">
            <w:pPr>
              <w:spacing w:before="60" w:after="60"/>
            </w:pPr>
          </w:p>
          <w:p w14:paraId="13594693" w14:textId="77777777" w:rsidR="00644D92" w:rsidRDefault="00644D92" w:rsidP="00AF2BB0">
            <w:pPr>
              <w:spacing w:before="60" w:after="60"/>
            </w:pPr>
          </w:p>
          <w:p w14:paraId="62F53A1C" w14:textId="77777777" w:rsidR="00644D92" w:rsidRPr="00547060" w:rsidRDefault="00644D92" w:rsidP="00AF2BB0">
            <w:pPr>
              <w:spacing w:before="60" w:after="60"/>
              <w:rPr>
                <w:sz w:val="24"/>
                <w:szCs w:val="28"/>
              </w:rPr>
            </w:pPr>
          </w:p>
          <w:p w14:paraId="74C333AA" w14:textId="77777777" w:rsidR="00644D92" w:rsidRDefault="00644D92" w:rsidP="00AF2BB0">
            <w:pPr>
              <w:spacing w:before="60" w:after="60"/>
            </w:pPr>
            <w:r>
              <w:t xml:space="preserve">nDNA: variants in </w:t>
            </w:r>
            <w:r w:rsidRPr="00CE3CAF">
              <w:t>MT-TL1</w:t>
            </w:r>
            <w:r>
              <w:t xml:space="preserve"> and</w:t>
            </w:r>
            <w:r w:rsidRPr="00CE3CAF">
              <w:t xml:space="preserve"> MT-TK</w:t>
            </w:r>
            <w:r>
              <w:t xml:space="preserve"> genes</w:t>
            </w:r>
          </w:p>
        </w:tc>
        <w:tc>
          <w:tcPr>
            <w:tcW w:w="4394" w:type="dxa"/>
            <w:tcBorders>
              <w:top w:val="double" w:sz="4" w:space="0" w:color="auto"/>
              <w:right w:val="double" w:sz="4" w:space="0" w:color="auto"/>
            </w:tcBorders>
          </w:tcPr>
          <w:p w14:paraId="7FA1E562" w14:textId="77777777" w:rsidR="00644D92" w:rsidRDefault="00644D92" w:rsidP="00AF2BB0">
            <w:pPr>
              <w:spacing w:before="60" w:after="60"/>
            </w:pPr>
            <w:r>
              <w:t>T</w:t>
            </w:r>
            <w:r w:rsidRPr="00132077">
              <w:t>reatment of acute mitochondrial stroke-like episodes with intravenous (IV) arginine hydrochloride</w:t>
            </w:r>
            <w:r>
              <w:t xml:space="preserve">, and </w:t>
            </w:r>
            <w:r w:rsidRPr="005D768E">
              <w:t>daily oral arginine to prevent strokes</w:t>
            </w:r>
            <w:r>
              <w:t>. C</w:t>
            </w:r>
            <w:r w:rsidRPr="005D768E">
              <w:t>itrulline</w:t>
            </w:r>
            <w:r>
              <w:t xml:space="preserve"> appears to be more potent, but more studies needed.</w:t>
            </w:r>
          </w:p>
          <w:p w14:paraId="00E9DEB6" w14:textId="77777777" w:rsidR="00644D92" w:rsidRDefault="00644D92" w:rsidP="00AF2BB0">
            <w:pPr>
              <w:spacing w:before="60" w:after="60"/>
            </w:pPr>
            <w:r>
              <w:t xml:space="preserve">KH176 - </w:t>
            </w:r>
            <w:r w:rsidRPr="005D768E">
              <w:t>positive effects on attention performance and measures of depression and anxiety</w:t>
            </w:r>
          </w:p>
          <w:p w14:paraId="27119435" w14:textId="77777777" w:rsidR="00644D92" w:rsidRDefault="00644D92" w:rsidP="00AF2BB0">
            <w:pPr>
              <w:spacing w:before="60" w:after="60"/>
            </w:pPr>
            <w:r>
              <w:t>Idebenone has shown to l</w:t>
            </w:r>
            <w:r w:rsidRPr="0089033E">
              <w:t>ower fatigue severity scale</w:t>
            </w:r>
            <w:r>
              <w:t xml:space="preserve"> </w:t>
            </w:r>
            <w:r w:rsidRPr="0089033E">
              <w:t>scores.</w:t>
            </w:r>
          </w:p>
          <w:p w14:paraId="686F6F8C" w14:textId="77777777" w:rsidR="00644D92" w:rsidRDefault="00644D92" w:rsidP="00AF2BB0">
            <w:pPr>
              <w:spacing w:before="60" w:after="60"/>
            </w:pPr>
            <w:r>
              <w:t>Avoidance of metronidazole is warranted to avoid sudden elevations in lactic acid, potentially inducing a stroke-like event.</w:t>
            </w:r>
          </w:p>
          <w:p w14:paraId="16173F57" w14:textId="77777777" w:rsidR="00644D92" w:rsidRDefault="00644D92" w:rsidP="00AF2BB0">
            <w:pPr>
              <w:spacing w:before="60" w:after="60"/>
            </w:pPr>
            <w:r>
              <w:t xml:space="preserve">Current pre-clinical studies on potential Glutathione treatment (A3243G &amp; A8344G variants), and clinical trials being conducted in the use of Acipimox (A3243G &amp; single large-scale deletions), Nicotinamide Riboside and </w:t>
            </w:r>
            <w:r w:rsidRPr="00547060">
              <w:t>Everolimus (</w:t>
            </w:r>
            <w:r>
              <w:t xml:space="preserve">a </w:t>
            </w:r>
            <w:r w:rsidRPr="00547060">
              <w:t>rapamycin</w:t>
            </w:r>
            <w:r>
              <w:t xml:space="preserve"> </w:t>
            </w:r>
            <w:r w:rsidRPr="00547060">
              <w:t>analogue)</w:t>
            </w:r>
            <w:r>
              <w:t>.</w:t>
            </w:r>
          </w:p>
          <w:p w14:paraId="14E5B6F0" w14:textId="77777777" w:rsidR="00644D92" w:rsidRPr="00547060" w:rsidRDefault="00644D92" w:rsidP="00AF2BB0">
            <w:pPr>
              <w:spacing w:before="60" w:after="60"/>
              <w:rPr>
                <w:sz w:val="2"/>
                <w:szCs w:val="2"/>
              </w:rPr>
            </w:pPr>
          </w:p>
          <w:p w14:paraId="4BA7CFDB" w14:textId="77777777" w:rsidR="00644D92" w:rsidRDefault="00644D92" w:rsidP="00AF2BB0">
            <w:pPr>
              <w:spacing w:before="60" w:after="60"/>
            </w:pPr>
            <w:r>
              <w:t>Pre-clinical studies are being undertaken in the use of resveratrol</w:t>
            </w:r>
          </w:p>
        </w:tc>
      </w:tr>
      <w:tr w:rsidR="00644D92" w14:paraId="02B48370" w14:textId="77777777" w:rsidTr="003A650C">
        <w:tc>
          <w:tcPr>
            <w:tcW w:w="2978" w:type="dxa"/>
            <w:tcBorders>
              <w:left w:val="double" w:sz="4" w:space="0" w:color="auto"/>
            </w:tcBorders>
          </w:tcPr>
          <w:p w14:paraId="7EF451DA" w14:textId="77777777" w:rsidR="00644D92" w:rsidRDefault="00644D92" w:rsidP="00AF2BB0">
            <w:pPr>
              <w:spacing w:before="60" w:after="60"/>
            </w:pPr>
            <w:r>
              <w:t>MNGIE  (</w:t>
            </w:r>
            <w:r w:rsidRPr="0016729B">
              <w:t>Mitochondrial Neuro-Gastro-Intestinal Encephalomyopathy</w:t>
            </w:r>
            <w:r>
              <w:t>)</w:t>
            </w:r>
          </w:p>
        </w:tc>
        <w:tc>
          <w:tcPr>
            <w:tcW w:w="2693" w:type="dxa"/>
          </w:tcPr>
          <w:p w14:paraId="7DF50A75" w14:textId="77777777" w:rsidR="00644D92" w:rsidRDefault="00644D92" w:rsidP="00AF2BB0">
            <w:pPr>
              <w:spacing w:before="60" w:after="60"/>
            </w:pPr>
            <w:r>
              <w:t>nDNA: A</w:t>
            </w:r>
            <w:r w:rsidRPr="00474C93">
              <w:t>utosomal recessive</w:t>
            </w:r>
            <w:r>
              <w:t xml:space="preserve"> variant</w:t>
            </w:r>
            <w:r w:rsidRPr="00474C93">
              <w:t>s in </w:t>
            </w:r>
            <w:r w:rsidRPr="00CC754C">
              <w:t>TYMP </w:t>
            </w:r>
            <w:r w:rsidRPr="00474C93">
              <w:t>gene</w:t>
            </w:r>
          </w:p>
        </w:tc>
        <w:tc>
          <w:tcPr>
            <w:tcW w:w="4394" w:type="dxa"/>
            <w:tcBorders>
              <w:right w:val="double" w:sz="4" w:space="0" w:color="auto"/>
            </w:tcBorders>
          </w:tcPr>
          <w:p w14:paraId="3C9F2ADB" w14:textId="77777777" w:rsidR="00644D92" w:rsidRDefault="00644D92" w:rsidP="00AF2BB0">
            <w:pPr>
              <w:spacing w:before="60" w:after="60"/>
            </w:pPr>
            <w:r>
              <w:t>A</w:t>
            </w:r>
            <w:r w:rsidRPr="00474C93">
              <w:t>llogeneic hematopoietic stem cell transplant</w:t>
            </w:r>
            <w:r>
              <w:t xml:space="preserve"> </w:t>
            </w:r>
          </w:p>
          <w:p w14:paraId="413BF33E" w14:textId="77777777" w:rsidR="00644D92" w:rsidRDefault="00644D92" w:rsidP="00AF2BB0">
            <w:pPr>
              <w:spacing w:before="60" w:after="60"/>
            </w:pPr>
            <w:r>
              <w:t xml:space="preserve">Liver transplantation, </w:t>
            </w:r>
            <w:r w:rsidRPr="00132077">
              <w:t>Erythrocyte-encapsulated thymidine phosphorylase</w:t>
            </w:r>
            <w:r>
              <w:t>,</w:t>
            </w:r>
            <w:r w:rsidRPr="00132077">
              <w:t> </w:t>
            </w:r>
            <w:r>
              <w:t>and gene therapy are also potential treatments.</w:t>
            </w:r>
          </w:p>
          <w:p w14:paraId="33EF69A4" w14:textId="77777777" w:rsidR="00644D92" w:rsidRDefault="00644D92" w:rsidP="00AF2BB0">
            <w:pPr>
              <w:spacing w:before="60" w:after="60"/>
            </w:pPr>
            <w:r>
              <w:t>Trials commencing on Enzyme Replacement Therapy - Erythrocyte Encapsulated Thymidine Phosphorylase</w:t>
            </w:r>
          </w:p>
        </w:tc>
      </w:tr>
      <w:tr w:rsidR="00644D92" w14:paraId="03A34E3E" w14:textId="77777777" w:rsidTr="003A650C">
        <w:tc>
          <w:tcPr>
            <w:tcW w:w="2978" w:type="dxa"/>
            <w:tcBorders>
              <w:left w:val="double" w:sz="4" w:space="0" w:color="auto"/>
            </w:tcBorders>
          </w:tcPr>
          <w:p w14:paraId="6222FE68" w14:textId="77777777" w:rsidR="00644D92" w:rsidRDefault="00644D92" w:rsidP="00AF2BB0">
            <w:pPr>
              <w:spacing w:before="60" w:after="60"/>
            </w:pPr>
            <w:r w:rsidRPr="003C3A01">
              <w:t>Leber hereditary optic neuropathy (LHON)</w:t>
            </w:r>
          </w:p>
        </w:tc>
        <w:tc>
          <w:tcPr>
            <w:tcW w:w="2693" w:type="dxa"/>
          </w:tcPr>
          <w:p w14:paraId="7386C7C1" w14:textId="77777777" w:rsidR="00644D92" w:rsidRDefault="00644D92" w:rsidP="00AF2BB0">
            <w:pPr>
              <w:spacing w:before="60" w:after="60"/>
            </w:pPr>
            <w:r>
              <w:t xml:space="preserve">mtDNA: </w:t>
            </w:r>
            <w:r w:rsidRPr="002E4F5C">
              <w:t>m.3460G&gt;A, m.11778G&gt;A, and m.14484T&gt;C</w:t>
            </w:r>
            <w:r>
              <w:t xml:space="preserve"> </w:t>
            </w:r>
          </w:p>
          <w:p w14:paraId="14AA1E25" w14:textId="77777777" w:rsidR="00644D92" w:rsidRDefault="00644D92" w:rsidP="00AF2BB0">
            <w:pPr>
              <w:spacing w:before="60" w:after="60"/>
            </w:pPr>
          </w:p>
          <w:p w14:paraId="5D531BA0" w14:textId="77777777" w:rsidR="00644D92" w:rsidRDefault="00644D92" w:rsidP="00AF2BB0">
            <w:pPr>
              <w:spacing w:before="60" w:after="60"/>
            </w:pPr>
          </w:p>
        </w:tc>
        <w:tc>
          <w:tcPr>
            <w:tcW w:w="4394" w:type="dxa"/>
            <w:tcBorders>
              <w:right w:val="double" w:sz="4" w:space="0" w:color="auto"/>
            </w:tcBorders>
          </w:tcPr>
          <w:p w14:paraId="5857AD14" w14:textId="77777777" w:rsidR="00644D92" w:rsidRDefault="00644D92" w:rsidP="00AF2BB0">
            <w:pPr>
              <w:spacing w:before="60" w:after="60"/>
            </w:pPr>
            <w:r>
              <w:t>I</w:t>
            </w:r>
            <w:r w:rsidRPr="002E4F5C">
              <w:t xml:space="preserve">debenone </w:t>
            </w:r>
            <w:r>
              <w:t>can</w:t>
            </w:r>
            <w:r w:rsidRPr="002E4F5C">
              <w:t xml:space="preserve"> prevent further visual loss, especially in patients with discordant vision</w:t>
            </w:r>
            <w:r>
              <w:t>. iii</w:t>
            </w:r>
          </w:p>
          <w:p w14:paraId="3697BDF2" w14:textId="77777777" w:rsidR="00644D92" w:rsidRDefault="00644D92" w:rsidP="00AF2BB0">
            <w:pPr>
              <w:spacing w:before="60" w:after="60"/>
            </w:pPr>
            <w:r>
              <w:t xml:space="preserve">Awaiting results of trials in the use of </w:t>
            </w:r>
            <w:r w:rsidRPr="005B34B0">
              <w:t>Elamipretide</w:t>
            </w:r>
          </w:p>
          <w:p w14:paraId="765EB30B" w14:textId="77777777" w:rsidR="00644D92" w:rsidRPr="00EB669D" w:rsidRDefault="00644D92" w:rsidP="00AF2BB0">
            <w:pPr>
              <w:spacing w:before="60" w:after="60"/>
            </w:pPr>
            <w:r w:rsidRPr="00EB669D">
              <w:t>Intravitreal injection of AAV vector</w:t>
            </w:r>
            <w:r>
              <w:t xml:space="preserve"> and Allotopic gene expression</w:t>
            </w:r>
            <w:r w:rsidRPr="00EB669D">
              <w:t>.</w:t>
            </w:r>
          </w:p>
          <w:p w14:paraId="2A07ADCD" w14:textId="77777777" w:rsidR="00644D92" w:rsidRDefault="00644D92" w:rsidP="00AF2BB0">
            <w:pPr>
              <w:spacing w:before="60" w:after="60"/>
            </w:pPr>
            <w:r w:rsidRPr="00EB669D">
              <w:t>Clinical studies currently active on the use of PDE5 inhibitors</w:t>
            </w:r>
            <w:r>
              <w:t>, Curcumin, EPI-743, and preclinical studies in NDI1 usage</w:t>
            </w:r>
          </w:p>
        </w:tc>
      </w:tr>
      <w:tr w:rsidR="00644D92" w14:paraId="5F25AFD7" w14:textId="77777777" w:rsidTr="003A650C">
        <w:tc>
          <w:tcPr>
            <w:tcW w:w="2978" w:type="dxa"/>
            <w:tcBorders>
              <w:left w:val="double" w:sz="4" w:space="0" w:color="auto"/>
            </w:tcBorders>
          </w:tcPr>
          <w:p w14:paraId="2AFD5FEA" w14:textId="77777777" w:rsidR="00644D92" w:rsidRPr="003C3A01" w:rsidRDefault="00644D92" w:rsidP="00AF2BB0">
            <w:pPr>
              <w:spacing w:before="60" w:after="60"/>
            </w:pPr>
            <w:r>
              <w:t>Dominant Optic Atrophy</w:t>
            </w:r>
          </w:p>
        </w:tc>
        <w:tc>
          <w:tcPr>
            <w:tcW w:w="2693" w:type="dxa"/>
          </w:tcPr>
          <w:p w14:paraId="5555611C" w14:textId="77777777" w:rsidR="00644D92" w:rsidRPr="002E4F5C" w:rsidRDefault="00644D92" w:rsidP="00AF2BB0">
            <w:pPr>
              <w:spacing w:before="60" w:after="60"/>
            </w:pPr>
            <w:r>
              <w:t xml:space="preserve">nDNA: OPA 1 </w:t>
            </w:r>
          </w:p>
        </w:tc>
        <w:tc>
          <w:tcPr>
            <w:tcW w:w="4394" w:type="dxa"/>
            <w:tcBorders>
              <w:right w:val="double" w:sz="4" w:space="0" w:color="auto"/>
            </w:tcBorders>
          </w:tcPr>
          <w:p w14:paraId="477B457D" w14:textId="77777777" w:rsidR="00644D92" w:rsidRDefault="00644D92" w:rsidP="00AF2BB0">
            <w:pPr>
              <w:spacing w:before="60" w:after="60"/>
            </w:pPr>
            <w:r>
              <w:t>Current trials involving the use of Idebenone</w:t>
            </w:r>
          </w:p>
        </w:tc>
      </w:tr>
      <w:tr w:rsidR="00644D92" w14:paraId="0BEF5248" w14:textId="77777777" w:rsidTr="003A650C">
        <w:tc>
          <w:tcPr>
            <w:tcW w:w="2978" w:type="dxa"/>
            <w:tcBorders>
              <w:left w:val="double" w:sz="4" w:space="0" w:color="auto"/>
            </w:tcBorders>
          </w:tcPr>
          <w:p w14:paraId="43D7A65E" w14:textId="77777777" w:rsidR="00644D92" w:rsidRDefault="00644D92" w:rsidP="00AF2BB0">
            <w:pPr>
              <w:spacing w:before="60" w:after="60"/>
            </w:pPr>
            <w:r w:rsidRPr="002E4F5C">
              <w:t>Thiamine transporter-2 deficiency</w:t>
            </w:r>
          </w:p>
          <w:p w14:paraId="43164721" w14:textId="77777777" w:rsidR="00644D92" w:rsidRDefault="00644D92" w:rsidP="00AF2BB0">
            <w:pPr>
              <w:spacing w:before="60" w:after="60"/>
            </w:pPr>
            <w:r>
              <w:t>(</w:t>
            </w:r>
            <w:r w:rsidRPr="004E50A1">
              <w:t>Biotin-thiamine-responsive basal ganglia disease</w:t>
            </w:r>
            <w:r>
              <w:t>)</w:t>
            </w:r>
          </w:p>
        </w:tc>
        <w:tc>
          <w:tcPr>
            <w:tcW w:w="2693" w:type="dxa"/>
          </w:tcPr>
          <w:p w14:paraId="48B394CE" w14:textId="77777777" w:rsidR="00644D92" w:rsidRDefault="00644D92" w:rsidP="00AF2BB0">
            <w:pPr>
              <w:spacing w:before="60" w:after="60"/>
            </w:pPr>
            <w:r>
              <w:t xml:space="preserve">nDNA: </w:t>
            </w:r>
            <w:r w:rsidRPr="002E4F5C">
              <w:t>SLC19A3</w:t>
            </w:r>
          </w:p>
        </w:tc>
        <w:tc>
          <w:tcPr>
            <w:tcW w:w="4394" w:type="dxa"/>
            <w:tcBorders>
              <w:right w:val="double" w:sz="4" w:space="0" w:color="auto"/>
            </w:tcBorders>
          </w:tcPr>
          <w:p w14:paraId="2C60782E" w14:textId="77777777" w:rsidR="00644D92" w:rsidRDefault="00644D92" w:rsidP="00AF2BB0">
            <w:pPr>
              <w:spacing w:before="60" w:after="60"/>
            </w:pPr>
            <w:r>
              <w:t>T</w:t>
            </w:r>
            <w:r w:rsidRPr="00F6546E">
              <w:t>hiamine (20–40 mg/kg</w:t>
            </w:r>
            <w:r>
              <w:t xml:space="preserve"> daily</w:t>
            </w:r>
            <w:r w:rsidRPr="00F6546E">
              <w:t xml:space="preserve">) and biotin (15 mg/kg </w:t>
            </w:r>
            <w:r>
              <w:t>daily</w:t>
            </w:r>
            <w:r w:rsidRPr="00F6546E">
              <w:t xml:space="preserve">) greatly improves </w:t>
            </w:r>
            <w:r>
              <w:t>patients’</w:t>
            </w:r>
            <w:r w:rsidRPr="00F6546E">
              <w:t xml:space="preserve"> clinical condition prevent</w:t>
            </w:r>
            <w:r>
              <w:t>ing</w:t>
            </w:r>
            <w:r w:rsidRPr="00F6546E">
              <w:t xml:space="preserve"> further episodes</w:t>
            </w:r>
            <w:r>
              <w:t xml:space="preserve"> </w:t>
            </w:r>
            <w:r w:rsidRPr="00F6546E">
              <w:t>with metabolic decompensation</w:t>
            </w:r>
            <w:r>
              <w:t>, and</w:t>
            </w:r>
            <w:r w:rsidRPr="002E4F5C">
              <w:t xml:space="preserve"> improvement of neurological and biochemical abnormalities of this disease </w:t>
            </w:r>
          </w:p>
        </w:tc>
      </w:tr>
      <w:tr w:rsidR="00644D92" w14:paraId="00DCBEC8" w14:textId="77777777" w:rsidTr="003A650C">
        <w:tc>
          <w:tcPr>
            <w:tcW w:w="2978" w:type="dxa"/>
            <w:tcBorders>
              <w:left w:val="double" w:sz="4" w:space="0" w:color="auto"/>
            </w:tcBorders>
          </w:tcPr>
          <w:p w14:paraId="77345843" w14:textId="77777777" w:rsidR="00644D92" w:rsidRPr="002E4F5C" w:rsidRDefault="00644D92" w:rsidP="00AF2BB0">
            <w:pPr>
              <w:spacing w:before="60" w:after="60"/>
            </w:pPr>
            <w:r>
              <w:t>Mitochondrial Complex I deficiency</w:t>
            </w:r>
          </w:p>
        </w:tc>
        <w:tc>
          <w:tcPr>
            <w:tcW w:w="2693" w:type="dxa"/>
          </w:tcPr>
          <w:p w14:paraId="2E2B06D1" w14:textId="77777777" w:rsidR="00644D92" w:rsidRPr="002E4F5C" w:rsidRDefault="00644D92" w:rsidP="00AF2BB0">
            <w:pPr>
              <w:spacing w:before="60" w:after="60"/>
            </w:pPr>
            <w:r>
              <w:t xml:space="preserve">nDNA: Especially </w:t>
            </w:r>
            <w:r w:rsidRPr="00E57400">
              <w:t>ACAD9</w:t>
            </w:r>
            <w:r w:rsidRPr="00E57400">
              <w:rPr>
                <w:i/>
                <w:iCs/>
              </w:rPr>
              <w:t xml:space="preserve"> </w:t>
            </w:r>
            <w:r w:rsidRPr="004E50A1">
              <w:t>var</w:t>
            </w:r>
            <w:r>
              <w:t>i</w:t>
            </w:r>
            <w:r w:rsidRPr="004E50A1">
              <w:t>ants (</w:t>
            </w:r>
            <w:r>
              <w:t>e.g., ACAD9 deficiency</w:t>
            </w:r>
            <w:r w:rsidRPr="004E50A1">
              <w:t>)</w:t>
            </w:r>
          </w:p>
        </w:tc>
        <w:tc>
          <w:tcPr>
            <w:tcW w:w="4394" w:type="dxa"/>
            <w:tcBorders>
              <w:right w:val="double" w:sz="4" w:space="0" w:color="auto"/>
            </w:tcBorders>
          </w:tcPr>
          <w:p w14:paraId="43B138CC" w14:textId="77777777" w:rsidR="00644D92" w:rsidRDefault="00644D92" w:rsidP="00AF2BB0">
            <w:pPr>
              <w:spacing w:before="60" w:after="60"/>
            </w:pPr>
            <w:r>
              <w:t>Particularly benefit from</w:t>
            </w:r>
            <w:r w:rsidRPr="004E50A1">
              <w:t xml:space="preserve"> Riboflavin orally at 10-20mg/kg daily</w:t>
            </w:r>
            <w:r>
              <w:t xml:space="preserve">. </w:t>
            </w:r>
            <w:r w:rsidRPr="00662A68">
              <w:rPr>
                <w:rFonts w:ascii="URWPalladioL-Roma" w:hAnsi="URWPalladioL-Roma" w:cs="URWPalladioL-Roma"/>
                <w:sz w:val="16"/>
                <w:szCs w:val="16"/>
              </w:rPr>
              <w:t xml:space="preserve"> </w:t>
            </w:r>
            <w:r w:rsidRPr="00662A68">
              <w:t>JP4-039</w:t>
            </w:r>
            <w:r>
              <w:t xml:space="preserve"> is also under investigation. </w:t>
            </w:r>
          </w:p>
        </w:tc>
      </w:tr>
      <w:tr w:rsidR="00644D92" w14:paraId="4777B694" w14:textId="77777777" w:rsidTr="003A650C">
        <w:tc>
          <w:tcPr>
            <w:tcW w:w="2978" w:type="dxa"/>
            <w:tcBorders>
              <w:top w:val="single" w:sz="4" w:space="0" w:color="auto"/>
              <w:left w:val="double" w:sz="4" w:space="0" w:color="auto"/>
            </w:tcBorders>
          </w:tcPr>
          <w:p w14:paraId="2F8FBBE0" w14:textId="77777777" w:rsidR="00644D92" w:rsidRDefault="00644D92" w:rsidP="00AF2BB0">
            <w:pPr>
              <w:spacing w:before="60" w:after="60"/>
            </w:pPr>
            <w:r>
              <w:t>Pearson’s Disease</w:t>
            </w:r>
          </w:p>
        </w:tc>
        <w:tc>
          <w:tcPr>
            <w:tcW w:w="2693" w:type="dxa"/>
            <w:tcBorders>
              <w:top w:val="single" w:sz="4" w:space="0" w:color="auto"/>
            </w:tcBorders>
          </w:tcPr>
          <w:p w14:paraId="38274337" w14:textId="77777777" w:rsidR="00644D92" w:rsidRDefault="00644D92" w:rsidP="00AF2BB0">
            <w:pPr>
              <w:spacing w:before="60" w:after="60"/>
            </w:pPr>
            <w:r>
              <w:t>mtDNA: S</w:t>
            </w:r>
            <w:r w:rsidRPr="00396A7F">
              <w:t>pecific mtDNA deletion includes deletion of the complete genes for ATPases 6 and 8, cytochrome c oxidase III, and NADH dehydrogenase 3, 4, 4L, and 5</w:t>
            </w:r>
          </w:p>
        </w:tc>
        <w:tc>
          <w:tcPr>
            <w:tcW w:w="4394" w:type="dxa"/>
            <w:tcBorders>
              <w:top w:val="single" w:sz="4" w:space="0" w:color="auto"/>
              <w:right w:val="double" w:sz="4" w:space="0" w:color="auto"/>
            </w:tcBorders>
          </w:tcPr>
          <w:p w14:paraId="554A54DB" w14:textId="77777777" w:rsidR="00644D92" w:rsidRDefault="00644D92" w:rsidP="00AF2BB0">
            <w:pPr>
              <w:spacing w:before="60" w:after="60"/>
            </w:pPr>
            <w:r w:rsidRPr="00EC5251">
              <w:t>Supportive therapy includes pancreatic enzyme</w:t>
            </w:r>
            <w:r>
              <w:t xml:space="preserve"> </w:t>
            </w:r>
            <w:r w:rsidRPr="00EC5251">
              <w:t>replacement, blood transfusions, as well as</w:t>
            </w:r>
            <w:r>
              <w:t xml:space="preserve"> </w:t>
            </w:r>
            <w:r w:rsidRPr="00EC5251">
              <w:t>granulocyte-colony-stimulating factor application.</w:t>
            </w:r>
          </w:p>
          <w:p w14:paraId="1FA63CD0" w14:textId="77777777" w:rsidR="00644D92" w:rsidRDefault="00644D92" w:rsidP="00AF2BB0">
            <w:pPr>
              <w:spacing w:before="60" w:after="60"/>
            </w:pPr>
            <w:r>
              <w:t xml:space="preserve">Clinical trials commencing (by appointment only) in respect to </w:t>
            </w:r>
            <w:r w:rsidRPr="0071399F">
              <w:t>transplantation of MNV-BM-BLD (autologous cd34+ cells enriched with blood derived mitochondria) in p</w:t>
            </w:r>
            <w:r>
              <w:t>a</w:t>
            </w:r>
            <w:r w:rsidRPr="0071399F">
              <w:t>ediatric patients</w:t>
            </w:r>
          </w:p>
        </w:tc>
      </w:tr>
      <w:tr w:rsidR="00644D92" w14:paraId="71D986D6" w14:textId="77777777" w:rsidTr="003A650C">
        <w:trPr>
          <w:trHeight w:val="498"/>
        </w:trPr>
        <w:tc>
          <w:tcPr>
            <w:tcW w:w="2978" w:type="dxa"/>
            <w:vMerge w:val="restart"/>
            <w:tcBorders>
              <w:left w:val="double" w:sz="4" w:space="0" w:color="auto"/>
            </w:tcBorders>
          </w:tcPr>
          <w:p w14:paraId="56A41C63" w14:textId="77777777" w:rsidR="00644D92" w:rsidRDefault="00644D92" w:rsidP="00AF2BB0">
            <w:pPr>
              <w:spacing w:before="60" w:after="60"/>
            </w:pPr>
            <w:r>
              <w:t>Mitochondrial Disorders presenting with liver failure</w:t>
            </w:r>
          </w:p>
        </w:tc>
        <w:tc>
          <w:tcPr>
            <w:tcW w:w="2693" w:type="dxa"/>
          </w:tcPr>
          <w:p w14:paraId="70E1ECE3" w14:textId="77777777" w:rsidR="00644D92" w:rsidRDefault="00644D92" w:rsidP="00AF2BB0">
            <w:pPr>
              <w:spacing w:before="60" w:after="60"/>
            </w:pPr>
            <w:r>
              <w:t xml:space="preserve">nDNA: </w:t>
            </w:r>
            <w:r w:rsidRPr="00EC5251">
              <w:t>DGUOK, MPV17, SUCLG1, POLG1</w:t>
            </w:r>
          </w:p>
        </w:tc>
        <w:tc>
          <w:tcPr>
            <w:tcW w:w="4394" w:type="dxa"/>
            <w:tcBorders>
              <w:right w:val="double" w:sz="4" w:space="0" w:color="auto"/>
            </w:tcBorders>
          </w:tcPr>
          <w:p w14:paraId="2649A206" w14:textId="77777777" w:rsidR="00644D92" w:rsidRPr="00EC5251" w:rsidRDefault="00644D92" w:rsidP="00AF2BB0">
            <w:pPr>
              <w:spacing w:before="60" w:after="60"/>
            </w:pPr>
            <w:r>
              <w:t>Supportive management includes supplementation of vitamin K, administration of fresh frozen plasma, and treatment of hypoglycaemia</w:t>
            </w:r>
          </w:p>
        </w:tc>
      </w:tr>
      <w:tr w:rsidR="00644D92" w14:paraId="16C8851A" w14:textId="77777777" w:rsidTr="003A650C">
        <w:trPr>
          <w:trHeight w:val="498"/>
        </w:trPr>
        <w:tc>
          <w:tcPr>
            <w:tcW w:w="2978" w:type="dxa"/>
            <w:vMerge/>
            <w:tcBorders>
              <w:left w:val="double" w:sz="4" w:space="0" w:color="auto"/>
            </w:tcBorders>
          </w:tcPr>
          <w:p w14:paraId="4116A499" w14:textId="77777777" w:rsidR="00644D92" w:rsidRDefault="00644D92" w:rsidP="00AF2BB0">
            <w:pPr>
              <w:spacing w:before="60" w:after="60"/>
            </w:pPr>
          </w:p>
        </w:tc>
        <w:tc>
          <w:tcPr>
            <w:tcW w:w="2693" w:type="dxa"/>
          </w:tcPr>
          <w:p w14:paraId="1CB547F1" w14:textId="77777777" w:rsidR="00644D92" w:rsidRPr="00EC5251" w:rsidRDefault="00644D92" w:rsidP="00AF2BB0">
            <w:pPr>
              <w:spacing w:before="60" w:after="60"/>
            </w:pPr>
            <w:r>
              <w:t xml:space="preserve">nDNA: </w:t>
            </w:r>
            <w:r w:rsidRPr="00EC5251">
              <w:t>TRMU</w:t>
            </w:r>
          </w:p>
        </w:tc>
        <w:tc>
          <w:tcPr>
            <w:tcW w:w="4394" w:type="dxa"/>
            <w:tcBorders>
              <w:right w:val="double" w:sz="4" w:space="0" w:color="auto"/>
            </w:tcBorders>
          </w:tcPr>
          <w:p w14:paraId="7195B187" w14:textId="77777777" w:rsidR="00644D92" w:rsidRDefault="00644D92" w:rsidP="00AF2BB0">
            <w:pPr>
              <w:spacing w:before="60" w:after="60"/>
            </w:pPr>
            <w:r>
              <w:t>Can cause transient hepatic problems, which resolve spontaneously after the first year of life. So, in the absence of neurological impairment, liver transplantation may be warranted when liver failure is severe</w:t>
            </w:r>
          </w:p>
        </w:tc>
      </w:tr>
      <w:tr w:rsidR="00644D92" w14:paraId="6525DDD6" w14:textId="77777777" w:rsidTr="003A650C">
        <w:trPr>
          <w:trHeight w:val="498"/>
        </w:trPr>
        <w:tc>
          <w:tcPr>
            <w:tcW w:w="2978" w:type="dxa"/>
            <w:tcBorders>
              <w:left w:val="double" w:sz="4" w:space="0" w:color="auto"/>
            </w:tcBorders>
          </w:tcPr>
          <w:p w14:paraId="25A6F011" w14:textId="77777777" w:rsidR="00644D92" w:rsidRDefault="00644D92" w:rsidP="00AF2BB0">
            <w:pPr>
              <w:spacing w:before="60" w:after="60"/>
            </w:pPr>
            <w:r>
              <w:t>Hearing loss</w:t>
            </w:r>
          </w:p>
        </w:tc>
        <w:tc>
          <w:tcPr>
            <w:tcW w:w="2693" w:type="dxa"/>
          </w:tcPr>
          <w:p w14:paraId="105489CE" w14:textId="77777777" w:rsidR="00644D92" w:rsidRPr="00EC5251" w:rsidRDefault="00644D92" w:rsidP="00AF2BB0">
            <w:pPr>
              <w:spacing w:before="60" w:after="60"/>
            </w:pPr>
            <w:r>
              <w:t xml:space="preserve">mtDNA: Especially in </w:t>
            </w:r>
            <w:r w:rsidRPr="00123E39">
              <w:t>m.1555A&gt;G</w:t>
            </w:r>
            <w:r>
              <w:t xml:space="preserve">, and </w:t>
            </w:r>
            <w:r w:rsidRPr="00123E39">
              <w:t>m.1494C&gt;T</w:t>
            </w:r>
            <w:r>
              <w:t xml:space="preserve"> mutations</w:t>
            </w:r>
          </w:p>
        </w:tc>
        <w:tc>
          <w:tcPr>
            <w:tcW w:w="4394" w:type="dxa"/>
            <w:tcBorders>
              <w:right w:val="double" w:sz="4" w:space="0" w:color="auto"/>
            </w:tcBorders>
          </w:tcPr>
          <w:p w14:paraId="16375E35" w14:textId="77777777" w:rsidR="00644D92" w:rsidRDefault="00644D92" w:rsidP="00AF2BB0">
            <w:pPr>
              <w:spacing w:before="60" w:after="60"/>
            </w:pPr>
            <w:r>
              <w:t>There is an i</w:t>
            </w:r>
            <w:r w:rsidRPr="00123E39">
              <w:t>ncreased susceptibility to aminoglycoside-induced</w:t>
            </w:r>
            <w:r>
              <w:t xml:space="preserve"> </w:t>
            </w:r>
            <w:r w:rsidRPr="00123E39">
              <w:t>ototoxicity</w:t>
            </w:r>
            <w:r>
              <w:t>, so caution must be adhered to in their use</w:t>
            </w:r>
            <w:r w:rsidRPr="00123E39">
              <w:t>.</w:t>
            </w:r>
          </w:p>
        </w:tc>
      </w:tr>
      <w:tr w:rsidR="00644D92" w14:paraId="1F5CAC17" w14:textId="77777777" w:rsidTr="003A650C">
        <w:tc>
          <w:tcPr>
            <w:tcW w:w="2978" w:type="dxa"/>
            <w:tcBorders>
              <w:left w:val="double" w:sz="4" w:space="0" w:color="auto"/>
            </w:tcBorders>
          </w:tcPr>
          <w:p w14:paraId="78BC38A0" w14:textId="77777777" w:rsidR="00644D92" w:rsidRDefault="00644D92" w:rsidP="00AF2BB0">
            <w:pPr>
              <w:spacing w:before="60" w:after="60"/>
            </w:pPr>
            <w:r>
              <w:t>P</w:t>
            </w:r>
            <w:r w:rsidRPr="00474C93">
              <w:t>yruvate dehydrogenase deficiency</w:t>
            </w:r>
            <w:r>
              <w:t xml:space="preserve"> </w:t>
            </w:r>
          </w:p>
          <w:p w14:paraId="67D542D1" w14:textId="77777777" w:rsidR="00644D92" w:rsidRDefault="00644D92" w:rsidP="00AF2BB0">
            <w:pPr>
              <w:spacing w:before="60" w:after="60"/>
            </w:pPr>
          </w:p>
          <w:p w14:paraId="7B712CF4" w14:textId="77777777" w:rsidR="00644D92" w:rsidRDefault="00644D92" w:rsidP="00AF2BB0">
            <w:pPr>
              <w:spacing w:before="60" w:after="60"/>
            </w:pPr>
          </w:p>
          <w:p w14:paraId="3FD69576" w14:textId="77777777" w:rsidR="00644D92" w:rsidRDefault="00644D92" w:rsidP="00AF2BB0">
            <w:pPr>
              <w:spacing w:before="60" w:after="60"/>
            </w:pPr>
            <w:r>
              <w:t>e.g.,</w:t>
            </w:r>
            <w:r w:rsidRPr="004A5C3C">
              <w:t xml:space="preserve"> Thiamine-responsive pyruvate dehydrogenase deficiency</w:t>
            </w:r>
            <w:r>
              <w:t xml:space="preserve"> </w:t>
            </w:r>
            <w:r w:rsidRPr="00474C93">
              <w:t>.</w:t>
            </w:r>
          </w:p>
        </w:tc>
        <w:tc>
          <w:tcPr>
            <w:tcW w:w="2693" w:type="dxa"/>
          </w:tcPr>
          <w:p w14:paraId="26309D6B" w14:textId="77777777" w:rsidR="00644D92" w:rsidRDefault="00644D92" w:rsidP="00AF2BB0">
            <w:pPr>
              <w:spacing w:before="60" w:after="60"/>
            </w:pPr>
            <w:r>
              <w:rPr>
                <w:iCs/>
              </w:rPr>
              <w:t xml:space="preserve">nDNA: </w:t>
            </w:r>
            <w:r w:rsidRPr="003134CB">
              <w:rPr>
                <w:i/>
                <w:iCs/>
              </w:rPr>
              <w:t>PC</w:t>
            </w:r>
            <w:r w:rsidRPr="003134CB">
              <w:t> pathogenic variants </w:t>
            </w:r>
          </w:p>
          <w:p w14:paraId="3213EBA3" w14:textId="77777777" w:rsidR="00644D92" w:rsidRDefault="00644D92" w:rsidP="00AF2BB0">
            <w:pPr>
              <w:spacing w:before="60" w:after="60"/>
            </w:pPr>
          </w:p>
          <w:p w14:paraId="414396EB" w14:textId="77777777" w:rsidR="00644D92" w:rsidRDefault="00644D92" w:rsidP="00AF2BB0">
            <w:pPr>
              <w:spacing w:before="60" w:after="60"/>
            </w:pPr>
          </w:p>
          <w:p w14:paraId="590192E1" w14:textId="77777777" w:rsidR="00644D92" w:rsidRDefault="00644D92" w:rsidP="00AF2BB0">
            <w:pPr>
              <w:spacing w:before="60" w:after="60"/>
            </w:pPr>
          </w:p>
          <w:p w14:paraId="2C6CB5F4" w14:textId="77777777" w:rsidR="00644D92" w:rsidRDefault="00644D92" w:rsidP="00AF2BB0">
            <w:pPr>
              <w:spacing w:before="60" w:after="60"/>
            </w:pPr>
            <w:r>
              <w:t>nDNA: PDHA1</w:t>
            </w:r>
          </w:p>
        </w:tc>
        <w:tc>
          <w:tcPr>
            <w:tcW w:w="4394" w:type="dxa"/>
            <w:tcBorders>
              <w:right w:val="double" w:sz="4" w:space="0" w:color="auto"/>
            </w:tcBorders>
          </w:tcPr>
          <w:p w14:paraId="618D20EA" w14:textId="77777777" w:rsidR="00644D92" w:rsidRDefault="00644D92" w:rsidP="00AF2BB0">
            <w:pPr>
              <w:spacing w:before="60" w:after="60"/>
            </w:pPr>
            <w:r w:rsidRPr="00474C93">
              <w:t>Ketogenic diet</w:t>
            </w:r>
            <w:r>
              <w:t xml:space="preserve"> has been shown to </w:t>
            </w:r>
            <w:r w:rsidRPr="00A67D4E">
              <w:t>increase longevity</w:t>
            </w:r>
            <w:r>
              <w:t xml:space="preserve"> </w:t>
            </w:r>
            <w:r w:rsidRPr="00A67D4E">
              <w:t>and improve mental development.</w:t>
            </w:r>
          </w:p>
          <w:p w14:paraId="7E349196" w14:textId="77777777" w:rsidR="00644D92" w:rsidRDefault="00644D92" w:rsidP="00AF2BB0">
            <w:pPr>
              <w:spacing w:before="60" w:after="60"/>
            </w:pPr>
            <w:r>
              <w:t xml:space="preserve">Recruiting for trials in </w:t>
            </w:r>
            <w:r w:rsidRPr="0041384E">
              <w:t>Sodium Phenylbutyrate</w:t>
            </w:r>
            <w:r>
              <w:t xml:space="preserve"> and dichloroacetate</w:t>
            </w:r>
          </w:p>
          <w:p w14:paraId="41C22CDD" w14:textId="77777777" w:rsidR="00644D92" w:rsidRPr="0041384E" w:rsidRDefault="00644D92" w:rsidP="00AF2BB0">
            <w:pPr>
              <w:spacing w:before="60" w:after="60"/>
              <w:rPr>
                <w:sz w:val="4"/>
                <w:szCs w:val="6"/>
              </w:rPr>
            </w:pPr>
          </w:p>
          <w:p w14:paraId="51400069" w14:textId="77777777" w:rsidR="00644D92" w:rsidRDefault="00644D92" w:rsidP="00AF2BB0">
            <w:pPr>
              <w:spacing w:before="60" w:after="60"/>
            </w:pPr>
            <w:r w:rsidRPr="004A5C3C">
              <w:t>Variable but possible response to Thiamine orally at 30-40mg/kg daily</w:t>
            </w:r>
          </w:p>
        </w:tc>
      </w:tr>
      <w:tr w:rsidR="00644D92" w14:paraId="7C1B5348" w14:textId="77777777" w:rsidTr="003A650C">
        <w:tc>
          <w:tcPr>
            <w:tcW w:w="2978" w:type="dxa"/>
            <w:tcBorders>
              <w:left w:val="double" w:sz="4" w:space="0" w:color="auto"/>
            </w:tcBorders>
          </w:tcPr>
          <w:p w14:paraId="4142B011" w14:textId="77777777" w:rsidR="00644D92" w:rsidRDefault="00644D92" w:rsidP="00AF2BB0">
            <w:pPr>
              <w:spacing w:before="60" w:after="60"/>
            </w:pPr>
            <w:r>
              <w:t>Coenzyme Q10 deficiency</w:t>
            </w:r>
          </w:p>
        </w:tc>
        <w:tc>
          <w:tcPr>
            <w:tcW w:w="2693" w:type="dxa"/>
          </w:tcPr>
          <w:p w14:paraId="3669617B" w14:textId="77777777" w:rsidR="00644D92" w:rsidRPr="00633540" w:rsidRDefault="00644D92" w:rsidP="00AF2BB0">
            <w:pPr>
              <w:spacing w:before="60" w:after="60"/>
            </w:pPr>
            <w:r>
              <w:t>nDNA: variation</w:t>
            </w:r>
            <w:r w:rsidRPr="00633540">
              <w:t>s in PDSS1, PDSS2, COQ2, COQ4, COQ6, ADCK3, ADCK4, and COQ9</w:t>
            </w:r>
          </w:p>
        </w:tc>
        <w:tc>
          <w:tcPr>
            <w:tcW w:w="4394" w:type="dxa"/>
            <w:tcBorders>
              <w:right w:val="double" w:sz="4" w:space="0" w:color="auto"/>
            </w:tcBorders>
          </w:tcPr>
          <w:p w14:paraId="03CD7558" w14:textId="77777777" w:rsidR="00644D92" w:rsidRPr="00474C93" w:rsidRDefault="00644D92" w:rsidP="00AF2BB0">
            <w:pPr>
              <w:spacing w:before="60" w:after="60"/>
            </w:pPr>
            <w:r w:rsidRPr="00BF7F6F">
              <w:t>Excellent to highly variable response to oral CoQ10 orally at 10-30mg/kg daily, depending on the underlying defect</w:t>
            </w:r>
          </w:p>
        </w:tc>
      </w:tr>
      <w:tr w:rsidR="00644D92" w14:paraId="6FC0F028" w14:textId="77777777" w:rsidTr="003A650C">
        <w:tc>
          <w:tcPr>
            <w:tcW w:w="2978" w:type="dxa"/>
            <w:tcBorders>
              <w:left w:val="double" w:sz="4" w:space="0" w:color="auto"/>
            </w:tcBorders>
          </w:tcPr>
          <w:p w14:paraId="3F56F8B4" w14:textId="77777777" w:rsidR="00644D92" w:rsidRPr="00EC0147" w:rsidRDefault="00644D92" w:rsidP="00AF2BB0">
            <w:pPr>
              <w:spacing w:before="60" w:after="60"/>
            </w:pPr>
            <w:r w:rsidRPr="00EC0147">
              <w:t>mtDNA variants</w:t>
            </w:r>
          </w:p>
        </w:tc>
        <w:tc>
          <w:tcPr>
            <w:tcW w:w="2693" w:type="dxa"/>
          </w:tcPr>
          <w:p w14:paraId="068FDB80" w14:textId="77777777" w:rsidR="00644D92" w:rsidRPr="00322B95" w:rsidRDefault="00644D92" w:rsidP="00AF2BB0">
            <w:pPr>
              <w:spacing w:before="60" w:after="60"/>
            </w:pPr>
            <w:r w:rsidRPr="00322B95">
              <w:t>mtDNA variants</w:t>
            </w:r>
          </w:p>
        </w:tc>
        <w:tc>
          <w:tcPr>
            <w:tcW w:w="4394" w:type="dxa"/>
            <w:tcBorders>
              <w:right w:val="double" w:sz="4" w:space="0" w:color="auto"/>
            </w:tcBorders>
          </w:tcPr>
          <w:p w14:paraId="57E46343" w14:textId="77777777" w:rsidR="00644D92" w:rsidRPr="00322B95" w:rsidRDefault="00644D92" w:rsidP="00AF2BB0">
            <w:pPr>
              <w:spacing w:before="60" w:after="60"/>
            </w:pPr>
            <w:r w:rsidRPr="00322B95">
              <w:t>Replacement of mutant mtDNA in oocytes or single-cell embryos by mitochondrial replacement therapy to prevent their  transmission</w:t>
            </w:r>
            <w:r>
              <w:t xml:space="preserve"> (legislation changes for approval currently under review)</w:t>
            </w:r>
          </w:p>
        </w:tc>
      </w:tr>
      <w:tr w:rsidR="00644D92" w14:paraId="5E2F245A" w14:textId="77777777" w:rsidTr="003A650C">
        <w:tc>
          <w:tcPr>
            <w:tcW w:w="2978" w:type="dxa"/>
            <w:tcBorders>
              <w:left w:val="double" w:sz="4" w:space="0" w:color="auto"/>
            </w:tcBorders>
          </w:tcPr>
          <w:p w14:paraId="57CA212C" w14:textId="77777777" w:rsidR="00644D92" w:rsidRPr="00EC0147" w:rsidRDefault="00644D92" w:rsidP="00AF2BB0">
            <w:pPr>
              <w:spacing w:before="60" w:after="60"/>
            </w:pPr>
            <w:r w:rsidRPr="00EC0147">
              <w:t>nDNA variants</w:t>
            </w:r>
          </w:p>
        </w:tc>
        <w:tc>
          <w:tcPr>
            <w:tcW w:w="2693" w:type="dxa"/>
          </w:tcPr>
          <w:p w14:paraId="00676B88" w14:textId="77777777" w:rsidR="00644D92" w:rsidRPr="00322B95" w:rsidRDefault="00644D92" w:rsidP="00AF2BB0">
            <w:pPr>
              <w:spacing w:before="60" w:after="60"/>
            </w:pPr>
            <w:r w:rsidRPr="00322B95">
              <w:t>nDNA variants</w:t>
            </w:r>
          </w:p>
        </w:tc>
        <w:tc>
          <w:tcPr>
            <w:tcW w:w="4394" w:type="dxa"/>
            <w:tcBorders>
              <w:right w:val="double" w:sz="4" w:space="0" w:color="auto"/>
            </w:tcBorders>
          </w:tcPr>
          <w:p w14:paraId="1A94EC04" w14:textId="30B3E78B" w:rsidR="00644D92" w:rsidRPr="00322B95" w:rsidRDefault="00644D92" w:rsidP="00AF2BB0">
            <w:pPr>
              <w:spacing w:before="60" w:after="60"/>
            </w:pPr>
            <w:r w:rsidRPr="00322B95">
              <w:t xml:space="preserve">Preventive therapy </w:t>
            </w:r>
            <w:r>
              <w:t xml:space="preserve">through </w:t>
            </w:r>
            <w:r w:rsidRPr="00EC0147">
              <w:t xml:space="preserve">prenatal diagnosis </w:t>
            </w:r>
            <w:r>
              <w:t xml:space="preserve">after genetic counselling </w:t>
            </w:r>
            <w:r w:rsidRPr="00EC0147">
              <w:t xml:space="preserve">is becoming increasingly important for </w:t>
            </w:r>
            <w:r>
              <w:t>n</w:t>
            </w:r>
            <w:r w:rsidRPr="00EC0147">
              <w:t>DNA-related disorders.</w:t>
            </w:r>
          </w:p>
        </w:tc>
      </w:tr>
      <w:tr w:rsidR="00644D92" w14:paraId="03843D11" w14:textId="77777777" w:rsidTr="003A650C">
        <w:tc>
          <w:tcPr>
            <w:tcW w:w="2978" w:type="dxa"/>
            <w:tcBorders>
              <w:left w:val="double" w:sz="4" w:space="0" w:color="auto"/>
            </w:tcBorders>
          </w:tcPr>
          <w:p w14:paraId="5192832B" w14:textId="77777777" w:rsidR="00644D92" w:rsidRDefault="00644D92" w:rsidP="00AF2BB0">
            <w:pPr>
              <w:spacing w:before="60" w:after="60"/>
            </w:pPr>
            <w:r w:rsidRPr="003134CB">
              <w:t>Ethylmalonic encephalopathy</w:t>
            </w:r>
          </w:p>
        </w:tc>
        <w:tc>
          <w:tcPr>
            <w:tcW w:w="2693" w:type="dxa"/>
          </w:tcPr>
          <w:p w14:paraId="7CBED8F1" w14:textId="77777777" w:rsidR="00644D92" w:rsidRDefault="00644D92" w:rsidP="00AF2BB0">
            <w:pPr>
              <w:spacing w:before="60" w:after="60"/>
            </w:pPr>
            <w:r>
              <w:t xml:space="preserve">nDNA: </w:t>
            </w:r>
            <w:r w:rsidRPr="003134CB">
              <w:t xml:space="preserve">ETHE1 </w:t>
            </w:r>
            <w:r>
              <w:t>variant</w:t>
            </w:r>
            <w:r w:rsidRPr="003134CB">
              <w:t>s</w:t>
            </w:r>
          </w:p>
        </w:tc>
        <w:tc>
          <w:tcPr>
            <w:tcW w:w="4394" w:type="dxa"/>
            <w:tcBorders>
              <w:right w:val="double" w:sz="4" w:space="0" w:color="auto"/>
            </w:tcBorders>
          </w:tcPr>
          <w:p w14:paraId="40958AF7" w14:textId="77777777" w:rsidR="00644D92" w:rsidRDefault="00644D92" w:rsidP="00AF2BB0">
            <w:pPr>
              <w:spacing w:before="60" w:after="60"/>
            </w:pPr>
            <w:r>
              <w:t xml:space="preserve">Metronidazole and </w:t>
            </w:r>
            <w:r w:rsidRPr="003134CB">
              <w:t>N-acetyl cysteine</w:t>
            </w:r>
            <w:r>
              <w:t xml:space="preserve"> given together in a cohort of patients </w:t>
            </w:r>
            <w:r w:rsidRPr="003134CB">
              <w:t>was able to improve some of the clinical features of the disease</w:t>
            </w:r>
            <w:r>
              <w:t xml:space="preserve"> (given on compassionate grounds).</w:t>
            </w:r>
          </w:p>
          <w:p w14:paraId="4400F17C" w14:textId="77777777" w:rsidR="00644D92" w:rsidRDefault="00644D92" w:rsidP="00AF2BB0">
            <w:pPr>
              <w:spacing w:before="60" w:after="60"/>
            </w:pPr>
            <w:r>
              <w:t>Potentially liver transplantation</w:t>
            </w:r>
          </w:p>
          <w:p w14:paraId="733CEE05" w14:textId="77777777" w:rsidR="00644D92" w:rsidRDefault="00644D92" w:rsidP="00AF2BB0">
            <w:pPr>
              <w:spacing w:before="60" w:after="60"/>
            </w:pPr>
            <w:r w:rsidRPr="00662A68">
              <w:t xml:space="preserve">JP4-039 </w:t>
            </w:r>
            <w:r>
              <w:t xml:space="preserve"> and gene therapy approaches are being investigated for potential clinical trialling</w:t>
            </w:r>
          </w:p>
        </w:tc>
      </w:tr>
      <w:tr w:rsidR="00644D92" w14:paraId="5E7BE7AB" w14:textId="77777777" w:rsidTr="003A650C">
        <w:tc>
          <w:tcPr>
            <w:tcW w:w="2978" w:type="dxa"/>
            <w:tcBorders>
              <w:left w:val="double" w:sz="4" w:space="0" w:color="auto"/>
            </w:tcBorders>
          </w:tcPr>
          <w:p w14:paraId="03276369" w14:textId="77777777" w:rsidR="00644D92" w:rsidRPr="003134CB" w:rsidRDefault="00644D92" w:rsidP="00AF2BB0">
            <w:pPr>
              <w:spacing w:before="60" w:after="60"/>
            </w:pPr>
            <w:r>
              <w:t>Kearns-Sayre Syndrome</w:t>
            </w:r>
          </w:p>
        </w:tc>
        <w:tc>
          <w:tcPr>
            <w:tcW w:w="2693" w:type="dxa"/>
          </w:tcPr>
          <w:p w14:paraId="191D6965" w14:textId="77777777" w:rsidR="00644D92" w:rsidRPr="003134CB" w:rsidRDefault="00644D92" w:rsidP="00AF2BB0">
            <w:pPr>
              <w:spacing w:before="60" w:after="60"/>
            </w:pPr>
            <w:r>
              <w:t>mtDNA: mtDNA depletions</w:t>
            </w:r>
          </w:p>
        </w:tc>
        <w:tc>
          <w:tcPr>
            <w:tcW w:w="4394" w:type="dxa"/>
            <w:tcBorders>
              <w:right w:val="double" w:sz="4" w:space="0" w:color="auto"/>
            </w:tcBorders>
          </w:tcPr>
          <w:p w14:paraId="18610EA7" w14:textId="77777777" w:rsidR="00644D92" w:rsidRDefault="00644D92" w:rsidP="00AF2BB0">
            <w:pPr>
              <w:spacing w:before="60" w:after="60"/>
            </w:pPr>
            <w:r>
              <w:t xml:space="preserve">CoQ10 &amp; </w:t>
            </w:r>
            <w:r w:rsidRPr="00144CBF">
              <w:t>Mitochondrial</w:t>
            </w:r>
            <w:r>
              <w:t xml:space="preserve"> </w:t>
            </w:r>
            <w:r w:rsidRPr="00144CBF">
              <w:t>augmentation therapy</w:t>
            </w:r>
            <w:r>
              <w:t xml:space="preserve"> trials are currently being undertaken</w:t>
            </w:r>
          </w:p>
        </w:tc>
      </w:tr>
      <w:tr w:rsidR="00644D92" w14:paraId="00EF6CB2" w14:textId="77777777" w:rsidTr="003A650C">
        <w:tc>
          <w:tcPr>
            <w:tcW w:w="2978" w:type="dxa"/>
            <w:tcBorders>
              <w:left w:val="double" w:sz="4" w:space="0" w:color="auto"/>
            </w:tcBorders>
          </w:tcPr>
          <w:p w14:paraId="52738481" w14:textId="77777777" w:rsidR="00644D92" w:rsidRPr="003134CB" w:rsidRDefault="00644D92" w:rsidP="00AF2BB0">
            <w:pPr>
              <w:spacing w:before="60" w:after="60"/>
            </w:pPr>
            <w:r>
              <w:t>Leigh Syndrome</w:t>
            </w:r>
          </w:p>
        </w:tc>
        <w:tc>
          <w:tcPr>
            <w:tcW w:w="2693" w:type="dxa"/>
          </w:tcPr>
          <w:p w14:paraId="34AF2C98" w14:textId="77777777" w:rsidR="00644D92" w:rsidRDefault="00644D92" w:rsidP="00AF2BB0">
            <w:pPr>
              <w:spacing w:before="60" w:after="60"/>
            </w:pPr>
            <w:r>
              <w:t xml:space="preserve">nDNA: </w:t>
            </w:r>
            <w:r w:rsidRPr="006B7E37">
              <w:t>ND1-G3697A</w:t>
            </w:r>
            <w:r>
              <w:t xml:space="preserve">, </w:t>
            </w:r>
            <w:r w:rsidRPr="006B7E37">
              <w:t>SUCLA2</w:t>
            </w:r>
            <w:r>
              <w:t xml:space="preserve">, </w:t>
            </w:r>
            <w:r w:rsidRPr="006B7E37">
              <w:t>ETHE1</w:t>
            </w:r>
            <w:r>
              <w:t xml:space="preserve">, </w:t>
            </w:r>
            <w:r w:rsidRPr="00143FDF">
              <w:t>ND5-G13513A</w:t>
            </w:r>
            <w:r>
              <w:t xml:space="preserve">, </w:t>
            </w:r>
            <w:r w:rsidRPr="00143FDF">
              <w:t>EARS2</w:t>
            </w:r>
            <w:r>
              <w:t xml:space="preserve">, </w:t>
            </w:r>
            <w:r w:rsidRPr="00143FDF">
              <w:t>SURF1</w:t>
            </w:r>
            <w:r>
              <w:t>,</w:t>
            </w:r>
            <w:r w:rsidRPr="00143FDF">
              <w:rPr>
                <w:rFonts w:ascii="Georgia" w:hAnsi="Georgia"/>
                <w:color w:val="2E2E2E"/>
                <w:sz w:val="21"/>
                <w:szCs w:val="21"/>
              </w:rPr>
              <w:t xml:space="preserve"> </w:t>
            </w:r>
            <w:r w:rsidRPr="00143FDF">
              <w:t>ND6-T14487C</w:t>
            </w:r>
          </w:p>
          <w:p w14:paraId="3F4E93FE" w14:textId="77777777" w:rsidR="00644D92" w:rsidRDefault="00644D92" w:rsidP="00AF2BB0">
            <w:pPr>
              <w:spacing w:before="60" w:after="60"/>
            </w:pPr>
            <w:r>
              <w:t xml:space="preserve">NDUFS4 </w:t>
            </w:r>
          </w:p>
          <w:p w14:paraId="449049C5" w14:textId="77777777" w:rsidR="00644D92" w:rsidRDefault="00644D92" w:rsidP="00AF2BB0">
            <w:pPr>
              <w:spacing w:before="60" w:after="60"/>
            </w:pPr>
          </w:p>
          <w:p w14:paraId="6E6AE3E1" w14:textId="77777777" w:rsidR="00644D92" w:rsidRPr="003134CB" w:rsidRDefault="00644D92" w:rsidP="00AF2BB0">
            <w:pPr>
              <w:spacing w:before="60" w:after="60"/>
            </w:pPr>
          </w:p>
        </w:tc>
        <w:tc>
          <w:tcPr>
            <w:tcW w:w="4394" w:type="dxa"/>
            <w:tcBorders>
              <w:right w:val="double" w:sz="4" w:space="0" w:color="auto"/>
            </w:tcBorders>
          </w:tcPr>
          <w:p w14:paraId="15B51C5C" w14:textId="77777777" w:rsidR="00644D92" w:rsidRDefault="00644D92" w:rsidP="00AF2BB0">
            <w:pPr>
              <w:spacing w:before="60" w:after="60"/>
            </w:pPr>
            <w:r w:rsidRPr="006B7E37">
              <w:t>EPI-743 improves clinical outcomes in children with genetically confirmed Leigh syndrome.</w:t>
            </w:r>
          </w:p>
          <w:p w14:paraId="600DC55E" w14:textId="77777777" w:rsidR="00644D92" w:rsidRPr="00643B4B" w:rsidRDefault="00644D92" w:rsidP="00AF2BB0">
            <w:pPr>
              <w:spacing w:before="60" w:after="60"/>
              <w:rPr>
                <w:sz w:val="14"/>
                <w:szCs w:val="16"/>
              </w:rPr>
            </w:pPr>
          </w:p>
          <w:p w14:paraId="0B59A016" w14:textId="77777777" w:rsidR="00644D92" w:rsidRPr="00643B4B" w:rsidRDefault="00644D92" w:rsidP="00AF2BB0">
            <w:pPr>
              <w:spacing w:before="60" w:after="60"/>
              <w:rPr>
                <w:sz w:val="14"/>
                <w:szCs w:val="16"/>
              </w:rPr>
            </w:pPr>
          </w:p>
          <w:p w14:paraId="085F25EA" w14:textId="77777777" w:rsidR="00644D92" w:rsidRDefault="00644D92" w:rsidP="00AF2BB0">
            <w:pPr>
              <w:spacing w:before="60" w:after="60"/>
            </w:pPr>
            <w:r>
              <w:t xml:space="preserve">Clinical trials being piloted in the use of Rapamycin and </w:t>
            </w:r>
            <w:r w:rsidRPr="00662A68">
              <w:t>Everolimus (</w:t>
            </w:r>
            <w:r>
              <w:t xml:space="preserve">a </w:t>
            </w:r>
            <w:r w:rsidRPr="00662A68">
              <w:t>rapamycin</w:t>
            </w:r>
            <w:r>
              <w:t xml:space="preserve"> </w:t>
            </w:r>
            <w:r w:rsidRPr="00662A68">
              <w:t>analogue)</w:t>
            </w:r>
            <w:r>
              <w:t xml:space="preserve">. </w:t>
            </w:r>
          </w:p>
          <w:p w14:paraId="453E4525" w14:textId="77777777" w:rsidR="00644D92" w:rsidRDefault="00644D92" w:rsidP="00AF2BB0">
            <w:pPr>
              <w:spacing w:before="60" w:after="60"/>
            </w:pPr>
            <w:r>
              <w:t>Preclinical studies in the use of gene therapy approaches and NAD+ precursors</w:t>
            </w:r>
          </w:p>
        </w:tc>
      </w:tr>
      <w:tr w:rsidR="00644D92" w14:paraId="1ABCB434" w14:textId="77777777" w:rsidTr="003A650C">
        <w:tc>
          <w:tcPr>
            <w:tcW w:w="2978" w:type="dxa"/>
            <w:tcBorders>
              <w:left w:val="double" w:sz="4" w:space="0" w:color="auto"/>
            </w:tcBorders>
          </w:tcPr>
          <w:p w14:paraId="7C298A61" w14:textId="77777777" w:rsidR="00644D92" w:rsidRDefault="00644D92" w:rsidP="00AF2BB0">
            <w:pPr>
              <w:spacing w:before="60" w:after="60"/>
            </w:pPr>
            <w:r>
              <w:t>MERRF</w:t>
            </w:r>
          </w:p>
        </w:tc>
        <w:tc>
          <w:tcPr>
            <w:tcW w:w="2693" w:type="dxa"/>
          </w:tcPr>
          <w:p w14:paraId="60AEA166" w14:textId="77777777" w:rsidR="00644D92" w:rsidRPr="006B7E37" w:rsidRDefault="00644D92" w:rsidP="00AF2BB0">
            <w:pPr>
              <w:spacing w:before="60" w:after="60"/>
            </w:pPr>
            <w:r>
              <w:t xml:space="preserve">mtDNA: </w:t>
            </w:r>
            <w:r w:rsidRPr="005854D5">
              <w:t xml:space="preserve">m.8344A &gt; G </w:t>
            </w:r>
            <w:r>
              <w:t>variant in</w:t>
            </w:r>
            <w:r w:rsidRPr="005854D5">
              <w:t xml:space="preserve"> MT-TK gene</w:t>
            </w:r>
            <w:r>
              <w:t xml:space="preserve">, and other variants </w:t>
            </w:r>
            <w:r w:rsidRPr="005854D5">
              <w:t>in MT-TL1, MT-TH, MT-TS1, MT-TS2, and MT-TF</w:t>
            </w:r>
            <w:r>
              <w:t xml:space="preserve"> genes</w:t>
            </w:r>
          </w:p>
        </w:tc>
        <w:tc>
          <w:tcPr>
            <w:tcW w:w="4394" w:type="dxa"/>
            <w:tcBorders>
              <w:right w:val="double" w:sz="4" w:space="0" w:color="auto"/>
            </w:tcBorders>
          </w:tcPr>
          <w:p w14:paraId="2672BCAB" w14:textId="77777777" w:rsidR="00644D92" w:rsidRPr="006B7E37" w:rsidRDefault="00644D92" w:rsidP="00AF2BB0">
            <w:pPr>
              <w:spacing w:before="60" w:after="60"/>
            </w:pPr>
            <w:r w:rsidRPr="005854D5">
              <w:t>Cytotoxic Necrotizing</w:t>
            </w:r>
            <w:r>
              <w:t xml:space="preserve"> </w:t>
            </w:r>
            <w:r w:rsidRPr="005854D5">
              <w:t xml:space="preserve">Factor 1 (CNF1) </w:t>
            </w:r>
            <w:r>
              <w:t>and the d</w:t>
            </w:r>
            <w:r w:rsidRPr="005854D5">
              <w:t>elivery of nucleic acids to</w:t>
            </w:r>
            <w:r>
              <w:t xml:space="preserve"> </w:t>
            </w:r>
            <w:r w:rsidRPr="005854D5">
              <w:t>the mitochondria</w:t>
            </w:r>
            <w:r>
              <w:t xml:space="preserve"> are both currently being explored for trialling </w:t>
            </w:r>
          </w:p>
        </w:tc>
      </w:tr>
      <w:tr w:rsidR="00644D92" w14:paraId="0EF08416" w14:textId="77777777" w:rsidTr="003A650C">
        <w:tc>
          <w:tcPr>
            <w:tcW w:w="2978" w:type="dxa"/>
            <w:tcBorders>
              <w:left w:val="double" w:sz="4" w:space="0" w:color="auto"/>
            </w:tcBorders>
          </w:tcPr>
          <w:p w14:paraId="5459FEB0" w14:textId="77777777" w:rsidR="00644D92" w:rsidRDefault="00644D92" w:rsidP="00AF2BB0">
            <w:pPr>
              <w:spacing w:before="60" w:after="60"/>
            </w:pPr>
            <w:r>
              <w:t>Barth Syndrome</w:t>
            </w:r>
          </w:p>
        </w:tc>
        <w:tc>
          <w:tcPr>
            <w:tcW w:w="2693" w:type="dxa"/>
          </w:tcPr>
          <w:p w14:paraId="1B8C90F0" w14:textId="77777777" w:rsidR="00644D92" w:rsidRPr="006B7E37" w:rsidRDefault="00644D92" w:rsidP="00AF2BB0">
            <w:pPr>
              <w:spacing w:before="60" w:after="60"/>
            </w:pPr>
            <w:r>
              <w:t xml:space="preserve">nDNA: </w:t>
            </w:r>
            <w:r w:rsidRPr="00662A68">
              <w:t xml:space="preserve">TAFAZZIN gene </w:t>
            </w:r>
            <w:r>
              <w:t>variants</w:t>
            </w:r>
          </w:p>
        </w:tc>
        <w:tc>
          <w:tcPr>
            <w:tcW w:w="4394" w:type="dxa"/>
            <w:tcBorders>
              <w:right w:val="double" w:sz="4" w:space="0" w:color="auto"/>
            </w:tcBorders>
          </w:tcPr>
          <w:p w14:paraId="7AA10959" w14:textId="77777777" w:rsidR="00644D92" w:rsidRPr="006B7E37" w:rsidRDefault="00644D92" w:rsidP="00AF2BB0">
            <w:pPr>
              <w:spacing w:before="60" w:after="60"/>
            </w:pPr>
            <w:r>
              <w:t xml:space="preserve">Current active trialling of </w:t>
            </w:r>
            <w:r w:rsidRPr="00662A68">
              <w:t>Elamipretide</w:t>
            </w:r>
            <w:r>
              <w:t xml:space="preserve"> in patients</w:t>
            </w:r>
          </w:p>
        </w:tc>
      </w:tr>
      <w:tr w:rsidR="00644D92" w14:paraId="1AE8B675" w14:textId="77777777" w:rsidTr="003A650C">
        <w:tc>
          <w:tcPr>
            <w:tcW w:w="2978" w:type="dxa"/>
            <w:tcBorders>
              <w:left w:val="double" w:sz="4" w:space="0" w:color="auto"/>
            </w:tcBorders>
          </w:tcPr>
          <w:p w14:paraId="3C07F112" w14:textId="77777777" w:rsidR="00644D92" w:rsidRDefault="00644D92" w:rsidP="00AF2BB0">
            <w:pPr>
              <w:spacing w:before="60" w:after="60"/>
            </w:pPr>
            <w:r>
              <w:t>TK-2 Disease</w:t>
            </w:r>
          </w:p>
        </w:tc>
        <w:tc>
          <w:tcPr>
            <w:tcW w:w="2693" w:type="dxa"/>
          </w:tcPr>
          <w:p w14:paraId="17B81868" w14:textId="77777777" w:rsidR="00644D92" w:rsidRPr="006B7E37" w:rsidRDefault="00644D92" w:rsidP="00AF2BB0">
            <w:pPr>
              <w:spacing w:before="60" w:after="60"/>
            </w:pPr>
            <w:r>
              <w:t>nDNA: TK-2 variants</w:t>
            </w:r>
          </w:p>
        </w:tc>
        <w:tc>
          <w:tcPr>
            <w:tcW w:w="4394" w:type="dxa"/>
            <w:tcBorders>
              <w:right w:val="double" w:sz="4" w:space="0" w:color="auto"/>
            </w:tcBorders>
          </w:tcPr>
          <w:p w14:paraId="0C8D1198" w14:textId="77777777" w:rsidR="00644D92" w:rsidRPr="006B7E37" w:rsidRDefault="00644D92" w:rsidP="00AF2BB0">
            <w:pPr>
              <w:spacing w:before="60" w:after="60"/>
            </w:pPr>
            <w:r w:rsidRPr="00E46A7A">
              <w:t>Molecular bypass therapy</w:t>
            </w:r>
            <w:r>
              <w:t xml:space="preserve"> </w:t>
            </w:r>
            <w:r w:rsidRPr="00E46A7A">
              <w:t>in disorders of mtDNA</w:t>
            </w:r>
            <w:r>
              <w:t xml:space="preserve"> </w:t>
            </w:r>
            <w:r w:rsidRPr="00E46A7A">
              <w:t>instability</w:t>
            </w:r>
            <w:r>
              <w:t xml:space="preserve"> are currently being undertaken </w:t>
            </w:r>
          </w:p>
        </w:tc>
      </w:tr>
      <w:tr w:rsidR="00644D92" w14:paraId="4CC95073" w14:textId="77777777" w:rsidTr="003A650C">
        <w:tc>
          <w:tcPr>
            <w:tcW w:w="2978" w:type="dxa"/>
            <w:tcBorders>
              <w:left w:val="double" w:sz="4" w:space="0" w:color="auto"/>
            </w:tcBorders>
          </w:tcPr>
          <w:p w14:paraId="6CAC6FDB" w14:textId="77777777" w:rsidR="00644D92" w:rsidRPr="003134CB" w:rsidRDefault="00644D92" w:rsidP="00AF2BB0">
            <w:pPr>
              <w:spacing w:before="60" w:after="60"/>
            </w:pPr>
            <w:r>
              <w:t>POLG-related disorders</w:t>
            </w:r>
          </w:p>
        </w:tc>
        <w:tc>
          <w:tcPr>
            <w:tcW w:w="2693" w:type="dxa"/>
          </w:tcPr>
          <w:p w14:paraId="2E4C1E18" w14:textId="77777777" w:rsidR="00644D92" w:rsidRPr="003134CB" w:rsidRDefault="00644D92" w:rsidP="00AF2BB0">
            <w:pPr>
              <w:spacing w:before="60" w:after="60"/>
            </w:pPr>
            <w:r>
              <w:t>nDNA: POLG variants</w:t>
            </w:r>
          </w:p>
        </w:tc>
        <w:tc>
          <w:tcPr>
            <w:tcW w:w="4394" w:type="dxa"/>
            <w:tcBorders>
              <w:right w:val="double" w:sz="4" w:space="0" w:color="auto"/>
            </w:tcBorders>
          </w:tcPr>
          <w:p w14:paraId="392B4A2C" w14:textId="77777777" w:rsidR="00644D92" w:rsidRDefault="00644D92" w:rsidP="00AF2BB0">
            <w:pPr>
              <w:spacing w:before="60" w:after="60"/>
            </w:pPr>
            <w:r>
              <w:t>Sodium Valproate</w:t>
            </w:r>
            <w:r w:rsidRPr="009954AB">
              <w:t xml:space="preserve"> is absolutely contraindicated in patients with </w:t>
            </w:r>
            <w:r w:rsidRPr="009954AB">
              <w:rPr>
                <w:i/>
                <w:iCs/>
              </w:rPr>
              <w:t>POLG</w:t>
            </w:r>
            <w:r w:rsidRPr="009954AB">
              <w:t xml:space="preserve">-related disease as it can precipitate liver failure </w:t>
            </w:r>
            <w:r>
              <w:t>and therefore</w:t>
            </w:r>
            <w:r w:rsidRPr="009954AB">
              <w:t xml:space="preserve"> the </w:t>
            </w:r>
            <w:r w:rsidRPr="009954AB">
              <w:rPr>
                <w:i/>
                <w:iCs/>
              </w:rPr>
              <w:t>POLG</w:t>
            </w:r>
            <w:r w:rsidRPr="009954AB">
              <w:t xml:space="preserve"> gene should be sequenced before prescribing </w:t>
            </w:r>
            <w:r>
              <w:t>Sodium Valproate</w:t>
            </w:r>
            <w:r w:rsidRPr="009954AB">
              <w:t xml:space="preserve"> to patients with status epilepticus</w:t>
            </w:r>
            <w:r>
              <w:t xml:space="preserve"> iv</w:t>
            </w:r>
          </w:p>
        </w:tc>
      </w:tr>
      <w:tr w:rsidR="00644D92" w14:paraId="5305C75B" w14:textId="77777777" w:rsidTr="003A650C">
        <w:tc>
          <w:tcPr>
            <w:tcW w:w="2978" w:type="dxa"/>
            <w:tcBorders>
              <w:left w:val="double" w:sz="4" w:space="0" w:color="auto"/>
            </w:tcBorders>
          </w:tcPr>
          <w:p w14:paraId="62203D24" w14:textId="77777777" w:rsidR="00644D92" w:rsidRDefault="00644D92" w:rsidP="00AF2BB0">
            <w:pPr>
              <w:spacing w:before="60" w:after="60"/>
            </w:pPr>
            <w:r>
              <w:t>E</w:t>
            </w:r>
            <w:r w:rsidRPr="00F6546E">
              <w:t>pisodic muscle weakness, mimicking periodic</w:t>
            </w:r>
            <w:r>
              <w:t xml:space="preserve"> </w:t>
            </w:r>
            <w:r w:rsidRPr="00F6546E">
              <w:t xml:space="preserve">paralysis </w:t>
            </w:r>
          </w:p>
        </w:tc>
        <w:tc>
          <w:tcPr>
            <w:tcW w:w="2693" w:type="dxa"/>
          </w:tcPr>
          <w:p w14:paraId="09D68777" w14:textId="77777777" w:rsidR="00644D92" w:rsidRPr="00E46A7A" w:rsidRDefault="00644D92" w:rsidP="00AF2BB0">
            <w:pPr>
              <w:spacing w:before="60" w:after="60"/>
            </w:pPr>
            <w:r>
              <w:t xml:space="preserve">mtDNA: </w:t>
            </w:r>
            <w:r w:rsidRPr="00F6546E">
              <w:t>MT-ATP6</w:t>
            </w:r>
            <w:r w:rsidRPr="00F6546E">
              <w:rPr>
                <w:i/>
                <w:iCs/>
              </w:rPr>
              <w:t xml:space="preserve"> </w:t>
            </w:r>
            <w:r>
              <w:t>variants</w:t>
            </w:r>
          </w:p>
        </w:tc>
        <w:tc>
          <w:tcPr>
            <w:tcW w:w="4394" w:type="dxa"/>
            <w:tcBorders>
              <w:right w:val="double" w:sz="4" w:space="0" w:color="auto"/>
            </w:tcBorders>
          </w:tcPr>
          <w:p w14:paraId="06179D9A" w14:textId="77777777" w:rsidR="00644D92" w:rsidRDefault="00644D92" w:rsidP="00AF2BB0">
            <w:pPr>
              <w:spacing w:before="60" w:after="60"/>
            </w:pPr>
            <w:r w:rsidRPr="00F6546E">
              <w:t>Affected</w:t>
            </w:r>
            <w:r>
              <w:t xml:space="preserve"> </w:t>
            </w:r>
            <w:r w:rsidRPr="00F6546E">
              <w:t>individuals may improve with acetazolamide</w:t>
            </w:r>
            <w:r>
              <w:t xml:space="preserve"> treatment. Pre-clinical trials are also being undertaken for PDE5 inhibitors, Rapamycin and Resveratrol </w:t>
            </w:r>
            <w:r w:rsidRPr="00F6546E">
              <w:t>treatment</w:t>
            </w:r>
            <w:r>
              <w:t>s</w:t>
            </w:r>
            <w:r w:rsidRPr="00F6546E">
              <w:t>.</w:t>
            </w:r>
          </w:p>
        </w:tc>
      </w:tr>
      <w:tr w:rsidR="00644D92" w14:paraId="00691F3A" w14:textId="77777777" w:rsidTr="003A650C">
        <w:tc>
          <w:tcPr>
            <w:tcW w:w="2978" w:type="dxa"/>
            <w:tcBorders>
              <w:left w:val="double" w:sz="4" w:space="0" w:color="auto"/>
            </w:tcBorders>
          </w:tcPr>
          <w:p w14:paraId="1FBDC08F" w14:textId="77777777" w:rsidR="00644D92" w:rsidRDefault="00644D92" w:rsidP="00AF2BB0">
            <w:pPr>
              <w:spacing w:before="60" w:after="60"/>
            </w:pPr>
            <w:r>
              <w:t>M</w:t>
            </w:r>
            <w:r w:rsidRPr="00F6546E">
              <w:t>itochondrial defects associated with hyperammonemia</w:t>
            </w:r>
          </w:p>
        </w:tc>
        <w:tc>
          <w:tcPr>
            <w:tcW w:w="2693" w:type="dxa"/>
          </w:tcPr>
          <w:p w14:paraId="4D90E0E6" w14:textId="77777777" w:rsidR="00644D92" w:rsidRPr="00F6546E" w:rsidRDefault="00644D92" w:rsidP="00AF2BB0">
            <w:pPr>
              <w:spacing w:before="60" w:after="60"/>
            </w:pPr>
            <w:r>
              <w:t xml:space="preserve">nDNA: </w:t>
            </w:r>
            <w:r w:rsidRPr="00F6546E">
              <w:t>TMEM70 or ATP5F1D mutations</w:t>
            </w:r>
          </w:p>
        </w:tc>
        <w:tc>
          <w:tcPr>
            <w:tcW w:w="4394" w:type="dxa"/>
            <w:tcBorders>
              <w:right w:val="double" w:sz="4" w:space="0" w:color="auto"/>
            </w:tcBorders>
          </w:tcPr>
          <w:p w14:paraId="4A10C52D" w14:textId="77777777" w:rsidR="00644D92" w:rsidRPr="00F6546E" w:rsidRDefault="00644D92" w:rsidP="00AF2BB0">
            <w:pPr>
              <w:spacing w:before="60" w:after="60"/>
            </w:pPr>
            <w:r>
              <w:t>R</w:t>
            </w:r>
            <w:r w:rsidRPr="00F6546E">
              <w:t>equire</w:t>
            </w:r>
            <w:r>
              <w:t xml:space="preserve"> </w:t>
            </w:r>
            <w:r w:rsidRPr="00F6546E">
              <w:t>additional detoxification therapy with drugs like</w:t>
            </w:r>
            <w:r>
              <w:t xml:space="preserve"> </w:t>
            </w:r>
            <w:r w:rsidRPr="00F6546E">
              <w:t>L-arginine and sodium benzoate during episodes of</w:t>
            </w:r>
            <w:r>
              <w:t xml:space="preserve"> </w:t>
            </w:r>
            <w:r w:rsidRPr="00F6546E">
              <w:t>metabolic decompensation.</w:t>
            </w:r>
          </w:p>
        </w:tc>
      </w:tr>
      <w:tr w:rsidR="00644D92" w14:paraId="145941FB" w14:textId="77777777" w:rsidTr="003A650C">
        <w:tc>
          <w:tcPr>
            <w:tcW w:w="2978" w:type="dxa"/>
            <w:tcBorders>
              <w:left w:val="double" w:sz="4" w:space="0" w:color="auto"/>
            </w:tcBorders>
          </w:tcPr>
          <w:p w14:paraId="5BDF994F" w14:textId="77777777" w:rsidR="00644D92" w:rsidRDefault="00644D92" w:rsidP="00AF2BB0">
            <w:pPr>
              <w:spacing w:before="60" w:after="60"/>
            </w:pPr>
            <w:r>
              <w:t>Brown-Vialetto-Van Leare syndrome/Fazio-Londe disease</w:t>
            </w:r>
          </w:p>
        </w:tc>
        <w:tc>
          <w:tcPr>
            <w:tcW w:w="2693" w:type="dxa"/>
          </w:tcPr>
          <w:p w14:paraId="2C09501B" w14:textId="77777777" w:rsidR="00644D92" w:rsidRPr="00F6546E" w:rsidRDefault="00644D92" w:rsidP="00AF2BB0">
            <w:pPr>
              <w:spacing w:before="60" w:after="60"/>
            </w:pPr>
            <w:r>
              <w:t>nDNA: SLC52A2, SLC52A3, (SLC52A1)</w:t>
            </w:r>
          </w:p>
        </w:tc>
        <w:tc>
          <w:tcPr>
            <w:tcW w:w="4394" w:type="dxa"/>
            <w:tcBorders>
              <w:right w:val="double" w:sz="4" w:space="0" w:color="auto"/>
            </w:tcBorders>
          </w:tcPr>
          <w:p w14:paraId="7C52ECF4" w14:textId="77777777" w:rsidR="00644D92" w:rsidRDefault="00644D92" w:rsidP="00AF2BB0">
            <w:pPr>
              <w:spacing w:before="60" w:after="60"/>
            </w:pPr>
            <w:r>
              <w:t>Riboflavin given orally at 10-50mg/kg daily provides a generally good treatment response</w:t>
            </w:r>
          </w:p>
        </w:tc>
      </w:tr>
      <w:tr w:rsidR="00644D92" w14:paraId="37A596F2" w14:textId="77777777" w:rsidTr="003A650C">
        <w:tc>
          <w:tcPr>
            <w:tcW w:w="2978" w:type="dxa"/>
            <w:tcBorders>
              <w:left w:val="double" w:sz="4" w:space="0" w:color="auto"/>
            </w:tcBorders>
          </w:tcPr>
          <w:p w14:paraId="3F44FF0B" w14:textId="77777777" w:rsidR="00644D92" w:rsidRDefault="00644D92" w:rsidP="00AF2BB0">
            <w:pPr>
              <w:spacing w:before="60" w:after="60"/>
            </w:pPr>
            <w:r>
              <w:t>Biotinidase deficiency</w:t>
            </w:r>
          </w:p>
        </w:tc>
        <w:tc>
          <w:tcPr>
            <w:tcW w:w="2693" w:type="dxa"/>
          </w:tcPr>
          <w:p w14:paraId="54F92010" w14:textId="77777777" w:rsidR="00644D92" w:rsidRPr="00F6546E" w:rsidRDefault="00644D92" w:rsidP="00AF2BB0">
            <w:pPr>
              <w:spacing w:before="60" w:after="60"/>
            </w:pPr>
            <w:r>
              <w:t>nDNA: BTD</w:t>
            </w:r>
          </w:p>
        </w:tc>
        <w:tc>
          <w:tcPr>
            <w:tcW w:w="4394" w:type="dxa"/>
            <w:tcBorders>
              <w:right w:val="double" w:sz="4" w:space="0" w:color="auto"/>
            </w:tcBorders>
          </w:tcPr>
          <w:p w14:paraId="744FE232" w14:textId="77777777" w:rsidR="00644D92" w:rsidRDefault="00644D92" w:rsidP="00AF2BB0">
            <w:pPr>
              <w:spacing w:before="60" w:after="60"/>
            </w:pPr>
            <w:r>
              <w:t>Biotin given orally at 5-10mg/kg daily provides a generally good treatment response</w:t>
            </w:r>
          </w:p>
        </w:tc>
      </w:tr>
      <w:tr w:rsidR="00644D92" w14:paraId="3BA3896E" w14:textId="77777777" w:rsidTr="003A650C">
        <w:tc>
          <w:tcPr>
            <w:tcW w:w="2978" w:type="dxa"/>
            <w:tcBorders>
              <w:left w:val="double" w:sz="4" w:space="0" w:color="auto"/>
            </w:tcBorders>
          </w:tcPr>
          <w:p w14:paraId="669C8247" w14:textId="77777777" w:rsidR="00644D92" w:rsidRDefault="00644D92" w:rsidP="00AF2BB0">
            <w:pPr>
              <w:spacing w:before="60" w:after="60"/>
            </w:pPr>
            <w:r>
              <w:t>Holocarboxylase synthetase deficiency</w:t>
            </w:r>
          </w:p>
        </w:tc>
        <w:tc>
          <w:tcPr>
            <w:tcW w:w="2693" w:type="dxa"/>
          </w:tcPr>
          <w:p w14:paraId="1D3EB8C2" w14:textId="77777777" w:rsidR="00644D92" w:rsidRPr="00F6546E" w:rsidRDefault="00644D92" w:rsidP="00AF2BB0">
            <w:pPr>
              <w:spacing w:before="60" w:after="60"/>
            </w:pPr>
            <w:r>
              <w:t>nDNA: HLCS</w:t>
            </w:r>
          </w:p>
        </w:tc>
        <w:tc>
          <w:tcPr>
            <w:tcW w:w="4394" w:type="dxa"/>
            <w:tcBorders>
              <w:right w:val="double" w:sz="4" w:space="0" w:color="auto"/>
            </w:tcBorders>
          </w:tcPr>
          <w:p w14:paraId="0A42B196" w14:textId="77777777" w:rsidR="00644D92" w:rsidRDefault="00644D92" w:rsidP="00AF2BB0">
            <w:pPr>
              <w:spacing w:before="60" w:after="60"/>
            </w:pPr>
            <w:r>
              <w:t>Biotin given orally at 10-20mg/kg daily with a variable but generally good response</w:t>
            </w:r>
          </w:p>
        </w:tc>
      </w:tr>
      <w:tr w:rsidR="00644D92" w14:paraId="3187D962" w14:textId="77777777" w:rsidTr="003A650C">
        <w:tc>
          <w:tcPr>
            <w:tcW w:w="2978" w:type="dxa"/>
            <w:tcBorders>
              <w:left w:val="double" w:sz="4" w:space="0" w:color="auto"/>
            </w:tcBorders>
          </w:tcPr>
          <w:p w14:paraId="0BDC14CF" w14:textId="77777777" w:rsidR="00644D92" w:rsidRDefault="00644D92" w:rsidP="00AF2BB0">
            <w:pPr>
              <w:spacing w:before="60" w:after="60"/>
            </w:pPr>
            <w:r>
              <w:t xml:space="preserve">Thiamine pyrophosphokinase deficiency </w:t>
            </w:r>
          </w:p>
        </w:tc>
        <w:tc>
          <w:tcPr>
            <w:tcW w:w="2693" w:type="dxa"/>
          </w:tcPr>
          <w:p w14:paraId="1517067E" w14:textId="77777777" w:rsidR="00644D92" w:rsidRPr="00F6546E" w:rsidRDefault="00644D92" w:rsidP="00AF2BB0">
            <w:pPr>
              <w:spacing w:before="60" w:after="60"/>
            </w:pPr>
            <w:r>
              <w:t>nDNA: TPK 1</w:t>
            </w:r>
          </w:p>
        </w:tc>
        <w:tc>
          <w:tcPr>
            <w:tcW w:w="4394" w:type="dxa"/>
            <w:tcBorders>
              <w:right w:val="double" w:sz="4" w:space="0" w:color="auto"/>
            </w:tcBorders>
          </w:tcPr>
          <w:p w14:paraId="2F60D994" w14:textId="77777777" w:rsidR="00644D92" w:rsidRDefault="00644D92" w:rsidP="00AF2BB0">
            <w:pPr>
              <w:spacing w:before="60" w:after="60"/>
            </w:pPr>
            <w:r>
              <w:t xml:space="preserve">Variable but possible response to Thiamine orally at 20mg/kg daily </w:t>
            </w:r>
          </w:p>
        </w:tc>
      </w:tr>
      <w:tr w:rsidR="00644D92" w14:paraId="05DD9961" w14:textId="77777777" w:rsidTr="003A650C">
        <w:tc>
          <w:tcPr>
            <w:tcW w:w="2978" w:type="dxa"/>
            <w:tcBorders>
              <w:left w:val="double" w:sz="4" w:space="0" w:color="auto"/>
            </w:tcBorders>
          </w:tcPr>
          <w:p w14:paraId="43AB5D8B" w14:textId="77777777" w:rsidR="00644D92" w:rsidRDefault="00644D92" w:rsidP="00AF2BB0">
            <w:pPr>
              <w:spacing w:before="60" w:after="60"/>
            </w:pPr>
            <w:r>
              <w:t>Multiple acyl-CoA dehydrogenase deficiency</w:t>
            </w:r>
          </w:p>
        </w:tc>
        <w:tc>
          <w:tcPr>
            <w:tcW w:w="2693" w:type="dxa"/>
          </w:tcPr>
          <w:p w14:paraId="20306847" w14:textId="77777777" w:rsidR="00644D92" w:rsidRPr="00F6546E" w:rsidRDefault="00644D92" w:rsidP="00AF2BB0">
            <w:pPr>
              <w:spacing w:before="60" w:after="60"/>
            </w:pPr>
            <w:r>
              <w:t>nDNA: ETFA, ETFB, ETFDH, SLC2SA32, FLAD1</w:t>
            </w:r>
          </w:p>
        </w:tc>
        <w:tc>
          <w:tcPr>
            <w:tcW w:w="4394" w:type="dxa"/>
            <w:tcBorders>
              <w:right w:val="double" w:sz="4" w:space="0" w:color="auto"/>
            </w:tcBorders>
          </w:tcPr>
          <w:p w14:paraId="7C1D29E8" w14:textId="77777777" w:rsidR="00644D92" w:rsidRDefault="00644D92" w:rsidP="00AF2BB0">
            <w:pPr>
              <w:spacing w:before="60" w:after="60"/>
            </w:pPr>
            <w:r>
              <w:t>Good responses to Riboflavin orally at 10mg/kg daily</w:t>
            </w:r>
          </w:p>
        </w:tc>
      </w:tr>
      <w:tr w:rsidR="00644D92" w14:paraId="746EBBEA" w14:textId="77777777" w:rsidTr="003A650C">
        <w:tc>
          <w:tcPr>
            <w:tcW w:w="2978" w:type="dxa"/>
            <w:tcBorders>
              <w:left w:val="double" w:sz="4" w:space="0" w:color="auto"/>
            </w:tcBorders>
          </w:tcPr>
          <w:p w14:paraId="2151C787" w14:textId="77777777" w:rsidR="00644D92" w:rsidRDefault="00644D92" w:rsidP="00AF2BB0">
            <w:pPr>
              <w:spacing w:before="60" w:after="60"/>
            </w:pPr>
            <w:r>
              <w:t xml:space="preserve">Molybdenum cofactor deficiency </w:t>
            </w:r>
          </w:p>
        </w:tc>
        <w:tc>
          <w:tcPr>
            <w:tcW w:w="2693" w:type="dxa"/>
          </w:tcPr>
          <w:p w14:paraId="59603CBD" w14:textId="77777777" w:rsidR="00644D92" w:rsidRPr="00F6546E" w:rsidRDefault="00644D92" w:rsidP="00AF2BB0">
            <w:pPr>
              <w:spacing w:before="60" w:after="60"/>
            </w:pPr>
            <w:r>
              <w:t>nDNA: MOCS1, MOCS2, GPHN</w:t>
            </w:r>
          </w:p>
        </w:tc>
        <w:tc>
          <w:tcPr>
            <w:tcW w:w="4394" w:type="dxa"/>
            <w:tcBorders>
              <w:right w:val="double" w:sz="4" w:space="0" w:color="auto"/>
            </w:tcBorders>
          </w:tcPr>
          <w:p w14:paraId="5C070F6D" w14:textId="77777777" w:rsidR="00644D92" w:rsidRDefault="00644D92" w:rsidP="00AF2BB0">
            <w:pPr>
              <w:spacing w:before="60" w:after="60"/>
            </w:pPr>
            <w:r>
              <w:t>Intravenous Cyclic Pyranopterin Monophosphate at doses of 80-320</w:t>
            </w:r>
            <w:r>
              <w:rPr>
                <w:rFonts w:cstheme="minorHAnsi"/>
              </w:rPr>
              <w:t>µ</w:t>
            </w:r>
            <w:r>
              <w:t>g/kg daily provides a generally good response in MoCD type A patients.</w:t>
            </w:r>
          </w:p>
          <w:p w14:paraId="15E7B09A" w14:textId="77777777" w:rsidR="00644D92" w:rsidRDefault="00644D92" w:rsidP="00AF2BB0">
            <w:pPr>
              <w:spacing w:before="60" w:after="60"/>
            </w:pPr>
            <w:r w:rsidRPr="00662A68">
              <w:t>JP4-039</w:t>
            </w:r>
            <w:r>
              <w:t xml:space="preserve"> is currently also under investigation </w:t>
            </w:r>
          </w:p>
        </w:tc>
      </w:tr>
      <w:tr w:rsidR="00644D92" w14:paraId="6843CFCA" w14:textId="77777777" w:rsidTr="003A650C">
        <w:tc>
          <w:tcPr>
            <w:tcW w:w="2978" w:type="dxa"/>
            <w:tcBorders>
              <w:left w:val="double" w:sz="4" w:space="0" w:color="auto"/>
            </w:tcBorders>
          </w:tcPr>
          <w:p w14:paraId="572BF425" w14:textId="77777777" w:rsidR="00644D92" w:rsidRDefault="00644D92" w:rsidP="00AF2BB0">
            <w:pPr>
              <w:spacing w:before="60" w:after="60"/>
            </w:pPr>
            <w:r>
              <w:t xml:space="preserve">Thioredoxin 2 deficiency </w:t>
            </w:r>
          </w:p>
        </w:tc>
        <w:tc>
          <w:tcPr>
            <w:tcW w:w="2693" w:type="dxa"/>
          </w:tcPr>
          <w:p w14:paraId="4C421E43" w14:textId="77777777" w:rsidR="00644D92" w:rsidRPr="00F6546E" w:rsidRDefault="00644D92" w:rsidP="00AF2BB0">
            <w:pPr>
              <w:spacing w:before="60" w:after="60"/>
            </w:pPr>
            <w:r>
              <w:t>nDNA: TXN2</w:t>
            </w:r>
          </w:p>
        </w:tc>
        <w:tc>
          <w:tcPr>
            <w:tcW w:w="4394" w:type="dxa"/>
            <w:tcBorders>
              <w:right w:val="double" w:sz="4" w:space="0" w:color="auto"/>
            </w:tcBorders>
          </w:tcPr>
          <w:p w14:paraId="1F8FBC9F" w14:textId="77777777" w:rsidR="00644D92" w:rsidRDefault="00644D92" w:rsidP="00AF2BB0">
            <w:pPr>
              <w:spacing w:before="60" w:after="60"/>
            </w:pPr>
            <w:r>
              <w:t>Minimal data available but good response reported to antioxidant treatments, such as Idebenone orally at 20/kg daily</w:t>
            </w:r>
          </w:p>
        </w:tc>
      </w:tr>
      <w:tr w:rsidR="00644D92" w14:paraId="415D4AC8" w14:textId="77777777" w:rsidTr="003A650C">
        <w:tc>
          <w:tcPr>
            <w:tcW w:w="2978" w:type="dxa"/>
            <w:tcBorders>
              <w:left w:val="double" w:sz="4" w:space="0" w:color="auto"/>
              <w:bottom w:val="double" w:sz="4" w:space="0" w:color="auto"/>
            </w:tcBorders>
          </w:tcPr>
          <w:p w14:paraId="0C8762C9" w14:textId="77777777" w:rsidR="00644D92" w:rsidRDefault="00644D92" w:rsidP="00AF2BB0">
            <w:pPr>
              <w:spacing w:before="60" w:after="60"/>
            </w:pPr>
            <w:r w:rsidRPr="00D01F52">
              <w:t>DGUOK</w:t>
            </w:r>
            <w:r>
              <w:t xml:space="preserve"> (</w:t>
            </w:r>
            <w:r w:rsidRPr="00D01F52">
              <w:t>Deoxyguanosine Kinase</w:t>
            </w:r>
            <w:r>
              <w:t xml:space="preserve">)  Deficiency </w:t>
            </w:r>
          </w:p>
        </w:tc>
        <w:tc>
          <w:tcPr>
            <w:tcW w:w="2693" w:type="dxa"/>
            <w:tcBorders>
              <w:bottom w:val="double" w:sz="4" w:space="0" w:color="auto"/>
            </w:tcBorders>
          </w:tcPr>
          <w:p w14:paraId="40E569CC" w14:textId="77777777" w:rsidR="00644D92" w:rsidRDefault="00644D92" w:rsidP="00AF2BB0">
            <w:pPr>
              <w:spacing w:before="60" w:after="60"/>
            </w:pPr>
            <w:r>
              <w:t xml:space="preserve">nDNA: </w:t>
            </w:r>
            <w:r w:rsidRPr="00D01F52">
              <w:t>DGUOK</w:t>
            </w:r>
          </w:p>
        </w:tc>
        <w:tc>
          <w:tcPr>
            <w:tcW w:w="4394" w:type="dxa"/>
            <w:tcBorders>
              <w:bottom w:val="double" w:sz="4" w:space="0" w:color="auto"/>
              <w:right w:val="double" w:sz="4" w:space="0" w:color="auto"/>
            </w:tcBorders>
          </w:tcPr>
          <w:p w14:paraId="3C189A77" w14:textId="77777777" w:rsidR="00644D92" w:rsidRDefault="00644D92" w:rsidP="00AF2BB0">
            <w:pPr>
              <w:spacing w:before="60" w:after="60"/>
            </w:pPr>
            <w:r>
              <w:t>Liver transplantation has been used as an option in some patients.</w:t>
            </w:r>
          </w:p>
          <w:p w14:paraId="16EA9B87" w14:textId="77777777" w:rsidR="00644D92" w:rsidRDefault="00644D92" w:rsidP="00AF2BB0">
            <w:pPr>
              <w:spacing w:before="60" w:after="60"/>
            </w:pPr>
            <w:r w:rsidRPr="00D01F52">
              <w:t>Molecular bypass therapy</w:t>
            </w:r>
            <w:r>
              <w:t xml:space="preserve"> under investigation for the use in clinical trials</w:t>
            </w:r>
          </w:p>
        </w:tc>
      </w:tr>
    </w:tbl>
    <w:p w14:paraId="2DB40C20" w14:textId="77777777" w:rsidR="00644D92" w:rsidRDefault="00644D92" w:rsidP="004E3382">
      <w:pPr>
        <w:pStyle w:val="EndnoteText"/>
      </w:pPr>
    </w:p>
    <w:p w14:paraId="171EC7D6" w14:textId="77777777" w:rsidR="00644D92" w:rsidRDefault="00644D92" w:rsidP="004E3382">
      <w:pPr>
        <w:pStyle w:val="EndnoteText"/>
      </w:pPr>
    </w:p>
    <w:p w14:paraId="3DE9425F" w14:textId="4EAB27B2" w:rsidR="00644D92" w:rsidRPr="00707F83" w:rsidRDefault="00644D92" w:rsidP="004E3382">
      <w:pPr>
        <w:pStyle w:val="EndnoteText"/>
        <w:rPr>
          <w:b/>
          <w:bCs/>
        </w:rPr>
      </w:pPr>
      <w:r w:rsidRPr="00707F83">
        <w:rPr>
          <w:b/>
          <w:bCs/>
        </w:rPr>
        <w:t>Table 2 - The Nijmegen Clinical Criteria for Mitochondrial Disease</w:t>
      </w:r>
    </w:p>
    <w:p w14:paraId="66B9CA14" w14:textId="465D8FB9" w:rsidR="00644D92" w:rsidRPr="00707F83" w:rsidRDefault="00644D92" w:rsidP="004E3382">
      <w:pPr>
        <w:pStyle w:val="EndnoteText"/>
        <w:rPr>
          <w:b/>
          <w:bCs/>
        </w:rPr>
      </w:pPr>
      <w:r w:rsidRPr="00707F83">
        <w:rPr>
          <w:b/>
          <w:bCs/>
        </w:rPr>
        <w:t xml:space="preserve">               (Sourced and provided by The Foundation for Mitochondrial Medicine, Atlanta, USA) </w:t>
      </w:r>
    </w:p>
    <w:p w14:paraId="14A6E417" w14:textId="77777777" w:rsidR="00644D92" w:rsidRDefault="00644D92" w:rsidP="004E3382">
      <w:pPr>
        <w:pStyle w:val="EndnoteText"/>
        <w:rPr>
          <w:noProof/>
        </w:rPr>
      </w:pPr>
    </w:p>
    <w:p w14:paraId="0124925F" w14:textId="1201D521" w:rsidR="00644D92" w:rsidRDefault="00644D92" w:rsidP="00AF2BB0">
      <w:pPr>
        <w:pStyle w:val="EndnoteText"/>
        <w:jc w:val="center"/>
      </w:pPr>
      <w:r>
        <w:rPr>
          <w:noProof/>
        </w:rPr>
        <w:drawing>
          <wp:inline distT="0" distB="0" distL="0" distR="0" wp14:anchorId="6930BDB0" wp14:editId="19030227">
            <wp:extent cx="4773459" cy="5353050"/>
            <wp:effectExtent l="0" t="0" r="825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7"/>
                    <a:srcRect l="22616" t="23427" r="42032" b="6065"/>
                    <a:stretch/>
                  </pic:blipFill>
                  <pic:spPr bwMode="auto">
                    <a:xfrm>
                      <a:off x="0" y="0"/>
                      <a:ext cx="4806367" cy="5389954"/>
                    </a:xfrm>
                    <a:prstGeom prst="rect">
                      <a:avLst/>
                    </a:prstGeom>
                    <a:ln>
                      <a:noFill/>
                    </a:ln>
                    <a:extLst>
                      <a:ext uri="{53640926-AAD7-44D8-BBD7-CCE9431645EC}">
                        <a14:shadowObscured xmlns:a14="http://schemas.microsoft.com/office/drawing/2010/main"/>
                      </a:ext>
                    </a:extLst>
                  </pic:spPr>
                </pic:pic>
              </a:graphicData>
            </a:graphic>
          </wp:inline>
        </w:drawing>
      </w:r>
    </w:p>
    <w:p w14:paraId="1A85A801" w14:textId="6DACD2D3" w:rsidR="00644D92" w:rsidRDefault="00644D92" w:rsidP="004E3382">
      <w:pPr>
        <w:pStyle w:val="EndnoteText"/>
      </w:pPr>
    </w:p>
    <w:p w14:paraId="220A094A" w14:textId="76132E3A" w:rsidR="00644D92" w:rsidRDefault="00644D92" w:rsidP="004E3382">
      <w:pPr>
        <w:pStyle w:val="EndnoteText"/>
      </w:pPr>
    </w:p>
    <w:p w14:paraId="2F8DCEC1" w14:textId="6B76C305" w:rsidR="00644D92" w:rsidRDefault="00AF2BB0" w:rsidP="00AF2BB0">
      <w:pPr>
        <w:pStyle w:val="EndnoteText"/>
        <w:jc w:val="center"/>
      </w:pPr>
      <w:r>
        <w:rPr>
          <w:noProof/>
        </w:rPr>
        <w:drawing>
          <wp:inline distT="0" distB="0" distL="0" distR="0" wp14:anchorId="46248F4D" wp14:editId="05C3F348">
            <wp:extent cx="4487545" cy="8604984"/>
            <wp:effectExtent l="0" t="0" r="8255" b="5715"/>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6677" cy="8622495"/>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hitney Book">
    <w:altName w:val="Calibri"/>
    <w:panose1 w:val="00000000000000000000"/>
    <w:charset w:val="00"/>
    <w:family w:val="swiss"/>
    <w:notTrueType/>
    <w:pitch w:val="default"/>
    <w:sig w:usb0="00000003" w:usb1="00000000" w:usb2="00000000" w:usb3="00000000" w:csb0="00000001" w:csb1="00000000"/>
  </w:font>
  <w:font w:name="Calibri (Body)">
    <w:altName w:val="Calibri"/>
    <w:panose1 w:val="00000000000000000000"/>
    <w:charset w:val="00"/>
    <w:family w:val="roman"/>
    <w:notTrueType/>
    <w:pitch w:val="default"/>
  </w:font>
  <w:font w:name="URWPalladioL-Roma">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53CD3719" w14:textId="7FE068B2" w:rsidR="00644D92" w:rsidRDefault="00644D92" w:rsidP="00644D92">
        <w:pPr>
          <w:pStyle w:val="Footer"/>
          <w:pBdr>
            <w:top w:val="single" w:sz="4" w:space="1" w:color="D9D9D9" w:themeColor="background1" w:themeShade="D9"/>
          </w:pBdr>
          <w:rPr>
            <w:color w:val="808080" w:themeColor="background1" w:themeShade="80"/>
            <w:spacing w:val="60"/>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b/>
            <w:bCs/>
            <w:noProof/>
            <w:sz w:val="18"/>
            <w:szCs w:val="18"/>
          </w:rPr>
          <w:fldChar w:fldCharType="end"/>
        </w:r>
        <w:r>
          <w:rPr>
            <w:b/>
            <w:bCs/>
            <w:sz w:val="18"/>
            <w:szCs w:val="18"/>
          </w:rPr>
          <w:t xml:space="preserve"> |</w:t>
        </w:r>
        <w:r>
          <w:rPr>
            <w:color w:val="808080" w:themeColor="background1" w:themeShade="80"/>
            <w:spacing w:val="60"/>
            <w:sz w:val="18"/>
            <w:szCs w:val="18"/>
          </w:rPr>
          <w:tab/>
          <w:t>Application Form</w:t>
        </w:r>
      </w:p>
      <w:p w14:paraId="5C2B5269" w14:textId="564CF6A3" w:rsidR="00644D92" w:rsidRPr="00644D92" w:rsidRDefault="00644D92" w:rsidP="00644D92">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E099C" w14:textId="77777777" w:rsidR="00644D92" w:rsidRDefault="00644D92" w:rsidP="00CF2DFA">
      <w:pPr>
        <w:spacing w:after="0"/>
      </w:pPr>
      <w:r>
        <w:separator/>
      </w:r>
    </w:p>
  </w:footnote>
  <w:footnote w:type="continuationSeparator" w:id="0">
    <w:p w14:paraId="64FAA805" w14:textId="77777777" w:rsidR="00644D92" w:rsidRDefault="00644D92" w:rsidP="00CF2D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1516D"/>
    <w:multiLevelType w:val="hybridMultilevel"/>
    <w:tmpl w:val="28D84E0C"/>
    <w:lvl w:ilvl="0" w:tplc="0C090001">
      <w:start w:val="1"/>
      <w:numFmt w:val="bullet"/>
      <w:lvlText w:val=""/>
      <w:lvlJc w:val="left"/>
      <w:pPr>
        <w:ind w:left="1185" w:hanging="360"/>
      </w:pPr>
      <w:rPr>
        <w:rFonts w:ascii="Symbol" w:hAnsi="Symbol" w:hint="default"/>
      </w:rPr>
    </w:lvl>
    <w:lvl w:ilvl="1" w:tplc="0C090003" w:tentative="1">
      <w:start w:val="1"/>
      <w:numFmt w:val="bullet"/>
      <w:lvlText w:val="o"/>
      <w:lvlJc w:val="left"/>
      <w:pPr>
        <w:ind w:left="1905" w:hanging="360"/>
      </w:pPr>
      <w:rPr>
        <w:rFonts w:ascii="Courier New" w:hAnsi="Courier New" w:cs="Courier New" w:hint="default"/>
      </w:rPr>
    </w:lvl>
    <w:lvl w:ilvl="2" w:tplc="0C090005" w:tentative="1">
      <w:start w:val="1"/>
      <w:numFmt w:val="bullet"/>
      <w:lvlText w:val=""/>
      <w:lvlJc w:val="left"/>
      <w:pPr>
        <w:ind w:left="2625" w:hanging="360"/>
      </w:pPr>
      <w:rPr>
        <w:rFonts w:ascii="Wingdings" w:hAnsi="Wingdings" w:hint="default"/>
      </w:rPr>
    </w:lvl>
    <w:lvl w:ilvl="3" w:tplc="0C090001" w:tentative="1">
      <w:start w:val="1"/>
      <w:numFmt w:val="bullet"/>
      <w:lvlText w:val=""/>
      <w:lvlJc w:val="left"/>
      <w:pPr>
        <w:ind w:left="3345" w:hanging="360"/>
      </w:pPr>
      <w:rPr>
        <w:rFonts w:ascii="Symbol" w:hAnsi="Symbol" w:hint="default"/>
      </w:rPr>
    </w:lvl>
    <w:lvl w:ilvl="4" w:tplc="0C090003" w:tentative="1">
      <w:start w:val="1"/>
      <w:numFmt w:val="bullet"/>
      <w:lvlText w:val="o"/>
      <w:lvlJc w:val="left"/>
      <w:pPr>
        <w:ind w:left="4065" w:hanging="360"/>
      </w:pPr>
      <w:rPr>
        <w:rFonts w:ascii="Courier New" w:hAnsi="Courier New" w:cs="Courier New" w:hint="default"/>
      </w:rPr>
    </w:lvl>
    <w:lvl w:ilvl="5" w:tplc="0C090005" w:tentative="1">
      <w:start w:val="1"/>
      <w:numFmt w:val="bullet"/>
      <w:lvlText w:val=""/>
      <w:lvlJc w:val="left"/>
      <w:pPr>
        <w:ind w:left="4785" w:hanging="360"/>
      </w:pPr>
      <w:rPr>
        <w:rFonts w:ascii="Wingdings" w:hAnsi="Wingdings" w:hint="default"/>
      </w:rPr>
    </w:lvl>
    <w:lvl w:ilvl="6" w:tplc="0C090001" w:tentative="1">
      <w:start w:val="1"/>
      <w:numFmt w:val="bullet"/>
      <w:lvlText w:val=""/>
      <w:lvlJc w:val="left"/>
      <w:pPr>
        <w:ind w:left="5505" w:hanging="360"/>
      </w:pPr>
      <w:rPr>
        <w:rFonts w:ascii="Symbol" w:hAnsi="Symbol" w:hint="default"/>
      </w:rPr>
    </w:lvl>
    <w:lvl w:ilvl="7" w:tplc="0C090003" w:tentative="1">
      <w:start w:val="1"/>
      <w:numFmt w:val="bullet"/>
      <w:lvlText w:val="o"/>
      <w:lvlJc w:val="left"/>
      <w:pPr>
        <w:ind w:left="6225" w:hanging="360"/>
      </w:pPr>
      <w:rPr>
        <w:rFonts w:ascii="Courier New" w:hAnsi="Courier New" w:cs="Courier New" w:hint="default"/>
      </w:rPr>
    </w:lvl>
    <w:lvl w:ilvl="8" w:tplc="0C090005" w:tentative="1">
      <w:start w:val="1"/>
      <w:numFmt w:val="bullet"/>
      <w:lvlText w:val=""/>
      <w:lvlJc w:val="left"/>
      <w:pPr>
        <w:ind w:left="6945" w:hanging="360"/>
      </w:pPr>
      <w:rPr>
        <w:rFonts w:ascii="Wingdings" w:hAnsi="Wingdings" w:hint="default"/>
      </w:rPr>
    </w:lvl>
  </w:abstractNum>
  <w:abstractNum w:abstractNumId="3"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E22B8D"/>
    <w:multiLevelType w:val="hybridMultilevel"/>
    <w:tmpl w:val="1D1C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7779EA"/>
    <w:multiLevelType w:val="hybridMultilevel"/>
    <w:tmpl w:val="B08EA3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BB398F"/>
    <w:multiLevelType w:val="hybridMultilevel"/>
    <w:tmpl w:val="CCC05B34"/>
    <w:lvl w:ilvl="0" w:tplc="0C090001">
      <w:start w:val="1"/>
      <w:numFmt w:val="bullet"/>
      <w:lvlText w:val=""/>
      <w:lvlJc w:val="left"/>
      <w:pPr>
        <w:ind w:left="1120" w:hanging="360"/>
      </w:pPr>
      <w:rPr>
        <w:rFonts w:ascii="Symbol" w:hAnsi="Symbol" w:hint="default"/>
      </w:rPr>
    </w:lvl>
    <w:lvl w:ilvl="1" w:tplc="0C090003" w:tentative="1">
      <w:start w:val="1"/>
      <w:numFmt w:val="bullet"/>
      <w:lvlText w:val="o"/>
      <w:lvlJc w:val="left"/>
      <w:pPr>
        <w:ind w:left="1840" w:hanging="360"/>
      </w:pPr>
      <w:rPr>
        <w:rFonts w:ascii="Courier New" w:hAnsi="Courier New" w:cs="Courier New" w:hint="default"/>
      </w:rPr>
    </w:lvl>
    <w:lvl w:ilvl="2" w:tplc="0C090005" w:tentative="1">
      <w:start w:val="1"/>
      <w:numFmt w:val="bullet"/>
      <w:lvlText w:val=""/>
      <w:lvlJc w:val="left"/>
      <w:pPr>
        <w:ind w:left="2560" w:hanging="360"/>
      </w:pPr>
      <w:rPr>
        <w:rFonts w:ascii="Wingdings" w:hAnsi="Wingdings" w:hint="default"/>
      </w:rPr>
    </w:lvl>
    <w:lvl w:ilvl="3" w:tplc="0C090001" w:tentative="1">
      <w:start w:val="1"/>
      <w:numFmt w:val="bullet"/>
      <w:lvlText w:val=""/>
      <w:lvlJc w:val="left"/>
      <w:pPr>
        <w:ind w:left="3280" w:hanging="360"/>
      </w:pPr>
      <w:rPr>
        <w:rFonts w:ascii="Symbol" w:hAnsi="Symbol" w:hint="default"/>
      </w:rPr>
    </w:lvl>
    <w:lvl w:ilvl="4" w:tplc="0C090003" w:tentative="1">
      <w:start w:val="1"/>
      <w:numFmt w:val="bullet"/>
      <w:lvlText w:val="o"/>
      <w:lvlJc w:val="left"/>
      <w:pPr>
        <w:ind w:left="4000" w:hanging="360"/>
      </w:pPr>
      <w:rPr>
        <w:rFonts w:ascii="Courier New" w:hAnsi="Courier New" w:cs="Courier New" w:hint="default"/>
      </w:rPr>
    </w:lvl>
    <w:lvl w:ilvl="5" w:tplc="0C090005" w:tentative="1">
      <w:start w:val="1"/>
      <w:numFmt w:val="bullet"/>
      <w:lvlText w:val=""/>
      <w:lvlJc w:val="left"/>
      <w:pPr>
        <w:ind w:left="4720" w:hanging="360"/>
      </w:pPr>
      <w:rPr>
        <w:rFonts w:ascii="Wingdings" w:hAnsi="Wingdings" w:hint="default"/>
      </w:rPr>
    </w:lvl>
    <w:lvl w:ilvl="6" w:tplc="0C090001" w:tentative="1">
      <w:start w:val="1"/>
      <w:numFmt w:val="bullet"/>
      <w:lvlText w:val=""/>
      <w:lvlJc w:val="left"/>
      <w:pPr>
        <w:ind w:left="5440" w:hanging="360"/>
      </w:pPr>
      <w:rPr>
        <w:rFonts w:ascii="Symbol" w:hAnsi="Symbol" w:hint="default"/>
      </w:rPr>
    </w:lvl>
    <w:lvl w:ilvl="7" w:tplc="0C090003" w:tentative="1">
      <w:start w:val="1"/>
      <w:numFmt w:val="bullet"/>
      <w:lvlText w:val="o"/>
      <w:lvlJc w:val="left"/>
      <w:pPr>
        <w:ind w:left="6160" w:hanging="360"/>
      </w:pPr>
      <w:rPr>
        <w:rFonts w:ascii="Courier New" w:hAnsi="Courier New" w:cs="Courier New" w:hint="default"/>
      </w:rPr>
    </w:lvl>
    <w:lvl w:ilvl="8" w:tplc="0C090005" w:tentative="1">
      <w:start w:val="1"/>
      <w:numFmt w:val="bullet"/>
      <w:lvlText w:val=""/>
      <w:lvlJc w:val="left"/>
      <w:pPr>
        <w:ind w:left="6880" w:hanging="360"/>
      </w:pPr>
      <w:rPr>
        <w:rFonts w:ascii="Wingdings" w:hAnsi="Wingdings" w:hint="default"/>
      </w:rPr>
    </w:lvl>
  </w:abstractNum>
  <w:abstractNum w:abstractNumId="10" w15:restartNumberingAfterBreak="0">
    <w:nsid w:val="20B1676A"/>
    <w:multiLevelType w:val="hybridMultilevel"/>
    <w:tmpl w:val="B7EA1A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24520EB6"/>
    <w:multiLevelType w:val="multilevel"/>
    <w:tmpl w:val="3A1836BE"/>
    <w:lvl w:ilvl="0">
      <w:numFmt w:val="bullet"/>
      <w:lvlText w:val="-"/>
      <w:lvlJc w:val="left"/>
      <w:pPr>
        <w:ind w:left="360" w:hanging="360"/>
      </w:pPr>
      <w:rPr>
        <w:rFonts w:ascii="Calibri" w:eastAsiaTheme="minorHAnsi" w:hAnsi="Calibri" w:cs="Calibri"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B6658C"/>
    <w:multiLevelType w:val="hybridMultilevel"/>
    <w:tmpl w:val="D94A8B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52C28"/>
    <w:multiLevelType w:val="hybridMultilevel"/>
    <w:tmpl w:val="604E1126"/>
    <w:lvl w:ilvl="0" w:tplc="0C090001">
      <w:start w:val="1"/>
      <w:numFmt w:val="bullet"/>
      <w:lvlText w:val=""/>
      <w:lvlJc w:val="left"/>
      <w:pPr>
        <w:ind w:left="23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2B16FD9"/>
    <w:multiLevelType w:val="hybridMultilevel"/>
    <w:tmpl w:val="5DBC91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4450409"/>
    <w:multiLevelType w:val="hybridMultilevel"/>
    <w:tmpl w:val="FD228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45834"/>
    <w:multiLevelType w:val="hybridMultilevel"/>
    <w:tmpl w:val="E1A40BAE"/>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7" w15:restartNumberingAfterBreak="0">
    <w:nsid w:val="3C0D0157"/>
    <w:multiLevelType w:val="multilevel"/>
    <w:tmpl w:val="EA404170"/>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1358C2"/>
    <w:multiLevelType w:val="hybridMultilevel"/>
    <w:tmpl w:val="CC72D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510F6FAE"/>
    <w:multiLevelType w:val="multilevel"/>
    <w:tmpl w:val="D5FA7F4A"/>
    <w:lvl w:ilvl="0">
      <w:start w:val="1"/>
      <w:numFmt w:val="decimal"/>
      <w:pStyle w:val="Heading2"/>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3C56C0A"/>
    <w:multiLevelType w:val="hybridMultilevel"/>
    <w:tmpl w:val="02E6B504"/>
    <w:lvl w:ilvl="0" w:tplc="0C090001">
      <w:start w:val="1"/>
      <w:numFmt w:val="bullet"/>
      <w:lvlText w:val=""/>
      <w:lvlJc w:val="left"/>
      <w:pPr>
        <w:ind w:left="1980" w:hanging="360"/>
      </w:pPr>
      <w:rPr>
        <w:rFonts w:ascii="Symbol" w:hAnsi="Symbol" w:hint="default"/>
      </w:rPr>
    </w:lvl>
    <w:lvl w:ilvl="1" w:tplc="0C090003" w:tentative="1">
      <w:start w:val="1"/>
      <w:numFmt w:val="bullet"/>
      <w:lvlText w:val="o"/>
      <w:lvlJc w:val="left"/>
      <w:pPr>
        <w:ind w:left="2700" w:hanging="360"/>
      </w:pPr>
      <w:rPr>
        <w:rFonts w:ascii="Courier New" w:hAnsi="Courier New" w:cs="Courier New" w:hint="default"/>
      </w:rPr>
    </w:lvl>
    <w:lvl w:ilvl="2" w:tplc="0C090005" w:tentative="1">
      <w:start w:val="1"/>
      <w:numFmt w:val="bullet"/>
      <w:lvlText w:val=""/>
      <w:lvlJc w:val="left"/>
      <w:pPr>
        <w:ind w:left="3420" w:hanging="360"/>
      </w:pPr>
      <w:rPr>
        <w:rFonts w:ascii="Wingdings" w:hAnsi="Wingdings" w:hint="default"/>
      </w:rPr>
    </w:lvl>
    <w:lvl w:ilvl="3" w:tplc="0C090001" w:tentative="1">
      <w:start w:val="1"/>
      <w:numFmt w:val="bullet"/>
      <w:lvlText w:val=""/>
      <w:lvlJc w:val="left"/>
      <w:pPr>
        <w:ind w:left="4140" w:hanging="360"/>
      </w:pPr>
      <w:rPr>
        <w:rFonts w:ascii="Symbol" w:hAnsi="Symbol" w:hint="default"/>
      </w:rPr>
    </w:lvl>
    <w:lvl w:ilvl="4" w:tplc="0C090003" w:tentative="1">
      <w:start w:val="1"/>
      <w:numFmt w:val="bullet"/>
      <w:lvlText w:val="o"/>
      <w:lvlJc w:val="left"/>
      <w:pPr>
        <w:ind w:left="4860" w:hanging="360"/>
      </w:pPr>
      <w:rPr>
        <w:rFonts w:ascii="Courier New" w:hAnsi="Courier New" w:cs="Courier New" w:hint="default"/>
      </w:rPr>
    </w:lvl>
    <w:lvl w:ilvl="5" w:tplc="0C090005" w:tentative="1">
      <w:start w:val="1"/>
      <w:numFmt w:val="bullet"/>
      <w:lvlText w:val=""/>
      <w:lvlJc w:val="left"/>
      <w:pPr>
        <w:ind w:left="5580" w:hanging="360"/>
      </w:pPr>
      <w:rPr>
        <w:rFonts w:ascii="Wingdings" w:hAnsi="Wingdings" w:hint="default"/>
      </w:rPr>
    </w:lvl>
    <w:lvl w:ilvl="6" w:tplc="0C090001" w:tentative="1">
      <w:start w:val="1"/>
      <w:numFmt w:val="bullet"/>
      <w:lvlText w:val=""/>
      <w:lvlJc w:val="left"/>
      <w:pPr>
        <w:ind w:left="6300" w:hanging="360"/>
      </w:pPr>
      <w:rPr>
        <w:rFonts w:ascii="Symbol" w:hAnsi="Symbol" w:hint="default"/>
      </w:rPr>
    </w:lvl>
    <w:lvl w:ilvl="7" w:tplc="0C090003" w:tentative="1">
      <w:start w:val="1"/>
      <w:numFmt w:val="bullet"/>
      <w:lvlText w:val="o"/>
      <w:lvlJc w:val="left"/>
      <w:pPr>
        <w:ind w:left="7020" w:hanging="360"/>
      </w:pPr>
      <w:rPr>
        <w:rFonts w:ascii="Courier New" w:hAnsi="Courier New" w:cs="Courier New" w:hint="default"/>
      </w:rPr>
    </w:lvl>
    <w:lvl w:ilvl="8" w:tplc="0C090005" w:tentative="1">
      <w:start w:val="1"/>
      <w:numFmt w:val="bullet"/>
      <w:lvlText w:val=""/>
      <w:lvlJc w:val="left"/>
      <w:pPr>
        <w:ind w:left="7740" w:hanging="360"/>
      </w:pPr>
      <w:rPr>
        <w:rFonts w:ascii="Wingdings" w:hAnsi="Wingdings" w:hint="default"/>
      </w:rPr>
    </w:lvl>
  </w:abstractNum>
  <w:abstractNum w:abstractNumId="23"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5B5710"/>
    <w:multiLevelType w:val="hybridMultilevel"/>
    <w:tmpl w:val="78085A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9201A7"/>
    <w:multiLevelType w:val="hybridMultilevel"/>
    <w:tmpl w:val="4738C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3B1F5F"/>
    <w:multiLevelType w:val="hybridMultilevel"/>
    <w:tmpl w:val="9088466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C74950"/>
    <w:multiLevelType w:val="hybridMultilevel"/>
    <w:tmpl w:val="D01084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1"/>
  </w:num>
  <w:num w:numId="2">
    <w:abstractNumId w:val="30"/>
  </w:num>
  <w:num w:numId="3">
    <w:abstractNumId w:val="1"/>
  </w:num>
  <w:num w:numId="4">
    <w:abstractNumId w:val="27"/>
  </w:num>
  <w:num w:numId="5">
    <w:abstractNumId w:val="5"/>
  </w:num>
  <w:num w:numId="6">
    <w:abstractNumId w:val="18"/>
  </w:num>
  <w:num w:numId="7">
    <w:abstractNumId w:val="29"/>
  </w:num>
  <w:num w:numId="8">
    <w:abstractNumId w:val="3"/>
  </w:num>
  <w:num w:numId="9">
    <w:abstractNumId w:val="24"/>
  </w:num>
  <w:num w:numId="10">
    <w:abstractNumId w:val="8"/>
  </w:num>
  <w:num w:numId="11">
    <w:abstractNumId w:val="23"/>
  </w:num>
  <w:num w:numId="12">
    <w:abstractNumId w:val="7"/>
  </w:num>
  <w:num w:numId="13">
    <w:abstractNumId w:val="20"/>
  </w:num>
  <w:num w:numId="14">
    <w:abstractNumId w:val="0"/>
  </w:num>
  <w:num w:numId="15">
    <w:abstractNumId w:val="6"/>
  </w:num>
  <w:num w:numId="16">
    <w:abstractNumId w:val="28"/>
  </w:num>
  <w:num w:numId="17">
    <w:abstractNumId w:val="4"/>
  </w:num>
  <w:num w:numId="18">
    <w:abstractNumId w:val="31"/>
  </w:num>
  <w:num w:numId="19">
    <w:abstractNumId w:val="2"/>
  </w:num>
  <w:num w:numId="20">
    <w:abstractNumId w:val="16"/>
  </w:num>
  <w:num w:numId="21">
    <w:abstractNumId w:val="13"/>
  </w:num>
  <w:num w:numId="22">
    <w:abstractNumId w:val="22"/>
  </w:num>
  <w:num w:numId="23">
    <w:abstractNumId w:val="14"/>
  </w:num>
  <w:num w:numId="24">
    <w:abstractNumId w:val="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9"/>
  </w:num>
  <w:num w:numId="28">
    <w:abstractNumId w:val="15"/>
  </w:num>
  <w:num w:numId="29">
    <w:abstractNumId w:val="12"/>
  </w:num>
  <w:num w:numId="30">
    <w:abstractNumId w:val="17"/>
  </w:num>
  <w:num w:numId="31">
    <w:abstractNumId w:val="11"/>
  </w:num>
  <w:num w:numId="32">
    <w:abstractNumId w:val="4"/>
  </w:num>
  <w:num w:numId="33">
    <w:abstractNumId w:val="2"/>
  </w:num>
  <w:num w:numId="34">
    <w:abstractNumId w:val="26"/>
  </w:num>
  <w:num w:numId="35">
    <w:abstractNumId w:val="26"/>
  </w:num>
  <w:num w:numId="36">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C5"/>
    <w:rsid w:val="000071CB"/>
    <w:rsid w:val="0000729B"/>
    <w:rsid w:val="00010CB2"/>
    <w:rsid w:val="000110DC"/>
    <w:rsid w:val="00011ACD"/>
    <w:rsid w:val="000127E3"/>
    <w:rsid w:val="00012A7D"/>
    <w:rsid w:val="00012BAD"/>
    <w:rsid w:val="00013D03"/>
    <w:rsid w:val="00013F3C"/>
    <w:rsid w:val="0001507A"/>
    <w:rsid w:val="000158AA"/>
    <w:rsid w:val="000159B9"/>
    <w:rsid w:val="00016B6E"/>
    <w:rsid w:val="00016E1D"/>
    <w:rsid w:val="00023E21"/>
    <w:rsid w:val="00025ABC"/>
    <w:rsid w:val="00026412"/>
    <w:rsid w:val="0003164C"/>
    <w:rsid w:val="00031F6F"/>
    <w:rsid w:val="00034D6E"/>
    <w:rsid w:val="00041003"/>
    <w:rsid w:val="00043612"/>
    <w:rsid w:val="00045B52"/>
    <w:rsid w:val="0005089D"/>
    <w:rsid w:val="00051012"/>
    <w:rsid w:val="000511FA"/>
    <w:rsid w:val="000525BC"/>
    <w:rsid w:val="00060AAD"/>
    <w:rsid w:val="0007032F"/>
    <w:rsid w:val="00073222"/>
    <w:rsid w:val="0007420C"/>
    <w:rsid w:val="00074690"/>
    <w:rsid w:val="00074EEB"/>
    <w:rsid w:val="0007564C"/>
    <w:rsid w:val="000770BA"/>
    <w:rsid w:val="00080F4F"/>
    <w:rsid w:val="000819BB"/>
    <w:rsid w:val="000826FC"/>
    <w:rsid w:val="000857C0"/>
    <w:rsid w:val="00092580"/>
    <w:rsid w:val="0009491B"/>
    <w:rsid w:val="0009532B"/>
    <w:rsid w:val="000955E7"/>
    <w:rsid w:val="000971B8"/>
    <w:rsid w:val="000A0457"/>
    <w:rsid w:val="000A0990"/>
    <w:rsid w:val="000A110D"/>
    <w:rsid w:val="000A154C"/>
    <w:rsid w:val="000A37F2"/>
    <w:rsid w:val="000A38D3"/>
    <w:rsid w:val="000A478F"/>
    <w:rsid w:val="000A482F"/>
    <w:rsid w:val="000A4D89"/>
    <w:rsid w:val="000A5253"/>
    <w:rsid w:val="000A5B32"/>
    <w:rsid w:val="000A6006"/>
    <w:rsid w:val="000B123A"/>
    <w:rsid w:val="000B189B"/>
    <w:rsid w:val="000B3CD0"/>
    <w:rsid w:val="000C025D"/>
    <w:rsid w:val="000C23D1"/>
    <w:rsid w:val="000C27B4"/>
    <w:rsid w:val="000C3FD6"/>
    <w:rsid w:val="000C4835"/>
    <w:rsid w:val="000D066E"/>
    <w:rsid w:val="000D0831"/>
    <w:rsid w:val="000D22F0"/>
    <w:rsid w:val="000D48CB"/>
    <w:rsid w:val="000D7D7D"/>
    <w:rsid w:val="000E25AF"/>
    <w:rsid w:val="000E4134"/>
    <w:rsid w:val="000E47E7"/>
    <w:rsid w:val="000E4FFD"/>
    <w:rsid w:val="000E51D7"/>
    <w:rsid w:val="000E52B4"/>
    <w:rsid w:val="000E5439"/>
    <w:rsid w:val="000E70E1"/>
    <w:rsid w:val="000E741B"/>
    <w:rsid w:val="000E7790"/>
    <w:rsid w:val="000F06E7"/>
    <w:rsid w:val="000F1196"/>
    <w:rsid w:val="000F30FD"/>
    <w:rsid w:val="000F3324"/>
    <w:rsid w:val="000F4927"/>
    <w:rsid w:val="001014EB"/>
    <w:rsid w:val="00102686"/>
    <w:rsid w:val="00103709"/>
    <w:rsid w:val="00104BB9"/>
    <w:rsid w:val="0011036E"/>
    <w:rsid w:val="001113EA"/>
    <w:rsid w:val="001116AE"/>
    <w:rsid w:val="0011245E"/>
    <w:rsid w:val="001130B0"/>
    <w:rsid w:val="0011369B"/>
    <w:rsid w:val="00116239"/>
    <w:rsid w:val="0011742E"/>
    <w:rsid w:val="00120D41"/>
    <w:rsid w:val="00123D10"/>
    <w:rsid w:val="00123F87"/>
    <w:rsid w:val="00124DB9"/>
    <w:rsid w:val="001251FF"/>
    <w:rsid w:val="00125D20"/>
    <w:rsid w:val="00126B33"/>
    <w:rsid w:val="00133246"/>
    <w:rsid w:val="001346C4"/>
    <w:rsid w:val="00140777"/>
    <w:rsid w:val="00140DF5"/>
    <w:rsid w:val="0014280D"/>
    <w:rsid w:val="0014736E"/>
    <w:rsid w:val="00151BB7"/>
    <w:rsid w:val="00154B00"/>
    <w:rsid w:val="00161F80"/>
    <w:rsid w:val="00164479"/>
    <w:rsid w:val="001644E9"/>
    <w:rsid w:val="00165309"/>
    <w:rsid w:val="00166E0C"/>
    <w:rsid w:val="001803EC"/>
    <w:rsid w:val="0018166C"/>
    <w:rsid w:val="00183944"/>
    <w:rsid w:val="00183E60"/>
    <w:rsid w:val="001845D9"/>
    <w:rsid w:val="001847D8"/>
    <w:rsid w:val="0018630F"/>
    <w:rsid w:val="001906CD"/>
    <w:rsid w:val="00191B99"/>
    <w:rsid w:val="00192630"/>
    <w:rsid w:val="00194347"/>
    <w:rsid w:val="00196737"/>
    <w:rsid w:val="0019694B"/>
    <w:rsid w:val="00197D29"/>
    <w:rsid w:val="001A02E3"/>
    <w:rsid w:val="001A1ADF"/>
    <w:rsid w:val="001A25AE"/>
    <w:rsid w:val="001A365C"/>
    <w:rsid w:val="001A46B2"/>
    <w:rsid w:val="001A4FE6"/>
    <w:rsid w:val="001B171D"/>
    <w:rsid w:val="001B2400"/>
    <w:rsid w:val="001B2589"/>
    <w:rsid w:val="001B29A1"/>
    <w:rsid w:val="001B488E"/>
    <w:rsid w:val="001B5169"/>
    <w:rsid w:val="001B6164"/>
    <w:rsid w:val="001C067A"/>
    <w:rsid w:val="001C177C"/>
    <w:rsid w:val="001C1924"/>
    <w:rsid w:val="001C395B"/>
    <w:rsid w:val="001D77ED"/>
    <w:rsid w:val="001E1180"/>
    <w:rsid w:val="001E23EA"/>
    <w:rsid w:val="001E37DC"/>
    <w:rsid w:val="001E3AB9"/>
    <w:rsid w:val="001E6919"/>
    <w:rsid w:val="001E6958"/>
    <w:rsid w:val="001F15C9"/>
    <w:rsid w:val="001F40EB"/>
    <w:rsid w:val="001F474A"/>
    <w:rsid w:val="001F57EE"/>
    <w:rsid w:val="001F7BCC"/>
    <w:rsid w:val="00201924"/>
    <w:rsid w:val="00202473"/>
    <w:rsid w:val="00204F2E"/>
    <w:rsid w:val="002053F2"/>
    <w:rsid w:val="002063C7"/>
    <w:rsid w:val="00206D63"/>
    <w:rsid w:val="00210E81"/>
    <w:rsid w:val="0021185D"/>
    <w:rsid w:val="00212A04"/>
    <w:rsid w:val="00215F20"/>
    <w:rsid w:val="00217D05"/>
    <w:rsid w:val="002209F5"/>
    <w:rsid w:val="00222DC2"/>
    <w:rsid w:val="00226777"/>
    <w:rsid w:val="0022705F"/>
    <w:rsid w:val="002309C3"/>
    <w:rsid w:val="00231599"/>
    <w:rsid w:val="00233991"/>
    <w:rsid w:val="00233BC4"/>
    <w:rsid w:val="00235BD1"/>
    <w:rsid w:val="00236704"/>
    <w:rsid w:val="002427EF"/>
    <w:rsid w:val="00242B0E"/>
    <w:rsid w:val="002437D2"/>
    <w:rsid w:val="0024544D"/>
    <w:rsid w:val="002454C8"/>
    <w:rsid w:val="002455F8"/>
    <w:rsid w:val="002459CB"/>
    <w:rsid w:val="00247DF0"/>
    <w:rsid w:val="002504DC"/>
    <w:rsid w:val="00251354"/>
    <w:rsid w:val="00254813"/>
    <w:rsid w:val="00255587"/>
    <w:rsid w:val="00255DBF"/>
    <w:rsid w:val="00257FF2"/>
    <w:rsid w:val="00265822"/>
    <w:rsid w:val="00265DDF"/>
    <w:rsid w:val="00270E81"/>
    <w:rsid w:val="0027105F"/>
    <w:rsid w:val="002711FB"/>
    <w:rsid w:val="00271A35"/>
    <w:rsid w:val="00271EE7"/>
    <w:rsid w:val="002745CF"/>
    <w:rsid w:val="00275C88"/>
    <w:rsid w:val="002776B3"/>
    <w:rsid w:val="002802A3"/>
    <w:rsid w:val="00282BE8"/>
    <w:rsid w:val="00283318"/>
    <w:rsid w:val="00285525"/>
    <w:rsid w:val="002877CE"/>
    <w:rsid w:val="00290D4D"/>
    <w:rsid w:val="00292237"/>
    <w:rsid w:val="002944C3"/>
    <w:rsid w:val="00294CD8"/>
    <w:rsid w:val="00295C82"/>
    <w:rsid w:val="002A1843"/>
    <w:rsid w:val="002A1905"/>
    <w:rsid w:val="002A25A1"/>
    <w:rsid w:val="002A270B"/>
    <w:rsid w:val="002A3B38"/>
    <w:rsid w:val="002A50FD"/>
    <w:rsid w:val="002A5D8F"/>
    <w:rsid w:val="002A6753"/>
    <w:rsid w:val="002A76A2"/>
    <w:rsid w:val="002B0156"/>
    <w:rsid w:val="002B082A"/>
    <w:rsid w:val="002B1734"/>
    <w:rsid w:val="002B28D7"/>
    <w:rsid w:val="002B34F3"/>
    <w:rsid w:val="002B7684"/>
    <w:rsid w:val="002B7EB6"/>
    <w:rsid w:val="002C0010"/>
    <w:rsid w:val="002C09F8"/>
    <w:rsid w:val="002C0B61"/>
    <w:rsid w:val="002C0C64"/>
    <w:rsid w:val="002C15E6"/>
    <w:rsid w:val="002C247D"/>
    <w:rsid w:val="002C3345"/>
    <w:rsid w:val="002D0412"/>
    <w:rsid w:val="002D409A"/>
    <w:rsid w:val="002D5A89"/>
    <w:rsid w:val="002D777A"/>
    <w:rsid w:val="002E0B3A"/>
    <w:rsid w:val="002E10FE"/>
    <w:rsid w:val="002E1125"/>
    <w:rsid w:val="002E1EA7"/>
    <w:rsid w:val="002E2B44"/>
    <w:rsid w:val="002E3E1D"/>
    <w:rsid w:val="002E6C24"/>
    <w:rsid w:val="002F27F7"/>
    <w:rsid w:val="002F30E7"/>
    <w:rsid w:val="0030044E"/>
    <w:rsid w:val="0030090F"/>
    <w:rsid w:val="00300EEB"/>
    <w:rsid w:val="00301202"/>
    <w:rsid w:val="003013A9"/>
    <w:rsid w:val="00301958"/>
    <w:rsid w:val="003020B5"/>
    <w:rsid w:val="003027BB"/>
    <w:rsid w:val="00304424"/>
    <w:rsid w:val="00305572"/>
    <w:rsid w:val="003063F1"/>
    <w:rsid w:val="00310685"/>
    <w:rsid w:val="00310A10"/>
    <w:rsid w:val="00310C4D"/>
    <w:rsid w:val="00311557"/>
    <w:rsid w:val="0031484E"/>
    <w:rsid w:val="00314C6D"/>
    <w:rsid w:val="0032034A"/>
    <w:rsid w:val="00320551"/>
    <w:rsid w:val="00322B12"/>
    <w:rsid w:val="00322CA8"/>
    <w:rsid w:val="00327D25"/>
    <w:rsid w:val="003319A7"/>
    <w:rsid w:val="0033231F"/>
    <w:rsid w:val="00334FE3"/>
    <w:rsid w:val="00337D5E"/>
    <w:rsid w:val="003421AE"/>
    <w:rsid w:val="00342524"/>
    <w:rsid w:val="003433D1"/>
    <w:rsid w:val="00344915"/>
    <w:rsid w:val="00344B24"/>
    <w:rsid w:val="00345101"/>
    <w:rsid w:val="003456B9"/>
    <w:rsid w:val="00345A96"/>
    <w:rsid w:val="0035067D"/>
    <w:rsid w:val="00352A94"/>
    <w:rsid w:val="00353A16"/>
    <w:rsid w:val="00354C16"/>
    <w:rsid w:val="0035776D"/>
    <w:rsid w:val="00362EE7"/>
    <w:rsid w:val="00364FD9"/>
    <w:rsid w:val="00365314"/>
    <w:rsid w:val="00367C1B"/>
    <w:rsid w:val="00374856"/>
    <w:rsid w:val="00376B61"/>
    <w:rsid w:val="00382407"/>
    <w:rsid w:val="003855C7"/>
    <w:rsid w:val="00386A64"/>
    <w:rsid w:val="00386FA1"/>
    <w:rsid w:val="00390142"/>
    <w:rsid w:val="003904AC"/>
    <w:rsid w:val="00390796"/>
    <w:rsid w:val="00392735"/>
    <w:rsid w:val="00392F00"/>
    <w:rsid w:val="00397377"/>
    <w:rsid w:val="003A053C"/>
    <w:rsid w:val="003A0EEA"/>
    <w:rsid w:val="003A22BC"/>
    <w:rsid w:val="003A22DE"/>
    <w:rsid w:val="003A2860"/>
    <w:rsid w:val="003A3C35"/>
    <w:rsid w:val="003A650C"/>
    <w:rsid w:val="003A7D30"/>
    <w:rsid w:val="003B0781"/>
    <w:rsid w:val="003B3C5C"/>
    <w:rsid w:val="003B4026"/>
    <w:rsid w:val="003B492C"/>
    <w:rsid w:val="003B51C3"/>
    <w:rsid w:val="003C1AE0"/>
    <w:rsid w:val="003C47CA"/>
    <w:rsid w:val="003C4E51"/>
    <w:rsid w:val="003C524A"/>
    <w:rsid w:val="003C7B58"/>
    <w:rsid w:val="003D4F7F"/>
    <w:rsid w:val="003D6754"/>
    <w:rsid w:val="003D6DE1"/>
    <w:rsid w:val="003D795C"/>
    <w:rsid w:val="003E0E45"/>
    <w:rsid w:val="003E1848"/>
    <w:rsid w:val="003E30FB"/>
    <w:rsid w:val="003E3E01"/>
    <w:rsid w:val="003E6D23"/>
    <w:rsid w:val="003E7735"/>
    <w:rsid w:val="003F2711"/>
    <w:rsid w:val="003F2C95"/>
    <w:rsid w:val="003F487C"/>
    <w:rsid w:val="003F4AC0"/>
    <w:rsid w:val="003F621E"/>
    <w:rsid w:val="003F6C0E"/>
    <w:rsid w:val="003F6C70"/>
    <w:rsid w:val="003F7255"/>
    <w:rsid w:val="003F74B0"/>
    <w:rsid w:val="003F7CB9"/>
    <w:rsid w:val="00403333"/>
    <w:rsid w:val="004048E0"/>
    <w:rsid w:val="004066B4"/>
    <w:rsid w:val="00406D2B"/>
    <w:rsid w:val="00407286"/>
    <w:rsid w:val="00411735"/>
    <w:rsid w:val="00413C2A"/>
    <w:rsid w:val="00415C74"/>
    <w:rsid w:val="00420333"/>
    <w:rsid w:val="004206C9"/>
    <w:rsid w:val="0042199E"/>
    <w:rsid w:val="00421A36"/>
    <w:rsid w:val="00426F11"/>
    <w:rsid w:val="004329D4"/>
    <w:rsid w:val="0043654D"/>
    <w:rsid w:val="00436C05"/>
    <w:rsid w:val="00437F60"/>
    <w:rsid w:val="004412EB"/>
    <w:rsid w:val="004454E0"/>
    <w:rsid w:val="004461CB"/>
    <w:rsid w:val="00446DB4"/>
    <w:rsid w:val="00450BBE"/>
    <w:rsid w:val="00451840"/>
    <w:rsid w:val="00451B28"/>
    <w:rsid w:val="00453582"/>
    <w:rsid w:val="00456F3B"/>
    <w:rsid w:val="00460C9A"/>
    <w:rsid w:val="0046244D"/>
    <w:rsid w:val="00463F21"/>
    <w:rsid w:val="00464924"/>
    <w:rsid w:val="00464963"/>
    <w:rsid w:val="00467667"/>
    <w:rsid w:val="00474FF3"/>
    <w:rsid w:val="0047581D"/>
    <w:rsid w:val="0048004A"/>
    <w:rsid w:val="00480289"/>
    <w:rsid w:val="00481279"/>
    <w:rsid w:val="00481FD9"/>
    <w:rsid w:val="0048328E"/>
    <w:rsid w:val="00483368"/>
    <w:rsid w:val="004911F1"/>
    <w:rsid w:val="00494011"/>
    <w:rsid w:val="00494457"/>
    <w:rsid w:val="00497BBD"/>
    <w:rsid w:val="004A0BF4"/>
    <w:rsid w:val="004A263B"/>
    <w:rsid w:val="004A5657"/>
    <w:rsid w:val="004B273A"/>
    <w:rsid w:val="004B603D"/>
    <w:rsid w:val="004B68AE"/>
    <w:rsid w:val="004C35B0"/>
    <w:rsid w:val="004C49EF"/>
    <w:rsid w:val="004C4A19"/>
    <w:rsid w:val="004C5570"/>
    <w:rsid w:val="004C566B"/>
    <w:rsid w:val="004D00C9"/>
    <w:rsid w:val="004D1698"/>
    <w:rsid w:val="004D6EEA"/>
    <w:rsid w:val="004E16F5"/>
    <w:rsid w:val="004E3382"/>
    <w:rsid w:val="004E3CC7"/>
    <w:rsid w:val="004E5B69"/>
    <w:rsid w:val="004E7BCA"/>
    <w:rsid w:val="004F01A7"/>
    <w:rsid w:val="004F2A87"/>
    <w:rsid w:val="004F36EB"/>
    <w:rsid w:val="005007E0"/>
    <w:rsid w:val="00501CC6"/>
    <w:rsid w:val="00502F02"/>
    <w:rsid w:val="00505ED1"/>
    <w:rsid w:val="00507581"/>
    <w:rsid w:val="00507C56"/>
    <w:rsid w:val="005118BA"/>
    <w:rsid w:val="00521F1E"/>
    <w:rsid w:val="0052219E"/>
    <w:rsid w:val="0052344E"/>
    <w:rsid w:val="00523996"/>
    <w:rsid w:val="00523BEB"/>
    <w:rsid w:val="00526148"/>
    <w:rsid w:val="00526478"/>
    <w:rsid w:val="00526F8C"/>
    <w:rsid w:val="0052728D"/>
    <w:rsid w:val="00530117"/>
    <w:rsid w:val="00530204"/>
    <w:rsid w:val="00532274"/>
    <w:rsid w:val="00534352"/>
    <w:rsid w:val="00534B80"/>
    <w:rsid w:val="00534C5F"/>
    <w:rsid w:val="00540257"/>
    <w:rsid w:val="0054192F"/>
    <w:rsid w:val="00544EB3"/>
    <w:rsid w:val="00545029"/>
    <w:rsid w:val="0054594B"/>
    <w:rsid w:val="0054695E"/>
    <w:rsid w:val="0054749B"/>
    <w:rsid w:val="00550F9B"/>
    <w:rsid w:val="00551CC6"/>
    <w:rsid w:val="005549C1"/>
    <w:rsid w:val="00554E7A"/>
    <w:rsid w:val="00556F4E"/>
    <w:rsid w:val="0056015F"/>
    <w:rsid w:val="00560541"/>
    <w:rsid w:val="00561FE6"/>
    <w:rsid w:val="00563016"/>
    <w:rsid w:val="005672D0"/>
    <w:rsid w:val="00567DE1"/>
    <w:rsid w:val="00570F12"/>
    <w:rsid w:val="0057241E"/>
    <w:rsid w:val="005727EF"/>
    <w:rsid w:val="00572CEB"/>
    <w:rsid w:val="00572F18"/>
    <w:rsid w:val="00580F3A"/>
    <w:rsid w:val="00580F68"/>
    <w:rsid w:val="00581A96"/>
    <w:rsid w:val="005834C9"/>
    <w:rsid w:val="00584225"/>
    <w:rsid w:val="005842CB"/>
    <w:rsid w:val="00585F5C"/>
    <w:rsid w:val="00596C1A"/>
    <w:rsid w:val="005A0417"/>
    <w:rsid w:val="005A32DC"/>
    <w:rsid w:val="005A38F4"/>
    <w:rsid w:val="005A4083"/>
    <w:rsid w:val="005A58BA"/>
    <w:rsid w:val="005A5D30"/>
    <w:rsid w:val="005A6324"/>
    <w:rsid w:val="005A6AB9"/>
    <w:rsid w:val="005B5BEE"/>
    <w:rsid w:val="005B7003"/>
    <w:rsid w:val="005C2EE2"/>
    <w:rsid w:val="005C333E"/>
    <w:rsid w:val="005C3AE7"/>
    <w:rsid w:val="005C6883"/>
    <w:rsid w:val="005D0677"/>
    <w:rsid w:val="005D12C3"/>
    <w:rsid w:val="005D152C"/>
    <w:rsid w:val="005D2B5B"/>
    <w:rsid w:val="005D64B5"/>
    <w:rsid w:val="005D6EF8"/>
    <w:rsid w:val="005E06E1"/>
    <w:rsid w:val="005E0745"/>
    <w:rsid w:val="005E096E"/>
    <w:rsid w:val="005E294C"/>
    <w:rsid w:val="005E2CE3"/>
    <w:rsid w:val="005E335E"/>
    <w:rsid w:val="005F0345"/>
    <w:rsid w:val="005F1BD0"/>
    <w:rsid w:val="005F2A46"/>
    <w:rsid w:val="005F2E67"/>
    <w:rsid w:val="005F3F07"/>
    <w:rsid w:val="005F647D"/>
    <w:rsid w:val="00603D04"/>
    <w:rsid w:val="00605411"/>
    <w:rsid w:val="006054E2"/>
    <w:rsid w:val="006059F3"/>
    <w:rsid w:val="00606857"/>
    <w:rsid w:val="006077DA"/>
    <w:rsid w:val="006108CD"/>
    <w:rsid w:val="006116F7"/>
    <w:rsid w:val="00614A96"/>
    <w:rsid w:val="00615F42"/>
    <w:rsid w:val="006247F0"/>
    <w:rsid w:val="006258C2"/>
    <w:rsid w:val="00625988"/>
    <w:rsid w:val="00626365"/>
    <w:rsid w:val="00627C6D"/>
    <w:rsid w:val="00630E22"/>
    <w:rsid w:val="006315A7"/>
    <w:rsid w:val="00631FCE"/>
    <w:rsid w:val="00633C65"/>
    <w:rsid w:val="00633F46"/>
    <w:rsid w:val="0063578F"/>
    <w:rsid w:val="00636C00"/>
    <w:rsid w:val="0064168C"/>
    <w:rsid w:val="00644D92"/>
    <w:rsid w:val="00645460"/>
    <w:rsid w:val="006462DE"/>
    <w:rsid w:val="0065110F"/>
    <w:rsid w:val="006527A9"/>
    <w:rsid w:val="00653479"/>
    <w:rsid w:val="006552C6"/>
    <w:rsid w:val="00656D83"/>
    <w:rsid w:val="00656F09"/>
    <w:rsid w:val="00657B46"/>
    <w:rsid w:val="00661738"/>
    <w:rsid w:val="00670D3B"/>
    <w:rsid w:val="006764EC"/>
    <w:rsid w:val="006769C7"/>
    <w:rsid w:val="00677BE9"/>
    <w:rsid w:val="00677F74"/>
    <w:rsid w:val="006835FE"/>
    <w:rsid w:val="00683940"/>
    <w:rsid w:val="00685D13"/>
    <w:rsid w:val="006869DA"/>
    <w:rsid w:val="006919F3"/>
    <w:rsid w:val="00692F93"/>
    <w:rsid w:val="00693BFD"/>
    <w:rsid w:val="00695065"/>
    <w:rsid w:val="006A1038"/>
    <w:rsid w:val="006A1A63"/>
    <w:rsid w:val="006A26AE"/>
    <w:rsid w:val="006A649A"/>
    <w:rsid w:val="006A6733"/>
    <w:rsid w:val="006A7D58"/>
    <w:rsid w:val="006B1B49"/>
    <w:rsid w:val="006B6232"/>
    <w:rsid w:val="006B6390"/>
    <w:rsid w:val="006B7132"/>
    <w:rsid w:val="006B775D"/>
    <w:rsid w:val="006C0356"/>
    <w:rsid w:val="006C0843"/>
    <w:rsid w:val="006C20F6"/>
    <w:rsid w:val="006C74B1"/>
    <w:rsid w:val="006D0B48"/>
    <w:rsid w:val="006D1325"/>
    <w:rsid w:val="006D39DC"/>
    <w:rsid w:val="006D6AC5"/>
    <w:rsid w:val="006D7958"/>
    <w:rsid w:val="006D79FF"/>
    <w:rsid w:val="006E285C"/>
    <w:rsid w:val="006E3039"/>
    <w:rsid w:val="006E4454"/>
    <w:rsid w:val="006E57AA"/>
    <w:rsid w:val="006E7F19"/>
    <w:rsid w:val="006F20CF"/>
    <w:rsid w:val="006F27E5"/>
    <w:rsid w:val="006F38ED"/>
    <w:rsid w:val="006F69A8"/>
    <w:rsid w:val="007025DD"/>
    <w:rsid w:val="00707D4D"/>
    <w:rsid w:val="00707F83"/>
    <w:rsid w:val="00707F85"/>
    <w:rsid w:val="00710715"/>
    <w:rsid w:val="00710F2E"/>
    <w:rsid w:val="00723446"/>
    <w:rsid w:val="00723503"/>
    <w:rsid w:val="00730C04"/>
    <w:rsid w:val="00732D96"/>
    <w:rsid w:val="00733F71"/>
    <w:rsid w:val="0073597B"/>
    <w:rsid w:val="00735DA8"/>
    <w:rsid w:val="007378F6"/>
    <w:rsid w:val="0074545D"/>
    <w:rsid w:val="007522E3"/>
    <w:rsid w:val="0075335B"/>
    <w:rsid w:val="00753C44"/>
    <w:rsid w:val="00754383"/>
    <w:rsid w:val="007554B9"/>
    <w:rsid w:val="007564D1"/>
    <w:rsid w:val="00757232"/>
    <w:rsid w:val="00760679"/>
    <w:rsid w:val="00763628"/>
    <w:rsid w:val="007636C0"/>
    <w:rsid w:val="0076405C"/>
    <w:rsid w:val="00767E99"/>
    <w:rsid w:val="00772E62"/>
    <w:rsid w:val="007731B4"/>
    <w:rsid w:val="00775A6A"/>
    <w:rsid w:val="00776DDB"/>
    <w:rsid w:val="0077789B"/>
    <w:rsid w:val="00780D29"/>
    <w:rsid w:val="00782CD4"/>
    <w:rsid w:val="0078300A"/>
    <w:rsid w:val="0078521A"/>
    <w:rsid w:val="00790691"/>
    <w:rsid w:val="00791043"/>
    <w:rsid w:val="0079166C"/>
    <w:rsid w:val="00791C8D"/>
    <w:rsid w:val="0079354C"/>
    <w:rsid w:val="00794181"/>
    <w:rsid w:val="007955A1"/>
    <w:rsid w:val="007A45C2"/>
    <w:rsid w:val="007A644C"/>
    <w:rsid w:val="007A7F6F"/>
    <w:rsid w:val="007B1936"/>
    <w:rsid w:val="007B1F8C"/>
    <w:rsid w:val="007B3725"/>
    <w:rsid w:val="007B4C76"/>
    <w:rsid w:val="007B60EB"/>
    <w:rsid w:val="007C219A"/>
    <w:rsid w:val="007C2260"/>
    <w:rsid w:val="007C3C33"/>
    <w:rsid w:val="007C7BE7"/>
    <w:rsid w:val="007D0145"/>
    <w:rsid w:val="007D016D"/>
    <w:rsid w:val="007D1E52"/>
    <w:rsid w:val="007D2358"/>
    <w:rsid w:val="007D516E"/>
    <w:rsid w:val="007E130A"/>
    <w:rsid w:val="007E39E4"/>
    <w:rsid w:val="007E5087"/>
    <w:rsid w:val="007E6FB3"/>
    <w:rsid w:val="007E7359"/>
    <w:rsid w:val="007F1E8D"/>
    <w:rsid w:val="007F21B4"/>
    <w:rsid w:val="007F24DF"/>
    <w:rsid w:val="007F7D90"/>
    <w:rsid w:val="008013BE"/>
    <w:rsid w:val="00802553"/>
    <w:rsid w:val="00803EAB"/>
    <w:rsid w:val="008043ED"/>
    <w:rsid w:val="008046A7"/>
    <w:rsid w:val="008046B5"/>
    <w:rsid w:val="00810224"/>
    <w:rsid w:val="008127C0"/>
    <w:rsid w:val="00812EA3"/>
    <w:rsid w:val="00812EDD"/>
    <w:rsid w:val="008139C5"/>
    <w:rsid w:val="0081650F"/>
    <w:rsid w:val="00816F8B"/>
    <w:rsid w:val="00820137"/>
    <w:rsid w:val="008260B7"/>
    <w:rsid w:val="008270AE"/>
    <w:rsid w:val="00827A46"/>
    <w:rsid w:val="00832B31"/>
    <w:rsid w:val="008335E9"/>
    <w:rsid w:val="00834950"/>
    <w:rsid w:val="00836AA0"/>
    <w:rsid w:val="00836DD8"/>
    <w:rsid w:val="008403E0"/>
    <w:rsid w:val="00842BE8"/>
    <w:rsid w:val="008437C3"/>
    <w:rsid w:val="00843A2F"/>
    <w:rsid w:val="0084657B"/>
    <w:rsid w:val="00846A5B"/>
    <w:rsid w:val="008477D0"/>
    <w:rsid w:val="00853316"/>
    <w:rsid w:val="00853B47"/>
    <w:rsid w:val="00854580"/>
    <w:rsid w:val="00854D13"/>
    <w:rsid w:val="008550FD"/>
    <w:rsid w:val="0085529A"/>
    <w:rsid w:val="00855944"/>
    <w:rsid w:val="00855A62"/>
    <w:rsid w:val="00855D00"/>
    <w:rsid w:val="008578B4"/>
    <w:rsid w:val="00864A18"/>
    <w:rsid w:val="00864A57"/>
    <w:rsid w:val="008700E4"/>
    <w:rsid w:val="008703A8"/>
    <w:rsid w:val="00870833"/>
    <w:rsid w:val="008717F6"/>
    <w:rsid w:val="00874571"/>
    <w:rsid w:val="00874A99"/>
    <w:rsid w:val="00881F93"/>
    <w:rsid w:val="00882CB5"/>
    <w:rsid w:val="00883586"/>
    <w:rsid w:val="00883641"/>
    <w:rsid w:val="00883952"/>
    <w:rsid w:val="008843BF"/>
    <w:rsid w:val="00884E69"/>
    <w:rsid w:val="00890082"/>
    <w:rsid w:val="00890665"/>
    <w:rsid w:val="008917F4"/>
    <w:rsid w:val="0089491B"/>
    <w:rsid w:val="0089499D"/>
    <w:rsid w:val="008A3031"/>
    <w:rsid w:val="008A48D2"/>
    <w:rsid w:val="008A4989"/>
    <w:rsid w:val="008A6799"/>
    <w:rsid w:val="008A7423"/>
    <w:rsid w:val="008B1EFC"/>
    <w:rsid w:val="008B21B4"/>
    <w:rsid w:val="008B2610"/>
    <w:rsid w:val="008B28C4"/>
    <w:rsid w:val="008B42D7"/>
    <w:rsid w:val="008B471D"/>
    <w:rsid w:val="008B49E4"/>
    <w:rsid w:val="008B4E46"/>
    <w:rsid w:val="008B5575"/>
    <w:rsid w:val="008B729C"/>
    <w:rsid w:val="008C12B0"/>
    <w:rsid w:val="008C21FD"/>
    <w:rsid w:val="008C47E6"/>
    <w:rsid w:val="008C4A93"/>
    <w:rsid w:val="008C739C"/>
    <w:rsid w:val="008C7409"/>
    <w:rsid w:val="008C7846"/>
    <w:rsid w:val="008E0E49"/>
    <w:rsid w:val="008E2127"/>
    <w:rsid w:val="008E35FD"/>
    <w:rsid w:val="008E6227"/>
    <w:rsid w:val="008E685D"/>
    <w:rsid w:val="008E6903"/>
    <w:rsid w:val="008E6FC0"/>
    <w:rsid w:val="008E78B9"/>
    <w:rsid w:val="008E7915"/>
    <w:rsid w:val="008F0143"/>
    <w:rsid w:val="008F0447"/>
    <w:rsid w:val="008F0CAA"/>
    <w:rsid w:val="008F4790"/>
    <w:rsid w:val="008F70DF"/>
    <w:rsid w:val="00900242"/>
    <w:rsid w:val="00901F1C"/>
    <w:rsid w:val="0090543D"/>
    <w:rsid w:val="009056C5"/>
    <w:rsid w:val="00905D4B"/>
    <w:rsid w:val="00907016"/>
    <w:rsid w:val="00911D51"/>
    <w:rsid w:val="00912EC1"/>
    <w:rsid w:val="0091516B"/>
    <w:rsid w:val="009151AE"/>
    <w:rsid w:val="009169B3"/>
    <w:rsid w:val="00922C3A"/>
    <w:rsid w:val="00922D11"/>
    <w:rsid w:val="009262F2"/>
    <w:rsid w:val="00930CB8"/>
    <w:rsid w:val="00933A3A"/>
    <w:rsid w:val="00935183"/>
    <w:rsid w:val="00935BE5"/>
    <w:rsid w:val="00937791"/>
    <w:rsid w:val="00937963"/>
    <w:rsid w:val="00942ADA"/>
    <w:rsid w:val="00946937"/>
    <w:rsid w:val="009503F5"/>
    <w:rsid w:val="00951933"/>
    <w:rsid w:val="0095330B"/>
    <w:rsid w:val="00953F15"/>
    <w:rsid w:val="00954343"/>
    <w:rsid w:val="00955271"/>
    <w:rsid w:val="00955330"/>
    <w:rsid w:val="00957935"/>
    <w:rsid w:val="00963C9C"/>
    <w:rsid w:val="00965841"/>
    <w:rsid w:val="00965B6B"/>
    <w:rsid w:val="00971EDB"/>
    <w:rsid w:val="00974D50"/>
    <w:rsid w:val="00977E1B"/>
    <w:rsid w:val="0098513E"/>
    <w:rsid w:val="00986671"/>
    <w:rsid w:val="0098701B"/>
    <w:rsid w:val="00987ABE"/>
    <w:rsid w:val="00991C55"/>
    <w:rsid w:val="00991EE4"/>
    <w:rsid w:val="009939DC"/>
    <w:rsid w:val="00993B9C"/>
    <w:rsid w:val="009944A4"/>
    <w:rsid w:val="009948EA"/>
    <w:rsid w:val="00995BE8"/>
    <w:rsid w:val="00996675"/>
    <w:rsid w:val="00997353"/>
    <w:rsid w:val="00997DFD"/>
    <w:rsid w:val="009A36C3"/>
    <w:rsid w:val="009A462D"/>
    <w:rsid w:val="009A572B"/>
    <w:rsid w:val="009A725A"/>
    <w:rsid w:val="009A7E40"/>
    <w:rsid w:val="009B18F5"/>
    <w:rsid w:val="009B4E1E"/>
    <w:rsid w:val="009B6D6D"/>
    <w:rsid w:val="009B762B"/>
    <w:rsid w:val="009C0219"/>
    <w:rsid w:val="009C03FB"/>
    <w:rsid w:val="009C1BD5"/>
    <w:rsid w:val="009C474A"/>
    <w:rsid w:val="009C4B4F"/>
    <w:rsid w:val="009E1099"/>
    <w:rsid w:val="009F094A"/>
    <w:rsid w:val="009F0C02"/>
    <w:rsid w:val="009F11B4"/>
    <w:rsid w:val="009F1349"/>
    <w:rsid w:val="009F48CD"/>
    <w:rsid w:val="009F5758"/>
    <w:rsid w:val="009F5D96"/>
    <w:rsid w:val="009F5E34"/>
    <w:rsid w:val="009F640D"/>
    <w:rsid w:val="00A01702"/>
    <w:rsid w:val="00A0283F"/>
    <w:rsid w:val="00A02C98"/>
    <w:rsid w:val="00A040C2"/>
    <w:rsid w:val="00A048CD"/>
    <w:rsid w:val="00A04F4A"/>
    <w:rsid w:val="00A101C4"/>
    <w:rsid w:val="00A1045B"/>
    <w:rsid w:val="00A1274D"/>
    <w:rsid w:val="00A13AC7"/>
    <w:rsid w:val="00A13FC6"/>
    <w:rsid w:val="00A14F49"/>
    <w:rsid w:val="00A20428"/>
    <w:rsid w:val="00A24E85"/>
    <w:rsid w:val="00A26169"/>
    <w:rsid w:val="00A26343"/>
    <w:rsid w:val="00A31065"/>
    <w:rsid w:val="00A356AE"/>
    <w:rsid w:val="00A408B5"/>
    <w:rsid w:val="00A429CA"/>
    <w:rsid w:val="00A43561"/>
    <w:rsid w:val="00A4648C"/>
    <w:rsid w:val="00A5223A"/>
    <w:rsid w:val="00A529E2"/>
    <w:rsid w:val="00A539F8"/>
    <w:rsid w:val="00A5450B"/>
    <w:rsid w:val="00A548CF"/>
    <w:rsid w:val="00A56DAC"/>
    <w:rsid w:val="00A60EC0"/>
    <w:rsid w:val="00A615A5"/>
    <w:rsid w:val="00A64253"/>
    <w:rsid w:val="00A6491A"/>
    <w:rsid w:val="00A6594E"/>
    <w:rsid w:val="00A71B1F"/>
    <w:rsid w:val="00A727B6"/>
    <w:rsid w:val="00A73CB8"/>
    <w:rsid w:val="00A74519"/>
    <w:rsid w:val="00A76C38"/>
    <w:rsid w:val="00A807EB"/>
    <w:rsid w:val="00A81CC6"/>
    <w:rsid w:val="00A83EC6"/>
    <w:rsid w:val="00A853E0"/>
    <w:rsid w:val="00A85BC5"/>
    <w:rsid w:val="00A8732C"/>
    <w:rsid w:val="00A8772C"/>
    <w:rsid w:val="00A9062D"/>
    <w:rsid w:val="00A93F58"/>
    <w:rsid w:val="00A96329"/>
    <w:rsid w:val="00A96B3E"/>
    <w:rsid w:val="00AA134B"/>
    <w:rsid w:val="00AA2CFE"/>
    <w:rsid w:val="00AA5FDA"/>
    <w:rsid w:val="00AA6291"/>
    <w:rsid w:val="00AA6FA8"/>
    <w:rsid w:val="00AA7AD9"/>
    <w:rsid w:val="00AB02C6"/>
    <w:rsid w:val="00AB2D75"/>
    <w:rsid w:val="00AB44C0"/>
    <w:rsid w:val="00AC0C91"/>
    <w:rsid w:val="00AD37D4"/>
    <w:rsid w:val="00AD55E9"/>
    <w:rsid w:val="00AD7986"/>
    <w:rsid w:val="00AD7D45"/>
    <w:rsid w:val="00AE054D"/>
    <w:rsid w:val="00AE0DF7"/>
    <w:rsid w:val="00AE1188"/>
    <w:rsid w:val="00AE3181"/>
    <w:rsid w:val="00AE5F3B"/>
    <w:rsid w:val="00AE6DEE"/>
    <w:rsid w:val="00AE738C"/>
    <w:rsid w:val="00AF06C0"/>
    <w:rsid w:val="00AF07F7"/>
    <w:rsid w:val="00AF1046"/>
    <w:rsid w:val="00AF2BB0"/>
    <w:rsid w:val="00AF356C"/>
    <w:rsid w:val="00AF422C"/>
    <w:rsid w:val="00AF4466"/>
    <w:rsid w:val="00AF5D1E"/>
    <w:rsid w:val="00AF7E2C"/>
    <w:rsid w:val="00B014DC"/>
    <w:rsid w:val="00B01A9B"/>
    <w:rsid w:val="00B0281B"/>
    <w:rsid w:val="00B040A9"/>
    <w:rsid w:val="00B05735"/>
    <w:rsid w:val="00B05CB4"/>
    <w:rsid w:val="00B113CE"/>
    <w:rsid w:val="00B14372"/>
    <w:rsid w:val="00B1711E"/>
    <w:rsid w:val="00B17CBE"/>
    <w:rsid w:val="00B17E26"/>
    <w:rsid w:val="00B207C9"/>
    <w:rsid w:val="00B231A4"/>
    <w:rsid w:val="00B25D20"/>
    <w:rsid w:val="00B27F94"/>
    <w:rsid w:val="00B315C0"/>
    <w:rsid w:val="00B31C99"/>
    <w:rsid w:val="00B37175"/>
    <w:rsid w:val="00B37275"/>
    <w:rsid w:val="00B37C51"/>
    <w:rsid w:val="00B40B6E"/>
    <w:rsid w:val="00B40D8B"/>
    <w:rsid w:val="00B41653"/>
    <w:rsid w:val="00B41C38"/>
    <w:rsid w:val="00B43C9C"/>
    <w:rsid w:val="00B44092"/>
    <w:rsid w:val="00B468E9"/>
    <w:rsid w:val="00B53BA6"/>
    <w:rsid w:val="00B5731D"/>
    <w:rsid w:val="00B6378B"/>
    <w:rsid w:val="00B63E3A"/>
    <w:rsid w:val="00B66A59"/>
    <w:rsid w:val="00B72BF9"/>
    <w:rsid w:val="00B75965"/>
    <w:rsid w:val="00B76F95"/>
    <w:rsid w:val="00B771AD"/>
    <w:rsid w:val="00B811BF"/>
    <w:rsid w:val="00B814CB"/>
    <w:rsid w:val="00B814E8"/>
    <w:rsid w:val="00B82A6C"/>
    <w:rsid w:val="00B84A13"/>
    <w:rsid w:val="00B91E54"/>
    <w:rsid w:val="00BA0CF8"/>
    <w:rsid w:val="00BA1A2A"/>
    <w:rsid w:val="00BA1ADF"/>
    <w:rsid w:val="00BA51FC"/>
    <w:rsid w:val="00BA6ACF"/>
    <w:rsid w:val="00BB003A"/>
    <w:rsid w:val="00BB1997"/>
    <w:rsid w:val="00BB3358"/>
    <w:rsid w:val="00BB3382"/>
    <w:rsid w:val="00BB3643"/>
    <w:rsid w:val="00BB5763"/>
    <w:rsid w:val="00BB60FE"/>
    <w:rsid w:val="00BC3DA0"/>
    <w:rsid w:val="00BC424B"/>
    <w:rsid w:val="00BD131C"/>
    <w:rsid w:val="00BD179A"/>
    <w:rsid w:val="00BD203B"/>
    <w:rsid w:val="00BD26DD"/>
    <w:rsid w:val="00BD38B3"/>
    <w:rsid w:val="00BD4888"/>
    <w:rsid w:val="00BE0991"/>
    <w:rsid w:val="00BE0FDE"/>
    <w:rsid w:val="00BE11CB"/>
    <w:rsid w:val="00BE2E82"/>
    <w:rsid w:val="00BE5631"/>
    <w:rsid w:val="00BE6154"/>
    <w:rsid w:val="00BE73E9"/>
    <w:rsid w:val="00BF2707"/>
    <w:rsid w:val="00BF272C"/>
    <w:rsid w:val="00BF3367"/>
    <w:rsid w:val="00BF35DD"/>
    <w:rsid w:val="00BF6AC5"/>
    <w:rsid w:val="00C01121"/>
    <w:rsid w:val="00C03047"/>
    <w:rsid w:val="00C030A5"/>
    <w:rsid w:val="00C037E0"/>
    <w:rsid w:val="00C0389D"/>
    <w:rsid w:val="00C05A45"/>
    <w:rsid w:val="00C07458"/>
    <w:rsid w:val="00C0796F"/>
    <w:rsid w:val="00C11B34"/>
    <w:rsid w:val="00C12C5C"/>
    <w:rsid w:val="00C12E43"/>
    <w:rsid w:val="00C171FB"/>
    <w:rsid w:val="00C209C2"/>
    <w:rsid w:val="00C211C7"/>
    <w:rsid w:val="00C2267F"/>
    <w:rsid w:val="00C22AD8"/>
    <w:rsid w:val="00C23A34"/>
    <w:rsid w:val="00C3557E"/>
    <w:rsid w:val="00C3594B"/>
    <w:rsid w:val="00C3615D"/>
    <w:rsid w:val="00C375A9"/>
    <w:rsid w:val="00C41CB6"/>
    <w:rsid w:val="00C43102"/>
    <w:rsid w:val="00C4696B"/>
    <w:rsid w:val="00C50444"/>
    <w:rsid w:val="00C50513"/>
    <w:rsid w:val="00C54503"/>
    <w:rsid w:val="00C55DA8"/>
    <w:rsid w:val="00C560D3"/>
    <w:rsid w:val="00C63055"/>
    <w:rsid w:val="00C6698E"/>
    <w:rsid w:val="00C66A5E"/>
    <w:rsid w:val="00C71E62"/>
    <w:rsid w:val="00C73B62"/>
    <w:rsid w:val="00C7493A"/>
    <w:rsid w:val="00C75501"/>
    <w:rsid w:val="00C776B1"/>
    <w:rsid w:val="00C815FE"/>
    <w:rsid w:val="00C81FA0"/>
    <w:rsid w:val="00C82A00"/>
    <w:rsid w:val="00C82C07"/>
    <w:rsid w:val="00C847AE"/>
    <w:rsid w:val="00C90F2F"/>
    <w:rsid w:val="00C94934"/>
    <w:rsid w:val="00C96A41"/>
    <w:rsid w:val="00CA04C6"/>
    <w:rsid w:val="00CA055E"/>
    <w:rsid w:val="00CA10FC"/>
    <w:rsid w:val="00CA26DD"/>
    <w:rsid w:val="00CB12EC"/>
    <w:rsid w:val="00CB3195"/>
    <w:rsid w:val="00CB31C4"/>
    <w:rsid w:val="00CC09D7"/>
    <w:rsid w:val="00CC0E31"/>
    <w:rsid w:val="00CC12B8"/>
    <w:rsid w:val="00CC5AB1"/>
    <w:rsid w:val="00CC7A82"/>
    <w:rsid w:val="00CD18C2"/>
    <w:rsid w:val="00CD1A25"/>
    <w:rsid w:val="00CD2261"/>
    <w:rsid w:val="00CD22E3"/>
    <w:rsid w:val="00CD4E44"/>
    <w:rsid w:val="00CD5AE4"/>
    <w:rsid w:val="00CD7A7D"/>
    <w:rsid w:val="00CE05C5"/>
    <w:rsid w:val="00CE50BE"/>
    <w:rsid w:val="00CE5769"/>
    <w:rsid w:val="00CF0BBF"/>
    <w:rsid w:val="00CF2D8E"/>
    <w:rsid w:val="00CF2DFA"/>
    <w:rsid w:val="00CF3CDB"/>
    <w:rsid w:val="00CF5AD8"/>
    <w:rsid w:val="00D00122"/>
    <w:rsid w:val="00D01492"/>
    <w:rsid w:val="00D01D2A"/>
    <w:rsid w:val="00D040FA"/>
    <w:rsid w:val="00D0637B"/>
    <w:rsid w:val="00D07C79"/>
    <w:rsid w:val="00D10B47"/>
    <w:rsid w:val="00D11EB1"/>
    <w:rsid w:val="00D17F17"/>
    <w:rsid w:val="00D23597"/>
    <w:rsid w:val="00D25935"/>
    <w:rsid w:val="00D30362"/>
    <w:rsid w:val="00D30BDC"/>
    <w:rsid w:val="00D30F4A"/>
    <w:rsid w:val="00D3278A"/>
    <w:rsid w:val="00D33107"/>
    <w:rsid w:val="00D40EAB"/>
    <w:rsid w:val="00D43EB9"/>
    <w:rsid w:val="00D46D47"/>
    <w:rsid w:val="00D470F7"/>
    <w:rsid w:val="00D53501"/>
    <w:rsid w:val="00D53BF8"/>
    <w:rsid w:val="00D5431E"/>
    <w:rsid w:val="00D54508"/>
    <w:rsid w:val="00D57F88"/>
    <w:rsid w:val="00D61650"/>
    <w:rsid w:val="00D67FC6"/>
    <w:rsid w:val="00D7105C"/>
    <w:rsid w:val="00D72563"/>
    <w:rsid w:val="00D72D14"/>
    <w:rsid w:val="00D732AC"/>
    <w:rsid w:val="00D73646"/>
    <w:rsid w:val="00D777B4"/>
    <w:rsid w:val="00D77A90"/>
    <w:rsid w:val="00D8360B"/>
    <w:rsid w:val="00D84616"/>
    <w:rsid w:val="00D85676"/>
    <w:rsid w:val="00D87FE7"/>
    <w:rsid w:val="00D93AA1"/>
    <w:rsid w:val="00D94F6C"/>
    <w:rsid w:val="00D957D6"/>
    <w:rsid w:val="00D96ADA"/>
    <w:rsid w:val="00D9771D"/>
    <w:rsid w:val="00DA01EB"/>
    <w:rsid w:val="00DA2886"/>
    <w:rsid w:val="00DA4CC9"/>
    <w:rsid w:val="00DA5E50"/>
    <w:rsid w:val="00DA7D0C"/>
    <w:rsid w:val="00DB311C"/>
    <w:rsid w:val="00DB3CFB"/>
    <w:rsid w:val="00DB432D"/>
    <w:rsid w:val="00DB47FC"/>
    <w:rsid w:val="00DB519B"/>
    <w:rsid w:val="00DB6DB6"/>
    <w:rsid w:val="00DB7323"/>
    <w:rsid w:val="00DB7F3E"/>
    <w:rsid w:val="00DC740C"/>
    <w:rsid w:val="00DC7694"/>
    <w:rsid w:val="00DC7FBE"/>
    <w:rsid w:val="00DD130E"/>
    <w:rsid w:val="00DD308E"/>
    <w:rsid w:val="00DD758A"/>
    <w:rsid w:val="00DE214A"/>
    <w:rsid w:val="00DE322F"/>
    <w:rsid w:val="00DE582C"/>
    <w:rsid w:val="00DF0BA4"/>
    <w:rsid w:val="00DF0C51"/>
    <w:rsid w:val="00DF0D47"/>
    <w:rsid w:val="00DF1652"/>
    <w:rsid w:val="00DF5FF3"/>
    <w:rsid w:val="00DF6D37"/>
    <w:rsid w:val="00E029BC"/>
    <w:rsid w:val="00E02DED"/>
    <w:rsid w:val="00E048ED"/>
    <w:rsid w:val="00E04FB3"/>
    <w:rsid w:val="00E058F2"/>
    <w:rsid w:val="00E05D9C"/>
    <w:rsid w:val="00E06102"/>
    <w:rsid w:val="00E11D36"/>
    <w:rsid w:val="00E16CB6"/>
    <w:rsid w:val="00E20638"/>
    <w:rsid w:val="00E23AF9"/>
    <w:rsid w:val="00E23E71"/>
    <w:rsid w:val="00E25D51"/>
    <w:rsid w:val="00E30694"/>
    <w:rsid w:val="00E30F19"/>
    <w:rsid w:val="00E330B3"/>
    <w:rsid w:val="00E336BD"/>
    <w:rsid w:val="00E33C4A"/>
    <w:rsid w:val="00E34BE3"/>
    <w:rsid w:val="00E357B9"/>
    <w:rsid w:val="00E42FD6"/>
    <w:rsid w:val="00E4321E"/>
    <w:rsid w:val="00E4435E"/>
    <w:rsid w:val="00E44B80"/>
    <w:rsid w:val="00E473E1"/>
    <w:rsid w:val="00E47623"/>
    <w:rsid w:val="00E478C5"/>
    <w:rsid w:val="00E506AE"/>
    <w:rsid w:val="00E5332C"/>
    <w:rsid w:val="00E534EF"/>
    <w:rsid w:val="00E60529"/>
    <w:rsid w:val="00E641EF"/>
    <w:rsid w:val="00E64C61"/>
    <w:rsid w:val="00E70D86"/>
    <w:rsid w:val="00E7628E"/>
    <w:rsid w:val="00E82177"/>
    <w:rsid w:val="00E82F54"/>
    <w:rsid w:val="00E8649B"/>
    <w:rsid w:val="00E871CD"/>
    <w:rsid w:val="00E90990"/>
    <w:rsid w:val="00E92EFD"/>
    <w:rsid w:val="00E93F9B"/>
    <w:rsid w:val="00E95CB3"/>
    <w:rsid w:val="00E95D3D"/>
    <w:rsid w:val="00EA0412"/>
    <w:rsid w:val="00EA0E25"/>
    <w:rsid w:val="00EA173C"/>
    <w:rsid w:val="00EA30E3"/>
    <w:rsid w:val="00EA32BA"/>
    <w:rsid w:val="00EA6789"/>
    <w:rsid w:val="00EB0DBA"/>
    <w:rsid w:val="00EB5C8F"/>
    <w:rsid w:val="00EC127A"/>
    <w:rsid w:val="00EC1EDF"/>
    <w:rsid w:val="00EC1FF9"/>
    <w:rsid w:val="00EC2737"/>
    <w:rsid w:val="00EC2A69"/>
    <w:rsid w:val="00EC368C"/>
    <w:rsid w:val="00EC7692"/>
    <w:rsid w:val="00ED11A6"/>
    <w:rsid w:val="00ED1619"/>
    <w:rsid w:val="00ED2CE6"/>
    <w:rsid w:val="00ED2DCB"/>
    <w:rsid w:val="00EE2716"/>
    <w:rsid w:val="00EE432A"/>
    <w:rsid w:val="00EE4A44"/>
    <w:rsid w:val="00EE4B5E"/>
    <w:rsid w:val="00EE6450"/>
    <w:rsid w:val="00EF7BF4"/>
    <w:rsid w:val="00F01A62"/>
    <w:rsid w:val="00F01C2C"/>
    <w:rsid w:val="00F042DD"/>
    <w:rsid w:val="00F07CBF"/>
    <w:rsid w:val="00F106AF"/>
    <w:rsid w:val="00F108A5"/>
    <w:rsid w:val="00F10ED8"/>
    <w:rsid w:val="00F16BAB"/>
    <w:rsid w:val="00F17F64"/>
    <w:rsid w:val="00F2095F"/>
    <w:rsid w:val="00F222BE"/>
    <w:rsid w:val="00F24179"/>
    <w:rsid w:val="00F264B2"/>
    <w:rsid w:val="00F301F1"/>
    <w:rsid w:val="00F303FA"/>
    <w:rsid w:val="00F30C22"/>
    <w:rsid w:val="00F33F1A"/>
    <w:rsid w:val="00F352B0"/>
    <w:rsid w:val="00F40F0C"/>
    <w:rsid w:val="00F42304"/>
    <w:rsid w:val="00F47435"/>
    <w:rsid w:val="00F50B45"/>
    <w:rsid w:val="00F547F7"/>
    <w:rsid w:val="00F54951"/>
    <w:rsid w:val="00F54B08"/>
    <w:rsid w:val="00F54CCF"/>
    <w:rsid w:val="00F60993"/>
    <w:rsid w:val="00F61D7A"/>
    <w:rsid w:val="00F637B3"/>
    <w:rsid w:val="00F66CF7"/>
    <w:rsid w:val="00F66D1C"/>
    <w:rsid w:val="00F67BCB"/>
    <w:rsid w:val="00F73D71"/>
    <w:rsid w:val="00F76F9E"/>
    <w:rsid w:val="00F77C57"/>
    <w:rsid w:val="00F80095"/>
    <w:rsid w:val="00F813C7"/>
    <w:rsid w:val="00F81701"/>
    <w:rsid w:val="00F83566"/>
    <w:rsid w:val="00F8372B"/>
    <w:rsid w:val="00F83A9D"/>
    <w:rsid w:val="00F8450B"/>
    <w:rsid w:val="00F85DB7"/>
    <w:rsid w:val="00F906B5"/>
    <w:rsid w:val="00F92F39"/>
    <w:rsid w:val="00F93784"/>
    <w:rsid w:val="00F94DE6"/>
    <w:rsid w:val="00F971CC"/>
    <w:rsid w:val="00FA0378"/>
    <w:rsid w:val="00FA1F74"/>
    <w:rsid w:val="00FA2CAA"/>
    <w:rsid w:val="00FA3DA1"/>
    <w:rsid w:val="00FA4053"/>
    <w:rsid w:val="00FA4287"/>
    <w:rsid w:val="00FA4584"/>
    <w:rsid w:val="00FA6554"/>
    <w:rsid w:val="00FA6F85"/>
    <w:rsid w:val="00FB09D7"/>
    <w:rsid w:val="00FB0FEC"/>
    <w:rsid w:val="00FB169A"/>
    <w:rsid w:val="00FB3050"/>
    <w:rsid w:val="00FB4612"/>
    <w:rsid w:val="00FB5BA9"/>
    <w:rsid w:val="00FB613D"/>
    <w:rsid w:val="00FB78C9"/>
    <w:rsid w:val="00FC24F4"/>
    <w:rsid w:val="00FC30C6"/>
    <w:rsid w:val="00FC4D26"/>
    <w:rsid w:val="00FC5A29"/>
    <w:rsid w:val="00FD179F"/>
    <w:rsid w:val="00FD4003"/>
    <w:rsid w:val="00FD4C67"/>
    <w:rsid w:val="00FD5317"/>
    <w:rsid w:val="00FE1661"/>
    <w:rsid w:val="00FE16C1"/>
    <w:rsid w:val="00FE19FF"/>
    <w:rsid w:val="00FE224C"/>
    <w:rsid w:val="00FE33A6"/>
    <w:rsid w:val="00FE5452"/>
    <w:rsid w:val="00FE55F1"/>
    <w:rsid w:val="00FE5CC3"/>
    <w:rsid w:val="00FE7146"/>
    <w:rsid w:val="00FF2272"/>
    <w:rsid w:val="00FF59A8"/>
    <w:rsid w:val="00FF6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2D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05F"/>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ind w:left="360"/>
      <w:outlineLvl w:val="1"/>
    </w:pPr>
    <w:rPr>
      <w:b/>
      <w:szCs w:val="20"/>
    </w:rPr>
  </w:style>
  <w:style w:type="paragraph" w:styleId="Heading3">
    <w:name w:val="heading 3"/>
    <w:basedOn w:val="Normal"/>
    <w:next w:val="Normal"/>
    <w:link w:val="Heading3Char"/>
    <w:uiPriority w:val="9"/>
    <w:semiHidden/>
    <w:unhideWhenUsed/>
    <w:qFormat/>
    <w:rsid w:val="003044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04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customStyle="1" w:styleId="Default">
    <w:name w:val="Default"/>
    <w:rsid w:val="00A76C38"/>
    <w:pPr>
      <w:autoSpaceDE w:val="0"/>
      <w:autoSpaceDN w:val="0"/>
      <w:adjustRightInd w:val="0"/>
      <w:spacing w:after="0" w:line="240" w:lineRule="auto"/>
    </w:pPr>
    <w:rPr>
      <w:rFonts w:ascii="Whitney Book" w:hAnsi="Whitney Book" w:cs="Whitney Book"/>
      <w:color w:val="000000"/>
      <w:sz w:val="24"/>
      <w:szCs w:val="24"/>
      <w:lang w:val="en-GB"/>
    </w:rPr>
  </w:style>
  <w:style w:type="character" w:styleId="Emphasis">
    <w:name w:val="Emphasis"/>
    <w:basedOn w:val="DefaultParagraphFont"/>
    <w:uiPriority w:val="20"/>
    <w:qFormat/>
    <w:rsid w:val="008700E4"/>
    <w:rPr>
      <w:i/>
      <w:iCs/>
    </w:rPr>
  </w:style>
  <w:style w:type="paragraph" w:styleId="Revision">
    <w:name w:val="Revision"/>
    <w:hidden/>
    <w:uiPriority w:val="99"/>
    <w:semiHidden/>
    <w:rsid w:val="00854580"/>
    <w:pPr>
      <w:spacing w:after="0" w:line="240" w:lineRule="auto"/>
    </w:pPr>
    <w:rPr>
      <w:sz w:val="20"/>
    </w:rPr>
  </w:style>
  <w:style w:type="paragraph" w:customStyle="1" w:styleId="xmsonormal">
    <w:name w:val="x_msonormal"/>
    <w:basedOn w:val="Normal"/>
    <w:rsid w:val="0014736E"/>
    <w:pPr>
      <w:spacing w:before="100" w:beforeAutospacing="1" w:after="100" w:afterAutospacing="1"/>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unhideWhenUsed/>
    <w:rsid w:val="006A1A63"/>
    <w:rPr>
      <w:vertAlign w:val="superscript"/>
    </w:rPr>
  </w:style>
  <w:style w:type="paragraph" w:styleId="EndnoteText">
    <w:name w:val="endnote text"/>
    <w:basedOn w:val="Normal"/>
    <w:link w:val="EndnoteTextChar"/>
    <w:uiPriority w:val="99"/>
    <w:semiHidden/>
    <w:unhideWhenUsed/>
    <w:rsid w:val="00FE224C"/>
    <w:pPr>
      <w:spacing w:before="0" w:after="0"/>
    </w:pPr>
    <w:rPr>
      <w:szCs w:val="20"/>
    </w:rPr>
  </w:style>
  <w:style w:type="character" w:customStyle="1" w:styleId="EndnoteTextChar">
    <w:name w:val="Endnote Text Char"/>
    <w:basedOn w:val="DefaultParagraphFont"/>
    <w:link w:val="EndnoteText"/>
    <w:uiPriority w:val="99"/>
    <w:semiHidden/>
    <w:rsid w:val="00FE224C"/>
    <w:rPr>
      <w:sz w:val="20"/>
      <w:szCs w:val="20"/>
    </w:rPr>
  </w:style>
  <w:style w:type="character" w:styleId="UnresolvedMention">
    <w:name w:val="Unresolved Mention"/>
    <w:basedOn w:val="DefaultParagraphFont"/>
    <w:uiPriority w:val="99"/>
    <w:semiHidden/>
    <w:unhideWhenUsed/>
    <w:rsid w:val="00BE73E9"/>
    <w:rPr>
      <w:color w:val="605E5C"/>
      <w:shd w:val="clear" w:color="auto" w:fill="E1DFDD"/>
    </w:rPr>
  </w:style>
  <w:style w:type="character" w:customStyle="1" w:styleId="Heading4Char">
    <w:name w:val="Heading 4 Char"/>
    <w:basedOn w:val="DefaultParagraphFont"/>
    <w:link w:val="Heading4"/>
    <w:uiPriority w:val="9"/>
    <w:semiHidden/>
    <w:rsid w:val="000A0457"/>
    <w:rPr>
      <w:rFonts w:asciiTheme="majorHAnsi" w:eastAsiaTheme="majorEastAsia" w:hAnsiTheme="majorHAnsi" w:cstheme="majorBidi"/>
      <w:i/>
      <w:iCs/>
      <w:color w:val="365F91" w:themeColor="accent1" w:themeShade="BF"/>
      <w:sz w:val="20"/>
    </w:rPr>
  </w:style>
  <w:style w:type="paragraph" w:styleId="NormalWeb">
    <w:name w:val="Normal (Web)"/>
    <w:basedOn w:val="Normal"/>
    <w:uiPriority w:val="99"/>
    <w:semiHidden/>
    <w:unhideWhenUsed/>
    <w:rsid w:val="00B0281B"/>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304424"/>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E473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906">
      <w:bodyDiv w:val="1"/>
      <w:marLeft w:val="0"/>
      <w:marRight w:val="0"/>
      <w:marTop w:val="0"/>
      <w:marBottom w:val="0"/>
      <w:divBdr>
        <w:top w:val="none" w:sz="0" w:space="0" w:color="auto"/>
        <w:left w:val="none" w:sz="0" w:space="0" w:color="auto"/>
        <w:bottom w:val="none" w:sz="0" w:space="0" w:color="auto"/>
        <w:right w:val="none" w:sz="0" w:space="0" w:color="auto"/>
      </w:divBdr>
    </w:div>
    <w:div w:id="125701875">
      <w:bodyDiv w:val="1"/>
      <w:marLeft w:val="0"/>
      <w:marRight w:val="0"/>
      <w:marTop w:val="0"/>
      <w:marBottom w:val="0"/>
      <w:divBdr>
        <w:top w:val="none" w:sz="0" w:space="0" w:color="auto"/>
        <w:left w:val="none" w:sz="0" w:space="0" w:color="auto"/>
        <w:bottom w:val="none" w:sz="0" w:space="0" w:color="auto"/>
        <w:right w:val="none" w:sz="0" w:space="0" w:color="auto"/>
      </w:divBdr>
    </w:div>
    <w:div w:id="164713025">
      <w:bodyDiv w:val="1"/>
      <w:marLeft w:val="0"/>
      <w:marRight w:val="0"/>
      <w:marTop w:val="0"/>
      <w:marBottom w:val="0"/>
      <w:divBdr>
        <w:top w:val="none" w:sz="0" w:space="0" w:color="auto"/>
        <w:left w:val="none" w:sz="0" w:space="0" w:color="auto"/>
        <w:bottom w:val="none" w:sz="0" w:space="0" w:color="auto"/>
        <w:right w:val="none" w:sz="0" w:space="0" w:color="auto"/>
      </w:divBdr>
    </w:div>
    <w:div w:id="177085915">
      <w:bodyDiv w:val="1"/>
      <w:marLeft w:val="0"/>
      <w:marRight w:val="0"/>
      <w:marTop w:val="0"/>
      <w:marBottom w:val="0"/>
      <w:divBdr>
        <w:top w:val="none" w:sz="0" w:space="0" w:color="auto"/>
        <w:left w:val="none" w:sz="0" w:space="0" w:color="auto"/>
        <w:bottom w:val="none" w:sz="0" w:space="0" w:color="auto"/>
        <w:right w:val="none" w:sz="0" w:space="0" w:color="auto"/>
      </w:divBdr>
    </w:div>
    <w:div w:id="185754193">
      <w:bodyDiv w:val="1"/>
      <w:marLeft w:val="0"/>
      <w:marRight w:val="0"/>
      <w:marTop w:val="0"/>
      <w:marBottom w:val="0"/>
      <w:divBdr>
        <w:top w:val="none" w:sz="0" w:space="0" w:color="auto"/>
        <w:left w:val="none" w:sz="0" w:space="0" w:color="auto"/>
        <w:bottom w:val="none" w:sz="0" w:space="0" w:color="auto"/>
        <w:right w:val="none" w:sz="0" w:space="0" w:color="auto"/>
      </w:divBdr>
    </w:div>
    <w:div w:id="198320896">
      <w:bodyDiv w:val="1"/>
      <w:marLeft w:val="0"/>
      <w:marRight w:val="0"/>
      <w:marTop w:val="0"/>
      <w:marBottom w:val="0"/>
      <w:divBdr>
        <w:top w:val="none" w:sz="0" w:space="0" w:color="auto"/>
        <w:left w:val="none" w:sz="0" w:space="0" w:color="auto"/>
        <w:bottom w:val="none" w:sz="0" w:space="0" w:color="auto"/>
        <w:right w:val="none" w:sz="0" w:space="0" w:color="auto"/>
      </w:divBdr>
    </w:div>
    <w:div w:id="209464626">
      <w:bodyDiv w:val="1"/>
      <w:marLeft w:val="0"/>
      <w:marRight w:val="0"/>
      <w:marTop w:val="0"/>
      <w:marBottom w:val="0"/>
      <w:divBdr>
        <w:top w:val="none" w:sz="0" w:space="0" w:color="auto"/>
        <w:left w:val="none" w:sz="0" w:space="0" w:color="auto"/>
        <w:bottom w:val="none" w:sz="0" w:space="0" w:color="auto"/>
        <w:right w:val="none" w:sz="0" w:space="0" w:color="auto"/>
      </w:divBdr>
    </w:div>
    <w:div w:id="216362378">
      <w:bodyDiv w:val="1"/>
      <w:marLeft w:val="0"/>
      <w:marRight w:val="0"/>
      <w:marTop w:val="0"/>
      <w:marBottom w:val="0"/>
      <w:divBdr>
        <w:top w:val="none" w:sz="0" w:space="0" w:color="auto"/>
        <w:left w:val="none" w:sz="0" w:space="0" w:color="auto"/>
        <w:bottom w:val="none" w:sz="0" w:space="0" w:color="auto"/>
        <w:right w:val="none" w:sz="0" w:space="0" w:color="auto"/>
      </w:divBdr>
    </w:div>
    <w:div w:id="242497127">
      <w:bodyDiv w:val="1"/>
      <w:marLeft w:val="0"/>
      <w:marRight w:val="0"/>
      <w:marTop w:val="0"/>
      <w:marBottom w:val="0"/>
      <w:divBdr>
        <w:top w:val="none" w:sz="0" w:space="0" w:color="auto"/>
        <w:left w:val="none" w:sz="0" w:space="0" w:color="auto"/>
        <w:bottom w:val="none" w:sz="0" w:space="0" w:color="auto"/>
        <w:right w:val="none" w:sz="0" w:space="0" w:color="auto"/>
      </w:divBdr>
    </w:div>
    <w:div w:id="268970596">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02006387">
      <w:bodyDiv w:val="1"/>
      <w:marLeft w:val="0"/>
      <w:marRight w:val="0"/>
      <w:marTop w:val="0"/>
      <w:marBottom w:val="0"/>
      <w:divBdr>
        <w:top w:val="none" w:sz="0" w:space="0" w:color="auto"/>
        <w:left w:val="none" w:sz="0" w:space="0" w:color="auto"/>
        <w:bottom w:val="none" w:sz="0" w:space="0" w:color="auto"/>
        <w:right w:val="none" w:sz="0" w:space="0" w:color="auto"/>
      </w:divBdr>
    </w:div>
    <w:div w:id="417140281">
      <w:bodyDiv w:val="1"/>
      <w:marLeft w:val="0"/>
      <w:marRight w:val="0"/>
      <w:marTop w:val="0"/>
      <w:marBottom w:val="0"/>
      <w:divBdr>
        <w:top w:val="none" w:sz="0" w:space="0" w:color="auto"/>
        <w:left w:val="none" w:sz="0" w:space="0" w:color="auto"/>
        <w:bottom w:val="none" w:sz="0" w:space="0" w:color="auto"/>
        <w:right w:val="none" w:sz="0" w:space="0" w:color="auto"/>
      </w:divBdr>
    </w:div>
    <w:div w:id="512229409">
      <w:bodyDiv w:val="1"/>
      <w:marLeft w:val="0"/>
      <w:marRight w:val="0"/>
      <w:marTop w:val="0"/>
      <w:marBottom w:val="0"/>
      <w:divBdr>
        <w:top w:val="none" w:sz="0" w:space="0" w:color="auto"/>
        <w:left w:val="none" w:sz="0" w:space="0" w:color="auto"/>
        <w:bottom w:val="none" w:sz="0" w:space="0" w:color="auto"/>
        <w:right w:val="none" w:sz="0" w:space="0" w:color="auto"/>
      </w:divBdr>
    </w:div>
    <w:div w:id="560023325">
      <w:bodyDiv w:val="1"/>
      <w:marLeft w:val="0"/>
      <w:marRight w:val="0"/>
      <w:marTop w:val="0"/>
      <w:marBottom w:val="0"/>
      <w:divBdr>
        <w:top w:val="none" w:sz="0" w:space="0" w:color="auto"/>
        <w:left w:val="none" w:sz="0" w:space="0" w:color="auto"/>
        <w:bottom w:val="none" w:sz="0" w:space="0" w:color="auto"/>
        <w:right w:val="none" w:sz="0" w:space="0" w:color="auto"/>
      </w:divBdr>
      <w:divsChild>
        <w:div w:id="1916895067">
          <w:marLeft w:val="0"/>
          <w:marRight w:val="0"/>
          <w:marTop w:val="0"/>
          <w:marBottom w:val="0"/>
          <w:divBdr>
            <w:top w:val="none" w:sz="0" w:space="0" w:color="auto"/>
            <w:left w:val="none" w:sz="0" w:space="0" w:color="auto"/>
            <w:bottom w:val="none" w:sz="0" w:space="0" w:color="auto"/>
            <w:right w:val="none" w:sz="0" w:space="0" w:color="auto"/>
          </w:divBdr>
          <w:divsChild>
            <w:div w:id="1727989293">
              <w:marLeft w:val="0"/>
              <w:marRight w:val="0"/>
              <w:marTop w:val="0"/>
              <w:marBottom w:val="0"/>
              <w:divBdr>
                <w:top w:val="none" w:sz="0" w:space="0" w:color="auto"/>
                <w:left w:val="none" w:sz="0" w:space="0" w:color="auto"/>
                <w:bottom w:val="none" w:sz="0" w:space="0" w:color="auto"/>
                <w:right w:val="none" w:sz="0" w:space="0" w:color="auto"/>
              </w:divBdr>
            </w:div>
          </w:divsChild>
        </w:div>
        <w:div w:id="1995916130">
          <w:marLeft w:val="0"/>
          <w:marRight w:val="0"/>
          <w:marTop w:val="0"/>
          <w:marBottom w:val="0"/>
          <w:divBdr>
            <w:top w:val="none" w:sz="0" w:space="0" w:color="auto"/>
            <w:left w:val="none" w:sz="0" w:space="0" w:color="auto"/>
            <w:bottom w:val="none" w:sz="0" w:space="0" w:color="auto"/>
            <w:right w:val="none" w:sz="0" w:space="0" w:color="auto"/>
          </w:divBdr>
        </w:div>
      </w:divsChild>
    </w:div>
    <w:div w:id="569273958">
      <w:bodyDiv w:val="1"/>
      <w:marLeft w:val="0"/>
      <w:marRight w:val="0"/>
      <w:marTop w:val="0"/>
      <w:marBottom w:val="0"/>
      <w:divBdr>
        <w:top w:val="none" w:sz="0" w:space="0" w:color="auto"/>
        <w:left w:val="none" w:sz="0" w:space="0" w:color="auto"/>
        <w:bottom w:val="none" w:sz="0" w:space="0" w:color="auto"/>
        <w:right w:val="none" w:sz="0" w:space="0" w:color="auto"/>
      </w:divBdr>
    </w:div>
    <w:div w:id="603340747">
      <w:bodyDiv w:val="1"/>
      <w:marLeft w:val="0"/>
      <w:marRight w:val="0"/>
      <w:marTop w:val="0"/>
      <w:marBottom w:val="0"/>
      <w:divBdr>
        <w:top w:val="none" w:sz="0" w:space="0" w:color="auto"/>
        <w:left w:val="none" w:sz="0" w:space="0" w:color="auto"/>
        <w:bottom w:val="none" w:sz="0" w:space="0" w:color="auto"/>
        <w:right w:val="none" w:sz="0" w:space="0" w:color="auto"/>
      </w:divBdr>
    </w:div>
    <w:div w:id="627395647">
      <w:bodyDiv w:val="1"/>
      <w:marLeft w:val="0"/>
      <w:marRight w:val="0"/>
      <w:marTop w:val="0"/>
      <w:marBottom w:val="0"/>
      <w:divBdr>
        <w:top w:val="none" w:sz="0" w:space="0" w:color="auto"/>
        <w:left w:val="none" w:sz="0" w:space="0" w:color="auto"/>
        <w:bottom w:val="none" w:sz="0" w:space="0" w:color="auto"/>
        <w:right w:val="none" w:sz="0" w:space="0" w:color="auto"/>
      </w:divBdr>
    </w:div>
    <w:div w:id="645084299">
      <w:bodyDiv w:val="1"/>
      <w:marLeft w:val="0"/>
      <w:marRight w:val="0"/>
      <w:marTop w:val="0"/>
      <w:marBottom w:val="0"/>
      <w:divBdr>
        <w:top w:val="none" w:sz="0" w:space="0" w:color="auto"/>
        <w:left w:val="none" w:sz="0" w:space="0" w:color="auto"/>
        <w:bottom w:val="none" w:sz="0" w:space="0" w:color="auto"/>
        <w:right w:val="none" w:sz="0" w:space="0" w:color="auto"/>
      </w:divBdr>
    </w:div>
    <w:div w:id="716661719">
      <w:bodyDiv w:val="1"/>
      <w:marLeft w:val="0"/>
      <w:marRight w:val="0"/>
      <w:marTop w:val="0"/>
      <w:marBottom w:val="0"/>
      <w:divBdr>
        <w:top w:val="none" w:sz="0" w:space="0" w:color="auto"/>
        <w:left w:val="none" w:sz="0" w:space="0" w:color="auto"/>
        <w:bottom w:val="none" w:sz="0" w:space="0" w:color="auto"/>
        <w:right w:val="none" w:sz="0" w:space="0" w:color="auto"/>
      </w:divBdr>
    </w:div>
    <w:div w:id="809901068">
      <w:bodyDiv w:val="1"/>
      <w:marLeft w:val="0"/>
      <w:marRight w:val="0"/>
      <w:marTop w:val="0"/>
      <w:marBottom w:val="0"/>
      <w:divBdr>
        <w:top w:val="none" w:sz="0" w:space="0" w:color="auto"/>
        <w:left w:val="none" w:sz="0" w:space="0" w:color="auto"/>
        <w:bottom w:val="none" w:sz="0" w:space="0" w:color="auto"/>
        <w:right w:val="none" w:sz="0" w:space="0" w:color="auto"/>
      </w:divBdr>
    </w:div>
    <w:div w:id="856044652">
      <w:bodyDiv w:val="1"/>
      <w:marLeft w:val="0"/>
      <w:marRight w:val="0"/>
      <w:marTop w:val="0"/>
      <w:marBottom w:val="0"/>
      <w:divBdr>
        <w:top w:val="none" w:sz="0" w:space="0" w:color="auto"/>
        <w:left w:val="none" w:sz="0" w:space="0" w:color="auto"/>
        <w:bottom w:val="none" w:sz="0" w:space="0" w:color="auto"/>
        <w:right w:val="none" w:sz="0" w:space="0" w:color="auto"/>
      </w:divBdr>
    </w:div>
    <w:div w:id="953751719">
      <w:bodyDiv w:val="1"/>
      <w:marLeft w:val="0"/>
      <w:marRight w:val="0"/>
      <w:marTop w:val="0"/>
      <w:marBottom w:val="0"/>
      <w:divBdr>
        <w:top w:val="none" w:sz="0" w:space="0" w:color="auto"/>
        <w:left w:val="none" w:sz="0" w:space="0" w:color="auto"/>
        <w:bottom w:val="none" w:sz="0" w:space="0" w:color="auto"/>
        <w:right w:val="none" w:sz="0" w:space="0" w:color="auto"/>
      </w:divBdr>
    </w:div>
    <w:div w:id="961423710">
      <w:bodyDiv w:val="1"/>
      <w:marLeft w:val="0"/>
      <w:marRight w:val="0"/>
      <w:marTop w:val="0"/>
      <w:marBottom w:val="0"/>
      <w:divBdr>
        <w:top w:val="none" w:sz="0" w:space="0" w:color="auto"/>
        <w:left w:val="none" w:sz="0" w:space="0" w:color="auto"/>
        <w:bottom w:val="none" w:sz="0" w:space="0" w:color="auto"/>
        <w:right w:val="none" w:sz="0" w:space="0" w:color="auto"/>
      </w:divBdr>
    </w:div>
    <w:div w:id="988241249">
      <w:bodyDiv w:val="1"/>
      <w:marLeft w:val="0"/>
      <w:marRight w:val="0"/>
      <w:marTop w:val="0"/>
      <w:marBottom w:val="0"/>
      <w:divBdr>
        <w:top w:val="none" w:sz="0" w:space="0" w:color="auto"/>
        <w:left w:val="none" w:sz="0" w:space="0" w:color="auto"/>
        <w:bottom w:val="none" w:sz="0" w:space="0" w:color="auto"/>
        <w:right w:val="none" w:sz="0" w:space="0" w:color="auto"/>
      </w:divBdr>
    </w:div>
    <w:div w:id="1001815141">
      <w:bodyDiv w:val="1"/>
      <w:marLeft w:val="0"/>
      <w:marRight w:val="0"/>
      <w:marTop w:val="0"/>
      <w:marBottom w:val="0"/>
      <w:divBdr>
        <w:top w:val="none" w:sz="0" w:space="0" w:color="auto"/>
        <w:left w:val="none" w:sz="0" w:space="0" w:color="auto"/>
        <w:bottom w:val="none" w:sz="0" w:space="0" w:color="auto"/>
        <w:right w:val="none" w:sz="0" w:space="0" w:color="auto"/>
      </w:divBdr>
    </w:div>
    <w:div w:id="1064373230">
      <w:bodyDiv w:val="1"/>
      <w:marLeft w:val="0"/>
      <w:marRight w:val="0"/>
      <w:marTop w:val="0"/>
      <w:marBottom w:val="0"/>
      <w:divBdr>
        <w:top w:val="none" w:sz="0" w:space="0" w:color="auto"/>
        <w:left w:val="none" w:sz="0" w:space="0" w:color="auto"/>
        <w:bottom w:val="none" w:sz="0" w:space="0" w:color="auto"/>
        <w:right w:val="none" w:sz="0" w:space="0" w:color="auto"/>
      </w:divBdr>
    </w:div>
    <w:div w:id="1120226197">
      <w:bodyDiv w:val="1"/>
      <w:marLeft w:val="0"/>
      <w:marRight w:val="0"/>
      <w:marTop w:val="0"/>
      <w:marBottom w:val="0"/>
      <w:divBdr>
        <w:top w:val="none" w:sz="0" w:space="0" w:color="auto"/>
        <w:left w:val="none" w:sz="0" w:space="0" w:color="auto"/>
        <w:bottom w:val="none" w:sz="0" w:space="0" w:color="auto"/>
        <w:right w:val="none" w:sz="0" w:space="0" w:color="auto"/>
      </w:divBdr>
    </w:div>
    <w:div w:id="1260681787">
      <w:bodyDiv w:val="1"/>
      <w:marLeft w:val="0"/>
      <w:marRight w:val="0"/>
      <w:marTop w:val="0"/>
      <w:marBottom w:val="0"/>
      <w:divBdr>
        <w:top w:val="none" w:sz="0" w:space="0" w:color="auto"/>
        <w:left w:val="none" w:sz="0" w:space="0" w:color="auto"/>
        <w:bottom w:val="none" w:sz="0" w:space="0" w:color="auto"/>
        <w:right w:val="none" w:sz="0" w:space="0" w:color="auto"/>
      </w:divBdr>
    </w:div>
    <w:div w:id="1334914725">
      <w:bodyDiv w:val="1"/>
      <w:marLeft w:val="0"/>
      <w:marRight w:val="0"/>
      <w:marTop w:val="0"/>
      <w:marBottom w:val="0"/>
      <w:divBdr>
        <w:top w:val="none" w:sz="0" w:space="0" w:color="auto"/>
        <w:left w:val="none" w:sz="0" w:space="0" w:color="auto"/>
        <w:bottom w:val="none" w:sz="0" w:space="0" w:color="auto"/>
        <w:right w:val="none" w:sz="0" w:space="0" w:color="auto"/>
      </w:divBdr>
    </w:div>
    <w:div w:id="1348098561">
      <w:bodyDiv w:val="1"/>
      <w:marLeft w:val="0"/>
      <w:marRight w:val="0"/>
      <w:marTop w:val="0"/>
      <w:marBottom w:val="0"/>
      <w:divBdr>
        <w:top w:val="none" w:sz="0" w:space="0" w:color="auto"/>
        <w:left w:val="none" w:sz="0" w:space="0" w:color="auto"/>
        <w:bottom w:val="none" w:sz="0" w:space="0" w:color="auto"/>
        <w:right w:val="none" w:sz="0" w:space="0" w:color="auto"/>
      </w:divBdr>
    </w:div>
    <w:div w:id="1438603927">
      <w:bodyDiv w:val="1"/>
      <w:marLeft w:val="0"/>
      <w:marRight w:val="0"/>
      <w:marTop w:val="0"/>
      <w:marBottom w:val="0"/>
      <w:divBdr>
        <w:top w:val="none" w:sz="0" w:space="0" w:color="auto"/>
        <w:left w:val="none" w:sz="0" w:space="0" w:color="auto"/>
        <w:bottom w:val="none" w:sz="0" w:space="0" w:color="auto"/>
        <w:right w:val="none" w:sz="0" w:space="0" w:color="auto"/>
      </w:divBdr>
    </w:div>
    <w:div w:id="1441410045">
      <w:bodyDiv w:val="1"/>
      <w:marLeft w:val="0"/>
      <w:marRight w:val="0"/>
      <w:marTop w:val="0"/>
      <w:marBottom w:val="0"/>
      <w:divBdr>
        <w:top w:val="none" w:sz="0" w:space="0" w:color="auto"/>
        <w:left w:val="none" w:sz="0" w:space="0" w:color="auto"/>
        <w:bottom w:val="none" w:sz="0" w:space="0" w:color="auto"/>
        <w:right w:val="none" w:sz="0" w:space="0" w:color="auto"/>
      </w:divBdr>
    </w:div>
    <w:div w:id="1543666150">
      <w:bodyDiv w:val="1"/>
      <w:marLeft w:val="0"/>
      <w:marRight w:val="0"/>
      <w:marTop w:val="0"/>
      <w:marBottom w:val="0"/>
      <w:divBdr>
        <w:top w:val="none" w:sz="0" w:space="0" w:color="auto"/>
        <w:left w:val="none" w:sz="0" w:space="0" w:color="auto"/>
        <w:bottom w:val="none" w:sz="0" w:space="0" w:color="auto"/>
        <w:right w:val="none" w:sz="0" w:space="0" w:color="auto"/>
      </w:divBdr>
    </w:div>
    <w:div w:id="1635603132">
      <w:bodyDiv w:val="1"/>
      <w:marLeft w:val="0"/>
      <w:marRight w:val="0"/>
      <w:marTop w:val="0"/>
      <w:marBottom w:val="0"/>
      <w:divBdr>
        <w:top w:val="none" w:sz="0" w:space="0" w:color="auto"/>
        <w:left w:val="none" w:sz="0" w:space="0" w:color="auto"/>
        <w:bottom w:val="none" w:sz="0" w:space="0" w:color="auto"/>
        <w:right w:val="none" w:sz="0" w:space="0" w:color="auto"/>
      </w:divBdr>
    </w:div>
    <w:div w:id="1671106351">
      <w:bodyDiv w:val="1"/>
      <w:marLeft w:val="0"/>
      <w:marRight w:val="0"/>
      <w:marTop w:val="0"/>
      <w:marBottom w:val="0"/>
      <w:divBdr>
        <w:top w:val="none" w:sz="0" w:space="0" w:color="auto"/>
        <w:left w:val="none" w:sz="0" w:space="0" w:color="auto"/>
        <w:bottom w:val="none" w:sz="0" w:space="0" w:color="auto"/>
        <w:right w:val="none" w:sz="0" w:space="0" w:color="auto"/>
      </w:divBdr>
    </w:div>
    <w:div w:id="1732653867">
      <w:bodyDiv w:val="1"/>
      <w:marLeft w:val="0"/>
      <w:marRight w:val="0"/>
      <w:marTop w:val="0"/>
      <w:marBottom w:val="0"/>
      <w:divBdr>
        <w:top w:val="none" w:sz="0" w:space="0" w:color="auto"/>
        <w:left w:val="none" w:sz="0" w:space="0" w:color="auto"/>
        <w:bottom w:val="none" w:sz="0" w:space="0" w:color="auto"/>
        <w:right w:val="none" w:sz="0" w:space="0" w:color="auto"/>
      </w:divBdr>
    </w:div>
    <w:div w:id="1753967548">
      <w:bodyDiv w:val="1"/>
      <w:marLeft w:val="0"/>
      <w:marRight w:val="0"/>
      <w:marTop w:val="0"/>
      <w:marBottom w:val="0"/>
      <w:divBdr>
        <w:top w:val="none" w:sz="0" w:space="0" w:color="auto"/>
        <w:left w:val="none" w:sz="0" w:space="0" w:color="auto"/>
        <w:bottom w:val="none" w:sz="0" w:space="0" w:color="auto"/>
        <w:right w:val="none" w:sz="0" w:space="0" w:color="auto"/>
      </w:divBdr>
    </w:div>
    <w:div w:id="1832600995">
      <w:bodyDiv w:val="1"/>
      <w:marLeft w:val="0"/>
      <w:marRight w:val="0"/>
      <w:marTop w:val="0"/>
      <w:marBottom w:val="0"/>
      <w:divBdr>
        <w:top w:val="none" w:sz="0" w:space="0" w:color="auto"/>
        <w:left w:val="none" w:sz="0" w:space="0" w:color="auto"/>
        <w:bottom w:val="none" w:sz="0" w:space="0" w:color="auto"/>
        <w:right w:val="none" w:sz="0" w:space="0" w:color="auto"/>
      </w:divBdr>
    </w:div>
    <w:div w:id="1836608098">
      <w:bodyDiv w:val="1"/>
      <w:marLeft w:val="0"/>
      <w:marRight w:val="0"/>
      <w:marTop w:val="0"/>
      <w:marBottom w:val="0"/>
      <w:divBdr>
        <w:top w:val="none" w:sz="0" w:space="0" w:color="auto"/>
        <w:left w:val="none" w:sz="0" w:space="0" w:color="auto"/>
        <w:bottom w:val="none" w:sz="0" w:space="0" w:color="auto"/>
        <w:right w:val="none" w:sz="0" w:space="0" w:color="auto"/>
      </w:divBdr>
    </w:div>
    <w:div w:id="1859535920">
      <w:bodyDiv w:val="1"/>
      <w:marLeft w:val="0"/>
      <w:marRight w:val="0"/>
      <w:marTop w:val="0"/>
      <w:marBottom w:val="0"/>
      <w:divBdr>
        <w:top w:val="none" w:sz="0" w:space="0" w:color="auto"/>
        <w:left w:val="none" w:sz="0" w:space="0" w:color="auto"/>
        <w:bottom w:val="none" w:sz="0" w:space="0" w:color="auto"/>
        <w:right w:val="none" w:sz="0" w:space="0" w:color="auto"/>
      </w:divBdr>
    </w:div>
    <w:div w:id="1865439811">
      <w:bodyDiv w:val="1"/>
      <w:marLeft w:val="0"/>
      <w:marRight w:val="0"/>
      <w:marTop w:val="0"/>
      <w:marBottom w:val="0"/>
      <w:divBdr>
        <w:top w:val="none" w:sz="0" w:space="0" w:color="auto"/>
        <w:left w:val="none" w:sz="0" w:space="0" w:color="auto"/>
        <w:bottom w:val="none" w:sz="0" w:space="0" w:color="auto"/>
        <w:right w:val="none" w:sz="0" w:space="0" w:color="auto"/>
      </w:divBdr>
    </w:div>
    <w:div w:id="1924533762">
      <w:bodyDiv w:val="1"/>
      <w:marLeft w:val="0"/>
      <w:marRight w:val="0"/>
      <w:marTop w:val="0"/>
      <w:marBottom w:val="0"/>
      <w:divBdr>
        <w:top w:val="none" w:sz="0" w:space="0" w:color="auto"/>
        <w:left w:val="none" w:sz="0" w:space="0" w:color="auto"/>
        <w:bottom w:val="none" w:sz="0" w:space="0" w:color="auto"/>
        <w:right w:val="none" w:sz="0" w:space="0" w:color="auto"/>
      </w:divBdr>
    </w:div>
    <w:div w:id="2053723676">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bbagen.2013.10.040" TargetMode="External"/><Relationship Id="rId18" Type="http://schemas.openxmlformats.org/officeDocument/2006/relationships/hyperlink" Target="https://doi.org/10.1038/s41431-021-00916-8" TargetMode="External"/><Relationship Id="rId26" Type="http://schemas.openxmlformats.org/officeDocument/2006/relationships/hyperlink" Target="https://doi:10.1097/MOP.0000000000000686" TargetMode="External"/><Relationship Id="rId39" Type="http://schemas.openxmlformats.org/officeDocument/2006/relationships/hyperlink" Target="https://doi:10.1016/j.pediatrneurol.2009.11.012" TargetMode="External"/><Relationship Id="rId3" Type="http://schemas.openxmlformats.org/officeDocument/2006/relationships/styles" Target="styles.xml"/><Relationship Id="rId21" Type="http://schemas.openxmlformats.org/officeDocument/2006/relationships/hyperlink" Target="https://doi:10.1371/journal.pgen.1005679" TargetMode="External"/><Relationship Id="rId34" Type="http://schemas.openxmlformats.org/officeDocument/2006/relationships/hyperlink" Target="https://DOI:10.1056/NEJMc0806397" TargetMode="External"/><Relationship Id="rId42" Type="http://schemas.openxmlformats.org/officeDocument/2006/relationships/hyperlink" Target="https://panelapp.agha.umccr.org/" TargetMode="External"/><Relationship Id="rId7" Type="http://schemas.openxmlformats.org/officeDocument/2006/relationships/endnotes" Target="endnotes.xml"/><Relationship Id="rId12" Type="http://schemas.openxmlformats.org/officeDocument/2006/relationships/hyperlink" Target="https://www.thelancet.com/journals/laneur/article/PIIS1474-4422(21)00098-3/fulltext" TargetMode="External"/><Relationship Id="rId17" Type="http://schemas.openxmlformats.org/officeDocument/2006/relationships/hyperlink" Target="http://www.americanchildneurologyuae.com/ar/files/neurological-diseases/NEUROMETABOLIC/Updated-mitochondrial-genetic-testing-algorithm-MGM-2010%5b1%5d.pdf" TargetMode="External"/><Relationship Id="rId25" Type="http://schemas.openxmlformats.org/officeDocument/2006/relationships/hyperlink" Target="https://doi.org/10.1007/s40142-018-0138-9" TargetMode="External"/><Relationship Id="rId33" Type="http://schemas.openxmlformats.org/officeDocument/2006/relationships/hyperlink" Target="https://doi:10.1016/j.ebiom.2020.102730" TargetMode="External"/><Relationship Id="rId38" Type="http://schemas.openxmlformats.org/officeDocument/2006/relationships/hyperlink" Target="https://www.karger.com/Article/FullText/337161" TargetMode="External"/><Relationship Id="rId2" Type="http://schemas.openxmlformats.org/officeDocument/2006/relationships/numbering" Target="numbering.xml"/><Relationship Id="rId16" Type="http://schemas.openxmlformats.org/officeDocument/2006/relationships/hyperlink" Target="https://doi.org/10.1038/s41436-020-0793-6" TargetMode="External"/><Relationship Id="rId20" Type="http://schemas.openxmlformats.org/officeDocument/2006/relationships/hyperlink" Target="https://doi:10.1007/s10545-015-9823-y" TargetMode="External"/><Relationship Id="rId29" Type="http://schemas.openxmlformats.org/officeDocument/2006/relationships/hyperlink" Target="https://doi:10.1093/brain/aww303" TargetMode="External"/><Relationship Id="rId41" Type="http://schemas.openxmlformats.org/officeDocument/2006/relationships/hyperlink" Target="https://doi:10.1212/01.wnl.0000031795.91814.d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10.1016/j.ebiom.2020.102784" TargetMode="External"/><Relationship Id="rId32" Type="http://schemas.openxmlformats.org/officeDocument/2006/relationships/hyperlink" Target="https://doi.org/10.1007/978-3-030-05517-2_19" TargetMode="External"/><Relationship Id="rId37" Type="http://schemas.openxmlformats.org/officeDocument/2006/relationships/hyperlink" Target="https://doi.org/10.1186/s13023-020-1342-8" TargetMode="External"/><Relationship Id="rId40" Type="http://schemas.openxmlformats.org/officeDocument/2006/relationships/hyperlink" Target="https://doi:10.1212/NXG.0000000000000230" TargetMode="External"/><Relationship Id="rId5" Type="http://schemas.openxmlformats.org/officeDocument/2006/relationships/webSettings" Target="webSettings.xml"/><Relationship Id="rId15" Type="http://schemas.openxmlformats.org/officeDocument/2006/relationships/hyperlink" Target="https://pubmed.ncbi.nlm.nih.gov/32313153/" TargetMode="External"/><Relationship Id="rId23" Type="http://schemas.openxmlformats.org/officeDocument/2006/relationships/hyperlink" Target="https://pubmed.ncbi.nlm.nih.gov/22231385/" TargetMode="External"/><Relationship Id="rId28" Type="http://schemas.openxmlformats.org/officeDocument/2006/relationships/hyperlink" Target="https://doi:10.3390/pharmaceutics12111083" TargetMode="External"/><Relationship Id="rId36" Type="http://schemas.openxmlformats.org/officeDocument/2006/relationships/hyperlink" Target="https://doi:10.1093/brain/awg170" TargetMode="External"/><Relationship Id="rId10" Type="http://schemas.openxmlformats.org/officeDocument/2006/relationships/hyperlink" Target="http://www.msac.gov.au/" TargetMode="External"/><Relationship Id="rId19" Type="http://schemas.openxmlformats.org/officeDocument/2006/relationships/hyperlink" Target="https://doi.org/10.1007/s00431-018-3292-x" TargetMode="External"/><Relationship Id="rId31" Type="http://schemas.openxmlformats.org/officeDocument/2006/relationships/hyperlink" Target="https://doi.org/10.1038/s41525-017-0006-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hyperlink" Target="https://doi:10.20517/jtgg.2020.31" TargetMode="External"/><Relationship Id="rId22" Type="http://schemas.openxmlformats.org/officeDocument/2006/relationships/hyperlink" Target="https://doi.org/10.1038/s41436-021-01210-0" TargetMode="External"/><Relationship Id="rId27" Type="http://schemas.openxmlformats.org/officeDocument/2006/relationships/hyperlink" Target="https://doi:10.1136/jmedgenet-2018-105800" TargetMode="External"/><Relationship Id="rId30" Type="http://schemas.openxmlformats.org/officeDocument/2006/relationships/hyperlink" Target="https://doi:10.1155/2019/9312451" TargetMode="External"/><Relationship Id="rId35" Type="http://schemas.openxmlformats.org/officeDocument/2006/relationships/hyperlink" Target="https://doi:10.1002/ana.24362" TargetMode="External"/><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wmf"/><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658B2-929E-4BCE-9378-0390AA97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16192</Words>
  <Characters>92301</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2021-09-23T06:39:00Z</dcterms:created>
  <dcterms:modified xsi:type="dcterms:W3CDTF">2021-09-23T06:39:00Z</dcterms:modified>
</cp:coreProperties>
</file>