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5A940"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48E7819" wp14:editId="28A21E7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52AD0F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6A08AD2" w14:textId="77777777" w:rsidR="00BC1364" w:rsidRPr="00F715D1" w:rsidRDefault="00BC1364" w:rsidP="00F715D1">
      <w:pPr>
        <w:pStyle w:val="Subtitle"/>
      </w:pPr>
      <w:r w:rsidRPr="00F715D1">
        <w:t xml:space="preserve">Application No. </w:t>
      </w:r>
      <w:r w:rsidR="00F6451D" w:rsidRPr="00F6451D">
        <w:t>1525 - Low dose-rate (LDR) brachytherapy for intermediate and high-risk prostate cancer</w:t>
      </w:r>
    </w:p>
    <w:p w14:paraId="17FA7F5F" w14:textId="3D053718"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E22159">
        <w:rPr>
          <w:rFonts w:ascii="Arial" w:hAnsi="Arial" w:cs="Arial"/>
          <w:b/>
          <w:szCs w:val="24"/>
        </w:rPr>
        <w:t xml:space="preserve"> BXTAccelyon Australia Pty Ltd</w:t>
      </w:r>
    </w:p>
    <w:p w14:paraId="7FF51442"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6451D">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6451D">
        <w:rPr>
          <w:rFonts w:ascii="Arial" w:hAnsi="Arial" w:cs="Arial"/>
          <w:b/>
          <w:szCs w:val="24"/>
        </w:rPr>
        <w:t>1-2 August 2019</w:t>
      </w:r>
    </w:p>
    <w:p w14:paraId="78172361"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AB546BC" w14:textId="77777777" w:rsidR="003D7F29" w:rsidRPr="00F715D1" w:rsidRDefault="003D7F29" w:rsidP="00F715D1">
      <w:pPr>
        <w:pStyle w:val="Heading1"/>
      </w:pPr>
      <w:r w:rsidRPr="00F715D1">
        <w:t>Purpose of application</w:t>
      </w:r>
      <w:r w:rsidR="00822C7E" w:rsidRPr="00F715D1">
        <w:t xml:space="preserve"> </w:t>
      </w:r>
    </w:p>
    <w:p w14:paraId="076775F0" w14:textId="346776F6" w:rsidR="00F6451D" w:rsidRDefault="00F6451D" w:rsidP="00F6451D">
      <w:pPr>
        <w:tabs>
          <w:tab w:val="left" w:pos="720"/>
          <w:tab w:val="left" w:pos="1140"/>
        </w:tabs>
        <w:rPr>
          <w:szCs w:val="24"/>
        </w:rPr>
      </w:pPr>
      <w:r>
        <w:rPr>
          <w:szCs w:val="24"/>
        </w:rPr>
        <w:t>An</w:t>
      </w:r>
      <w:r w:rsidRPr="002D6E9F">
        <w:rPr>
          <w:szCs w:val="24"/>
        </w:rPr>
        <w:t xml:space="preserve"> application </w:t>
      </w:r>
      <w:r w:rsidR="00877595">
        <w:rPr>
          <w:szCs w:val="24"/>
        </w:rPr>
        <w:t xml:space="preserve">requesting Medicare Benefits Schedule (MBS) listing </w:t>
      </w:r>
      <w:r w:rsidR="00E75BE6">
        <w:rPr>
          <w:szCs w:val="24"/>
        </w:rPr>
        <w:t>of</w:t>
      </w:r>
      <w:r w:rsidR="00E75BE6" w:rsidRPr="002D6E9F">
        <w:rPr>
          <w:szCs w:val="24"/>
        </w:rPr>
        <w:t xml:space="preserve"> </w:t>
      </w:r>
      <w:r w:rsidRPr="002D6E9F">
        <w:rPr>
          <w:szCs w:val="24"/>
        </w:rPr>
        <w:t>LDR Brachytherapy</w:t>
      </w:r>
      <w:r>
        <w:rPr>
          <w:szCs w:val="24"/>
        </w:rPr>
        <w:t xml:space="preserve"> (LDR-BT)</w:t>
      </w:r>
      <w:r w:rsidRPr="002D6E9F">
        <w:rPr>
          <w:szCs w:val="24"/>
        </w:rPr>
        <w:t xml:space="preserve"> for intermediate and high-risk prostate cancer </w:t>
      </w:r>
      <w:r>
        <w:rPr>
          <w:szCs w:val="24"/>
        </w:rPr>
        <w:t xml:space="preserve">was received </w:t>
      </w:r>
      <w:r w:rsidRPr="002D6E9F">
        <w:rPr>
          <w:szCs w:val="24"/>
        </w:rPr>
        <w:t>from MedTechnique</w:t>
      </w:r>
      <w:r w:rsidR="00E22159">
        <w:rPr>
          <w:szCs w:val="24"/>
        </w:rPr>
        <w:t xml:space="preserve"> on behalf of BXTAccelyon Australia Pty Ltd </w:t>
      </w:r>
      <w:r>
        <w:rPr>
          <w:szCs w:val="24"/>
        </w:rPr>
        <w:t>by the Department of Health</w:t>
      </w:r>
      <w:r w:rsidR="00E22159">
        <w:rPr>
          <w:szCs w:val="24"/>
        </w:rPr>
        <w:t>.</w:t>
      </w:r>
    </w:p>
    <w:p w14:paraId="27243149" w14:textId="77777777" w:rsidR="00E977EE" w:rsidRPr="00F715D1" w:rsidRDefault="00E977EE" w:rsidP="00F715D1">
      <w:pPr>
        <w:pStyle w:val="Heading1"/>
      </w:pPr>
      <w:r w:rsidRPr="00F715D1">
        <w:t>MSAC’s advice to the Minister</w:t>
      </w:r>
    </w:p>
    <w:p w14:paraId="6AD19D1F" w14:textId="4D18F7F8" w:rsidR="004B63A0" w:rsidRDefault="008933C4" w:rsidP="00592104">
      <w:pPr>
        <w:spacing w:after="240"/>
      </w:pPr>
      <w:r w:rsidRPr="001342D1">
        <w:t xml:space="preserve">After considering the strength of the available evidence in relation to comparative safety, </w:t>
      </w:r>
      <w:r>
        <w:t>clinical effectiveness and cost-</w:t>
      </w:r>
      <w:r w:rsidRPr="001342D1">
        <w:t xml:space="preserve">effectiveness, </w:t>
      </w:r>
      <w:r w:rsidRPr="006E32D8">
        <w:rPr>
          <w:szCs w:val="24"/>
        </w:rPr>
        <w:t xml:space="preserve">MSAC </w:t>
      </w:r>
      <w:r>
        <w:rPr>
          <w:szCs w:val="24"/>
        </w:rPr>
        <w:t>did</w:t>
      </w:r>
      <w:r w:rsidRPr="006E32D8">
        <w:rPr>
          <w:szCs w:val="24"/>
        </w:rPr>
        <w:t xml:space="preserve"> </w:t>
      </w:r>
      <w:r>
        <w:rPr>
          <w:szCs w:val="24"/>
        </w:rPr>
        <w:t xml:space="preserve">not support public funding for LDR-BT boost (following primary external beam radiotherapy </w:t>
      </w:r>
      <w:r w:rsidR="00746FF7">
        <w:rPr>
          <w:szCs w:val="24"/>
        </w:rPr>
        <w:t>[</w:t>
      </w:r>
      <w:r w:rsidRPr="004E3E6E">
        <w:rPr>
          <w:szCs w:val="24"/>
        </w:rPr>
        <w:t>EBRT</w:t>
      </w:r>
      <w:r w:rsidR="00746FF7">
        <w:rPr>
          <w:szCs w:val="24"/>
        </w:rPr>
        <w:t>]</w:t>
      </w:r>
      <w:r>
        <w:rPr>
          <w:szCs w:val="24"/>
        </w:rPr>
        <w:t xml:space="preserve">) </w:t>
      </w:r>
      <w:r w:rsidRPr="006E32D8">
        <w:rPr>
          <w:szCs w:val="24"/>
        </w:rPr>
        <w:t>for intermediate and high-risk prostate cancer</w:t>
      </w:r>
      <w:r>
        <w:rPr>
          <w:szCs w:val="24"/>
        </w:rPr>
        <w:t xml:space="preserve">. </w:t>
      </w:r>
      <w:r w:rsidRPr="00335A16">
        <w:rPr>
          <w:szCs w:val="24"/>
        </w:rPr>
        <w:t xml:space="preserve">MSAC </w:t>
      </w:r>
      <w:r>
        <w:rPr>
          <w:szCs w:val="24"/>
        </w:rPr>
        <w:t>considered that</w:t>
      </w:r>
      <w:r w:rsidRPr="00335A16">
        <w:rPr>
          <w:szCs w:val="24"/>
        </w:rPr>
        <w:t xml:space="preserve"> </w:t>
      </w:r>
      <w:r>
        <w:rPr>
          <w:szCs w:val="24"/>
        </w:rPr>
        <w:t>the</w:t>
      </w:r>
      <w:r w:rsidRPr="00335A16">
        <w:rPr>
          <w:szCs w:val="24"/>
        </w:rPr>
        <w:t xml:space="preserve"> </w:t>
      </w:r>
      <w:r>
        <w:rPr>
          <w:szCs w:val="24"/>
        </w:rPr>
        <w:t xml:space="preserve">limited comparative </w:t>
      </w:r>
      <w:r w:rsidRPr="00D14F1C">
        <w:rPr>
          <w:szCs w:val="24"/>
        </w:rPr>
        <w:t xml:space="preserve">safety and effectiveness </w:t>
      </w:r>
      <w:r>
        <w:rPr>
          <w:szCs w:val="24"/>
        </w:rPr>
        <w:t xml:space="preserve">evidence was too </w:t>
      </w:r>
      <w:r w:rsidRPr="00D14F1C">
        <w:rPr>
          <w:szCs w:val="24"/>
        </w:rPr>
        <w:t>uncertain</w:t>
      </w:r>
      <w:r>
        <w:rPr>
          <w:szCs w:val="24"/>
        </w:rPr>
        <w:t xml:space="preserve"> relative to dose escalated </w:t>
      </w:r>
      <w:r w:rsidR="00B76782">
        <w:rPr>
          <w:szCs w:val="24"/>
        </w:rPr>
        <w:t>(DE-</w:t>
      </w:r>
      <w:r w:rsidRPr="004E3E6E">
        <w:rPr>
          <w:szCs w:val="24"/>
        </w:rPr>
        <w:t>EBRT</w:t>
      </w:r>
      <w:r w:rsidR="00B76782">
        <w:rPr>
          <w:szCs w:val="24"/>
        </w:rPr>
        <w:t>)</w:t>
      </w:r>
      <w:r>
        <w:rPr>
          <w:szCs w:val="24"/>
        </w:rPr>
        <w:t xml:space="preserve">, and no evidence was presented </w:t>
      </w:r>
      <w:r w:rsidRPr="004E3E6E">
        <w:rPr>
          <w:szCs w:val="24"/>
        </w:rPr>
        <w:t xml:space="preserve">relative to </w:t>
      </w:r>
      <w:r>
        <w:rPr>
          <w:szCs w:val="24"/>
        </w:rPr>
        <w:t>treatment with h</w:t>
      </w:r>
      <w:r w:rsidRPr="00587651">
        <w:rPr>
          <w:szCs w:val="24"/>
        </w:rPr>
        <w:t xml:space="preserve">igh dose-rate brachytherapy </w:t>
      </w:r>
      <w:r>
        <w:rPr>
          <w:szCs w:val="24"/>
        </w:rPr>
        <w:t>(</w:t>
      </w:r>
      <w:r w:rsidRPr="004E3E6E">
        <w:rPr>
          <w:szCs w:val="24"/>
        </w:rPr>
        <w:t>HDR-BT</w:t>
      </w:r>
      <w:r>
        <w:rPr>
          <w:szCs w:val="24"/>
        </w:rPr>
        <w:t>)</w:t>
      </w:r>
      <w:r w:rsidRPr="004E3E6E">
        <w:rPr>
          <w:szCs w:val="24"/>
        </w:rPr>
        <w:t xml:space="preserve"> boost </w:t>
      </w:r>
      <w:r>
        <w:rPr>
          <w:szCs w:val="24"/>
        </w:rPr>
        <w:t xml:space="preserve">following EBRT </w:t>
      </w:r>
      <w:r w:rsidR="00B76782">
        <w:rPr>
          <w:szCs w:val="24"/>
        </w:rPr>
        <w:t>or</w:t>
      </w:r>
      <w:r w:rsidR="00B76782" w:rsidRPr="004E3E6E">
        <w:rPr>
          <w:szCs w:val="24"/>
        </w:rPr>
        <w:t xml:space="preserve"> </w:t>
      </w:r>
      <w:r>
        <w:rPr>
          <w:szCs w:val="24"/>
        </w:rPr>
        <w:t>r</w:t>
      </w:r>
      <w:r w:rsidRPr="00587651">
        <w:rPr>
          <w:szCs w:val="24"/>
        </w:rPr>
        <w:t xml:space="preserve">adical prostatectomy </w:t>
      </w:r>
      <w:r>
        <w:rPr>
          <w:szCs w:val="24"/>
        </w:rPr>
        <w:t>(</w:t>
      </w:r>
      <w:r w:rsidRPr="004E3E6E">
        <w:rPr>
          <w:szCs w:val="24"/>
        </w:rPr>
        <w:t>RP</w:t>
      </w:r>
      <w:r>
        <w:rPr>
          <w:szCs w:val="24"/>
        </w:rPr>
        <w:t>)</w:t>
      </w:r>
      <w:r w:rsidRPr="0033265B">
        <w:t>.</w:t>
      </w:r>
    </w:p>
    <w:tbl>
      <w:tblPr>
        <w:tblStyle w:val="TableGrid"/>
        <w:tblW w:w="0" w:type="auto"/>
        <w:tblLook w:val="04A0" w:firstRow="1" w:lastRow="0" w:firstColumn="1" w:lastColumn="0" w:noHBand="0" w:noVBand="1"/>
        <w:tblDescription w:val="Consumer summary of MSAC consideration"/>
      </w:tblPr>
      <w:tblGrid>
        <w:gridCol w:w="9016"/>
      </w:tblGrid>
      <w:tr w:rsidR="00F9490F" w14:paraId="7E18F257" w14:textId="77777777" w:rsidTr="00F9490F">
        <w:trPr>
          <w:tblHeader/>
        </w:trPr>
        <w:tc>
          <w:tcPr>
            <w:tcW w:w="9016" w:type="dxa"/>
          </w:tcPr>
          <w:p w14:paraId="003EA3A7" w14:textId="4AE426B3" w:rsidR="00F9490F" w:rsidRPr="00F9490F" w:rsidRDefault="00F9490F" w:rsidP="00F9490F">
            <w:pPr>
              <w:pStyle w:val="Heading2"/>
              <w:keepNext w:val="0"/>
              <w:keepLines w:val="0"/>
              <w:spacing w:before="120" w:after="120"/>
              <w:outlineLvl w:val="1"/>
              <w:rPr>
                <w:rFonts w:ascii="Times New Roman" w:hAnsi="Times New Roman" w:cs="Times New Roman"/>
                <w:b/>
                <w:i w:val="0"/>
              </w:rPr>
            </w:pPr>
            <w:r>
              <w:rPr>
                <w:rFonts w:ascii="Times New Roman" w:hAnsi="Times New Roman" w:cs="Times New Roman"/>
                <w:b/>
                <w:i w:val="0"/>
              </w:rPr>
              <w:t>Consumer summary</w:t>
            </w:r>
          </w:p>
        </w:tc>
      </w:tr>
      <w:tr w:rsidR="00F9490F" w14:paraId="4973E090" w14:textId="77777777" w:rsidTr="00F9490F">
        <w:tc>
          <w:tcPr>
            <w:tcW w:w="9016" w:type="dxa"/>
          </w:tcPr>
          <w:p w14:paraId="6A971B3E" w14:textId="77777777" w:rsidR="00F9490F" w:rsidRPr="004B63A0" w:rsidRDefault="00F9490F" w:rsidP="00F9490F">
            <w:pPr>
              <w:spacing w:before="120"/>
              <w:rPr>
                <w:rFonts w:ascii="Times New Roman" w:hAnsi="Times New Roman" w:cs="Times New Roman"/>
                <w:sz w:val="22"/>
              </w:rPr>
            </w:pPr>
            <w:r w:rsidRPr="004B63A0">
              <w:rPr>
                <w:rFonts w:ascii="Times New Roman" w:hAnsi="Times New Roman" w:cs="Times New Roman"/>
              </w:rPr>
              <w:t xml:space="preserve">BXTAccelyon Australia applied for public funding for low dose-rate brachytherapy (LDR-BT) in the treatment of prostate cancer. </w:t>
            </w:r>
          </w:p>
          <w:p w14:paraId="41FD02A6" w14:textId="77777777" w:rsidR="00F9490F" w:rsidRPr="004B63A0" w:rsidRDefault="00F9490F" w:rsidP="00F9490F">
            <w:pPr>
              <w:spacing w:before="240" w:after="240"/>
              <w:rPr>
                <w:rFonts w:ascii="Times New Roman" w:hAnsi="Times New Roman" w:cs="Times New Roman"/>
              </w:rPr>
            </w:pPr>
            <w:r w:rsidRPr="004B63A0">
              <w:rPr>
                <w:rFonts w:ascii="Times New Roman" w:hAnsi="Times New Roman" w:cs="Times New Roman"/>
              </w:rPr>
              <w:t>In LDR-BT, small radioactive “seeds” are placed into the prostate gland and stay there permanently to deliver radiation close to the tumour. This is done to boost the radiation dose after a patient has already had radiation directed at the tumour from outside the body (called external beam radiotherapy, or EBRT). Other options for patients who have already had EBRT are more doses of EBRT (called dose-escalated EBRT) or temporary radiation given through a small tube into the prostate (called high dose-</w:t>
            </w:r>
            <w:r>
              <w:rPr>
                <w:rFonts w:ascii="Times New Roman" w:hAnsi="Times New Roman" w:cs="Times New Roman"/>
              </w:rPr>
              <w:t>rate brachytherapy, or HDR-BT).</w:t>
            </w:r>
          </w:p>
          <w:p w14:paraId="225B6E14" w14:textId="77777777" w:rsidR="00F9490F" w:rsidRPr="004B63A0" w:rsidRDefault="00F9490F" w:rsidP="00F9490F">
            <w:pPr>
              <w:rPr>
                <w:rFonts w:ascii="Times New Roman" w:hAnsi="Times New Roman" w:cs="Times New Roman"/>
              </w:rPr>
            </w:pPr>
            <w:r w:rsidRPr="004B63A0">
              <w:rPr>
                <w:rFonts w:ascii="Times New Roman" w:hAnsi="Times New Roman" w:cs="Times New Roman"/>
              </w:rPr>
              <w:t>LDR-BT is already listed on the MBS for use in patients who have low-risk prostate cancer. This application is requesting MBS listing for LDR-BT to be used as a radiation boost after EBRT in patients with intermediate- to high-risk prostate cancer.</w:t>
            </w:r>
          </w:p>
          <w:p w14:paraId="289AAB97" w14:textId="77777777" w:rsidR="00F9490F" w:rsidRPr="004B63A0" w:rsidRDefault="00F9490F" w:rsidP="00F9490F">
            <w:pPr>
              <w:spacing w:after="120"/>
              <w:rPr>
                <w:rFonts w:ascii="Times New Roman" w:hAnsi="Times New Roman" w:cs="Times New Roman"/>
                <w:b/>
              </w:rPr>
            </w:pPr>
            <w:r w:rsidRPr="000A0160">
              <w:rPr>
                <w:rFonts w:ascii="Times New Roman" w:hAnsi="Times New Roman" w:cs="Times New Roman"/>
                <w:b/>
              </w:rPr>
              <w:lastRenderedPageBreak/>
              <w:t>MSAC’s recommendation to the Commonwealth Health Minister</w:t>
            </w:r>
          </w:p>
          <w:p w14:paraId="1E15E80C" w14:textId="50B58DC8" w:rsidR="00F9490F" w:rsidRDefault="00F9490F" w:rsidP="00F9490F">
            <w:pPr>
              <w:spacing w:after="240"/>
            </w:pPr>
            <w:r w:rsidRPr="004B63A0">
              <w:rPr>
                <w:rFonts w:ascii="Times New Roman" w:hAnsi="Times New Roman" w:cs="Times New Roman"/>
              </w:rPr>
              <w:t>MSAC did not support public funding of LDR-BT for this use because there is not enough evidence to be certain of its safety and effectiveness compared with other treatment options.</w:t>
            </w:r>
          </w:p>
        </w:tc>
      </w:tr>
    </w:tbl>
    <w:p w14:paraId="06822153" w14:textId="77777777" w:rsidR="00550354" w:rsidRPr="00F715D1" w:rsidRDefault="00550354" w:rsidP="00F715D1">
      <w:pPr>
        <w:pStyle w:val="Heading1"/>
      </w:pPr>
      <w:r w:rsidRPr="00F715D1">
        <w:lastRenderedPageBreak/>
        <w:t xml:space="preserve">Summary of consideration and rationale for MSAC’s advice </w:t>
      </w:r>
    </w:p>
    <w:p w14:paraId="28621F7B" w14:textId="2DC60A84" w:rsidR="008933C4" w:rsidRPr="00C87871" w:rsidRDefault="008933C4" w:rsidP="00592104">
      <w:pPr>
        <w:spacing w:after="240"/>
      </w:pPr>
      <w:r>
        <w:t xml:space="preserve">Application 1525 proposes that LDR-BT would be used as a radiation boost after primary EBRT, as an alternative to </w:t>
      </w:r>
      <w:r w:rsidR="00C06E1F">
        <w:t xml:space="preserve">RP, </w:t>
      </w:r>
      <w:r w:rsidR="00B76782">
        <w:t xml:space="preserve">DE-EBRT or </w:t>
      </w:r>
      <w:r>
        <w:t>HDR-BT</w:t>
      </w:r>
      <w:r w:rsidR="00DB5C03">
        <w:t xml:space="preserve"> boost</w:t>
      </w:r>
      <w:r w:rsidR="00C06E1F">
        <w:t xml:space="preserve"> following EBRT</w:t>
      </w:r>
      <w:r>
        <w:t xml:space="preserve">. MSAC noted that </w:t>
      </w:r>
      <w:r w:rsidRPr="00627D80">
        <w:t>LDR</w:t>
      </w:r>
      <w:r>
        <w:t>-BT</w:t>
      </w:r>
      <w:r w:rsidRPr="00627D80">
        <w:t xml:space="preserve"> </w:t>
      </w:r>
      <w:r>
        <w:t>for use in low-intermediate/low–</w:t>
      </w:r>
      <w:r w:rsidRPr="00627D80">
        <w:t xml:space="preserve">risk prostate </w:t>
      </w:r>
      <w:r>
        <w:t xml:space="preserve">cancer has been listed on the MBS since 2001 (MBS items </w:t>
      </w:r>
      <w:r w:rsidRPr="00627D80">
        <w:t xml:space="preserve">37220 </w:t>
      </w:r>
      <w:r>
        <w:t>and 15338</w:t>
      </w:r>
      <w:r w:rsidRPr="00627D80">
        <w:t>).</w:t>
      </w:r>
      <w:r>
        <w:t xml:space="preserve"> MSAC also noted that international clinical guidelines recommend LDR-BT in combination with EBRT as a treatment option for intermediate- and high-risk prostate cancer.</w:t>
      </w:r>
    </w:p>
    <w:p w14:paraId="795E9081" w14:textId="6853587D" w:rsidR="008933C4" w:rsidRPr="00C87871" w:rsidRDefault="00D81752" w:rsidP="00E75BE6">
      <w:pPr>
        <w:pStyle w:val="NormalBeforeBullet"/>
        <w:spacing w:after="240"/>
      </w:pPr>
      <w:r>
        <w:t>MSAC noted t</w:t>
      </w:r>
      <w:r w:rsidR="008933C4">
        <w:t>wo new MBS items were proposed</w:t>
      </w:r>
      <w:r>
        <w:t xml:space="preserve"> for the </w:t>
      </w:r>
      <w:r w:rsidR="008933C4">
        <w:t>urological component of the procedure</w:t>
      </w:r>
      <w:r>
        <w:t xml:space="preserve"> and the </w:t>
      </w:r>
      <w:r w:rsidR="008933C4">
        <w:t>radiation oncology component. MSAC confirmed that the item descriptor should specify that LDR-BT is intended for use as a boost following EBRT and in association with androgen blockade.</w:t>
      </w:r>
    </w:p>
    <w:p w14:paraId="758C4009" w14:textId="1CA20C44" w:rsidR="008933C4" w:rsidRPr="00C87871" w:rsidRDefault="008933C4" w:rsidP="00592104">
      <w:pPr>
        <w:spacing w:after="240"/>
      </w:pPr>
      <w:r>
        <w:t xml:space="preserve">MSAC confirmed that </w:t>
      </w:r>
      <w:r w:rsidR="001077BD">
        <w:t xml:space="preserve">the </w:t>
      </w:r>
      <w:r>
        <w:t xml:space="preserve">comparators – </w:t>
      </w:r>
      <w:r w:rsidR="00DB5C03">
        <w:t>RP</w:t>
      </w:r>
      <w:r>
        <w:t>, DE-EBRT and HDR-BT</w:t>
      </w:r>
      <w:r w:rsidR="00DB5C03">
        <w:t xml:space="preserve"> boost</w:t>
      </w:r>
      <w:r>
        <w:t xml:space="preserve"> following EBRT</w:t>
      </w:r>
      <w:r w:rsidRPr="00DF1D9D">
        <w:t xml:space="preserve"> </w:t>
      </w:r>
      <w:r>
        <w:t xml:space="preserve">– were appropriate. MSAC noted that these comparators are currently funded </w:t>
      </w:r>
      <w:r w:rsidR="00C74943">
        <w:t xml:space="preserve">under the </w:t>
      </w:r>
      <w:r>
        <w:t xml:space="preserve">MBS and match those in the ratified PICO. MSAC noted consultation feedback suggesting that comparators should also include </w:t>
      </w:r>
      <w:r w:rsidRPr="00DF1D9D">
        <w:t>intensity modulated radiation therapy</w:t>
      </w:r>
      <w:r>
        <w:t>.</w:t>
      </w:r>
    </w:p>
    <w:p w14:paraId="39B93DDF" w14:textId="1FFBEEC8" w:rsidR="00914924" w:rsidRDefault="008933C4" w:rsidP="00592104">
      <w:pPr>
        <w:pStyle w:val="NormalBeforeBullet"/>
        <w:spacing w:after="240"/>
      </w:pPr>
      <w:r>
        <w:t xml:space="preserve">MSAC noted that very limited evidence was presented on the comparative safety and clinical effectiveness of LDR-BT. In the ASCENDE-RT trial, </w:t>
      </w:r>
      <w:r w:rsidRPr="0046348E">
        <w:t>adverse effects (acute genitourinary</w:t>
      </w:r>
      <w:r w:rsidR="001077BD">
        <w:t xml:space="preserve"> (GU)</w:t>
      </w:r>
      <w:r w:rsidRPr="0046348E">
        <w:t xml:space="preserve"> toxicity, </w:t>
      </w:r>
      <w:r>
        <w:t xml:space="preserve">and </w:t>
      </w:r>
      <w:r w:rsidRPr="0046348E">
        <w:t>late gastrointestinal</w:t>
      </w:r>
      <w:r w:rsidR="001077BD">
        <w:t xml:space="preserve"> (GI)</w:t>
      </w:r>
      <w:r w:rsidRPr="0046348E">
        <w:t xml:space="preserve"> and </w:t>
      </w:r>
      <w:r w:rsidR="001077BD">
        <w:t>GU</w:t>
      </w:r>
      <w:r w:rsidR="001077BD" w:rsidRPr="0046348E">
        <w:t xml:space="preserve"> </w:t>
      </w:r>
      <w:r w:rsidRPr="0046348E">
        <w:t>morbidity)</w:t>
      </w:r>
      <w:r>
        <w:t xml:space="preserve"> were more frequent in</w:t>
      </w:r>
      <w:r w:rsidRPr="0046348E">
        <w:t xml:space="preserve"> </w:t>
      </w:r>
      <w:r>
        <w:t xml:space="preserve">the </w:t>
      </w:r>
      <w:r w:rsidRPr="0046348E">
        <w:t xml:space="preserve">EBRT+LDR-BT boost arm </w:t>
      </w:r>
      <w:r>
        <w:t>than the DE-EBRT arm, and</w:t>
      </w:r>
      <w:r w:rsidRPr="0046348E">
        <w:t xml:space="preserve"> </w:t>
      </w:r>
      <w:r>
        <w:t>h</w:t>
      </w:r>
      <w:r w:rsidRPr="00713ACB">
        <w:t>ealth-related quality of life scores were lower</w:t>
      </w:r>
      <w:r>
        <w:t xml:space="preserve">. </w:t>
      </w:r>
      <w:r w:rsidRPr="0046348E">
        <w:t xml:space="preserve">No statistically significant differences were reported for </w:t>
      </w:r>
      <w:r>
        <w:t xml:space="preserve">serious adverse events (AEs) or the frequency of </w:t>
      </w:r>
      <w:r w:rsidRPr="0046348E">
        <w:t>erectile dysfunction.</w:t>
      </w:r>
      <w:r>
        <w:t xml:space="preserve"> Given that this application is for radiation therapy and the importance of certainty regarding </w:t>
      </w:r>
      <w:r w:rsidR="00914924">
        <w:t xml:space="preserve">radiation </w:t>
      </w:r>
      <w:r>
        <w:t>safety, MSAC concluded that EBRT plus LDR-BT has inferior safety relative to DE-EBRT.</w:t>
      </w:r>
    </w:p>
    <w:p w14:paraId="6DEED6A5" w14:textId="5570DA43" w:rsidR="001E4F87" w:rsidRDefault="00914924" w:rsidP="00592104">
      <w:pPr>
        <w:spacing w:after="240"/>
      </w:pPr>
      <w:r>
        <w:t>However, n</w:t>
      </w:r>
      <w:r w:rsidR="008933C4">
        <w:t xml:space="preserve">o safety data were provided comparing </w:t>
      </w:r>
      <w:r w:rsidR="008933C4" w:rsidRPr="0046348E">
        <w:t>EBRT+LDR-BT</w:t>
      </w:r>
      <w:r w:rsidR="00DB5C03">
        <w:t xml:space="preserve"> boost</w:t>
      </w:r>
      <w:r w:rsidR="008933C4">
        <w:t xml:space="preserve"> with </w:t>
      </w:r>
      <w:r w:rsidR="00DB5C03">
        <w:t xml:space="preserve">RP </w:t>
      </w:r>
      <w:r w:rsidR="008933C4">
        <w:t>or EBRT+H</w:t>
      </w:r>
      <w:r w:rsidR="008933C4" w:rsidRPr="0046348E">
        <w:t>DR-BT</w:t>
      </w:r>
      <w:r w:rsidR="00DB5C03">
        <w:t xml:space="preserve"> boost</w:t>
      </w:r>
      <w:r w:rsidR="008933C4">
        <w:t xml:space="preserve">. MSAC therefore </w:t>
      </w:r>
      <w:r w:rsidR="008933C4" w:rsidRPr="008F0474">
        <w:t>concluded that EBRT+LDR-BT boost has uncertain safety relative to</w:t>
      </w:r>
      <w:r w:rsidR="00DB5C03">
        <w:t xml:space="preserve"> RP and</w:t>
      </w:r>
      <w:r w:rsidR="008933C4" w:rsidRPr="008F0474">
        <w:t xml:space="preserve"> EBRT+HDR-BT boost.</w:t>
      </w:r>
    </w:p>
    <w:p w14:paraId="35AC4F3E" w14:textId="4C843895" w:rsidR="001E4F87" w:rsidRDefault="008933C4" w:rsidP="00592104">
      <w:pPr>
        <w:spacing w:after="240"/>
      </w:pPr>
      <w:r>
        <w:t xml:space="preserve">MSAC </w:t>
      </w:r>
      <w:r w:rsidRPr="005D4918">
        <w:t xml:space="preserve">noted that </w:t>
      </w:r>
      <w:r>
        <w:t>it is possible that the AE</w:t>
      </w:r>
      <w:r w:rsidRPr="005D4918">
        <w:t>s observed in the trial may be avoidable with improvements in planning and modern imaging techniques that have occurred since the trial was conducted.</w:t>
      </w:r>
      <w:r>
        <w:t xml:space="preserve"> However, without evidence, this remains uncertain.</w:t>
      </w:r>
    </w:p>
    <w:p w14:paraId="4A0A1630" w14:textId="43796F51" w:rsidR="008933C4" w:rsidRPr="00886EDB" w:rsidRDefault="008933C4" w:rsidP="001E4F87">
      <w:r w:rsidRPr="00886EDB">
        <w:t xml:space="preserve">MSAC noted that evidence for </w:t>
      </w:r>
      <w:r>
        <w:t>clinical</w:t>
      </w:r>
      <w:r w:rsidRPr="00886EDB">
        <w:t xml:space="preserve"> effectiveness was from the ASCENDE-RT trial and a retrospective cohort study. The ASCENDE-RT trial suggested superior effectiveness of EBRT+LDR-BT boost versus DE-EBRT for biochemical progression-free survival. However, there was no difference in overall survival, metastasis-free survival or prostate cancer–specific survival, and the study was not powered or long enough to assess survival outcomes. The retrospective cohort study </w:t>
      </w:r>
      <w:r>
        <w:t>suggest</w:t>
      </w:r>
      <w:r w:rsidRPr="00886EDB">
        <w:t xml:space="preserve">ed better overall survival for EBRT+LDR-BT boost than for DE-EBRT. However, this study </w:t>
      </w:r>
      <w:r>
        <w:t>was</w:t>
      </w:r>
      <w:r w:rsidRPr="00886EDB">
        <w:t xml:space="preserve"> at a high risk of bias and</w:t>
      </w:r>
      <w:r>
        <w:t>,</w:t>
      </w:r>
      <w:r w:rsidRPr="00886EDB">
        <w:t xml:space="preserve"> potentially</w:t>
      </w:r>
      <w:r>
        <w:t>,</w:t>
      </w:r>
      <w:r w:rsidRPr="00886EDB">
        <w:t xml:space="preserve"> low applicability. </w:t>
      </w:r>
      <w:r>
        <w:t>MSAC therefore concluded that EBRT</w:t>
      </w:r>
      <w:r w:rsidR="00673CEE">
        <w:t>+</w:t>
      </w:r>
      <w:r>
        <w:t>LDR-BT</w:t>
      </w:r>
      <w:r w:rsidR="00673CEE">
        <w:t xml:space="preserve"> boost</w:t>
      </w:r>
      <w:r>
        <w:t xml:space="preserve"> has superior </w:t>
      </w:r>
      <w:r w:rsidRPr="00886EDB">
        <w:t xml:space="preserve">effectiveness for biochemical progression-free survival, </w:t>
      </w:r>
      <w:r>
        <w:t>but</w:t>
      </w:r>
      <w:r w:rsidRPr="00886EDB">
        <w:t xml:space="preserve"> uncertain effectiveness for </w:t>
      </w:r>
      <w:r w:rsidRPr="00886EDB">
        <w:lastRenderedPageBreak/>
        <w:t>overall survival, metastasis-free survival or prostate cancer–specific survival</w:t>
      </w:r>
      <w:r>
        <w:t>, relative to DE-EBRT.</w:t>
      </w:r>
    </w:p>
    <w:p w14:paraId="08D7B5E3" w14:textId="1BC04F05" w:rsidR="008933C4" w:rsidRPr="00886EDB" w:rsidRDefault="008933C4" w:rsidP="00107780">
      <w:pPr>
        <w:spacing w:before="240" w:after="240"/>
      </w:pPr>
      <w:r w:rsidRPr="00886EDB">
        <w:t>No data were provided comparing effectiveness of EBRT+LDR-BT</w:t>
      </w:r>
      <w:r w:rsidR="00673CEE">
        <w:t xml:space="preserve"> boost</w:t>
      </w:r>
      <w:r w:rsidRPr="00886EDB">
        <w:t xml:space="preserve"> with either </w:t>
      </w:r>
      <w:r w:rsidR="00673CEE">
        <w:t xml:space="preserve">RP </w:t>
      </w:r>
      <w:r>
        <w:t xml:space="preserve">or EBRT+HDR-BT boost. MSAC therefore </w:t>
      </w:r>
      <w:r w:rsidRPr="008F0474">
        <w:t xml:space="preserve">concluded that EBRT+LDR-BT boost has uncertain </w:t>
      </w:r>
      <w:r>
        <w:t>effectiveness</w:t>
      </w:r>
      <w:r w:rsidRPr="008F0474">
        <w:t xml:space="preserve"> relative to EBRT+HDR-BT boost and </w:t>
      </w:r>
      <w:r w:rsidR="00673CEE">
        <w:t>RP</w:t>
      </w:r>
      <w:r w:rsidRPr="008F0474">
        <w:t>.</w:t>
      </w:r>
    </w:p>
    <w:p w14:paraId="3A5BE10D" w14:textId="74179D32" w:rsidR="00FC1554" w:rsidRDefault="008933C4" w:rsidP="00592104">
      <w:pPr>
        <w:spacing w:after="240"/>
      </w:pPr>
      <w:r>
        <w:t>MSAC noted that the economic model was modified to address concerns raised by ESC. MSAC accepted that the revised model is</w:t>
      </w:r>
      <w:r w:rsidR="00FC1554">
        <w:t xml:space="preserve"> likely to be</w:t>
      </w:r>
      <w:r>
        <w:t xml:space="preserve"> appropriate and </w:t>
      </w:r>
      <w:r w:rsidR="00F12C78">
        <w:t xml:space="preserve">now </w:t>
      </w:r>
      <w:r>
        <w:t xml:space="preserve">shows that use of </w:t>
      </w:r>
      <w:r w:rsidRPr="008F0474">
        <w:t>LDR-BT</w:t>
      </w:r>
      <w:r>
        <w:t xml:space="preserve"> as a boost following EBRT appears to be cost-effective based on the </w:t>
      </w:r>
      <w:r w:rsidR="00F12C78">
        <w:t xml:space="preserve">revised </w:t>
      </w:r>
      <w:r>
        <w:t>inputs used. MSAC noted that cost-effectiveness is sustained or increased over a 20–30-year time horizon based on life year and quality-adjusted life year</w:t>
      </w:r>
      <w:r w:rsidR="00F12C78">
        <w:t xml:space="preserve"> (QALY)</w:t>
      </w:r>
      <w:r>
        <w:t xml:space="preserve"> outcomes.</w:t>
      </w:r>
    </w:p>
    <w:p w14:paraId="26A78E7C" w14:textId="2A046092" w:rsidR="008933C4" w:rsidRPr="00C87871" w:rsidRDefault="008933C4" w:rsidP="00592104">
      <w:pPr>
        <w:spacing w:after="240"/>
      </w:pPr>
      <w:r>
        <w:t xml:space="preserve">MSAC noted that the amended </w:t>
      </w:r>
      <w:r w:rsidR="00FC1554">
        <w:t xml:space="preserve">financial </w:t>
      </w:r>
      <w:r>
        <w:t xml:space="preserve">model estimates a cost to the MBS of </w:t>
      </w:r>
      <w:r w:rsidR="00746FF7">
        <w:t xml:space="preserve">approximately </w:t>
      </w:r>
      <w:r>
        <w:t>$400,000 in Year 5.</w:t>
      </w:r>
    </w:p>
    <w:p w14:paraId="67160AA4" w14:textId="77777777" w:rsidR="008933C4" w:rsidRPr="00925E4D" w:rsidRDefault="008933C4" w:rsidP="001E4F87">
      <w:pPr>
        <w:pStyle w:val="NormalBeforeBullet"/>
        <w:spacing w:after="0"/>
      </w:pPr>
      <w:r w:rsidRPr="00925E4D">
        <w:t>MSAC advised that any future resubmission should include:</w:t>
      </w:r>
    </w:p>
    <w:p w14:paraId="53A327C5" w14:textId="6AFC0638" w:rsidR="008933C4" w:rsidRPr="00925E4D" w:rsidRDefault="008933C4" w:rsidP="001E4F87">
      <w:pPr>
        <w:pStyle w:val="Bullet"/>
        <w:spacing w:after="0"/>
      </w:pPr>
      <w:r w:rsidRPr="00925E4D">
        <w:t>comparative safety data based on up-to date practice, ideally for all three comparators</w:t>
      </w:r>
      <w:r w:rsidR="00BE450A">
        <w:t>;</w:t>
      </w:r>
    </w:p>
    <w:p w14:paraId="7A3FC3F9" w14:textId="15995AE0" w:rsidR="00BE450A" w:rsidRDefault="008933C4" w:rsidP="00023530">
      <w:pPr>
        <w:pStyle w:val="BulletLast"/>
        <w:spacing w:after="0"/>
        <w:ind w:left="714" w:hanging="357"/>
      </w:pPr>
      <w:r w:rsidRPr="00925E4D">
        <w:t>effectiveness data for the other two comparators (</w:t>
      </w:r>
      <w:r w:rsidR="00F12C78">
        <w:t>RP</w:t>
      </w:r>
      <w:r w:rsidRPr="00925E4D">
        <w:t xml:space="preserve"> and EBRT+HDR-BT boost)</w:t>
      </w:r>
      <w:r w:rsidR="00BE450A">
        <w:t>; and</w:t>
      </w:r>
    </w:p>
    <w:p w14:paraId="35398383" w14:textId="7F64CC01" w:rsidR="008933C4" w:rsidRPr="00925E4D" w:rsidRDefault="00BE450A" w:rsidP="008933C4">
      <w:pPr>
        <w:pStyle w:val="BulletLast"/>
      </w:pPr>
      <w:r>
        <w:t>cost-effectiveness analyses should be updated to reflect any newly relevant comparative safety and effectiveness</w:t>
      </w:r>
      <w:r w:rsidR="00825FD1">
        <w:t xml:space="preserve"> data.</w:t>
      </w:r>
    </w:p>
    <w:p w14:paraId="2F03E190" w14:textId="7D4EC8C0" w:rsidR="001E4F87" w:rsidRPr="001E4F87" w:rsidRDefault="008933C4" w:rsidP="00592104">
      <w:pPr>
        <w:spacing w:after="240"/>
      </w:pPr>
      <w:r w:rsidRPr="00925E4D">
        <w:t xml:space="preserve">MSAC suggested that the Medical Research Future Fund </w:t>
      </w:r>
      <w:r w:rsidR="004B63A0">
        <w:t>may</w:t>
      </w:r>
      <w:r w:rsidRPr="00925E4D">
        <w:t xml:space="preserve"> be a suitable vehicle for providing more evidence.</w:t>
      </w:r>
    </w:p>
    <w:p w14:paraId="79F7FC67" w14:textId="1F4CF7D4" w:rsidR="00E75BE6" w:rsidRPr="004B63A0" w:rsidRDefault="008933C4" w:rsidP="00023530">
      <w:r>
        <w:t xml:space="preserve">MSAC considered that </w:t>
      </w:r>
      <w:r w:rsidR="00825FD1">
        <w:t>S</w:t>
      </w:r>
      <w:r w:rsidRPr="009541AD">
        <w:t>tates</w:t>
      </w:r>
      <w:r w:rsidR="00746FF7">
        <w:t>,</w:t>
      </w:r>
      <w:r w:rsidR="00E75BE6">
        <w:t xml:space="preserve"> </w:t>
      </w:r>
      <w:r w:rsidR="00825FD1">
        <w:t>Territories</w:t>
      </w:r>
      <w:r w:rsidRPr="009541AD">
        <w:t xml:space="preserve"> and others paying for the seeds</w:t>
      </w:r>
      <w:r>
        <w:t xml:space="preserve"> should be made aware</w:t>
      </w:r>
      <w:r w:rsidRPr="009541AD">
        <w:t xml:space="preserve"> </w:t>
      </w:r>
      <w:r>
        <w:t>of the lack of evidence for comparative safety and effectiveness</w:t>
      </w:r>
      <w:r w:rsidR="00B51E8A">
        <w:t xml:space="preserve"> of </w:t>
      </w:r>
      <w:r w:rsidR="00B51E8A">
        <w:rPr>
          <w:szCs w:val="24"/>
        </w:rPr>
        <w:t xml:space="preserve">LDR-BT boost (following </w:t>
      </w:r>
      <w:r w:rsidR="00B51E8A" w:rsidRPr="004E3E6E">
        <w:rPr>
          <w:szCs w:val="24"/>
        </w:rPr>
        <w:t>EBRT</w:t>
      </w:r>
      <w:r w:rsidR="00B51E8A">
        <w:rPr>
          <w:szCs w:val="24"/>
        </w:rPr>
        <w:t>)</w:t>
      </w:r>
      <w:r w:rsidR="00124797">
        <w:rPr>
          <w:szCs w:val="24"/>
        </w:rPr>
        <w:t xml:space="preserve"> </w:t>
      </w:r>
      <w:r w:rsidR="00B51E8A" w:rsidRPr="002D6E9F">
        <w:rPr>
          <w:szCs w:val="24"/>
        </w:rPr>
        <w:t>for</w:t>
      </w:r>
      <w:r w:rsidR="00B51E8A">
        <w:rPr>
          <w:szCs w:val="24"/>
        </w:rPr>
        <w:t xml:space="preserve"> patients with</w:t>
      </w:r>
      <w:r w:rsidR="00B51E8A" w:rsidRPr="002D6E9F">
        <w:rPr>
          <w:szCs w:val="24"/>
        </w:rPr>
        <w:t xml:space="preserve"> intermediate and high-risk prostate</w:t>
      </w:r>
      <w:r w:rsidR="00B51E8A">
        <w:rPr>
          <w:szCs w:val="24"/>
        </w:rPr>
        <w:t xml:space="preserve"> cancer</w:t>
      </w:r>
      <w:r>
        <w:t xml:space="preserve">. </w:t>
      </w:r>
    </w:p>
    <w:p w14:paraId="2C6B2062" w14:textId="77777777" w:rsidR="00BC1364" w:rsidRPr="00F715D1" w:rsidRDefault="00BC1364" w:rsidP="00F715D1">
      <w:pPr>
        <w:pStyle w:val="Heading1"/>
      </w:pPr>
      <w:r w:rsidRPr="00F715D1">
        <w:t>Background</w:t>
      </w:r>
    </w:p>
    <w:p w14:paraId="24C6136A" w14:textId="77777777" w:rsidR="00F6451D" w:rsidRDefault="00F6451D" w:rsidP="00F6451D">
      <w:pPr>
        <w:tabs>
          <w:tab w:val="left" w:pos="720"/>
          <w:tab w:val="left" w:pos="1140"/>
        </w:tabs>
        <w:rPr>
          <w:szCs w:val="24"/>
        </w:rPr>
      </w:pPr>
      <w:r>
        <w:rPr>
          <w:szCs w:val="24"/>
        </w:rPr>
        <w:t xml:space="preserve">This is the first submission for </w:t>
      </w:r>
      <w:r w:rsidRPr="008D73DA">
        <w:rPr>
          <w:szCs w:val="24"/>
        </w:rPr>
        <w:t>LDR Brachytherapy for intermediate and high-risk prostate cancer</w:t>
      </w:r>
      <w:r>
        <w:rPr>
          <w:szCs w:val="24"/>
        </w:rPr>
        <w:t>. MSAC has not previously considered this application.</w:t>
      </w:r>
    </w:p>
    <w:p w14:paraId="5DE38BBE" w14:textId="77777777" w:rsidR="00BC1364" w:rsidRPr="00F715D1" w:rsidRDefault="00BC1364" w:rsidP="00F715D1">
      <w:pPr>
        <w:pStyle w:val="Heading1"/>
      </w:pPr>
      <w:r w:rsidRPr="00F715D1">
        <w:t>Prerequisites to implementation of any funding advice</w:t>
      </w:r>
    </w:p>
    <w:p w14:paraId="7D74E7BD" w14:textId="0DA91AE6" w:rsidR="00F6451D" w:rsidRDefault="00F6451D" w:rsidP="00F6451D">
      <w:r>
        <w:t xml:space="preserve">The intervention does not require a new device, a number of brachytherapy-related items are already listed on the ARTG (Australian Register of Therapeutic Goods). </w:t>
      </w:r>
    </w:p>
    <w:p w14:paraId="08EB3733" w14:textId="77777777" w:rsidR="00BC1364" w:rsidRPr="00F715D1" w:rsidRDefault="00BC1364" w:rsidP="00F715D1">
      <w:pPr>
        <w:pStyle w:val="Heading1"/>
      </w:pPr>
      <w:r w:rsidRPr="00F715D1">
        <w:t>Proposal for public funding</w:t>
      </w:r>
    </w:p>
    <w:p w14:paraId="2B50CB6A" w14:textId="7DAAC8F9" w:rsidR="00951F0C" w:rsidRPr="00592104" w:rsidRDefault="00F6451D">
      <w:r w:rsidRPr="00D37354">
        <w:t xml:space="preserve">The applicant proposed two new MBS items to cover the urological component and radiation oncology component of </w:t>
      </w:r>
      <w:r>
        <w:t>LDR-BT</w:t>
      </w:r>
      <w:r w:rsidRPr="00D37354">
        <w:t xml:space="preserve"> for use as a boost to EBRT in</w:t>
      </w:r>
      <w:r w:rsidR="00BE450A">
        <w:t xml:space="preserve"> patients with</w:t>
      </w:r>
      <w:r w:rsidRPr="00D37354">
        <w:t xml:space="preserve"> high-intermediate and high-risk prostate cancer. </w:t>
      </w:r>
      <w:r w:rsidRPr="00D37354" w:rsidDel="00A134DA">
        <w:t>The proposed MBS item descriptor</w:t>
      </w:r>
      <w:r w:rsidRPr="00D37354">
        <w:t>s</w:t>
      </w:r>
      <w:r w:rsidRPr="00D37354" w:rsidDel="00A134DA">
        <w:t xml:space="preserve"> </w:t>
      </w:r>
      <w:r w:rsidRPr="00D37354">
        <w:t>are</w:t>
      </w:r>
      <w:r w:rsidRPr="00D37354" w:rsidDel="00A134DA">
        <w:t xml:space="preserve"> summarised in</w:t>
      </w:r>
      <w:r>
        <w:t xml:space="preserve"> </w:t>
      </w:r>
      <w:r w:rsidR="004B63A0">
        <w:t>Table 1.</w:t>
      </w:r>
      <w:bookmarkStart w:id="1" w:name="_Ref422290"/>
      <w:bookmarkStart w:id="2" w:name="_Toc459499"/>
      <w:r w:rsidR="00951F0C">
        <w:br w:type="page"/>
      </w:r>
    </w:p>
    <w:p w14:paraId="5B460AA6" w14:textId="2918D17C" w:rsidR="00F6451D" w:rsidRPr="00F9490F" w:rsidDel="00A134DA" w:rsidRDefault="00F6451D" w:rsidP="00F9490F">
      <w:pPr>
        <w:rPr>
          <w:rFonts w:ascii="Arial Narrow" w:hAnsi="Arial Narrow"/>
          <w:b/>
          <w:sz w:val="20"/>
        </w:rPr>
      </w:pPr>
      <w:r w:rsidRPr="00F9490F" w:rsidDel="00A134DA">
        <w:rPr>
          <w:rFonts w:ascii="Arial Narrow" w:hAnsi="Arial Narrow"/>
          <w:b/>
          <w:sz w:val="20"/>
        </w:rPr>
        <w:lastRenderedPageBreak/>
        <w:t xml:space="preserve">Table </w:t>
      </w:r>
      <w:r w:rsidRPr="00F9490F">
        <w:rPr>
          <w:rFonts w:ascii="Arial Narrow" w:hAnsi="Arial Narrow"/>
          <w:b/>
          <w:sz w:val="20"/>
        </w:rPr>
        <w:fldChar w:fldCharType="begin"/>
      </w:r>
      <w:r w:rsidRPr="00F9490F">
        <w:rPr>
          <w:rFonts w:ascii="Arial Narrow" w:hAnsi="Arial Narrow"/>
          <w:b/>
          <w:sz w:val="20"/>
        </w:rPr>
        <w:instrText xml:space="preserve"> SEQ Table \* ARABIC </w:instrText>
      </w:r>
      <w:r w:rsidRPr="00F9490F">
        <w:rPr>
          <w:rFonts w:ascii="Arial Narrow" w:hAnsi="Arial Narrow"/>
          <w:b/>
          <w:sz w:val="20"/>
        </w:rPr>
        <w:fldChar w:fldCharType="separate"/>
      </w:r>
      <w:r w:rsidR="004B63A0" w:rsidRPr="00F9490F">
        <w:rPr>
          <w:rFonts w:ascii="Arial Narrow" w:hAnsi="Arial Narrow"/>
          <w:b/>
          <w:sz w:val="20"/>
        </w:rPr>
        <w:t>1</w:t>
      </w:r>
      <w:r w:rsidRPr="00F9490F">
        <w:rPr>
          <w:rFonts w:ascii="Arial Narrow" w:hAnsi="Arial Narrow"/>
          <w:b/>
          <w:sz w:val="20"/>
        </w:rPr>
        <w:fldChar w:fldCharType="end"/>
      </w:r>
      <w:bookmarkEnd w:id="1"/>
      <w:r w:rsidRPr="00F9490F" w:rsidDel="00A134DA">
        <w:rPr>
          <w:rFonts w:ascii="Arial Narrow" w:hAnsi="Arial Narrow"/>
          <w:b/>
          <w:sz w:val="20"/>
        </w:rPr>
        <w:tab/>
      </w:r>
      <w:r w:rsidR="00E75BE6" w:rsidRPr="00F9490F">
        <w:rPr>
          <w:rFonts w:ascii="Arial Narrow" w:hAnsi="Arial Narrow"/>
          <w:b/>
          <w:sz w:val="20"/>
        </w:rPr>
        <w:t>Applicant p</w:t>
      </w:r>
      <w:r w:rsidRPr="00F9490F" w:rsidDel="00A134DA">
        <w:rPr>
          <w:rFonts w:ascii="Arial Narrow" w:hAnsi="Arial Narrow"/>
          <w:b/>
          <w:sz w:val="20"/>
        </w:rPr>
        <w:t>roposed MBS item descriptor</w:t>
      </w:r>
      <w:bookmarkEnd w:id="2"/>
    </w:p>
    <w:tbl>
      <w:tblPr>
        <w:tblStyle w:val="TableGrid2"/>
        <w:tblW w:w="5000" w:type="pct"/>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F6451D" w:rsidRPr="00D37354" w:rsidDel="00A134DA" w14:paraId="6B7CF2AA" w14:textId="77777777" w:rsidTr="00F9490F">
        <w:trPr>
          <w:cnfStyle w:val="100000000000" w:firstRow="1" w:lastRow="0" w:firstColumn="0" w:lastColumn="0" w:oddVBand="0" w:evenVBand="0" w:oddHBand="0" w:evenHBand="0" w:firstRowFirstColumn="0" w:firstRowLastColumn="0" w:lastRowFirstColumn="0" w:lastRowLastColumn="0"/>
          <w:tblHeader/>
        </w:trPr>
        <w:tc>
          <w:tcPr>
            <w:tcW w:w="5000" w:type="pct"/>
          </w:tcPr>
          <w:p w14:paraId="29137BB1" w14:textId="77777777" w:rsidR="00F6451D" w:rsidRPr="00D37354" w:rsidDel="00A134DA" w:rsidRDefault="00F6451D" w:rsidP="00B90C44">
            <w:pPr>
              <w:pStyle w:val="Tabletext0"/>
            </w:pPr>
            <w:r w:rsidRPr="00D37354" w:rsidDel="00A134DA">
              <w:t xml:space="preserve">Category </w:t>
            </w:r>
            <w:r w:rsidRPr="00D37354">
              <w:t>3</w:t>
            </w:r>
            <w:r w:rsidRPr="00D37354" w:rsidDel="00A134DA">
              <w:t xml:space="preserve"> – </w:t>
            </w:r>
            <w:r w:rsidRPr="00D37354">
              <w:t>Therapeutic procedures</w:t>
            </w:r>
          </w:p>
        </w:tc>
      </w:tr>
      <w:tr w:rsidR="00F6451D" w:rsidRPr="00D37354" w:rsidDel="00A134DA" w14:paraId="68DD59FE" w14:textId="77777777" w:rsidTr="00F9490F">
        <w:tc>
          <w:tcPr>
            <w:tcW w:w="5000" w:type="pct"/>
          </w:tcPr>
          <w:p w14:paraId="33765AE5" w14:textId="77777777" w:rsidR="00F6451D" w:rsidRPr="00D37354" w:rsidRDefault="00F6451D" w:rsidP="00B90C44">
            <w:pPr>
              <w:pStyle w:val="Tabletext0"/>
            </w:pPr>
            <w:r w:rsidRPr="00D37354">
              <w:t>PROSTATE, radioactive seed implantation (radiation oncology component), using transrectal ultrasound guidance, for localised (non-metastatic) prostatic malignancy classified as high-intermediate risk (defined as having a prostate specific antigen (PSA) of 10-20 ng/ml and a Gleason score of 7 and a tumour classified as T2b-c) or high risk (defined as having a PSA of greater than 20 ng/ml and/or a Gleason score of 8-10 and/or a tumour classified as T3). It is recommended the procedure only be performed as ‘boost’ treatment, in addition to external beam radiotherapy, at an approved site in association with a urologist.</w:t>
            </w:r>
          </w:p>
          <w:p w14:paraId="5E89D5D6" w14:textId="77777777" w:rsidR="00F6451D" w:rsidRPr="00D37354" w:rsidDel="00A134DA" w:rsidRDefault="00F6451D" w:rsidP="00B90C44">
            <w:pPr>
              <w:pStyle w:val="Tabletext0"/>
            </w:pPr>
            <w:r w:rsidRPr="00D37354">
              <w:t>Fee: $935.60</w:t>
            </w:r>
          </w:p>
        </w:tc>
      </w:tr>
      <w:tr w:rsidR="00F6451D" w:rsidRPr="00D37354" w:rsidDel="00A134DA" w14:paraId="2F7F36CF" w14:textId="77777777" w:rsidTr="00F9490F">
        <w:tc>
          <w:tcPr>
            <w:tcW w:w="5000" w:type="pct"/>
          </w:tcPr>
          <w:p w14:paraId="0ED24AA8" w14:textId="77777777" w:rsidR="00F6451D" w:rsidRPr="00D37354" w:rsidRDefault="00F6451D" w:rsidP="00B90C44">
            <w:pPr>
              <w:pStyle w:val="Tabletext0"/>
            </w:pPr>
            <w:r w:rsidRPr="00D37354">
              <w:t>PROSTATE, radioactive seed implantation (urological component), using transrectal ultrasound guidance, for localised (non-metastatic) prostatic malignancy classified as high-intermediate risk (defined as having a prostate specific antigen (PSA) of 10-20 ng/ml and a Gleason score of 7 and a tumour classified as T2b-c) or high risk (defined as having a PSA of greater than 20 ng/ml and/or a Gleason score of 8-10 and/or a tumour classified as T3). It is recommended the procedure only be performed as ‘boost’ treatment, in addition to external beam radiotherapy, at an approved site in association with a radiation oncologist.</w:t>
            </w:r>
          </w:p>
          <w:p w14:paraId="3486B94B" w14:textId="77777777" w:rsidR="00F6451D" w:rsidRPr="00D37354" w:rsidRDefault="00F6451D" w:rsidP="00B90C44">
            <w:pPr>
              <w:pStyle w:val="Tabletext0"/>
            </w:pPr>
            <w:r w:rsidRPr="00D37354">
              <w:t>Fee: $1,044.20</w:t>
            </w:r>
          </w:p>
        </w:tc>
      </w:tr>
    </w:tbl>
    <w:p w14:paraId="6477C871" w14:textId="0F8ED417" w:rsidR="00254249" w:rsidRDefault="00825FD1" w:rsidP="00E75BE6">
      <w:pPr>
        <w:pStyle w:val="Tablenotes"/>
      </w:pPr>
      <w:r>
        <w:t>Source: Table 1, pp20-21 of the CA</w:t>
      </w:r>
    </w:p>
    <w:p w14:paraId="345F0D31" w14:textId="3E700445" w:rsidR="00254249" w:rsidRDefault="00254249" w:rsidP="00254249">
      <w:r>
        <w:t>The Department propose</w:t>
      </w:r>
      <w:r w:rsidR="00951F0C">
        <w:t>d</w:t>
      </w:r>
      <w:r>
        <w:t xml:space="preserve"> the following item descriptors</w:t>
      </w:r>
      <w:r w:rsidR="00E75BE6">
        <w:t xml:space="preserve"> in Table 2.</w:t>
      </w:r>
      <w:r>
        <w:t xml:space="preserve"> </w:t>
      </w:r>
    </w:p>
    <w:p w14:paraId="3D89D19D" w14:textId="10EDE47E" w:rsidR="00254249" w:rsidRPr="00F9490F" w:rsidRDefault="00E75BE6" w:rsidP="00F9490F">
      <w:pPr>
        <w:spacing w:before="240"/>
        <w:rPr>
          <w:rFonts w:ascii="Arial Narrow" w:hAnsi="Arial Narrow"/>
          <w:b/>
          <w:sz w:val="20"/>
        </w:rPr>
      </w:pPr>
      <w:r w:rsidRPr="00F9490F" w:rsidDel="00A134DA">
        <w:rPr>
          <w:rFonts w:ascii="Arial Narrow" w:hAnsi="Arial Narrow"/>
          <w:b/>
          <w:sz w:val="20"/>
        </w:rPr>
        <w:t xml:space="preserve">Table </w:t>
      </w:r>
      <w:r w:rsidRPr="00F9490F">
        <w:rPr>
          <w:rFonts w:ascii="Arial Narrow" w:hAnsi="Arial Narrow"/>
          <w:b/>
          <w:sz w:val="20"/>
        </w:rPr>
        <w:t>2</w:t>
      </w:r>
      <w:r w:rsidRPr="00F9490F" w:rsidDel="00A134DA">
        <w:rPr>
          <w:rFonts w:ascii="Arial Narrow" w:hAnsi="Arial Narrow"/>
          <w:b/>
          <w:sz w:val="20"/>
        </w:rPr>
        <w:tab/>
      </w:r>
      <w:r w:rsidRPr="00F9490F">
        <w:rPr>
          <w:rFonts w:ascii="Arial Narrow" w:hAnsi="Arial Narrow"/>
          <w:b/>
          <w:sz w:val="20"/>
        </w:rPr>
        <w:t>Department p</w:t>
      </w:r>
      <w:r w:rsidRPr="00F9490F" w:rsidDel="00A134DA">
        <w:rPr>
          <w:rFonts w:ascii="Arial Narrow" w:hAnsi="Arial Narrow"/>
          <w:b/>
          <w:sz w:val="20"/>
        </w:rPr>
        <w:t>roposed MBS item descriptor</w:t>
      </w:r>
    </w:p>
    <w:p w14:paraId="6B3B5271" w14:textId="77777777" w:rsidR="00254249" w:rsidRPr="00023530" w:rsidRDefault="00254249" w:rsidP="00254249">
      <w:pPr>
        <w:pBdr>
          <w:top w:val="single" w:sz="4" w:space="1" w:color="auto"/>
          <w:left w:val="single" w:sz="4" w:space="4" w:color="auto"/>
          <w:bottom w:val="single" w:sz="4" w:space="1" w:color="auto"/>
          <w:right w:val="single" w:sz="4" w:space="4" w:color="auto"/>
          <w:between w:val="single" w:sz="4" w:space="1" w:color="auto"/>
        </w:pBdr>
        <w:contextualSpacing/>
        <w:rPr>
          <w:rFonts w:ascii="Arial Narrow" w:hAnsi="Arial Narrow"/>
          <w:sz w:val="20"/>
        </w:rPr>
      </w:pPr>
      <w:r w:rsidRPr="00023530">
        <w:rPr>
          <w:rFonts w:ascii="Arial Narrow" w:hAnsi="Arial Narrow"/>
          <w:sz w:val="20"/>
        </w:rPr>
        <w:t>Category 3 – Therapeutic Procedures</w:t>
      </w:r>
    </w:p>
    <w:p w14:paraId="10CA4D28" w14:textId="4CDEFDF2" w:rsidR="00254249" w:rsidRPr="00023530" w:rsidRDefault="00254249" w:rsidP="00592104">
      <w:pPr>
        <w:pBdr>
          <w:top w:val="single" w:sz="4" w:space="1" w:color="auto"/>
          <w:left w:val="single" w:sz="4" w:space="4" w:color="auto"/>
          <w:bottom w:val="single" w:sz="4" w:space="1" w:color="auto"/>
          <w:right w:val="single" w:sz="4" w:space="4" w:color="auto"/>
        </w:pBdr>
        <w:spacing w:after="240"/>
        <w:rPr>
          <w:rFonts w:ascii="Arial Narrow" w:hAnsi="Arial Narrow"/>
          <w:sz w:val="20"/>
        </w:rPr>
      </w:pPr>
      <w:r w:rsidRPr="00023530">
        <w:rPr>
          <w:rFonts w:ascii="Arial Narrow" w:hAnsi="Arial Narrow"/>
          <w:sz w:val="20"/>
        </w:rPr>
        <w:t xml:space="preserve">PROSTATE, radioactive seed implantation (radiation oncology component), using transrectal ultrasound guidance, for localised (non-metastatic) prostatic malignancy classified as high-intermediate risk (defined as having a prostate specific antigen (PSA) of 10-20 ng/ml and a Gleason score of 7 and a tumour classified as T2b-c) or high risk (defined as having a PSA of greater than 20 ng/ml and/or a Gleason score of 8-10 and/or a tumour classified as T3). </w:t>
      </w:r>
      <w:r w:rsidRPr="00023530">
        <w:rPr>
          <w:rFonts w:ascii="Arial Narrow" w:hAnsi="Arial Narrow"/>
          <w:color w:val="FF0000"/>
          <w:sz w:val="20"/>
        </w:rPr>
        <w:t xml:space="preserve">For the population above this procedure will be rebated if it is performed at an approved site as a boost treatment in addition to external beam radiotherapy and in association with androgen blockade, </w:t>
      </w:r>
      <w:r w:rsidRPr="00023530">
        <w:rPr>
          <w:rFonts w:ascii="Arial Narrow" w:hAnsi="Arial Narrow"/>
          <w:sz w:val="20"/>
        </w:rPr>
        <w:t>in association with an urologist.</w:t>
      </w:r>
    </w:p>
    <w:p w14:paraId="3BFEBD37" w14:textId="77777777" w:rsidR="00254249" w:rsidRPr="00023530" w:rsidRDefault="00254249" w:rsidP="00254249">
      <w:pPr>
        <w:pBdr>
          <w:top w:val="single" w:sz="4" w:space="1" w:color="auto"/>
          <w:left w:val="single" w:sz="4" w:space="4" w:color="auto"/>
          <w:bottom w:val="single" w:sz="4" w:space="1" w:color="auto"/>
          <w:right w:val="single" w:sz="4" w:space="4" w:color="auto"/>
        </w:pBdr>
        <w:contextualSpacing/>
        <w:rPr>
          <w:rFonts w:ascii="Arial Narrow" w:hAnsi="Arial Narrow"/>
          <w:sz w:val="20"/>
        </w:rPr>
      </w:pPr>
      <w:r w:rsidRPr="00023530">
        <w:rPr>
          <w:rFonts w:ascii="Arial Narrow" w:hAnsi="Arial Narrow"/>
          <w:sz w:val="20"/>
        </w:rPr>
        <w:t>MBS Fee: $935.60</w:t>
      </w:r>
    </w:p>
    <w:p w14:paraId="36ADBDF9" w14:textId="0FE98D6D" w:rsidR="00254249" w:rsidRPr="00023530" w:rsidRDefault="00254249" w:rsidP="00254249">
      <w:pPr>
        <w:pBdr>
          <w:top w:val="single" w:sz="4" w:space="1" w:color="auto"/>
          <w:left w:val="single" w:sz="4" w:space="4" w:color="auto"/>
          <w:bottom w:val="single" w:sz="4" w:space="1" w:color="auto"/>
          <w:right w:val="single" w:sz="4" w:space="4" w:color="auto"/>
        </w:pBdr>
        <w:contextualSpacing/>
        <w:rPr>
          <w:rFonts w:ascii="Arial Narrow" w:hAnsi="Arial Narrow"/>
          <w:i/>
          <w:sz w:val="20"/>
        </w:rPr>
      </w:pPr>
      <w:r w:rsidRPr="00023530">
        <w:rPr>
          <w:rFonts w:ascii="Arial Narrow" w:hAnsi="Arial Narrow"/>
          <w:i/>
          <w:sz w:val="20"/>
        </w:rPr>
        <w:t>MBS Benefit (Rebate): 75% = $701.70 (in-hos</w:t>
      </w:r>
      <w:r w:rsidR="00592104">
        <w:rPr>
          <w:rFonts w:ascii="Arial Narrow" w:hAnsi="Arial Narrow"/>
          <w:i/>
          <w:sz w:val="20"/>
        </w:rPr>
        <w:t>pital / admitted patient) AND</w:t>
      </w:r>
      <w:r w:rsidRPr="00023530">
        <w:rPr>
          <w:rFonts w:ascii="Arial Narrow" w:hAnsi="Arial Narrow"/>
          <w:i/>
          <w:sz w:val="20"/>
        </w:rPr>
        <w:t xml:space="preserve"> </w:t>
      </w:r>
    </w:p>
    <w:p w14:paraId="23D643EA" w14:textId="5F890939" w:rsidR="00254249" w:rsidRPr="00E75BE6" w:rsidRDefault="00592104" w:rsidP="00592104">
      <w:pPr>
        <w:pBdr>
          <w:top w:val="single" w:sz="4" w:space="1" w:color="auto"/>
          <w:left w:val="single" w:sz="4" w:space="4" w:color="auto"/>
          <w:bottom w:val="single" w:sz="4" w:space="1" w:color="auto"/>
          <w:right w:val="single" w:sz="4" w:space="4" w:color="auto"/>
        </w:pBdr>
        <w:tabs>
          <w:tab w:val="left" w:pos="1701"/>
        </w:tabs>
        <w:ind w:left="2127" w:hanging="2127"/>
        <w:contextualSpacing/>
        <w:rPr>
          <w:rFonts w:ascii="Arial Narrow" w:hAnsi="Arial Narrow"/>
          <w:i/>
          <w:sz w:val="20"/>
        </w:rPr>
      </w:pPr>
      <w:r>
        <w:rPr>
          <w:rFonts w:ascii="Arial Narrow" w:hAnsi="Arial Narrow"/>
          <w:i/>
          <w:sz w:val="20"/>
        </w:rPr>
        <w:tab/>
      </w:r>
      <w:r w:rsidR="00254249" w:rsidRPr="00023530">
        <w:rPr>
          <w:rFonts w:ascii="Arial Narrow" w:hAnsi="Arial Narrow"/>
          <w:i/>
          <w:sz w:val="20"/>
        </w:rPr>
        <w:t>85% = $853.90 (out-of-hospital / outpatient) = higher than 85% because of the provision of higher rebates for outpatient services when MBS fee is higher</w:t>
      </w:r>
    </w:p>
    <w:p w14:paraId="6DF827FE" w14:textId="77777777" w:rsidR="00254249" w:rsidRPr="00023530" w:rsidRDefault="00254249" w:rsidP="00254249">
      <w:pPr>
        <w:pBdr>
          <w:top w:val="single" w:sz="4" w:space="1" w:color="auto"/>
          <w:left w:val="single" w:sz="4" w:space="4" w:color="auto"/>
          <w:bottom w:val="single" w:sz="4" w:space="1" w:color="auto"/>
          <w:right w:val="single" w:sz="4" w:space="4" w:color="auto"/>
          <w:between w:val="single" w:sz="4" w:space="1" w:color="auto"/>
        </w:pBdr>
        <w:rPr>
          <w:rFonts w:ascii="Arial Narrow" w:eastAsiaTheme="minorHAnsi" w:hAnsi="Arial Narrow"/>
          <w:sz w:val="20"/>
        </w:rPr>
      </w:pPr>
      <w:r w:rsidRPr="00023530">
        <w:rPr>
          <w:rFonts w:ascii="Arial Narrow" w:hAnsi="Arial Narrow"/>
          <w:sz w:val="20"/>
        </w:rPr>
        <w:t>Category 3 – Therapeutic Procedures</w:t>
      </w:r>
    </w:p>
    <w:p w14:paraId="375FC10D" w14:textId="50FA2A4F" w:rsidR="00254249" w:rsidRPr="00023530" w:rsidRDefault="00254249" w:rsidP="00592104">
      <w:pPr>
        <w:pBdr>
          <w:top w:val="single" w:sz="4" w:space="1" w:color="auto"/>
          <w:left w:val="single" w:sz="4" w:space="4" w:color="auto"/>
          <w:bottom w:val="single" w:sz="4" w:space="1" w:color="auto"/>
          <w:right w:val="single" w:sz="4" w:space="4" w:color="auto"/>
        </w:pBdr>
        <w:spacing w:after="240"/>
        <w:rPr>
          <w:rFonts w:ascii="Arial Narrow" w:hAnsi="Arial Narrow"/>
          <w:sz w:val="20"/>
        </w:rPr>
      </w:pPr>
      <w:r w:rsidRPr="00023530">
        <w:rPr>
          <w:rFonts w:ascii="Arial Narrow" w:hAnsi="Arial Narrow"/>
          <w:sz w:val="20"/>
        </w:rPr>
        <w:t>PROSTATE, radioactive seed implantation (urological component), using transrectal ultrasound guidance, for localised (non-metastatic) prostatic malignancy classified as high-intermediate risk (defined as having a prostate specific antigen (PSA) of 10-20 ng/ml and a Gleason score of 7 and a tumour classified as T2b-c) or high risk (defined as having a PSA of greater than 20 ng/ml and/or a Gleason score of 8-10 and/or a tumour classified as T3).</w:t>
      </w:r>
      <w:r w:rsidRPr="00023530">
        <w:rPr>
          <w:rFonts w:ascii="Arial Narrow" w:hAnsi="Arial Narrow"/>
          <w:color w:val="FF0000"/>
          <w:sz w:val="20"/>
        </w:rPr>
        <w:t xml:space="preserve"> For the population above this procedure will be rebated if it is performed at an approved site as a boost treatment in addition to external beam radiotherapy and in association with androgen blockade, </w:t>
      </w:r>
      <w:r w:rsidRPr="00023530">
        <w:rPr>
          <w:rFonts w:ascii="Arial Narrow" w:hAnsi="Arial Narrow"/>
          <w:sz w:val="20"/>
        </w:rPr>
        <w:t xml:space="preserve">in association with a radiation oncologist </w:t>
      </w:r>
    </w:p>
    <w:p w14:paraId="6F7DD6C1" w14:textId="77777777" w:rsidR="00254249" w:rsidRPr="00023530" w:rsidRDefault="00254249" w:rsidP="00254249">
      <w:pPr>
        <w:pBdr>
          <w:top w:val="single" w:sz="4" w:space="1" w:color="auto"/>
          <w:left w:val="single" w:sz="4" w:space="4" w:color="auto"/>
          <w:bottom w:val="single" w:sz="4" w:space="1" w:color="auto"/>
          <w:right w:val="single" w:sz="4" w:space="4" w:color="auto"/>
        </w:pBdr>
        <w:rPr>
          <w:rFonts w:ascii="Arial Narrow" w:hAnsi="Arial Narrow"/>
          <w:sz w:val="20"/>
        </w:rPr>
      </w:pPr>
      <w:r w:rsidRPr="00023530">
        <w:rPr>
          <w:rFonts w:ascii="Arial Narrow" w:hAnsi="Arial Narrow"/>
          <w:sz w:val="20"/>
        </w:rPr>
        <w:t>MBS Fee: $1,044.20</w:t>
      </w:r>
    </w:p>
    <w:p w14:paraId="49A48B72" w14:textId="1561DE49" w:rsidR="00254249" w:rsidRPr="00023530" w:rsidRDefault="00254249" w:rsidP="00254249">
      <w:pPr>
        <w:pBdr>
          <w:top w:val="single" w:sz="4" w:space="1" w:color="auto"/>
          <w:left w:val="single" w:sz="4" w:space="4" w:color="auto"/>
          <w:bottom w:val="single" w:sz="4" w:space="1" w:color="auto"/>
          <w:right w:val="single" w:sz="4" w:space="4" w:color="auto"/>
        </w:pBdr>
        <w:rPr>
          <w:rFonts w:ascii="Arial Narrow" w:hAnsi="Arial Narrow"/>
          <w:i/>
          <w:sz w:val="20"/>
        </w:rPr>
      </w:pPr>
      <w:r w:rsidRPr="00023530">
        <w:rPr>
          <w:rFonts w:ascii="Arial Narrow" w:hAnsi="Arial Narrow"/>
          <w:i/>
          <w:sz w:val="20"/>
        </w:rPr>
        <w:t>MBS Benefit (Rebate): 75% = $783.15 (in-hosp</w:t>
      </w:r>
      <w:r w:rsidR="00592104">
        <w:rPr>
          <w:rFonts w:ascii="Arial Narrow" w:hAnsi="Arial Narrow"/>
          <w:i/>
          <w:sz w:val="20"/>
        </w:rPr>
        <w:t>ital / admitted patient only)</w:t>
      </w:r>
      <w:r w:rsidRPr="00023530">
        <w:rPr>
          <w:rFonts w:ascii="Arial Narrow" w:hAnsi="Arial Narrow"/>
          <w:i/>
          <w:sz w:val="20"/>
        </w:rPr>
        <w:t xml:space="preserve"> </w:t>
      </w:r>
    </w:p>
    <w:p w14:paraId="3E665E65" w14:textId="7EDD2A62"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8400F32" w14:textId="45A9EBCF" w:rsidR="00F6451D" w:rsidRDefault="00F6451D" w:rsidP="00F6451D">
      <w:r>
        <w:rPr>
          <w:szCs w:val="24"/>
        </w:rPr>
        <w:t xml:space="preserve">Targeted consultation feedback was received from three </w:t>
      </w:r>
      <w:r w:rsidR="00951F0C">
        <w:rPr>
          <w:szCs w:val="24"/>
        </w:rPr>
        <w:t xml:space="preserve">organisations </w:t>
      </w:r>
      <w:r>
        <w:t xml:space="preserve">which supported </w:t>
      </w:r>
      <w:r w:rsidRPr="00D37354">
        <w:t xml:space="preserve">the listing of </w:t>
      </w:r>
      <w:r>
        <w:t>LDR-BT</w:t>
      </w:r>
      <w:r w:rsidRPr="00D37354">
        <w:t xml:space="preserve"> boost on the MBS, citing superior biochemical progression-free survival</w:t>
      </w:r>
      <w:r>
        <w:t xml:space="preserve"> (b-PFS)</w:t>
      </w:r>
      <w:r w:rsidRPr="00D37354">
        <w:t xml:space="preserve"> and freedom from failure of </w:t>
      </w:r>
      <w:r>
        <w:t>LDR-BT</w:t>
      </w:r>
      <w:r w:rsidRPr="00D37354">
        <w:t xml:space="preserve"> boost compared to DE-EBRT treatment in the ASCENDE-RT trial</w:t>
      </w:r>
      <w:r>
        <w:t xml:space="preserve"> </w:t>
      </w:r>
      <w:r w:rsidRPr="009F70AA">
        <w:t>(Morris, Tyldesley et al. 2017)</w:t>
      </w:r>
      <w:r w:rsidRPr="00D37354">
        <w:t>.</w:t>
      </w:r>
    </w:p>
    <w:p w14:paraId="4C93EE72" w14:textId="77777777" w:rsidR="00BC1364" w:rsidRPr="00F715D1" w:rsidRDefault="00BC1364" w:rsidP="00F715D1">
      <w:pPr>
        <w:pStyle w:val="Heading1"/>
      </w:pPr>
      <w:r w:rsidRPr="00F715D1">
        <w:t>Proposed intervention’s place in clinical management</w:t>
      </w:r>
    </w:p>
    <w:p w14:paraId="4D9753F1" w14:textId="1EFFAFB2" w:rsidR="00F6451D" w:rsidRPr="00592104" w:rsidRDefault="00F6451D" w:rsidP="00F6451D">
      <w:r w:rsidRPr="002D6E9F">
        <w:rPr>
          <w:bCs/>
        </w:rPr>
        <w:t xml:space="preserve">The current and proposed algorithms are depicted </w:t>
      </w:r>
      <w:r w:rsidRPr="002D6E9F">
        <w:rPr>
          <w:rFonts w:asciiTheme="minorHAnsi" w:hAnsiTheme="minorHAnsi" w:cstheme="minorHAnsi"/>
          <w:bCs/>
        </w:rPr>
        <w:t xml:space="preserve">in </w:t>
      </w:r>
      <w:r w:rsidRPr="003D55B2">
        <w:rPr>
          <w:bCs/>
        </w:rPr>
        <w:t>Figure 1</w:t>
      </w:r>
      <w:r>
        <w:rPr>
          <w:rFonts w:asciiTheme="minorHAnsi" w:hAnsiTheme="minorHAnsi" w:cstheme="minorHAnsi"/>
          <w:bCs/>
        </w:rPr>
        <w:t xml:space="preserve"> and </w:t>
      </w:r>
      <w:r w:rsidRPr="003D55B2">
        <w:rPr>
          <w:bCs/>
        </w:rPr>
        <w:t>Figure 2.</w:t>
      </w:r>
      <w:r w:rsidRPr="003D55B2">
        <w:t xml:space="preserve"> </w:t>
      </w:r>
      <w:r w:rsidRPr="00D37354">
        <w:t xml:space="preserve">The difference between the current clinical management algorithm and the proposed clinical management algorithm for high-intermediate and high-risk prostate cancer is that there would be an option for patients to receive </w:t>
      </w:r>
      <w:r>
        <w:t>LDR-BT</w:t>
      </w:r>
      <w:r w:rsidRPr="00D37354">
        <w:t xml:space="preserve"> boost fo</w:t>
      </w:r>
      <w:r>
        <w:t>llowing primary EBRT treatment.</w:t>
      </w:r>
    </w:p>
    <w:p w14:paraId="53785F0C" w14:textId="50ABEAB8" w:rsidR="00F6451D" w:rsidRPr="00592104" w:rsidRDefault="00F6451D" w:rsidP="00592104">
      <w:pPr>
        <w:spacing w:after="240"/>
      </w:pPr>
      <w:r w:rsidRPr="003D55B2">
        <w:lastRenderedPageBreak/>
        <w:t xml:space="preserve">LDR-BT can be provided in both the public and private hospital sector, performed at an approved site where radiation oncology services may be performed lawfully under the law of the State or Territory in which the site is located. </w:t>
      </w:r>
      <w:r w:rsidR="00BE450A">
        <w:t>The applicant advised, a</w:t>
      </w:r>
      <w:r w:rsidRPr="003D55B2">
        <w:t>t present</w:t>
      </w:r>
      <w:r w:rsidR="00BE450A">
        <w:t>,</w:t>
      </w:r>
      <w:r w:rsidRPr="003D55B2">
        <w:t xml:space="preserve"> LDR-BT is only available in a limited number (25) of centres in Australia. The proposed clinical algorithm is identical to that in the ratified PICO.</w:t>
      </w:r>
    </w:p>
    <w:p w14:paraId="4BE33FAD" w14:textId="77777777" w:rsidR="00F6451D" w:rsidRPr="002D6E9F" w:rsidRDefault="00F6451D" w:rsidP="00F6451D">
      <w:pPr>
        <w:rPr>
          <w:rFonts w:ascii="Arial Narrow" w:hAnsi="Arial Narrow"/>
          <w:b/>
          <w:bCs/>
          <w:sz w:val="20"/>
        </w:rPr>
      </w:pPr>
      <w:r>
        <w:rPr>
          <w:noProof/>
        </w:rPr>
        <w:drawing>
          <wp:inline distT="0" distB="0" distL="0" distR="0" wp14:anchorId="6E787F38" wp14:editId="2D279856">
            <wp:extent cx="4200525" cy="3680042"/>
            <wp:effectExtent l="0" t="0" r="0" b="0"/>
            <wp:docPr id="3" name="Picture 3" descr="This figure shows the current and proposed  clinical treatment algorithm for intermediate and high-risk prostate cancer patients – part 1 (continued in Figure 3)" title="Current and proposed (shaded) clinical treatment algorithm for intermediate and high-risk prostate cancer patients – part 1 (continued i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nical treatment algorithm.tif"/>
                    <pic:cNvPicPr/>
                  </pic:nvPicPr>
                  <pic:blipFill>
                    <a:blip r:embed="rId10">
                      <a:extLst>
                        <a:ext uri="{28A0092B-C50C-407E-A947-70E740481C1C}">
                          <a14:useLocalDpi xmlns:a14="http://schemas.microsoft.com/office/drawing/2010/main" val="0"/>
                        </a:ext>
                      </a:extLst>
                    </a:blip>
                    <a:stretch>
                      <a:fillRect/>
                    </a:stretch>
                  </pic:blipFill>
                  <pic:spPr>
                    <a:xfrm>
                      <a:off x="0" y="0"/>
                      <a:ext cx="4224550" cy="3701090"/>
                    </a:xfrm>
                    <a:prstGeom prst="rect">
                      <a:avLst/>
                    </a:prstGeom>
                  </pic:spPr>
                </pic:pic>
              </a:graphicData>
            </a:graphic>
          </wp:inline>
        </w:drawing>
      </w:r>
      <w:bookmarkStart w:id="3" w:name="_Ref379455005"/>
      <w:bookmarkStart w:id="4" w:name="_Ref532220007"/>
      <w:bookmarkStart w:id="5" w:name="_Ref379454995"/>
      <w:bookmarkStart w:id="6" w:name="_Toc381969891"/>
      <w:bookmarkStart w:id="7" w:name="_Ref426130"/>
      <w:bookmarkStart w:id="8" w:name="_Toc534800192"/>
      <w:bookmarkStart w:id="9" w:name="_Ref536007195"/>
    </w:p>
    <w:p w14:paraId="680EB466" w14:textId="069B45E4" w:rsidR="00F6451D" w:rsidRPr="00F9490F" w:rsidRDefault="00F6451D" w:rsidP="00107780">
      <w:pPr>
        <w:spacing w:before="240"/>
        <w:rPr>
          <w:rFonts w:ascii="Arial Narrow" w:hAnsi="Arial Narrow"/>
          <w:b/>
          <w:sz w:val="20"/>
        </w:rPr>
      </w:pPr>
      <w:bookmarkStart w:id="10" w:name="_Ref440545"/>
      <w:bookmarkStart w:id="11" w:name="_Ref440539"/>
      <w:bookmarkStart w:id="12" w:name="_Toc459574"/>
      <w:r w:rsidRPr="00F9490F">
        <w:rPr>
          <w:rFonts w:ascii="Arial Narrow" w:hAnsi="Arial Narrow"/>
          <w:b/>
          <w:sz w:val="20"/>
        </w:rPr>
        <w:t>Figure 1</w:t>
      </w:r>
      <w:bookmarkEnd w:id="3"/>
      <w:bookmarkEnd w:id="4"/>
      <w:bookmarkEnd w:id="5"/>
      <w:bookmarkEnd w:id="6"/>
      <w:bookmarkEnd w:id="7"/>
      <w:bookmarkEnd w:id="10"/>
      <w:r w:rsidRPr="00F9490F">
        <w:rPr>
          <w:rFonts w:ascii="Arial Narrow" w:hAnsi="Arial Narrow"/>
          <w:b/>
          <w:sz w:val="20"/>
        </w:rPr>
        <w:tab/>
        <w:t>Current and proposed (shaded) clinical treatment algorithm for</w:t>
      </w:r>
      <w:r w:rsidR="00BE450A" w:rsidRPr="00F9490F">
        <w:rPr>
          <w:rFonts w:ascii="Arial Narrow" w:hAnsi="Arial Narrow"/>
          <w:b/>
          <w:sz w:val="20"/>
        </w:rPr>
        <w:t xml:space="preserve"> patients with</w:t>
      </w:r>
      <w:r w:rsidRPr="00F9490F">
        <w:rPr>
          <w:rFonts w:ascii="Arial Narrow" w:hAnsi="Arial Narrow"/>
          <w:b/>
          <w:sz w:val="20"/>
        </w:rPr>
        <w:t xml:space="preserve"> intermediate and high-risk prostate cancer – part 1 (continued in Figure 2)</w:t>
      </w:r>
      <w:bookmarkEnd w:id="8"/>
      <w:bookmarkEnd w:id="9"/>
      <w:bookmarkEnd w:id="11"/>
      <w:bookmarkEnd w:id="12"/>
    </w:p>
    <w:p w14:paraId="0043DE6E" w14:textId="7D8F8032" w:rsidR="00F6451D" w:rsidRPr="00E75BE6" w:rsidRDefault="00F6451D" w:rsidP="00E75BE6">
      <w:pPr>
        <w:pStyle w:val="Tablenotes"/>
      </w:pPr>
      <w:r>
        <w:t>Abbreviations: ADT=androgen deprivation therapy; DRE=digital rectal examination; EBRT=external beam radiation therapy; DE-EBRT=dose-escalated external beam radiation therapy; HDR-BT=high-dose rate brachytherapy; LDR-BT=low-dose rate brachytherapy; MRI=magnetic resonance imaging; PSA=Prostate Specific Antigen</w:t>
      </w:r>
    </w:p>
    <w:p w14:paraId="46B8D908" w14:textId="77777777" w:rsidR="00F6451D" w:rsidRPr="00D37354" w:rsidRDefault="00F6451D" w:rsidP="00F6451D">
      <w:r>
        <w:rPr>
          <w:noProof/>
        </w:rPr>
        <w:lastRenderedPageBreak/>
        <w:drawing>
          <wp:inline distT="0" distB="0" distL="0" distR="0" wp14:anchorId="4FBC6195" wp14:editId="08F867D3">
            <wp:extent cx="4341341" cy="4003040"/>
            <wp:effectExtent l="0" t="0" r="2540" b="0"/>
            <wp:docPr id="17" name="Picture 17" descr="This figures shows the Current and proposed clinical treatment algorithm for intermediate and high-risk prostate cancer patients – part 2 (continued from Figure 2)" title="Current and proposed clinical treatment algorithm for intermediate and high-risk prostate cancer patients – part 2 (continued from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inical treatment algorithm 2.tif"/>
                    <pic:cNvPicPr/>
                  </pic:nvPicPr>
                  <pic:blipFill>
                    <a:blip r:embed="rId11">
                      <a:extLst>
                        <a:ext uri="{28A0092B-C50C-407E-A947-70E740481C1C}">
                          <a14:useLocalDpi xmlns:a14="http://schemas.microsoft.com/office/drawing/2010/main" val="0"/>
                        </a:ext>
                      </a:extLst>
                    </a:blip>
                    <a:stretch>
                      <a:fillRect/>
                    </a:stretch>
                  </pic:blipFill>
                  <pic:spPr>
                    <a:xfrm>
                      <a:off x="0" y="0"/>
                      <a:ext cx="4350491" cy="4011477"/>
                    </a:xfrm>
                    <a:prstGeom prst="rect">
                      <a:avLst/>
                    </a:prstGeom>
                  </pic:spPr>
                </pic:pic>
              </a:graphicData>
            </a:graphic>
          </wp:inline>
        </w:drawing>
      </w:r>
    </w:p>
    <w:p w14:paraId="3C6AF527" w14:textId="094CDD80" w:rsidR="00F6451D" w:rsidRPr="00F9490F" w:rsidRDefault="00F6451D" w:rsidP="00107780">
      <w:pPr>
        <w:spacing w:before="240"/>
        <w:rPr>
          <w:rFonts w:ascii="Arial Narrow" w:hAnsi="Arial Narrow"/>
          <w:b/>
          <w:sz w:val="20"/>
        </w:rPr>
      </w:pPr>
      <w:bookmarkStart w:id="13" w:name="_Ref530662957"/>
      <w:bookmarkStart w:id="14" w:name="_Toc534800193"/>
      <w:bookmarkStart w:id="15" w:name="_Toc459575"/>
      <w:r w:rsidRPr="00F9490F">
        <w:rPr>
          <w:rFonts w:ascii="Arial Narrow" w:hAnsi="Arial Narrow"/>
          <w:b/>
          <w:sz w:val="20"/>
        </w:rPr>
        <w:t>Figure 2</w:t>
      </w:r>
      <w:bookmarkEnd w:id="13"/>
      <w:r w:rsidRPr="00F9490F">
        <w:rPr>
          <w:rFonts w:ascii="Arial Narrow" w:hAnsi="Arial Narrow"/>
          <w:b/>
          <w:sz w:val="20"/>
        </w:rPr>
        <w:tab/>
        <w:t xml:space="preserve">Current and proposed clinical treatment algorithm for </w:t>
      </w:r>
      <w:r w:rsidR="00BE450A" w:rsidRPr="00F9490F">
        <w:rPr>
          <w:rFonts w:ascii="Arial Narrow" w:hAnsi="Arial Narrow"/>
          <w:b/>
          <w:sz w:val="20"/>
        </w:rPr>
        <w:t xml:space="preserve">patients with </w:t>
      </w:r>
      <w:r w:rsidRPr="00F9490F">
        <w:rPr>
          <w:rFonts w:ascii="Arial Narrow" w:hAnsi="Arial Narrow"/>
          <w:b/>
          <w:sz w:val="20"/>
        </w:rPr>
        <w:t>intermediate and high-risk prostate cancer – part 2 (continued from Figure 1)</w:t>
      </w:r>
      <w:bookmarkEnd w:id="14"/>
      <w:bookmarkEnd w:id="15"/>
    </w:p>
    <w:p w14:paraId="6E4BBAF2" w14:textId="77777777" w:rsidR="00F6451D" w:rsidRPr="009A361F" w:rsidRDefault="00F6451D" w:rsidP="00FC1554">
      <w:pPr>
        <w:pStyle w:val="Tablenotes"/>
      </w:pPr>
      <w:r>
        <w:t>Abbreviations: ADT=androgen deprivation therapy; CT=computed tomography; DRE=digital rectal examination; MRI=magnetic resonance imaging; PLND=pelvic lymph node dissection; PSA=Prostate Specific Antigen; RP=radical prostatectomy</w:t>
      </w:r>
    </w:p>
    <w:p w14:paraId="6A4FD7B0" w14:textId="77777777" w:rsidR="00BC1364" w:rsidRPr="00F715D1" w:rsidRDefault="00BC1364" w:rsidP="00F715D1">
      <w:pPr>
        <w:pStyle w:val="Heading1"/>
      </w:pPr>
      <w:r w:rsidRPr="00F715D1">
        <w:t xml:space="preserve">Comparator </w:t>
      </w:r>
    </w:p>
    <w:p w14:paraId="14126BDC" w14:textId="77777777" w:rsidR="00F6451D" w:rsidRDefault="00F6451D" w:rsidP="00F6451D">
      <w:r w:rsidRPr="00D37354">
        <w:t xml:space="preserve">Three comparators have been identified for </w:t>
      </w:r>
      <w:r>
        <w:t>LDR-BT</w:t>
      </w:r>
      <w:r w:rsidRPr="00D37354">
        <w:t xml:space="preserve"> boost for high-intermediate and high-risk prostate cancer treatment: </w:t>
      </w:r>
    </w:p>
    <w:p w14:paraId="21C08022" w14:textId="77777777" w:rsidR="00F6451D" w:rsidRDefault="00F6451D" w:rsidP="00F6451D">
      <w:pPr>
        <w:pStyle w:val="ListParagraph"/>
        <w:numPr>
          <w:ilvl w:val="0"/>
          <w:numId w:val="28"/>
        </w:numPr>
      </w:pPr>
      <w:r>
        <w:t>Radical prostatectomy (</w:t>
      </w:r>
      <w:r w:rsidRPr="00D37354">
        <w:t>RP</w:t>
      </w:r>
      <w:r>
        <w:t>) (i.e. a surgical treatment);</w:t>
      </w:r>
    </w:p>
    <w:p w14:paraId="71006E71" w14:textId="77777777" w:rsidR="00F6451D" w:rsidRDefault="00F6451D" w:rsidP="00F6451D">
      <w:pPr>
        <w:pStyle w:val="ListParagraph"/>
        <w:numPr>
          <w:ilvl w:val="0"/>
          <w:numId w:val="28"/>
        </w:numPr>
      </w:pPr>
      <w:r>
        <w:t>Dose escalated (DE)–</w:t>
      </w:r>
      <w:r w:rsidRPr="00D37354">
        <w:t>EBR</w:t>
      </w:r>
      <w:r>
        <w:t>T;</w:t>
      </w:r>
      <w:r w:rsidRPr="00D37354">
        <w:t xml:space="preserve"> and</w:t>
      </w:r>
    </w:p>
    <w:p w14:paraId="014AB3D1" w14:textId="4E388987" w:rsidR="00F6451D" w:rsidRDefault="00F6451D" w:rsidP="00592104">
      <w:pPr>
        <w:pStyle w:val="ListParagraph"/>
        <w:numPr>
          <w:ilvl w:val="0"/>
          <w:numId w:val="28"/>
        </w:numPr>
        <w:spacing w:after="240"/>
      </w:pPr>
      <w:r>
        <w:t>High-dose-rate brachytherapy (</w:t>
      </w:r>
      <w:r w:rsidRPr="00D37354">
        <w:t>HDR</w:t>
      </w:r>
      <w:r>
        <w:t>-BT)</w:t>
      </w:r>
      <w:r w:rsidRPr="00D37354">
        <w:t xml:space="preserve"> boost</w:t>
      </w:r>
      <w:r>
        <w:t>, following EBRT; referred to as EBRT+HDR-BT in application).</w:t>
      </w:r>
    </w:p>
    <w:p w14:paraId="3AD92F41" w14:textId="781FD942" w:rsidR="00F6451D" w:rsidRDefault="00F6451D" w:rsidP="00592104">
      <w:pPr>
        <w:spacing w:after="240"/>
      </w:pPr>
      <w:r w:rsidRPr="00D37354">
        <w:t xml:space="preserve">The intervention and the two radiotherapy comparators all involve initial EBRT treatment, but the difference lies in the </w:t>
      </w:r>
      <w:r>
        <w:t xml:space="preserve">type of </w:t>
      </w:r>
      <w:r w:rsidRPr="00D37354">
        <w:t>additional radiation delivered as a ‘boost’.</w:t>
      </w:r>
      <w:r w:rsidRPr="00B5541A">
        <w:t xml:space="preserve"> </w:t>
      </w:r>
      <w:r w:rsidRPr="00D37354">
        <w:t xml:space="preserve">Subsequent ‘boost’ may be delivered as additional doses of the same procedure (DE-EBRT), through permanent implantation of </w:t>
      </w:r>
      <w:r>
        <w:t>LDR-BT</w:t>
      </w:r>
      <w:r w:rsidRPr="00D37354">
        <w:t xml:space="preserve"> seeds, or through temporary HDR</w:t>
      </w:r>
      <w:r>
        <w:t xml:space="preserve">-BT </w:t>
      </w:r>
      <w:r>
        <w:fldChar w:fldCharType="begin"/>
      </w:r>
      <w:r>
        <w:instrText xml:space="preserve"> ADDIN EN.CITE &lt;EndNote&gt;&lt;Cite&gt;&lt;Author&gt;Duchesne&lt;/Author&gt;&lt;Year&gt;2011&lt;/Year&gt;&lt;RecNum&gt;10&lt;/RecNum&gt;&lt;DisplayText&gt;(Duchesne 2011)&lt;/DisplayText&gt;&lt;record&gt;&lt;rec-number&gt;10&lt;/rec-number&gt;&lt;foreign-keys&gt;&lt;key app="EN" db-id="9avz5tt06x90d4e0tzkvwse8p2xwawpdxzva" timestamp="1544589141"&gt;10&lt;/key&gt;&lt;/foreign-keys&gt;&lt;ref-type name="Journal Article"&gt;17&lt;/ref-type&gt;&lt;contributors&gt;&lt;authors&gt;&lt;author&gt;Duchesne, G.&lt;/author&gt;&lt;/authors&gt;&lt;/contributors&gt;&lt;auth-address&gt;Peter MacCallum Cancer Centre, University of Melbourne and Monash University, Melbourne, Victoria. gillian.duchesne@petermac.org&lt;/auth-address&gt;&lt;titles&gt;&lt;title&gt;Localised prostate cancer - current treatment options&lt;/title&gt;&lt;secondary-title&gt;Aust Fam Physician&lt;/secondary-title&gt;&lt;alt-title&gt;Australian family physician&lt;/alt-title&gt;&lt;/titles&gt;&lt;periodical&gt;&lt;full-title&gt;Aust Fam Physician&lt;/full-title&gt;&lt;abbr-1&gt;Australian family physician&lt;/abbr-1&gt;&lt;/periodical&gt;&lt;alt-periodical&gt;&lt;full-title&gt;Aust Fam Physician&lt;/full-title&gt;&lt;abbr-1&gt;Australian family physician&lt;/abbr-1&gt;&lt;/alt-periodical&gt;&lt;pages&gt;768-71&lt;/pages&gt;&lt;volume&gt;40&lt;/volume&gt;&lt;number&gt;10&lt;/number&gt;&lt;edition&gt;2011/10/18&lt;/edition&gt;&lt;keywords&gt;&lt;keyword&gt;Humans&lt;/keyword&gt;&lt;keyword&gt;Male&lt;/keyword&gt;&lt;keyword&gt;Neoplasm Grading&lt;/keyword&gt;&lt;keyword&gt;Neoplasm Staging&lt;/keyword&gt;&lt;keyword&gt;Prostatectomy&lt;/keyword&gt;&lt;keyword&gt;Prostatic Neoplasms/*pathology/radiotherapy/surgery/*therapy&lt;/keyword&gt;&lt;keyword&gt;Watchful Waiting&lt;/keyword&gt;&lt;/keywords&gt;&lt;dates&gt;&lt;year&gt;2011&lt;/year&gt;&lt;pub-dates&gt;&lt;date&gt;Oct&lt;/date&gt;&lt;/pub-dates&gt;&lt;/dates&gt;&lt;isbn&gt;0300-8495 (Print)&amp;#xD;0300-8495&lt;/isbn&gt;&lt;accession-num&gt;22003477&lt;/accession-num&gt;&lt;urls&gt;&lt;/urls&gt;&lt;remote-database-provider&gt;NLM&lt;/remote-database-provider&gt;&lt;language&gt;eng&lt;/language&gt;&lt;/record&gt;&lt;/Cite&gt;&lt;/EndNote&gt;</w:instrText>
      </w:r>
      <w:r>
        <w:fldChar w:fldCharType="separate"/>
      </w:r>
      <w:r>
        <w:rPr>
          <w:noProof/>
        </w:rPr>
        <w:t>(</w:t>
      </w:r>
      <w:hyperlink w:anchor="_ENREF_13" w:tooltip="Duchesne, 2011 #10" w:history="1">
        <w:r>
          <w:rPr>
            <w:noProof/>
          </w:rPr>
          <w:t>Duchesne 2011</w:t>
        </w:r>
      </w:hyperlink>
      <w:r>
        <w:rPr>
          <w:noProof/>
        </w:rPr>
        <w:t>)</w:t>
      </w:r>
      <w:r>
        <w:fldChar w:fldCharType="end"/>
      </w:r>
      <w:r w:rsidRPr="00D37354">
        <w:t xml:space="preserve">. </w:t>
      </w:r>
      <w:r>
        <w:t>The comparators are currently funded by the MBS, and match those in the ratified PICO.</w:t>
      </w:r>
    </w:p>
    <w:p w14:paraId="38F6A28C" w14:textId="6E05709D" w:rsidR="00F6451D" w:rsidRPr="00D37354" w:rsidRDefault="00F6451D" w:rsidP="00F6451D">
      <w:r w:rsidRPr="00D37354">
        <w:t>In Australia, the</w:t>
      </w:r>
      <w:r>
        <w:t xml:space="preserve"> CA stated that the</w:t>
      </w:r>
      <w:r w:rsidRPr="00D37354">
        <w:t xml:space="preserve"> most commonly used treatment modalities for localised prostate cancer include surgery, radiotherapy (external beam or interstitial brachytherapy) and hormonal therapy </w:t>
      </w:r>
      <w:r>
        <w:fldChar w:fldCharType="begin">
          <w:fldData xml:space="preserve">PEVuZE5vdGU+PENpdGU+PEF1dGhvcj5NaWxsZXI8L0F1dGhvcj48WWVhcj4yMDEyPC9ZZWFyPjxS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</w:fldData>
        </w:fldChar>
      </w:r>
      <w:r>
        <w:instrText xml:space="preserve"> ADDIN EN.CITE </w:instrText>
      </w:r>
      <w:r>
        <w:fldChar w:fldCharType="begin">
          <w:fldData xml:space="preserve">PEVuZE5vdGU+PENpdGU+PEF1dGhvcj5NaWxsZXI8L0F1dGhvcj48WWVhcj4yMDEyPC9ZZWFyPjxS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</w:fldData>
        </w:fldChar>
      </w:r>
      <w:r>
        <w:instrText xml:space="preserve"> ADDIN EN.CITE.DATA </w:instrText>
      </w:r>
      <w:r>
        <w:fldChar w:fldCharType="end"/>
      </w:r>
      <w:r>
        <w:fldChar w:fldCharType="separate"/>
      </w:r>
      <w:r>
        <w:rPr>
          <w:noProof/>
        </w:rPr>
        <w:t>(</w:t>
      </w:r>
      <w:hyperlink w:anchor="_ENREF_25" w:tooltip="Miller, 2012 #4" w:history="1">
        <w:r>
          <w:rPr>
            <w:noProof/>
          </w:rPr>
          <w:t>Miller 2012</w:t>
        </w:r>
      </w:hyperlink>
      <w:r>
        <w:rPr>
          <w:noProof/>
        </w:rPr>
        <w:t xml:space="preserve">, </w:t>
      </w:r>
      <w:hyperlink w:anchor="_ENREF_43" w:tooltip="VIC-PCR, 2015 #27" w:history="1">
        <w:r>
          <w:rPr>
            <w:noProof/>
          </w:rPr>
          <w:t>VIC-PCR 2015</w:t>
        </w:r>
      </w:hyperlink>
      <w:r>
        <w:rPr>
          <w:noProof/>
        </w:rPr>
        <w:t>)</w:t>
      </w:r>
      <w:r>
        <w:fldChar w:fldCharType="end"/>
      </w:r>
      <w:r w:rsidRPr="00D37354">
        <w:t>.</w:t>
      </w:r>
      <w:r>
        <w:t xml:space="preserve"> </w:t>
      </w:r>
      <w:r w:rsidRPr="00D37354">
        <w:t>Currently, primary treatment options for</w:t>
      </w:r>
      <w:r w:rsidR="00BE450A">
        <w:t xml:space="preserve"> patients with</w:t>
      </w:r>
      <w:r w:rsidRPr="00D37354">
        <w:t xml:space="preserve"> intermediate and high-risk prostate cancer include EBRT +/- boost or RP with concurrent or salvage EBRT.</w:t>
      </w:r>
    </w:p>
    <w:p w14:paraId="68C6B36B" w14:textId="77777777" w:rsidR="00BC1364" w:rsidRPr="00F715D1" w:rsidRDefault="00BC1364" w:rsidP="00F715D1">
      <w:pPr>
        <w:pStyle w:val="Heading1"/>
      </w:pPr>
      <w:r w:rsidRPr="00F715D1">
        <w:lastRenderedPageBreak/>
        <w:t>Comparative safety</w:t>
      </w:r>
    </w:p>
    <w:p w14:paraId="29DDF28E" w14:textId="77777777" w:rsidR="00F6451D" w:rsidRDefault="00F6451D" w:rsidP="00951F0C">
      <w:pPr>
        <w:pStyle w:val="Heading2"/>
        <w:numPr>
          <w:ilvl w:val="0"/>
          <w:numId w:val="29"/>
        </w:numPr>
        <w:spacing w:before="0"/>
        <w:ind w:hanging="720"/>
      </w:pPr>
      <w:r>
        <w:t>Vs. RP</w:t>
      </w:r>
    </w:p>
    <w:p w14:paraId="4BDB39DF" w14:textId="792947C0" w:rsidR="00F6451D" w:rsidRDefault="00F6451D" w:rsidP="00592104">
      <w:pPr>
        <w:spacing w:after="240"/>
      </w:pPr>
      <w:r w:rsidRPr="00831D25">
        <w:t>No data were identified comparing the safety of EBRT+LDR-BT boost to RP in people with high-intermediate and high-risk prostate cancer.</w:t>
      </w:r>
    </w:p>
    <w:p w14:paraId="3447F415" w14:textId="77777777" w:rsidR="00F6451D" w:rsidRDefault="00F6451D" w:rsidP="00951F0C">
      <w:pPr>
        <w:pStyle w:val="Heading2"/>
        <w:numPr>
          <w:ilvl w:val="0"/>
          <w:numId w:val="29"/>
        </w:numPr>
        <w:spacing w:before="0"/>
        <w:ind w:hanging="720"/>
      </w:pPr>
      <w:r>
        <w:t>Vs. DE-EBRT</w:t>
      </w:r>
    </w:p>
    <w:p w14:paraId="0645D176" w14:textId="6D56AC44" w:rsidR="00F6451D" w:rsidRDefault="00F6451D" w:rsidP="00592104">
      <w:pPr>
        <w:spacing w:after="240"/>
      </w:pPr>
      <w:r w:rsidRPr="002D6E9F">
        <w:t xml:space="preserve">One </w:t>
      </w:r>
      <w:r>
        <w:t>randomised controlled trial (</w:t>
      </w:r>
      <w:r w:rsidRPr="002D6E9F">
        <w:t>RCT</w:t>
      </w:r>
      <w:r>
        <w:t>)</w:t>
      </w:r>
      <w:r w:rsidRPr="002D6E9F">
        <w:t xml:space="preserve"> </w:t>
      </w:r>
      <w:r w:rsidRPr="002F1327">
        <w:t>(</w:t>
      </w:r>
      <w:r>
        <w:t xml:space="preserve">ASDENDE-RT; </w:t>
      </w:r>
      <w:r w:rsidRPr="002F1327">
        <w:t>Rodda, Tyldesley et al. 2017</w:t>
      </w:r>
      <w:r>
        <w:t xml:space="preserve"> </w:t>
      </w:r>
      <w:r w:rsidRPr="002F1327">
        <w:t>)</w:t>
      </w:r>
      <w:r>
        <w:t xml:space="preserve"> </w:t>
      </w:r>
      <w:r w:rsidRPr="002D6E9F">
        <w:t>was included in the assessment of safety</w:t>
      </w:r>
      <w:r>
        <w:t xml:space="preserve"> </w:t>
      </w:r>
      <w:r w:rsidRPr="002F1327">
        <w:t xml:space="preserve">of EBRT+LDR-BT boost compared with DE-EBRT in patients with intermediate- and high-risk prostate cancer was found.  </w:t>
      </w:r>
      <w:r>
        <w:t>(n=383 for assessing adverse events)</w:t>
      </w:r>
      <w:r w:rsidRPr="002D6E9F">
        <w:t xml:space="preserve">. </w:t>
      </w:r>
      <w:r>
        <w:t xml:space="preserve">The application stated that </w:t>
      </w:r>
      <w:r w:rsidRPr="002D6E9F">
        <w:t>EBRT+LDR-BT boost arm had a higher number of adverse effects (acute GU toxicity, late</w:t>
      </w:r>
      <w:r>
        <w:t xml:space="preserve"> </w:t>
      </w:r>
      <w:r w:rsidRPr="002D6E9F">
        <w:t>GI and GU morbidity) compared to DE-EBRT arm. No statistically significant differences were reported for erectile dysfunction, acute grade 3 GU toxicity or acute grade 0-2 GI toxicity.</w:t>
      </w:r>
    </w:p>
    <w:p w14:paraId="3F814D3F" w14:textId="77777777" w:rsidR="00F6451D" w:rsidRDefault="00F6451D" w:rsidP="00951F0C">
      <w:pPr>
        <w:pStyle w:val="Heading2"/>
        <w:numPr>
          <w:ilvl w:val="0"/>
          <w:numId w:val="29"/>
        </w:numPr>
        <w:spacing w:before="0"/>
        <w:ind w:hanging="720"/>
      </w:pPr>
      <w:r>
        <w:t>Vs. EBRT+HDT-BT boost</w:t>
      </w:r>
    </w:p>
    <w:p w14:paraId="42DFC2A4" w14:textId="2A977609" w:rsidR="00F6451D" w:rsidRPr="00744D23" w:rsidRDefault="00F6451D" w:rsidP="00F6451D">
      <w:r w:rsidRPr="00262B51">
        <w:t>No data were identified comparing the safety of EBRT+LDR-BT boost to EBRT+HDR-BT boost in people with high-intermediate and high-risk prostate cancer.</w:t>
      </w:r>
    </w:p>
    <w:p w14:paraId="1D3AEF36" w14:textId="77777777" w:rsidR="00BC1364" w:rsidRPr="00F715D1" w:rsidRDefault="00BC1364" w:rsidP="00F715D1">
      <w:pPr>
        <w:pStyle w:val="Heading1"/>
      </w:pPr>
      <w:r w:rsidRPr="00F715D1">
        <w:t>Comparative effectiveness</w:t>
      </w:r>
    </w:p>
    <w:p w14:paraId="78F7B817" w14:textId="77777777" w:rsidR="00F6451D" w:rsidRDefault="00F6451D" w:rsidP="00951F0C">
      <w:pPr>
        <w:pStyle w:val="Heading2"/>
        <w:numPr>
          <w:ilvl w:val="0"/>
          <w:numId w:val="30"/>
        </w:numPr>
        <w:spacing w:before="0"/>
        <w:ind w:hanging="720"/>
      </w:pPr>
      <w:r>
        <w:t>Vs. RP</w:t>
      </w:r>
    </w:p>
    <w:p w14:paraId="0550EDDB" w14:textId="4E525BE0" w:rsidR="00F6451D" w:rsidRPr="00262B51" w:rsidRDefault="00F6451D" w:rsidP="00592104">
      <w:pPr>
        <w:spacing w:after="240"/>
      </w:pPr>
      <w:r w:rsidRPr="00262B51">
        <w:t>No data were identified comparing the effectiveness of EBRT+LDR-BT boost to RP in people with high-intermediate and high-risk prostate cancer.</w:t>
      </w:r>
    </w:p>
    <w:p w14:paraId="7C625F38" w14:textId="7BA78F5A" w:rsidR="00F6451D" w:rsidRDefault="00F6451D" w:rsidP="00E75BE6">
      <w:pPr>
        <w:pStyle w:val="Heading2"/>
        <w:numPr>
          <w:ilvl w:val="0"/>
          <w:numId w:val="30"/>
        </w:numPr>
        <w:spacing w:before="0"/>
        <w:ind w:hanging="720"/>
      </w:pPr>
      <w:r>
        <w:t>Vs. DE-EBRT</w:t>
      </w:r>
    </w:p>
    <w:p w14:paraId="4AAE45B4" w14:textId="1B19CEBA" w:rsidR="00F6451D" w:rsidRPr="002D6E9F" w:rsidRDefault="00F6451D" w:rsidP="00592104">
      <w:pPr>
        <w:spacing w:after="240"/>
      </w:pPr>
      <w:r>
        <w:t xml:space="preserve">One RCT (3 publications </w:t>
      </w:r>
      <w:r w:rsidRPr="002D6E9F">
        <w:fldChar w:fldCharType="begin">
          <w:fldData xml:space="preserve">PEVuZE5vdGU+PENpdGU+PEF1dGhvcj5Nb3JyaXM8L0F1dGhvcj48WWVhcj4yMDE3PC9ZZWFyPjxS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cj48L2F1dGhvcnM+PC9jb250cmlidXRvcnM+PGF1dGgtYWRkcmVzcz5EZXBhcnRtZW50IG9mIFN1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MT48L2FsdC1wZXJpb2RpY2FsPjxwYWdlcz4yNzUtMjg1PC9wYWdlcz48dm9sdW1lPjk4PC92b2x1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eSwgYmlvbG9neSwgcGh5c2ljczwvYWJici0xPjwvYWx0LXBlcmlvZGljYWw+PHBhZ2VzPjU4MS01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YWw+PHBhZ2VzPjI4Ni0yOTU8L3BhZ2VzPjx2b2x1bWU+OTg8L3ZvbHVtZT48bnVtYmVyPjI8L251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=
</w:fldData>
        </w:fldChar>
      </w:r>
      <w:r w:rsidRPr="002D6E9F">
        <w:instrText xml:space="preserve"> ADDIN EN.CITE </w:instrText>
      </w:r>
      <w:r w:rsidRPr="002D6E9F">
        <w:fldChar w:fldCharType="begin">
          <w:fldData xml:space="preserve">PEVuZE5vdGU+PENpdGU+PEF1dGhvcj5Nb3JyaXM8L0F1dGhvcj48WWVhcj4yMDE3PC9ZZWFyPjxS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cj48L2F1dGhvcnM+PC9jb250cmlidXRvcnM+PGF1dGgtYWRkcmVzcz5EZXBhcnRtZW50IG9mIFN1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MT48L2FsdC1wZXJpb2RpY2FsPjxwYWdlcz4yNzUtMjg1PC9wYWdlcz48dm9sdW1lPjk4PC92b2x1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eSwgYmlvbG9neSwgcGh5c2ljczwvYWJici0xPjwvYWx0LXBlcmlvZGljYWw+PHBhZ2VzPjU4MS01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YWw+PHBhZ2VzPjI4Ni0yOTU8L3BhZ2VzPjx2b2x1bWU+OTg8L3ZvbHVtZT48bnVtYmVyPjI8L251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=
</w:fldData>
        </w:fldChar>
      </w:r>
      <w:r w:rsidRPr="002D6E9F">
        <w:instrText xml:space="preserve"> ADDIN EN.CITE.DATA </w:instrText>
      </w:r>
      <w:r w:rsidRPr="002D6E9F">
        <w:fldChar w:fldCharType="end"/>
      </w:r>
      <w:r w:rsidRPr="002D6E9F">
        <w:fldChar w:fldCharType="separate"/>
      </w:r>
      <w:r w:rsidRPr="002D6E9F">
        <w:rPr>
          <w:noProof/>
        </w:rPr>
        <w:t>(</w:t>
      </w:r>
      <w:hyperlink w:anchor="_ENREF_26" w:tooltip="Morris, 2017 #13" w:history="1">
        <w:r w:rsidRPr="002D6E9F">
          <w:rPr>
            <w:noProof/>
          </w:rPr>
          <w:t>Morris, Tyldesley et al. 2017</w:t>
        </w:r>
      </w:hyperlink>
      <w:r w:rsidRPr="002D6E9F">
        <w:rPr>
          <w:noProof/>
        </w:rPr>
        <w:t xml:space="preserve">, </w:t>
      </w:r>
      <w:hyperlink w:anchor="_ENREF_36" w:tooltip="Rodda, 2017 #11" w:history="1">
        <w:r w:rsidRPr="002D6E9F">
          <w:rPr>
            <w:noProof/>
          </w:rPr>
          <w:t>Rodda, Morris et al. 2017</w:t>
        </w:r>
      </w:hyperlink>
      <w:r w:rsidRPr="002D6E9F">
        <w:rPr>
          <w:noProof/>
        </w:rPr>
        <w:t xml:space="preserve">, </w:t>
      </w:r>
      <w:hyperlink w:anchor="_ENREF_37" w:tooltip="Rodda, 2017 #12" w:history="1">
        <w:r w:rsidRPr="002D6E9F">
          <w:rPr>
            <w:noProof/>
          </w:rPr>
          <w:t>Rodda, Tyldesley et al. 2017</w:t>
        </w:r>
      </w:hyperlink>
      <w:r w:rsidRPr="002D6E9F">
        <w:rPr>
          <w:noProof/>
        </w:rPr>
        <w:t>)</w:t>
      </w:r>
      <w:r w:rsidRPr="002D6E9F">
        <w:fldChar w:fldCharType="end"/>
      </w:r>
      <w:r w:rsidRPr="002D6E9F">
        <w:t xml:space="preserve"> and one retrospective cohort study </w:t>
      </w:r>
      <w:r w:rsidRPr="002D6E9F">
        <w:fldChar w:fldCharType="begin">
          <w:fldData xml:space="preserve">PEVuZE5vdGU+PENpdGU+PEF1dGhvcj5Kb2huc29uPC9BdXRob3I+PFllYXI+MjAxNzwvWWVhcj48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</w:fldData>
        </w:fldChar>
      </w:r>
      <w:r w:rsidRPr="002D6E9F">
        <w:instrText xml:space="preserve"> ADDIN EN.CITE </w:instrText>
      </w:r>
      <w:r w:rsidRPr="002D6E9F">
        <w:fldChar w:fldCharType="begin">
          <w:fldData xml:space="preserve">PEVuZE5vdGU+PENpdGU+PEF1dGhvcj5Kb2huc29uPC9BdXRob3I+PFllYXI+MjAxNzwvWWVhcj48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</w:fldData>
        </w:fldChar>
      </w:r>
      <w:r w:rsidRPr="002D6E9F">
        <w:instrText xml:space="preserve"> ADDIN EN.CITE.DATA </w:instrText>
      </w:r>
      <w:r w:rsidRPr="002D6E9F">
        <w:fldChar w:fldCharType="end"/>
      </w:r>
      <w:r w:rsidRPr="002D6E9F">
        <w:fldChar w:fldCharType="separate"/>
      </w:r>
      <w:r w:rsidRPr="002D6E9F">
        <w:rPr>
          <w:noProof/>
        </w:rPr>
        <w:t>(</w:t>
      </w:r>
      <w:hyperlink w:anchor="_ENREF_18" w:tooltip="Johnson, 2017 #14" w:history="1">
        <w:r w:rsidRPr="002D6E9F">
          <w:rPr>
            <w:noProof/>
          </w:rPr>
          <w:t>Johnson, Lester-Coll et al. 2017</w:t>
        </w:r>
      </w:hyperlink>
      <w:r w:rsidRPr="002D6E9F">
        <w:rPr>
          <w:noProof/>
        </w:rPr>
        <w:t>)</w:t>
      </w:r>
      <w:r w:rsidRPr="002D6E9F">
        <w:fldChar w:fldCharType="end"/>
      </w:r>
      <w:r w:rsidRPr="002D6E9F">
        <w:t xml:space="preserve"> were included in the evidence base for effectiveness of EBRT plus LDR-BT boost.</w:t>
      </w:r>
    </w:p>
    <w:p w14:paraId="6ACD8E0D" w14:textId="0FB96C9F" w:rsidR="00951F0C" w:rsidRPr="00592104" w:rsidRDefault="00F6451D">
      <w:r w:rsidRPr="002D6E9F">
        <w:t xml:space="preserve">The single RCT </w:t>
      </w:r>
      <w:r w:rsidRPr="002D6E9F">
        <w:fldChar w:fldCharType="begin">
          <w:fldData xml:space="preserve">PEVuZE5vdGU+PENpdGU+PEF1dGhvcj5Nb3JyaXM8L0F1dGhvcj48WWVhcj4yMDE3PC9ZZWFyPjxS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cj48L2F1dGhvcnM+PC9jb250cmlidXRvcnM+PGF1dGgtYWRkcmVzcz5EZXBhcnRtZW50IG9mIFN1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MT48L2FsdC1wZXJpb2RpY2FsPjxwYWdlcz4yNzUtMjg1PC9wYWdlcz48dm9sdW1lPjk4PC92b2x1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eSwgYmlvbG9neSwgcGh5c2ljczwvYWJici0xPjwvYWx0LXBlcmlvZGljYWw+PHBhZ2VzPjU4MS01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YWw+PHBhZ2VzPjI4Ni0yOTU8L3BhZ2VzPjx2b2x1bWU+OTg8L3ZvbHVtZT48bnVtYmVyPjI8L251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=
</w:fldData>
        </w:fldChar>
      </w:r>
      <w:r w:rsidRPr="002D6E9F">
        <w:instrText xml:space="preserve"> ADDIN EN.CITE </w:instrText>
      </w:r>
      <w:r w:rsidRPr="002D6E9F">
        <w:fldChar w:fldCharType="begin">
          <w:fldData xml:space="preserve">PEVuZE5vdGU+PENpdGU+PEF1dGhvcj5Nb3JyaXM8L0F1dGhvcj48WWVhcj4yMDE3PC9ZZWFyPjxS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cj48L2F1dGhvcnM+PC9jb250cmlidXRvcnM+PGF1dGgtYWRkcmVzcz5EZXBhcnRtZW50IG9mIFN1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MT48L2FsdC1wZXJpb2RpY2FsPjxwYWdlcz4yNzUtMjg1PC9wYWdlcz48dm9sdW1lPjk4PC92b2x1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eSwgYmlvbG9neSwgcGh5c2ljczwvYWJici0xPjwvYWx0LXBlcmlvZGljYWw+PHBhZ2VzPjU4MS01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YWw+PHBhZ2VzPjI4Ni0yOTU8L3BhZ2VzPjx2b2x1bWU+OTg8L3ZvbHVtZT48bnVtYmVyPjI8L251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=
</w:fldData>
        </w:fldChar>
      </w:r>
      <w:r w:rsidRPr="002D6E9F">
        <w:instrText xml:space="preserve"> ADDIN EN.CITE.DATA </w:instrText>
      </w:r>
      <w:r w:rsidRPr="002D6E9F">
        <w:fldChar w:fldCharType="end"/>
      </w:r>
      <w:r w:rsidRPr="002D6E9F">
        <w:fldChar w:fldCharType="separate"/>
      </w:r>
      <w:r w:rsidRPr="002D6E9F">
        <w:rPr>
          <w:noProof/>
        </w:rPr>
        <w:t>(</w:t>
      </w:r>
      <w:hyperlink w:anchor="_ENREF_26" w:tooltip="Morris, 2017 #13" w:history="1">
        <w:r w:rsidRPr="002D6E9F">
          <w:rPr>
            <w:noProof/>
          </w:rPr>
          <w:t>Morris, Tyldesley et al. 2017</w:t>
        </w:r>
      </w:hyperlink>
      <w:r w:rsidRPr="002D6E9F">
        <w:rPr>
          <w:noProof/>
        </w:rPr>
        <w:t xml:space="preserve">, </w:t>
      </w:r>
      <w:hyperlink w:anchor="_ENREF_36" w:tooltip="Rodda, 2017 #11" w:history="1">
        <w:r w:rsidRPr="002D6E9F">
          <w:rPr>
            <w:noProof/>
          </w:rPr>
          <w:t>Rodda, Morris et al. 2017</w:t>
        </w:r>
      </w:hyperlink>
      <w:r w:rsidRPr="002D6E9F">
        <w:rPr>
          <w:noProof/>
        </w:rPr>
        <w:t xml:space="preserve">, </w:t>
      </w:r>
      <w:hyperlink w:anchor="_ENREF_37" w:tooltip="Rodda, 2017 #12" w:history="1">
        <w:r w:rsidRPr="002D6E9F">
          <w:rPr>
            <w:noProof/>
          </w:rPr>
          <w:t>Rodda, Tyldesley et al. 2017</w:t>
        </w:r>
      </w:hyperlink>
      <w:r w:rsidRPr="002D6E9F">
        <w:rPr>
          <w:noProof/>
        </w:rPr>
        <w:t>)</w:t>
      </w:r>
      <w:r w:rsidRPr="002D6E9F">
        <w:fldChar w:fldCharType="end"/>
      </w:r>
      <w:r w:rsidRPr="002D6E9F">
        <w:t xml:space="preserve"> was assessed to be at low risk of bias for survival outcomes </w:t>
      </w:r>
      <w:r w:rsidR="00E75BE6">
        <w:t>(Table 3</w:t>
      </w:r>
      <w:r>
        <w:t>)</w:t>
      </w:r>
      <w:r w:rsidRPr="002D6E9F">
        <w:t xml:space="preserve">. The retrospective cohort study </w:t>
      </w:r>
      <w:r w:rsidRPr="002D6E9F">
        <w:fldChar w:fldCharType="begin">
          <w:fldData xml:space="preserve">PEVuZE5vdGU+PENpdGU+PEF1dGhvcj5Kb2huc29uPC9BdXRob3I+PFllYXI+MjAxNzwvWWVhcj48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</w:fldData>
        </w:fldChar>
      </w:r>
      <w:r w:rsidRPr="002D6E9F">
        <w:instrText xml:space="preserve"> ADDIN EN.CITE </w:instrText>
      </w:r>
      <w:r w:rsidRPr="002D6E9F">
        <w:fldChar w:fldCharType="begin">
          <w:fldData xml:space="preserve">PEVuZE5vdGU+PENpdGU+PEF1dGhvcj5Kb2huc29uPC9BdXRob3I+PFllYXI+MjAxNzwvWWVhcj48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</w:fldData>
        </w:fldChar>
      </w:r>
      <w:r w:rsidRPr="002D6E9F">
        <w:instrText xml:space="preserve"> ADDIN EN.CITE.DATA </w:instrText>
      </w:r>
      <w:r w:rsidRPr="002D6E9F">
        <w:fldChar w:fldCharType="end"/>
      </w:r>
      <w:r w:rsidRPr="002D6E9F">
        <w:fldChar w:fldCharType="separate"/>
      </w:r>
      <w:r w:rsidRPr="002D6E9F">
        <w:rPr>
          <w:noProof/>
        </w:rPr>
        <w:t>(</w:t>
      </w:r>
      <w:hyperlink w:anchor="_ENREF_18" w:tooltip="Johnson, 2017 #14" w:history="1">
        <w:r w:rsidRPr="002D6E9F">
          <w:rPr>
            <w:noProof/>
          </w:rPr>
          <w:t>Johnson, Lester-Coll et al. 2017</w:t>
        </w:r>
      </w:hyperlink>
      <w:r w:rsidRPr="002D6E9F">
        <w:rPr>
          <w:noProof/>
        </w:rPr>
        <w:t>)</w:t>
      </w:r>
      <w:r w:rsidRPr="002D6E9F">
        <w:fldChar w:fldCharType="end"/>
      </w:r>
      <w:r w:rsidRPr="002D6E9F">
        <w:t xml:space="preserve"> was assessed to be at high risk of bias overall.</w:t>
      </w:r>
      <w:r>
        <w:t xml:space="preserve"> Further, the CA also highlighted the applicability issues associated with the pivotal RCT (ASDENDE-RT) which included around half of the population with low-intermediate risk prostate cancer. The Critique also highlighted that the CA </w:t>
      </w:r>
      <w:r w:rsidRPr="00166087">
        <w:t>adopted a modified version of the NCCN Prostate Cancer Risk Group, Intermediate</w:t>
      </w:r>
      <w:r>
        <w:t>-</w:t>
      </w:r>
      <w:r w:rsidRPr="00166087">
        <w:t>Risk, to represent the high-intermediate risk group considered in the application</w:t>
      </w:r>
      <w:r>
        <w:t xml:space="preserve"> (without a clear statement explaining why this modified version was used)</w:t>
      </w:r>
      <w:r w:rsidRPr="00166087">
        <w:t>.</w:t>
      </w:r>
      <w:r>
        <w:t xml:space="preserve"> However, the Critique deduced that the </w:t>
      </w:r>
      <w:r w:rsidRPr="00370A98">
        <w:t>requirement for Gleason 7 and T2bc (in the CA definition) rather than the option for Gleason 7 and T2bc (in the NCCN definition), indicates that patients with these clinical characteristics represent patients who are of higher risk in the intermediate group, thereby moving them into th</w:t>
      </w:r>
      <w:r w:rsidR="00A14CB5">
        <w:t>e high-intermediate risk group.</w:t>
      </w:r>
      <w:bookmarkStart w:id="16" w:name="_Ref421184437"/>
      <w:bookmarkStart w:id="17" w:name="_Toc424544"/>
      <w:bookmarkStart w:id="18" w:name="_Toc459500"/>
      <w:r w:rsidR="00951F0C">
        <w:rPr>
          <w:rFonts w:ascii="Arial Narrow" w:hAnsi="Arial Narrow"/>
          <w:b/>
          <w:bCs/>
          <w:sz w:val="20"/>
        </w:rPr>
        <w:br w:type="page"/>
      </w:r>
    </w:p>
    <w:p w14:paraId="66833CB0" w14:textId="41655EF9" w:rsidR="00F6451D" w:rsidRPr="00717189" w:rsidRDefault="00F6451D" w:rsidP="00F6451D">
      <w:pPr>
        <w:keepNext/>
        <w:spacing w:after="120"/>
        <w:rPr>
          <w:rFonts w:ascii="Arial Narrow" w:hAnsi="Arial Narrow" w:cs="Arial"/>
          <w:b/>
          <w:bCs/>
          <w:snapToGrid w:val="0"/>
          <w:sz w:val="20"/>
          <w:szCs w:val="16"/>
        </w:rPr>
      </w:pPr>
      <w:r w:rsidRPr="00717189">
        <w:rPr>
          <w:rFonts w:ascii="Arial Narrow" w:hAnsi="Arial Narrow"/>
          <w:b/>
          <w:bCs/>
          <w:sz w:val="20"/>
        </w:rPr>
        <w:lastRenderedPageBreak/>
        <w:t xml:space="preserve">Table </w:t>
      </w:r>
      <w:bookmarkEnd w:id="16"/>
      <w:r w:rsidR="00E75BE6">
        <w:rPr>
          <w:rFonts w:ascii="Arial Narrow" w:hAnsi="Arial Narrow"/>
          <w:b/>
          <w:bCs/>
          <w:sz w:val="20"/>
        </w:rPr>
        <w:t>3</w:t>
      </w:r>
      <w:r w:rsidR="00BB1700">
        <w:rPr>
          <w:rFonts w:ascii="Arial Narrow" w:hAnsi="Arial Narrow"/>
          <w:b/>
          <w:bCs/>
          <w:sz w:val="20"/>
        </w:rPr>
        <w:tab/>
      </w:r>
      <w:r w:rsidRPr="00717189">
        <w:rPr>
          <w:rFonts w:ascii="Arial Narrow" w:hAnsi="Arial Narrow" w:cs="Arial"/>
          <w:b/>
          <w:bCs/>
          <w:snapToGrid w:val="0"/>
          <w:sz w:val="20"/>
          <w:szCs w:val="16"/>
        </w:rPr>
        <w:t xml:space="preserve">Balance of clinical benefits and harms of EBRT plus LDR-BT boost, relative to DE-EBRT, and as measured by the </w:t>
      </w:r>
      <w:r w:rsidRPr="00717189">
        <w:rPr>
          <w:rFonts w:ascii="Arial Narrow" w:hAnsi="Arial Narrow" w:cs="Arial"/>
          <w:b/>
          <w:bCs/>
          <w:snapToGrid w:val="0"/>
          <w:sz w:val="20"/>
          <w:szCs w:val="16"/>
          <w:u w:val="single"/>
        </w:rPr>
        <w:t>critical</w:t>
      </w:r>
      <w:r w:rsidRPr="00717189">
        <w:rPr>
          <w:rFonts w:ascii="Arial Narrow" w:hAnsi="Arial Narrow" w:cs="Arial"/>
          <w:b/>
          <w:bCs/>
          <w:snapToGrid w:val="0"/>
          <w:sz w:val="20"/>
          <w:szCs w:val="16"/>
        </w:rPr>
        <w:t xml:space="preserve"> patient-relevant outcomes in the key studies</w:t>
      </w:r>
      <w:bookmarkEnd w:id="17"/>
      <w:bookmarkEnd w:id="18"/>
      <w:r w:rsidRPr="00717189">
        <w:rPr>
          <w:rFonts w:ascii="Arial Narrow" w:hAnsi="Arial Narrow" w:cs="Arial"/>
          <w:b/>
          <w:bCs/>
          <w:snapToGrid w:val="0"/>
          <w:sz w:val="20"/>
          <w:szCs w:val="16"/>
        </w:rPr>
        <w:t xml:space="preserve"> </w:t>
      </w:r>
    </w:p>
    <w:tbl>
      <w:tblPr>
        <w:tblStyle w:val="TableGrid2"/>
        <w:tblW w:w="9067" w:type="dxa"/>
        <w:tblLook w:val="04A0" w:firstRow="1" w:lastRow="0" w:firstColumn="1" w:lastColumn="0" w:noHBand="0" w:noVBand="1"/>
        <w:tblDescription w:val="Summary of findings table"/>
      </w:tblPr>
      <w:tblGrid>
        <w:gridCol w:w="1283"/>
        <w:gridCol w:w="1321"/>
        <w:gridCol w:w="1254"/>
        <w:gridCol w:w="1807"/>
        <w:gridCol w:w="3402"/>
      </w:tblGrid>
      <w:tr w:rsidR="00F6451D" w:rsidRPr="00717189" w14:paraId="28445F99" w14:textId="77777777" w:rsidTr="00F9490F">
        <w:trPr>
          <w:cnfStyle w:val="100000000000" w:firstRow="1" w:lastRow="0" w:firstColumn="0" w:lastColumn="0" w:oddVBand="0" w:evenVBand="0" w:oddHBand="0" w:evenHBand="0" w:firstRowFirstColumn="0" w:firstRowLastColumn="0" w:lastRowFirstColumn="0" w:lastRowLastColumn="0"/>
          <w:tblHeader/>
        </w:trPr>
        <w:tc>
          <w:tcPr>
            <w:tcW w:w="1283" w:type="dxa"/>
          </w:tcPr>
          <w:p w14:paraId="53BC2459" w14:textId="77777777" w:rsidR="00F6451D" w:rsidRPr="00717189" w:rsidRDefault="00F6451D" w:rsidP="00B90C44">
            <w:pPr>
              <w:keepNext/>
              <w:rPr>
                <w:rFonts w:ascii="Arial Narrow" w:hAnsi="Arial Narrow"/>
                <w:b/>
                <w:sz w:val="20"/>
              </w:rPr>
            </w:pPr>
            <w:r w:rsidRPr="00717189">
              <w:rPr>
                <w:rFonts w:ascii="Arial Narrow" w:hAnsi="Arial Narrow"/>
                <w:b/>
                <w:sz w:val="20"/>
              </w:rPr>
              <w:t>Outcomes (units)</w:t>
            </w:r>
          </w:p>
          <w:p w14:paraId="73CB4032" w14:textId="77777777" w:rsidR="00F6451D" w:rsidRPr="00717189" w:rsidRDefault="00F6451D" w:rsidP="00B90C44">
            <w:pPr>
              <w:keepNext/>
              <w:rPr>
                <w:rFonts w:ascii="Arial Narrow" w:hAnsi="Arial Narrow"/>
                <w:b/>
                <w:sz w:val="20"/>
              </w:rPr>
            </w:pPr>
            <w:r w:rsidRPr="00717189">
              <w:rPr>
                <w:rFonts w:ascii="Arial Narrow" w:hAnsi="Arial Narrow"/>
                <w:b/>
                <w:sz w:val="20"/>
              </w:rPr>
              <w:t>Follow-up</w:t>
            </w:r>
          </w:p>
        </w:tc>
        <w:tc>
          <w:tcPr>
            <w:tcW w:w="1321" w:type="dxa"/>
          </w:tcPr>
          <w:p w14:paraId="576AC482" w14:textId="77777777" w:rsidR="00F6451D" w:rsidRPr="00717189" w:rsidRDefault="00F6451D" w:rsidP="00B90C44">
            <w:pPr>
              <w:keepNext/>
              <w:rPr>
                <w:rFonts w:ascii="Arial Narrow" w:hAnsi="Arial Narrow"/>
                <w:b/>
                <w:sz w:val="20"/>
              </w:rPr>
            </w:pPr>
            <w:r w:rsidRPr="00717189">
              <w:rPr>
                <w:rFonts w:ascii="Arial Narrow" w:hAnsi="Arial Narrow"/>
                <w:b/>
                <w:sz w:val="20"/>
              </w:rPr>
              <w:t>Participants (studies)</w:t>
            </w:r>
          </w:p>
          <w:p w14:paraId="3601A34B" w14:textId="77777777" w:rsidR="00F6451D" w:rsidRPr="00717189" w:rsidRDefault="00F6451D" w:rsidP="00B90C44">
            <w:pPr>
              <w:keepNext/>
              <w:rPr>
                <w:rFonts w:ascii="Arial Narrow" w:hAnsi="Arial Narrow"/>
                <w:b/>
                <w:sz w:val="20"/>
              </w:rPr>
            </w:pPr>
          </w:p>
        </w:tc>
        <w:tc>
          <w:tcPr>
            <w:tcW w:w="1254" w:type="dxa"/>
          </w:tcPr>
          <w:p w14:paraId="77E23595" w14:textId="77777777" w:rsidR="00F6451D" w:rsidRPr="00717189" w:rsidRDefault="00F6451D" w:rsidP="00B90C44">
            <w:pPr>
              <w:keepNext/>
              <w:rPr>
                <w:rFonts w:ascii="Arial Narrow" w:hAnsi="Arial Narrow"/>
                <w:b/>
                <w:sz w:val="20"/>
              </w:rPr>
            </w:pPr>
            <w:r w:rsidRPr="00717189">
              <w:rPr>
                <w:rFonts w:ascii="Arial Narrow" w:hAnsi="Arial Narrow"/>
                <w:b/>
                <w:sz w:val="20"/>
              </w:rPr>
              <w:t>Quality of evidence (GRADE)</w:t>
            </w:r>
            <w:r w:rsidRPr="00717189">
              <w:rPr>
                <w:rFonts w:ascii="Arial Narrow" w:hAnsi="Arial Narrow" w:cs="Arial"/>
                <w:b/>
                <w:sz w:val="20"/>
                <w:vertAlign w:val="superscript"/>
              </w:rPr>
              <w:t xml:space="preserve"> a</w:t>
            </w:r>
          </w:p>
        </w:tc>
        <w:tc>
          <w:tcPr>
            <w:tcW w:w="1807" w:type="dxa"/>
          </w:tcPr>
          <w:p w14:paraId="3C2E7DF4" w14:textId="77777777" w:rsidR="00F6451D" w:rsidRPr="00717189" w:rsidRDefault="00F6451D" w:rsidP="00B90C44">
            <w:pPr>
              <w:keepNext/>
              <w:rPr>
                <w:rFonts w:ascii="Arial Narrow" w:hAnsi="Arial Narrow"/>
                <w:b/>
                <w:sz w:val="20"/>
              </w:rPr>
            </w:pPr>
            <w:r w:rsidRPr="00717189">
              <w:rPr>
                <w:rFonts w:ascii="Arial Narrow" w:hAnsi="Arial Narrow"/>
                <w:b/>
                <w:sz w:val="20"/>
              </w:rPr>
              <w:t>Hazard ratio (95%CI; p-value</w:t>
            </w:r>
          </w:p>
        </w:tc>
        <w:tc>
          <w:tcPr>
            <w:tcW w:w="3402" w:type="dxa"/>
          </w:tcPr>
          <w:p w14:paraId="5EA2D7F9" w14:textId="77777777" w:rsidR="00F6451D" w:rsidRPr="00717189" w:rsidRDefault="00F6451D" w:rsidP="00B90C44">
            <w:pPr>
              <w:keepNext/>
              <w:rPr>
                <w:rFonts w:ascii="Arial Narrow" w:hAnsi="Arial Narrow"/>
                <w:b/>
                <w:sz w:val="20"/>
              </w:rPr>
            </w:pPr>
            <w:r w:rsidRPr="00717189">
              <w:rPr>
                <w:rFonts w:ascii="Arial Narrow" w:hAnsi="Arial Narrow"/>
                <w:b/>
                <w:sz w:val="20"/>
              </w:rPr>
              <w:t>Comments</w:t>
            </w:r>
          </w:p>
        </w:tc>
      </w:tr>
      <w:tr w:rsidR="00F6451D" w:rsidRPr="00717189" w14:paraId="5BCD5FBF" w14:textId="77777777" w:rsidTr="00F9490F">
        <w:tc>
          <w:tcPr>
            <w:tcW w:w="1283" w:type="dxa"/>
          </w:tcPr>
          <w:p w14:paraId="621438E3" w14:textId="77777777" w:rsidR="00F6451D" w:rsidRPr="00717189" w:rsidRDefault="00F6451D" w:rsidP="00B90C44">
            <w:pPr>
              <w:rPr>
                <w:rFonts w:eastAsia="Calibri"/>
                <w:b/>
                <w:snapToGrid w:val="0"/>
                <w:sz w:val="20"/>
              </w:rPr>
            </w:pPr>
            <w:r w:rsidRPr="00717189">
              <w:rPr>
                <w:rFonts w:eastAsia="Calibri"/>
                <w:b/>
                <w:snapToGrid w:val="0"/>
                <w:sz w:val="20"/>
              </w:rPr>
              <w:t xml:space="preserve">b-PFS </w:t>
            </w:r>
          </w:p>
          <w:p w14:paraId="3CD7412B" w14:textId="77777777" w:rsidR="00F6451D" w:rsidRDefault="00F6451D" w:rsidP="00B90C44">
            <w:pPr>
              <w:rPr>
                <w:sz w:val="20"/>
              </w:rPr>
            </w:pPr>
            <w:r w:rsidRPr="00717189">
              <w:rPr>
                <w:sz w:val="20"/>
              </w:rPr>
              <w:t>Median follow-up 6.5 years</w:t>
            </w:r>
          </w:p>
          <w:p w14:paraId="28EBED42" w14:textId="77777777" w:rsidR="00F6451D" w:rsidRPr="00717189" w:rsidRDefault="00F6451D" w:rsidP="00B90C44">
            <w:pPr>
              <w:rPr>
                <w:rFonts w:cs="Arial"/>
                <w:sz w:val="20"/>
                <w:vertAlign w:val="superscript"/>
              </w:rPr>
            </w:pPr>
          </w:p>
        </w:tc>
        <w:tc>
          <w:tcPr>
            <w:tcW w:w="1321" w:type="dxa"/>
          </w:tcPr>
          <w:p w14:paraId="7DF9C042" w14:textId="77777777" w:rsidR="00F6451D" w:rsidRPr="00717189" w:rsidRDefault="00F6451D" w:rsidP="00B90C44">
            <w:pPr>
              <w:rPr>
                <w:sz w:val="20"/>
              </w:rPr>
            </w:pPr>
            <w:r w:rsidRPr="00717189">
              <w:rPr>
                <w:sz w:val="20"/>
              </w:rPr>
              <w:t>1 RCT</w:t>
            </w:r>
          </w:p>
          <w:p w14:paraId="7151A886" w14:textId="77777777" w:rsidR="00F6451D" w:rsidRPr="00717189" w:rsidRDefault="00F6451D" w:rsidP="00B90C44">
            <w:pPr>
              <w:rPr>
                <w:rFonts w:cs="Arial"/>
                <w:sz w:val="20"/>
                <w:vertAlign w:val="superscript"/>
              </w:rPr>
            </w:pPr>
            <w:r w:rsidRPr="00717189">
              <w:rPr>
                <w:sz w:val="20"/>
              </w:rPr>
              <w:t>N=</w:t>
            </w:r>
            <w:r w:rsidRPr="00717189">
              <w:rPr>
                <w:rFonts w:eastAsia="Calibri"/>
                <w:snapToGrid w:val="0"/>
                <w:sz w:val="20"/>
              </w:rPr>
              <w:t>398</w:t>
            </w:r>
          </w:p>
        </w:tc>
        <w:tc>
          <w:tcPr>
            <w:tcW w:w="1254" w:type="dxa"/>
          </w:tcPr>
          <w:p w14:paraId="64BB02F4"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MODERATE</w:t>
            </w:r>
          </w:p>
        </w:tc>
        <w:tc>
          <w:tcPr>
            <w:tcW w:w="1807" w:type="dxa"/>
          </w:tcPr>
          <w:p w14:paraId="756D4898" w14:textId="77777777" w:rsidR="00F6451D" w:rsidRPr="00717189" w:rsidRDefault="00F6451D" w:rsidP="00B90C44">
            <w:pPr>
              <w:rPr>
                <w:rFonts w:cs="Arial"/>
                <w:sz w:val="20"/>
                <w:vertAlign w:val="superscript"/>
              </w:rPr>
            </w:pPr>
            <w:r w:rsidRPr="00717189">
              <w:rPr>
                <w:sz w:val="20"/>
              </w:rPr>
              <w:t>HR = 0.49 (0.30-0.80; p=0.004)</w:t>
            </w:r>
          </w:p>
        </w:tc>
        <w:tc>
          <w:tcPr>
            <w:tcW w:w="3402" w:type="dxa"/>
          </w:tcPr>
          <w:p w14:paraId="7C86D604" w14:textId="77777777" w:rsidR="00F6451D" w:rsidRPr="00717189" w:rsidRDefault="00F6451D" w:rsidP="00B90C44">
            <w:pPr>
              <w:rPr>
                <w:rFonts w:cs="Arial"/>
                <w:sz w:val="20"/>
                <w:vertAlign w:val="superscript"/>
              </w:rPr>
            </w:pPr>
            <w:r w:rsidRPr="00717189">
              <w:rPr>
                <w:sz w:val="20"/>
              </w:rPr>
              <w:t>RCTs start at high quality in GRADE.</w:t>
            </w:r>
            <w:r w:rsidRPr="00717189">
              <w:t xml:space="preserve"> </w:t>
            </w:r>
            <w:r w:rsidRPr="00717189">
              <w:rPr>
                <w:sz w:val="20"/>
              </w:rPr>
              <w:t xml:space="preserve">Downgraded for serious indirectness as around half the population comprises low intermediate risk patients (which does not align with </w:t>
            </w:r>
            <w:r>
              <w:rPr>
                <w:sz w:val="20"/>
              </w:rPr>
              <w:t>the intended target population)</w:t>
            </w:r>
            <w:r w:rsidRPr="00717189">
              <w:rPr>
                <w:sz w:val="20"/>
              </w:rPr>
              <w:t>.</w:t>
            </w:r>
          </w:p>
        </w:tc>
      </w:tr>
      <w:tr w:rsidR="00F6451D" w:rsidRPr="00717189" w14:paraId="142839E6" w14:textId="77777777" w:rsidTr="00F9490F">
        <w:tc>
          <w:tcPr>
            <w:tcW w:w="1283" w:type="dxa"/>
          </w:tcPr>
          <w:p w14:paraId="70DF0BCF" w14:textId="77777777" w:rsidR="00F6451D" w:rsidRPr="00717189" w:rsidRDefault="00F6451D" w:rsidP="00B90C44">
            <w:pPr>
              <w:rPr>
                <w:rFonts w:eastAsia="Calibri"/>
                <w:b/>
                <w:snapToGrid w:val="0"/>
                <w:sz w:val="20"/>
              </w:rPr>
            </w:pPr>
            <w:r w:rsidRPr="00717189">
              <w:rPr>
                <w:rFonts w:eastAsia="Calibri"/>
                <w:b/>
                <w:snapToGrid w:val="0"/>
                <w:sz w:val="20"/>
              </w:rPr>
              <w:t>OS (for RCT)</w:t>
            </w:r>
          </w:p>
          <w:p w14:paraId="37D4F3D8" w14:textId="77777777" w:rsidR="00F6451D" w:rsidRPr="00717189" w:rsidRDefault="00F6451D" w:rsidP="00B90C44">
            <w:pPr>
              <w:rPr>
                <w:rFonts w:cs="Arial"/>
                <w:sz w:val="20"/>
                <w:vertAlign w:val="superscript"/>
              </w:rPr>
            </w:pPr>
            <w:r w:rsidRPr="00717189">
              <w:rPr>
                <w:sz w:val="20"/>
              </w:rPr>
              <w:t>Median follow-up 6.5 years</w:t>
            </w:r>
          </w:p>
        </w:tc>
        <w:tc>
          <w:tcPr>
            <w:tcW w:w="1321" w:type="dxa"/>
          </w:tcPr>
          <w:p w14:paraId="7F9B71D1" w14:textId="77777777" w:rsidR="00F6451D" w:rsidRPr="00717189" w:rsidRDefault="00F6451D" w:rsidP="00B90C44">
            <w:pPr>
              <w:rPr>
                <w:sz w:val="20"/>
              </w:rPr>
            </w:pPr>
            <w:r w:rsidRPr="00717189">
              <w:rPr>
                <w:sz w:val="20"/>
              </w:rPr>
              <w:t>1 RCT</w:t>
            </w:r>
          </w:p>
          <w:p w14:paraId="096A62A7" w14:textId="77777777" w:rsidR="00F6451D" w:rsidRPr="00717189" w:rsidRDefault="00F6451D" w:rsidP="00B90C44">
            <w:pPr>
              <w:rPr>
                <w:rFonts w:cs="Arial"/>
                <w:sz w:val="20"/>
                <w:vertAlign w:val="superscript"/>
              </w:rPr>
            </w:pPr>
            <w:r w:rsidRPr="00717189">
              <w:rPr>
                <w:sz w:val="20"/>
              </w:rPr>
              <w:t>N=</w:t>
            </w:r>
            <w:r w:rsidRPr="00717189">
              <w:rPr>
                <w:rFonts w:eastAsia="Calibri"/>
                <w:snapToGrid w:val="0"/>
                <w:sz w:val="20"/>
              </w:rPr>
              <w:t>398</w:t>
            </w:r>
          </w:p>
        </w:tc>
        <w:tc>
          <w:tcPr>
            <w:tcW w:w="1254" w:type="dxa"/>
          </w:tcPr>
          <w:p w14:paraId="515760BB"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LOW</w:t>
            </w:r>
          </w:p>
        </w:tc>
        <w:tc>
          <w:tcPr>
            <w:tcW w:w="1807" w:type="dxa"/>
          </w:tcPr>
          <w:p w14:paraId="2026CB64" w14:textId="77777777" w:rsidR="00F6451D" w:rsidRPr="00717189" w:rsidRDefault="00F6451D" w:rsidP="00B90C44">
            <w:pPr>
              <w:rPr>
                <w:rFonts w:cs="Arial"/>
                <w:sz w:val="20"/>
                <w:vertAlign w:val="superscript"/>
              </w:rPr>
            </w:pPr>
            <w:r w:rsidRPr="00717189">
              <w:rPr>
                <w:sz w:val="20"/>
              </w:rPr>
              <w:t>HR = 0.88 (0.54-1.45; p=0.62)</w:t>
            </w:r>
          </w:p>
        </w:tc>
        <w:tc>
          <w:tcPr>
            <w:tcW w:w="3402" w:type="dxa"/>
          </w:tcPr>
          <w:p w14:paraId="0B556C8F" w14:textId="77777777" w:rsidR="00F6451D" w:rsidRPr="00717189" w:rsidRDefault="00F6451D" w:rsidP="00B90C44">
            <w:pPr>
              <w:rPr>
                <w:sz w:val="20"/>
              </w:rPr>
            </w:pPr>
            <w:r w:rsidRPr="00717189">
              <w:rPr>
                <w:sz w:val="20"/>
              </w:rPr>
              <w:t>Downgraded for serious imprecision due to wide confidence intervals and as the trial was small and was not powered to measure the outcome.</w:t>
            </w:r>
          </w:p>
          <w:p w14:paraId="67326A63" w14:textId="77777777" w:rsidR="00F6451D" w:rsidRPr="00717189" w:rsidRDefault="00F6451D" w:rsidP="00B90C44">
            <w:pPr>
              <w:rPr>
                <w:rFonts w:cs="Arial"/>
                <w:sz w:val="20"/>
                <w:vertAlign w:val="superscript"/>
              </w:rPr>
            </w:pPr>
            <w:r w:rsidRPr="00717189">
              <w:rPr>
                <w:sz w:val="20"/>
              </w:rPr>
              <w:t>Downgraded for indirectness as around half the population comprises low intermediate risk patients.</w:t>
            </w:r>
          </w:p>
        </w:tc>
      </w:tr>
      <w:tr w:rsidR="00F6451D" w:rsidRPr="00717189" w14:paraId="43AA8DF7" w14:textId="77777777" w:rsidTr="00F9490F">
        <w:tc>
          <w:tcPr>
            <w:tcW w:w="1283" w:type="dxa"/>
          </w:tcPr>
          <w:p w14:paraId="6641EF8A" w14:textId="77777777" w:rsidR="00F6451D" w:rsidRPr="00717189" w:rsidRDefault="00F6451D" w:rsidP="00B90C44">
            <w:pPr>
              <w:rPr>
                <w:rFonts w:eastAsia="Calibri"/>
                <w:b/>
                <w:snapToGrid w:val="0"/>
                <w:sz w:val="20"/>
              </w:rPr>
            </w:pPr>
            <w:r w:rsidRPr="00717189">
              <w:rPr>
                <w:rFonts w:eastAsia="Calibri"/>
                <w:b/>
                <w:snapToGrid w:val="0"/>
                <w:sz w:val="20"/>
              </w:rPr>
              <w:t>OS (for observational study)</w:t>
            </w:r>
          </w:p>
          <w:p w14:paraId="0A8F69D0" w14:textId="77777777" w:rsidR="00F6451D" w:rsidRPr="00717189" w:rsidRDefault="00F6451D" w:rsidP="00B90C44">
            <w:pPr>
              <w:rPr>
                <w:rFonts w:cs="Arial"/>
                <w:sz w:val="20"/>
                <w:vertAlign w:val="superscript"/>
              </w:rPr>
            </w:pPr>
            <w:r w:rsidRPr="00717189">
              <w:rPr>
                <w:rFonts w:eastAsia="Calibri"/>
                <w:snapToGrid w:val="0"/>
                <w:sz w:val="20"/>
              </w:rPr>
              <w:t>Median follow-up of 63 months</w:t>
            </w:r>
          </w:p>
        </w:tc>
        <w:tc>
          <w:tcPr>
            <w:tcW w:w="1321" w:type="dxa"/>
          </w:tcPr>
          <w:p w14:paraId="3ADAFA86" w14:textId="77777777" w:rsidR="00F6451D" w:rsidRPr="00717189" w:rsidRDefault="00F6451D" w:rsidP="00B90C44">
            <w:pPr>
              <w:rPr>
                <w:sz w:val="20"/>
              </w:rPr>
            </w:pPr>
            <w:r w:rsidRPr="00717189">
              <w:rPr>
                <w:sz w:val="20"/>
              </w:rPr>
              <w:t>1 Cohort</w:t>
            </w:r>
          </w:p>
          <w:p w14:paraId="7DC9B5BA" w14:textId="77777777" w:rsidR="00F6451D" w:rsidRPr="00717189" w:rsidRDefault="00F6451D" w:rsidP="00B90C44">
            <w:pPr>
              <w:rPr>
                <w:rFonts w:cs="Arial"/>
                <w:sz w:val="20"/>
                <w:vertAlign w:val="superscript"/>
              </w:rPr>
            </w:pPr>
            <w:r w:rsidRPr="00717189">
              <w:rPr>
                <w:sz w:val="20"/>
              </w:rPr>
              <w:t>N=25,436</w:t>
            </w:r>
          </w:p>
        </w:tc>
        <w:tc>
          <w:tcPr>
            <w:tcW w:w="1254" w:type="dxa"/>
          </w:tcPr>
          <w:p w14:paraId="3E4D929D" w14:textId="77777777" w:rsidR="00F6451D" w:rsidRPr="00717189" w:rsidRDefault="00F6451D" w:rsidP="00B90C44">
            <w:pPr>
              <w:rPr>
                <w:rFonts w:cs="Cambria Math"/>
                <w:color w:val="C00000"/>
                <w:sz w:val="20"/>
              </w:rPr>
            </w:pPr>
            <w:r w:rsidRPr="00717189">
              <w:rPr>
                <w:rFonts w:ascii="Cambria Math" w:hAnsi="Cambria Math" w:cs="Cambria Math"/>
                <w:color w:val="00B050"/>
                <w:sz w:val="20"/>
              </w:rPr>
              <w:t>⨁</w:t>
            </w:r>
            <w:r w:rsidRPr="00717189">
              <w:rPr>
                <w:rFonts w:ascii="Cambria Math" w:hAnsi="Cambria Math" w:cs="Cambria Math"/>
                <w:color w:val="C00000"/>
                <w:sz w:val="20"/>
              </w:rPr>
              <w:t>⨀⨀⨀</w:t>
            </w:r>
          </w:p>
          <w:p w14:paraId="40FE5632" w14:textId="77777777" w:rsidR="00F6451D" w:rsidRPr="00717189" w:rsidRDefault="00F6451D" w:rsidP="00B90C44">
            <w:pPr>
              <w:rPr>
                <w:rFonts w:cs="Arial"/>
                <w:sz w:val="20"/>
                <w:vertAlign w:val="superscript"/>
              </w:rPr>
            </w:pPr>
            <w:r w:rsidRPr="00717189">
              <w:rPr>
                <w:sz w:val="20"/>
              </w:rPr>
              <w:t>VERY LOW</w:t>
            </w:r>
          </w:p>
        </w:tc>
        <w:tc>
          <w:tcPr>
            <w:tcW w:w="1807" w:type="dxa"/>
          </w:tcPr>
          <w:p w14:paraId="783D88BD" w14:textId="77777777" w:rsidR="00F6451D" w:rsidRPr="00035A18" w:rsidRDefault="00F6451D" w:rsidP="00B90C44">
            <w:pPr>
              <w:rPr>
                <w:rFonts w:cs="Arial"/>
                <w:b/>
                <w:sz w:val="20"/>
                <w:vertAlign w:val="superscript"/>
              </w:rPr>
            </w:pPr>
            <w:r w:rsidRPr="00035A18">
              <w:rPr>
                <w:rFonts w:eastAsia="Calibri"/>
                <w:b/>
                <w:snapToGrid w:val="0"/>
                <w:sz w:val="20"/>
              </w:rPr>
              <w:t>HR=0.74, (0.66–0.89)</w:t>
            </w:r>
          </w:p>
        </w:tc>
        <w:tc>
          <w:tcPr>
            <w:tcW w:w="3402" w:type="dxa"/>
          </w:tcPr>
          <w:p w14:paraId="6BB3ACEC" w14:textId="77777777" w:rsidR="00F6451D" w:rsidRPr="00717189" w:rsidRDefault="00F6451D" w:rsidP="00B90C44">
            <w:pPr>
              <w:rPr>
                <w:sz w:val="20"/>
              </w:rPr>
            </w:pPr>
            <w:r w:rsidRPr="00717189">
              <w:rPr>
                <w:sz w:val="20"/>
              </w:rPr>
              <w:t>Observational studies start at low quality in grade.</w:t>
            </w:r>
          </w:p>
          <w:p w14:paraId="66FDDA16" w14:textId="77777777" w:rsidR="00F6451D" w:rsidRPr="00717189" w:rsidRDefault="00F6451D" w:rsidP="00B90C44">
            <w:pPr>
              <w:rPr>
                <w:sz w:val="20"/>
              </w:rPr>
            </w:pPr>
            <w:r w:rsidRPr="00717189">
              <w:rPr>
                <w:sz w:val="20"/>
              </w:rPr>
              <w:t xml:space="preserve">Downgraded for very serious risk of bias. </w:t>
            </w:r>
          </w:p>
          <w:p w14:paraId="33A45DAD" w14:textId="77777777" w:rsidR="00F6451D" w:rsidRPr="00717189" w:rsidRDefault="00F6451D" w:rsidP="00B90C44">
            <w:pPr>
              <w:rPr>
                <w:rFonts w:cs="Arial"/>
                <w:sz w:val="20"/>
                <w:vertAlign w:val="superscript"/>
              </w:rPr>
            </w:pPr>
            <w:r w:rsidRPr="00717189">
              <w:rPr>
                <w:sz w:val="20"/>
              </w:rPr>
              <w:t>Downgraded for serious indirectness due to lack of detailed reporting of interventions delivered.</w:t>
            </w:r>
          </w:p>
        </w:tc>
      </w:tr>
      <w:tr w:rsidR="00F6451D" w:rsidRPr="00717189" w14:paraId="4B885122" w14:textId="77777777" w:rsidTr="00F9490F">
        <w:tc>
          <w:tcPr>
            <w:tcW w:w="1283" w:type="dxa"/>
          </w:tcPr>
          <w:p w14:paraId="01150797" w14:textId="77777777" w:rsidR="00F6451D" w:rsidRPr="00717189" w:rsidRDefault="00F6451D" w:rsidP="00B90C44">
            <w:pPr>
              <w:rPr>
                <w:rFonts w:eastAsia="Calibri"/>
                <w:b/>
                <w:snapToGrid w:val="0"/>
                <w:sz w:val="20"/>
              </w:rPr>
            </w:pPr>
            <w:r w:rsidRPr="00717189">
              <w:rPr>
                <w:rFonts w:eastAsia="Calibri"/>
                <w:b/>
                <w:snapToGrid w:val="0"/>
                <w:sz w:val="20"/>
              </w:rPr>
              <w:t xml:space="preserve">MFS </w:t>
            </w:r>
          </w:p>
          <w:p w14:paraId="1ED0CA94" w14:textId="77777777" w:rsidR="00F6451D" w:rsidRPr="00717189" w:rsidRDefault="00F6451D" w:rsidP="00B90C44">
            <w:pPr>
              <w:rPr>
                <w:rFonts w:cs="Arial"/>
                <w:sz w:val="20"/>
                <w:vertAlign w:val="superscript"/>
              </w:rPr>
            </w:pPr>
            <w:r w:rsidRPr="00717189">
              <w:rPr>
                <w:sz w:val="20"/>
              </w:rPr>
              <w:t>Median follow-up 6.5 years</w:t>
            </w:r>
          </w:p>
        </w:tc>
        <w:tc>
          <w:tcPr>
            <w:tcW w:w="1321" w:type="dxa"/>
          </w:tcPr>
          <w:p w14:paraId="4AF85560" w14:textId="77777777" w:rsidR="00F6451D" w:rsidRPr="00717189" w:rsidRDefault="00F6451D" w:rsidP="00B90C44">
            <w:pPr>
              <w:rPr>
                <w:sz w:val="20"/>
              </w:rPr>
            </w:pPr>
            <w:r w:rsidRPr="00717189">
              <w:rPr>
                <w:sz w:val="20"/>
              </w:rPr>
              <w:t>1 RCT</w:t>
            </w:r>
          </w:p>
          <w:p w14:paraId="33F01F67" w14:textId="77777777" w:rsidR="00F6451D" w:rsidRPr="00717189" w:rsidRDefault="00F6451D" w:rsidP="00B90C44">
            <w:pPr>
              <w:rPr>
                <w:rFonts w:cs="Arial"/>
                <w:sz w:val="20"/>
                <w:vertAlign w:val="superscript"/>
              </w:rPr>
            </w:pPr>
            <w:r w:rsidRPr="00717189">
              <w:rPr>
                <w:sz w:val="20"/>
              </w:rPr>
              <w:t>N=398</w:t>
            </w:r>
          </w:p>
        </w:tc>
        <w:tc>
          <w:tcPr>
            <w:tcW w:w="1254" w:type="dxa"/>
          </w:tcPr>
          <w:p w14:paraId="1DF17435"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LOW</w:t>
            </w:r>
          </w:p>
        </w:tc>
        <w:tc>
          <w:tcPr>
            <w:tcW w:w="1807" w:type="dxa"/>
          </w:tcPr>
          <w:p w14:paraId="5303DB29" w14:textId="77777777" w:rsidR="00F6451D" w:rsidRPr="00717189" w:rsidRDefault="00F6451D" w:rsidP="00B90C44">
            <w:pPr>
              <w:rPr>
                <w:rFonts w:cs="Arial"/>
                <w:sz w:val="20"/>
                <w:vertAlign w:val="superscript"/>
              </w:rPr>
            </w:pPr>
            <w:r w:rsidRPr="00717189">
              <w:rPr>
                <w:sz w:val="20"/>
              </w:rPr>
              <w:t>HR = 0.99 (0.51–1.96; p=0.99)</w:t>
            </w:r>
          </w:p>
        </w:tc>
        <w:tc>
          <w:tcPr>
            <w:tcW w:w="3402" w:type="dxa"/>
          </w:tcPr>
          <w:p w14:paraId="55FB9FCA" w14:textId="77777777" w:rsidR="00F6451D" w:rsidRPr="00717189" w:rsidRDefault="00F6451D" w:rsidP="00B90C44">
            <w:pPr>
              <w:rPr>
                <w:sz w:val="20"/>
              </w:rPr>
            </w:pPr>
            <w:r w:rsidRPr="00717189">
              <w:rPr>
                <w:sz w:val="20"/>
              </w:rPr>
              <w:t>Downgraded for serious imprecision due to wide confidence intervals and as the trial was small and was not powered to measure the outcome.</w:t>
            </w:r>
          </w:p>
          <w:p w14:paraId="312DF7CD" w14:textId="77777777" w:rsidR="00F6451D" w:rsidRPr="00717189" w:rsidRDefault="00F6451D" w:rsidP="00B90C44">
            <w:pPr>
              <w:rPr>
                <w:rFonts w:cs="Arial"/>
                <w:sz w:val="20"/>
                <w:vertAlign w:val="superscript"/>
              </w:rPr>
            </w:pPr>
            <w:r w:rsidRPr="00717189">
              <w:rPr>
                <w:sz w:val="20"/>
              </w:rPr>
              <w:t>Downgraded for serious indirectness as around half the population comprises low intermediate risk patients.</w:t>
            </w:r>
          </w:p>
        </w:tc>
      </w:tr>
      <w:tr w:rsidR="00F6451D" w:rsidRPr="00717189" w14:paraId="0FD46B43" w14:textId="77777777" w:rsidTr="00F9490F">
        <w:tc>
          <w:tcPr>
            <w:tcW w:w="1283" w:type="dxa"/>
          </w:tcPr>
          <w:p w14:paraId="479D6123" w14:textId="77777777" w:rsidR="00F6451D" w:rsidRPr="00717189" w:rsidRDefault="00F6451D" w:rsidP="00B90C44">
            <w:pPr>
              <w:rPr>
                <w:rFonts w:eastAsia="Calibri"/>
                <w:snapToGrid w:val="0"/>
                <w:sz w:val="20"/>
              </w:rPr>
            </w:pPr>
            <w:r w:rsidRPr="00717189">
              <w:rPr>
                <w:rFonts w:eastAsia="Calibri"/>
                <w:b/>
                <w:snapToGrid w:val="0"/>
                <w:sz w:val="20"/>
              </w:rPr>
              <w:t>PCSS</w:t>
            </w:r>
            <w:r w:rsidRPr="00717189">
              <w:rPr>
                <w:rFonts w:eastAsia="Calibri"/>
                <w:snapToGrid w:val="0"/>
                <w:sz w:val="20"/>
              </w:rPr>
              <w:t xml:space="preserve"> </w:t>
            </w:r>
          </w:p>
          <w:p w14:paraId="7BA4691B" w14:textId="77777777" w:rsidR="00F6451D" w:rsidRPr="00717189" w:rsidRDefault="00F6451D" w:rsidP="00B90C44">
            <w:pPr>
              <w:rPr>
                <w:rFonts w:cs="Arial"/>
                <w:sz w:val="20"/>
                <w:vertAlign w:val="superscript"/>
              </w:rPr>
            </w:pPr>
            <w:r w:rsidRPr="00717189">
              <w:rPr>
                <w:sz w:val="20"/>
              </w:rPr>
              <w:t>Median follow-up 6.5 years</w:t>
            </w:r>
          </w:p>
        </w:tc>
        <w:tc>
          <w:tcPr>
            <w:tcW w:w="1321" w:type="dxa"/>
          </w:tcPr>
          <w:p w14:paraId="6D613880" w14:textId="77777777" w:rsidR="00F6451D" w:rsidRPr="00717189" w:rsidRDefault="00F6451D" w:rsidP="00B90C44">
            <w:pPr>
              <w:rPr>
                <w:sz w:val="20"/>
              </w:rPr>
            </w:pPr>
            <w:r w:rsidRPr="00717189">
              <w:rPr>
                <w:sz w:val="20"/>
              </w:rPr>
              <w:t>1 RCT</w:t>
            </w:r>
          </w:p>
          <w:p w14:paraId="45C184E7" w14:textId="77777777" w:rsidR="00F6451D" w:rsidRPr="00717189" w:rsidRDefault="00F6451D" w:rsidP="00B90C44">
            <w:pPr>
              <w:rPr>
                <w:rFonts w:cs="Arial"/>
                <w:sz w:val="20"/>
                <w:vertAlign w:val="superscript"/>
              </w:rPr>
            </w:pPr>
            <w:r w:rsidRPr="00717189">
              <w:rPr>
                <w:sz w:val="20"/>
              </w:rPr>
              <w:t>N=398</w:t>
            </w:r>
          </w:p>
        </w:tc>
        <w:tc>
          <w:tcPr>
            <w:tcW w:w="1254" w:type="dxa"/>
          </w:tcPr>
          <w:p w14:paraId="2C147C3E"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LOW</w:t>
            </w:r>
          </w:p>
        </w:tc>
        <w:tc>
          <w:tcPr>
            <w:tcW w:w="1807" w:type="dxa"/>
          </w:tcPr>
          <w:p w14:paraId="28EF26B3" w14:textId="77777777" w:rsidR="00F6451D" w:rsidRPr="00717189" w:rsidRDefault="00F6451D" w:rsidP="00B90C44">
            <w:pPr>
              <w:rPr>
                <w:rFonts w:cs="Arial"/>
                <w:sz w:val="20"/>
                <w:vertAlign w:val="superscript"/>
              </w:rPr>
            </w:pPr>
            <w:r w:rsidRPr="00717189">
              <w:rPr>
                <w:sz w:val="20"/>
              </w:rPr>
              <w:t>HR = 0.71 (0.27 – 1.88; p=0.49)</w:t>
            </w:r>
          </w:p>
        </w:tc>
        <w:tc>
          <w:tcPr>
            <w:tcW w:w="3402" w:type="dxa"/>
          </w:tcPr>
          <w:p w14:paraId="79AC6223" w14:textId="77777777" w:rsidR="00F6451D" w:rsidRPr="00717189" w:rsidRDefault="00F6451D" w:rsidP="00B90C44">
            <w:pPr>
              <w:rPr>
                <w:sz w:val="20"/>
              </w:rPr>
            </w:pPr>
            <w:r w:rsidRPr="00717189">
              <w:rPr>
                <w:sz w:val="20"/>
              </w:rPr>
              <w:t>Downgraded for serious imprecision due to wide confidence intervals and as the trial was small and was not powered to measure the outcome.</w:t>
            </w:r>
          </w:p>
          <w:p w14:paraId="653DD2FF" w14:textId="77777777" w:rsidR="00F6451D" w:rsidRPr="00717189" w:rsidRDefault="00F6451D" w:rsidP="00B90C44">
            <w:pPr>
              <w:rPr>
                <w:rFonts w:cs="Arial"/>
                <w:sz w:val="20"/>
                <w:vertAlign w:val="superscript"/>
              </w:rPr>
            </w:pPr>
            <w:r w:rsidRPr="00717189">
              <w:rPr>
                <w:sz w:val="20"/>
              </w:rPr>
              <w:t>Downgraded for serious indirectness as around half the population comprises low intermediate risk patients.</w:t>
            </w:r>
          </w:p>
        </w:tc>
      </w:tr>
      <w:tr w:rsidR="00F6451D" w:rsidRPr="00717189" w14:paraId="4797DCBD" w14:textId="77777777" w:rsidTr="00F9490F">
        <w:tc>
          <w:tcPr>
            <w:tcW w:w="1283" w:type="dxa"/>
          </w:tcPr>
          <w:p w14:paraId="6323AF05" w14:textId="77777777" w:rsidR="00F6451D" w:rsidRPr="00717189" w:rsidRDefault="00F6451D" w:rsidP="00B90C44">
            <w:pPr>
              <w:rPr>
                <w:rFonts w:eastAsia="Calibri"/>
                <w:b/>
                <w:snapToGrid w:val="0"/>
                <w:sz w:val="20"/>
              </w:rPr>
            </w:pPr>
            <w:r w:rsidRPr="00717189">
              <w:rPr>
                <w:rFonts w:eastAsia="Calibri"/>
                <w:b/>
                <w:snapToGrid w:val="0"/>
                <w:sz w:val="20"/>
              </w:rPr>
              <w:t>Adverse effects</w:t>
            </w:r>
          </w:p>
          <w:p w14:paraId="6AFE502B" w14:textId="77777777" w:rsidR="00F6451D" w:rsidRPr="00717189" w:rsidRDefault="00F6451D" w:rsidP="00B90C44">
            <w:pPr>
              <w:rPr>
                <w:rFonts w:eastAsia="Calibri"/>
                <w:snapToGrid w:val="0"/>
                <w:sz w:val="20"/>
              </w:rPr>
            </w:pPr>
            <w:r w:rsidRPr="00717189">
              <w:rPr>
                <w:sz w:val="20"/>
              </w:rPr>
              <w:t>Median follow-up 6.5 years</w:t>
            </w:r>
          </w:p>
        </w:tc>
        <w:tc>
          <w:tcPr>
            <w:tcW w:w="1321" w:type="dxa"/>
          </w:tcPr>
          <w:p w14:paraId="39567D67" w14:textId="77777777" w:rsidR="00F6451D" w:rsidRPr="00717189" w:rsidRDefault="00F6451D" w:rsidP="00B90C44">
            <w:pPr>
              <w:rPr>
                <w:sz w:val="20"/>
              </w:rPr>
            </w:pPr>
            <w:r w:rsidRPr="00717189">
              <w:rPr>
                <w:sz w:val="20"/>
              </w:rPr>
              <w:t>1 RCT</w:t>
            </w:r>
          </w:p>
          <w:p w14:paraId="4615B4F4" w14:textId="77777777" w:rsidR="00F6451D" w:rsidRPr="00717189" w:rsidRDefault="00F6451D" w:rsidP="00B90C44">
            <w:pPr>
              <w:rPr>
                <w:rFonts w:cs="Arial"/>
                <w:sz w:val="20"/>
                <w:vertAlign w:val="superscript"/>
              </w:rPr>
            </w:pPr>
            <w:r w:rsidRPr="00717189">
              <w:rPr>
                <w:sz w:val="20"/>
              </w:rPr>
              <w:t>N=383</w:t>
            </w:r>
          </w:p>
        </w:tc>
        <w:tc>
          <w:tcPr>
            <w:tcW w:w="1254" w:type="dxa"/>
          </w:tcPr>
          <w:p w14:paraId="49CBDAFE"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LOW</w:t>
            </w:r>
          </w:p>
        </w:tc>
        <w:tc>
          <w:tcPr>
            <w:tcW w:w="1807" w:type="dxa"/>
          </w:tcPr>
          <w:p w14:paraId="2C9D20C2" w14:textId="77777777" w:rsidR="00F6451D" w:rsidRPr="00717189" w:rsidRDefault="00F6451D" w:rsidP="00B90C44">
            <w:pPr>
              <w:rPr>
                <w:rFonts w:cs="Arial"/>
                <w:sz w:val="20"/>
                <w:vertAlign w:val="superscript"/>
              </w:rPr>
            </w:pPr>
            <w:r w:rsidRPr="00717189">
              <w:rPr>
                <w:sz w:val="20"/>
              </w:rPr>
              <w:t>LDR-BT boost arm had a higher number of adverse effects (GI and GU morbidity and erectile dysfunction) compared to DE-EBRT boost arm.</w:t>
            </w:r>
          </w:p>
        </w:tc>
        <w:tc>
          <w:tcPr>
            <w:tcW w:w="3402" w:type="dxa"/>
          </w:tcPr>
          <w:p w14:paraId="22FE8E31" w14:textId="77777777" w:rsidR="00F6451D" w:rsidRPr="00717189" w:rsidRDefault="00F6451D" w:rsidP="00B90C44">
            <w:pPr>
              <w:rPr>
                <w:sz w:val="20"/>
              </w:rPr>
            </w:pPr>
            <w:r w:rsidRPr="00717189">
              <w:rPr>
                <w:sz w:val="20"/>
              </w:rPr>
              <w:t xml:space="preserve">Downgraded for unclear risk of reporting bias (because adverse data were not reported in the format as specified). Downgraded for serious imprecision as the trial was small and was not powered to measure the outcome. </w:t>
            </w:r>
          </w:p>
          <w:p w14:paraId="1AA1ADDE" w14:textId="77777777" w:rsidR="00F6451D" w:rsidRPr="00717189" w:rsidRDefault="00F6451D" w:rsidP="00B90C44">
            <w:pPr>
              <w:rPr>
                <w:rFonts w:cs="Arial"/>
                <w:sz w:val="20"/>
                <w:vertAlign w:val="superscript"/>
              </w:rPr>
            </w:pPr>
            <w:r w:rsidRPr="00717189">
              <w:rPr>
                <w:sz w:val="20"/>
              </w:rPr>
              <w:t>Although around half the population comprises low intermediate risk patients, treatment-related adverse events would be experienced across all risk groups and therefore indirectness was not considered to be a serious concern (therefore evidence was not downgraded for this outcome)</w:t>
            </w:r>
          </w:p>
        </w:tc>
      </w:tr>
      <w:tr w:rsidR="00F6451D" w:rsidRPr="00717189" w14:paraId="1C8054EA" w14:textId="77777777" w:rsidTr="00F9490F">
        <w:tc>
          <w:tcPr>
            <w:tcW w:w="1283" w:type="dxa"/>
          </w:tcPr>
          <w:p w14:paraId="27FC1641" w14:textId="77777777" w:rsidR="00F6451D" w:rsidRPr="00717189" w:rsidRDefault="00F6451D" w:rsidP="00B90C44">
            <w:pPr>
              <w:rPr>
                <w:rFonts w:eastAsia="Calibri"/>
                <w:b/>
                <w:snapToGrid w:val="0"/>
                <w:sz w:val="20"/>
              </w:rPr>
            </w:pPr>
            <w:r w:rsidRPr="00717189">
              <w:rPr>
                <w:rFonts w:eastAsia="Calibri"/>
                <w:b/>
                <w:snapToGrid w:val="0"/>
                <w:sz w:val="20"/>
              </w:rPr>
              <w:t>HRQoL</w:t>
            </w:r>
          </w:p>
          <w:p w14:paraId="0CEE7C0E" w14:textId="77777777" w:rsidR="00F6451D" w:rsidRPr="00717189" w:rsidRDefault="00F6451D" w:rsidP="00B90C44">
            <w:pPr>
              <w:rPr>
                <w:rFonts w:eastAsia="Calibri"/>
                <w:b/>
                <w:snapToGrid w:val="0"/>
                <w:sz w:val="20"/>
              </w:rPr>
            </w:pPr>
            <w:r w:rsidRPr="00717189">
              <w:rPr>
                <w:sz w:val="20"/>
              </w:rPr>
              <w:t>Median follow-up was 6 years</w:t>
            </w:r>
          </w:p>
        </w:tc>
        <w:tc>
          <w:tcPr>
            <w:tcW w:w="1321" w:type="dxa"/>
          </w:tcPr>
          <w:p w14:paraId="3419E0A8" w14:textId="77777777" w:rsidR="00F6451D" w:rsidRPr="00717189" w:rsidRDefault="00F6451D" w:rsidP="00B90C44">
            <w:pPr>
              <w:rPr>
                <w:sz w:val="20"/>
              </w:rPr>
            </w:pPr>
            <w:r w:rsidRPr="00717189">
              <w:rPr>
                <w:sz w:val="20"/>
              </w:rPr>
              <w:t>1 RCT</w:t>
            </w:r>
          </w:p>
          <w:p w14:paraId="5FCC5004" w14:textId="77777777" w:rsidR="00F6451D" w:rsidRPr="00717189" w:rsidRDefault="00F6451D" w:rsidP="00B90C44">
            <w:pPr>
              <w:rPr>
                <w:rFonts w:cs="Arial"/>
                <w:sz w:val="20"/>
                <w:vertAlign w:val="superscript"/>
              </w:rPr>
            </w:pPr>
            <w:r w:rsidRPr="00717189">
              <w:rPr>
                <w:sz w:val="20"/>
              </w:rPr>
              <w:t>N=357</w:t>
            </w:r>
          </w:p>
        </w:tc>
        <w:tc>
          <w:tcPr>
            <w:tcW w:w="1254" w:type="dxa"/>
          </w:tcPr>
          <w:p w14:paraId="3C269221" w14:textId="77777777" w:rsidR="00F6451D" w:rsidRPr="00717189" w:rsidRDefault="00F6451D" w:rsidP="00B90C44">
            <w:pPr>
              <w:rPr>
                <w:rFonts w:cs="Arial"/>
                <w:sz w:val="20"/>
                <w:vertAlign w:val="superscript"/>
              </w:rPr>
            </w:pPr>
            <w:r w:rsidRPr="00717189">
              <w:rPr>
                <w:rFonts w:ascii="Cambria Math" w:hAnsi="Cambria Math" w:cs="Cambria Math"/>
                <w:color w:val="00B050"/>
                <w:sz w:val="20"/>
              </w:rPr>
              <w:t>⨁⨁</w:t>
            </w:r>
            <w:r w:rsidRPr="00717189">
              <w:rPr>
                <w:rFonts w:ascii="Cambria Math" w:hAnsi="Cambria Math" w:cs="Cambria Math"/>
                <w:color w:val="C00000"/>
                <w:sz w:val="20"/>
              </w:rPr>
              <w:t>⨀⨀</w:t>
            </w:r>
            <w:r w:rsidRPr="00717189">
              <w:rPr>
                <w:rFonts w:cs="Cambria Math"/>
                <w:color w:val="C00000"/>
                <w:sz w:val="20"/>
              </w:rPr>
              <w:t xml:space="preserve"> </w:t>
            </w:r>
            <w:r w:rsidRPr="00717189">
              <w:rPr>
                <w:sz w:val="20"/>
              </w:rPr>
              <w:t>LOW</w:t>
            </w:r>
          </w:p>
        </w:tc>
        <w:tc>
          <w:tcPr>
            <w:tcW w:w="1807" w:type="dxa"/>
          </w:tcPr>
          <w:p w14:paraId="2EC0CC50" w14:textId="77777777" w:rsidR="00F6451D" w:rsidRPr="00717189" w:rsidRDefault="00F6451D" w:rsidP="00B90C44">
            <w:pPr>
              <w:rPr>
                <w:rFonts w:cs="Arial"/>
                <w:sz w:val="20"/>
                <w:vertAlign w:val="superscript"/>
              </w:rPr>
            </w:pPr>
            <w:r w:rsidRPr="00717189">
              <w:rPr>
                <w:sz w:val="20"/>
              </w:rPr>
              <w:t xml:space="preserve">Significantly larger drop in mean HRQoL scores (compared with baseline) in the LDR-BT boost arm compared to DE-EBRT boost arm for </w:t>
            </w:r>
            <w:r w:rsidRPr="00717189">
              <w:rPr>
                <w:sz w:val="20"/>
              </w:rPr>
              <w:lastRenderedPageBreak/>
              <w:t>some SF36v2 measures.</w:t>
            </w:r>
          </w:p>
        </w:tc>
        <w:tc>
          <w:tcPr>
            <w:tcW w:w="3402" w:type="dxa"/>
          </w:tcPr>
          <w:p w14:paraId="356AE81D" w14:textId="77777777" w:rsidR="00F6451D" w:rsidRPr="00717189" w:rsidRDefault="00F6451D" w:rsidP="00B90C44">
            <w:pPr>
              <w:rPr>
                <w:sz w:val="20"/>
              </w:rPr>
            </w:pPr>
            <w:r w:rsidRPr="00717189">
              <w:rPr>
                <w:sz w:val="20"/>
              </w:rPr>
              <w:lastRenderedPageBreak/>
              <w:t>Downgraded for unclear risk of detection bias (because a lack of blinding is likely to influ</w:t>
            </w:r>
            <w:r>
              <w:rPr>
                <w:sz w:val="20"/>
              </w:rPr>
              <w:t>ence patient-reported outcomes)</w:t>
            </w:r>
            <w:r w:rsidRPr="00717189">
              <w:rPr>
                <w:sz w:val="20"/>
              </w:rPr>
              <w:t xml:space="preserve">. </w:t>
            </w:r>
          </w:p>
          <w:p w14:paraId="61576C36" w14:textId="77777777" w:rsidR="00F6451D" w:rsidRPr="00717189" w:rsidRDefault="00F6451D" w:rsidP="00B90C44">
            <w:pPr>
              <w:rPr>
                <w:sz w:val="20"/>
              </w:rPr>
            </w:pPr>
            <w:r w:rsidRPr="00717189">
              <w:rPr>
                <w:sz w:val="20"/>
              </w:rPr>
              <w:t>Downgraded for serious imprecision as the trial was small and was not powered to measure the outcome.</w:t>
            </w:r>
          </w:p>
          <w:p w14:paraId="71DF3EFD" w14:textId="77777777" w:rsidR="00F6451D" w:rsidRPr="00717189" w:rsidRDefault="00F6451D" w:rsidP="00B90C44">
            <w:pPr>
              <w:rPr>
                <w:rFonts w:cs="Arial"/>
                <w:sz w:val="20"/>
                <w:vertAlign w:val="superscript"/>
              </w:rPr>
            </w:pPr>
            <w:r w:rsidRPr="00717189">
              <w:rPr>
                <w:sz w:val="20"/>
              </w:rPr>
              <w:lastRenderedPageBreak/>
              <w:t>Although the population was indirect, as around half the population comprises low intermediate risk patients, this outcome was not downgraded for indirectness, as it is unlikely to seriously affect this outcome.</w:t>
            </w:r>
          </w:p>
        </w:tc>
      </w:tr>
    </w:tbl>
    <w:p w14:paraId="02466928" w14:textId="77777777" w:rsidR="00F6451D" w:rsidRPr="00717189" w:rsidRDefault="00F6451D" w:rsidP="00F6451D">
      <w:pPr>
        <w:rPr>
          <w:rFonts w:ascii="Arial Narrow" w:hAnsi="Arial Narrow" w:cs="Arial"/>
          <w:sz w:val="18"/>
          <w:szCs w:val="18"/>
        </w:rPr>
      </w:pPr>
      <w:r w:rsidRPr="00717189">
        <w:rPr>
          <w:rFonts w:ascii="Arial Narrow" w:hAnsi="Arial Narrow" w:cs="Arial"/>
          <w:sz w:val="18"/>
          <w:szCs w:val="18"/>
          <w:vertAlign w:val="superscript"/>
        </w:rPr>
        <w:lastRenderedPageBreak/>
        <w:t xml:space="preserve">a </w:t>
      </w:r>
      <w:r w:rsidRPr="00717189">
        <w:rPr>
          <w:rFonts w:ascii="Arial Narrow" w:hAnsi="Arial Narrow" w:cs="Arial"/>
          <w:sz w:val="18"/>
          <w:szCs w:val="18"/>
        </w:rPr>
        <w:t xml:space="preserve">GRADE Working Group grades of evidence (Guyatt et al., 2013) </w:t>
      </w:r>
      <w:r w:rsidRPr="00717189">
        <w:rPr>
          <w:rFonts w:ascii="Arial Narrow" w:hAnsi="Arial Narrow" w:cs="Arial"/>
          <w:sz w:val="18"/>
          <w:szCs w:val="18"/>
        </w:rPr>
        <w:br/>
      </w:r>
      <w:r w:rsidRPr="00717189">
        <w:rPr>
          <w:rFonts w:ascii="Cambria Math" w:hAnsi="Cambria Math"/>
          <w:color w:val="00B050"/>
        </w:rPr>
        <w:t xml:space="preserve">⨁⨁⨁⨁ </w:t>
      </w:r>
      <w:r w:rsidRPr="00717189">
        <w:rPr>
          <w:rFonts w:ascii="Arial Narrow" w:hAnsi="Arial Narrow" w:cs="Arial"/>
          <w:b/>
          <w:bCs/>
          <w:sz w:val="18"/>
          <w:szCs w:val="18"/>
        </w:rPr>
        <w:t>High quality:</w:t>
      </w:r>
      <w:r w:rsidRPr="00717189">
        <w:rPr>
          <w:rFonts w:ascii="Arial Narrow" w:hAnsi="Arial Narrow" w:cs="Arial"/>
          <w:sz w:val="18"/>
          <w:szCs w:val="18"/>
        </w:rPr>
        <w:t xml:space="preserve"> We are very confident that the true effect lies close to that of the estimate of effect. </w:t>
      </w:r>
      <w:r w:rsidRPr="00717189">
        <w:rPr>
          <w:rFonts w:ascii="Arial Narrow" w:hAnsi="Arial Narrow" w:cs="Arial"/>
          <w:sz w:val="18"/>
          <w:szCs w:val="18"/>
        </w:rPr>
        <w:br/>
      </w:r>
      <w:r w:rsidRPr="00717189">
        <w:rPr>
          <w:rFonts w:ascii="Cambria Math" w:hAnsi="Cambria Math"/>
          <w:color w:val="00B050"/>
        </w:rPr>
        <w:t>⨁⨁⨁</w:t>
      </w:r>
      <w:r w:rsidRPr="00717189">
        <w:rPr>
          <w:rFonts w:ascii="Cambria Math" w:hAnsi="Cambria Math" w:cs="Cambria Math"/>
          <w:color w:val="C00000"/>
        </w:rPr>
        <w:t xml:space="preserve">⨀ </w:t>
      </w:r>
      <w:r w:rsidRPr="00717189">
        <w:rPr>
          <w:rFonts w:ascii="Arial Narrow" w:hAnsi="Arial Narrow" w:cs="Arial"/>
          <w:b/>
          <w:bCs/>
          <w:sz w:val="18"/>
          <w:szCs w:val="18"/>
        </w:rPr>
        <w:t>Moderate quality:</w:t>
      </w:r>
      <w:r w:rsidRPr="00717189">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717189">
        <w:rPr>
          <w:rFonts w:ascii="Arial Narrow" w:hAnsi="Arial Narrow" w:cs="Arial"/>
          <w:sz w:val="18"/>
          <w:szCs w:val="18"/>
        </w:rPr>
        <w:br/>
      </w:r>
      <w:r w:rsidRPr="00717189">
        <w:rPr>
          <w:rFonts w:ascii="Cambria Math" w:hAnsi="Cambria Math"/>
          <w:color w:val="00B050"/>
        </w:rPr>
        <w:t>⨁⨁</w:t>
      </w:r>
      <w:r w:rsidRPr="00717189">
        <w:rPr>
          <w:rFonts w:ascii="Cambria Math" w:hAnsi="Cambria Math" w:cs="Cambria Math"/>
          <w:color w:val="C00000"/>
        </w:rPr>
        <w:t xml:space="preserve">⨀⨀ </w:t>
      </w:r>
      <w:r w:rsidRPr="00717189">
        <w:rPr>
          <w:rFonts w:ascii="Arial Narrow" w:hAnsi="Arial Narrow" w:cs="Arial"/>
          <w:b/>
          <w:bCs/>
          <w:sz w:val="18"/>
          <w:szCs w:val="18"/>
        </w:rPr>
        <w:t>Low quality:</w:t>
      </w:r>
      <w:r w:rsidRPr="00717189">
        <w:rPr>
          <w:rFonts w:ascii="Arial Narrow" w:hAnsi="Arial Narrow" w:cs="Arial"/>
          <w:sz w:val="18"/>
          <w:szCs w:val="18"/>
        </w:rPr>
        <w:t xml:space="preserve"> Our confidence in the effect estimate is limited: The true effect may be substantially different from the estimate of the effect.</w:t>
      </w:r>
      <w:r w:rsidRPr="00717189">
        <w:rPr>
          <w:rFonts w:ascii="Arial Narrow" w:hAnsi="Arial Narrow" w:cs="Arial"/>
          <w:sz w:val="18"/>
          <w:szCs w:val="18"/>
        </w:rPr>
        <w:br/>
      </w:r>
      <w:r w:rsidRPr="00717189">
        <w:rPr>
          <w:rFonts w:ascii="Cambria Math" w:hAnsi="Cambria Math"/>
          <w:color w:val="00B050"/>
        </w:rPr>
        <w:t>⨁</w:t>
      </w:r>
      <w:r w:rsidRPr="00717189">
        <w:rPr>
          <w:rFonts w:ascii="Cambria Math" w:hAnsi="Cambria Math" w:cs="Cambria Math"/>
          <w:color w:val="C00000"/>
        </w:rPr>
        <w:t xml:space="preserve">⨀⨀⨀ </w:t>
      </w:r>
      <w:r w:rsidRPr="00717189">
        <w:rPr>
          <w:rFonts w:ascii="Arial Narrow" w:hAnsi="Arial Narrow" w:cs="Arial"/>
          <w:b/>
          <w:bCs/>
          <w:sz w:val="18"/>
          <w:szCs w:val="18"/>
        </w:rPr>
        <w:t>Very low quality:</w:t>
      </w:r>
      <w:r w:rsidRPr="00717189">
        <w:rPr>
          <w:rFonts w:ascii="Arial Narrow" w:hAnsi="Arial Narrow" w:cs="Arial"/>
          <w:sz w:val="18"/>
          <w:szCs w:val="18"/>
        </w:rPr>
        <w:t xml:space="preserve"> We have very little confidence in the effect estimate: The true effect is likely to be substantially different from the estimate of effect.</w:t>
      </w:r>
    </w:p>
    <w:p w14:paraId="623CD655" w14:textId="77777777" w:rsidR="00F6451D" w:rsidRPr="007B514F" w:rsidRDefault="00F6451D" w:rsidP="00F6451D">
      <w:pPr>
        <w:widowControl w:val="0"/>
        <w:spacing w:after="240"/>
        <w:jc w:val="both"/>
        <w:rPr>
          <w:rFonts w:ascii="Arial Narrow" w:hAnsi="Arial Narrow" w:cs="Arial"/>
          <w:sz w:val="18"/>
        </w:rPr>
      </w:pPr>
      <w:r>
        <w:rPr>
          <w:rFonts w:ascii="Arial Narrow" w:hAnsi="Arial Narrow" w:cs="Arial"/>
          <w:sz w:val="18"/>
        </w:rPr>
        <w:t xml:space="preserve">Abbreviations: </w:t>
      </w:r>
      <w:r w:rsidRPr="00D37354">
        <w:rPr>
          <w:rFonts w:ascii="Arial Narrow" w:hAnsi="Arial Narrow" w:cs="Arial"/>
          <w:sz w:val="18"/>
        </w:rPr>
        <w:t>b-PFS=biochemical progression-free survival</w:t>
      </w:r>
      <w:r>
        <w:rPr>
          <w:rFonts w:ascii="Arial Narrow" w:hAnsi="Arial Narrow" w:cs="Arial"/>
          <w:sz w:val="18"/>
        </w:rPr>
        <w:t xml:space="preserve">; EBRT=external beam radiation therapy; GS=Gleason sum; </w:t>
      </w:r>
      <w:r w:rsidRPr="00D37354">
        <w:rPr>
          <w:rFonts w:ascii="Arial Narrow" w:hAnsi="Arial Narrow" w:cs="Arial"/>
          <w:sz w:val="18"/>
        </w:rPr>
        <w:t>HR</w:t>
      </w:r>
      <w:r>
        <w:rPr>
          <w:rFonts w:ascii="Arial Narrow" w:hAnsi="Arial Narrow" w:cs="Arial"/>
          <w:sz w:val="18"/>
        </w:rPr>
        <w:t>QoL=</w:t>
      </w:r>
      <w:r w:rsidRPr="00D37354">
        <w:rPr>
          <w:rFonts w:ascii="Arial Narrow" w:hAnsi="Arial Narrow" w:cs="Arial"/>
          <w:sz w:val="18"/>
        </w:rPr>
        <w:t>health-related quality of life</w:t>
      </w:r>
      <w:r>
        <w:rPr>
          <w:rFonts w:ascii="Arial Narrow" w:hAnsi="Arial Narrow" w:cs="Arial"/>
          <w:sz w:val="18"/>
        </w:rPr>
        <w:t xml:space="preserve">; LDR-BT=low-dose rate brachytherapy; </w:t>
      </w:r>
      <w:r w:rsidRPr="00D37354">
        <w:rPr>
          <w:rFonts w:ascii="Arial Narrow" w:hAnsi="Arial Narrow" w:cs="Arial"/>
          <w:sz w:val="18"/>
        </w:rPr>
        <w:t>MFS=metastasis-free survival</w:t>
      </w:r>
      <w:r>
        <w:rPr>
          <w:rFonts w:ascii="Arial Narrow" w:hAnsi="Arial Narrow" w:cs="Arial"/>
          <w:sz w:val="18"/>
        </w:rPr>
        <w:t xml:space="preserve">; </w:t>
      </w:r>
      <w:r w:rsidRPr="00D37354">
        <w:rPr>
          <w:rFonts w:ascii="Arial Narrow" w:hAnsi="Arial Narrow" w:cs="Arial"/>
          <w:sz w:val="18"/>
        </w:rPr>
        <w:t>OS=overall survival</w:t>
      </w:r>
      <w:r>
        <w:rPr>
          <w:rFonts w:ascii="Arial Narrow" w:hAnsi="Arial Narrow" w:cs="Arial"/>
          <w:sz w:val="18"/>
        </w:rPr>
        <w:t xml:space="preserve">; </w:t>
      </w:r>
      <w:r w:rsidRPr="00D37354">
        <w:rPr>
          <w:rFonts w:ascii="Arial Narrow" w:hAnsi="Arial Narrow" w:cs="Arial"/>
          <w:sz w:val="18"/>
        </w:rPr>
        <w:t>PCSS=prostate cancer-specific survival</w:t>
      </w:r>
      <w:r>
        <w:rPr>
          <w:rFonts w:ascii="Arial Narrow" w:hAnsi="Arial Narrow" w:cs="Arial"/>
          <w:sz w:val="18"/>
        </w:rPr>
        <w:t>;</w:t>
      </w:r>
      <w:r w:rsidRPr="00D37354">
        <w:rPr>
          <w:rFonts w:ascii="Arial Narrow" w:hAnsi="Arial Narrow" w:cs="Arial"/>
          <w:sz w:val="18"/>
        </w:rPr>
        <w:t xml:space="preserve"> RCT=randomised control</w:t>
      </w:r>
      <w:r>
        <w:rPr>
          <w:rFonts w:ascii="Arial Narrow" w:hAnsi="Arial Narrow" w:cs="Arial"/>
          <w:sz w:val="18"/>
        </w:rPr>
        <w:t xml:space="preserve">led trial; </w:t>
      </w:r>
      <w:r w:rsidRPr="00B32E85">
        <w:rPr>
          <w:rFonts w:ascii="Arial Narrow" w:hAnsi="Arial Narrow" w:cs="Arial"/>
          <w:sz w:val="18"/>
        </w:rPr>
        <w:t>GI=gastrointestinal; GU=genitourinary</w:t>
      </w:r>
      <w:r>
        <w:rPr>
          <w:rFonts w:ascii="Arial Narrow" w:hAnsi="Arial Narrow" w:cs="Arial"/>
          <w:sz w:val="18"/>
        </w:rPr>
        <w:t xml:space="preserve">; </w:t>
      </w:r>
      <w:r w:rsidRPr="00B32E85">
        <w:rPr>
          <w:rFonts w:ascii="Arial Narrow" w:hAnsi="Arial Narrow" w:cs="Arial"/>
          <w:sz w:val="18"/>
        </w:rPr>
        <w:t>SF36v2</w:t>
      </w:r>
      <w:r>
        <w:rPr>
          <w:rFonts w:ascii="Arial Narrow" w:hAnsi="Arial Narrow" w:cs="Arial"/>
          <w:sz w:val="18"/>
        </w:rPr>
        <w:t>=</w:t>
      </w:r>
      <w:r w:rsidRPr="00D8538D">
        <w:t xml:space="preserve"> </w:t>
      </w:r>
      <w:r w:rsidRPr="00D8538D">
        <w:rPr>
          <w:rFonts w:ascii="Arial Narrow" w:hAnsi="Arial Narrow" w:cs="Arial"/>
          <w:sz w:val="18"/>
        </w:rPr>
        <w:t>Short Form 36 version 2</w:t>
      </w:r>
      <w:r>
        <w:rPr>
          <w:rFonts w:ascii="Arial Narrow" w:hAnsi="Arial Narrow" w:cs="Arial"/>
          <w:sz w:val="18"/>
        </w:rPr>
        <w:t xml:space="preserve">; </w:t>
      </w:r>
      <w:r w:rsidRPr="007B514F">
        <w:rPr>
          <w:rFonts w:ascii="Arial Narrow" w:hAnsi="Arial Narrow" w:cs="Arial"/>
          <w:b/>
          <w:sz w:val="18"/>
        </w:rPr>
        <w:t xml:space="preserve">Bold </w:t>
      </w:r>
      <w:r>
        <w:rPr>
          <w:rFonts w:ascii="Arial Narrow" w:hAnsi="Arial Narrow" w:cs="Arial"/>
          <w:sz w:val="18"/>
        </w:rPr>
        <w:t>= statistically significant</w:t>
      </w:r>
    </w:p>
    <w:p w14:paraId="52F75A90" w14:textId="77777777" w:rsidR="00F6451D" w:rsidRDefault="00F6451D" w:rsidP="00951F0C">
      <w:pPr>
        <w:pStyle w:val="Heading2"/>
        <w:numPr>
          <w:ilvl w:val="0"/>
          <w:numId w:val="30"/>
        </w:numPr>
        <w:spacing w:before="0"/>
        <w:ind w:hanging="720"/>
      </w:pPr>
      <w:r>
        <w:t>Vs. EBRT+HDT-BT boost</w:t>
      </w:r>
    </w:p>
    <w:p w14:paraId="7DC0A51C" w14:textId="3037A37F" w:rsidR="00F6451D" w:rsidRPr="00592104" w:rsidRDefault="00F6451D" w:rsidP="00592104">
      <w:pPr>
        <w:spacing w:after="240"/>
      </w:pPr>
      <w:r w:rsidRPr="00262B51">
        <w:t xml:space="preserve">No data were identified comparing the </w:t>
      </w:r>
      <w:r>
        <w:t>effectiveness</w:t>
      </w:r>
      <w:r w:rsidRPr="00262B51">
        <w:t xml:space="preserve"> of EBRT+LDR-BT boost to EBRT+HDR-BT boost in people with high-intermediate and high-risk prostate cancer.</w:t>
      </w:r>
    </w:p>
    <w:p w14:paraId="628B0F97" w14:textId="77777777" w:rsidR="00F37B9C" w:rsidRDefault="00F37B9C" w:rsidP="00951F0C">
      <w:pPr>
        <w:tabs>
          <w:tab w:val="left" w:pos="720"/>
          <w:tab w:val="left" w:pos="1140"/>
        </w:tabs>
        <w:spacing w:after="120"/>
        <w:rPr>
          <w:b/>
          <w:szCs w:val="24"/>
        </w:rPr>
      </w:pPr>
      <w:r w:rsidRPr="00F37B9C">
        <w:rPr>
          <w:b/>
          <w:szCs w:val="24"/>
        </w:rPr>
        <w:t>Clinical Claim</w:t>
      </w:r>
    </w:p>
    <w:p w14:paraId="0BE20DC4" w14:textId="77777777" w:rsidR="00F6451D" w:rsidRPr="00AB7D05" w:rsidRDefault="00F6451D" w:rsidP="00AB7D05">
      <w:pPr>
        <w:tabs>
          <w:tab w:val="left" w:pos="720"/>
          <w:tab w:val="left" w:pos="1140"/>
        </w:tabs>
        <w:spacing w:after="240"/>
      </w:pPr>
      <w:r w:rsidRPr="002D6E9F">
        <w:t>It is suggested that, relative to DE-EBRT, EBRT plus LDR-BT boost has infe</w:t>
      </w:r>
      <w:r w:rsidR="00AB7D05">
        <w:t xml:space="preserve">rior safety and </w:t>
      </w:r>
      <w:r w:rsidR="00AB7D05" w:rsidRPr="00AB7D05">
        <w:t>superior effectiveness for biochemical progression-free survival (b-PFS), and uncertain effectiveness for overall survival (OS), metastasis-free survival (MFS) and prostate cancer-specific survival (PCSS) in men with high-intermediate and high-risk prostate cancer.</w:t>
      </w:r>
    </w:p>
    <w:p w14:paraId="263BA0D6" w14:textId="6AD620E3" w:rsidR="00544D78" w:rsidRDefault="00F6451D" w:rsidP="00AB7D05">
      <w:pPr>
        <w:jc w:val="both"/>
      </w:pPr>
      <w:r w:rsidRPr="002D6E9F">
        <w:t xml:space="preserve">Given the paucity of evidence for the population of men with high-intermediate or high-risk prostate cancer, it is suggested that, relative to EBRT plus HDR-BT boost and RP, EBRT plus LDR-BT boost has uncertain safety. </w:t>
      </w:r>
    </w:p>
    <w:p w14:paraId="589606EF" w14:textId="3DEB3AED" w:rsidR="00544D78" w:rsidRDefault="007374A8" w:rsidP="00544D78">
      <w:pPr>
        <w:pStyle w:val="Heading2"/>
        <w:rPr>
          <w:lang w:eastAsia="en-US"/>
        </w:rPr>
      </w:pPr>
      <w:r>
        <w:rPr>
          <w:lang w:eastAsia="en-US"/>
        </w:rPr>
        <w:t>Post-ESC Addendum</w:t>
      </w:r>
    </w:p>
    <w:p w14:paraId="024E00A5" w14:textId="327B87A0" w:rsidR="00544D78" w:rsidRPr="00592104" w:rsidRDefault="00544D78" w:rsidP="00592104">
      <w:pPr>
        <w:spacing w:after="240"/>
        <w:rPr>
          <w:lang w:val="en-US"/>
        </w:rPr>
      </w:pPr>
      <w:r w:rsidRPr="00544D78">
        <w:rPr>
          <w:lang w:val="en-US"/>
        </w:rPr>
        <w:t>For clarification on the population included in the ASCENDE</w:t>
      </w:r>
      <w:r w:rsidR="00C42FCD">
        <w:rPr>
          <w:lang w:val="en-US"/>
        </w:rPr>
        <w:t>-RT</w:t>
      </w:r>
      <w:r w:rsidRPr="00544D78">
        <w:rPr>
          <w:lang w:val="en-US"/>
        </w:rPr>
        <w:t xml:space="preserve"> trial, a table </w:t>
      </w:r>
      <w:r w:rsidR="00107780">
        <w:rPr>
          <w:lang w:val="en-US"/>
        </w:rPr>
        <w:t>(Table 4</w:t>
      </w:r>
      <w:r w:rsidRPr="00544D78">
        <w:rPr>
          <w:lang w:val="en-US"/>
        </w:rPr>
        <w:t>) of the relevant baseline characteristics (iPSA, Gleason sum and clinical T stages) applicable to the population definitions of this application (high-intermediate and high risk)</w:t>
      </w:r>
      <w:r w:rsidR="00D6534C">
        <w:rPr>
          <w:lang w:val="en-US"/>
        </w:rPr>
        <w:t xml:space="preserve"> was provided</w:t>
      </w:r>
      <w:r w:rsidRPr="00544D78">
        <w:rPr>
          <w:lang w:val="en-US"/>
        </w:rPr>
        <w:t>.</w:t>
      </w:r>
    </w:p>
    <w:p w14:paraId="057B70F1" w14:textId="5C92DA3E" w:rsidR="00544D78" w:rsidRPr="00544D78" w:rsidRDefault="00107780" w:rsidP="00544D78">
      <w:pPr>
        <w:textAlignment w:val="baseline"/>
        <w:rPr>
          <w:b/>
          <w:bCs/>
          <w:szCs w:val="24"/>
          <w:lang w:val="en-US"/>
        </w:rPr>
      </w:pPr>
      <w:r>
        <w:rPr>
          <w:rFonts w:ascii="Arial Narrow" w:hAnsi="Arial Narrow" w:cs="Calibri"/>
          <w:b/>
          <w:bCs/>
          <w:sz w:val="20"/>
        </w:rPr>
        <w:t>Table 4</w:t>
      </w:r>
      <w:r w:rsidR="00544D78" w:rsidRPr="00BB1700">
        <w:rPr>
          <w:rFonts w:ascii="Arial Narrow" w:hAnsi="Arial Narrow" w:cs="Calibri"/>
          <w:b/>
          <w:bCs/>
          <w:sz w:val="20"/>
        </w:rPr>
        <w:t xml:space="preserve"> </w:t>
      </w:r>
      <w:r w:rsidR="00E75BE6" w:rsidRPr="00BB1700">
        <w:rPr>
          <w:rFonts w:ascii="Arial Narrow" w:hAnsi="Arial Narrow" w:cs="Calibri"/>
          <w:b/>
          <w:bCs/>
          <w:sz w:val="20"/>
        </w:rPr>
        <w:tab/>
      </w:r>
      <w:r w:rsidR="00544D78" w:rsidRPr="00BB1700">
        <w:rPr>
          <w:rFonts w:ascii="Arial Narrow" w:hAnsi="Arial Narrow" w:cs="Calibri"/>
          <w:b/>
          <w:bCs/>
          <w:sz w:val="20"/>
        </w:rPr>
        <w:t>Baseline</w:t>
      </w:r>
      <w:r w:rsidR="00544D78" w:rsidRPr="00544D78">
        <w:rPr>
          <w:rFonts w:ascii="Arial Narrow" w:hAnsi="Arial Narrow" w:cs="Calibri"/>
          <w:b/>
          <w:bCs/>
          <w:sz w:val="20"/>
          <w:szCs w:val="22"/>
        </w:rPr>
        <w:t xml:space="preserve"> characteristics in ASCENDE-RT</w:t>
      </w:r>
      <w:r w:rsidR="00544D78" w:rsidRPr="00544D78">
        <w:rPr>
          <w:rFonts w:ascii="Calibri" w:hAnsi="Calibri" w:cs="Calibri"/>
          <w:b/>
          <w:bCs/>
          <w:sz w:val="20"/>
          <w:szCs w:val="22"/>
          <w:lang w:val="en-US"/>
        </w:rPr>
        <w:t> </w:t>
      </w:r>
    </w:p>
    <w:tbl>
      <w:tblPr>
        <w:tblStyle w:val="TableGrid2"/>
        <w:tblW w:w="0" w:type="auto"/>
        <w:tblLook w:val="04A0" w:firstRow="1" w:lastRow="0" w:firstColumn="1" w:lastColumn="0" w:noHBand="0" w:noVBand="1"/>
        <w:tblCaption w:val="Baseline characteristics in ASCENDE-RT"/>
      </w:tblPr>
      <w:tblGrid>
        <w:gridCol w:w="4500"/>
        <w:gridCol w:w="4500"/>
      </w:tblGrid>
      <w:tr w:rsidR="00544D78" w:rsidRPr="00544D78" w14:paraId="30B7CC95" w14:textId="77777777" w:rsidTr="00F9490F">
        <w:trPr>
          <w:cnfStyle w:val="100000000000" w:firstRow="1" w:lastRow="0" w:firstColumn="0" w:lastColumn="0" w:oddVBand="0" w:evenVBand="0" w:oddHBand="0" w:evenHBand="0" w:firstRowFirstColumn="0" w:firstRowLastColumn="0" w:lastRowFirstColumn="0" w:lastRowLastColumn="0"/>
          <w:tblHeader/>
        </w:trPr>
        <w:tc>
          <w:tcPr>
            <w:tcW w:w="4500" w:type="dxa"/>
            <w:hideMark/>
          </w:tcPr>
          <w:p w14:paraId="6BA88D77" w14:textId="77777777" w:rsidR="00544D78" w:rsidRPr="00544D78" w:rsidRDefault="00544D78" w:rsidP="00544D78">
            <w:pPr>
              <w:textAlignment w:val="baseline"/>
              <w:rPr>
                <w:szCs w:val="24"/>
              </w:rPr>
            </w:pPr>
            <w:r w:rsidRPr="00544D78">
              <w:rPr>
                <w:rFonts w:ascii="Arial Narrow" w:hAnsi="Arial Narrow"/>
                <w:b/>
                <w:bCs/>
                <w:sz w:val="20"/>
              </w:rPr>
              <w:t>Baseline characteristic</w:t>
            </w:r>
            <w:r w:rsidRPr="00544D78">
              <w:rPr>
                <w:rFonts w:ascii="Arial Narrow" w:hAnsi="Arial Narrow"/>
                <w:sz w:val="20"/>
              </w:rPr>
              <w:t> </w:t>
            </w:r>
          </w:p>
        </w:tc>
        <w:tc>
          <w:tcPr>
            <w:tcW w:w="4500" w:type="dxa"/>
            <w:hideMark/>
          </w:tcPr>
          <w:p w14:paraId="3C47FCBE" w14:textId="77777777" w:rsidR="00544D78" w:rsidRPr="00544D78" w:rsidRDefault="00544D78" w:rsidP="00544D78">
            <w:pPr>
              <w:jc w:val="center"/>
              <w:textAlignment w:val="baseline"/>
              <w:rPr>
                <w:szCs w:val="24"/>
              </w:rPr>
            </w:pPr>
            <w:r w:rsidRPr="00544D78">
              <w:rPr>
                <w:rFonts w:ascii="Arial Narrow" w:hAnsi="Arial Narrow"/>
                <w:b/>
                <w:bCs/>
                <w:sz w:val="20"/>
              </w:rPr>
              <w:t>Baseline proportion</w:t>
            </w:r>
            <w:r w:rsidRPr="00544D78">
              <w:rPr>
                <w:rFonts w:ascii="Arial Narrow" w:hAnsi="Arial Narrow"/>
                <w:sz w:val="20"/>
              </w:rPr>
              <w:t> </w:t>
            </w:r>
          </w:p>
        </w:tc>
      </w:tr>
      <w:tr w:rsidR="00544D78" w:rsidRPr="00544D78" w14:paraId="574BCC71" w14:textId="77777777" w:rsidTr="00F9490F">
        <w:tc>
          <w:tcPr>
            <w:tcW w:w="4500" w:type="dxa"/>
            <w:hideMark/>
          </w:tcPr>
          <w:p w14:paraId="16303584" w14:textId="77777777" w:rsidR="00544D78" w:rsidRPr="00544D78" w:rsidRDefault="00544D78" w:rsidP="00544D78">
            <w:pPr>
              <w:textAlignment w:val="baseline"/>
              <w:rPr>
                <w:szCs w:val="24"/>
              </w:rPr>
            </w:pPr>
            <w:r w:rsidRPr="00544D78">
              <w:rPr>
                <w:b/>
                <w:bCs/>
                <w:sz w:val="20"/>
              </w:rPr>
              <w:t>iPSA (ng/mL)</w:t>
            </w:r>
            <w:r w:rsidRPr="00544D78">
              <w:rPr>
                <w:sz w:val="20"/>
              </w:rPr>
              <w:t> </w:t>
            </w:r>
          </w:p>
        </w:tc>
        <w:tc>
          <w:tcPr>
            <w:tcW w:w="4500" w:type="dxa"/>
            <w:hideMark/>
          </w:tcPr>
          <w:p w14:paraId="5281C412" w14:textId="77777777" w:rsidR="00544D78" w:rsidRPr="00544D78" w:rsidRDefault="00544D78" w:rsidP="00544D78">
            <w:pPr>
              <w:textAlignment w:val="baseline"/>
              <w:rPr>
                <w:szCs w:val="24"/>
              </w:rPr>
            </w:pPr>
            <w:r w:rsidRPr="00544D78">
              <w:rPr>
                <w:sz w:val="20"/>
              </w:rPr>
              <w:t> </w:t>
            </w:r>
          </w:p>
        </w:tc>
      </w:tr>
      <w:tr w:rsidR="00544D78" w:rsidRPr="00544D78" w14:paraId="67E53623" w14:textId="77777777" w:rsidTr="00F9490F">
        <w:tc>
          <w:tcPr>
            <w:tcW w:w="4500" w:type="dxa"/>
            <w:hideMark/>
          </w:tcPr>
          <w:p w14:paraId="11EEE617" w14:textId="77777777" w:rsidR="00544D78" w:rsidRPr="00544D78" w:rsidRDefault="00544D78" w:rsidP="00544D78">
            <w:pPr>
              <w:textAlignment w:val="baseline"/>
              <w:rPr>
                <w:szCs w:val="24"/>
              </w:rPr>
            </w:pPr>
            <w:r w:rsidRPr="00544D78">
              <w:rPr>
                <w:sz w:val="20"/>
              </w:rPr>
              <w:t>10 - 20 </w:t>
            </w:r>
          </w:p>
        </w:tc>
        <w:tc>
          <w:tcPr>
            <w:tcW w:w="4500" w:type="dxa"/>
            <w:hideMark/>
          </w:tcPr>
          <w:p w14:paraId="14FDCE6F" w14:textId="77777777" w:rsidR="00544D78" w:rsidRPr="00544D78" w:rsidRDefault="00544D78" w:rsidP="00544D78">
            <w:pPr>
              <w:jc w:val="center"/>
              <w:textAlignment w:val="baseline"/>
              <w:rPr>
                <w:szCs w:val="24"/>
              </w:rPr>
            </w:pPr>
            <w:r w:rsidRPr="00544D78">
              <w:rPr>
                <w:sz w:val="20"/>
              </w:rPr>
              <w:t>33.2% </w:t>
            </w:r>
          </w:p>
        </w:tc>
      </w:tr>
      <w:tr w:rsidR="00544D78" w:rsidRPr="00544D78" w14:paraId="64F97A95" w14:textId="77777777" w:rsidTr="00F9490F">
        <w:tc>
          <w:tcPr>
            <w:tcW w:w="4500" w:type="dxa"/>
            <w:hideMark/>
          </w:tcPr>
          <w:p w14:paraId="5F5AD74C" w14:textId="77777777" w:rsidR="00544D78" w:rsidRPr="00544D78" w:rsidRDefault="00544D78" w:rsidP="00544D78">
            <w:pPr>
              <w:textAlignment w:val="baseline"/>
              <w:rPr>
                <w:szCs w:val="24"/>
              </w:rPr>
            </w:pPr>
            <w:r w:rsidRPr="00544D78">
              <w:rPr>
                <w:sz w:val="20"/>
              </w:rPr>
              <w:t>&gt;20 </w:t>
            </w:r>
          </w:p>
        </w:tc>
        <w:tc>
          <w:tcPr>
            <w:tcW w:w="4500" w:type="dxa"/>
            <w:hideMark/>
          </w:tcPr>
          <w:p w14:paraId="3B025EBE" w14:textId="77777777" w:rsidR="00544D78" w:rsidRPr="00544D78" w:rsidRDefault="00544D78" w:rsidP="00544D78">
            <w:pPr>
              <w:jc w:val="center"/>
              <w:textAlignment w:val="baseline"/>
              <w:rPr>
                <w:szCs w:val="24"/>
              </w:rPr>
            </w:pPr>
            <w:r w:rsidRPr="00544D78">
              <w:rPr>
                <w:sz w:val="20"/>
              </w:rPr>
              <w:t>18.2% </w:t>
            </w:r>
          </w:p>
        </w:tc>
      </w:tr>
      <w:tr w:rsidR="00544D78" w:rsidRPr="00544D78" w14:paraId="7B7B7494" w14:textId="77777777" w:rsidTr="00F9490F">
        <w:tc>
          <w:tcPr>
            <w:tcW w:w="4500" w:type="dxa"/>
            <w:hideMark/>
          </w:tcPr>
          <w:p w14:paraId="51E0A4FB" w14:textId="77777777" w:rsidR="00544D78" w:rsidRPr="00544D78" w:rsidRDefault="00544D78" w:rsidP="00544D78">
            <w:pPr>
              <w:textAlignment w:val="baseline"/>
              <w:rPr>
                <w:szCs w:val="24"/>
              </w:rPr>
            </w:pPr>
            <w:r w:rsidRPr="00544D78">
              <w:rPr>
                <w:b/>
                <w:bCs/>
                <w:sz w:val="20"/>
              </w:rPr>
              <w:t>Gleason sum </w:t>
            </w:r>
            <w:r w:rsidRPr="00544D78">
              <w:rPr>
                <w:sz w:val="20"/>
              </w:rPr>
              <w:t> </w:t>
            </w:r>
          </w:p>
        </w:tc>
        <w:tc>
          <w:tcPr>
            <w:tcW w:w="4500" w:type="dxa"/>
            <w:hideMark/>
          </w:tcPr>
          <w:p w14:paraId="32261EE1" w14:textId="77777777" w:rsidR="00544D78" w:rsidRPr="00544D78" w:rsidRDefault="00544D78" w:rsidP="00544D78">
            <w:pPr>
              <w:textAlignment w:val="baseline"/>
              <w:rPr>
                <w:szCs w:val="24"/>
              </w:rPr>
            </w:pPr>
            <w:r w:rsidRPr="00544D78">
              <w:rPr>
                <w:sz w:val="20"/>
              </w:rPr>
              <w:t> </w:t>
            </w:r>
          </w:p>
        </w:tc>
      </w:tr>
      <w:tr w:rsidR="00544D78" w:rsidRPr="00544D78" w14:paraId="3017691F" w14:textId="77777777" w:rsidTr="00F9490F">
        <w:tc>
          <w:tcPr>
            <w:tcW w:w="4500" w:type="dxa"/>
            <w:hideMark/>
          </w:tcPr>
          <w:p w14:paraId="4A343F9C" w14:textId="77777777" w:rsidR="00544D78" w:rsidRPr="00544D78" w:rsidRDefault="00544D78" w:rsidP="00544D78">
            <w:pPr>
              <w:textAlignment w:val="baseline"/>
              <w:rPr>
                <w:szCs w:val="24"/>
              </w:rPr>
            </w:pPr>
            <w:r w:rsidRPr="00544D78">
              <w:rPr>
                <w:sz w:val="20"/>
              </w:rPr>
              <w:t>7 </w:t>
            </w:r>
          </w:p>
        </w:tc>
        <w:tc>
          <w:tcPr>
            <w:tcW w:w="4500" w:type="dxa"/>
            <w:hideMark/>
          </w:tcPr>
          <w:p w14:paraId="51792899" w14:textId="77777777" w:rsidR="00544D78" w:rsidRPr="00544D78" w:rsidRDefault="00544D78" w:rsidP="00544D78">
            <w:pPr>
              <w:jc w:val="center"/>
              <w:textAlignment w:val="baseline"/>
              <w:rPr>
                <w:szCs w:val="24"/>
              </w:rPr>
            </w:pPr>
            <w:r w:rsidRPr="00544D78">
              <w:rPr>
                <w:sz w:val="20"/>
              </w:rPr>
              <w:t>53.8% </w:t>
            </w:r>
          </w:p>
        </w:tc>
      </w:tr>
      <w:tr w:rsidR="00544D78" w:rsidRPr="00544D78" w14:paraId="6DF19E42" w14:textId="77777777" w:rsidTr="00F9490F">
        <w:tc>
          <w:tcPr>
            <w:tcW w:w="4500" w:type="dxa"/>
            <w:hideMark/>
          </w:tcPr>
          <w:p w14:paraId="0D28A78D" w14:textId="77777777" w:rsidR="00544D78" w:rsidRPr="00544D78" w:rsidRDefault="00544D78" w:rsidP="00544D78">
            <w:pPr>
              <w:textAlignment w:val="baseline"/>
              <w:rPr>
                <w:szCs w:val="24"/>
              </w:rPr>
            </w:pPr>
            <w:r w:rsidRPr="00544D78">
              <w:rPr>
                <w:sz w:val="20"/>
              </w:rPr>
              <w:t>8-10 </w:t>
            </w:r>
          </w:p>
        </w:tc>
        <w:tc>
          <w:tcPr>
            <w:tcW w:w="4500" w:type="dxa"/>
            <w:hideMark/>
          </w:tcPr>
          <w:p w14:paraId="6BB0852A" w14:textId="77777777" w:rsidR="00544D78" w:rsidRPr="00544D78" w:rsidRDefault="00544D78" w:rsidP="00544D78">
            <w:pPr>
              <w:jc w:val="center"/>
              <w:textAlignment w:val="baseline"/>
              <w:rPr>
                <w:szCs w:val="24"/>
              </w:rPr>
            </w:pPr>
            <w:r w:rsidRPr="00544D78">
              <w:rPr>
                <w:sz w:val="20"/>
              </w:rPr>
              <w:t>40.7% </w:t>
            </w:r>
          </w:p>
        </w:tc>
      </w:tr>
      <w:tr w:rsidR="00544D78" w:rsidRPr="00544D78" w14:paraId="78D44888" w14:textId="77777777" w:rsidTr="00F9490F">
        <w:tc>
          <w:tcPr>
            <w:tcW w:w="4500" w:type="dxa"/>
            <w:hideMark/>
          </w:tcPr>
          <w:p w14:paraId="69512982" w14:textId="77777777" w:rsidR="00544D78" w:rsidRPr="00544D78" w:rsidRDefault="00544D78" w:rsidP="00544D78">
            <w:pPr>
              <w:textAlignment w:val="baseline"/>
              <w:rPr>
                <w:szCs w:val="24"/>
              </w:rPr>
            </w:pPr>
            <w:r w:rsidRPr="00544D78">
              <w:rPr>
                <w:b/>
                <w:bCs/>
                <w:sz w:val="20"/>
              </w:rPr>
              <w:t>Clinical T stage </w:t>
            </w:r>
            <w:r w:rsidRPr="00544D78">
              <w:rPr>
                <w:sz w:val="20"/>
              </w:rPr>
              <w:t> </w:t>
            </w:r>
          </w:p>
        </w:tc>
        <w:tc>
          <w:tcPr>
            <w:tcW w:w="4500" w:type="dxa"/>
            <w:hideMark/>
          </w:tcPr>
          <w:p w14:paraId="69B250D7" w14:textId="77777777" w:rsidR="00544D78" w:rsidRPr="00544D78" w:rsidRDefault="00544D78" w:rsidP="00544D78">
            <w:pPr>
              <w:textAlignment w:val="baseline"/>
              <w:rPr>
                <w:szCs w:val="24"/>
              </w:rPr>
            </w:pPr>
            <w:r w:rsidRPr="00544D78">
              <w:rPr>
                <w:sz w:val="20"/>
              </w:rPr>
              <w:t> </w:t>
            </w:r>
          </w:p>
        </w:tc>
      </w:tr>
      <w:tr w:rsidR="00544D78" w:rsidRPr="00544D78" w14:paraId="61D52D9F" w14:textId="77777777" w:rsidTr="00F9490F">
        <w:tc>
          <w:tcPr>
            <w:tcW w:w="4500" w:type="dxa"/>
            <w:hideMark/>
          </w:tcPr>
          <w:p w14:paraId="02EF6FFD" w14:textId="77777777" w:rsidR="00544D78" w:rsidRPr="00544D78" w:rsidRDefault="00544D78" w:rsidP="00544D78">
            <w:pPr>
              <w:textAlignment w:val="baseline"/>
              <w:rPr>
                <w:szCs w:val="24"/>
              </w:rPr>
            </w:pPr>
            <w:r w:rsidRPr="00544D78">
              <w:rPr>
                <w:sz w:val="20"/>
              </w:rPr>
              <w:t>T1c-T2c </w:t>
            </w:r>
          </w:p>
        </w:tc>
        <w:tc>
          <w:tcPr>
            <w:tcW w:w="4500" w:type="dxa"/>
            <w:hideMark/>
          </w:tcPr>
          <w:p w14:paraId="36A7E3A6" w14:textId="77777777" w:rsidR="00544D78" w:rsidRPr="00544D78" w:rsidRDefault="00544D78" w:rsidP="00544D78">
            <w:pPr>
              <w:jc w:val="center"/>
              <w:textAlignment w:val="baseline"/>
              <w:rPr>
                <w:szCs w:val="24"/>
              </w:rPr>
            </w:pPr>
            <w:r w:rsidRPr="00544D78">
              <w:rPr>
                <w:sz w:val="20"/>
              </w:rPr>
              <w:t>70.9% </w:t>
            </w:r>
          </w:p>
        </w:tc>
      </w:tr>
      <w:tr w:rsidR="00544D78" w:rsidRPr="00544D78" w14:paraId="2EA95C3A" w14:textId="77777777" w:rsidTr="00F9490F">
        <w:tc>
          <w:tcPr>
            <w:tcW w:w="4500" w:type="dxa"/>
            <w:hideMark/>
          </w:tcPr>
          <w:p w14:paraId="4A442732" w14:textId="77777777" w:rsidR="00544D78" w:rsidRPr="00544D78" w:rsidRDefault="00544D78" w:rsidP="00544D78">
            <w:pPr>
              <w:textAlignment w:val="baseline"/>
              <w:rPr>
                <w:szCs w:val="24"/>
              </w:rPr>
            </w:pPr>
            <w:r w:rsidRPr="00544D78">
              <w:rPr>
                <w:sz w:val="20"/>
              </w:rPr>
              <w:t>T3a </w:t>
            </w:r>
          </w:p>
        </w:tc>
        <w:tc>
          <w:tcPr>
            <w:tcW w:w="4500" w:type="dxa"/>
            <w:hideMark/>
          </w:tcPr>
          <w:p w14:paraId="33A07B5D" w14:textId="77777777" w:rsidR="00544D78" w:rsidRPr="00544D78" w:rsidRDefault="00544D78" w:rsidP="00544D78">
            <w:pPr>
              <w:jc w:val="center"/>
              <w:textAlignment w:val="baseline"/>
              <w:rPr>
                <w:szCs w:val="24"/>
              </w:rPr>
            </w:pPr>
            <w:r w:rsidRPr="00544D78">
              <w:rPr>
                <w:sz w:val="20"/>
              </w:rPr>
              <w:t>29.1% </w:t>
            </w:r>
          </w:p>
        </w:tc>
      </w:tr>
    </w:tbl>
    <w:p w14:paraId="2F9ED9E1" w14:textId="1E250797" w:rsidR="00544D78" w:rsidRPr="00592104" w:rsidRDefault="00107780" w:rsidP="00592104">
      <w:pPr>
        <w:spacing w:before="240" w:after="240"/>
        <w:rPr>
          <w:szCs w:val="24"/>
          <w:lang w:val="en-US"/>
        </w:rPr>
      </w:pPr>
      <w:r>
        <w:rPr>
          <w:lang w:val="en-US"/>
        </w:rPr>
        <w:lastRenderedPageBreak/>
        <w:t>Table 4 sh</w:t>
      </w:r>
      <w:r w:rsidR="00544D78" w:rsidRPr="00544D78">
        <w:rPr>
          <w:lang w:val="en-US"/>
        </w:rPr>
        <w:t>ows that for high-intermediate risk, defined as PSA&gt;10.0-&lt;20.0 ng/mL and Gleason score 7 and stage T2b-c, it cannot be determine</w:t>
      </w:r>
      <w:r w:rsidR="00D6534C">
        <w:rPr>
          <w:lang w:val="en-US"/>
        </w:rPr>
        <w:t>d</w:t>
      </w:r>
      <w:r w:rsidR="00544D78" w:rsidRPr="00544D78">
        <w:rPr>
          <w:lang w:val="en-US"/>
        </w:rPr>
        <w:t xml:space="preserve"> exactly the proportion of patients that would have all three of these criteria. PSA&gt;10.0-&lt;20.0 ng/mL is 33.2%, Gleason sum of 7 is 53.8% and clinical T stages T2b-c is not reported separately and only reported as 70.9%. Therefore if all three criteria are to be fulfilled, then </w:t>
      </w:r>
      <w:r w:rsidR="00FA3BBE">
        <w:rPr>
          <w:lang w:val="en-US"/>
        </w:rPr>
        <w:t>the proportion of patients</w:t>
      </w:r>
      <w:r w:rsidR="00544D78" w:rsidRPr="00544D78">
        <w:rPr>
          <w:lang w:val="en-US"/>
        </w:rPr>
        <w:t xml:space="preserve"> can be assumed </w:t>
      </w:r>
      <w:r w:rsidR="00FA3BBE">
        <w:rPr>
          <w:lang w:val="en-US"/>
        </w:rPr>
        <w:t>to</w:t>
      </w:r>
      <w:r w:rsidR="00592104">
        <w:rPr>
          <w:lang w:val="en-US"/>
        </w:rPr>
        <w:t xml:space="preserve"> be ≤33.2%.</w:t>
      </w:r>
    </w:p>
    <w:p w14:paraId="7233F375" w14:textId="3DE33CB3" w:rsidR="00544D78" w:rsidRPr="00592104" w:rsidRDefault="00544D78" w:rsidP="00592104">
      <w:pPr>
        <w:spacing w:after="240"/>
        <w:rPr>
          <w:szCs w:val="24"/>
          <w:lang w:val="en-US"/>
        </w:rPr>
      </w:pPr>
      <w:r w:rsidRPr="00544D78">
        <w:rPr>
          <w:lang w:val="en-US"/>
        </w:rPr>
        <w:t xml:space="preserve">High risk is defined as PSA&gt;20.0 ng/mL and/or Gleason score 8-10 and/or stage T3a. PSA&gt;20.0 ng/mL is 18.2%, Gleason sum of 8-10 is 40.7% and clinical T stage T3a is 29.1%. As this is and/or criteria, </w:t>
      </w:r>
      <w:r w:rsidR="00FA3BBE">
        <w:rPr>
          <w:lang w:val="en-US"/>
        </w:rPr>
        <w:t>the proportion of patients</w:t>
      </w:r>
      <w:r w:rsidRPr="00544D78">
        <w:rPr>
          <w:lang w:val="en-US"/>
        </w:rPr>
        <w:t xml:space="preserve"> can </w:t>
      </w:r>
      <w:r w:rsidR="00D6534C">
        <w:rPr>
          <w:lang w:val="en-US"/>
        </w:rPr>
        <w:t xml:space="preserve">be </w:t>
      </w:r>
      <w:r w:rsidRPr="00544D78">
        <w:rPr>
          <w:lang w:val="en-US"/>
        </w:rPr>
        <w:t>assume</w:t>
      </w:r>
      <w:r w:rsidR="00D6534C">
        <w:rPr>
          <w:lang w:val="en-US"/>
        </w:rPr>
        <w:t>d</w:t>
      </w:r>
      <w:r w:rsidRPr="00544D78">
        <w:rPr>
          <w:lang w:val="en-US"/>
        </w:rPr>
        <w:t xml:space="preserve"> </w:t>
      </w:r>
      <w:r w:rsidR="00FA3BBE">
        <w:rPr>
          <w:lang w:val="en-US"/>
        </w:rPr>
        <w:t>to be</w:t>
      </w:r>
      <w:r w:rsidR="00592104">
        <w:rPr>
          <w:lang w:val="en-US"/>
        </w:rPr>
        <w:t xml:space="preserve"> ≥40.7%.</w:t>
      </w:r>
    </w:p>
    <w:p w14:paraId="4E0FBF39" w14:textId="60897B60" w:rsidR="00544D78" w:rsidRPr="00544D78" w:rsidRDefault="00544D78" w:rsidP="00544D78">
      <w:pPr>
        <w:rPr>
          <w:szCs w:val="24"/>
          <w:lang w:val="en-US"/>
        </w:rPr>
      </w:pPr>
      <w:r w:rsidRPr="00544D78">
        <w:rPr>
          <w:lang w:val="en-US"/>
        </w:rPr>
        <w:t xml:space="preserve">In total, </w:t>
      </w:r>
      <w:r w:rsidR="00FA3BBE">
        <w:rPr>
          <w:lang w:val="en-US"/>
        </w:rPr>
        <w:t>it can be</w:t>
      </w:r>
      <w:r w:rsidRPr="00544D78">
        <w:rPr>
          <w:lang w:val="en-US"/>
        </w:rPr>
        <w:t xml:space="preserve"> assume</w:t>
      </w:r>
      <w:r w:rsidR="00FA3BBE">
        <w:rPr>
          <w:lang w:val="en-US"/>
        </w:rPr>
        <w:t>d</w:t>
      </w:r>
      <w:r w:rsidRPr="00544D78">
        <w:rPr>
          <w:lang w:val="en-US"/>
        </w:rPr>
        <w:t xml:space="preserve"> that approximately 73.9% of the ASCENDE trial is applicable to the population of the current application, however the</w:t>
      </w:r>
      <w:r w:rsidR="00592104">
        <w:rPr>
          <w:lang w:val="en-US"/>
        </w:rPr>
        <w:t xml:space="preserve"> exact percentage is uncertain.</w:t>
      </w:r>
    </w:p>
    <w:p w14:paraId="4D27C0F4" w14:textId="77777777" w:rsidR="00BC1364" w:rsidRPr="00F715D1" w:rsidRDefault="00BC1364" w:rsidP="00F715D1">
      <w:pPr>
        <w:pStyle w:val="Heading1"/>
      </w:pPr>
      <w:r w:rsidRPr="00F715D1">
        <w:t>Economic evaluation</w:t>
      </w:r>
    </w:p>
    <w:p w14:paraId="092222EA" w14:textId="18BE522E" w:rsidR="00706CEE" w:rsidRDefault="00706CEE" w:rsidP="00706CEE">
      <w:pPr>
        <w:pStyle w:val="Heading2"/>
      </w:pPr>
      <w:r>
        <w:t>Pre</w:t>
      </w:r>
      <w:r w:rsidR="007374A8">
        <w:t>-</w:t>
      </w:r>
      <w:r>
        <w:t>ESC</w:t>
      </w:r>
      <w:r w:rsidR="007374A8">
        <w:t xml:space="preserve"> model</w:t>
      </w:r>
    </w:p>
    <w:p w14:paraId="5201EF7E" w14:textId="4D9D5277" w:rsidR="00AB7D05" w:rsidRDefault="00AB7D05" w:rsidP="00592104">
      <w:pPr>
        <w:spacing w:after="240"/>
      </w:pPr>
      <w:r>
        <w:t>A cost-utility analysis was presented comparing EBRT+LDR-BT boost with DE-EBRT (</w:t>
      </w:r>
      <w:r w:rsidR="00E75BE6">
        <w:t>Table 5</w:t>
      </w:r>
      <w:r w:rsidR="00592104">
        <w:t>).</w:t>
      </w:r>
    </w:p>
    <w:p w14:paraId="2F4D8386" w14:textId="6556001C" w:rsidR="00AB7D05" w:rsidRPr="00F9490F" w:rsidRDefault="00AB7D05" w:rsidP="00F9490F">
      <w:pPr>
        <w:rPr>
          <w:rFonts w:ascii="Arial Narrow" w:hAnsi="Arial Narrow"/>
          <w:b/>
          <w:sz w:val="20"/>
        </w:rPr>
      </w:pPr>
      <w:bookmarkStart w:id="19" w:name="_Ref379483368"/>
      <w:bookmarkStart w:id="20" w:name="_Ref394419656"/>
      <w:bookmarkStart w:id="21" w:name="_Toc459502"/>
      <w:r w:rsidRPr="00F9490F">
        <w:rPr>
          <w:rFonts w:ascii="Arial Narrow" w:hAnsi="Arial Narrow"/>
          <w:b/>
          <w:sz w:val="20"/>
        </w:rPr>
        <w:t xml:space="preserve">Table </w:t>
      </w:r>
      <w:bookmarkEnd w:id="19"/>
      <w:r w:rsidR="00E75BE6" w:rsidRPr="00F9490F">
        <w:rPr>
          <w:rFonts w:ascii="Arial Narrow" w:hAnsi="Arial Narrow"/>
          <w:b/>
          <w:sz w:val="20"/>
        </w:rPr>
        <w:t>5</w:t>
      </w:r>
      <w:r w:rsidRPr="00F9490F">
        <w:rPr>
          <w:rFonts w:ascii="Arial Narrow" w:hAnsi="Arial Narrow"/>
          <w:b/>
          <w:sz w:val="20"/>
        </w:rPr>
        <w:tab/>
        <w:t>Summary of the economic evaluation</w:t>
      </w:r>
      <w:bookmarkEnd w:id="20"/>
      <w:bookmarkEnd w:id="21"/>
      <w:r w:rsidRPr="00F9490F">
        <w:rPr>
          <w:rFonts w:ascii="Arial Narrow" w:hAnsi="Arial Narrow"/>
          <w:b/>
          <w:sz w:val="20"/>
        </w:rPr>
        <w:t xml:space="preserve"> </w:t>
      </w:r>
    </w:p>
    <w:tbl>
      <w:tblPr>
        <w:tblStyle w:val="TableGrid2"/>
        <w:tblW w:w="8908" w:type="dxa"/>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3077"/>
        <w:gridCol w:w="5831"/>
      </w:tblGrid>
      <w:tr w:rsidR="00AB7D05" w:rsidRPr="00183E4D" w14:paraId="59644EA8" w14:textId="77777777" w:rsidTr="00F9490F">
        <w:trPr>
          <w:cnfStyle w:val="100000000000" w:firstRow="1" w:lastRow="0" w:firstColumn="0" w:lastColumn="0" w:oddVBand="0" w:evenVBand="0" w:oddHBand="0" w:evenHBand="0" w:firstRowFirstColumn="0" w:firstRowLastColumn="0" w:lastRowFirstColumn="0" w:lastRowLastColumn="0"/>
          <w:trHeight w:val="20"/>
          <w:tblHeader/>
        </w:trPr>
        <w:tc>
          <w:tcPr>
            <w:tcW w:w="3077" w:type="dxa"/>
          </w:tcPr>
          <w:p w14:paraId="4BBB81D9" w14:textId="77777777" w:rsidR="00AB7D05" w:rsidRPr="00183E4D" w:rsidRDefault="00AB7D05" w:rsidP="00B90C44">
            <w:pPr>
              <w:pStyle w:val="Tabletext0"/>
              <w:rPr>
                <w:b/>
              </w:rPr>
            </w:pPr>
            <w:r w:rsidRPr="00183E4D">
              <w:rPr>
                <w:b/>
              </w:rPr>
              <w:t>Perspective</w:t>
            </w:r>
          </w:p>
        </w:tc>
        <w:tc>
          <w:tcPr>
            <w:tcW w:w="5831" w:type="dxa"/>
          </w:tcPr>
          <w:p w14:paraId="73713753" w14:textId="77777777" w:rsidR="00AB7D05" w:rsidRPr="00183E4D" w:rsidRDefault="00AB7D05" w:rsidP="00B90C44">
            <w:pPr>
              <w:pStyle w:val="Tabletext0"/>
              <w:rPr>
                <w:color w:val="C00000"/>
              </w:rPr>
            </w:pPr>
            <w:r w:rsidRPr="00FC3639">
              <w:t>Australian healthcare system</w:t>
            </w:r>
          </w:p>
        </w:tc>
      </w:tr>
      <w:tr w:rsidR="00AB7D05" w:rsidRPr="00183E4D" w14:paraId="59D76EDE" w14:textId="77777777" w:rsidTr="00F9490F">
        <w:trPr>
          <w:trHeight w:val="20"/>
        </w:trPr>
        <w:tc>
          <w:tcPr>
            <w:tcW w:w="3077" w:type="dxa"/>
          </w:tcPr>
          <w:p w14:paraId="782A6542" w14:textId="77777777" w:rsidR="00AB7D05" w:rsidRPr="00183E4D" w:rsidRDefault="00AB7D05" w:rsidP="00B90C44">
            <w:pPr>
              <w:pStyle w:val="Tabletext0"/>
              <w:rPr>
                <w:b/>
              </w:rPr>
            </w:pPr>
            <w:r w:rsidRPr="00183E4D">
              <w:rPr>
                <w:b/>
              </w:rPr>
              <w:t>Comparator</w:t>
            </w:r>
          </w:p>
        </w:tc>
        <w:tc>
          <w:tcPr>
            <w:tcW w:w="5831" w:type="dxa"/>
          </w:tcPr>
          <w:p w14:paraId="0D7B9A34" w14:textId="77777777" w:rsidR="00AB7D05" w:rsidRPr="00183E4D" w:rsidRDefault="00AB7D05" w:rsidP="00B90C44">
            <w:pPr>
              <w:pStyle w:val="Tabletext0"/>
              <w:rPr>
                <w:color w:val="C00000"/>
              </w:rPr>
            </w:pPr>
            <w:r w:rsidRPr="00FC3639">
              <w:t>Dose-escalated external beam radiation therapy (DE-EBRT)</w:t>
            </w:r>
          </w:p>
        </w:tc>
      </w:tr>
      <w:tr w:rsidR="00AB7D05" w:rsidRPr="00183E4D" w14:paraId="2AAF9962" w14:textId="77777777" w:rsidTr="00F9490F">
        <w:trPr>
          <w:trHeight w:val="20"/>
        </w:trPr>
        <w:tc>
          <w:tcPr>
            <w:tcW w:w="3077" w:type="dxa"/>
          </w:tcPr>
          <w:p w14:paraId="38C51A68" w14:textId="77777777" w:rsidR="00AB7D05" w:rsidRPr="00183E4D" w:rsidRDefault="00AB7D05" w:rsidP="00B90C44">
            <w:pPr>
              <w:pStyle w:val="Tabletext0"/>
              <w:rPr>
                <w:b/>
              </w:rPr>
            </w:pPr>
            <w:r w:rsidRPr="00183E4D">
              <w:rPr>
                <w:b/>
              </w:rPr>
              <w:t>Type of economic evaluation</w:t>
            </w:r>
          </w:p>
        </w:tc>
        <w:tc>
          <w:tcPr>
            <w:tcW w:w="5831" w:type="dxa"/>
          </w:tcPr>
          <w:p w14:paraId="7C92E6DD" w14:textId="77777777" w:rsidR="00AB7D05" w:rsidRDefault="00AB7D05" w:rsidP="00B90C44">
            <w:pPr>
              <w:pStyle w:val="Tabletext0"/>
              <w:rPr>
                <w:color w:val="C00000"/>
              </w:rPr>
            </w:pPr>
            <w:r w:rsidRPr="00FC3639">
              <w:t>Cost-utility analysis</w:t>
            </w:r>
          </w:p>
        </w:tc>
      </w:tr>
      <w:tr w:rsidR="00AB7D05" w:rsidRPr="00183E4D" w14:paraId="28605E56" w14:textId="77777777" w:rsidTr="00F9490F">
        <w:trPr>
          <w:trHeight w:val="20"/>
        </w:trPr>
        <w:tc>
          <w:tcPr>
            <w:tcW w:w="3077" w:type="dxa"/>
          </w:tcPr>
          <w:p w14:paraId="2D9C0A10" w14:textId="77777777" w:rsidR="00AB7D05" w:rsidRPr="00183E4D" w:rsidRDefault="00AB7D05" w:rsidP="00B90C44">
            <w:pPr>
              <w:pStyle w:val="Tabletext0"/>
              <w:rPr>
                <w:b/>
              </w:rPr>
            </w:pPr>
            <w:r w:rsidRPr="00183E4D">
              <w:rPr>
                <w:b/>
              </w:rPr>
              <w:t>Sources of evidence</w:t>
            </w:r>
          </w:p>
        </w:tc>
        <w:tc>
          <w:tcPr>
            <w:tcW w:w="5831" w:type="dxa"/>
          </w:tcPr>
          <w:p w14:paraId="563AC9E6" w14:textId="77777777" w:rsidR="00AB7D05" w:rsidRDefault="00AB7D05" w:rsidP="00B90C44">
            <w:pPr>
              <w:pStyle w:val="Tabletext0"/>
              <w:rPr>
                <w:color w:val="C00000"/>
              </w:rPr>
            </w:pPr>
            <w:r w:rsidRPr="00FC3639">
              <w:t>RCT</w:t>
            </w:r>
            <w:r>
              <w:t>, observational studies</w:t>
            </w:r>
          </w:p>
        </w:tc>
      </w:tr>
      <w:tr w:rsidR="00AB7D05" w:rsidRPr="00183E4D" w14:paraId="32660911" w14:textId="77777777" w:rsidTr="00F9490F">
        <w:trPr>
          <w:trHeight w:val="20"/>
        </w:trPr>
        <w:tc>
          <w:tcPr>
            <w:tcW w:w="3077" w:type="dxa"/>
            <w:hideMark/>
          </w:tcPr>
          <w:p w14:paraId="140FE4A8" w14:textId="77777777" w:rsidR="00AB7D05" w:rsidRPr="00183E4D" w:rsidRDefault="00AB7D05" w:rsidP="00B90C44">
            <w:pPr>
              <w:pStyle w:val="Tabletext0"/>
              <w:rPr>
                <w:b/>
              </w:rPr>
            </w:pPr>
            <w:r w:rsidRPr="00183E4D">
              <w:rPr>
                <w:b/>
              </w:rPr>
              <w:t>Time horizon</w:t>
            </w:r>
          </w:p>
        </w:tc>
        <w:tc>
          <w:tcPr>
            <w:tcW w:w="5831" w:type="dxa"/>
          </w:tcPr>
          <w:p w14:paraId="40C3CB96" w14:textId="77777777" w:rsidR="00AB7D05" w:rsidRDefault="00AB7D05" w:rsidP="00B90C44">
            <w:pPr>
              <w:pStyle w:val="Tabletext0"/>
              <w:rPr>
                <w:color w:val="C00000"/>
              </w:rPr>
            </w:pPr>
            <w:r w:rsidRPr="00FC3639">
              <w:t>10 years</w:t>
            </w:r>
          </w:p>
        </w:tc>
      </w:tr>
      <w:tr w:rsidR="00AB7D05" w:rsidRPr="00183E4D" w14:paraId="387E187B" w14:textId="77777777" w:rsidTr="00F9490F">
        <w:trPr>
          <w:trHeight w:val="20"/>
        </w:trPr>
        <w:tc>
          <w:tcPr>
            <w:tcW w:w="3077" w:type="dxa"/>
            <w:hideMark/>
          </w:tcPr>
          <w:p w14:paraId="0F76A746" w14:textId="77777777" w:rsidR="00AB7D05" w:rsidRPr="00183E4D" w:rsidRDefault="00AB7D05" w:rsidP="00B90C44">
            <w:pPr>
              <w:pStyle w:val="Tabletext0"/>
              <w:rPr>
                <w:b/>
              </w:rPr>
            </w:pPr>
            <w:r w:rsidRPr="00183E4D">
              <w:rPr>
                <w:b/>
              </w:rPr>
              <w:t>Outcomes</w:t>
            </w:r>
          </w:p>
        </w:tc>
        <w:tc>
          <w:tcPr>
            <w:tcW w:w="5831" w:type="dxa"/>
          </w:tcPr>
          <w:p w14:paraId="55FBD097" w14:textId="77777777" w:rsidR="00AB7D05" w:rsidRDefault="00AB7D05" w:rsidP="00B90C44">
            <w:pPr>
              <w:pStyle w:val="Tabletext0"/>
              <w:rPr>
                <w:color w:val="C00000"/>
              </w:rPr>
            </w:pPr>
            <w:r w:rsidRPr="00FC3639">
              <w:t>LYG and QALYs</w:t>
            </w:r>
            <w:r>
              <w:t xml:space="preserve"> gained</w:t>
            </w:r>
          </w:p>
        </w:tc>
      </w:tr>
      <w:tr w:rsidR="00AB7D05" w:rsidRPr="00183E4D" w14:paraId="708E2662" w14:textId="77777777" w:rsidTr="00F9490F">
        <w:trPr>
          <w:trHeight w:val="20"/>
        </w:trPr>
        <w:tc>
          <w:tcPr>
            <w:tcW w:w="3077" w:type="dxa"/>
            <w:hideMark/>
          </w:tcPr>
          <w:p w14:paraId="587E088A" w14:textId="77777777" w:rsidR="00AB7D05" w:rsidRPr="00183E4D" w:rsidRDefault="00AB7D05" w:rsidP="00B90C44">
            <w:pPr>
              <w:pStyle w:val="Tabletext0"/>
              <w:rPr>
                <w:b/>
              </w:rPr>
            </w:pPr>
            <w:r w:rsidRPr="00183E4D">
              <w:rPr>
                <w:b/>
              </w:rPr>
              <w:t>Methods used to generate results</w:t>
            </w:r>
          </w:p>
        </w:tc>
        <w:tc>
          <w:tcPr>
            <w:tcW w:w="5831" w:type="dxa"/>
          </w:tcPr>
          <w:p w14:paraId="761A7883" w14:textId="77777777" w:rsidR="00AB7D05" w:rsidRDefault="00AB7D05" w:rsidP="00B90C44">
            <w:pPr>
              <w:pStyle w:val="Tabletext0"/>
              <w:rPr>
                <w:color w:val="C00000"/>
              </w:rPr>
            </w:pPr>
            <w:r w:rsidRPr="00FC3639">
              <w:t>Decision analytic Markov model</w:t>
            </w:r>
          </w:p>
        </w:tc>
      </w:tr>
      <w:tr w:rsidR="00AB7D05" w:rsidRPr="00183E4D" w14:paraId="7639AFEB" w14:textId="77777777" w:rsidTr="00F9490F">
        <w:trPr>
          <w:trHeight w:val="20"/>
        </w:trPr>
        <w:tc>
          <w:tcPr>
            <w:tcW w:w="3077" w:type="dxa"/>
          </w:tcPr>
          <w:p w14:paraId="186373EB" w14:textId="77777777" w:rsidR="00AB7D05" w:rsidRPr="00183E4D" w:rsidRDefault="00AB7D05" w:rsidP="00B90C44">
            <w:pPr>
              <w:pStyle w:val="Tabletext0"/>
              <w:rPr>
                <w:b/>
              </w:rPr>
            </w:pPr>
            <w:r>
              <w:rPr>
                <w:b/>
              </w:rPr>
              <w:t>Health states</w:t>
            </w:r>
          </w:p>
        </w:tc>
        <w:tc>
          <w:tcPr>
            <w:tcW w:w="5831" w:type="dxa"/>
          </w:tcPr>
          <w:p w14:paraId="3A62AAA8" w14:textId="77777777" w:rsidR="00AB7D05" w:rsidRPr="00183E4D" w:rsidRDefault="00AB7D05" w:rsidP="00B90C44">
            <w:pPr>
              <w:pStyle w:val="Tabletext0"/>
              <w:rPr>
                <w:color w:val="C00000"/>
              </w:rPr>
            </w:pPr>
            <w:r>
              <w:t xml:space="preserve">Eight health sates: </w:t>
            </w:r>
            <w:r w:rsidRPr="00FC3639">
              <w:t xml:space="preserve">Remission, acute toxicity GI/GU all grades (first 6 months), late toxicity (GI/GU) grade </w:t>
            </w:r>
            <w:r>
              <w:t>≥</w:t>
            </w:r>
            <w:r w:rsidRPr="00FC3639">
              <w:t xml:space="preserve">3, biochemical failure without late toxicity, biochemical failure with late toxicity, metastases, prostate cancer death, all-cause death </w:t>
            </w:r>
            <w:r>
              <w:t>(other causes)</w:t>
            </w:r>
          </w:p>
        </w:tc>
      </w:tr>
      <w:tr w:rsidR="00AB7D05" w:rsidRPr="00183E4D" w14:paraId="03C7EC4F" w14:textId="77777777" w:rsidTr="00F9490F">
        <w:trPr>
          <w:trHeight w:val="20"/>
        </w:trPr>
        <w:tc>
          <w:tcPr>
            <w:tcW w:w="3077" w:type="dxa"/>
            <w:hideMark/>
          </w:tcPr>
          <w:p w14:paraId="1E1EAFC0" w14:textId="77777777" w:rsidR="00AB7D05" w:rsidRPr="00183E4D" w:rsidRDefault="00AB7D05" w:rsidP="00B90C44">
            <w:pPr>
              <w:pStyle w:val="Tabletext0"/>
              <w:rPr>
                <w:b/>
              </w:rPr>
            </w:pPr>
            <w:r>
              <w:rPr>
                <w:b/>
              </w:rPr>
              <w:t>Cycle length</w:t>
            </w:r>
          </w:p>
        </w:tc>
        <w:tc>
          <w:tcPr>
            <w:tcW w:w="5831" w:type="dxa"/>
          </w:tcPr>
          <w:p w14:paraId="1A492973" w14:textId="77777777" w:rsidR="00AB7D05" w:rsidRPr="00183E4D" w:rsidRDefault="00AB7D05" w:rsidP="00B90C44">
            <w:pPr>
              <w:pStyle w:val="Tabletext0"/>
              <w:rPr>
                <w:color w:val="C00000"/>
              </w:rPr>
            </w:pPr>
            <w:r w:rsidRPr="00FC3639">
              <w:t>12 months</w:t>
            </w:r>
          </w:p>
        </w:tc>
      </w:tr>
      <w:tr w:rsidR="00AB7D05" w:rsidRPr="00183E4D" w14:paraId="272AB9F6" w14:textId="77777777" w:rsidTr="00F9490F">
        <w:trPr>
          <w:trHeight w:val="20"/>
        </w:trPr>
        <w:tc>
          <w:tcPr>
            <w:tcW w:w="3077" w:type="dxa"/>
            <w:hideMark/>
          </w:tcPr>
          <w:p w14:paraId="27C149C6" w14:textId="77777777" w:rsidR="00AB7D05" w:rsidRPr="00183E4D" w:rsidRDefault="00AB7D05" w:rsidP="00B90C44">
            <w:pPr>
              <w:pStyle w:val="Tabletext0"/>
              <w:rPr>
                <w:b/>
              </w:rPr>
            </w:pPr>
            <w:r w:rsidRPr="00183E4D">
              <w:rPr>
                <w:b/>
              </w:rPr>
              <w:t>Discount rate</w:t>
            </w:r>
          </w:p>
        </w:tc>
        <w:tc>
          <w:tcPr>
            <w:tcW w:w="5831" w:type="dxa"/>
          </w:tcPr>
          <w:p w14:paraId="3D37F7D0" w14:textId="77777777" w:rsidR="00AB7D05" w:rsidRPr="00183E4D" w:rsidRDefault="00AB7D05" w:rsidP="00B90C44">
            <w:pPr>
              <w:pStyle w:val="Tabletext0"/>
            </w:pPr>
            <w:r w:rsidRPr="00FC3639">
              <w:t>5%</w:t>
            </w:r>
          </w:p>
        </w:tc>
      </w:tr>
      <w:tr w:rsidR="00AB7D05" w:rsidRPr="00183E4D" w14:paraId="4D95842C" w14:textId="77777777" w:rsidTr="00F9490F">
        <w:trPr>
          <w:trHeight w:val="20"/>
        </w:trPr>
        <w:tc>
          <w:tcPr>
            <w:tcW w:w="3077" w:type="dxa"/>
            <w:hideMark/>
          </w:tcPr>
          <w:p w14:paraId="2D2CCC37" w14:textId="77777777" w:rsidR="00AB7D05" w:rsidRPr="00183E4D" w:rsidRDefault="00AB7D05" w:rsidP="00B90C44">
            <w:pPr>
              <w:pStyle w:val="Tabletext0"/>
              <w:rPr>
                <w:b/>
              </w:rPr>
            </w:pPr>
            <w:r w:rsidRPr="00183E4D">
              <w:rPr>
                <w:b/>
              </w:rPr>
              <w:t>Software packages used</w:t>
            </w:r>
          </w:p>
        </w:tc>
        <w:tc>
          <w:tcPr>
            <w:tcW w:w="5831" w:type="dxa"/>
          </w:tcPr>
          <w:p w14:paraId="2AA31626" w14:textId="77777777" w:rsidR="00AB7D05" w:rsidRPr="00183E4D" w:rsidRDefault="00AB7D05" w:rsidP="00B90C44">
            <w:pPr>
              <w:pStyle w:val="Tabletext0"/>
            </w:pPr>
            <w:r w:rsidRPr="00FC3639">
              <w:t>TreeAge Pro 2018, 18.2.1-v20180828</w:t>
            </w:r>
          </w:p>
        </w:tc>
      </w:tr>
    </w:tbl>
    <w:p w14:paraId="6BDDF505" w14:textId="51B905ED" w:rsidR="00AB7D05" w:rsidRPr="008D0CD7" w:rsidRDefault="00AB7D05" w:rsidP="00592104">
      <w:pPr>
        <w:spacing w:before="240" w:after="240"/>
      </w:pPr>
      <w:r>
        <w:t xml:space="preserve">The model structure was based on a published Markov model by Carter, Martin et al. (2014), which was considered appropriate by the Critique. Key structural assumptions of the CAs model included grouping acute GI and GU toxicities together as a single health state; excluding the probability of transiting to metastatic disease without biochemical failure and that </w:t>
      </w:r>
      <w:r w:rsidRPr="008D0CD7">
        <w:t>prostate cancer death would be preceded by the metastases health state regardless of the proximate cause of death.</w:t>
      </w:r>
      <w:r>
        <w:t xml:space="preserve"> The Critique stated that these assumptions were reasonable. However, the Pre-ESC response highlighted potential structural modelling errors (e.g. no option to progress from late toxicity to remission without toxicity or to biochemical failure without toxicity) and errors estimating model transitional probabilities (e.g. substantially higher transitional probability of biochemical failure to metastases was applied to intervention arm compared with comparator arm (0.043 vs. 0.108, respectively), which it claimed made no clinical sense. The Pre-ESC Response noted both potential </w:t>
      </w:r>
      <w:r w:rsidR="00592104">
        <w:t>errors favoured the comparator.</w:t>
      </w:r>
    </w:p>
    <w:p w14:paraId="4FDE7ABD" w14:textId="605E4F74" w:rsidR="00AB7D05" w:rsidRPr="00592104" w:rsidRDefault="00AB7D05" w:rsidP="00592104">
      <w:pPr>
        <w:spacing w:after="240"/>
        <w:rPr>
          <w:rFonts w:asciiTheme="minorHAnsi" w:hAnsiTheme="minorHAnsi" w:cstheme="minorHAnsi"/>
        </w:rPr>
      </w:pPr>
      <w:r w:rsidRPr="00183E4D">
        <w:t>The overall costs and outcomes, and incremental costs and outcomes</w:t>
      </w:r>
      <w:r>
        <w:t xml:space="preserve"> (QALYs and life years </w:t>
      </w:r>
      <w:r w:rsidR="00746FF7">
        <w:t>[</w:t>
      </w:r>
      <w:r>
        <w:t>L</w:t>
      </w:r>
      <w:r w:rsidR="00746FF7">
        <w:t>Y</w:t>
      </w:r>
      <w:r>
        <w:t>s</w:t>
      </w:r>
      <w:r w:rsidR="00746FF7">
        <w:t>]</w:t>
      </w:r>
      <w:r>
        <w:t>)</w:t>
      </w:r>
      <w:r w:rsidRPr="00183E4D">
        <w:t xml:space="preserve"> as calculated for the intervention and comparator in </w:t>
      </w:r>
      <w:r>
        <w:t>the model, and using</w:t>
      </w:r>
      <w:r w:rsidRPr="00183E4D">
        <w:t xml:space="preserve"> the base </w:t>
      </w:r>
      <w:r w:rsidRPr="00183E4D">
        <w:lastRenderedPageBreak/>
        <w:t>case assumption</w:t>
      </w:r>
      <w:r>
        <w:t xml:space="preserve">s, are shown in </w:t>
      </w:r>
      <w:r w:rsidR="00E75BE6">
        <w:t>Table 6</w:t>
      </w:r>
      <w:r w:rsidR="00544D78">
        <w:t xml:space="preserve"> </w:t>
      </w:r>
      <w:r>
        <w:t>and</w:t>
      </w:r>
      <w:r w:rsidR="00E75BE6">
        <w:t xml:space="preserve"> Table 7</w:t>
      </w:r>
      <w:r>
        <w:t xml:space="preserve">, respectively. The CA explained that incremental LYs was higher as overall survival </w:t>
      </w:r>
      <w:r w:rsidRPr="00496674">
        <w:t>(both prostate</w:t>
      </w:r>
      <w:r>
        <w:t xml:space="preserve"> </w:t>
      </w:r>
      <w:r w:rsidRPr="00496674">
        <w:t>cancer</w:t>
      </w:r>
      <w:r>
        <w:t>-</w:t>
      </w:r>
      <w:r w:rsidRPr="00496674">
        <w:t xml:space="preserve"> and noncancer</w:t>
      </w:r>
      <w:r>
        <w:t>-related</w:t>
      </w:r>
      <w:r w:rsidRPr="00496674">
        <w:t xml:space="preserve">) was higher for the LDR-BT boost </w:t>
      </w:r>
      <w:r>
        <w:t xml:space="preserve">(relative to </w:t>
      </w:r>
      <w:r w:rsidRPr="00496674">
        <w:t>DE-EBRT</w:t>
      </w:r>
      <w:r>
        <w:t>). However, incremental QALYs was lower due to higher toxicity experienced by patients undergoing LDR-BT (relative to DE-EBRT).</w:t>
      </w:r>
    </w:p>
    <w:p w14:paraId="25177DD4" w14:textId="2318C221" w:rsidR="00AB7D05" w:rsidRPr="00F9490F" w:rsidRDefault="00AB7D05" w:rsidP="00F9490F">
      <w:pPr>
        <w:rPr>
          <w:rFonts w:ascii="Arial Narrow" w:hAnsi="Arial Narrow"/>
          <w:b/>
          <w:sz w:val="20"/>
        </w:rPr>
      </w:pPr>
      <w:bookmarkStart w:id="22" w:name="_Ref458457"/>
      <w:bookmarkStart w:id="23" w:name="_Toc459503"/>
      <w:r w:rsidRPr="00F9490F">
        <w:rPr>
          <w:rFonts w:ascii="Arial Narrow" w:hAnsi="Arial Narrow"/>
          <w:b/>
          <w:sz w:val="20"/>
        </w:rPr>
        <w:t xml:space="preserve">Table </w:t>
      </w:r>
      <w:bookmarkEnd w:id="22"/>
      <w:r w:rsidR="00E75BE6" w:rsidRPr="00F9490F">
        <w:rPr>
          <w:rFonts w:ascii="Arial Narrow" w:hAnsi="Arial Narrow"/>
          <w:b/>
          <w:sz w:val="20"/>
        </w:rPr>
        <w:t>6</w:t>
      </w:r>
      <w:r w:rsidRPr="00F9490F">
        <w:rPr>
          <w:rFonts w:ascii="Arial Narrow" w:hAnsi="Arial Narrow"/>
          <w:b/>
          <w:sz w:val="20"/>
        </w:rPr>
        <w:t xml:space="preserve"> </w:t>
      </w:r>
      <w:r w:rsidRPr="00F9490F">
        <w:rPr>
          <w:rFonts w:ascii="Arial Narrow" w:hAnsi="Arial Narrow"/>
          <w:b/>
          <w:sz w:val="20"/>
        </w:rPr>
        <w:tab/>
        <w:t>Base case incremental cost effectiveness ratio – high-intermediate and high risk: QALY outcomes</w:t>
      </w:r>
      <w:bookmarkEnd w:id="23"/>
    </w:p>
    <w:tbl>
      <w:tblPr>
        <w:tblStyle w:val="TableGrid2"/>
        <w:tblW w:w="9185"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3"/>
        <w:gridCol w:w="1325"/>
        <w:gridCol w:w="1325"/>
        <w:gridCol w:w="1325"/>
        <w:gridCol w:w="1326"/>
        <w:gridCol w:w="1361"/>
      </w:tblGrid>
      <w:tr w:rsidR="00AB7D05" w:rsidRPr="00544D78" w14:paraId="4159F999" w14:textId="77777777" w:rsidTr="00F9490F">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tcPr>
          <w:p w14:paraId="1142E757" w14:textId="77777777" w:rsidR="00AB7D05" w:rsidRPr="00544D78" w:rsidRDefault="00AB7D05" w:rsidP="00B90C44">
            <w:pPr>
              <w:keepNext/>
              <w:jc w:val="both"/>
              <w:rPr>
                <w:rFonts w:ascii="Arial Narrow" w:hAnsi="Arial Narrow"/>
                <w:b/>
                <w:sz w:val="20"/>
              </w:rPr>
            </w:pPr>
          </w:p>
        </w:tc>
        <w:tc>
          <w:tcPr>
            <w:tcW w:w="1325" w:type="dxa"/>
            <w:tcBorders>
              <w:bottom w:val="single" w:sz="4" w:space="0" w:color="auto"/>
            </w:tcBorders>
          </w:tcPr>
          <w:p w14:paraId="4EB1A65B" w14:textId="77777777" w:rsidR="00AB7D05" w:rsidRPr="00544D78" w:rsidRDefault="00AB7D05" w:rsidP="00B90C44">
            <w:pPr>
              <w:keepNext/>
              <w:jc w:val="both"/>
              <w:rPr>
                <w:rFonts w:ascii="Arial Narrow" w:hAnsi="Arial Narrow"/>
                <w:b/>
                <w:sz w:val="20"/>
              </w:rPr>
            </w:pPr>
            <w:r w:rsidRPr="00544D78">
              <w:rPr>
                <w:rFonts w:ascii="Arial Narrow" w:hAnsi="Arial Narrow"/>
                <w:b/>
                <w:sz w:val="20"/>
              </w:rPr>
              <w:t>Cost</w:t>
            </w:r>
          </w:p>
        </w:tc>
        <w:tc>
          <w:tcPr>
            <w:tcW w:w="1325" w:type="dxa"/>
            <w:tcBorders>
              <w:bottom w:val="single" w:sz="4" w:space="0" w:color="auto"/>
            </w:tcBorders>
          </w:tcPr>
          <w:p w14:paraId="1047E247" w14:textId="77777777" w:rsidR="00AB7D05" w:rsidRPr="00544D78" w:rsidRDefault="00AB7D05" w:rsidP="00B90C44">
            <w:pPr>
              <w:keepNext/>
              <w:jc w:val="both"/>
              <w:rPr>
                <w:rFonts w:ascii="Arial Narrow" w:hAnsi="Arial Narrow"/>
                <w:b/>
                <w:sz w:val="20"/>
              </w:rPr>
            </w:pPr>
            <w:r w:rsidRPr="00544D78">
              <w:rPr>
                <w:rFonts w:ascii="Arial Narrow" w:hAnsi="Arial Narrow"/>
                <w:b/>
                <w:sz w:val="20"/>
              </w:rPr>
              <w:t>Incremental cost</w:t>
            </w:r>
          </w:p>
        </w:tc>
        <w:tc>
          <w:tcPr>
            <w:tcW w:w="1325" w:type="dxa"/>
            <w:tcBorders>
              <w:bottom w:val="single" w:sz="4" w:space="0" w:color="auto"/>
            </w:tcBorders>
          </w:tcPr>
          <w:p w14:paraId="30C082E1" w14:textId="77777777" w:rsidR="00AB7D05" w:rsidRPr="00544D78" w:rsidRDefault="00AB7D05" w:rsidP="00B90C44">
            <w:pPr>
              <w:keepNext/>
              <w:jc w:val="both"/>
              <w:rPr>
                <w:rFonts w:ascii="Arial Narrow" w:hAnsi="Arial Narrow"/>
                <w:b/>
                <w:sz w:val="20"/>
              </w:rPr>
            </w:pPr>
            <w:r w:rsidRPr="00544D78">
              <w:rPr>
                <w:rFonts w:ascii="Arial Narrow" w:hAnsi="Arial Narrow"/>
                <w:b/>
                <w:sz w:val="20"/>
              </w:rPr>
              <w:t>Effectiveness (QALYs)</w:t>
            </w:r>
          </w:p>
        </w:tc>
        <w:tc>
          <w:tcPr>
            <w:tcW w:w="1326" w:type="dxa"/>
            <w:tcBorders>
              <w:bottom w:val="single" w:sz="4" w:space="0" w:color="auto"/>
            </w:tcBorders>
          </w:tcPr>
          <w:p w14:paraId="6469B758" w14:textId="77777777" w:rsidR="00AB7D05" w:rsidRPr="00544D78" w:rsidRDefault="00AB7D05" w:rsidP="00B90C44">
            <w:pPr>
              <w:keepNext/>
              <w:jc w:val="both"/>
              <w:rPr>
                <w:rFonts w:ascii="Arial Narrow" w:hAnsi="Arial Narrow"/>
                <w:b/>
                <w:sz w:val="20"/>
              </w:rPr>
            </w:pPr>
            <w:r w:rsidRPr="00544D78">
              <w:rPr>
                <w:rFonts w:ascii="Arial Narrow" w:hAnsi="Arial Narrow"/>
                <w:b/>
                <w:sz w:val="20"/>
              </w:rPr>
              <w:t>Incremental effectiveness</w:t>
            </w:r>
          </w:p>
        </w:tc>
        <w:tc>
          <w:tcPr>
            <w:tcW w:w="1361" w:type="dxa"/>
            <w:tcBorders>
              <w:bottom w:val="single" w:sz="4" w:space="0" w:color="auto"/>
            </w:tcBorders>
          </w:tcPr>
          <w:p w14:paraId="46ABA15B" w14:textId="77777777" w:rsidR="00AB7D05" w:rsidRPr="00544D78" w:rsidRDefault="00AB7D05" w:rsidP="00B90C44">
            <w:pPr>
              <w:keepNext/>
              <w:jc w:val="both"/>
              <w:rPr>
                <w:rFonts w:ascii="Arial Narrow" w:hAnsi="Arial Narrow"/>
                <w:b/>
                <w:sz w:val="20"/>
              </w:rPr>
            </w:pPr>
            <w:r w:rsidRPr="00544D78">
              <w:rPr>
                <w:rFonts w:ascii="Arial Narrow" w:hAnsi="Arial Narrow"/>
                <w:b/>
                <w:sz w:val="20"/>
              </w:rPr>
              <w:t>ICER</w:t>
            </w:r>
          </w:p>
        </w:tc>
      </w:tr>
      <w:tr w:rsidR="00AB7D05" w:rsidRPr="00544D78" w14:paraId="1730F395" w14:textId="77777777" w:rsidTr="00F9490F">
        <w:tc>
          <w:tcPr>
            <w:tcW w:w="2523" w:type="dxa"/>
          </w:tcPr>
          <w:p w14:paraId="33C93EBF" w14:textId="77777777" w:rsidR="00AB7D05" w:rsidRPr="00544D78" w:rsidRDefault="00AB7D05" w:rsidP="00B90C44">
            <w:pPr>
              <w:pStyle w:val="Tabletext0"/>
              <w:rPr>
                <w:b/>
                <w:szCs w:val="20"/>
                <w:highlight w:val="cyan"/>
              </w:rPr>
            </w:pPr>
            <w:r w:rsidRPr="00544D78">
              <w:rPr>
                <w:b/>
                <w:szCs w:val="20"/>
              </w:rPr>
              <w:t>LDR-BT boost</w:t>
            </w:r>
          </w:p>
        </w:tc>
        <w:tc>
          <w:tcPr>
            <w:tcW w:w="1325" w:type="dxa"/>
          </w:tcPr>
          <w:p w14:paraId="4A78E8E6" w14:textId="77777777" w:rsidR="00AB7D05" w:rsidRPr="00544D78" w:rsidRDefault="00AB7D05" w:rsidP="00B90C44">
            <w:pPr>
              <w:pStyle w:val="Tabletext0"/>
              <w:rPr>
                <w:szCs w:val="20"/>
              </w:rPr>
            </w:pPr>
            <w:r w:rsidRPr="00544D78">
              <w:rPr>
                <w:szCs w:val="20"/>
              </w:rPr>
              <w:t>$27,866.37</w:t>
            </w:r>
          </w:p>
        </w:tc>
        <w:tc>
          <w:tcPr>
            <w:tcW w:w="1325" w:type="dxa"/>
          </w:tcPr>
          <w:p w14:paraId="1B8B8C49" w14:textId="77777777" w:rsidR="00AB7D05" w:rsidRPr="00544D78" w:rsidRDefault="00AB7D05" w:rsidP="00B90C44">
            <w:pPr>
              <w:pStyle w:val="Tabletext0"/>
              <w:rPr>
                <w:szCs w:val="20"/>
              </w:rPr>
            </w:pPr>
            <w:r w:rsidRPr="00544D78">
              <w:rPr>
                <w:szCs w:val="20"/>
              </w:rPr>
              <w:t>$8,072.40</w:t>
            </w:r>
          </w:p>
        </w:tc>
        <w:tc>
          <w:tcPr>
            <w:tcW w:w="1325" w:type="dxa"/>
          </w:tcPr>
          <w:p w14:paraId="53917FFF" w14:textId="77777777" w:rsidR="00AB7D05" w:rsidRPr="00544D78" w:rsidRDefault="00AB7D05" w:rsidP="00B90C44">
            <w:pPr>
              <w:pStyle w:val="Tabletext0"/>
              <w:rPr>
                <w:szCs w:val="20"/>
              </w:rPr>
            </w:pPr>
            <w:r w:rsidRPr="00544D78">
              <w:rPr>
                <w:szCs w:val="20"/>
              </w:rPr>
              <w:t>7.01</w:t>
            </w:r>
          </w:p>
        </w:tc>
        <w:tc>
          <w:tcPr>
            <w:tcW w:w="1326" w:type="dxa"/>
          </w:tcPr>
          <w:p w14:paraId="0FE82B50" w14:textId="77777777" w:rsidR="00AB7D05" w:rsidRPr="00544D78" w:rsidRDefault="00AB7D05" w:rsidP="00B90C44">
            <w:pPr>
              <w:pStyle w:val="Tabletext0"/>
              <w:rPr>
                <w:szCs w:val="20"/>
              </w:rPr>
            </w:pPr>
            <w:r w:rsidRPr="00544D78">
              <w:rPr>
                <w:szCs w:val="20"/>
              </w:rPr>
              <w:t>-0.04</w:t>
            </w:r>
          </w:p>
        </w:tc>
        <w:tc>
          <w:tcPr>
            <w:tcW w:w="1361" w:type="dxa"/>
          </w:tcPr>
          <w:p w14:paraId="58D24F16" w14:textId="77777777" w:rsidR="00AB7D05" w:rsidRPr="00544D78" w:rsidRDefault="00AB7D05" w:rsidP="00B90C44">
            <w:pPr>
              <w:pStyle w:val="Tabletext0"/>
              <w:rPr>
                <w:szCs w:val="20"/>
              </w:rPr>
            </w:pPr>
            <w:r w:rsidRPr="00544D78">
              <w:rPr>
                <w:szCs w:val="20"/>
              </w:rPr>
              <w:t>Dominated (more expensive, less effective)</w:t>
            </w:r>
          </w:p>
        </w:tc>
      </w:tr>
      <w:tr w:rsidR="00AB7D05" w:rsidRPr="00544D78" w14:paraId="083AB74D" w14:textId="77777777" w:rsidTr="00F9490F">
        <w:tc>
          <w:tcPr>
            <w:tcW w:w="2523" w:type="dxa"/>
          </w:tcPr>
          <w:p w14:paraId="4BFD66E2" w14:textId="77777777" w:rsidR="00AB7D05" w:rsidRPr="00544D78" w:rsidRDefault="00AB7D05" w:rsidP="00B90C44">
            <w:pPr>
              <w:pStyle w:val="Tabletext0"/>
              <w:rPr>
                <w:b/>
                <w:szCs w:val="20"/>
                <w:highlight w:val="cyan"/>
              </w:rPr>
            </w:pPr>
            <w:r w:rsidRPr="00544D78">
              <w:rPr>
                <w:b/>
                <w:szCs w:val="20"/>
              </w:rPr>
              <w:t>DE-EBRT</w:t>
            </w:r>
          </w:p>
        </w:tc>
        <w:tc>
          <w:tcPr>
            <w:tcW w:w="1325" w:type="dxa"/>
          </w:tcPr>
          <w:p w14:paraId="5360B814" w14:textId="77777777" w:rsidR="00AB7D05" w:rsidRPr="00544D78" w:rsidRDefault="00AB7D05" w:rsidP="00B90C44">
            <w:pPr>
              <w:pStyle w:val="Tabletext0"/>
              <w:rPr>
                <w:szCs w:val="20"/>
              </w:rPr>
            </w:pPr>
            <w:r w:rsidRPr="00544D78">
              <w:rPr>
                <w:szCs w:val="20"/>
              </w:rPr>
              <w:t>$19,793.97</w:t>
            </w:r>
          </w:p>
        </w:tc>
        <w:tc>
          <w:tcPr>
            <w:tcW w:w="1325" w:type="dxa"/>
          </w:tcPr>
          <w:p w14:paraId="4082B826" w14:textId="77777777" w:rsidR="00AB7D05" w:rsidRPr="00544D78" w:rsidRDefault="00AB7D05" w:rsidP="00B90C44">
            <w:pPr>
              <w:pStyle w:val="Tabletext0"/>
              <w:rPr>
                <w:szCs w:val="20"/>
              </w:rPr>
            </w:pPr>
            <w:r w:rsidRPr="00544D78">
              <w:rPr>
                <w:szCs w:val="20"/>
              </w:rPr>
              <w:t>-</w:t>
            </w:r>
          </w:p>
        </w:tc>
        <w:tc>
          <w:tcPr>
            <w:tcW w:w="1325" w:type="dxa"/>
          </w:tcPr>
          <w:p w14:paraId="71DF5E52" w14:textId="77777777" w:rsidR="00AB7D05" w:rsidRPr="00544D78" w:rsidRDefault="00AB7D05" w:rsidP="00B90C44">
            <w:pPr>
              <w:pStyle w:val="Tabletext0"/>
              <w:rPr>
                <w:szCs w:val="20"/>
              </w:rPr>
            </w:pPr>
            <w:r w:rsidRPr="00544D78">
              <w:rPr>
                <w:szCs w:val="20"/>
              </w:rPr>
              <w:t>7.05</w:t>
            </w:r>
          </w:p>
        </w:tc>
        <w:tc>
          <w:tcPr>
            <w:tcW w:w="1326" w:type="dxa"/>
          </w:tcPr>
          <w:p w14:paraId="21326BCC" w14:textId="77777777" w:rsidR="00AB7D05" w:rsidRPr="00544D78" w:rsidRDefault="00AB7D05" w:rsidP="00B90C44">
            <w:pPr>
              <w:pStyle w:val="Tabletext0"/>
              <w:rPr>
                <w:szCs w:val="20"/>
              </w:rPr>
            </w:pPr>
            <w:r w:rsidRPr="00544D78">
              <w:rPr>
                <w:szCs w:val="20"/>
              </w:rPr>
              <w:t>-</w:t>
            </w:r>
          </w:p>
        </w:tc>
        <w:tc>
          <w:tcPr>
            <w:tcW w:w="1361" w:type="dxa"/>
          </w:tcPr>
          <w:p w14:paraId="265E3C44" w14:textId="77777777" w:rsidR="00AB7D05" w:rsidRPr="00544D78" w:rsidRDefault="00AB7D05" w:rsidP="00B90C44">
            <w:pPr>
              <w:pStyle w:val="Tabletext0"/>
              <w:rPr>
                <w:szCs w:val="20"/>
              </w:rPr>
            </w:pPr>
            <w:r w:rsidRPr="00544D78">
              <w:rPr>
                <w:szCs w:val="20"/>
              </w:rPr>
              <w:t>-</w:t>
            </w:r>
          </w:p>
        </w:tc>
      </w:tr>
    </w:tbl>
    <w:p w14:paraId="4F96BA19" w14:textId="77777777" w:rsidR="00AB7D05" w:rsidRPr="00183E4D" w:rsidRDefault="00AB7D05" w:rsidP="00FC1554">
      <w:pPr>
        <w:pStyle w:val="Tablenotes"/>
        <w:rPr>
          <w:sz w:val="20"/>
        </w:rPr>
      </w:pPr>
      <w:r>
        <w:rPr>
          <w:sz w:val="20"/>
        </w:rPr>
        <w:t xml:space="preserve">Abbreviations: </w:t>
      </w:r>
      <w:r w:rsidRPr="00133549">
        <w:t>DE-EBRT=</w:t>
      </w:r>
      <w:r>
        <w:t>d</w:t>
      </w:r>
      <w:r w:rsidRPr="00133549">
        <w:t>ose-escalated external beam radi</w:t>
      </w:r>
      <w:r>
        <w:t>ati</w:t>
      </w:r>
      <w:r w:rsidRPr="00133549">
        <w:t>o</w:t>
      </w:r>
      <w:r>
        <w:t xml:space="preserve">n </w:t>
      </w:r>
      <w:r w:rsidRPr="00133549">
        <w:t>therapy</w:t>
      </w:r>
      <w:r>
        <w:t xml:space="preserve">; </w:t>
      </w:r>
      <w:r>
        <w:rPr>
          <w:sz w:val="20"/>
        </w:rPr>
        <w:t>ICER=</w:t>
      </w:r>
      <w:r w:rsidRPr="00183E4D">
        <w:rPr>
          <w:sz w:val="20"/>
        </w:rPr>
        <w:t>Incremental Cost Effectiveness Ratio</w:t>
      </w:r>
      <w:r>
        <w:rPr>
          <w:sz w:val="20"/>
        </w:rPr>
        <w:t>;</w:t>
      </w:r>
      <w:r w:rsidRPr="00FE0C22">
        <w:t xml:space="preserve"> </w:t>
      </w:r>
      <w:r w:rsidRPr="00133549">
        <w:t>L</w:t>
      </w:r>
      <w:r>
        <w:t>DR-BT=low-dose rate b</w:t>
      </w:r>
      <w:r w:rsidRPr="00133549">
        <w:t>rachytherapy</w:t>
      </w:r>
      <w:r>
        <w:t>;</w:t>
      </w:r>
      <w:r w:rsidRPr="00133549">
        <w:t xml:space="preserve"> </w:t>
      </w:r>
      <w:r>
        <w:t>QALYs</w:t>
      </w:r>
      <w:r w:rsidRPr="00133549">
        <w:t>=</w:t>
      </w:r>
      <w:r>
        <w:t>q</w:t>
      </w:r>
      <w:r w:rsidRPr="00133549">
        <w:t>uality</w:t>
      </w:r>
      <w:r>
        <w:t>-</w:t>
      </w:r>
      <w:r w:rsidRPr="00133549">
        <w:t>adjusted life years</w:t>
      </w:r>
    </w:p>
    <w:p w14:paraId="646E229A" w14:textId="3B12744C" w:rsidR="00AB7D05" w:rsidRPr="00F9490F" w:rsidRDefault="00AB7D05" w:rsidP="00F9490F">
      <w:pPr>
        <w:rPr>
          <w:rFonts w:ascii="Arial Narrow" w:hAnsi="Arial Narrow"/>
          <w:b/>
          <w:sz w:val="20"/>
        </w:rPr>
      </w:pPr>
      <w:bookmarkStart w:id="24" w:name="_Ref439339"/>
      <w:bookmarkStart w:id="25" w:name="_Toc459504"/>
      <w:r w:rsidRPr="00F9490F">
        <w:rPr>
          <w:rFonts w:ascii="Arial Narrow" w:hAnsi="Arial Narrow"/>
          <w:b/>
          <w:sz w:val="20"/>
        </w:rPr>
        <w:t xml:space="preserve">Table </w:t>
      </w:r>
      <w:bookmarkEnd w:id="24"/>
      <w:r w:rsidR="00E75BE6" w:rsidRPr="00F9490F">
        <w:rPr>
          <w:rFonts w:ascii="Arial Narrow" w:hAnsi="Arial Narrow"/>
          <w:b/>
          <w:sz w:val="20"/>
        </w:rPr>
        <w:t>7</w:t>
      </w:r>
      <w:r w:rsidRPr="00F9490F">
        <w:rPr>
          <w:rFonts w:ascii="Arial Narrow" w:hAnsi="Arial Narrow"/>
          <w:b/>
          <w:sz w:val="20"/>
        </w:rPr>
        <w:t xml:space="preserve"> </w:t>
      </w:r>
      <w:r w:rsidRPr="00F9490F">
        <w:rPr>
          <w:rFonts w:ascii="Arial Narrow" w:hAnsi="Arial Narrow"/>
          <w:b/>
          <w:sz w:val="20"/>
        </w:rPr>
        <w:tab/>
        <w:t>Base case Incremental costs and effectiveness – high-intermediate risk and high risk: LY outcomes</w:t>
      </w:r>
      <w:bookmarkEnd w:id="25"/>
    </w:p>
    <w:tbl>
      <w:tblPr>
        <w:tblStyle w:val="TableGrid2"/>
        <w:tblW w:w="9185" w:type="dxa"/>
        <w:tblInd w:w="-5" w:type="dxa"/>
        <w:tblLayout w:type="fixed"/>
        <w:tblLook w:val="04A0" w:firstRow="1" w:lastRow="0" w:firstColumn="1" w:lastColumn="0" w:noHBand="0" w:noVBand="1"/>
        <w:tblCaption w:val="Table 6 Base case Incremental costs and effectiveness – high-intermediate risk and high risk: LY outcomes"/>
        <w:tblDescription w:val="This table provides a description of the results of the economic evaluation. Base case Incremental costs and effectiveness – high-intermediate risk and high risk: LY outcomes"/>
      </w:tblPr>
      <w:tblGrid>
        <w:gridCol w:w="2523"/>
        <w:gridCol w:w="1325"/>
        <w:gridCol w:w="1325"/>
        <w:gridCol w:w="1325"/>
        <w:gridCol w:w="1326"/>
        <w:gridCol w:w="1361"/>
      </w:tblGrid>
      <w:tr w:rsidR="00AB7D05" w:rsidRPr="00544D78" w14:paraId="59AE3B0A" w14:textId="77777777" w:rsidTr="00F9490F">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tcPr>
          <w:p w14:paraId="70325FC2" w14:textId="77777777" w:rsidR="00AB7D05" w:rsidRPr="00544D78" w:rsidRDefault="00AB7D05" w:rsidP="00B90C44">
            <w:pPr>
              <w:rPr>
                <w:rFonts w:ascii="Arial Narrow" w:hAnsi="Arial Narrow"/>
                <w:b/>
                <w:sz w:val="20"/>
              </w:rPr>
            </w:pPr>
          </w:p>
        </w:tc>
        <w:tc>
          <w:tcPr>
            <w:tcW w:w="1325" w:type="dxa"/>
            <w:tcBorders>
              <w:bottom w:val="single" w:sz="4" w:space="0" w:color="auto"/>
            </w:tcBorders>
          </w:tcPr>
          <w:p w14:paraId="5790924E" w14:textId="77777777" w:rsidR="00AB7D05" w:rsidRPr="00544D78" w:rsidRDefault="00AB7D05" w:rsidP="00B90C44">
            <w:pPr>
              <w:rPr>
                <w:rFonts w:ascii="Arial Narrow" w:hAnsi="Arial Narrow"/>
                <w:b/>
                <w:sz w:val="20"/>
              </w:rPr>
            </w:pPr>
            <w:r w:rsidRPr="00544D78">
              <w:rPr>
                <w:rFonts w:ascii="Arial Narrow" w:hAnsi="Arial Narrow"/>
                <w:b/>
                <w:sz w:val="20"/>
              </w:rPr>
              <w:t>Cost</w:t>
            </w:r>
          </w:p>
        </w:tc>
        <w:tc>
          <w:tcPr>
            <w:tcW w:w="1325" w:type="dxa"/>
            <w:tcBorders>
              <w:bottom w:val="single" w:sz="4" w:space="0" w:color="auto"/>
            </w:tcBorders>
          </w:tcPr>
          <w:p w14:paraId="6049ABDA" w14:textId="77777777" w:rsidR="00AB7D05" w:rsidRPr="00544D78" w:rsidRDefault="00AB7D05" w:rsidP="00B90C44">
            <w:pPr>
              <w:rPr>
                <w:rFonts w:ascii="Arial Narrow" w:hAnsi="Arial Narrow"/>
                <w:b/>
                <w:sz w:val="20"/>
              </w:rPr>
            </w:pPr>
            <w:r w:rsidRPr="00544D78">
              <w:rPr>
                <w:rFonts w:ascii="Arial Narrow" w:hAnsi="Arial Narrow"/>
                <w:b/>
                <w:sz w:val="20"/>
              </w:rPr>
              <w:t>Incremental cost</w:t>
            </w:r>
          </w:p>
        </w:tc>
        <w:tc>
          <w:tcPr>
            <w:tcW w:w="1325" w:type="dxa"/>
            <w:tcBorders>
              <w:bottom w:val="single" w:sz="4" w:space="0" w:color="auto"/>
            </w:tcBorders>
          </w:tcPr>
          <w:p w14:paraId="0552AB28" w14:textId="77777777" w:rsidR="00AB7D05" w:rsidRPr="00544D78" w:rsidRDefault="00AB7D05" w:rsidP="00B90C44">
            <w:pPr>
              <w:rPr>
                <w:rFonts w:ascii="Arial Narrow" w:hAnsi="Arial Narrow"/>
                <w:b/>
                <w:sz w:val="20"/>
              </w:rPr>
            </w:pPr>
            <w:r w:rsidRPr="00544D78">
              <w:rPr>
                <w:rFonts w:ascii="Arial Narrow" w:hAnsi="Arial Narrow"/>
                <w:b/>
                <w:sz w:val="20"/>
              </w:rPr>
              <w:t>Effectiveness (LYs)</w:t>
            </w:r>
          </w:p>
        </w:tc>
        <w:tc>
          <w:tcPr>
            <w:tcW w:w="1326" w:type="dxa"/>
            <w:tcBorders>
              <w:bottom w:val="single" w:sz="4" w:space="0" w:color="auto"/>
            </w:tcBorders>
          </w:tcPr>
          <w:p w14:paraId="4F7CD2A8" w14:textId="77777777" w:rsidR="00AB7D05" w:rsidRPr="00544D78" w:rsidRDefault="00AB7D05" w:rsidP="00B90C44">
            <w:pPr>
              <w:rPr>
                <w:rFonts w:ascii="Arial Narrow" w:hAnsi="Arial Narrow"/>
                <w:b/>
                <w:sz w:val="20"/>
              </w:rPr>
            </w:pPr>
            <w:r w:rsidRPr="00544D78">
              <w:rPr>
                <w:rFonts w:ascii="Arial Narrow" w:hAnsi="Arial Narrow"/>
                <w:b/>
                <w:sz w:val="20"/>
              </w:rPr>
              <w:t>Incremental effectiveness</w:t>
            </w:r>
          </w:p>
        </w:tc>
        <w:tc>
          <w:tcPr>
            <w:tcW w:w="1361" w:type="dxa"/>
            <w:tcBorders>
              <w:bottom w:val="single" w:sz="4" w:space="0" w:color="auto"/>
            </w:tcBorders>
          </w:tcPr>
          <w:p w14:paraId="02AA488F" w14:textId="77777777" w:rsidR="00AB7D05" w:rsidRPr="00544D78" w:rsidRDefault="00AB7D05" w:rsidP="00B90C44">
            <w:pPr>
              <w:rPr>
                <w:rFonts w:ascii="Arial Narrow" w:hAnsi="Arial Narrow"/>
                <w:b/>
                <w:sz w:val="20"/>
              </w:rPr>
            </w:pPr>
            <w:r w:rsidRPr="00544D78">
              <w:rPr>
                <w:rFonts w:ascii="Arial Narrow" w:hAnsi="Arial Narrow"/>
                <w:b/>
                <w:sz w:val="20"/>
              </w:rPr>
              <w:t>ICER</w:t>
            </w:r>
          </w:p>
        </w:tc>
      </w:tr>
      <w:tr w:rsidR="00AB7D05" w:rsidRPr="00544D78" w14:paraId="0CD2352C" w14:textId="77777777" w:rsidTr="00F9490F">
        <w:tc>
          <w:tcPr>
            <w:tcW w:w="2523" w:type="dxa"/>
          </w:tcPr>
          <w:p w14:paraId="0C1BC51B" w14:textId="77777777" w:rsidR="00AB7D05" w:rsidRPr="00544D78" w:rsidRDefault="00AB7D05" w:rsidP="00B90C44">
            <w:pPr>
              <w:rPr>
                <w:b/>
                <w:sz w:val="20"/>
              </w:rPr>
            </w:pPr>
            <w:r w:rsidRPr="00544D78">
              <w:rPr>
                <w:b/>
                <w:sz w:val="20"/>
              </w:rPr>
              <w:t>LDR-BT boost</w:t>
            </w:r>
          </w:p>
        </w:tc>
        <w:tc>
          <w:tcPr>
            <w:tcW w:w="1325" w:type="dxa"/>
          </w:tcPr>
          <w:p w14:paraId="20655874" w14:textId="77777777" w:rsidR="00AB7D05" w:rsidRPr="00544D78" w:rsidRDefault="00AB7D05" w:rsidP="00B90C44">
            <w:pPr>
              <w:rPr>
                <w:sz w:val="20"/>
              </w:rPr>
            </w:pPr>
            <w:r w:rsidRPr="00544D78">
              <w:rPr>
                <w:sz w:val="20"/>
              </w:rPr>
              <w:t>$27,866.37</w:t>
            </w:r>
          </w:p>
        </w:tc>
        <w:tc>
          <w:tcPr>
            <w:tcW w:w="1325" w:type="dxa"/>
          </w:tcPr>
          <w:p w14:paraId="6AFF2418" w14:textId="77777777" w:rsidR="00AB7D05" w:rsidRPr="00544D78" w:rsidRDefault="00AB7D05" w:rsidP="00B90C44">
            <w:pPr>
              <w:rPr>
                <w:sz w:val="20"/>
              </w:rPr>
            </w:pPr>
            <w:r w:rsidRPr="00544D78">
              <w:rPr>
                <w:sz w:val="20"/>
              </w:rPr>
              <w:t>$8,072.40</w:t>
            </w:r>
          </w:p>
        </w:tc>
        <w:tc>
          <w:tcPr>
            <w:tcW w:w="1325" w:type="dxa"/>
          </w:tcPr>
          <w:p w14:paraId="59189145" w14:textId="77777777" w:rsidR="00AB7D05" w:rsidRPr="00544D78" w:rsidRDefault="00AB7D05" w:rsidP="00B90C44">
            <w:pPr>
              <w:rPr>
                <w:sz w:val="20"/>
              </w:rPr>
            </w:pPr>
            <w:r w:rsidRPr="00544D78">
              <w:rPr>
                <w:sz w:val="20"/>
              </w:rPr>
              <w:t>7.48</w:t>
            </w:r>
          </w:p>
        </w:tc>
        <w:tc>
          <w:tcPr>
            <w:tcW w:w="1326" w:type="dxa"/>
          </w:tcPr>
          <w:p w14:paraId="1E89FB48" w14:textId="77777777" w:rsidR="00AB7D05" w:rsidRPr="00544D78" w:rsidRDefault="00AB7D05" w:rsidP="00B90C44">
            <w:pPr>
              <w:rPr>
                <w:sz w:val="20"/>
              </w:rPr>
            </w:pPr>
            <w:r w:rsidRPr="00544D78">
              <w:rPr>
                <w:sz w:val="20"/>
              </w:rPr>
              <w:t>0.03</w:t>
            </w:r>
          </w:p>
        </w:tc>
        <w:tc>
          <w:tcPr>
            <w:tcW w:w="1361" w:type="dxa"/>
          </w:tcPr>
          <w:p w14:paraId="2E79AC42" w14:textId="77777777" w:rsidR="00AB7D05" w:rsidRPr="00544D78" w:rsidRDefault="00AB7D05" w:rsidP="00B90C44">
            <w:pPr>
              <w:rPr>
                <w:sz w:val="20"/>
              </w:rPr>
            </w:pPr>
            <w:r w:rsidRPr="00544D78">
              <w:rPr>
                <w:sz w:val="20"/>
              </w:rPr>
              <w:t>$237,027.21</w:t>
            </w:r>
          </w:p>
        </w:tc>
      </w:tr>
      <w:tr w:rsidR="00AB7D05" w:rsidRPr="00544D78" w14:paraId="5DE83477" w14:textId="77777777" w:rsidTr="00F9490F">
        <w:tc>
          <w:tcPr>
            <w:tcW w:w="2523" w:type="dxa"/>
          </w:tcPr>
          <w:p w14:paraId="774EA09D" w14:textId="77777777" w:rsidR="00AB7D05" w:rsidRPr="00544D78" w:rsidRDefault="00AB7D05" w:rsidP="00B90C44">
            <w:pPr>
              <w:rPr>
                <w:b/>
                <w:sz w:val="20"/>
              </w:rPr>
            </w:pPr>
            <w:r w:rsidRPr="00544D78">
              <w:rPr>
                <w:b/>
                <w:sz w:val="20"/>
              </w:rPr>
              <w:t>DE-EBRT</w:t>
            </w:r>
          </w:p>
        </w:tc>
        <w:tc>
          <w:tcPr>
            <w:tcW w:w="1325" w:type="dxa"/>
          </w:tcPr>
          <w:p w14:paraId="1E7499C1" w14:textId="77777777" w:rsidR="00AB7D05" w:rsidRPr="00544D78" w:rsidRDefault="00AB7D05" w:rsidP="00B90C44">
            <w:pPr>
              <w:rPr>
                <w:sz w:val="20"/>
              </w:rPr>
            </w:pPr>
            <w:r w:rsidRPr="00544D78">
              <w:rPr>
                <w:sz w:val="20"/>
              </w:rPr>
              <w:t>$19,793.97</w:t>
            </w:r>
          </w:p>
        </w:tc>
        <w:tc>
          <w:tcPr>
            <w:tcW w:w="1325" w:type="dxa"/>
          </w:tcPr>
          <w:p w14:paraId="7A3B382F" w14:textId="77777777" w:rsidR="00AB7D05" w:rsidRPr="00544D78" w:rsidRDefault="00AB7D05" w:rsidP="00B90C44">
            <w:pPr>
              <w:rPr>
                <w:sz w:val="20"/>
              </w:rPr>
            </w:pPr>
            <w:r w:rsidRPr="00544D78">
              <w:rPr>
                <w:sz w:val="20"/>
              </w:rPr>
              <w:t>-</w:t>
            </w:r>
          </w:p>
        </w:tc>
        <w:tc>
          <w:tcPr>
            <w:tcW w:w="1325" w:type="dxa"/>
          </w:tcPr>
          <w:p w14:paraId="4CE75052" w14:textId="77777777" w:rsidR="00AB7D05" w:rsidRPr="00544D78" w:rsidRDefault="00AB7D05" w:rsidP="00B90C44">
            <w:pPr>
              <w:rPr>
                <w:sz w:val="20"/>
              </w:rPr>
            </w:pPr>
            <w:r w:rsidRPr="00544D78">
              <w:rPr>
                <w:sz w:val="20"/>
              </w:rPr>
              <w:t>7.45</w:t>
            </w:r>
          </w:p>
        </w:tc>
        <w:tc>
          <w:tcPr>
            <w:tcW w:w="1326" w:type="dxa"/>
          </w:tcPr>
          <w:p w14:paraId="61012D55" w14:textId="77777777" w:rsidR="00AB7D05" w:rsidRPr="00544D78" w:rsidRDefault="00AB7D05" w:rsidP="00B90C44">
            <w:pPr>
              <w:rPr>
                <w:sz w:val="20"/>
              </w:rPr>
            </w:pPr>
            <w:r w:rsidRPr="00544D78">
              <w:rPr>
                <w:sz w:val="20"/>
              </w:rPr>
              <w:t>-</w:t>
            </w:r>
          </w:p>
        </w:tc>
        <w:tc>
          <w:tcPr>
            <w:tcW w:w="1361" w:type="dxa"/>
          </w:tcPr>
          <w:p w14:paraId="05350407" w14:textId="77777777" w:rsidR="00AB7D05" w:rsidRPr="00544D78" w:rsidRDefault="00AB7D05" w:rsidP="00B90C44">
            <w:pPr>
              <w:rPr>
                <w:sz w:val="20"/>
              </w:rPr>
            </w:pPr>
            <w:r w:rsidRPr="00544D78">
              <w:rPr>
                <w:sz w:val="20"/>
              </w:rPr>
              <w:t>-</w:t>
            </w:r>
          </w:p>
        </w:tc>
      </w:tr>
    </w:tbl>
    <w:p w14:paraId="3031B4B7" w14:textId="77777777" w:rsidR="00AB7D05" w:rsidRPr="00544D78" w:rsidRDefault="00AB7D05" w:rsidP="00FC1554">
      <w:pPr>
        <w:pStyle w:val="Tablenotes"/>
      </w:pPr>
      <w:r w:rsidRPr="008E2657">
        <w:t>Abbreviations: DE-EBRT=dose-escalated external beam radiation therapy; ICER=Incremental Cost Effectiveness Ratio; LDR-BT=low-dose rate brachytherapy; LYs = Life years</w:t>
      </w:r>
    </w:p>
    <w:p w14:paraId="444308EA" w14:textId="3C49ABDD" w:rsidR="00AB7D05" w:rsidRDefault="00AB7D05" w:rsidP="00592104">
      <w:pPr>
        <w:tabs>
          <w:tab w:val="left" w:pos="720"/>
          <w:tab w:val="left" w:pos="1140"/>
        </w:tabs>
        <w:spacing w:after="240"/>
      </w:pPr>
      <w:r>
        <w:t>The CA stated that the economic model conclusions were robust across a range of plausible estimates (Figure 3). In addition, LDR-BT boost was also unlikely to be cost-effective compared with DE-EBRT over a 20 or 30 year time horizon. The Critique stated there were several minor errors within the economic evaluation, but these did not impact on the results.</w:t>
      </w:r>
    </w:p>
    <w:p w14:paraId="5AB9D624" w14:textId="77777777" w:rsidR="00AB7D05" w:rsidRDefault="00AB7D05" w:rsidP="00AB7D05">
      <w:pPr>
        <w:tabs>
          <w:tab w:val="left" w:pos="720"/>
          <w:tab w:val="left" w:pos="1140"/>
        </w:tabs>
      </w:pPr>
      <w:r>
        <w:rPr>
          <w:noProof/>
        </w:rPr>
        <w:drawing>
          <wp:inline distT="0" distB="0" distL="0" distR="0" wp14:anchorId="1FDAAE66" wp14:editId="23613980">
            <wp:extent cx="5730737" cy="3225064"/>
            <wp:effectExtent l="0" t="0" r="3810" b="0"/>
            <wp:docPr id="24" name="Picture 24" descr="This figure shows the tornado diagram. One-way sensitivity analysis LDR-BT boost versus DE-EBRT" title="Tornado diagram. One-way sensitivity analysis LDR-BT boost versus DE-EB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rnado diagram.tif"/>
                    <pic:cNvPicPr/>
                  </pic:nvPicPr>
                  <pic:blipFill>
                    <a:blip r:embed="rId12">
                      <a:extLst>
                        <a:ext uri="{28A0092B-C50C-407E-A947-70E740481C1C}">
                          <a14:useLocalDpi xmlns:a14="http://schemas.microsoft.com/office/drawing/2010/main" val="0"/>
                        </a:ext>
                      </a:extLst>
                    </a:blip>
                    <a:stretch>
                      <a:fillRect/>
                    </a:stretch>
                  </pic:blipFill>
                  <pic:spPr>
                    <a:xfrm>
                      <a:off x="0" y="0"/>
                      <a:ext cx="5730737" cy="3225064"/>
                    </a:xfrm>
                    <a:prstGeom prst="rect">
                      <a:avLst/>
                    </a:prstGeom>
                  </pic:spPr>
                </pic:pic>
              </a:graphicData>
            </a:graphic>
          </wp:inline>
        </w:drawing>
      </w:r>
    </w:p>
    <w:p w14:paraId="26591AD1" w14:textId="77777777" w:rsidR="00AB7D05" w:rsidRPr="00F9490F" w:rsidRDefault="00AB7D05" w:rsidP="00F9490F">
      <w:pPr>
        <w:spacing w:after="240"/>
        <w:rPr>
          <w:rFonts w:ascii="Arial Narrow" w:hAnsi="Arial Narrow"/>
          <w:b/>
          <w:sz w:val="20"/>
        </w:rPr>
      </w:pPr>
      <w:r w:rsidRPr="00F9490F">
        <w:rPr>
          <w:rFonts w:ascii="Arial Narrow" w:hAnsi="Arial Narrow"/>
          <w:b/>
          <w:sz w:val="20"/>
        </w:rPr>
        <w:t>Figure 3</w:t>
      </w:r>
      <w:r w:rsidRPr="00F9490F">
        <w:rPr>
          <w:rFonts w:ascii="Arial Narrow" w:hAnsi="Arial Narrow"/>
          <w:b/>
          <w:sz w:val="20"/>
        </w:rPr>
        <w:tab/>
      </w:r>
      <w:bookmarkStart w:id="26" w:name="_Toc459586"/>
      <w:r w:rsidRPr="00F9490F">
        <w:rPr>
          <w:rFonts w:ascii="Arial Narrow" w:hAnsi="Arial Narrow"/>
          <w:b/>
          <w:sz w:val="20"/>
        </w:rPr>
        <w:t>Tornado diagram. One-way sensitivity analysis LDR-BT boost versus DE-EBRT</w:t>
      </w:r>
      <w:bookmarkEnd w:id="26"/>
    </w:p>
    <w:p w14:paraId="43668171" w14:textId="4820082F" w:rsidR="00B90C44" w:rsidRDefault="00441CDA" w:rsidP="00441CDA">
      <w:pPr>
        <w:rPr>
          <w:lang w:eastAsia="en-US"/>
        </w:rPr>
      </w:pPr>
      <w:r>
        <w:rPr>
          <w:lang w:eastAsia="en-US"/>
        </w:rPr>
        <w:t>The CA validated the ICER by comparing the modelled 10-year survival curve estimates</w:t>
      </w:r>
      <w:r w:rsidR="001A6B48">
        <w:rPr>
          <w:lang w:eastAsia="en-US"/>
        </w:rPr>
        <w:t xml:space="preserve"> with overall survival estimates from the</w:t>
      </w:r>
      <w:r>
        <w:rPr>
          <w:lang w:eastAsia="en-US"/>
        </w:rPr>
        <w:t xml:space="preserve"> ASCENDE-RT</w:t>
      </w:r>
      <w:r w:rsidR="001A6B48">
        <w:rPr>
          <w:lang w:eastAsia="en-US"/>
        </w:rPr>
        <w:t xml:space="preserve"> trial</w:t>
      </w:r>
      <w:r>
        <w:rPr>
          <w:lang w:eastAsia="en-US"/>
        </w:rPr>
        <w:t xml:space="preserve"> and study by Johnson, Lester Coll et al. 2017</w:t>
      </w:r>
      <w:r w:rsidR="001A6B48">
        <w:rPr>
          <w:lang w:eastAsia="en-US"/>
        </w:rPr>
        <w:t>. The CA stated that the model provided a similar overall survival curve for the LDR-</w:t>
      </w:r>
      <w:r w:rsidR="001A6B48">
        <w:rPr>
          <w:lang w:eastAsia="en-US"/>
        </w:rPr>
        <w:lastRenderedPageBreak/>
        <w:t xml:space="preserve">BT boost arm; however, it was overestimated for the DE-EBRT arm  </w:t>
      </w:r>
      <w:r>
        <w:rPr>
          <w:lang w:eastAsia="en-US"/>
        </w:rPr>
        <w:t xml:space="preserve"> (0.87 </w:t>
      </w:r>
      <w:r w:rsidRPr="001A6B48">
        <w:rPr>
          <w:i/>
          <w:lang w:eastAsia="en-US"/>
        </w:rPr>
        <w:t>vs</w:t>
      </w:r>
      <w:r>
        <w:rPr>
          <w:lang w:eastAsia="en-US"/>
        </w:rPr>
        <w:t xml:space="preserve">. 0.7 </w:t>
      </w:r>
      <w:r w:rsidR="001D52C7">
        <w:rPr>
          <w:lang w:eastAsia="en-US"/>
        </w:rPr>
        <w:t xml:space="preserve">and </w:t>
      </w:r>
      <w:r>
        <w:rPr>
          <w:lang w:eastAsia="en-US"/>
        </w:rPr>
        <w:t xml:space="preserve">0.78, respectively). </w:t>
      </w:r>
    </w:p>
    <w:p w14:paraId="4E80AAC2" w14:textId="16E4CBC0" w:rsidR="00AB7D05" w:rsidRDefault="0054192F" w:rsidP="00544D78">
      <w:pPr>
        <w:pStyle w:val="Heading2"/>
        <w:rPr>
          <w:lang w:eastAsia="en-US"/>
        </w:rPr>
      </w:pPr>
      <w:r>
        <w:rPr>
          <w:lang w:eastAsia="en-US"/>
        </w:rPr>
        <w:t>Post</w:t>
      </w:r>
      <w:r w:rsidR="007374A8">
        <w:rPr>
          <w:lang w:eastAsia="en-US"/>
        </w:rPr>
        <w:t>-</w:t>
      </w:r>
      <w:r>
        <w:rPr>
          <w:lang w:eastAsia="en-US"/>
        </w:rPr>
        <w:t>ESC</w:t>
      </w:r>
      <w:r w:rsidR="007374A8">
        <w:rPr>
          <w:lang w:eastAsia="en-US"/>
        </w:rPr>
        <w:t xml:space="preserve"> model:</w:t>
      </w:r>
      <w:r>
        <w:rPr>
          <w:lang w:eastAsia="en-US"/>
        </w:rPr>
        <w:t xml:space="preserve"> </w:t>
      </w:r>
      <w:r w:rsidR="00544D78">
        <w:rPr>
          <w:lang w:eastAsia="en-US"/>
        </w:rPr>
        <w:t xml:space="preserve">Addendum </w:t>
      </w:r>
    </w:p>
    <w:p w14:paraId="3923C518" w14:textId="5E401EFA" w:rsidR="00B571A1" w:rsidRDefault="00544D78" w:rsidP="00544D78">
      <w:pPr>
        <w:rPr>
          <w:lang w:eastAsia="en-US"/>
        </w:rPr>
      </w:pPr>
      <w:r>
        <w:rPr>
          <w:lang w:eastAsia="en-US"/>
        </w:rPr>
        <w:t xml:space="preserve">The CA </w:t>
      </w:r>
      <w:r w:rsidR="00B571A1">
        <w:rPr>
          <w:lang w:eastAsia="en-US"/>
        </w:rPr>
        <w:t>addressed several modelling issues raised</w:t>
      </w:r>
      <w:r>
        <w:rPr>
          <w:lang w:eastAsia="en-US"/>
        </w:rPr>
        <w:t xml:space="preserve"> during</w:t>
      </w:r>
      <w:r w:rsidR="00B571A1">
        <w:rPr>
          <w:lang w:eastAsia="en-US"/>
        </w:rPr>
        <w:t xml:space="preserve"> ESC (and raised by the </w:t>
      </w:r>
      <w:r w:rsidR="00BE450A">
        <w:rPr>
          <w:lang w:eastAsia="en-US"/>
        </w:rPr>
        <w:t>a</w:t>
      </w:r>
      <w:r w:rsidR="00B571A1">
        <w:rPr>
          <w:lang w:eastAsia="en-US"/>
        </w:rPr>
        <w:t>pplicant):</w:t>
      </w:r>
    </w:p>
    <w:p w14:paraId="2C4D03C9" w14:textId="77777777" w:rsidR="00544D78" w:rsidRDefault="00B571A1" w:rsidP="00B571A1">
      <w:pPr>
        <w:pStyle w:val="ListParagraph"/>
        <w:numPr>
          <w:ilvl w:val="0"/>
          <w:numId w:val="31"/>
        </w:numPr>
        <w:rPr>
          <w:lang w:eastAsia="en-US"/>
        </w:rPr>
      </w:pPr>
      <w:r>
        <w:rPr>
          <w:lang w:eastAsia="en-US"/>
        </w:rPr>
        <w:t xml:space="preserve">The model structure was amended to allow patients to enter biochemical failure with </w:t>
      </w:r>
      <w:r w:rsidRPr="00B571A1">
        <w:rPr>
          <w:lang w:eastAsia="en-US"/>
        </w:rPr>
        <w:t>without late toxicity follow</w:t>
      </w:r>
      <w:r>
        <w:rPr>
          <w:lang w:eastAsia="en-US"/>
        </w:rPr>
        <w:t>ing GU/GI late toxicity grade3+;</w:t>
      </w:r>
    </w:p>
    <w:p w14:paraId="2196F63C" w14:textId="77777777" w:rsidR="00B571A1" w:rsidRDefault="004C3F33" w:rsidP="00B571A1">
      <w:pPr>
        <w:pStyle w:val="ListParagraph"/>
        <w:numPr>
          <w:ilvl w:val="0"/>
          <w:numId w:val="31"/>
        </w:numPr>
        <w:rPr>
          <w:lang w:eastAsia="en-US"/>
        </w:rPr>
      </w:pPr>
      <w:r>
        <w:rPr>
          <w:lang w:eastAsia="en-US"/>
        </w:rPr>
        <w:t>The t</w:t>
      </w:r>
      <w:r w:rsidR="00B571A1">
        <w:rPr>
          <w:lang w:eastAsia="en-US"/>
        </w:rPr>
        <w:t xml:space="preserve">ransitional probability from biochemical failure to metastases was adjusted </w:t>
      </w:r>
      <w:r>
        <w:rPr>
          <w:lang w:eastAsia="en-US"/>
        </w:rPr>
        <w:t>to align with clinical data inputs</w:t>
      </w:r>
      <w:r w:rsidR="00C42FCD">
        <w:rPr>
          <w:lang w:eastAsia="en-US"/>
        </w:rPr>
        <w:t xml:space="preserve"> (</w:t>
      </w:r>
      <w:r>
        <w:rPr>
          <w:lang w:eastAsia="en-US"/>
        </w:rPr>
        <w:t>ASCENDE</w:t>
      </w:r>
      <w:r w:rsidR="00C42FCD">
        <w:rPr>
          <w:lang w:eastAsia="en-US"/>
        </w:rPr>
        <w:t>-RT); and</w:t>
      </w:r>
    </w:p>
    <w:p w14:paraId="1415A938" w14:textId="3EF4228B" w:rsidR="00A14CB5" w:rsidRDefault="00B571A1" w:rsidP="00A14CB5">
      <w:pPr>
        <w:pStyle w:val="ListParagraph"/>
        <w:numPr>
          <w:ilvl w:val="0"/>
          <w:numId w:val="31"/>
        </w:numPr>
        <w:rPr>
          <w:lang w:eastAsia="en-US"/>
        </w:rPr>
      </w:pPr>
      <w:r>
        <w:rPr>
          <w:lang w:eastAsia="en-US"/>
        </w:rPr>
        <w:t xml:space="preserve">The transitional probability </w:t>
      </w:r>
      <w:r w:rsidR="00C42FCD">
        <w:rPr>
          <w:lang w:eastAsia="en-US"/>
        </w:rPr>
        <w:t>from remission without toxicity to biochemical failure without late toxicity was corrected for a coding error.</w:t>
      </w:r>
    </w:p>
    <w:p w14:paraId="217ABE6A" w14:textId="1DBD629B" w:rsidR="00956809" w:rsidRDefault="00956809" w:rsidP="00592104">
      <w:pPr>
        <w:spacing w:after="240"/>
        <w:rPr>
          <w:lang w:eastAsia="en-US"/>
        </w:rPr>
      </w:pPr>
      <w:r>
        <w:rPr>
          <w:lang w:eastAsia="en-US"/>
        </w:rPr>
        <w:t xml:space="preserve">In addition, the CA group confirmed with </w:t>
      </w:r>
      <w:r w:rsidR="007374A8">
        <w:rPr>
          <w:lang w:eastAsia="en-US"/>
        </w:rPr>
        <w:t xml:space="preserve">a </w:t>
      </w:r>
      <w:r>
        <w:rPr>
          <w:lang w:eastAsia="en-US"/>
        </w:rPr>
        <w:t>local expert that the derivation of utility weights in the pre-ESC model was correc</w:t>
      </w:r>
      <w:r w:rsidR="007374A8">
        <w:rPr>
          <w:lang w:eastAsia="en-US"/>
        </w:rPr>
        <w:t>t and thus no changes were made to the Post-E</w:t>
      </w:r>
      <w:r w:rsidR="00DD52C0">
        <w:rPr>
          <w:lang w:eastAsia="en-US"/>
        </w:rPr>
        <w:t>S</w:t>
      </w:r>
      <w:r w:rsidR="007374A8">
        <w:rPr>
          <w:lang w:eastAsia="en-US"/>
        </w:rPr>
        <w:t>C model</w:t>
      </w:r>
      <w:r w:rsidR="00592104">
        <w:rPr>
          <w:lang w:eastAsia="en-US"/>
        </w:rPr>
        <w:t>.</w:t>
      </w:r>
    </w:p>
    <w:p w14:paraId="7CE5458C" w14:textId="38EDABAB" w:rsidR="00B90C44" w:rsidRDefault="00C42FCD" w:rsidP="00592104">
      <w:pPr>
        <w:spacing w:after="240"/>
        <w:rPr>
          <w:lang w:eastAsia="en-US"/>
        </w:rPr>
      </w:pPr>
      <w:r>
        <w:rPr>
          <w:lang w:eastAsia="en-US"/>
        </w:rPr>
        <w:t>The results of the rev</w:t>
      </w:r>
      <w:r w:rsidR="00B90C44">
        <w:rPr>
          <w:lang w:eastAsia="en-US"/>
        </w:rPr>
        <w:t>is</w:t>
      </w:r>
      <w:r w:rsidR="003A05EA">
        <w:rPr>
          <w:lang w:eastAsia="en-US"/>
        </w:rPr>
        <w:t xml:space="preserve">ed </w:t>
      </w:r>
      <w:r w:rsidR="00B90C44">
        <w:rPr>
          <w:lang w:eastAsia="en-US"/>
        </w:rPr>
        <w:t>model is summarised for QALY outcomes</w:t>
      </w:r>
      <w:r>
        <w:rPr>
          <w:lang w:eastAsia="en-US"/>
        </w:rPr>
        <w:t xml:space="preserve"> </w:t>
      </w:r>
      <w:r w:rsidR="00B90C44">
        <w:rPr>
          <w:lang w:eastAsia="en-US"/>
        </w:rPr>
        <w:t>(</w:t>
      </w:r>
      <w:r w:rsidR="00E75BE6">
        <w:rPr>
          <w:lang w:eastAsia="en-US"/>
        </w:rPr>
        <w:t>Table 8) and LYs (Table 9</w:t>
      </w:r>
      <w:r w:rsidR="00B90C44">
        <w:rPr>
          <w:lang w:eastAsia="en-US"/>
        </w:rPr>
        <w:t>).</w:t>
      </w:r>
    </w:p>
    <w:p w14:paraId="02AA0D1D" w14:textId="71CA8954" w:rsidR="00B90C44" w:rsidRPr="00F9490F" w:rsidRDefault="00B90C44" w:rsidP="00F9490F">
      <w:pPr>
        <w:rPr>
          <w:rFonts w:ascii="Arial Narrow" w:hAnsi="Arial Narrow"/>
          <w:b/>
          <w:sz w:val="20"/>
        </w:rPr>
      </w:pPr>
      <w:bookmarkStart w:id="27" w:name="_Ref13654134"/>
      <w:r w:rsidRPr="00F9490F">
        <w:rPr>
          <w:rFonts w:ascii="Arial Narrow" w:hAnsi="Arial Narrow"/>
          <w:b/>
          <w:sz w:val="20"/>
        </w:rPr>
        <w:t>Table</w:t>
      </w:r>
      <w:bookmarkEnd w:id="27"/>
      <w:r w:rsidR="00E75BE6" w:rsidRPr="00F9490F">
        <w:rPr>
          <w:rFonts w:ascii="Arial Narrow" w:hAnsi="Arial Narrow"/>
          <w:b/>
          <w:sz w:val="20"/>
        </w:rPr>
        <w:t xml:space="preserve"> 8</w:t>
      </w:r>
      <w:r w:rsidR="00592104" w:rsidRPr="00F9490F">
        <w:rPr>
          <w:rFonts w:ascii="Arial Narrow" w:hAnsi="Arial Narrow"/>
          <w:b/>
          <w:sz w:val="20"/>
        </w:rPr>
        <w:tab/>
      </w:r>
      <w:r w:rsidRPr="00F9490F">
        <w:rPr>
          <w:rFonts w:ascii="Arial Narrow" w:hAnsi="Arial Narrow"/>
          <w:b/>
          <w:sz w:val="20"/>
        </w:rPr>
        <w:t>Base case incremental costs and effectiveness – high-intermediate risk and high-risk prostate cancer: QALY outcomes</w:t>
      </w:r>
    </w:p>
    <w:tbl>
      <w:tblPr>
        <w:tblStyle w:val="TableGrid2"/>
        <w:tblW w:w="5000" w:type="pct"/>
        <w:tblLook w:val="04A0" w:firstRow="1" w:lastRow="0" w:firstColumn="1" w:lastColumn="0" w:noHBand="0" w:noVBand="1"/>
        <w:tblCaption w:val="Base case Incremental costs and effectiveness – high-intermediate risk and high risk: QALY outcomes"/>
        <w:tblDescription w:val="This table provides results of base case Incremental costs and effectiveness – high-intermediate risk and high risk: QALY outcomes"/>
      </w:tblPr>
      <w:tblGrid>
        <w:gridCol w:w="2324"/>
        <w:gridCol w:w="1271"/>
        <w:gridCol w:w="1271"/>
        <w:gridCol w:w="1306"/>
        <w:gridCol w:w="1309"/>
        <w:gridCol w:w="1535"/>
      </w:tblGrid>
      <w:tr w:rsidR="00B90C44" w:rsidRPr="00B90C44" w14:paraId="2C6E9614" w14:textId="77777777" w:rsidTr="00B90C44">
        <w:trPr>
          <w:cnfStyle w:val="100000000000" w:firstRow="1" w:lastRow="0" w:firstColumn="0" w:lastColumn="0" w:oddVBand="0" w:evenVBand="0" w:oddHBand="0" w:evenHBand="0" w:firstRowFirstColumn="0" w:firstRowLastColumn="0" w:lastRowFirstColumn="0" w:lastRowLastColumn="0"/>
          <w:tblHeader/>
        </w:trPr>
        <w:tc>
          <w:tcPr>
            <w:tcW w:w="1288" w:type="pct"/>
            <w:tcBorders>
              <w:bottom w:val="single" w:sz="4" w:space="0" w:color="auto"/>
            </w:tcBorders>
          </w:tcPr>
          <w:p w14:paraId="50C5D1BF" w14:textId="77777777" w:rsidR="00B90C44" w:rsidRPr="00B90C44" w:rsidRDefault="00B90C44" w:rsidP="00B90C44">
            <w:pPr>
              <w:keepNext/>
              <w:rPr>
                <w:rFonts w:ascii="Arial Narrow" w:hAnsi="Arial Narrow" w:cstheme="minorHAnsi"/>
                <w:b/>
                <w:sz w:val="20"/>
                <w:szCs w:val="24"/>
              </w:rPr>
            </w:pPr>
          </w:p>
        </w:tc>
        <w:tc>
          <w:tcPr>
            <w:tcW w:w="705" w:type="pct"/>
            <w:tcBorders>
              <w:bottom w:val="single" w:sz="4" w:space="0" w:color="auto"/>
            </w:tcBorders>
            <w:vAlign w:val="center"/>
          </w:tcPr>
          <w:p w14:paraId="500C7FC7"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Cost</w:t>
            </w:r>
          </w:p>
        </w:tc>
        <w:tc>
          <w:tcPr>
            <w:tcW w:w="705" w:type="pct"/>
            <w:tcBorders>
              <w:bottom w:val="single" w:sz="4" w:space="0" w:color="auto"/>
            </w:tcBorders>
            <w:vAlign w:val="center"/>
          </w:tcPr>
          <w:p w14:paraId="0A8EDBA6"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Incremental cost</w:t>
            </w:r>
          </w:p>
        </w:tc>
        <w:tc>
          <w:tcPr>
            <w:tcW w:w="724" w:type="pct"/>
            <w:tcBorders>
              <w:bottom w:val="single" w:sz="4" w:space="0" w:color="auto"/>
            </w:tcBorders>
            <w:vAlign w:val="center"/>
          </w:tcPr>
          <w:p w14:paraId="258D276E"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Effectiveness (QALYs)</w:t>
            </w:r>
          </w:p>
        </w:tc>
        <w:tc>
          <w:tcPr>
            <w:tcW w:w="726" w:type="pct"/>
            <w:tcBorders>
              <w:bottom w:val="single" w:sz="4" w:space="0" w:color="auto"/>
            </w:tcBorders>
            <w:vAlign w:val="center"/>
          </w:tcPr>
          <w:p w14:paraId="332E5C50"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Incremental effectiveness</w:t>
            </w:r>
          </w:p>
        </w:tc>
        <w:tc>
          <w:tcPr>
            <w:tcW w:w="851" w:type="pct"/>
            <w:tcBorders>
              <w:bottom w:val="single" w:sz="4" w:space="0" w:color="auto"/>
            </w:tcBorders>
            <w:vAlign w:val="center"/>
          </w:tcPr>
          <w:p w14:paraId="14982921"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ICER</w:t>
            </w:r>
          </w:p>
        </w:tc>
      </w:tr>
      <w:tr w:rsidR="00B90C44" w:rsidRPr="00B90C44" w14:paraId="58B9F53F" w14:textId="77777777" w:rsidTr="00B90C44">
        <w:tc>
          <w:tcPr>
            <w:tcW w:w="1288" w:type="pct"/>
            <w:vAlign w:val="center"/>
          </w:tcPr>
          <w:p w14:paraId="298054DC" w14:textId="77777777" w:rsidR="00B90C44" w:rsidRPr="00B90C44" w:rsidRDefault="00B90C44" w:rsidP="00B90C44">
            <w:pPr>
              <w:rPr>
                <w:rFonts w:cstheme="minorHAnsi"/>
                <w:sz w:val="20"/>
                <w:szCs w:val="24"/>
              </w:rPr>
            </w:pPr>
            <w:r w:rsidRPr="00B90C44">
              <w:rPr>
                <w:rFonts w:cstheme="minorHAnsi"/>
                <w:sz w:val="20"/>
                <w:szCs w:val="24"/>
              </w:rPr>
              <w:t>LDR-BT boost (over 10 years)</w:t>
            </w:r>
          </w:p>
        </w:tc>
        <w:tc>
          <w:tcPr>
            <w:tcW w:w="705" w:type="pct"/>
            <w:vAlign w:val="center"/>
          </w:tcPr>
          <w:p w14:paraId="3B443C5C" w14:textId="35ADFBB7" w:rsidR="00B90C44" w:rsidRPr="00B90C44" w:rsidRDefault="00B90C44" w:rsidP="00EE3FB5">
            <w:pPr>
              <w:jc w:val="center"/>
              <w:rPr>
                <w:rFonts w:cstheme="minorHAnsi"/>
                <w:sz w:val="20"/>
                <w:szCs w:val="24"/>
              </w:rPr>
            </w:pPr>
            <w:r w:rsidRPr="00B90C44">
              <w:rPr>
                <w:rFonts w:cstheme="minorHAnsi"/>
                <w:sz w:val="20"/>
                <w:szCs w:val="24"/>
              </w:rPr>
              <w:t>$</w:t>
            </w:r>
            <w:r w:rsidR="00EE3FB5">
              <w:rPr>
                <w:rFonts w:cstheme="minorHAnsi"/>
                <w:sz w:val="20"/>
                <w:szCs w:val="24"/>
              </w:rPr>
              <w:t>21,840.00</w:t>
            </w:r>
          </w:p>
        </w:tc>
        <w:tc>
          <w:tcPr>
            <w:tcW w:w="705" w:type="pct"/>
            <w:vAlign w:val="center"/>
          </w:tcPr>
          <w:p w14:paraId="43CC775A" w14:textId="1BFBECEB" w:rsidR="00B90C44" w:rsidRPr="00B90C44" w:rsidRDefault="00B90C44" w:rsidP="00B90C44">
            <w:pPr>
              <w:jc w:val="center"/>
              <w:rPr>
                <w:rFonts w:cstheme="minorHAnsi"/>
                <w:sz w:val="20"/>
                <w:szCs w:val="24"/>
              </w:rPr>
            </w:pPr>
            <w:r w:rsidRPr="00B90C44">
              <w:rPr>
                <w:rFonts w:cstheme="minorHAnsi"/>
                <w:sz w:val="20"/>
                <w:szCs w:val="24"/>
              </w:rPr>
              <w:t>$</w:t>
            </w:r>
            <w:r w:rsidR="00EE3FB5">
              <w:rPr>
                <w:rFonts w:cstheme="minorHAnsi"/>
                <w:sz w:val="20"/>
                <w:szCs w:val="24"/>
              </w:rPr>
              <w:t>2,886.00</w:t>
            </w:r>
          </w:p>
        </w:tc>
        <w:tc>
          <w:tcPr>
            <w:tcW w:w="724" w:type="pct"/>
            <w:vAlign w:val="center"/>
          </w:tcPr>
          <w:p w14:paraId="160BA10C" w14:textId="77777777" w:rsidR="00B90C44" w:rsidRPr="00B90C44" w:rsidRDefault="00B90C44" w:rsidP="00B90C44">
            <w:pPr>
              <w:jc w:val="center"/>
              <w:rPr>
                <w:rFonts w:cstheme="minorHAnsi"/>
                <w:sz w:val="20"/>
                <w:szCs w:val="24"/>
              </w:rPr>
            </w:pPr>
            <w:r w:rsidRPr="00B90C44">
              <w:rPr>
                <w:rFonts w:cstheme="minorHAnsi"/>
                <w:sz w:val="20"/>
                <w:szCs w:val="24"/>
              </w:rPr>
              <w:t>7.05</w:t>
            </w:r>
          </w:p>
        </w:tc>
        <w:tc>
          <w:tcPr>
            <w:tcW w:w="726" w:type="pct"/>
            <w:vAlign w:val="center"/>
          </w:tcPr>
          <w:p w14:paraId="572E0BAB" w14:textId="77777777" w:rsidR="00B90C44" w:rsidRPr="00B90C44" w:rsidRDefault="00B90C44" w:rsidP="00B90C44">
            <w:pPr>
              <w:jc w:val="center"/>
              <w:rPr>
                <w:rFonts w:cstheme="minorHAnsi"/>
                <w:sz w:val="20"/>
                <w:szCs w:val="24"/>
              </w:rPr>
            </w:pPr>
            <w:r w:rsidRPr="00B90C44">
              <w:rPr>
                <w:rFonts w:cstheme="minorHAnsi"/>
                <w:sz w:val="20"/>
                <w:szCs w:val="24"/>
              </w:rPr>
              <w:t>0.17</w:t>
            </w:r>
          </w:p>
        </w:tc>
        <w:tc>
          <w:tcPr>
            <w:tcW w:w="851" w:type="pct"/>
            <w:vAlign w:val="center"/>
          </w:tcPr>
          <w:p w14:paraId="1C8295CF" w14:textId="2732DCC2" w:rsidR="00B90C44" w:rsidRPr="00B90C44" w:rsidRDefault="00EE3FB5" w:rsidP="00B90C44">
            <w:pPr>
              <w:jc w:val="center"/>
              <w:rPr>
                <w:rFonts w:cstheme="minorHAnsi"/>
                <w:sz w:val="20"/>
                <w:szCs w:val="24"/>
              </w:rPr>
            </w:pPr>
            <w:r>
              <w:rPr>
                <w:rFonts w:cstheme="minorHAnsi"/>
                <w:sz w:val="20"/>
                <w:szCs w:val="24"/>
              </w:rPr>
              <w:t>$16,976</w:t>
            </w:r>
            <w:r w:rsidR="00B90C44" w:rsidRPr="00B90C44">
              <w:rPr>
                <w:rFonts w:cstheme="minorHAnsi"/>
                <w:sz w:val="20"/>
                <w:szCs w:val="24"/>
              </w:rPr>
              <w:t>/QALY</w:t>
            </w:r>
          </w:p>
        </w:tc>
      </w:tr>
      <w:tr w:rsidR="00B90C44" w:rsidRPr="00B90C44" w14:paraId="7404D6AA" w14:textId="77777777" w:rsidTr="00B90C44">
        <w:tc>
          <w:tcPr>
            <w:tcW w:w="1288" w:type="pct"/>
            <w:vAlign w:val="center"/>
          </w:tcPr>
          <w:p w14:paraId="710263ED" w14:textId="77777777" w:rsidR="00B90C44" w:rsidRPr="00B90C44" w:rsidRDefault="00B90C44" w:rsidP="00B90C44">
            <w:pPr>
              <w:rPr>
                <w:rFonts w:cstheme="minorHAnsi"/>
                <w:sz w:val="20"/>
                <w:szCs w:val="24"/>
              </w:rPr>
            </w:pPr>
            <w:r w:rsidRPr="00B90C44">
              <w:rPr>
                <w:rFonts w:cstheme="minorHAnsi"/>
                <w:sz w:val="20"/>
                <w:szCs w:val="24"/>
              </w:rPr>
              <w:t>DE-EBRT (over 10 years)</w:t>
            </w:r>
          </w:p>
        </w:tc>
        <w:tc>
          <w:tcPr>
            <w:tcW w:w="705" w:type="pct"/>
            <w:vAlign w:val="center"/>
          </w:tcPr>
          <w:p w14:paraId="03C06679" w14:textId="46B06E58" w:rsidR="00B90C44" w:rsidRPr="00B90C44" w:rsidRDefault="00EE3FB5" w:rsidP="00B90C44">
            <w:pPr>
              <w:jc w:val="center"/>
              <w:rPr>
                <w:rFonts w:cstheme="minorHAnsi"/>
                <w:sz w:val="20"/>
                <w:szCs w:val="24"/>
              </w:rPr>
            </w:pPr>
            <w:r>
              <w:rPr>
                <w:rFonts w:cstheme="minorHAnsi"/>
                <w:sz w:val="20"/>
                <w:szCs w:val="24"/>
              </w:rPr>
              <w:t>$18,954.00</w:t>
            </w:r>
          </w:p>
        </w:tc>
        <w:tc>
          <w:tcPr>
            <w:tcW w:w="705" w:type="pct"/>
            <w:vAlign w:val="center"/>
          </w:tcPr>
          <w:p w14:paraId="0727EEAD" w14:textId="77777777" w:rsidR="00B90C44" w:rsidRPr="00B90C44" w:rsidRDefault="00B90C44" w:rsidP="00B90C44">
            <w:pPr>
              <w:jc w:val="center"/>
              <w:rPr>
                <w:rFonts w:cstheme="minorHAnsi"/>
                <w:sz w:val="20"/>
                <w:szCs w:val="24"/>
              </w:rPr>
            </w:pPr>
            <w:r w:rsidRPr="00B90C44">
              <w:rPr>
                <w:rFonts w:cstheme="minorHAnsi"/>
                <w:sz w:val="20"/>
                <w:szCs w:val="24"/>
              </w:rPr>
              <w:t>-</w:t>
            </w:r>
          </w:p>
        </w:tc>
        <w:tc>
          <w:tcPr>
            <w:tcW w:w="724" w:type="pct"/>
            <w:vAlign w:val="center"/>
          </w:tcPr>
          <w:p w14:paraId="21FC1799" w14:textId="77777777" w:rsidR="00B90C44" w:rsidRPr="00B90C44" w:rsidRDefault="00B90C44" w:rsidP="00B90C44">
            <w:pPr>
              <w:jc w:val="center"/>
              <w:rPr>
                <w:rFonts w:cstheme="minorHAnsi"/>
                <w:sz w:val="20"/>
                <w:szCs w:val="24"/>
              </w:rPr>
            </w:pPr>
            <w:r w:rsidRPr="00B90C44">
              <w:rPr>
                <w:rFonts w:cstheme="minorHAnsi"/>
                <w:sz w:val="20"/>
                <w:szCs w:val="24"/>
              </w:rPr>
              <w:t>6.88</w:t>
            </w:r>
          </w:p>
        </w:tc>
        <w:tc>
          <w:tcPr>
            <w:tcW w:w="726" w:type="pct"/>
            <w:vAlign w:val="center"/>
          </w:tcPr>
          <w:p w14:paraId="5F221DA0" w14:textId="77777777" w:rsidR="00B90C44" w:rsidRPr="00B90C44" w:rsidRDefault="00B90C44" w:rsidP="00B90C44">
            <w:pPr>
              <w:jc w:val="center"/>
              <w:rPr>
                <w:rFonts w:cstheme="minorHAnsi"/>
                <w:sz w:val="20"/>
                <w:szCs w:val="24"/>
              </w:rPr>
            </w:pPr>
            <w:r w:rsidRPr="00B90C44">
              <w:rPr>
                <w:rFonts w:cstheme="minorHAnsi"/>
                <w:sz w:val="20"/>
                <w:szCs w:val="24"/>
              </w:rPr>
              <w:t>-</w:t>
            </w:r>
          </w:p>
        </w:tc>
        <w:tc>
          <w:tcPr>
            <w:tcW w:w="851" w:type="pct"/>
            <w:vAlign w:val="center"/>
          </w:tcPr>
          <w:p w14:paraId="3AD7632F" w14:textId="77777777" w:rsidR="00B90C44" w:rsidRPr="00B90C44" w:rsidRDefault="00B90C44" w:rsidP="00B90C44">
            <w:pPr>
              <w:jc w:val="center"/>
              <w:rPr>
                <w:rFonts w:cstheme="minorHAnsi"/>
                <w:sz w:val="20"/>
                <w:szCs w:val="24"/>
              </w:rPr>
            </w:pPr>
          </w:p>
        </w:tc>
      </w:tr>
    </w:tbl>
    <w:p w14:paraId="02560542" w14:textId="21FBD206" w:rsidR="00C42FCD" w:rsidRPr="00592104" w:rsidRDefault="00B90C44" w:rsidP="00592104">
      <w:pPr>
        <w:widowControl w:val="0"/>
        <w:spacing w:after="240"/>
        <w:jc w:val="both"/>
        <w:rPr>
          <w:rFonts w:ascii="Arial Narrow" w:hAnsi="Arial Narrow" w:cstheme="minorHAnsi"/>
          <w:snapToGrid w:val="0"/>
          <w:sz w:val="18"/>
          <w:szCs w:val="24"/>
        </w:rPr>
      </w:pPr>
      <w:r w:rsidRPr="00B90C44">
        <w:rPr>
          <w:rFonts w:ascii="Arial Narrow" w:hAnsi="Arial Narrow" w:cstheme="minorHAnsi"/>
          <w:snapToGrid w:val="0"/>
          <w:sz w:val="18"/>
          <w:szCs w:val="24"/>
        </w:rPr>
        <w:t>Abbreviations: DE-EBRT=Dose-escalated external beam radiotherapy; ICER=Incremental Cost Effectiveness Ratio; LDR-Brachytherapy=Low-dose rate Brachytherapy; QALY=quality-adjusted life-years</w:t>
      </w:r>
    </w:p>
    <w:p w14:paraId="3914690D" w14:textId="54AA51EC" w:rsidR="00B90C44" w:rsidRPr="00F9490F" w:rsidRDefault="00B90C44" w:rsidP="00F9490F">
      <w:pPr>
        <w:rPr>
          <w:rFonts w:ascii="Arial Narrow" w:hAnsi="Arial Narrow"/>
          <w:b/>
          <w:sz w:val="20"/>
        </w:rPr>
      </w:pPr>
      <w:bookmarkStart w:id="28" w:name="_Ref13654153"/>
      <w:r w:rsidRPr="00F9490F">
        <w:rPr>
          <w:rFonts w:ascii="Arial Narrow" w:hAnsi="Arial Narrow"/>
          <w:b/>
          <w:sz w:val="20"/>
        </w:rPr>
        <w:t>Table</w:t>
      </w:r>
      <w:bookmarkEnd w:id="28"/>
      <w:r w:rsidRPr="00F9490F">
        <w:rPr>
          <w:rFonts w:ascii="Arial Narrow" w:hAnsi="Arial Narrow"/>
          <w:b/>
          <w:sz w:val="20"/>
        </w:rPr>
        <w:t xml:space="preserve"> </w:t>
      </w:r>
      <w:r w:rsidR="00E75BE6" w:rsidRPr="00F9490F">
        <w:rPr>
          <w:rFonts w:ascii="Arial Narrow" w:hAnsi="Arial Narrow"/>
          <w:b/>
          <w:sz w:val="20"/>
        </w:rPr>
        <w:t>9</w:t>
      </w:r>
      <w:r w:rsidRPr="00F9490F">
        <w:rPr>
          <w:rFonts w:ascii="Arial Narrow" w:hAnsi="Arial Narrow"/>
          <w:b/>
          <w:sz w:val="20"/>
        </w:rPr>
        <w:tab/>
        <w:t>Base case incremental costs and effectiveness – high-intermediate risk and high-risk prostate cancer: LY outcomes</w:t>
      </w:r>
    </w:p>
    <w:tbl>
      <w:tblPr>
        <w:tblStyle w:val="TableGrid2"/>
        <w:tblW w:w="5000" w:type="pct"/>
        <w:tblLook w:val="04A0" w:firstRow="1" w:lastRow="0" w:firstColumn="1" w:lastColumn="0" w:noHBand="0" w:noVBand="1"/>
        <w:tblCaption w:val="Base case Incremental costs and effectiveness – high-intermediate risk and high risk: QALY outcomes"/>
        <w:tblDescription w:val="This table provides results of base case Incremental costs and effectiveness – high-intermediate risk and high risk: QALY outcomes"/>
      </w:tblPr>
      <w:tblGrid>
        <w:gridCol w:w="2319"/>
        <w:gridCol w:w="1320"/>
        <w:gridCol w:w="1201"/>
        <w:gridCol w:w="1275"/>
        <w:gridCol w:w="1394"/>
        <w:gridCol w:w="1507"/>
      </w:tblGrid>
      <w:tr w:rsidR="00B90C44" w:rsidRPr="00B90C44" w14:paraId="4DF82E95" w14:textId="77777777" w:rsidTr="00B90C44">
        <w:trPr>
          <w:cnfStyle w:val="100000000000" w:firstRow="1" w:lastRow="0" w:firstColumn="0" w:lastColumn="0" w:oddVBand="0" w:evenVBand="0" w:oddHBand="0" w:evenHBand="0" w:firstRowFirstColumn="0" w:firstRowLastColumn="0" w:lastRowFirstColumn="0" w:lastRowLastColumn="0"/>
          <w:tblHeader/>
        </w:trPr>
        <w:tc>
          <w:tcPr>
            <w:tcW w:w="1286" w:type="pct"/>
            <w:tcBorders>
              <w:bottom w:val="single" w:sz="4" w:space="0" w:color="auto"/>
            </w:tcBorders>
          </w:tcPr>
          <w:p w14:paraId="5F0EFAC7" w14:textId="77777777" w:rsidR="00B90C44" w:rsidRPr="00B90C44" w:rsidRDefault="00B90C44" w:rsidP="00B90C44">
            <w:pPr>
              <w:keepNext/>
              <w:rPr>
                <w:rFonts w:ascii="Arial Narrow" w:hAnsi="Arial Narrow" w:cstheme="minorHAnsi"/>
                <w:b/>
                <w:sz w:val="20"/>
                <w:szCs w:val="24"/>
              </w:rPr>
            </w:pPr>
          </w:p>
        </w:tc>
        <w:tc>
          <w:tcPr>
            <w:tcW w:w="732" w:type="pct"/>
            <w:tcBorders>
              <w:bottom w:val="single" w:sz="4" w:space="0" w:color="auto"/>
            </w:tcBorders>
            <w:vAlign w:val="center"/>
          </w:tcPr>
          <w:p w14:paraId="5CB79A14"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Cost</w:t>
            </w:r>
          </w:p>
        </w:tc>
        <w:tc>
          <w:tcPr>
            <w:tcW w:w="666" w:type="pct"/>
            <w:tcBorders>
              <w:bottom w:val="single" w:sz="4" w:space="0" w:color="auto"/>
            </w:tcBorders>
            <w:vAlign w:val="center"/>
          </w:tcPr>
          <w:p w14:paraId="0A9EDFCA"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Incremental cost</w:t>
            </w:r>
          </w:p>
        </w:tc>
        <w:tc>
          <w:tcPr>
            <w:tcW w:w="707" w:type="pct"/>
            <w:tcBorders>
              <w:bottom w:val="single" w:sz="4" w:space="0" w:color="auto"/>
            </w:tcBorders>
            <w:vAlign w:val="center"/>
          </w:tcPr>
          <w:p w14:paraId="0BFBF8CA" w14:textId="77777777" w:rsidR="00B90C44" w:rsidRPr="00B90C44" w:rsidRDefault="00B90C44" w:rsidP="00B90C44">
            <w:pPr>
              <w:keepNext/>
              <w:jc w:val="center"/>
              <w:rPr>
                <w:rFonts w:ascii="Arial Narrow" w:hAnsi="Arial Narrow" w:cstheme="minorHAnsi"/>
                <w:b/>
                <w:sz w:val="20"/>
                <w:szCs w:val="24"/>
              </w:rPr>
            </w:pPr>
            <w:r>
              <w:rPr>
                <w:rFonts w:ascii="Arial Narrow" w:hAnsi="Arial Narrow" w:cstheme="minorHAnsi"/>
                <w:b/>
                <w:sz w:val="20"/>
                <w:szCs w:val="24"/>
              </w:rPr>
              <w:t>Effectiveness (</w:t>
            </w:r>
            <w:r w:rsidRPr="00B90C44">
              <w:rPr>
                <w:rFonts w:ascii="Arial Narrow" w:hAnsi="Arial Narrow" w:cstheme="minorHAnsi"/>
                <w:b/>
                <w:sz w:val="20"/>
                <w:szCs w:val="24"/>
              </w:rPr>
              <w:t>LYs)</w:t>
            </w:r>
          </w:p>
        </w:tc>
        <w:tc>
          <w:tcPr>
            <w:tcW w:w="773" w:type="pct"/>
            <w:tcBorders>
              <w:bottom w:val="single" w:sz="4" w:space="0" w:color="auto"/>
            </w:tcBorders>
            <w:vAlign w:val="center"/>
          </w:tcPr>
          <w:p w14:paraId="5C841DE5"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Incremental effectiveness</w:t>
            </w:r>
          </w:p>
        </w:tc>
        <w:tc>
          <w:tcPr>
            <w:tcW w:w="836" w:type="pct"/>
            <w:tcBorders>
              <w:bottom w:val="single" w:sz="4" w:space="0" w:color="auto"/>
            </w:tcBorders>
            <w:vAlign w:val="center"/>
          </w:tcPr>
          <w:p w14:paraId="537BC317" w14:textId="77777777" w:rsidR="00B90C44" w:rsidRPr="00B90C44" w:rsidRDefault="00B90C44" w:rsidP="00B90C44">
            <w:pPr>
              <w:keepNext/>
              <w:jc w:val="center"/>
              <w:rPr>
                <w:rFonts w:ascii="Arial Narrow" w:hAnsi="Arial Narrow" w:cstheme="minorHAnsi"/>
                <w:b/>
                <w:sz w:val="20"/>
                <w:szCs w:val="24"/>
              </w:rPr>
            </w:pPr>
            <w:r w:rsidRPr="00B90C44">
              <w:rPr>
                <w:rFonts w:ascii="Arial Narrow" w:hAnsi="Arial Narrow" w:cstheme="minorHAnsi"/>
                <w:b/>
                <w:sz w:val="20"/>
                <w:szCs w:val="24"/>
              </w:rPr>
              <w:t>ICER</w:t>
            </w:r>
          </w:p>
        </w:tc>
      </w:tr>
      <w:tr w:rsidR="00EE3FB5" w:rsidRPr="00B90C44" w14:paraId="7E762AD1" w14:textId="77777777" w:rsidTr="00B90C44">
        <w:tc>
          <w:tcPr>
            <w:tcW w:w="1286" w:type="pct"/>
            <w:vAlign w:val="center"/>
          </w:tcPr>
          <w:p w14:paraId="451FF32E" w14:textId="77777777" w:rsidR="00EE3FB5" w:rsidRPr="00B90C44" w:rsidRDefault="00EE3FB5" w:rsidP="00EE3FB5">
            <w:pPr>
              <w:rPr>
                <w:rFonts w:cstheme="minorHAnsi"/>
                <w:sz w:val="20"/>
                <w:szCs w:val="24"/>
              </w:rPr>
            </w:pPr>
            <w:r w:rsidRPr="00B90C44">
              <w:rPr>
                <w:rFonts w:cstheme="minorHAnsi"/>
                <w:sz w:val="20"/>
                <w:szCs w:val="24"/>
              </w:rPr>
              <w:t>LDR-BT boost (over 10 years)</w:t>
            </w:r>
          </w:p>
        </w:tc>
        <w:tc>
          <w:tcPr>
            <w:tcW w:w="732" w:type="pct"/>
            <w:vAlign w:val="center"/>
          </w:tcPr>
          <w:p w14:paraId="75C0F882" w14:textId="1D756A76" w:rsidR="00EE3FB5" w:rsidRPr="00B90C44" w:rsidRDefault="00EE3FB5" w:rsidP="00EE3FB5">
            <w:pPr>
              <w:jc w:val="center"/>
              <w:rPr>
                <w:rFonts w:cstheme="minorHAnsi"/>
                <w:sz w:val="20"/>
                <w:szCs w:val="24"/>
              </w:rPr>
            </w:pPr>
            <w:r w:rsidRPr="00B90C44">
              <w:rPr>
                <w:rFonts w:cstheme="minorHAnsi"/>
                <w:sz w:val="20"/>
                <w:szCs w:val="24"/>
              </w:rPr>
              <w:t>$</w:t>
            </w:r>
            <w:r>
              <w:rPr>
                <w:rFonts w:cstheme="minorHAnsi"/>
                <w:sz w:val="20"/>
                <w:szCs w:val="24"/>
              </w:rPr>
              <w:t>21,840.00</w:t>
            </w:r>
          </w:p>
        </w:tc>
        <w:tc>
          <w:tcPr>
            <w:tcW w:w="666" w:type="pct"/>
            <w:vAlign w:val="center"/>
          </w:tcPr>
          <w:p w14:paraId="070A9A67" w14:textId="62CABFF8" w:rsidR="00EE3FB5" w:rsidRPr="00B90C44" w:rsidRDefault="00EE3FB5" w:rsidP="00EE3FB5">
            <w:pPr>
              <w:jc w:val="center"/>
              <w:rPr>
                <w:rFonts w:cstheme="minorHAnsi"/>
                <w:sz w:val="20"/>
                <w:szCs w:val="24"/>
              </w:rPr>
            </w:pPr>
            <w:r w:rsidRPr="00B90C44">
              <w:rPr>
                <w:rFonts w:cstheme="minorHAnsi"/>
                <w:sz w:val="20"/>
                <w:szCs w:val="24"/>
              </w:rPr>
              <w:t>$</w:t>
            </w:r>
            <w:r>
              <w:rPr>
                <w:rFonts w:cstheme="minorHAnsi"/>
                <w:sz w:val="20"/>
                <w:szCs w:val="24"/>
              </w:rPr>
              <w:t>2,886.00</w:t>
            </w:r>
          </w:p>
        </w:tc>
        <w:tc>
          <w:tcPr>
            <w:tcW w:w="707" w:type="pct"/>
            <w:vAlign w:val="center"/>
          </w:tcPr>
          <w:p w14:paraId="3CD2089B" w14:textId="77777777" w:rsidR="00EE3FB5" w:rsidRPr="00B90C44" w:rsidRDefault="00EE3FB5" w:rsidP="00EE3FB5">
            <w:pPr>
              <w:jc w:val="center"/>
              <w:rPr>
                <w:rFonts w:cstheme="minorHAnsi"/>
                <w:sz w:val="20"/>
                <w:szCs w:val="24"/>
              </w:rPr>
            </w:pPr>
            <w:r w:rsidRPr="00B90C44">
              <w:rPr>
                <w:rFonts w:cstheme="minorHAnsi"/>
                <w:sz w:val="20"/>
                <w:szCs w:val="24"/>
              </w:rPr>
              <w:t>7.49</w:t>
            </w:r>
          </w:p>
        </w:tc>
        <w:tc>
          <w:tcPr>
            <w:tcW w:w="773" w:type="pct"/>
            <w:vAlign w:val="center"/>
          </w:tcPr>
          <w:p w14:paraId="60A0FC12" w14:textId="77777777" w:rsidR="00EE3FB5" w:rsidRPr="00B90C44" w:rsidRDefault="00EE3FB5" w:rsidP="00EE3FB5">
            <w:pPr>
              <w:jc w:val="center"/>
              <w:rPr>
                <w:rFonts w:cstheme="minorHAnsi"/>
                <w:sz w:val="20"/>
                <w:szCs w:val="24"/>
              </w:rPr>
            </w:pPr>
            <w:r w:rsidRPr="00B90C44">
              <w:rPr>
                <w:rFonts w:cstheme="minorHAnsi"/>
                <w:sz w:val="20"/>
                <w:szCs w:val="24"/>
              </w:rPr>
              <w:t>0.04</w:t>
            </w:r>
          </w:p>
        </w:tc>
        <w:tc>
          <w:tcPr>
            <w:tcW w:w="836" w:type="pct"/>
            <w:vAlign w:val="center"/>
          </w:tcPr>
          <w:p w14:paraId="1AF32F9C" w14:textId="47A76150" w:rsidR="00EE3FB5" w:rsidRPr="00B90C44" w:rsidRDefault="00EE3FB5" w:rsidP="00EE3FB5">
            <w:pPr>
              <w:jc w:val="center"/>
              <w:rPr>
                <w:rFonts w:cstheme="minorHAnsi"/>
                <w:sz w:val="20"/>
                <w:szCs w:val="24"/>
              </w:rPr>
            </w:pPr>
            <w:r>
              <w:rPr>
                <w:rFonts w:cstheme="minorHAnsi"/>
                <w:sz w:val="20"/>
                <w:szCs w:val="24"/>
              </w:rPr>
              <w:t>$80,5444</w:t>
            </w:r>
            <w:r w:rsidR="00FC1554">
              <w:rPr>
                <w:rFonts w:cstheme="minorHAnsi"/>
                <w:sz w:val="20"/>
                <w:szCs w:val="24"/>
              </w:rPr>
              <w:t>/LY</w:t>
            </w:r>
          </w:p>
        </w:tc>
      </w:tr>
      <w:tr w:rsidR="00EE3FB5" w:rsidRPr="00B90C44" w14:paraId="7F1C79A8" w14:textId="77777777" w:rsidTr="00B90C44">
        <w:tc>
          <w:tcPr>
            <w:tcW w:w="1286" w:type="pct"/>
            <w:vAlign w:val="center"/>
          </w:tcPr>
          <w:p w14:paraId="16558824" w14:textId="77777777" w:rsidR="00EE3FB5" w:rsidRPr="00B90C44" w:rsidRDefault="00EE3FB5" w:rsidP="00EE3FB5">
            <w:pPr>
              <w:keepNext/>
              <w:rPr>
                <w:rFonts w:cstheme="minorHAnsi"/>
                <w:sz w:val="20"/>
                <w:szCs w:val="24"/>
              </w:rPr>
            </w:pPr>
            <w:r w:rsidRPr="00B90C44">
              <w:rPr>
                <w:rFonts w:cstheme="minorHAnsi"/>
                <w:sz w:val="20"/>
                <w:szCs w:val="24"/>
              </w:rPr>
              <w:t>DE-EBRT (over 10 years)</w:t>
            </w:r>
          </w:p>
        </w:tc>
        <w:tc>
          <w:tcPr>
            <w:tcW w:w="732" w:type="pct"/>
            <w:vAlign w:val="center"/>
          </w:tcPr>
          <w:p w14:paraId="6A549C6D" w14:textId="2C597578" w:rsidR="00EE3FB5" w:rsidRPr="00B90C44" w:rsidRDefault="00EE3FB5" w:rsidP="00EE3FB5">
            <w:pPr>
              <w:keepNext/>
              <w:jc w:val="center"/>
              <w:rPr>
                <w:rFonts w:cstheme="minorHAnsi"/>
                <w:sz w:val="20"/>
                <w:szCs w:val="24"/>
              </w:rPr>
            </w:pPr>
            <w:r>
              <w:rPr>
                <w:rFonts w:cstheme="minorHAnsi"/>
                <w:sz w:val="20"/>
                <w:szCs w:val="24"/>
              </w:rPr>
              <w:t>$18,954.00</w:t>
            </w:r>
          </w:p>
        </w:tc>
        <w:tc>
          <w:tcPr>
            <w:tcW w:w="666" w:type="pct"/>
            <w:vAlign w:val="center"/>
          </w:tcPr>
          <w:p w14:paraId="4B01E926" w14:textId="2EE370A6" w:rsidR="00EE3FB5" w:rsidRPr="00B90C44" w:rsidRDefault="00EE3FB5" w:rsidP="00EE3FB5">
            <w:pPr>
              <w:keepNext/>
              <w:jc w:val="center"/>
              <w:rPr>
                <w:rFonts w:cstheme="minorHAnsi"/>
                <w:sz w:val="20"/>
                <w:szCs w:val="24"/>
              </w:rPr>
            </w:pPr>
            <w:r w:rsidRPr="00B90C44">
              <w:rPr>
                <w:rFonts w:cstheme="minorHAnsi"/>
                <w:sz w:val="20"/>
                <w:szCs w:val="24"/>
              </w:rPr>
              <w:t>-</w:t>
            </w:r>
          </w:p>
        </w:tc>
        <w:tc>
          <w:tcPr>
            <w:tcW w:w="707" w:type="pct"/>
            <w:vAlign w:val="center"/>
          </w:tcPr>
          <w:p w14:paraId="235A31B2" w14:textId="77777777" w:rsidR="00EE3FB5" w:rsidRPr="00B90C44" w:rsidRDefault="00EE3FB5" w:rsidP="00EE3FB5">
            <w:pPr>
              <w:keepNext/>
              <w:jc w:val="center"/>
              <w:rPr>
                <w:rFonts w:cstheme="minorHAnsi"/>
                <w:sz w:val="20"/>
                <w:szCs w:val="24"/>
              </w:rPr>
            </w:pPr>
            <w:r w:rsidRPr="00B90C44">
              <w:rPr>
                <w:rFonts w:cstheme="minorHAnsi"/>
                <w:sz w:val="20"/>
                <w:szCs w:val="24"/>
              </w:rPr>
              <w:t>7.46</w:t>
            </w:r>
          </w:p>
        </w:tc>
        <w:tc>
          <w:tcPr>
            <w:tcW w:w="773" w:type="pct"/>
            <w:vAlign w:val="center"/>
          </w:tcPr>
          <w:p w14:paraId="563139CD" w14:textId="77777777" w:rsidR="00EE3FB5" w:rsidRPr="00B90C44" w:rsidRDefault="00EE3FB5" w:rsidP="00EE3FB5">
            <w:pPr>
              <w:keepNext/>
              <w:jc w:val="center"/>
              <w:rPr>
                <w:rFonts w:cstheme="minorHAnsi"/>
                <w:sz w:val="20"/>
                <w:szCs w:val="24"/>
              </w:rPr>
            </w:pPr>
            <w:r w:rsidRPr="00B90C44">
              <w:rPr>
                <w:rFonts w:cstheme="minorHAnsi"/>
                <w:sz w:val="20"/>
                <w:szCs w:val="24"/>
              </w:rPr>
              <w:t>-</w:t>
            </w:r>
          </w:p>
        </w:tc>
        <w:tc>
          <w:tcPr>
            <w:tcW w:w="836" w:type="pct"/>
            <w:vAlign w:val="center"/>
          </w:tcPr>
          <w:p w14:paraId="398359E5" w14:textId="77777777" w:rsidR="00EE3FB5" w:rsidRPr="00B90C44" w:rsidRDefault="00EE3FB5" w:rsidP="00EE3FB5">
            <w:pPr>
              <w:keepNext/>
              <w:jc w:val="center"/>
              <w:rPr>
                <w:rFonts w:cstheme="minorHAnsi"/>
                <w:sz w:val="20"/>
                <w:szCs w:val="24"/>
              </w:rPr>
            </w:pPr>
          </w:p>
        </w:tc>
      </w:tr>
    </w:tbl>
    <w:p w14:paraId="3E51D286" w14:textId="0DA51311" w:rsidR="00C42FCD" w:rsidRDefault="00B90C44" w:rsidP="003A05EA">
      <w:pPr>
        <w:widowControl w:val="0"/>
        <w:spacing w:after="240"/>
        <w:jc w:val="both"/>
        <w:rPr>
          <w:rFonts w:ascii="Arial Narrow" w:hAnsi="Arial Narrow" w:cstheme="minorHAnsi"/>
          <w:snapToGrid w:val="0"/>
          <w:sz w:val="18"/>
          <w:szCs w:val="18"/>
        </w:rPr>
      </w:pPr>
      <w:r w:rsidRPr="00B90C44">
        <w:rPr>
          <w:rFonts w:ascii="Arial Narrow" w:hAnsi="Arial Narrow" w:cstheme="minorHAnsi"/>
          <w:snapToGrid w:val="0"/>
          <w:sz w:val="18"/>
          <w:szCs w:val="18"/>
        </w:rPr>
        <w:t>Abbreviations: DE-EBRT=Dose-escalated external beam radiotherapy; ICER=Incremental Cost Effectiveness Ratio; LDR-Brachytherapy=Low</w:t>
      </w:r>
      <w:r w:rsidRPr="00B90C44">
        <w:rPr>
          <w:rFonts w:ascii="Arial Narrow" w:hAnsi="Arial Narrow" w:cstheme="minorHAnsi"/>
          <w:snapToGrid w:val="0"/>
          <w:sz w:val="18"/>
          <w:szCs w:val="18"/>
        </w:rPr>
        <w:noBreakHyphen/>
        <w:t>dose rate Brachytherapy; LY=Life-years</w:t>
      </w:r>
    </w:p>
    <w:p w14:paraId="10D93AE3" w14:textId="3CAC3414" w:rsidR="00EE3FB5" w:rsidRDefault="00EE3FB5" w:rsidP="00EE3FB5">
      <w:pPr>
        <w:widowControl w:val="0"/>
        <w:spacing w:after="240"/>
        <w:jc w:val="both"/>
        <w:rPr>
          <w:rFonts w:ascii="Arial Narrow" w:hAnsi="Arial Narrow" w:cstheme="minorHAnsi"/>
          <w:snapToGrid w:val="0"/>
          <w:sz w:val="18"/>
          <w:szCs w:val="18"/>
        </w:rPr>
      </w:pPr>
      <w:r>
        <w:t>The CA stated that the economic model was most sensitive to the utility gained in the health state for biochemical failure with late toxicity</w:t>
      </w:r>
      <w:r w:rsidR="0016573C">
        <w:t xml:space="preserve"> (Figure 4</w:t>
      </w:r>
      <w:r>
        <w:t>).</w:t>
      </w:r>
    </w:p>
    <w:p w14:paraId="0C448F9D" w14:textId="77777777" w:rsidR="00EE3FB5" w:rsidRDefault="00EE3FB5" w:rsidP="00EE3FB5">
      <w:pPr>
        <w:keepNext/>
      </w:pPr>
      <w:r w:rsidRPr="00E13396">
        <w:rPr>
          <w:noProof/>
        </w:rPr>
        <w:lastRenderedPageBreak/>
        <w:drawing>
          <wp:inline distT="0" distB="0" distL="0" distR="0" wp14:anchorId="463EC3EE" wp14:editId="0E6C5B2E">
            <wp:extent cx="5731510" cy="3301761"/>
            <wp:effectExtent l="0" t="0" r="2540" b="0"/>
            <wp:docPr id="4" name="Picture 4" descr="Schematic tornado plot" title="Tornado diagram. One-way sensitivity analysis LDR-BT boost versus DE-EB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01761"/>
                    </a:xfrm>
                    <a:prstGeom prst="rect">
                      <a:avLst/>
                    </a:prstGeom>
                    <a:noFill/>
                    <a:ln>
                      <a:noFill/>
                    </a:ln>
                  </pic:spPr>
                </pic:pic>
              </a:graphicData>
            </a:graphic>
          </wp:inline>
        </w:drawing>
      </w:r>
    </w:p>
    <w:p w14:paraId="75052482" w14:textId="540DDD16" w:rsidR="00EE3FB5" w:rsidRPr="00F9490F" w:rsidRDefault="00EE3FB5" w:rsidP="00F9490F">
      <w:pPr>
        <w:rPr>
          <w:rFonts w:ascii="Arial Narrow" w:hAnsi="Arial Narrow"/>
          <w:b/>
          <w:sz w:val="20"/>
        </w:rPr>
      </w:pPr>
      <w:bookmarkStart w:id="29" w:name="_Ref449190"/>
      <w:r w:rsidRPr="00F9490F">
        <w:rPr>
          <w:rFonts w:ascii="Arial Narrow" w:hAnsi="Arial Narrow"/>
          <w:b/>
          <w:sz w:val="20"/>
        </w:rPr>
        <w:t xml:space="preserve">Figure </w:t>
      </w:r>
      <w:bookmarkEnd w:id="29"/>
      <w:r w:rsidR="0016573C" w:rsidRPr="00F9490F">
        <w:rPr>
          <w:rFonts w:ascii="Arial Narrow" w:hAnsi="Arial Narrow"/>
          <w:b/>
          <w:sz w:val="20"/>
        </w:rPr>
        <w:t>4</w:t>
      </w:r>
      <w:r w:rsidRPr="00F9490F">
        <w:rPr>
          <w:rFonts w:ascii="Arial Narrow" w:hAnsi="Arial Narrow"/>
          <w:b/>
          <w:sz w:val="20"/>
        </w:rPr>
        <w:tab/>
        <w:t>Tornado diagram. One-way sensitivity analysis LDR-BT boost versus DE-EBRT</w:t>
      </w:r>
    </w:p>
    <w:p w14:paraId="64063A64" w14:textId="77777777" w:rsidR="00BC1364" w:rsidRPr="00F715D1" w:rsidRDefault="00BC1364" w:rsidP="00574027">
      <w:pPr>
        <w:pStyle w:val="Heading1"/>
      </w:pPr>
      <w:r w:rsidRPr="00F715D1">
        <w:t>Financial/budgetary impacts</w:t>
      </w:r>
    </w:p>
    <w:p w14:paraId="5DFB0BC2" w14:textId="483B6F9F" w:rsidR="00706CEE" w:rsidRDefault="00706CEE" w:rsidP="00706CEE">
      <w:pPr>
        <w:pStyle w:val="Heading2"/>
      </w:pPr>
      <w:r>
        <w:t>Pre-ESC</w:t>
      </w:r>
      <w:r w:rsidR="007374A8">
        <w:t xml:space="preserve"> financials</w:t>
      </w:r>
    </w:p>
    <w:p w14:paraId="08F80FB4" w14:textId="79F62C45" w:rsidR="0054192F" w:rsidRDefault="0054192F" w:rsidP="00592104">
      <w:pPr>
        <w:spacing w:after="240"/>
      </w:pPr>
      <w:r w:rsidRPr="00183E4D">
        <w:t>An epidemiological approach has been used to estimate the financial implications</w:t>
      </w:r>
      <w:r>
        <w:t xml:space="preserve"> to the MBS</w:t>
      </w:r>
      <w:r w:rsidRPr="00183E4D">
        <w:t xml:space="preserve"> of </w:t>
      </w:r>
      <w:r>
        <w:t>introducing</w:t>
      </w:r>
      <w:r w:rsidRPr="00183E4D">
        <w:t xml:space="preserve"> </w:t>
      </w:r>
      <w:r>
        <w:t>LDR-BT boost for</w:t>
      </w:r>
      <w:r w:rsidR="00BE450A">
        <w:t xml:space="preserve"> patients with</w:t>
      </w:r>
      <w:r>
        <w:t xml:space="preserve"> high-intermediate and high-risk prostate cancer </w:t>
      </w:r>
      <w:r w:rsidR="00E75BE6">
        <w:t>(Table 10</w:t>
      </w:r>
      <w:r>
        <w:t>)</w:t>
      </w:r>
      <w:r w:rsidR="00592104">
        <w:t>.</w:t>
      </w:r>
    </w:p>
    <w:p w14:paraId="0C958C7F" w14:textId="06131A59" w:rsidR="00951F0C" w:rsidRPr="0016573C" w:rsidRDefault="0054192F">
      <w:r>
        <w:t>The proposed item costs of LDR-BT boost are $935.60 for the radiation oncology component and $1,044.20 for the urological component</w:t>
      </w:r>
      <w:r w:rsidRPr="0028266D">
        <w:t xml:space="preserve"> </w:t>
      </w:r>
      <w:r>
        <w:t xml:space="preserve">of radioactive seed implantation. The direct cost of LDR-BT boost items (five items including seed implantation, brachytherapy planning, transrectal ultrasound and radiation source localisation) is $2,521.70, considering 75% rebate for urological component of seed implantation and transrectal ultrasound and 85% rebate for radiation </w:t>
      </w:r>
      <w:bookmarkStart w:id="30" w:name="_Ref423651"/>
      <w:bookmarkStart w:id="31" w:name="_Toc459506"/>
      <w:r w:rsidR="0016573C">
        <w:t xml:space="preserve">oncology items. </w:t>
      </w:r>
      <w:r w:rsidR="00951F0C">
        <w:br w:type="page"/>
      </w:r>
    </w:p>
    <w:p w14:paraId="328EB9B2" w14:textId="107C6532" w:rsidR="0054192F" w:rsidRPr="00F9490F" w:rsidRDefault="0054192F" w:rsidP="00F9490F">
      <w:pPr>
        <w:rPr>
          <w:rFonts w:ascii="Arial Narrow" w:hAnsi="Arial Narrow"/>
          <w:b/>
          <w:sz w:val="20"/>
        </w:rPr>
      </w:pPr>
      <w:r w:rsidRPr="00F9490F">
        <w:rPr>
          <w:rFonts w:ascii="Arial Narrow" w:hAnsi="Arial Narrow"/>
          <w:b/>
          <w:sz w:val="20"/>
        </w:rPr>
        <w:lastRenderedPageBreak/>
        <w:t xml:space="preserve">Table </w:t>
      </w:r>
      <w:bookmarkEnd w:id="30"/>
      <w:r w:rsidR="00E75BE6" w:rsidRPr="00F9490F">
        <w:rPr>
          <w:rFonts w:ascii="Arial Narrow" w:hAnsi="Arial Narrow"/>
          <w:b/>
          <w:sz w:val="20"/>
        </w:rPr>
        <w:t>10</w:t>
      </w:r>
      <w:r w:rsidRPr="00F9490F">
        <w:rPr>
          <w:rFonts w:ascii="Arial Narrow" w:hAnsi="Arial Narrow"/>
          <w:b/>
          <w:sz w:val="20"/>
        </w:rPr>
        <w:t xml:space="preserve"> </w:t>
      </w:r>
      <w:r w:rsidRPr="00F9490F">
        <w:rPr>
          <w:rFonts w:ascii="Arial Narrow" w:hAnsi="Arial Narrow"/>
          <w:b/>
          <w:sz w:val="20"/>
        </w:rPr>
        <w:tab/>
        <w:t>Total costs to the MBS associated with LDR-BT boost</w:t>
      </w:r>
      <w:bookmarkEnd w:id="31"/>
    </w:p>
    <w:tbl>
      <w:tblPr>
        <w:tblStyle w:val="TableGrid"/>
        <w:tblW w:w="4877"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153"/>
        <w:gridCol w:w="1323"/>
        <w:gridCol w:w="1333"/>
        <w:gridCol w:w="1331"/>
        <w:gridCol w:w="1330"/>
        <w:gridCol w:w="1324"/>
      </w:tblGrid>
      <w:tr w:rsidR="0054192F" w:rsidRPr="001735C9" w14:paraId="5E62CCA3" w14:textId="77777777" w:rsidTr="00F9490F">
        <w:trPr>
          <w:trHeight w:val="300"/>
          <w:tblHeader/>
        </w:trPr>
        <w:tc>
          <w:tcPr>
            <w:tcW w:w="1224" w:type="pct"/>
          </w:tcPr>
          <w:p w14:paraId="2876B908" w14:textId="77777777" w:rsidR="0054192F" w:rsidRPr="001735C9" w:rsidRDefault="0054192F" w:rsidP="00B16C62">
            <w:pPr>
              <w:pStyle w:val="TableHeading"/>
              <w:spacing w:before="0" w:after="0"/>
            </w:pPr>
            <w:r w:rsidRPr="001735C9">
              <w:t>Description</w:t>
            </w:r>
          </w:p>
        </w:tc>
        <w:tc>
          <w:tcPr>
            <w:tcW w:w="752" w:type="pct"/>
          </w:tcPr>
          <w:p w14:paraId="6DA539CD" w14:textId="77777777" w:rsidR="0054192F" w:rsidRPr="001735C9" w:rsidRDefault="0054192F" w:rsidP="00B16C62">
            <w:pPr>
              <w:pStyle w:val="TableHeading"/>
              <w:spacing w:before="0" w:after="0"/>
              <w:jc w:val="center"/>
            </w:pPr>
            <w:r w:rsidRPr="001735C9">
              <w:t>2020</w:t>
            </w:r>
          </w:p>
        </w:tc>
        <w:tc>
          <w:tcPr>
            <w:tcW w:w="758" w:type="pct"/>
          </w:tcPr>
          <w:p w14:paraId="76A75BC4" w14:textId="77777777" w:rsidR="0054192F" w:rsidRPr="001735C9" w:rsidRDefault="0054192F" w:rsidP="00B16C62">
            <w:pPr>
              <w:pStyle w:val="TableHeading"/>
              <w:spacing w:before="0" w:after="0"/>
              <w:jc w:val="center"/>
            </w:pPr>
            <w:r w:rsidRPr="001735C9">
              <w:t>2021</w:t>
            </w:r>
          </w:p>
        </w:tc>
        <w:tc>
          <w:tcPr>
            <w:tcW w:w="757" w:type="pct"/>
          </w:tcPr>
          <w:p w14:paraId="0D78566F" w14:textId="77777777" w:rsidR="0054192F" w:rsidRPr="001735C9" w:rsidRDefault="0054192F" w:rsidP="00B16C62">
            <w:pPr>
              <w:pStyle w:val="TableHeading"/>
              <w:spacing w:before="0" w:after="0"/>
              <w:jc w:val="center"/>
            </w:pPr>
            <w:r w:rsidRPr="001735C9">
              <w:t>2022</w:t>
            </w:r>
          </w:p>
        </w:tc>
        <w:tc>
          <w:tcPr>
            <w:tcW w:w="756" w:type="pct"/>
          </w:tcPr>
          <w:p w14:paraId="5C9886E9" w14:textId="77777777" w:rsidR="0054192F" w:rsidRPr="001735C9" w:rsidRDefault="0054192F" w:rsidP="00B16C62">
            <w:pPr>
              <w:pStyle w:val="TableHeading"/>
              <w:spacing w:before="0" w:after="0"/>
              <w:jc w:val="center"/>
            </w:pPr>
            <w:r w:rsidRPr="001735C9">
              <w:t>2023</w:t>
            </w:r>
          </w:p>
        </w:tc>
        <w:tc>
          <w:tcPr>
            <w:tcW w:w="753" w:type="pct"/>
          </w:tcPr>
          <w:p w14:paraId="627C8763" w14:textId="77777777" w:rsidR="0054192F" w:rsidRPr="001735C9" w:rsidRDefault="0054192F" w:rsidP="00B16C62">
            <w:pPr>
              <w:pStyle w:val="TableHeading"/>
              <w:spacing w:before="0" w:after="0"/>
              <w:jc w:val="center"/>
            </w:pPr>
            <w:r w:rsidRPr="001735C9">
              <w:t>2024</w:t>
            </w:r>
          </w:p>
        </w:tc>
      </w:tr>
      <w:tr w:rsidR="0054192F" w:rsidRPr="001735C9" w14:paraId="3EFB1230" w14:textId="77777777" w:rsidTr="00F9490F">
        <w:trPr>
          <w:trHeight w:val="300"/>
        </w:trPr>
        <w:tc>
          <w:tcPr>
            <w:tcW w:w="1224" w:type="pct"/>
          </w:tcPr>
          <w:p w14:paraId="0F5163BB" w14:textId="77777777" w:rsidR="0054192F" w:rsidRPr="001735C9" w:rsidRDefault="0054192F" w:rsidP="00B16C62">
            <w:pPr>
              <w:widowControl w:val="0"/>
              <w:tabs>
                <w:tab w:val="left" w:pos="851"/>
              </w:tabs>
              <w:jc w:val="both"/>
              <w:rPr>
                <w:rFonts w:ascii="Arial Narrow" w:hAnsi="Arial Narrow"/>
                <w:b/>
                <w:sz w:val="20"/>
              </w:rPr>
            </w:pPr>
            <w:r w:rsidRPr="001735C9">
              <w:rPr>
                <w:rFonts w:ascii="Arial Narrow" w:hAnsi="Arial Narrow"/>
                <w:b/>
                <w:sz w:val="20"/>
              </w:rPr>
              <w:t>LDR-BT boost</w:t>
            </w:r>
          </w:p>
        </w:tc>
        <w:tc>
          <w:tcPr>
            <w:tcW w:w="752" w:type="pct"/>
          </w:tcPr>
          <w:p w14:paraId="406BC098"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8" w:type="pct"/>
          </w:tcPr>
          <w:p w14:paraId="00C861E3"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7" w:type="pct"/>
          </w:tcPr>
          <w:p w14:paraId="225FECB3"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6" w:type="pct"/>
          </w:tcPr>
          <w:p w14:paraId="55086173"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3" w:type="pct"/>
          </w:tcPr>
          <w:p w14:paraId="3D8F56A0"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r>
      <w:tr w:rsidR="0054192F" w:rsidRPr="001735C9" w14:paraId="6AC2E66F" w14:textId="77777777" w:rsidTr="00F9490F">
        <w:trPr>
          <w:trHeight w:val="300"/>
        </w:trPr>
        <w:tc>
          <w:tcPr>
            <w:tcW w:w="1224" w:type="pct"/>
          </w:tcPr>
          <w:p w14:paraId="40F5A204" w14:textId="77777777" w:rsidR="0054192F" w:rsidRPr="001735C9" w:rsidRDefault="0054192F" w:rsidP="00B16C62">
            <w:pPr>
              <w:widowControl w:val="0"/>
              <w:tabs>
                <w:tab w:val="left" w:pos="851"/>
              </w:tabs>
              <w:ind w:left="851" w:hanging="851"/>
              <w:jc w:val="both"/>
              <w:rPr>
                <w:rFonts w:ascii="Arial Narrow" w:hAnsi="Arial Narrow"/>
                <w:sz w:val="20"/>
              </w:rPr>
            </w:pPr>
            <w:r w:rsidRPr="001735C9">
              <w:rPr>
                <w:rFonts w:ascii="Arial Narrow" w:hAnsi="Arial Narrow"/>
                <w:sz w:val="20"/>
              </w:rPr>
              <w:t>Number of services</w:t>
            </w:r>
          </w:p>
        </w:tc>
        <w:tc>
          <w:tcPr>
            <w:tcW w:w="752" w:type="pct"/>
          </w:tcPr>
          <w:p w14:paraId="2A55407B" w14:textId="77777777" w:rsidR="0054192F" w:rsidRPr="001735C9" w:rsidRDefault="0054192F" w:rsidP="00B16C62">
            <w:pPr>
              <w:pStyle w:val="Tabletext0"/>
              <w:spacing w:before="0" w:after="0"/>
              <w:jc w:val="center"/>
            </w:pPr>
            <w:r w:rsidRPr="001735C9">
              <w:t>106.</w:t>
            </w:r>
            <w:r>
              <w:t>70</w:t>
            </w:r>
          </w:p>
        </w:tc>
        <w:tc>
          <w:tcPr>
            <w:tcW w:w="758" w:type="pct"/>
          </w:tcPr>
          <w:p w14:paraId="23977E09" w14:textId="77777777" w:rsidR="0054192F" w:rsidRPr="001735C9" w:rsidRDefault="0054192F" w:rsidP="00B16C62">
            <w:pPr>
              <w:pStyle w:val="Tabletext0"/>
              <w:spacing w:before="0" w:after="0"/>
              <w:jc w:val="center"/>
            </w:pPr>
            <w:r w:rsidRPr="001735C9">
              <w:t>110.69</w:t>
            </w:r>
          </w:p>
        </w:tc>
        <w:tc>
          <w:tcPr>
            <w:tcW w:w="757" w:type="pct"/>
          </w:tcPr>
          <w:p w14:paraId="05CAE076" w14:textId="77777777" w:rsidR="0054192F" w:rsidRPr="001735C9" w:rsidRDefault="0054192F" w:rsidP="00B16C62">
            <w:pPr>
              <w:pStyle w:val="Tabletext0"/>
              <w:spacing w:before="0" w:after="0"/>
              <w:jc w:val="center"/>
            </w:pPr>
            <w:r w:rsidRPr="001735C9">
              <w:t>115.57</w:t>
            </w:r>
          </w:p>
        </w:tc>
        <w:tc>
          <w:tcPr>
            <w:tcW w:w="756" w:type="pct"/>
          </w:tcPr>
          <w:p w14:paraId="5311C364" w14:textId="77777777" w:rsidR="0054192F" w:rsidRPr="001735C9" w:rsidRDefault="0054192F" w:rsidP="00B16C62">
            <w:pPr>
              <w:pStyle w:val="Tabletext0"/>
              <w:spacing w:before="0" w:after="0"/>
              <w:jc w:val="center"/>
            </w:pPr>
            <w:r w:rsidRPr="001735C9">
              <w:t>119.</w:t>
            </w:r>
            <w:r>
              <w:t>60</w:t>
            </w:r>
          </w:p>
        </w:tc>
        <w:tc>
          <w:tcPr>
            <w:tcW w:w="753" w:type="pct"/>
          </w:tcPr>
          <w:p w14:paraId="6B81B9D4" w14:textId="77777777" w:rsidR="0054192F" w:rsidRPr="001735C9" w:rsidRDefault="0054192F" w:rsidP="00B16C62">
            <w:pPr>
              <w:pStyle w:val="Tabletext0"/>
              <w:spacing w:before="0" w:after="0"/>
              <w:jc w:val="center"/>
            </w:pPr>
            <w:r w:rsidRPr="001735C9">
              <w:t>123.62</w:t>
            </w:r>
          </w:p>
        </w:tc>
      </w:tr>
      <w:tr w:rsidR="0054192F" w:rsidRPr="001735C9" w14:paraId="6E106874" w14:textId="77777777" w:rsidTr="00F9490F">
        <w:trPr>
          <w:trHeight w:val="315"/>
        </w:trPr>
        <w:tc>
          <w:tcPr>
            <w:tcW w:w="1224" w:type="pct"/>
          </w:tcPr>
          <w:p w14:paraId="520F2A3B" w14:textId="77777777" w:rsidR="0054192F" w:rsidRPr="001735C9" w:rsidRDefault="0054192F" w:rsidP="00B16C62">
            <w:pPr>
              <w:widowControl w:val="0"/>
              <w:rPr>
                <w:rFonts w:ascii="Arial Narrow" w:hAnsi="Arial Narrow"/>
                <w:sz w:val="20"/>
              </w:rPr>
            </w:pPr>
            <w:r w:rsidRPr="001735C9">
              <w:rPr>
                <w:rFonts w:ascii="Arial Narrow" w:hAnsi="Arial Narrow"/>
                <w:sz w:val="20"/>
              </w:rPr>
              <w:t>Sub-total cost</w:t>
            </w:r>
            <w:r>
              <w:rPr>
                <w:rFonts w:ascii="Arial Narrow" w:hAnsi="Arial Narrow"/>
                <w:sz w:val="20"/>
              </w:rPr>
              <w:t>*</w:t>
            </w:r>
          </w:p>
        </w:tc>
        <w:tc>
          <w:tcPr>
            <w:tcW w:w="752" w:type="pct"/>
          </w:tcPr>
          <w:p w14:paraId="2AD40794" w14:textId="77777777" w:rsidR="0054192F" w:rsidRPr="001735C9" w:rsidRDefault="0054192F" w:rsidP="00B16C62">
            <w:pPr>
              <w:pStyle w:val="Tabletext0"/>
              <w:spacing w:before="0" w:after="0"/>
              <w:jc w:val="center"/>
            </w:pPr>
            <w:r w:rsidRPr="000E1C41">
              <w:t xml:space="preserve"> $269,059.35 </w:t>
            </w:r>
          </w:p>
        </w:tc>
        <w:tc>
          <w:tcPr>
            <w:tcW w:w="758" w:type="pct"/>
          </w:tcPr>
          <w:p w14:paraId="2333930E" w14:textId="77777777" w:rsidR="0054192F" w:rsidRPr="001735C9" w:rsidRDefault="0054192F" w:rsidP="00B16C62">
            <w:pPr>
              <w:pStyle w:val="Tabletext0"/>
              <w:spacing w:before="0" w:after="0"/>
              <w:jc w:val="center"/>
            </w:pPr>
            <w:r w:rsidRPr="000E1C41">
              <w:t xml:space="preserve"> $279,127.37 </w:t>
            </w:r>
          </w:p>
        </w:tc>
        <w:tc>
          <w:tcPr>
            <w:tcW w:w="757" w:type="pct"/>
          </w:tcPr>
          <w:p w14:paraId="0C9D5535" w14:textId="77777777" w:rsidR="0054192F" w:rsidRPr="001735C9" w:rsidRDefault="0054192F" w:rsidP="00B16C62">
            <w:pPr>
              <w:pStyle w:val="Tabletext0"/>
              <w:spacing w:before="0" w:after="0"/>
              <w:jc w:val="center"/>
            </w:pPr>
            <w:r w:rsidRPr="000E1C41">
              <w:t xml:space="preserve"> $291,431.27 </w:t>
            </w:r>
          </w:p>
        </w:tc>
        <w:tc>
          <w:tcPr>
            <w:tcW w:w="756" w:type="pct"/>
          </w:tcPr>
          <w:p w14:paraId="0ADA92EC" w14:textId="77777777" w:rsidR="0054192F" w:rsidRPr="001735C9" w:rsidRDefault="0054192F" w:rsidP="00B16C62">
            <w:pPr>
              <w:pStyle w:val="Tabletext0"/>
              <w:spacing w:before="0" w:after="0"/>
              <w:jc w:val="center"/>
            </w:pPr>
            <w:r w:rsidRPr="000E1C41">
              <w:t xml:space="preserve"> $301,582.96 </w:t>
            </w:r>
          </w:p>
        </w:tc>
        <w:tc>
          <w:tcPr>
            <w:tcW w:w="753" w:type="pct"/>
          </w:tcPr>
          <w:p w14:paraId="7E4311D7" w14:textId="77777777" w:rsidR="0054192F" w:rsidRPr="001735C9" w:rsidRDefault="0054192F" w:rsidP="00B16C62">
            <w:pPr>
              <w:pStyle w:val="Tabletext0"/>
              <w:spacing w:before="0" w:after="0"/>
              <w:jc w:val="center"/>
            </w:pPr>
            <w:r w:rsidRPr="000E1C41">
              <w:t xml:space="preserve"> $311,734.65 </w:t>
            </w:r>
          </w:p>
        </w:tc>
      </w:tr>
      <w:tr w:rsidR="0054192F" w:rsidRPr="001735C9" w14:paraId="415FA99C" w14:textId="77777777" w:rsidTr="00F9490F">
        <w:trPr>
          <w:trHeight w:val="765"/>
        </w:trPr>
        <w:tc>
          <w:tcPr>
            <w:tcW w:w="1224" w:type="pct"/>
          </w:tcPr>
          <w:p w14:paraId="06841405" w14:textId="77777777" w:rsidR="0054192F" w:rsidRPr="001735C9" w:rsidRDefault="0054192F" w:rsidP="00B16C62">
            <w:pPr>
              <w:widowControl w:val="0"/>
              <w:rPr>
                <w:rFonts w:ascii="Arial Narrow" w:hAnsi="Arial Narrow"/>
                <w:b/>
                <w:sz w:val="20"/>
              </w:rPr>
            </w:pPr>
            <w:r w:rsidRPr="001735C9">
              <w:rPr>
                <w:rFonts w:ascii="Arial Narrow" w:hAnsi="Arial Narrow"/>
                <w:b/>
                <w:sz w:val="20"/>
              </w:rPr>
              <w:t>Increased usage services currently MBS listed (co-administered and adverse-effect treatment-related)</w:t>
            </w:r>
          </w:p>
        </w:tc>
        <w:tc>
          <w:tcPr>
            <w:tcW w:w="752" w:type="pct"/>
          </w:tcPr>
          <w:p w14:paraId="1400AA42"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8" w:type="pct"/>
          </w:tcPr>
          <w:p w14:paraId="7890606B"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7" w:type="pct"/>
          </w:tcPr>
          <w:p w14:paraId="55CFDCC9"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6" w:type="pct"/>
          </w:tcPr>
          <w:p w14:paraId="2255E4DC"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c>
          <w:tcPr>
            <w:tcW w:w="753" w:type="pct"/>
          </w:tcPr>
          <w:p w14:paraId="54399D98" w14:textId="77777777" w:rsidR="0054192F" w:rsidRPr="001735C9" w:rsidRDefault="0054192F" w:rsidP="00B16C62">
            <w:pPr>
              <w:widowControl w:val="0"/>
              <w:jc w:val="right"/>
              <w:rPr>
                <w:rFonts w:ascii="Arial Narrow" w:hAnsi="Arial Narrow"/>
                <w:b/>
                <w:color w:val="FFFFFF" w:themeColor="background1"/>
                <w:sz w:val="20"/>
              </w:rPr>
            </w:pPr>
            <w:r w:rsidRPr="001735C9">
              <w:rPr>
                <w:rFonts w:ascii="Arial Narrow" w:hAnsi="Arial Narrow"/>
                <w:b/>
                <w:color w:val="FFFFFF" w:themeColor="background1"/>
                <w:sz w:val="20"/>
              </w:rPr>
              <w:t>-</w:t>
            </w:r>
          </w:p>
        </w:tc>
      </w:tr>
      <w:tr w:rsidR="0054192F" w:rsidRPr="001735C9" w14:paraId="6865B418" w14:textId="77777777" w:rsidTr="00F9490F">
        <w:trPr>
          <w:trHeight w:val="300"/>
        </w:trPr>
        <w:tc>
          <w:tcPr>
            <w:tcW w:w="1224" w:type="pct"/>
          </w:tcPr>
          <w:p w14:paraId="0DFA93E7" w14:textId="77777777" w:rsidR="0054192F" w:rsidRPr="001735C9" w:rsidRDefault="0054192F" w:rsidP="00B16C62">
            <w:pPr>
              <w:widowControl w:val="0"/>
              <w:tabs>
                <w:tab w:val="left" w:pos="851"/>
              </w:tabs>
              <w:ind w:left="851" w:hanging="851"/>
              <w:jc w:val="both"/>
              <w:rPr>
                <w:rFonts w:ascii="Arial Narrow" w:hAnsi="Arial Narrow"/>
                <w:sz w:val="20"/>
              </w:rPr>
            </w:pPr>
            <w:r w:rsidRPr="001735C9">
              <w:rPr>
                <w:rFonts w:ascii="Arial Narrow" w:hAnsi="Arial Narrow"/>
                <w:sz w:val="20"/>
              </w:rPr>
              <w:t xml:space="preserve">Number of services </w:t>
            </w:r>
          </w:p>
        </w:tc>
        <w:tc>
          <w:tcPr>
            <w:tcW w:w="752" w:type="pct"/>
          </w:tcPr>
          <w:p w14:paraId="6108AA4E" w14:textId="77777777" w:rsidR="0054192F" w:rsidRPr="001735C9" w:rsidRDefault="0054192F" w:rsidP="00B16C62">
            <w:pPr>
              <w:pStyle w:val="Tabletext0"/>
              <w:spacing w:before="0" w:after="0"/>
              <w:jc w:val="center"/>
            </w:pPr>
            <w:r w:rsidRPr="001735C9">
              <w:t>106.</w:t>
            </w:r>
            <w:r>
              <w:t>70</w:t>
            </w:r>
          </w:p>
        </w:tc>
        <w:tc>
          <w:tcPr>
            <w:tcW w:w="758" w:type="pct"/>
          </w:tcPr>
          <w:p w14:paraId="247A64AE" w14:textId="77777777" w:rsidR="0054192F" w:rsidRPr="001735C9" w:rsidRDefault="0054192F" w:rsidP="00B16C62">
            <w:pPr>
              <w:pStyle w:val="Tabletext0"/>
              <w:spacing w:before="0" w:after="0"/>
              <w:jc w:val="center"/>
            </w:pPr>
            <w:r w:rsidRPr="001735C9">
              <w:t>110.69</w:t>
            </w:r>
          </w:p>
        </w:tc>
        <w:tc>
          <w:tcPr>
            <w:tcW w:w="757" w:type="pct"/>
          </w:tcPr>
          <w:p w14:paraId="067521BC" w14:textId="77777777" w:rsidR="0054192F" w:rsidRPr="001735C9" w:rsidRDefault="0054192F" w:rsidP="00B16C62">
            <w:pPr>
              <w:pStyle w:val="Tabletext0"/>
              <w:spacing w:before="0" w:after="0"/>
              <w:jc w:val="center"/>
            </w:pPr>
            <w:r w:rsidRPr="001735C9">
              <w:t>115.57</w:t>
            </w:r>
          </w:p>
        </w:tc>
        <w:tc>
          <w:tcPr>
            <w:tcW w:w="756" w:type="pct"/>
          </w:tcPr>
          <w:p w14:paraId="569BD774" w14:textId="77777777" w:rsidR="0054192F" w:rsidRPr="001735C9" w:rsidRDefault="0054192F" w:rsidP="00B16C62">
            <w:pPr>
              <w:pStyle w:val="Tabletext0"/>
              <w:spacing w:before="0" w:after="0"/>
              <w:jc w:val="center"/>
            </w:pPr>
            <w:r w:rsidRPr="001735C9">
              <w:t>119.</w:t>
            </w:r>
            <w:r>
              <w:t>60</w:t>
            </w:r>
          </w:p>
        </w:tc>
        <w:tc>
          <w:tcPr>
            <w:tcW w:w="753" w:type="pct"/>
          </w:tcPr>
          <w:p w14:paraId="33A552C9" w14:textId="77777777" w:rsidR="0054192F" w:rsidRPr="001735C9" w:rsidRDefault="0054192F" w:rsidP="00B16C62">
            <w:pPr>
              <w:pStyle w:val="Tabletext0"/>
              <w:spacing w:before="0" w:after="0"/>
              <w:jc w:val="center"/>
            </w:pPr>
            <w:r w:rsidRPr="001735C9">
              <w:t>123.62</w:t>
            </w:r>
          </w:p>
        </w:tc>
      </w:tr>
      <w:tr w:rsidR="0054192F" w:rsidRPr="001735C9" w14:paraId="2819A2F4" w14:textId="77777777" w:rsidTr="00F9490F">
        <w:trPr>
          <w:trHeight w:val="300"/>
        </w:trPr>
        <w:tc>
          <w:tcPr>
            <w:tcW w:w="1224" w:type="pct"/>
          </w:tcPr>
          <w:p w14:paraId="20BAFD13" w14:textId="77777777" w:rsidR="0054192F" w:rsidRDefault="0054192F" w:rsidP="00B16C62">
            <w:pPr>
              <w:widowControl w:val="0"/>
              <w:rPr>
                <w:rFonts w:ascii="Arial Narrow" w:hAnsi="Arial Narrow"/>
                <w:sz w:val="20"/>
              </w:rPr>
            </w:pPr>
            <w:r w:rsidRPr="001735C9">
              <w:rPr>
                <w:rFonts w:ascii="Arial Narrow" w:hAnsi="Arial Narrow"/>
                <w:sz w:val="20"/>
              </w:rPr>
              <w:t>Sub-total cost</w:t>
            </w:r>
            <w:r>
              <w:rPr>
                <w:rFonts w:ascii="Arial Narrow" w:hAnsi="Arial Narrow"/>
                <w:sz w:val="20"/>
              </w:rPr>
              <w:t>*</w:t>
            </w:r>
          </w:p>
          <w:p w14:paraId="408B7B26" w14:textId="77777777" w:rsidR="0054192F" w:rsidRPr="007B514F" w:rsidRDefault="0054192F" w:rsidP="00B16C62">
            <w:pPr>
              <w:widowControl w:val="0"/>
              <w:rPr>
                <w:rFonts w:ascii="Arial Narrow" w:hAnsi="Arial Narrow"/>
                <w:i/>
                <w:sz w:val="20"/>
              </w:rPr>
            </w:pPr>
            <w:r w:rsidRPr="007B514F">
              <w:rPr>
                <w:rFonts w:ascii="Arial Narrow" w:hAnsi="Arial Narrow"/>
                <w:i/>
                <w:sz w:val="20"/>
              </w:rPr>
              <w:t>Critique’s values</w:t>
            </w:r>
          </w:p>
        </w:tc>
        <w:tc>
          <w:tcPr>
            <w:tcW w:w="752" w:type="pct"/>
          </w:tcPr>
          <w:p w14:paraId="420031F4" w14:textId="77777777" w:rsidR="0054192F" w:rsidRDefault="0054192F" w:rsidP="00B16C62">
            <w:pPr>
              <w:pStyle w:val="Tabletext0"/>
              <w:spacing w:before="0" w:after="0"/>
              <w:jc w:val="center"/>
            </w:pPr>
            <w:r w:rsidRPr="00B53C72">
              <w:t xml:space="preserve"> $96,439.00</w:t>
            </w:r>
          </w:p>
          <w:p w14:paraId="1C892C9E" w14:textId="77777777" w:rsidR="0054192F" w:rsidRPr="007B514F" w:rsidRDefault="0054192F" w:rsidP="00B16C62">
            <w:pPr>
              <w:pStyle w:val="Tabletext0"/>
              <w:spacing w:before="0" w:after="0"/>
              <w:jc w:val="center"/>
              <w:rPr>
                <w:i/>
              </w:rPr>
            </w:pPr>
            <w:r w:rsidRPr="00B53C72">
              <w:t xml:space="preserve"> </w:t>
            </w:r>
            <w:r w:rsidRPr="007B514F">
              <w:rPr>
                <w:i/>
              </w:rPr>
              <w:t>$96,</w:t>
            </w:r>
            <w:r>
              <w:rPr>
                <w:i/>
              </w:rPr>
              <w:t>670.67</w:t>
            </w:r>
          </w:p>
        </w:tc>
        <w:tc>
          <w:tcPr>
            <w:tcW w:w="758" w:type="pct"/>
          </w:tcPr>
          <w:p w14:paraId="55816E1B" w14:textId="77777777" w:rsidR="0054192F" w:rsidRDefault="0054192F" w:rsidP="00B16C62">
            <w:pPr>
              <w:pStyle w:val="Tabletext0"/>
              <w:spacing w:before="0" w:after="0"/>
              <w:jc w:val="center"/>
            </w:pPr>
            <w:r w:rsidRPr="00B53C72">
              <w:t xml:space="preserve"> $100,047.68</w:t>
            </w:r>
          </w:p>
          <w:p w14:paraId="6169F14D" w14:textId="77777777" w:rsidR="0054192F" w:rsidRPr="001735C9" w:rsidRDefault="0054192F" w:rsidP="00B16C62">
            <w:pPr>
              <w:pStyle w:val="Tabletext0"/>
              <w:spacing w:before="0" w:after="0"/>
              <w:jc w:val="center"/>
            </w:pPr>
            <w:r>
              <w:rPr>
                <w:i/>
              </w:rPr>
              <w:t>$100,288.02</w:t>
            </w:r>
            <w:r w:rsidRPr="00B53C72">
              <w:t xml:space="preserve"> </w:t>
            </w:r>
          </w:p>
        </w:tc>
        <w:tc>
          <w:tcPr>
            <w:tcW w:w="757" w:type="pct"/>
          </w:tcPr>
          <w:p w14:paraId="385AFB9A" w14:textId="77777777" w:rsidR="0054192F" w:rsidRDefault="0054192F" w:rsidP="00B16C62">
            <w:pPr>
              <w:pStyle w:val="Tabletext0"/>
              <w:spacing w:before="0" w:after="0"/>
              <w:jc w:val="center"/>
            </w:pPr>
            <w:r w:rsidRPr="00B53C72">
              <w:t xml:space="preserve"> $104,457.77 </w:t>
            </w:r>
          </w:p>
          <w:p w14:paraId="15731A9D" w14:textId="77777777" w:rsidR="0054192F" w:rsidRPr="007B514F" w:rsidRDefault="0054192F" w:rsidP="00B16C62">
            <w:pPr>
              <w:pStyle w:val="Tabletext0"/>
              <w:spacing w:before="0" w:after="0"/>
              <w:jc w:val="center"/>
              <w:rPr>
                <w:i/>
              </w:rPr>
            </w:pPr>
            <w:r w:rsidRPr="007B514F">
              <w:rPr>
                <w:i/>
              </w:rPr>
              <w:t>$104,708.70</w:t>
            </w:r>
          </w:p>
        </w:tc>
        <w:tc>
          <w:tcPr>
            <w:tcW w:w="756" w:type="pct"/>
          </w:tcPr>
          <w:p w14:paraId="7BD0C070" w14:textId="77777777" w:rsidR="0054192F" w:rsidRDefault="0054192F" w:rsidP="00B16C62">
            <w:pPr>
              <w:pStyle w:val="Tabletext0"/>
              <w:spacing w:before="0" w:after="0"/>
              <w:jc w:val="center"/>
            </w:pPr>
            <w:r w:rsidRPr="00B53C72">
              <w:t xml:space="preserve"> $108,096.44</w:t>
            </w:r>
          </w:p>
          <w:p w14:paraId="12738CDD" w14:textId="77777777" w:rsidR="0054192F" w:rsidRPr="007B514F" w:rsidRDefault="0054192F" w:rsidP="00B16C62">
            <w:pPr>
              <w:pStyle w:val="Tabletext0"/>
              <w:spacing w:before="0" w:after="0"/>
              <w:jc w:val="center"/>
              <w:rPr>
                <w:i/>
              </w:rPr>
            </w:pPr>
            <w:r w:rsidRPr="007B514F">
              <w:rPr>
                <w:i/>
              </w:rPr>
              <w:t xml:space="preserve">$108,356.12 </w:t>
            </w:r>
          </w:p>
        </w:tc>
        <w:tc>
          <w:tcPr>
            <w:tcW w:w="753" w:type="pct"/>
          </w:tcPr>
          <w:p w14:paraId="75EFBDA5" w14:textId="77777777" w:rsidR="0054192F" w:rsidRDefault="0054192F" w:rsidP="00B16C62">
            <w:pPr>
              <w:pStyle w:val="Tabletext0"/>
              <w:spacing w:before="0" w:after="0"/>
              <w:jc w:val="center"/>
            </w:pPr>
            <w:r w:rsidRPr="00B53C72">
              <w:t xml:space="preserve"> $111,735.12 </w:t>
            </w:r>
          </w:p>
          <w:p w14:paraId="094B4819" w14:textId="77777777" w:rsidR="0054192F" w:rsidRPr="007B514F" w:rsidRDefault="0054192F" w:rsidP="00B16C62">
            <w:pPr>
              <w:pStyle w:val="Tabletext0"/>
              <w:spacing w:before="0" w:after="0"/>
              <w:jc w:val="center"/>
              <w:rPr>
                <w:i/>
              </w:rPr>
            </w:pPr>
            <w:r w:rsidRPr="007B514F">
              <w:rPr>
                <w:i/>
              </w:rPr>
              <w:t>$112,003.53</w:t>
            </w:r>
          </w:p>
        </w:tc>
      </w:tr>
      <w:tr w:rsidR="0054192F" w:rsidRPr="00183E4D" w14:paraId="16B87AE5" w14:textId="77777777" w:rsidTr="00F9490F">
        <w:trPr>
          <w:trHeight w:val="315"/>
        </w:trPr>
        <w:tc>
          <w:tcPr>
            <w:tcW w:w="1224" w:type="pct"/>
          </w:tcPr>
          <w:p w14:paraId="7A8D2322" w14:textId="77777777" w:rsidR="0054192F" w:rsidRPr="001735C9" w:rsidRDefault="0054192F" w:rsidP="00B16C62">
            <w:pPr>
              <w:widowControl w:val="0"/>
              <w:rPr>
                <w:rFonts w:ascii="Arial Narrow" w:hAnsi="Arial Narrow"/>
                <w:b/>
                <w:sz w:val="20"/>
              </w:rPr>
            </w:pPr>
            <w:r w:rsidRPr="001735C9">
              <w:rPr>
                <w:rFonts w:ascii="Arial Narrow" w:hAnsi="Arial Narrow"/>
                <w:b/>
                <w:sz w:val="20"/>
              </w:rPr>
              <w:t>Decreased usage services currently MBS listed (HDR-BT boost)</w:t>
            </w:r>
          </w:p>
        </w:tc>
        <w:tc>
          <w:tcPr>
            <w:tcW w:w="752" w:type="pct"/>
          </w:tcPr>
          <w:p w14:paraId="1389CDE9" w14:textId="77777777" w:rsidR="0054192F" w:rsidRPr="001735C9" w:rsidRDefault="0054192F" w:rsidP="00B16C62">
            <w:pPr>
              <w:pStyle w:val="Tabletext0"/>
              <w:spacing w:before="0" w:after="0"/>
              <w:jc w:val="center"/>
              <w:rPr>
                <w:b/>
              </w:rPr>
            </w:pPr>
            <w:r w:rsidRPr="001735C9">
              <w:rPr>
                <w:b/>
                <w:color w:val="FFFFFF" w:themeColor="background1"/>
              </w:rPr>
              <w:t>-</w:t>
            </w:r>
          </w:p>
        </w:tc>
        <w:tc>
          <w:tcPr>
            <w:tcW w:w="758" w:type="pct"/>
          </w:tcPr>
          <w:p w14:paraId="28AD0F2E" w14:textId="77777777" w:rsidR="0054192F" w:rsidRPr="001735C9" w:rsidRDefault="0054192F" w:rsidP="00B16C62">
            <w:pPr>
              <w:pStyle w:val="Tabletext0"/>
              <w:spacing w:before="0" w:after="0"/>
              <w:jc w:val="center"/>
              <w:rPr>
                <w:b/>
              </w:rPr>
            </w:pPr>
            <w:r w:rsidRPr="001735C9">
              <w:rPr>
                <w:b/>
                <w:color w:val="FFFFFF" w:themeColor="background1"/>
              </w:rPr>
              <w:t>-</w:t>
            </w:r>
          </w:p>
        </w:tc>
        <w:tc>
          <w:tcPr>
            <w:tcW w:w="757" w:type="pct"/>
          </w:tcPr>
          <w:p w14:paraId="122C1FA5" w14:textId="77777777" w:rsidR="0054192F" w:rsidRPr="001735C9" w:rsidRDefault="0054192F" w:rsidP="00B16C62">
            <w:pPr>
              <w:pStyle w:val="Tabletext0"/>
              <w:spacing w:before="0" w:after="0"/>
              <w:jc w:val="center"/>
              <w:rPr>
                <w:b/>
              </w:rPr>
            </w:pPr>
            <w:r w:rsidRPr="001735C9">
              <w:rPr>
                <w:b/>
                <w:color w:val="FFFFFF" w:themeColor="background1"/>
              </w:rPr>
              <w:t>-</w:t>
            </w:r>
          </w:p>
        </w:tc>
        <w:tc>
          <w:tcPr>
            <w:tcW w:w="756" w:type="pct"/>
          </w:tcPr>
          <w:p w14:paraId="41C6BECE" w14:textId="77777777" w:rsidR="0054192F" w:rsidRPr="001735C9" w:rsidRDefault="0054192F" w:rsidP="00B16C62">
            <w:pPr>
              <w:pStyle w:val="Tabletext0"/>
              <w:spacing w:before="0" w:after="0"/>
              <w:jc w:val="center"/>
              <w:rPr>
                <w:b/>
              </w:rPr>
            </w:pPr>
            <w:r w:rsidRPr="001735C9">
              <w:rPr>
                <w:b/>
                <w:color w:val="FFFFFF" w:themeColor="background1"/>
              </w:rPr>
              <w:t>-</w:t>
            </w:r>
          </w:p>
        </w:tc>
        <w:tc>
          <w:tcPr>
            <w:tcW w:w="753" w:type="pct"/>
          </w:tcPr>
          <w:p w14:paraId="0092B1B7" w14:textId="77777777" w:rsidR="0054192F" w:rsidRPr="00183E4D" w:rsidRDefault="0054192F" w:rsidP="00B16C62">
            <w:pPr>
              <w:pStyle w:val="Tabletext0"/>
              <w:spacing w:before="0" w:after="0"/>
              <w:jc w:val="center"/>
              <w:rPr>
                <w:b/>
              </w:rPr>
            </w:pPr>
            <w:r w:rsidRPr="001735C9">
              <w:rPr>
                <w:b/>
                <w:color w:val="FFFFFF" w:themeColor="background1"/>
              </w:rPr>
              <w:t>-</w:t>
            </w:r>
          </w:p>
        </w:tc>
      </w:tr>
      <w:tr w:rsidR="0054192F" w:rsidRPr="00183E4D" w14:paraId="4E35E606" w14:textId="77777777" w:rsidTr="00F9490F">
        <w:trPr>
          <w:trHeight w:val="315"/>
        </w:trPr>
        <w:tc>
          <w:tcPr>
            <w:tcW w:w="1224" w:type="pct"/>
          </w:tcPr>
          <w:p w14:paraId="3E4F6C9F" w14:textId="77777777" w:rsidR="0054192F" w:rsidRPr="00183E4D" w:rsidRDefault="0054192F" w:rsidP="00B16C62">
            <w:pPr>
              <w:widowControl w:val="0"/>
              <w:rPr>
                <w:rFonts w:ascii="Arial Narrow" w:hAnsi="Arial Narrow"/>
                <w:b/>
                <w:sz w:val="20"/>
              </w:rPr>
            </w:pPr>
            <w:r w:rsidRPr="00183E4D">
              <w:rPr>
                <w:rFonts w:ascii="Arial Narrow" w:hAnsi="Arial Narrow"/>
                <w:sz w:val="20"/>
              </w:rPr>
              <w:t xml:space="preserve">Number of services </w:t>
            </w:r>
          </w:p>
        </w:tc>
        <w:tc>
          <w:tcPr>
            <w:tcW w:w="752" w:type="pct"/>
          </w:tcPr>
          <w:p w14:paraId="0806F568" w14:textId="77777777" w:rsidR="0054192F" w:rsidRPr="00183E4D" w:rsidRDefault="0054192F" w:rsidP="00B16C62">
            <w:pPr>
              <w:pStyle w:val="Tabletext0"/>
              <w:spacing w:before="0" w:after="0"/>
              <w:jc w:val="center"/>
              <w:rPr>
                <w:b/>
              </w:rPr>
            </w:pPr>
            <w:r w:rsidRPr="001735C9">
              <w:t>106.</w:t>
            </w:r>
            <w:r>
              <w:t>70</w:t>
            </w:r>
          </w:p>
        </w:tc>
        <w:tc>
          <w:tcPr>
            <w:tcW w:w="758" w:type="pct"/>
          </w:tcPr>
          <w:p w14:paraId="0E01464A" w14:textId="77777777" w:rsidR="0054192F" w:rsidRPr="00183E4D" w:rsidRDefault="0054192F" w:rsidP="00B16C62">
            <w:pPr>
              <w:pStyle w:val="Tabletext0"/>
              <w:spacing w:before="0" w:after="0"/>
              <w:jc w:val="center"/>
              <w:rPr>
                <w:b/>
              </w:rPr>
            </w:pPr>
            <w:r w:rsidRPr="001735C9">
              <w:t>110.69</w:t>
            </w:r>
          </w:p>
        </w:tc>
        <w:tc>
          <w:tcPr>
            <w:tcW w:w="757" w:type="pct"/>
          </w:tcPr>
          <w:p w14:paraId="61F23E80" w14:textId="77777777" w:rsidR="0054192F" w:rsidRPr="00183E4D" w:rsidRDefault="0054192F" w:rsidP="00B16C62">
            <w:pPr>
              <w:pStyle w:val="Tabletext0"/>
              <w:spacing w:before="0" w:after="0"/>
              <w:jc w:val="center"/>
              <w:rPr>
                <w:b/>
              </w:rPr>
            </w:pPr>
            <w:r w:rsidRPr="001735C9">
              <w:t>115.57</w:t>
            </w:r>
          </w:p>
        </w:tc>
        <w:tc>
          <w:tcPr>
            <w:tcW w:w="756" w:type="pct"/>
          </w:tcPr>
          <w:p w14:paraId="2554A87E" w14:textId="77777777" w:rsidR="0054192F" w:rsidRPr="00183E4D" w:rsidRDefault="0054192F" w:rsidP="00B16C62">
            <w:pPr>
              <w:pStyle w:val="Tabletext0"/>
              <w:spacing w:before="0" w:after="0"/>
              <w:jc w:val="center"/>
              <w:rPr>
                <w:b/>
              </w:rPr>
            </w:pPr>
            <w:r w:rsidRPr="001735C9">
              <w:t>119.</w:t>
            </w:r>
            <w:r>
              <w:t>60</w:t>
            </w:r>
          </w:p>
        </w:tc>
        <w:tc>
          <w:tcPr>
            <w:tcW w:w="753" w:type="pct"/>
          </w:tcPr>
          <w:p w14:paraId="3BD0A425" w14:textId="77777777" w:rsidR="0054192F" w:rsidRPr="00183E4D" w:rsidRDefault="0054192F" w:rsidP="00B16C62">
            <w:pPr>
              <w:pStyle w:val="Tabletext0"/>
              <w:spacing w:before="0" w:after="0"/>
              <w:jc w:val="center"/>
              <w:rPr>
                <w:b/>
              </w:rPr>
            </w:pPr>
            <w:r w:rsidRPr="001735C9">
              <w:t>123.62</w:t>
            </w:r>
          </w:p>
        </w:tc>
      </w:tr>
      <w:tr w:rsidR="0054192F" w:rsidRPr="00183E4D" w14:paraId="3D8E3F13" w14:textId="77777777" w:rsidTr="00F9490F">
        <w:trPr>
          <w:trHeight w:val="315"/>
        </w:trPr>
        <w:tc>
          <w:tcPr>
            <w:tcW w:w="1224" w:type="pct"/>
          </w:tcPr>
          <w:p w14:paraId="04C65212" w14:textId="77777777" w:rsidR="0054192F" w:rsidRPr="00183E4D" w:rsidRDefault="0054192F" w:rsidP="00B16C62">
            <w:pPr>
              <w:widowControl w:val="0"/>
              <w:rPr>
                <w:rFonts w:ascii="Arial Narrow" w:hAnsi="Arial Narrow"/>
                <w:b/>
                <w:sz w:val="20"/>
              </w:rPr>
            </w:pPr>
            <w:r w:rsidRPr="00183E4D">
              <w:rPr>
                <w:rFonts w:ascii="Arial Narrow" w:hAnsi="Arial Narrow"/>
                <w:sz w:val="20"/>
              </w:rPr>
              <w:t>Sub-total cost</w:t>
            </w:r>
            <w:r>
              <w:rPr>
                <w:rFonts w:ascii="Arial Narrow" w:hAnsi="Arial Narrow"/>
                <w:sz w:val="20"/>
              </w:rPr>
              <w:t>*</w:t>
            </w:r>
          </w:p>
        </w:tc>
        <w:tc>
          <w:tcPr>
            <w:tcW w:w="752" w:type="pct"/>
          </w:tcPr>
          <w:p w14:paraId="47472081" w14:textId="77777777" w:rsidR="0054192F" w:rsidRPr="00183E4D" w:rsidRDefault="0054192F" w:rsidP="00B16C62">
            <w:pPr>
              <w:pStyle w:val="Tabletext0"/>
              <w:spacing w:before="0" w:after="0"/>
              <w:jc w:val="center"/>
              <w:rPr>
                <w:b/>
              </w:rPr>
            </w:pPr>
            <w:r w:rsidRPr="002E30D4">
              <w:t xml:space="preserve"> </w:t>
            </w:r>
            <w:r>
              <w:t>-</w:t>
            </w:r>
            <w:r w:rsidRPr="002E30D4">
              <w:t xml:space="preserve">$313,951.47 </w:t>
            </w:r>
          </w:p>
        </w:tc>
        <w:tc>
          <w:tcPr>
            <w:tcW w:w="758" w:type="pct"/>
          </w:tcPr>
          <w:p w14:paraId="0EB6D5E6" w14:textId="77777777" w:rsidR="0054192F" w:rsidRPr="00183E4D" w:rsidRDefault="0054192F" w:rsidP="00B16C62">
            <w:pPr>
              <w:pStyle w:val="Tabletext0"/>
              <w:spacing w:before="0" w:after="0"/>
              <w:jc w:val="center"/>
              <w:rPr>
                <w:b/>
              </w:rPr>
            </w:pPr>
            <w:r w:rsidRPr="002E30D4">
              <w:t xml:space="preserve"> </w:t>
            </w:r>
            <w:r>
              <w:t>-</w:t>
            </w:r>
            <w:r w:rsidRPr="002E30D4">
              <w:t xml:space="preserve">$325,699.34 </w:t>
            </w:r>
          </w:p>
        </w:tc>
        <w:tc>
          <w:tcPr>
            <w:tcW w:w="757" w:type="pct"/>
          </w:tcPr>
          <w:p w14:paraId="173894A6" w14:textId="77777777" w:rsidR="0054192F" w:rsidRPr="00183E4D" w:rsidRDefault="0054192F" w:rsidP="00B16C62">
            <w:pPr>
              <w:pStyle w:val="Tabletext0"/>
              <w:spacing w:before="0" w:after="0"/>
              <w:jc w:val="center"/>
              <w:rPr>
                <w:b/>
              </w:rPr>
            </w:pPr>
            <w:r w:rsidRPr="002E30D4">
              <w:t xml:space="preserve"> </w:t>
            </w:r>
            <w:r>
              <w:t>-</w:t>
            </w:r>
            <w:r w:rsidRPr="002E30D4">
              <w:t xml:space="preserve">$340,056.12 </w:t>
            </w:r>
          </w:p>
        </w:tc>
        <w:tc>
          <w:tcPr>
            <w:tcW w:w="756" w:type="pct"/>
          </w:tcPr>
          <w:p w14:paraId="70AB71B4" w14:textId="77777777" w:rsidR="0054192F" w:rsidRPr="00183E4D" w:rsidRDefault="0054192F" w:rsidP="00B16C62">
            <w:pPr>
              <w:pStyle w:val="Tabletext0"/>
              <w:spacing w:before="0" w:after="0"/>
              <w:jc w:val="center"/>
              <w:rPr>
                <w:b/>
              </w:rPr>
            </w:pPr>
            <w:r w:rsidRPr="002E30D4">
              <w:t xml:space="preserve"> </w:t>
            </w:r>
            <w:r>
              <w:t>-</w:t>
            </w:r>
            <w:r w:rsidRPr="002E30D4">
              <w:t xml:space="preserve">$351,901.60 </w:t>
            </w:r>
          </w:p>
        </w:tc>
        <w:tc>
          <w:tcPr>
            <w:tcW w:w="753" w:type="pct"/>
          </w:tcPr>
          <w:p w14:paraId="7C35F894" w14:textId="77777777" w:rsidR="0054192F" w:rsidRPr="00183E4D" w:rsidRDefault="0054192F" w:rsidP="00B16C62">
            <w:pPr>
              <w:pStyle w:val="Tabletext0"/>
              <w:spacing w:before="0" w:after="0"/>
              <w:jc w:val="center"/>
              <w:rPr>
                <w:b/>
              </w:rPr>
            </w:pPr>
            <w:r w:rsidRPr="002E30D4">
              <w:t xml:space="preserve"> </w:t>
            </w:r>
            <w:r>
              <w:t>-</w:t>
            </w:r>
            <w:r w:rsidRPr="002E30D4">
              <w:t xml:space="preserve">$363,747.09 </w:t>
            </w:r>
          </w:p>
        </w:tc>
      </w:tr>
      <w:tr w:rsidR="0054192F" w:rsidRPr="00183E4D" w14:paraId="6F7B2D6A" w14:textId="77777777" w:rsidTr="00F9490F">
        <w:trPr>
          <w:trHeight w:val="315"/>
        </w:trPr>
        <w:tc>
          <w:tcPr>
            <w:tcW w:w="1224" w:type="pct"/>
          </w:tcPr>
          <w:p w14:paraId="151698BE" w14:textId="77777777" w:rsidR="0054192F" w:rsidRDefault="0054192F" w:rsidP="00B16C62">
            <w:pPr>
              <w:widowControl w:val="0"/>
              <w:rPr>
                <w:rFonts w:ascii="Arial Narrow" w:hAnsi="Arial Narrow"/>
                <w:b/>
                <w:sz w:val="20"/>
              </w:rPr>
            </w:pPr>
            <w:r w:rsidRPr="00183E4D">
              <w:rPr>
                <w:rFonts w:ascii="Arial Narrow" w:hAnsi="Arial Narrow"/>
                <w:b/>
                <w:sz w:val="20"/>
              </w:rPr>
              <w:t>Total cost</w:t>
            </w:r>
          </w:p>
          <w:p w14:paraId="1EEE6686" w14:textId="77777777" w:rsidR="0054192F" w:rsidRPr="00183E4D" w:rsidRDefault="0054192F" w:rsidP="00B16C62">
            <w:pPr>
              <w:widowControl w:val="0"/>
              <w:rPr>
                <w:rFonts w:ascii="Arial Narrow" w:hAnsi="Arial Narrow"/>
                <w:b/>
                <w:sz w:val="20"/>
              </w:rPr>
            </w:pPr>
            <w:r w:rsidRPr="00BD2875">
              <w:rPr>
                <w:rFonts w:ascii="Arial Narrow" w:hAnsi="Arial Narrow"/>
                <w:i/>
                <w:sz w:val="20"/>
              </w:rPr>
              <w:t>Critique’s values</w:t>
            </w:r>
          </w:p>
        </w:tc>
        <w:tc>
          <w:tcPr>
            <w:tcW w:w="752" w:type="pct"/>
          </w:tcPr>
          <w:p w14:paraId="3ADFF0AE" w14:textId="77777777" w:rsidR="0054192F" w:rsidRDefault="0054192F" w:rsidP="00B16C62">
            <w:pPr>
              <w:pStyle w:val="Tabletext0"/>
              <w:spacing w:before="0" w:after="0"/>
              <w:jc w:val="center"/>
              <w:rPr>
                <w:b/>
              </w:rPr>
            </w:pPr>
            <w:r w:rsidRPr="006E2FE4">
              <w:rPr>
                <w:b/>
              </w:rPr>
              <w:t xml:space="preserve"> $51,546.87</w:t>
            </w:r>
          </w:p>
          <w:p w14:paraId="3C21206C" w14:textId="77777777" w:rsidR="0054192F" w:rsidRPr="00285230" w:rsidRDefault="0054192F" w:rsidP="00B16C62">
            <w:pPr>
              <w:pStyle w:val="Tabletext0"/>
              <w:spacing w:before="0" w:after="0"/>
              <w:jc w:val="center"/>
              <w:rPr>
                <w:b/>
              </w:rPr>
            </w:pPr>
            <w:r w:rsidRPr="00FF217C">
              <w:rPr>
                <w:i/>
              </w:rPr>
              <w:t xml:space="preserve">$51,778.54 </w:t>
            </w:r>
          </w:p>
        </w:tc>
        <w:tc>
          <w:tcPr>
            <w:tcW w:w="758" w:type="pct"/>
          </w:tcPr>
          <w:p w14:paraId="5DE5A793" w14:textId="77777777" w:rsidR="0054192F" w:rsidRDefault="0054192F" w:rsidP="00B16C62">
            <w:pPr>
              <w:pStyle w:val="Tabletext0"/>
              <w:spacing w:before="0" w:after="0"/>
              <w:jc w:val="center"/>
              <w:rPr>
                <w:b/>
              </w:rPr>
            </w:pPr>
            <w:r w:rsidRPr="006E2FE4">
              <w:rPr>
                <w:b/>
              </w:rPr>
              <w:t xml:space="preserve"> $53,475.72</w:t>
            </w:r>
          </w:p>
          <w:p w14:paraId="4E5A9229" w14:textId="77777777" w:rsidR="0054192F" w:rsidRPr="00285230" w:rsidRDefault="0054192F" w:rsidP="00B16C62">
            <w:pPr>
              <w:pStyle w:val="Tabletext0"/>
              <w:spacing w:before="0" w:after="0"/>
              <w:jc w:val="center"/>
              <w:rPr>
                <w:b/>
              </w:rPr>
            </w:pPr>
            <w:r w:rsidRPr="00FF217C">
              <w:rPr>
                <w:i/>
              </w:rPr>
              <w:t xml:space="preserve">$53,716,06 </w:t>
            </w:r>
          </w:p>
        </w:tc>
        <w:tc>
          <w:tcPr>
            <w:tcW w:w="757" w:type="pct"/>
          </w:tcPr>
          <w:p w14:paraId="03A60DFC" w14:textId="77777777" w:rsidR="0054192F" w:rsidRDefault="0054192F" w:rsidP="00B16C62">
            <w:pPr>
              <w:pStyle w:val="Tabletext0"/>
              <w:spacing w:before="0" w:after="0"/>
              <w:jc w:val="center"/>
              <w:rPr>
                <w:b/>
              </w:rPr>
            </w:pPr>
            <w:r w:rsidRPr="006E2FE4">
              <w:rPr>
                <w:b/>
              </w:rPr>
              <w:t xml:space="preserve"> $55,832.92 </w:t>
            </w:r>
          </w:p>
          <w:p w14:paraId="14731CEB" w14:textId="77777777" w:rsidR="0054192F" w:rsidRPr="00285230" w:rsidRDefault="0054192F" w:rsidP="00B16C62">
            <w:pPr>
              <w:pStyle w:val="Tabletext0"/>
              <w:spacing w:before="0" w:after="0"/>
              <w:jc w:val="center"/>
              <w:rPr>
                <w:b/>
              </w:rPr>
            </w:pPr>
            <w:r w:rsidRPr="00FF217C">
              <w:rPr>
                <w:i/>
              </w:rPr>
              <w:t>$56,038.86</w:t>
            </w:r>
          </w:p>
        </w:tc>
        <w:tc>
          <w:tcPr>
            <w:tcW w:w="756" w:type="pct"/>
          </w:tcPr>
          <w:p w14:paraId="1F2928D5" w14:textId="77777777" w:rsidR="0054192F" w:rsidRDefault="0054192F" w:rsidP="00B16C62">
            <w:pPr>
              <w:pStyle w:val="Tabletext0"/>
              <w:spacing w:before="0" w:after="0"/>
              <w:jc w:val="center"/>
              <w:rPr>
                <w:b/>
              </w:rPr>
            </w:pPr>
            <w:r w:rsidRPr="006E2FE4">
              <w:rPr>
                <w:b/>
              </w:rPr>
              <w:t xml:space="preserve"> $57,777.80</w:t>
            </w:r>
          </w:p>
          <w:p w14:paraId="09103578" w14:textId="77777777" w:rsidR="0054192F" w:rsidRPr="00285230" w:rsidRDefault="0054192F" w:rsidP="00B16C62">
            <w:pPr>
              <w:pStyle w:val="Tabletext0"/>
              <w:spacing w:before="0" w:after="0"/>
              <w:jc w:val="center"/>
              <w:rPr>
                <w:b/>
              </w:rPr>
            </w:pPr>
            <w:r w:rsidRPr="00FF217C">
              <w:rPr>
                <w:i/>
              </w:rPr>
              <w:t xml:space="preserve">$58,037.48 </w:t>
            </w:r>
          </w:p>
        </w:tc>
        <w:tc>
          <w:tcPr>
            <w:tcW w:w="753" w:type="pct"/>
          </w:tcPr>
          <w:p w14:paraId="4DDFF803" w14:textId="77777777" w:rsidR="0054192F" w:rsidRDefault="0054192F" w:rsidP="00B16C62">
            <w:pPr>
              <w:pStyle w:val="Tabletext0"/>
              <w:spacing w:before="0" w:after="0"/>
              <w:jc w:val="center"/>
              <w:rPr>
                <w:b/>
              </w:rPr>
            </w:pPr>
            <w:r w:rsidRPr="006E2FE4">
              <w:rPr>
                <w:b/>
              </w:rPr>
              <w:t xml:space="preserve"> $59,722.68</w:t>
            </w:r>
          </w:p>
          <w:p w14:paraId="243A6681" w14:textId="77777777" w:rsidR="0054192F" w:rsidRPr="00285230" w:rsidRDefault="0054192F" w:rsidP="00B16C62">
            <w:pPr>
              <w:pStyle w:val="Tabletext0"/>
              <w:spacing w:before="0" w:after="0"/>
              <w:jc w:val="center"/>
              <w:rPr>
                <w:b/>
              </w:rPr>
            </w:pPr>
            <w:r w:rsidRPr="00FF217C">
              <w:rPr>
                <w:i/>
              </w:rPr>
              <w:t xml:space="preserve">$59,991.10 </w:t>
            </w:r>
          </w:p>
        </w:tc>
      </w:tr>
    </w:tbl>
    <w:p w14:paraId="638A3171" w14:textId="77777777" w:rsidR="0054192F" w:rsidRDefault="0054192F" w:rsidP="00FC1554">
      <w:pPr>
        <w:pStyle w:val="Tablenotes"/>
      </w:pPr>
      <w:r>
        <w:t>* Medical services delivered in inpatient settings were calculated at 75% of MBS fee. If it was deemed feasible to deliver a service in outpatient settings, 85% of total fee was used.</w:t>
      </w:r>
    </w:p>
    <w:p w14:paraId="4797B8A8" w14:textId="77777777" w:rsidR="0054192F" w:rsidRPr="00AD289A" w:rsidRDefault="0054192F" w:rsidP="00F12C78">
      <w:pPr>
        <w:pStyle w:val="Tablenotes"/>
      </w:pPr>
      <w:r>
        <w:t>Abbreviations: HDR-BT=high-dose rate brachytherapy; LDR-BT=low-dose rate brachytherapy</w:t>
      </w:r>
    </w:p>
    <w:p w14:paraId="2293E17F" w14:textId="77777777" w:rsidR="0054192F" w:rsidRDefault="0054192F" w:rsidP="0054192F">
      <w:pPr>
        <w:tabs>
          <w:tab w:val="left" w:pos="720"/>
          <w:tab w:val="left" w:pos="1140"/>
        </w:tabs>
      </w:pPr>
      <w:r>
        <w:t>The Critique stated c</w:t>
      </w:r>
      <w:r w:rsidRPr="00E75CB2">
        <w:t>onsideration should have been given to the impact on PBS of funding LDR-BT boost, at a minimum, the cost of hormone therapy (leuprorelin) when used to treat patients who progress to biochemical failure. For MBS impacts</w:t>
      </w:r>
      <w:r>
        <w:t xml:space="preserve"> (with the exception of higher uptake for LDR-BT boost)</w:t>
      </w:r>
      <w:r w:rsidRPr="00E75CB2">
        <w:t>, there is potential for the net cost per year to be less than estimated in the CA</w:t>
      </w:r>
      <w:r>
        <w:t>.</w:t>
      </w:r>
    </w:p>
    <w:p w14:paraId="1E3E7E29" w14:textId="6D601BCD" w:rsidR="0054192F" w:rsidRDefault="0054192F" w:rsidP="0054192F">
      <w:pPr>
        <w:pStyle w:val="Heading2"/>
        <w:rPr>
          <w:lang w:eastAsia="en-US"/>
        </w:rPr>
      </w:pPr>
      <w:r>
        <w:rPr>
          <w:lang w:eastAsia="en-US"/>
        </w:rPr>
        <w:t>Post</w:t>
      </w:r>
      <w:r w:rsidR="007374A8">
        <w:rPr>
          <w:lang w:eastAsia="en-US"/>
        </w:rPr>
        <w:t>-</w:t>
      </w:r>
      <w:r>
        <w:rPr>
          <w:lang w:eastAsia="en-US"/>
        </w:rPr>
        <w:t xml:space="preserve"> ESC</w:t>
      </w:r>
      <w:r w:rsidR="007374A8">
        <w:rPr>
          <w:lang w:eastAsia="en-US"/>
        </w:rPr>
        <w:t xml:space="preserve"> financials: </w:t>
      </w:r>
      <w:r>
        <w:rPr>
          <w:lang w:eastAsia="en-US"/>
        </w:rPr>
        <w:t xml:space="preserve"> Addendum </w:t>
      </w:r>
    </w:p>
    <w:p w14:paraId="185CDD45" w14:textId="32AE452A" w:rsidR="0016573C" w:rsidRPr="00B16C62" w:rsidRDefault="00B515C7">
      <w:r>
        <w:t xml:space="preserve">An additional analysis was conducted to </w:t>
      </w:r>
      <w:r w:rsidRPr="00B515C7">
        <w:t>account for the overall financial impact of LDR-BT boost compared with DE-EBRT, using the inputs from the cost-effectiveness model</w:t>
      </w:r>
      <w:r w:rsidR="000A5983">
        <w:t xml:space="preserve"> (Markov traces)</w:t>
      </w:r>
      <w:r w:rsidR="004F6378">
        <w:t xml:space="preserve">. </w:t>
      </w:r>
      <w:r>
        <w:t>Specifically, c</w:t>
      </w:r>
      <w:r w:rsidRPr="00B515C7">
        <w:t>osts in the CEA model</w:t>
      </w:r>
      <w:r w:rsidR="004F6378">
        <w:t xml:space="preserve"> </w:t>
      </w:r>
      <w:r w:rsidRPr="00B515C7">
        <w:t>were grouped into four categories: MBS costs, PBS costs, hospital costs, and prosthesis costs</w:t>
      </w:r>
      <w:r w:rsidR="004F6378">
        <w:t xml:space="preserve">. </w:t>
      </w:r>
      <w:r w:rsidR="00706CEE">
        <w:t xml:space="preserve">The CA presented the results as per the base case model presented to ESC (Table </w:t>
      </w:r>
      <w:r w:rsidR="00E75BE6">
        <w:t>11</w:t>
      </w:r>
      <w:r w:rsidR="00706CEE">
        <w:t xml:space="preserve">) and revised model presented post ESC, in the Addendum (Table </w:t>
      </w:r>
      <w:r w:rsidR="00E75BE6">
        <w:t>12</w:t>
      </w:r>
      <w:r w:rsidR="00706CEE">
        <w:t>).</w:t>
      </w:r>
      <w:bookmarkStart w:id="32" w:name="_Ref13661401"/>
      <w:r w:rsidR="0016573C">
        <w:br w:type="page"/>
      </w:r>
    </w:p>
    <w:p w14:paraId="75166DAB" w14:textId="6F07C6A7" w:rsidR="00706CEE" w:rsidRPr="00F9490F" w:rsidRDefault="00706CEE" w:rsidP="00F9490F">
      <w:pPr>
        <w:rPr>
          <w:rFonts w:ascii="Arial Narrow" w:hAnsi="Arial Narrow"/>
          <w:b/>
          <w:sz w:val="20"/>
        </w:rPr>
      </w:pPr>
      <w:r w:rsidRPr="00F9490F">
        <w:rPr>
          <w:rFonts w:ascii="Arial Narrow" w:hAnsi="Arial Narrow"/>
          <w:b/>
          <w:sz w:val="20"/>
        </w:rPr>
        <w:lastRenderedPageBreak/>
        <w:t xml:space="preserve">Table </w:t>
      </w:r>
      <w:bookmarkEnd w:id="32"/>
      <w:r w:rsidR="00E75BE6" w:rsidRPr="00F9490F">
        <w:rPr>
          <w:rFonts w:ascii="Arial Narrow" w:hAnsi="Arial Narrow"/>
          <w:b/>
          <w:sz w:val="20"/>
        </w:rPr>
        <w:t>11</w:t>
      </w:r>
      <w:r w:rsidRPr="00F9490F">
        <w:rPr>
          <w:rFonts w:ascii="Arial Narrow" w:hAnsi="Arial Narrow"/>
          <w:b/>
          <w:sz w:val="20"/>
        </w:rPr>
        <w:t xml:space="preserve"> Revised Pre-ESC model: Total forecasted services, overall deconstructed costs for each treatment arm and the difference between the treatment arms between 2020 and 2024 using outputs from the base case model.</w:t>
      </w:r>
    </w:p>
    <w:tbl>
      <w:tblPr>
        <w:tblStyle w:val="TableGrid"/>
        <w:tblW w:w="0" w:type="auto"/>
        <w:tblLook w:val="04A0" w:firstRow="1" w:lastRow="0" w:firstColumn="1" w:lastColumn="0" w:noHBand="0" w:noVBand="1"/>
        <w:tblCaption w:val="Revised Pre-ESC model: Total forecasted services, overall deconstructed costs for each treatment arm and the difference between the treatment arms between 2020 and 2024 using outputs from the base case model."/>
        <w:tblDescription w:val="Breakdown of financials from revised Pre-ESC model"/>
      </w:tblPr>
      <w:tblGrid>
        <w:gridCol w:w="1352"/>
        <w:gridCol w:w="1532"/>
        <w:gridCol w:w="1533"/>
        <w:gridCol w:w="1533"/>
        <w:gridCol w:w="1533"/>
        <w:gridCol w:w="1533"/>
      </w:tblGrid>
      <w:tr w:rsidR="00706CEE" w14:paraId="4B479B65" w14:textId="77777777" w:rsidTr="00E75BE6">
        <w:trPr>
          <w:tblHeader/>
        </w:trPr>
        <w:tc>
          <w:tcPr>
            <w:tcW w:w="1352" w:type="dxa"/>
          </w:tcPr>
          <w:p w14:paraId="787A332D" w14:textId="77777777" w:rsidR="00706CEE" w:rsidRDefault="00706CEE" w:rsidP="001A6B48">
            <w:pPr>
              <w:pStyle w:val="TableHeading"/>
              <w:keepNext w:val="0"/>
            </w:pPr>
            <w:r>
              <w:t>Description</w:t>
            </w:r>
          </w:p>
        </w:tc>
        <w:tc>
          <w:tcPr>
            <w:tcW w:w="1532" w:type="dxa"/>
          </w:tcPr>
          <w:p w14:paraId="030A4182" w14:textId="77777777" w:rsidR="00706CEE" w:rsidRDefault="00706CEE" w:rsidP="001A6B48">
            <w:pPr>
              <w:pStyle w:val="TableHeading"/>
              <w:keepNext w:val="0"/>
              <w:jc w:val="center"/>
            </w:pPr>
            <w:r>
              <w:t>2020</w:t>
            </w:r>
          </w:p>
        </w:tc>
        <w:tc>
          <w:tcPr>
            <w:tcW w:w="1533" w:type="dxa"/>
          </w:tcPr>
          <w:p w14:paraId="3B7FCAF4" w14:textId="77777777" w:rsidR="00706CEE" w:rsidRDefault="00706CEE" w:rsidP="001A6B48">
            <w:pPr>
              <w:pStyle w:val="TableHeading"/>
              <w:keepNext w:val="0"/>
              <w:jc w:val="center"/>
            </w:pPr>
            <w:r>
              <w:t>2021</w:t>
            </w:r>
          </w:p>
        </w:tc>
        <w:tc>
          <w:tcPr>
            <w:tcW w:w="1533" w:type="dxa"/>
          </w:tcPr>
          <w:p w14:paraId="3099CB5C" w14:textId="77777777" w:rsidR="00706CEE" w:rsidRDefault="00706CEE" w:rsidP="001A6B48">
            <w:pPr>
              <w:pStyle w:val="TableHeading"/>
              <w:keepNext w:val="0"/>
              <w:jc w:val="center"/>
            </w:pPr>
            <w:r>
              <w:t>2022</w:t>
            </w:r>
          </w:p>
        </w:tc>
        <w:tc>
          <w:tcPr>
            <w:tcW w:w="1533" w:type="dxa"/>
          </w:tcPr>
          <w:p w14:paraId="171B554D" w14:textId="77777777" w:rsidR="00706CEE" w:rsidRDefault="00706CEE" w:rsidP="001A6B48">
            <w:pPr>
              <w:pStyle w:val="TableHeading"/>
              <w:keepNext w:val="0"/>
              <w:jc w:val="center"/>
            </w:pPr>
            <w:r>
              <w:t>2023</w:t>
            </w:r>
          </w:p>
        </w:tc>
        <w:tc>
          <w:tcPr>
            <w:tcW w:w="1533" w:type="dxa"/>
          </w:tcPr>
          <w:p w14:paraId="0EA42C63" w14:textId="77777777" w:rsidR="00706CEE" w:rsidRDefault="00706CEE" w:rsidP="001A6B48">
            <w:pPr>
              <w:pStyle w:val="TableHeading"/>
              <w:keepNext w:val="0"/>
              <w:jc w:val="center"/>
            </w:pPr>
            <w:r>
              <w:t>2024</w:t>
            </w:r>
          </w:p>
        </w:tc>
      </w:tr>
      <w:tr w:rsidR="00706CEE" w:rsidRPr="00AF64A9" w14:paraId="536FC904" w14:textId="77777777" w:rsidTr="00E75BE6">
        <w:tc>
          <w:tcPr>
            <w:tcW w:w="1352" w:type="dxa"/>
            <w:tcBorders>
              <w:bottom w:val="single" w:sz="4" w:space="0" w:color="auto"/>
            </w:tcBorders>
          </w:tcPr>
          <w:p w14:paraId="15214BD5" w14:textId="77777777" w:rsidR="00706CEE" w:rsidRPr="00AF64A9" w:rsidRDefault="00706CEE" w:rsidP="001A6B48">
            <w:pPr>
              <w:pStyle w:val="Tabletext0"/>
            </w:pPr>
            <w:r w:rsidRPr="00AF64A9">
              <w:t>Total services</w:t>
            </w:r>
          </w:p>
        </w:tc>
        <w:tc>
          <w:tcPr>
            <w:tcW w:w="1532" w:type="dxa"/>
            <w:tcBorders>
              <w:bottom w:val="single" w:sz="4" w:space="0" w:color="auto"/>
            </w:tcBorders>
          </w:tcPr>
          <w:p w14:paraId="3966F190" w14:textId="77777777" w:rsidR="00706CEE" w:rsidRPr="00AF64A9" w:rsidRDefault="00706CEE" w:rsidP="001A6B48">
            <w:pPr>
              <w:pStyle w:val="Tabletext0"/>
              <w:jc w:val="center"/>
            </w:pPr>
            <w:r>
              <w:t>107</w:t>
            </w:r>
          </w:p>
        </w:tc>
        <w:tc>
          <w:tcPr>
            <w:tcW w:w="1533" w:type="dxa"/>
            <w:tcBorders>
              <w:bottom w:val="single" w:sz="4" w:space="0" w:color="auto"/>
            </w:tcBorders>
          </w:tcPr>
          <w:p w14:paraId="3D4DEA38" w14:textId="77777777" w:rsidR="00706CEE" w:rsidRPr="00AF64A9" w:rsidRDefault="00706CEE" w:rsidP="001A6B48">
            <w:pPr>
              <w:pStyle w:val="Tabletext0"/>
              <w:jc w:val="center"/>
            </w:pPr>
            <w:r>
              <w:t>111</w:t>
            </w:r>
          </w:p>
        </w:tc>
        <w:tc>
          <w:tcPr>
            <w:tcW w:w="1533" w:type="dxa"/>
            <w:tcBorders>
              <w:bottom w:val="single" w:sz="4" w:space="0" w:color="auto"/>
            </w:tcBorders>
          </w:tcPr>
          <w:p w14:paraId="711F3611" w14:textId="77777777" w:rsidR="00706CEE" w:rsidRPr="00AF64A9" w:rsidRDefault="00706CEE" w:rsidP="001A6B48">
            <w:pPr>
              <w:pStyle w:val="Tabletext0"/>
              <w:jc w:val="center"/>
            </w:pPr>
            <w:r>
              <w:t>116</w:t>
            </w:r>
          </w:p>
        </w:tc>
        <w:tc>
          <w:tcPr>
            <w:tcW w:w="1533" w:type="dxa"/>
            <w:tcBorders>
              <w:bottom w:val="single" w:sz="4" w:space="0" w:color="auto"/>
            </w:tcBorders>
          </w:tcPr>
          <w:p w14:paraId="556A0E34" w14:textId="77777777" w:rsidR="00706CEE" w:rsidRPr="00AF64A9" w:rsidRDefault="00706CEE" w:rsidP="001A6B48">
            <w:pPr>
              <w:pStyle w:val="Tabletext0"/>
              <w:jc w:val="center"/>
            </w:pPr>
            <w:r>
              <w:t>120</w:t>
            </w:r>
          </w:p>
        </w:tc>
        <w:tc>
          <w:tcPr>
            <w:tcW w:w="1533" w:type="dxa"/>
            <w:tcBorders>
              <w:bottom w:val="single" w:sz="4" w:space="0" w:color="auto"/>
            </w:tcBorders>
          </w:tcPr>
          <w:p w14:paraId="60AFCD9C" w14:textId="77777777" w:rsidR="00706CEE" w:rsidRPr="00AF64A9" w:rsidRDefault="00706CEE" w:rsidP="001A6B48">
            <w:pPr>
              <w:pStyle w:val="Tabletext0"/>
              <w:jc w:val="center"/>
            </w:pPr>
            <w:r>
              <w:t>124</w:t>
            </w:r>
          </w:p>
        </w:tc>
      </w:tr>
      <w:tr w:rsidR="00A14CB5" w:rsidRPr="00AF64A9" w14:paraId="0BE6F567" w14:textId="77777777" w:rsidTr="00E75BE6">
        <w:tc>
          <w:tcPr>
            <w:tcW w:w="1352" w:type="dxa"/>
            <w:tcBorders>
              <w:top w:val="single" w:sz="4" w:space="0" w:color="auto"/>
              <w:left w:val="single" w:sz="4" w:space="0" w:color="auto"/>
              <w:bottom w:val="single" w:sz="4" w:space="0" w:color="auto"/>
              <w:right w:val="nil"/>
            </w:tcBorders>
          </w:tcPr>
          <w:p w14:paraId="09233A20" w14:textId="1F5610C7" w:rsidR="00A14CB5" w:rsidRPr="00DD6F7D" w:rsidRDefault="00A14CB5" w:rsidP="001A6B48">
            <w:pPr>
              <w:pStyle w:val="Tabletext0"/>
              <w:keepNext/>
            </w:pPr>
            <w:r w:rsidRPr="00F22DE7">
              <w:rPr>
                <w:b/>
              </w:rPr>
              <w:t>LDR-BT boost</w:t>
            </w:r>
          </w:p>
        </w:tc>
        <w:tc>
          <w:tcPr>
            <w:tcW w:w="1532" w:type="dxa"/>
            <w:tcBorders>
              <w:top w:val="single" w:sz="4" w:space="0" w:color="auto"/>
              <w:left w:val="nil"/>
              <w:bottom w:val="single" w:sz="4" w:space="0" w:color="auto"/>
              <w:right w:val="nil"/>
            </w:tcBorders>
          </w:tcPr>
          <w:p w14:paraId="2779A03D" w14:textId="77777777" w:rsidR="00A14CB5" w:rsidRPr="00543446" w:rsidRDefault="00A14CB5" w:rsidP="001A6B48">
            <w:pPr>
              <w:pStyle w:val="Tabletext0"/>
              <w:keepNext/>
              <w:jc w:val="center"/>
            </w:pPr>
          </w:p>
        </w:tc>
        <w:tc>
          <w:tcPr>
            <w:tcW w:w="1533" w:type="dxa"/>
            <w:tcBorders>
              <w:top w:val="single" w:sz="4" w:space="0" w:color="auto"/>
              <w:left w:val="nil"/>
              <w:bottom w:val="single" w:sz="4" w:space="0" w:color="auto"/>
              <w:right w:val="nil"/>
            </w:tcBorders>
          </w:tcPr>
          <w:p w14:paraId="000509FF" w14:textId="77777777" w:rsidR="00A14CB5" w:rsidRPr="00543446" w:rsidRDefault="00A14CB5" w:rsidP="001A6B48">
            <w:pPr>
              <w:pStyle w:val="Tabletext0"/>
              <w:keepNext/>
              <w:jc w:val="center"/>
            </w:pPr>
          </w:p>
        </w:tc>
        <w:tc>
          <w:tcPr>
            <w:tcW w:w="1533" w:type="dxa"/>
            <w:tcBorders>
              <w:top w:val="single" w:sz="4" w:space="0" w:color="auto"/>
              <w:left w:val="nil"/>
              <w:bottom w:val="single" w:sz="4" w:space="0" w:color="auto"/>
              <w:right w:val="nil"/>
            </w:tcBorders>
          </w:tcPr>
          <w:p w14:paraId="5C5D3A33" w14:textId="77777777" w:rsidR="00A14CB5" w:rsidRPr="00543446" w:rsidRDefault="00A14CB5" w:rsidP="001A6B48">
            <w:pPr>
              <w:pStyle w:val="Tabletext0"/>
              <w:keepNext/>
              <w:jc w:val="center"/>
            </w:pPr>
          </w:p>
        </w:tc>
        <w:tc>
          <w:tcPr>
            <w:tcW w:w="1533" w:type="dxa"/>
            <w:tcBorders>
              <w:top w:val="single" w:sz="4" w:space="0" w:color="auto"/>
              <w:left w:val="nil"/>
              <w:bottom w:val="single" w:sz="4" w:space="0" w:color="auto"/>
              <w:right w:val="nil"/>
            </w:tcBorders>
          </w:tcPr>
          <w:p w14:paraId="7F8EAA11" w14:textId="77777777" w:rsidR="00A14CB5" w:rsidRPr="00543446" w:rsidRDefault="00A14CB5" w:rsidP="001A6B48">
            <w:pPr>
              <w:pStyle w:val="Tabletext0"/>
              <w:keepNext/>
              <w:jc w:val="center"/>
            </w:pPr>
          </w:p>
        </w:tc>
        <w:tc>
          <w:tcPr>
            <w:tcW w:w="1533" w:type="dxa"/>
            <w:tcBorders>
              <w:top w:val="single" w:sz="4" w:space="0" w:color="auto"/>
              <w:left w:val="nil"/>
              <w:bottom w:val="single" w:sz="4" w:space="0" w:color="auto"/>
              <w:right w:val="single" w:sz="4" w:space="0" w:color="auto"/>
            </w:tcBorders>
          </w:tcPr>
          <w:p w14:paraId="1F1F3953" w14:textId="77777777" w:rsidR="00A14CB5" w:rsidRPr="00543446" w:rsidRDefault="00A14CB5" w:rsidP="001A6B48">
            <w:pPr>
              <w:pStyle w:val="Tabletext0"/>
              <w:keepNext/>
              <w:jc w:val="center"/>
            </w:pPr>
          </w:p>
        </w:tc>
      </w:tr>
      <w:tr w:rsidR="00706CEE" w:rsidRPr="00AF64A9" w14:paraId="4831FC1B" w14:textId="77777777" w:rsidTr="00E75BE6">
        <w:tc>
          <w:tcPr>
            <w:tcW w:w="1352" w:type="dxa"/>
            <w:tcBorders>
              <w:top w:val="single" w:sz="4" w:space="0" w:color="auto"/>
            </w:tcBorders>
          </w:tcPr>
          <w:p w14:paraId="0720FF5C" w14:textId="77777777" w:rsidR="00706CEE" w:rsidRPr="00DD6F7D" w:rsidRDefault="00706CEE" w:rsidP="001A6B48">
            <w:pPr>
              <w:pStyle w:val="Tabletext0"/>
              <w:keepNext/>
            </w:pPr>
            <w:r w:rsidRPr="00DD6F7D">
              <w:t>PBS Costs</w:t>
            </w:r>
          </w:p>
        </w:tc>
        <w:tc>
          <w:tcPr>
            <w:tcW w:w="1532" w:type="dxa"/>
            <w:tcBorders>
              <w:top w:val="single" w:sz="4" w:space="0" w:color="auto"/>
            </w:tcBorders>
          </w:tcPr>
          <w:p w14:paraId="17F11B8E" w14:textId="77777777" w:rsidR="00706CEE" w:rsidRPr="00543446" w:rsidRDefault="00706CEE" w:rsidP="001A6B48">
            <w:pPr>
              <w:pStyle w:val="Tabletext0"/>
              <w:keepNext/>
              <w:jc w:val="center"/>
            </w:pPr>
            <w:r w:rsidRPr="00543446">
              <w:t>$10,447</w:t>
            </w:r>
          </w:p>
        </w:tc>
        <w:tc>
          <w:tcPr>
            <w:tcW w:w="1533" w:type="dxa"/>
            <w:tcBorders>
              <w:top w:val="single" w:sz="4" w:space="0" w:color="auto"/>
            </w:tcBorders>
          </w:tcPr>
          <w:p w14:paraId="17BAD3BB" w14:textId="77777777" w:rsidR="00706CEE" w:rsidRPr="00543446" w:rsidRDefault="00706CEE" w:rsidP="001A6B48">
            <w:pPr>
              <w:pStyle w:val="Tabletext0"/>
              <w:keepNext/>
              <w:jc w:val="center"/>
            </w:pPr>
            <w:r w:rsidRPr="00543446">
              <w:t>$17,060</w:t>
            </w:r>
          </w:p>
        </w:tc>
        <w:tc>
          <w:tcPr>
            <w:tcW w:w="1533" w:type="dxa"/>
            <w:tcBorders>
              <w:top w:val="single" w:sz="4" w:space="0" w:color="auto"/>
            </w:tcBorders>
          </w:tcPr>
          <w:p w14:paraId="755968CC" w14:textId="77777777" w:rsidR="00706CEE" w:rsidRPr="00543446" w:rsidRDefault="00706CEE" w:rsidP="001A6B48">
            <w:pPr>
              <w:pStyle w:val="Tabletext0"/>
              <w:keepNext/>
              <w:jc w:val="center"/>
            </w:pPr>
            <w:r w:rsidRPr="00543446">
              <w:t>$33,570</w:t>
            </w:r>
          </w:p>
        </w:tc>
        <w:tc>
          <w:tcPr>
            <w:tcW w:w="1533" w:type="dxa"/>
            <w:tcBorders>
              <w:top w:val="single" w:sz="4" w:space="0" w:color="auto"/>
            </w:tcBorders>
          </w:tcPr>
          <w:p w14:paraId="02165F56" w14:textId="77777777" w:rsidR="00706CEE" w:rsidRPr="00543446" w:rsidRDefault="00706CEE" w:rsidP="001A6B48">
            <w:pPr>
              <w:pStyle w:val="Tabletext0"/>
              <w:keepNext/>
              <w:jc w:val="center"/>
            </w:pPr>
            <w:r w:rsidRPr="00543446">
              <w:t>$62,267</w:t>
            </w:r>
          </w:p>
        </w:tc>
        <w:tc>
          <w:tcPr>
            <w:tcW w:w="1533" w:type="dxa"/>
            <w:tcBorders>
              <w:top w:val="single" w:sz="4" w:space="0" w:color="auto"/>
            </w:tcBorders>
          </w:tcPr>
          <w:p w14:paraId="2F541839" w14:textId="77777777" w:rsidR="00706CEE" w:rsidRPr="00543446" w:rsidRDefault="00706CEE" w:rsidP="001A6B48">
            <w:pPr>
              <w:pStyle w:val="Tabletext0"/>
              <w:keepNext/>
              <w:jc w:val="center"/>
            </w:pPr>
            <w:r w:rsidRPr="00543446">
              <w:t>$104,753</w:t>
            </w:r>
          </w:p>
        </w:tc>
      </w:tr>
      <w:tr w:rsidR="00706CEE" w:rsidRPr="00AF64A9" w14:paraId="133AACAF" w14:textId="77777777" w:rsidTr="00E75BE6">
        <w:tc>
          <w:tcPr>
            <w:tcW w:w="1352" w:type="dxa"/>
          </w:tcPr>
          <w:p w14:paraId="40A16788" w14:textId="77777777" w:rsidR="00706CEE" w:rsidRPr="00DD6F7D" w:rsidRDefault="00706CEE" w:rsidP="001A6B48">
            <w:pPr>
              <w:pStyle w:val="Tabletext0"/>
            </w:pPr>
            <w:r w:rsidRPr="00DD6F7D">
              <w:t>MBS</w:t>
            </w:r>
          </w:p>
        </w:tc>
        <w:tc>
          <w:tcPr>
            <w:tcW w:w="1532" w:type="dxa"/>
          </w:tcPr>
          <w:p w14:paraId="0B0DB070" w14:textId="77777777" w:rsidR="00706CEE" w:rsidRPr="00543446" w:rsidRDefault="00706CEE" w:rsidP="001A6B48">
            <w:pPr>
              <w:pStyle w:val="Tabletext0"/>
              <w:jc w:val="center"/>
            </w:pPr>
            <w:r w:rsidRPr="00543446">
              <w:t>$177,882</w:t>
            </w:r>
          </w:p>
        </w:tc>
        <w:tc>
          <w:tcPr>
            <w:tcW w:w="1533" w:type="dxa"/>
          </w:tcPr>
          <w:p w14:paraId="27367EF9" w14:textId="77777777" w:rsidR="00706CEE" w:rsidRPr="00543446" w:rsidRDefault="00706CEE" w:rsidP="001A6B48">
            <w:pPr>
              <w:pStyle w:val="Tabletext0"/>
              <w:jc w:val="center"/>
            </w:pPr>
            <w:r w:rsidRPr="00543446">
              <w:t>$208,730</w:t>
            </w:r>
          </w:p>
        </w:tc>
        <w:tc>
          <w:tcPr>
            <w:tcW w:w="1533" w:type="dxa"/>
          </w:tcPr>
          <w:p w14:paraId="70B1D877" w14:textId="77777777" w:rsidR="00706CEE" w:rsidRPr="00543446" w:rsidRDefault="00706CEE" w:rsidP="001A6B48">
            <w:pPr>
              <w:pStyle w:val="Tabletext0"/>
              <w:jc w:val="center"/>
            </w:pPr>
            <w:r w:rsidRPr="00543446">
              <w:t>$246,676</w:t>
            </w:r>
          </w:p>
        </w:tc>
        <w:tc>
          <w:tcPr>
            <w:tcW w:w="1533" w:type="dxa"/>
          </w:tcPr>
          <w:p w14:paraId="71CA4E67" w14:textId="77777777" w:rsidR="00706CEE" w:rsidRPr="00543446" w:rsidRDefault="00706CEE" w:rsidP="001A6B48">
            <w:pPr>
              <w:pStyle w:val="Tabletext0"/>
              <w:jc w:val="center"/>
            </w:pPr>
            <w:r w:rsidRPr="00543446">
              <w:t>$289,140</w:t>
            </w:r>
          </w:p>
        </w:tc>
        <w:tc>
          <w:tcPr>
            <w:tcW w:w="1533" w:type="dxa"/>
          </w:tcPr>
          <w:p w14:paraId="792ECB50" w14:textId="77777777" w:rsidR="00706CEE" w:rsidRPr="00543446" w:rsidRDefault="00706CEE" w:rsidP="001A6B48">
            <w:pPr>
              <w:pStyle w:val="Tabletext0"/>
              <w:jc w:val="center"/>
            </w:pPr>
            <w:r w:rsidRPr="00543446">
              <w:t>$337,354</w:t>
            </w:r>
          </w:p>
        </w:tc>
      </w:tr>
      <w:tr w:rsidR="00706CEE" w:rsidRPr="00AF64A9" w14:paraId="157F2B57" w14:textId="77777777" w:rsidTr="00E75BE6">
        <w:tc>
          <w:tcPr>
            <w:tcW w:w="1352" w:type="dxa"/>
          </w:tcPr>
          <w:p w14:paraId="4CFF6959" w14:textId="77777777" w:rsidR="00706CEE" w:rsidRPr="00DD6F7D" w:rsidRDefault="00706CEE" w:rsidP="001A6B48">
            <w:pPr>
              <w:pStyle w:val="Tabletext0"/>
            </w:pPr>
            <w:r w:rsidRPr="00DD6F7D">
              <w:t>Hospital</w:t>
            </w:r>
          </w:p>
        </w:tc>
        <w:tc>
          <w:tcPr>
            <w:tcW w:w="1532" w:type="dxa"/>
          </w:tcPr>
          <w:p w14:paraId="7D7968E0" w14:textId="77777777" w:rsidR="00706CEE" w:rsidRPr="00543446" w:rsidRDefault="00706CEE" w:rsidP="001A6B48">
            <w:pPr>
              <w:pStyle w:val="Tabletext0"/>
              <w:jc w:val="center"/>
            </w:pPr>
            <w:r w:rsidRPr="00543446">
              <w:t>$272,719</w:t>
            </w:r>
          </w:p>
        </w:tc>
        <w:tc>
          <w:tcPr>
            <w:tcW w:w="1533" w:type="dxa"/>
          </w:tcPr>
          <w:p w14:paraId="35B948A5" w14:textId="77777777" w:rsidR="00706CEE" w:rsidRPr="00543446" w:rsidRDefault="00706CEE" w:rsidP="001A6B48">
            <w:pPr>
              <w:pStyle w:val="Tabletext0"/>
              <w:jc w:val="center"/>
            </w:pPr>
            <w:r w:rsidRPr="00543446">
              <w:t>$309,632</w:t>
            </w:r>
          </w:p>
        </w:tc>
        <w:tc>
          <w:tcPr>
            <w:tcW w:w="1533" w:type="dxa"/>
          </w:tcPr>
          <w:p w14:paraId="2024B1BE" w14:textId="77777777" w:rsidR="00706CEE" w:rsidRPr="00543446" w:rsidRDefault="00706CEE" w:rsidP="001A6B48">
            <w:pPr>
              <w:pStyle w:val="Tabletext0"/>
              <w:jc w:val="center"/>
            </w:pPr>
            <w:r w:rsidRPr="00543446">
              <w:t>$377,084</w:t>
            </w:r>
          </w:p>
        </w:tc>
        <w:tc>
          <w:tcPr>
            <w:tcW w:w="1533" w:type="dxa"/>
          </w:tcPr>
          <w:p w14:paraId="3AC38AA9" w14:textId="77777777" w:rsidR="00706CEE" w:rsidRPr="00543446" w:rsidRDefault="00706CEE" w:rsidP="001A6B48">
            <w:pPr>
              <w:pStyle w:val="Tabletext0"/>
              <w:jc w:val="center"/>
            </w:pPr>
            <w:r w:rsidRPr="00543446">
              <w:t>$471,599</w:t>
            </w:r>
          </w:p>
        </w:tc>
        <w:tc>
          <w:tcPr>
            <w:tcW w:w="1533" w:type="dxa"/>
          </w:tcPr>
          <w:p w14:paraId="7AAB378E" w14:textId="77777777" w:rsidR="00706CEE" w:rsidRPr="00543446" w:rsidRDefault="00706CEE" w:rsidP="001A6B48">
            <w:pPr>
              <w:pStyle w:val="Tabletext0"/>
              <w:jc w:val="center"/>
            </w:pPr>
            <w:r w:rsidRPr="00543446">
              <w:t>$595,465</w:t>
            </w:r>
          </w:p>
        </w:tc>
      </w:tr>
      <w:tr w:rsidR="00706CEE" w:rsidRPr="00AF64A9" w14:paraId="51FEF14C" w14:textId="77777777" w:rsidTr="00E75BE6">
        <w:tc>
          <w:tcPr>
            <w:tcW w:w="1352" w:type="dxa"/>
          </w:tcPr>
          <w:p w14:paraId="4AAE59AF" w14:textId="77777777" w:rsidR="00706CEE" w:rsidRDefault="00706CEE" w:rsidP="001A6B48">
            <w:pPr>
              <w:pStyle w:val="Tabletext0"/>
            </w:pPr>
            <w:r w:rsidRPr="00DD6F7D">
              <w:t>Prosthesis</w:t>
            </w:r>
          </w:p>
        </w:tc>
        <w:tc>
          <w:tcPr>
            <w:tcW w:w="1532" w:type="dxa"/>
          </w:tcPr>
          <w:p w14:paraId="1DB36771" w14:textId="77777777" w:rsidR="00706CEE" w:rsidRPr="00543446" w:rsidRDefault="00706CEE" w:rsidP="001A6B48">
            <w:pPr>
              <w:pStyle w:val="Tabletext0"/>
              <w:jc w:val="center"/>
            </w:pPr>
            <w:r w:rsidRPr="00543446">
              <w:t>$329,436</w:t>
            </w:r>
          </w:p>
        </w:tc>
        <w:tc>
          <w:tcPr>
            <w:tcW w:w="1533" w:type="dxa"/>
          </w:tcPr>
          <w:p w14:paraId="06941DDD" w14:textId="77777777" w:rsidR="00706CEE" w:rsidRPr="00543446" w:rsidRDefault="00706CEE" w:rsidP="001A6B48">
            <w:pPr>
              <w:pStyle w:val="Tabletext0"/>
              <w:jc w:val="center"/>
            </w:pPr>
            <w:r w:rsidRPr="00543446">
              <w:t>$341,755</w:t>
            </w:r>
          </w:p>
        </w:tc>
        <w:tc>
          <w:tcPr>
            <w:tcW w:w="1533" w:type="dxa"/>
          </w:tcPr>
          <w:p w14:paraId="7B4A6985" w14:textId="77777777" w:rsidR="00706CEE" w:rsidRPr="00543446" w:rsidRDefault="00706CEE" w:rsidP="001A6B48">
            <w:pPr>
              <w:pStyle w:val="Tabletext0"/>
              <w:jc w:val="center"/>
            </w:pPr>
            <w:r w:rsidRPr="00543446">
              <w:t>$356,822</w:t>
            </w:r>
          </w:p>
        </w:tc>
        <w:tc>
          <w:tcPr>
            <w:tcW w:w="1533" w:type="dxa"/>
          </w:tcPr>
          <w:p w14:paraId="70BF0308" w14:textId="77777777" w:rsidR="00706CEE" w:rsidRPr="00543446" w:rsidRDefault="00706CEE" w:rsidP="001A6B48">
            <w:pPr>
              <w:pStyle w:val="Tabletext0"/>
              <w:jc w:val="center"/>
            </w:pPr>
            <w:r w:rsidRPr="00543446">
              <w:t>$369,265</w:t>
            </w:r>
          </w:p>
        </w:tc>
        <w:tc>
          <w:tcPr>
            <w:tcW w:w="1533" w:type="dxa"/>
          </w:tcPr>
          <w:p w14:paraId="6AE44383" w14:textId="77777777" w:rsidR="00706CEE" w:rsidRDefault="00706CEE" w:rsidP="001A6B48">
            <w:pPr>
              <w:pStyle w:val="Tabletext0"/>
              <w:jc w:val="center"/>
            </w:pPr>
            <w:r w:rsidRPr="00543446">
              <w:t>$381,677</w:t>
            </w:r>
          </w:p>
        </w:tc>
      </w:tr>
      <w:tr w:rsidR="00706CEE" w:rsidRPr="00AF64A9" w14:paraId="5762BF1B" w14:textId="77777777" w:rsidTr="00E75BE6">
        <w:tc>
          <w:tcPr>
            <w:tcW w:w="1352" w:type="dxa"/>
            <w:tcBorders>
              <w:bottom w:val="single" w:sz="4" w:space="0" w:color="auto"/>
            </w:tcBorders>
          </w:tcPr>
          <w:p w14:paraId="3C7BE26D" w14:textId="77777777" w:rsidR="00706CEE" w:rsidRPr="00DD6F7D" w:rsidRDefault="00706CEE" w:rsidP="001A6B48">
            <w:pPr>
              <w:pStyle w:val="Tabletext0"/>
            </w:pPr>
            <w:r w:rsidRPr="00DD6F7D">
              <w:t>TOTAL</w:t>
            </w:r>
            <w:r>
              <w:t xml:space="preserve"> COST</w:t>
            </w:r>
          </w:p>
        </w:tc>
        <w:tc>
          <w:tcPr>
            <w:tcW w:w="1532" w:type="dxa"/>
            <w:tcBorders>
              <w:bottom w:val="single" w:sz="4" w:space="0" w:color="auto"/>
            </w:tcBorders>
          </w:tcPr>
          <w:p w14:paraId="77AA4610" w14:textId="77777777" w:rsidR="00706CEE" w:rsidRPr="00543446" w:rsidRDefault="00706CEE" w:rsidP="001A6B48">
            <w:pPr>
              <w:pStyle w:val="Tabletext0"/>
              <w:jc w:val="center"/>
            </w:pPr>
            <w:r w:rsidRPr="00543446">
              <w:t>$790,485</w:t>
            </w:r>
          </w:p>
        </w:tc>
        <w:tc>
          <w:tcPr>
            <w:tcW w:w="1533" w:type="dxa"/>
            <w:tcBorders>
              <w:bottom w:val="single" w:sz="4" w:space="0" w:color="auto"/>
            </w:tcBorders>
          </w:tcPr>
          <w:p w14:paraId="5A4EC52D" w14:textId="77777777" w:rsidR="00706CEE" w:rsidRPr="00543446" w:rsidRDefault="00706CEE" w:rsidP="001A6B48">
            <w:pPr>
              <w:pStyle w:val="Tabletext0"/>
              <w:jc w:val="center"/>
            </w:pPr>
            <w:r w:rsidRPr="00543446">
              <w:t>$877,178</w:t>
            </w:r>
          </w:p>
        </w:tc>
        <w:tc>
          <w:tcPr>
            <w:tcW w:w="1533" w:type="dxa"/>
            <w:tcBorders>
              <w:bottom w:val="single" w:sz="4" w:space="0" w:color="auto"/>
            </w:tcBorders>
          </w:tcPr>
          <w:p w14:paraId="1AEF48CF" w14:textId="77777777" w:rsidR="00706CEE" w:rsidRPr="00543446" w:rsidRDefault="00706CEE" w:rsidP="001A6B48">
            <w:pPr>
              <w:pStyle w:val="Tabletext0"/>
              <w:jc w:val="center"/>
            </w:pPr>
            <w:r w:rsidRPr="00543446">
              <w:t>$1,014,153</w:t>
            </w:r>
          </w:p>
        </w:tc>
        <w:tc>
          <w:tcPr>
            <w:tcW w:w="1533" w:type="dxa"/>
            <w:tcBorders>
              <w:bottom w:val="single" w:sz="4" w:space="0" w:color="auto"/>
            </w:tcBorders>
          </w:tcPr>
          <w:p w14:paraId="68C8F188" w14:textId="77777777" w:rsidR="00706CEE" w:rsidRPr="00543446" w:rsidRDefault="00706CEE" w:rsidP="001A6B48">
            <w:pPr>
              <w:pStyle w:val="Tabletext0"/>
              <w:jc w:val="center"/>
            </w:pPr>
            <w:r w:rsidRPr="00543446">
              <w:t>$1,192,271</w:t>
            </w:r>
          </w:p>
        </w:tc>
        <w:tc>
          <w:tcPr>
            <w:tcW w:w="1533" w:type="dxa"/>
            <w:tcBorders>
              <w:bottom w:val="single" w:sz="4" w:space="0" w:color="auto"/>
            </w:tcBorders>
          </w:tcPr>
          <w:p w14:paraId="7FE6E16B" w14:textId="77777777" w:rsidR="00706CEE" w:rsidRPr="00543446" w:rsidRDefault="00706CEE" w:rsidP="001A6B48">
            <w:pPr>
              <w:pStyle w:val="Tabletext0"/>
              <w:jc w:val="center"/>
            </w:pPr>
            <w:r w:rsidRPr="00543446">
              <w:t>$1,419,250</w:t>
            </w:r>
          </w:p>
        </w:tc>
      </w:tr>
      <w:tr w:rsidR="00A14CB5" w:rsidRPr="00AF64A9" w14:paraId="1794A8A9" w14:textId="77777777" w:rsidTr="00E75BE6">
        <w:tc>
          <w:tcPr>
            <w:tcW w:w="1352" w:type="dxa"/>
            <w:tcBorders>
              <w:top w:val="single" w:sz="4" w:space="0" w:color="auto"/>
              <w:left w:val="single" w:sz="4" w:space="0" w:color="auto"/>
              <w:bottom w:val="single" w:sz="4" w:space="0" w:color="auto"/>
              <w:right w:val="nil"/>
            </w:tcBorders>
          </w:tcPr>
          <w:p w14:paraId="419B80FC" w14:textId="2D12946B" w:rsidR="00A14CB5" w:rsidRPr="00DD6F7D" w:rsidRDefault="00A14CB5" w:rsidP="001A6B48">
            <w:pPr>
              <w:pStyle w:val="Tabletext0"/>
            </w:pPr>
            <w:r w:rsidRPr="00F22DE7">
              <w:rPr>
                <w:b/>
              </w:rPr>
              <w:t>DE-EBRT</w:t>
            </w:r>
          </w:p>
        </w:tc>
        <w:tc>
          <w:tcPr>
            <w:tcW w:w="1532" w:type="dxa"/>
            <w:tcBorders>
              <w:top w:val="single" w:sz="4" w:space="0" w:color="auto"/>
              <w:left w:val="nil"/>
              <w:bottom w:val="single" w:sz="4" w:space="0" w:color="auto"/>
              <w:right w:val="nil"/>
            </w:tcBorders>
          </w:tcPr>
          <w:p w14:paraId="05B02BB3" w14:textId="77777777" w:rsidR="00A14CB5" w:rsidRPr="00C81A88" w:rsidRDefault="00A14CB5" w:rsidP="001A6B48">
            <w:pPr>
              <w:pStyle w:val="Tabletext0"/>
              <w:jc w:val="center"/>
            </w:pPr>
          </w:p>
        </w:tc>
        <w:tc>
          <w:tcPr>
            <w:tcW w:w="1533" w:type="dxa"/>
            <w:tcBorders>
              <w:top w:val="single" w:sz="4" w:space="0" w:color="auto"/>
              <w:left w:val="nil"/>
              <w:bottom w:val="single" w:sz="4" w:space="0" w:color="auto"/>
              <w:right w:val="nil"/>
            </w:tcBorders>
          </w:tcPr>
          <w:p w14:paraId="528937EF" w14:textId="77777777" w:rsidR="00A14CB5" w:rsidRPr="00C81A88" w:rsidRDefault="00A14CB5" w:rsidP="001A6B48">
            <w:pPr>
              <w:pStyle w:val="Tabletext0"/>
              <w:jc w:val="center"/>
            </w:pPr>
          </w:p>
        </w:tc>
        <w:tc>
          <w:tcPr>
            <w:tcW w:w="1533" w:type="dxa"/>
            <w:tcBorders>
              <w:top w:val="single" w:sz="4" w:space="0" w:color="auto"/>
              <w:left w:val="nil"/>
              <w:bottom w:val="single" w:sz="4" w:space="0" w:color="auto"/>
              <w:right w:val="nil"/>
            </w:tcBorders>
          </w:tcPr>
          <w:p w14:paraId="7533B7B8" w14:textId="77777777" w:rsidR="00A14CB5" w:rsidRPr="00C81A88" w:rsidRDefault="00A14CB5" w:rsidP="001A6B48">
            <w:pPr>
              <w:pStyle w:val="Tabletext0"/>
              <w:jc w:val="center"/>
            </w:pPr>
          </w:p>
        </w:tc>
        <w:tc>
          <w:tcPr>
            <w:tcW w:w="1533" w:type="dxa"/>
            <w:tcBorders>
              <w:top w:val="single" w:sz="4" w:space="0" w:color="auto"/>
              <w:left w:val="nil"/>
              <w:bottom w:val="single" w:sz="4" w:space="0" w:color="auto"/>
              <w:right w:val="nil"/>
            </w:tcBorders>
          </w:tcPr>
          <w:p w14:paraId="5C1BFD43" w14:textId="77777777" w:rsidR="00A14CB5" w:rsidRPr="00C81A88" w:rsidRDefault="00A14CB5" w:rsidP="001A6B48">
            <w:pPr>
              <w:pStyle w:val="Tabletext0"/>
              <w:jc w:val="center"/>
            </w:pPr>
          </w:p>
        </w:tc>
        <w:tc>
          <w:tcPr>
            <w:tcW w:w="1533" w:type="dxa"/>
            <w:tcBorders>
              <w:top w:val="single" w:sz="4" w:space="0" w:color="auto"/>
              <w:left w:val="nil"/>
              <w:bottom w:val="single" w:sz="4" w:space="0" w:color="auto"/>
              <w:right w:val="single" w:sz="4" w:space="0" w:color="auto"/>
            </w:tcBorders>
          </w:tcPr>
          <w:p w14:paraId="38CFD113" w14:textId="77777777" w:rsidR="00A14CB5" w:rsidRPr="00C81A88" w:rsidRDefault="00A14CB5" w:rsidP="001A6B48">
            <w:pPr>
              <w:pStyle w:val="Tabletext0"/>
              <w:jc w:val="center"/>
            </w:pPr>
          </w:p>
        </w:tc>
      </w:tr>
      <w:tr w:rsidR="00706CEE" w:rsidRPr="00AF64A9" w14:paraId="4788139D" w14:textId="77777777" w:rsidTr="00E75BE6">
        <w:tc>
          <w:tcPr>
            <w:tcW w:w="1352" w:type="dxa"/>
            <w:tcBorders>
              <w:top w:val="single" w:sz="4" w:space="0" w:color="auto"/>
            </w:tcBorders>
          </w:tcPr>
          <w:p w14:paraId="0556A2E7" w14:textId="77777777" w:rsidR="00706CEE" w:rsidRPr="00DD6F7D" w:rsidRDefault="00706CEE" w:rsidP="001A6B48">
            <w:pPr>
              <w:pStyle w:val="Tabletext0"/>
            </w:pPr>
            <w:r w:rsidRPr="00DD6F7D">
              <w:t>PBS Costs</w:t>
            </w:r>
          </w:p>
        </w:tc>
        <w:tc>
          <w:tcPr>
            <w:tcW w:w="1532" w:type="dxa"/>
            <w:tcBorders>
              <w:top w:val="single" w:sz="4" w:space="0" w:color="auto"/>
            </w:tcBorders>
          </w:tcPr>
          <w:p w14:paraId="67B4234D" w14:textId="77777777" w:rsidR="00706CEE" w:rsidRPr="00C81A88" w:rsidRDefault="00706CEE" w:rsidP="001A6B48">
            <w:pPr>
              <w:pStyle w:val="Tabletext0"/>
              <w:jc w:val="center"/>
            </w:pPr>
            <w:r w:rsidRPr="00C81A88">
              <w:t>$6,961</w:t>
            </w:r>
          </w:p>
        </w:tc>
        <w:tc>
          <w:tcPr>
            <w:tcW w:w="1533" w:type="dxa"/>
            <w:tcBorders>
              <w:top w:val="single" w:sz="4" w:space="0" w:color="auto"/>
            </w:tcBorders>
          </w:tcPr>
          <w:p w14:paraId="04BB2156" w14:textId="77777777" w:rsidR="00706CEE" w:rsidRPr="00C81A88" w:rsidRDefault="00706CEE" w:rsidP="001A6B48">
            <w:pPr>
              <w:pStyle w:val="Tabletext0"/>
              <w:jc w:val="center"/>
            </w:pPr>
            <w:r w:rsidRPr="00C81A88">
              <w:t>$13,434</w:t>
            </w:r>
          </w:p>
        </w:tc>
        <w:tc>
          <w:tcPr>
            <w:tcW w:w="1533" w:type="dxa"/>
            <w:tcBorders>
              <w:top w:val="single" w:sz="4" w:space="0" w:color="auto"/>
            </w:tcBorders>
          </w:tcPr>
          <w:p w14:paraId="19FA83FC" w14:textId="77777777" w:rsidR="00706CEE" w:rsidRPr="00C81A88" w:rsidRDefault="00706CEE" w:rsidP="001A6B48">
            <w:pPr>
              <w:pStyle w:val="Tabletext0"/>
              <w:jc w:val="center"/>
            </w:pPr>
            <w:r w:rsidRPr="00C81A88">
              <w:t>$27,046</w:t>
            </w:r>
          </w:p>
        </w:tc>
        <w:tc>
          <w:tcPr>
            <w:tcW w:w="1533" w:type="dxa"/>
            <w:tcBorders>
              <w:top w:val="single" w:sz="4" w:space="0" w:color="auto"/>
            </w:tcBorders>
          </w:tcPr>
          <w:p w14:paraId="3AA626AD" w14:textId="77777777" w:rsidR="00706CEE" w:rsidRPr="00C81A88" w:rsidRDefault="00706CEE" w:rsidP="001A6B48">
            <w:pPr>
              <w:pStyle w:val="Tabletext0"/>
              <w:jc w:val="center"/>
            </w:pPr>
            <w:r w:rsidRPr="00C81A88">
              <w:t>$47,764</w:t>
            </w:r>
          </w:p>
        </w:tc>
        <w:tc>
          <w:tcPr>
            <w:tcW w:w="1533" w:type="dxa"/>
            <w:tcBorders>
              <w:top w:val="single" w:sz="4" w:space="0" w:color="auto"/>
            </w:tcBorders>
          </w:tcPr>
          <w:p w14:paraId="1326834E" w14:textId="77777777" w:rsidR="00706CEE" w:rsidRPr="00C81A88" w:rsidRDefault="00706CEE" w:rsidP="001A6B48">
            <w:pPr>
              <w:pStyle w:val="Tabletext0"/>
              <w:jc w:val="center"/>
            </w:pPr>
            <w:r w:rsidRPr="00C81A88">
              <w:t>$75,567</w:t>
            </w:r>
          </w:p>
        </w:tc>
      </w:tr>
      <w:tr w:rsidR="00706CEE" w:rsidRPr="00AF64A9" w14:paraId="73C28603" w14:textId="77777777" w:rsidTr="00E75BE6">
        <w:tc>
          <w:tcPr>
            <w:tcW w:w="1352" w:type="dxa"/>
          </w:tcPr>
          <w:p w14:paraId="4A65446D" w14:textId="77777777" w:rsidR="00706CEE" w:rsidRPr="00DD6F7D" w:rsidRDefault="00706CEE" w:rsidP="001A6B48">
            <w:pPr>
              <w:pStyle w:val="Tabletext0"/>
            </w:pPr>
            <w:r w:rsidRPr="00DD6F7D">
              <w:t>MBS</w:t>
            </w:r>
          </w:p>
        </w:tc>
        <w:tc>
          <w:tcPr>
            <w:tcW w:w="1532" w:type="dxa"/>
          </w:tcPr>
          <w:p w14:paraId="29FEF3FF" w14:textId="77777777" w:rsidR="00706CEE" w:rsidRPr="00C81A88" w:rsidRDefault="00706CEE" w:rsidP="001A6B48">
            <w:pPr>
              <w:pStyle w:val="Tabletext0"/>
              <w:jc w:val="center"/>
            </w:pPr>
            <w:r w:rsidRPr="00C81A88">
              <w:t>$433,579</w:t>
            </w:r>
          </w:p>
        </w:tc>
        <w:tc>
          <w:tcPr>
            <w:tcW w:w="1533" w:type="dxa"/>
          </w:tcPr>
          <w:p w14:paraId="34E354C8" w14:textId="77777777" w:rsidR="00706CEE" w:rsidRPr="00C81A88" w:rsidRDefault="00706CEE" w:rsidP="001A6B48">
            <w:pPr>
              <w:pStyle w:val="Tabletext0"/>
              <w:jc w:val="center"/>
            </w:pPr>
            <w:r w:rsidRPr="00C81A88">
              <w:t>$475,952</w:t>
            </w:r>
          </w:p>
        </w:tc>
        <w:tc>
          <w:tcPr>
            <w:tcW w:w="1533" w:type="dxa"/>
          </w:tcPr>
          <w:p w14:paraId="103839A7" w14:textId="77777777" w:rsidR="00706CEE" w:rsidRPr="00C81A88" w:rsidRDefault="00706CEE" w:rsidP="001A6B48">
            <w:pPr>
              <w:pStyle w:val="Tabletext0"/>
              <w:jc w:val="center"/>
            </w:pPr>
            <w:r w:rsidRPr="00C81A88">
              <w:t>$526,388</w:t>
            </w:r>
          </w:p>
        </w:tc>
        <w:tc>
          <w:tcPr>
            <w:tcW w:w="1533" w:type="dxa"/>
          </w:tcPr>
          <w:p w14:paraId="58086999" w14:textId="77777777" w:rsidR="00706CEE" w:rsidRPr="00C81A88" w:rsidRDefault="00706CEE" w:rsidP="001A6B48">
            <w:pPr>
              <w:pStyle w:val="Tabletext0"/>
              <w:jc w:val="center"/>
            </w:pPr>
            <w:r w:rsidRPr="00C81A88">
              <w:t>$577,784</w:t>
            </w:r>
          </w:p>
        </w:tc>
        <w:tc>
          <w:tcPr>
            <w:tcW w:w="1533" w:type="dxa"/>
          </w:tcPr>
          <w:p w14:paraId="55C7F9AF" w14:textId="77777777" w:rsidR="00706CEE" w:rsidRPr="00C81A88" w:rsidRDefault="00706CEE" w:rsidP="001A6B48">
            <w:pPr>
              <w:pStyle w:val="Tabletext0"/>
              <w:jc w:val="center"/>
            </w:pPr>
            <w:r w:rsidRPr="00C81A88">
              <w:t>$633,126</w:t>
            </w:r>
          </w:p>
        </w:tc>
      </w:tr>
      <w:tr w:rsidR="00706CEE" w:rsidRPr="00AF64A9" w14:paraId="3ED4FC60" w14:textId="77777777" w:rsidTr="00E75BE6">
        <w:tc>
          <w:tcPr>
            <w:tcW w:w="1352" w:type="dxa"/>
          </w:tcPr>
          <w:p w14:paraId="089C2052" w14:textId="77777777" w:rsidR="00706CEE" w:rsidRPr="00DD6F7D" w:rsidRDefault="00706CEE" w:rsidP="001A6B48">
            <w:pPr>
              <w:pStyle w:val="Tabletext0"/>
            </w:pPr>
            <w:r w:rsidRPr="00DD6F7D">
              <w:t>Hospital</w:t>
            </w:r>
          </w:p>
        </w:tc>
        <w:tc>
          <w:tcPr>
            <w:tcW w:w="1532" w:type="dxa"/>
          </w:tcPr>
          <w:p w14:paraId="6890ADBF" w14:textId="77777777" w:rsidR="00706CEE" w:rsidRPr="00C81A88" w:rsidRDefault="00706CEE" w:rsidP="001A6B48">
            <w:pPr>
              <w:pStyle w:val="Tabletext0"/>
              <w:jc w:val="center"/>
            </w:pPr>
            <w:r w:rsidRPr="00C81A88">
              <w:t>$0</w:t>
            </w:r>
          </w:p>
        </w:tc>
        <w:tc>
          <w:tcPr>
            <w:tcW w:w="1533" w:type="dxa"/>
          </w:tcPr>
          <w:p w14:paraId="11666EED" w14:textId="77777777" w:rsidR="00706CEE" w:rsidRPr="00C81A88" w:rsidRDefault="00706CEE" w:rsidP="001A6B48">
            <w:pPr>
              <w:pStyle w:val="Tabletext0"/>
              <w:jc w:val="center"/>
            </w:pPr>
            <w:r w:rsidRPr="00C81A88">
              <w:t>$23,828</w:t>
            </w:r>
          </w:p>
        </w:tc>
        <w:tc>
          <w:tcPr>
            <w:tcW w:w="1533" w:type="dxa"/>
          </w:tcPr>
          <w:p w14:paraId="21BA3B36" w14:textId="77777777" w:rsidR="00706CEE" w:rsidRPr="00C81A88" w:rsidRDefault="00706CEE" w:rsidP="001A6B48">
            <w:pPr>
              <w:pStyle w:val="Tabletext0"/>
              <w:jc w:val="center"/>
            </w:pPr>
            <w:r w:rsidRPr="00C81A88">
              <w:t>$72,941</w:t>
            </w:r>
          </w:p>
        </w:tc>
        <w:tc>
          <w:tcPr>
            <w:tcW w:w="1533" w:type="dxa"/>
          </w:tcPr>
          <w:p w14:paraId="007E5A8B" w14:textId="77777777" w:rsidR="00706CEE" w:rsidRPr="00C81A88" w:rsidRDefault="00706CEE" w:rsidP="001A6B48">
            <w:pPr>
              <w:pStyle w:val="Tabletext0"/>
              <w:jc w:val="center"/>
            </w:pPr>
            <w:r w:rsidRPr="00C81A88">
              <w:t>$146,384</w:t>
            </w:r>
          </w:p>
        </w:tc>
        <w:tc>
          <w:tcPr>
            <w:tcW w:w="1533" w:type="dxa"/>
          </w:tcPr>
          <w:p w14:paraId="0A642465" w14:textId="77777777" w:rsidR="00706CEE" w:rsidRPr="00C81A88" w:rsidRDefault="00706CEE" w:rsidP="001A6B48">
            <w:pPr>
              <w:pStyle w:val="Tabletext0"/>
              <w:jc w:val="center"/>
            </w:pPr>
            <w:r w:rsidRPr="00C81A88">
              <w:t>$243,019</w:t>
            </w:r>
          </w:p>
        </w:tc>
      </w:tr>
      <w:tr w:rsidR="00706CEE" w:rsidRPr="00AF64A9" w14:paraId="5F302568" w14:textId="77777777" w:rsidTr="00E75BE6">
        <w:tc>
          <w:tcPr>
            <w:tcW w:w="1352" w:type="dxa"/>
          </w:tcPr>
          <w:p w14:paraId="0BE2D15F" w14:textId="77777777" w:rsidR="00706CEE" w:rsidRDefault="00706CEE" w:rsidP="001A6B48">
            <w:pPr>
              <w:pStyle w:val="Tabletext0"/>
            </w:pPr>
            <w:r w:rsidRPr="00DD6F7D">
              <w:t>Prosthesis</w:t>
            </w:r>
          </w:p>
        </w:tc>
        <w:tc>
          <w:tcPr>
            <w:tcW w:w="1532" w:type="dxa"/>
          </w:tcPr>
          <w:p w14:paraId="1786E741" w14:textId="77777777" w:rsidR="00706CEE" w:rsidRPr="00C81A88" w:rsidRDefault="00706CEE" w:rsidP="001A6B48">
            <w:pPr>
              <w:pStyle w:val="Tabletext0"/>
              <w:jc w:val="center"/>
            </w:pPr>
            <w:r w:rsidRPr="00C81A88">
              <w:t>$0</w:t>
            </w:r>
          </w:p>
        </w:tc>
        <w:tc>
          <w:tcPr>
            <w:tcW w:w="1533" w:type="dxa"/>
          </w:tcPr>
          <w:p w14:paraId="2D6275DE" w14:textId="77777777" w:rsidR="00706CEE" w:rsidRPr="00C81A88" w:rsidRDefault="00706CEE" w:rsidP="001A6B48">
            <w:pPr>
              <w:pStyle w:val="Tabletext0"/>
              <w:jc w:val="center"/>
            </w:pPr>
            <w:r w:rsidRPr="00C81A88">
              <w:t>$0</w:t>
            </w:r>
          </w:p>
        </w:tc>
        <w:tc>
          <w:tcPr>
            <w:tcW w:w="1533" w:type="dxa"/>
          </w:tcPr>
          <w:p w14:paraId="3550838A" w14:textId="77777777" w:rsidR="00706CEE" w:rsidRPr="00C81A88" w:rsidRDefault="00706CEE" w:rsidP="001A6B48">
            <w:pPr>
              <w:pStyle w:val="Tabletext0"/>
              <w:jc w:val="center"/>
            </w:pPr>
            <w:r w:rsidRPr="00C81A88">
              <w:t>$0</w:t>
            </w:r>
          </w:p>
        </w:tc>
        <w:tc>
          <w:tcPr>
            <w:tcW w:w="1533" w:type="dxa"/>
          </w:tcPr>
          <w:p w14:paraId="6CD32051" w14:textId="77777777" w:rsidR="00706CEE" w:rsidRPr="00C81A88" w:rsidRDefault="00706CEE" w:rsidP="001A6B48">
            <w:pPr>
              <w:pStyle w:val="Tabletext0"/>
              <w:jc w:val="center"/>
            </w:pPr>
            <w:r w:rsidRPr="00C81A88">
              <w:t>$0</w:t>
            </w:r>
          </w:p>
        </w:tc>
        <w:tc>
          <w:tcPr>
            <w:tcW w:w="1533" w:type="dxa"/>
          </w:tcPr>
          <w:p w14:paraId="7A8BC5CC" w14:textId="77777777" w:rsidR="00706CEE" w:rsidRDefault="00706CEE" w:rsidP="001A6B48">
            <w:pPr>
              <w:pStyle w:val="Tabletext0"/>
              <w:jc w:val="center"/>
            </w:pPr>
            <w:r w:rsidRPr="00C81A88">
              <w:t>$0</w:t>
            </w:r>
          </w:p>
        </w:tc>
      </w:tr>
      <w:tr w:rsidR="00706CEE" w:rsidRPr="00AF64A9" w14:paraId="2C946CF9" w14:textId="77777777" w:rsidTr="00E75BE6">
        <w:tc>
          <w:tcPr>
            <w:tcW w:w="1352" w:type="dxa"/>
            <w:tcBorders>
              <w:bottom w:val="single" w:sz="4" w:space="0" w:color="auto"/>
            </w:tcBorders>
          </w:tcPr>
          <w:p w14:paraId="55180230" w14:textId="77777777" w:rsidR="00706CEE" w:rsidRPr="00DD6F7D" w:rsidRDefault="00706CEE" w:rsidP="001A6B48">
            <w:pPr>
              <w:pStyle w:val="Tabletext0"/>
            </w:pPr>
            <w:r w:rsidRPr="00DD6F7D">
              <w:t>TOTAL</w:t>
            </w:r>
            <w:r>
              <w:t xml:space="preserve"> COST</w:t>
            </w:r>
          </w:p>
        </w:tc>
        <w:tc>
          <w:tcPr>
            <w:tcW w:w="1532" w:type="dxa"/>
            <w:tcBorders>
              <w:bottom w:val="single" w:sz="4" w:space="0" w:color="auto"/>
            </w:tcBorders>
          </w:tcPr>
          <w:p w14:paraId="1518CB80" w14:textId="77777777" w:rsidR="00706CEE" w:rsidRPr="00C81A88" w:rsidRDefault="00706CEE" w:rsidP="001A6B48">
            <w:pPr>
              <w:pStyle w:val="Tabletext0"/>
              <w:jc w:val="center"/>
            </w:pPr>
            <w:r w:rsidRPr="00C81A88">
              <w:t>$440,540</w:t>
            </w:r>
          </w:p>
        </w:tc>
        <w:tc>
          <w:tcPr>
            <w:tcW w:w="1533" w:type="dxa"/>
            <w:tcBorders>
              <w:bottom w:val="single" w:sz="4" w:space="0" w:color="auto"/>
            </w:tcBorders>
          </w:tcPr>
          <w:p w14:paraId="73439BBA" w14:textId="77777777" w:rsidR="00706CEE" w:rsidRPr="00C81A88" w:rsidRDefault="00706CEE" w:rsidP="001A6B48">
            <w:pPr>
              <w:pStyle w:val="Tabletext0"/>
              <w:jc w:val="center"/>
            </w:pPr>
            <w:r w:rsidRPr="00C81A88">
              <w:t>$513,214</w:t>
            </w:r>
          </w:p>
        </w:tc>
        <w:tc>
          <w:tcPr>
            <w:tcW w:w="1533" w:type="dxa"/>
            <w:tcBorders>
              <w:bottom w:val="single" w:sz="4" w:space="0" w:color="auto"/>
            </w:tcBorders>
          </w:tcPr>
          <w:p w14:paraId="03BA318D" w14:textId="77777777" w:rsidR="00706CEE" w:rsidRPr="00C81A88" w:rsidRDefault="00706CEE" w:rsidP="001A6B48">
            <w:pPr>
              <w:pStyle w:val="Tabletext0"/>
              <w:jc w:val="center"/>
            </w:pPr>
            <w:r w:rsidRPr="00C81A88">
              <w:t>$626,375</w:t>
            </w:r>
          </w:p>
        </w:tc>
        <w:tc>
          <w:tcPr>
            <w:tcW w:w="1533" w:type="dxa"/>
            <w:tcBorders>
              <w:bottom w:val="single" w:sz="4" w:space="0" w:color="auto"/>
            </w:tcBorders>
          </w:tcPr>
          <w:p w14:paraId="190B8ED2" w14:textId="77777777" w:rsidR="00706CEE" w:rsidRPr="00C81A88" w:rsidRDefault="00706CEE" w:rsidP="001A6B48">
            <w:pPr>
              <w:pStyle w:val="Tabletext0"/>
              <w:jc w:val="center"/>
            </w:pPr>
            <w:r w:rsidRPr="00C81A88">
              <w:t>$771,932</w:t>
            </w:r>
          </w:p>
        </w:tc>
        <w:tc>
          <w:tcPr>
            <w:tcW w:w="1533" w:type="dxa"/>
            <w:tcBorders>
              <w:bottom w:val="single" w:sz="4" w:space="0" w:color="auto"/>
            </w:tcBorders>
          </w:tcPr>
          <w:p w14:paraId="6B72C249" w14:textId="77777777" w:rsidR="00706CEE" w:rsidRPr="00C81A88" w:rsidRDefault="00706CEE" w:rsidP="001A6B48">
            <w:pPr>
              <w:pStyle w:val="Tabletext0"/>
              <w:jc w:val="center"/>
            </w:pPr>
            <w:r w:rsidRPr="00C81A88">
              <w:t>$951,712</w:t>
            </w:r>
          </w:p>
        </w:tc>
      </w:tr>
      <w:tr w:rsidR="00A14CB5" w:rsidRPr="00AF64A9" w14:paraId="04367BFE" w14:textId="77777777" w:rsidTr="00E75BE6">
        <w:tc>
          <w:tcPr>
            <w:tcW w:w="1352" w:type="dxa"/>
            <w:tcBorders>
              <w:top w:val="single" w:sz="4" w:space="0" w:color="auto"/>
              <w:left w:val="single" w:sz="4" w:space="0" w:color="auto"/>
              <w:bottom w:val="single" w:sz="4" w:space="0" w:color="auto"/>
              <w:right w:val="nil"/>
            </w:tcBorders>
          </w:tcPr>
          <w:p w14:paraId="3736D103" w14:textId="31417022" w:rsidR="00A14CB5" w:rsidRPr="00DD6F7D" w:rsidRDefault="00A14CB5" w:rsidP="001A6B48">
            <w:pPr>
              <w:pStyle w:val="Tabletext0"/>
            </w:pPr>
            <w:r w:rsidRPr="00F22DE7">
              <w:rPr>
                <w:b/>
              </w:rPr>
              <w:t>Difference</w:t>
            </w:r>
          </w:p>
        </w:tc>
        <w:tc>
          <w:tcPr>
            <w:tcW w:w="1532" w:type="dxa"/>
            <w:tcBorders>
              <w:top w:val="single" w:sz="4" w:space="0" w:color="auto"/>
              <w:left w:val="nil"/>
              <w:bottom w:val="single" w:sz="4" w:space="0" w:color="auto"/>
              <w:right w:val="nil"/>
            </w:tcBorders>
          </w:tcPr>
          <w:p w14:paraId="4CFD2A32" w14:textId="77777777" w:rsidR="00A14CB5" w:rsidRPr="00AB6D7A" w:rsidRDefault="00A14CB5" w:rsidP="001A6B48">
            <w:pPr>
              <w:pStyle w:val="Tabletext0"/>
              <w:jc w:val="center"/>
            </w:pPr>
          </w:p>
        </w:tc>
        <w:tc>
          <w:tcPr>
            <w:tcW w:w="1533" w:type="dxa"/>
            <w:tcBorders>
              <w:top w:val="single" w:sz="4" w:space="0" w:color="auto"/>
              <w:left w:val="nil"/>
              <w:bottom w:val="single" w:sz="4" w:space="0" w:color="auto"/>
              <w:right w:val="nil"/>
            </w:tcBorders>
          </w:tcPr>
          <w:p w14:paraId="27488C4B" w14:textId="77777777" w:rsidR="00A14CB5" w:rsidRPr="00AB6D7A" w:rsidRDefault="00A14CB5" w:rsidP="001A6B48">
            <w:pPr>
              <w:pStyle w:val="Tabletext0"/>
              <w:jc w:val="center"/>
            </w:pPr>
          </w:p>
        </w:tc>
        <w:tc>
          <w:tcPr>
            <w:tcW w:w="1533" w:type="dxa"/>
            <w:tcBorders>
              <w:top w:val="single" w:sz="4" w:space="0" w:color="auto"/>
              <w:left w:val="nil"/>
              <w:bottom w:val="single" w:sz="4" w:space="0" w:color="auto"/>
              <w:right w:val="nil"/>
            </w:tcBorders>
          </w:tcPr>
          <w:p w14:paraId="253AE1B4" w14:textId="77777777" w:rsidR="00A14CB5" w:rsidRPr="00AB6D7A" w:rsidRDefault="00A14CB5" w:rsidP="001A6B48">
            <w:pPr>
              <w:pStyle w:val="Tabletext0"/>
              <w:jc w:val="center"/>
            </w:pPr>
          </w:p>
        </w:tc>
        <w:tc>
          <w:tcPr>
            <w:tcW w:w="1533" w:type="dxa"/>
            <w:tcBorders>
              <w:top w:val="single" w:sz="4" w:space="0" w:color="auto"/>
              <w:left w:val="nil"/>
              <w:bottom w:val="single" w:sz="4" w:space="0" w:color="auto"/>
              <w:right w:val="nil"/>
            </w:tcBorders>
          </w:tcPr>
          <w:p w14:paraId="5EF182AB" w14:textId="77777777" w:rsidR="00A14CB5" w:rsidRPr="00AB6D7A" w:rsidRDefault="00A14CB5" w:rsidP="001A6B48">
            <w:pPr>
              <w:pStyle w:val="Tabletext0"/>
              <w:jc w:val="center"/>
            </w:pPr>
          </w:p>
        </w:tc>
        <w:tc>
          <w:tcPr>
            <w:tcW w:w="1533" w:type="dxa"/>
            <w:tcBorders>
              <w:top w:val="single" w:sz="4" w:space="0" w:color="auto"/>
              <w:left w:val="nil"/>
              <w:bottom w:val="single" w:sz="4" w:space="0" w:color="auto"/>
              <w:right w:val="single" w:sz="4" w:space="0" w:color="auto"/>
            </w:tcBorders>
          </w:tcPr>
          <w:p w14:paraId="722EB083" w14:textId="77777777" w:rsidR="00A14CB5" w:rsidRPr="00AB6D7A" w:rsidRDefault="00A14CB5" w:rsidP="001A6B48">
            <w:pPr>
              <w:pStyle w:val="Tabletext0"/>
              <w:jc w:val="center"/>
            </w:pPr>
          </w:p>
        </w:tc>
      </w:tr>
      <w:tr w:rsidR="00706CEE" w:rsidRPr="00AF64A9" w14:paraId="2FC62512" w14:textId="77777777" w:rsidTr="00E75BE6">
        <w:tc>
          <w:tcPr>
            <w:tcW w:w="1352" w:type="dxa"/>
            <w:tcBorders>
              <w:top w:val="single" w:sz="4" w:space="0" w:color="auto"/>
            </w:tcBorders>
          </w:tcPr>
          <w:p w14:paraId="1C26A931" w14:textId="77777777" w:rsidR="00706CEE" w:rsidRPr="00DD6F7D" w:rsidRDefault="00706CEE" w:rsidP="001A6B48">
            <w:pPr>
              <w:pStyle w:val="Tabletext0"/>
            </w:pPr>
            <w:r w:rsidRPr="00DD6F7D">
              <w:t>PBS Costs</w:t>
            </w:r>
          </w:p>
        </w:tc>
        <w:tc>
          <w:tcPr>
            <w:tcW w:w="1532" w:type="dxa"/>
            <w:tcBorders>
              <w:top w:val="single" w:sz="4" w:space="0" w:color="auto"/>
            </w:tcBorders>
          </w:tcPr>
          <w:p w14:paraId="12356C02" w14:textId="77777777" w:rsidR="00706CEE" w:rsidRPr="00AB6D7A" w:rsidRDefault="00706CEE" w:rsidP="001A6B48">
            <w:pPr>
              <w:pStyle w:val="Tabletext0"/>
              <w:jc w:val="center"/>
            </w:pPr>
            <w:r w:rsidRPr="00AB6D7A">
              <w:t>$3,486</w:t>
            </w:r>
          </w:p>
        </w:tc>
        <w:tc>
          <w:tcPr>
            <w:tcW w:w="1533" w:type="dxa"/>
            <w:tcBorders>
              <w:top w:val="single" w:sz="4" w:space="0" w:color="auto"/>
            </w:tcBorders>
          </w:tcPr>
          <w:p w14:paraId="267D4CD7" w14:textId="77777777" w:rsidR="00706CEE" w:rsidRPr="00AB6D7A" w:rsidRDefault="00706CEE" w:rsidP="001A6B48">
            <w:pPr>
              <w:pStyle w:val="Tabletext0"/>
              <w:jc w:val="center"/>
            </w:pPr>
            <w:r w:rsidRPr="00AB6D7A">
              <w:t>$3,626</w:t>
            </w:r>
          </w:p>
        </w:tc>
        <w:tc>
          <w:tcPr>
            <w:tcW w:w="1533" w:type="dxa"/>
            <w:tcBorders>
              <w:top w:val="single" w:sz="4" w:space="0" w:color="auto"/>
            </w:tcBorders>
          </w:tcPr>
          <w:p w14:paraId="2FF98BDA" w14:textId="77777777" w:rsidR="00706CEE" w:rsidRPr="00AB6D7A" w:rsidRDefault="00706CEE" w:rsidP="001A6B48">
            <w:pPr>
              <w:pStyle w:val="Tabletext0"/>
              <w:jc w:val="center"/>
            </w:pPr>
            <w:r w:rsidRPr="00AB6D7A">
              <w:t>$6,524</w:t>
            </w:r>
          </w:p>
        </w:tc>
        <w:tc>
          <w:tcPr>
            <w:tcW w:w="1533" w:type="dxa"/>
            <w:tcBorders>
              <w:top w:val="single" w:sz="4" w:space="0" w:color="auto"/>
            </w:tcBorders>
          </w:tcPr>
          <w:p w14:paraId="1377096F" w14:textId="77777777" w:rsidR="00706CEE" w:rsidRPr="00AB6D7A" w:rsidRDefault="00706CEE" w:rsidP="001A6B48">
            <w:pPr>
              <w:pStyle w:val="Tabletext0"/>
              <w:jc w:val="center"/>
            </w:pPr>
            <w:r w:rsidRPr="00AB6D7A">
              <w:t>$14,502</w:t>
            </w:r>
          </w:p>
        </w:tc>
        <w:tc>
          <w:tcPr>
            <w:tcW w:w="1533" w:type="dxa"/>
            <w:tcBorders>
              <w:top w:val="single" w:sz="4" w:space="0" w:color="auto"/>
            </w:tcBorders>
          </w:tcPr>
          <w:p w14:paraId="58B195A1" w14:textId="77777777" w:rsidR="00706CEE" w:rsidRPr="00AB6D7A" w:rsidRDefault="00706CEE" w:rsidP="001A6B48">
            <w:pPr>
              <w:pStyle w:val="Tabletext0"/>
              <w:jc w:val="center"/>
            </w:pPr>
            <w:r w:rsidRPr="00AB6D7A">
              <w:t>$29,187</w:t>
            </w:r>
          </w:p>
        </w:tc>
      </w:tr>
      <w:tr w:rsidR="00706CEE" w:rsidRPr="00AF64A9" w14:paraId="2395274D" w14:textId="77777777" w:rsidTr="00E75BE6">
        <w:tc>
          <w:tcPr>
            <w:tcW w:w="1352" w:type="dxa"/>
          </w:tcPr>
          <w:p w14:paraId="5F88E660" w14:textId="77777777" w:rsidR="00706CEE" w:rsidRPr="00DD6F7D" w:rsidRDefault="00706CEE" w:rsidP="001A6B48">
            <w:pPr>
              <w:pStyle w:val="Tabletext0"/>
            </w:pPr>
            <w:r w:rsidRPr="00DD6F7D">
              <w:t>MBS</w:t>
            </w:r>
          </w:p>
        </w:tc>
        <w:tc>
          <w:tcPr>
            <w:tcW w:w="1532" w:type="dxa"/>
          </w:tcPr>
          <w:p w14:paraId="21FACB9E" w14:textId="77777777" w:rsidR="00706CEE" w:rsidRPr="00AB6D7A" w:rsidRDefault="00706CEE" w:rsidP="001A6B48">
            <w:pPr>
              <w:pStyle w:val="Tabletext0"/>
              <w:jc w:val="center"/>
            </w:pPr>
            <w:r w:rsidRPr="00AB6D7A">
              <w:t>-$255,696</w:t>
            </w:r>
          </w:p>
        </w:tc>
        <w:tc>
          <w:tcPr>
            <w:tcW w:w="1533" w:type="dxa"/>
          </w:tcPr>
          <w:p w14:paraId="2D621E9A" w14:textId="77777777" w:rsidR="00706CEE" w:rsidRPr="00AB6D7A" w:rsidRDefault="00706CEE" w:rsidP="001A6B48">
            <w:pPr>
              <w:pStyle w:val="Tabletext0"/>
              <w:jc w:val="center"/>
            </w:pPr>
            <w:r w:rsidRPr="00AB6D7A">
              <w:t>-$267,222</w:t>
            </w:r>
          </w:p>
        </w:tc>
        <w:tc>
          <w:tcPr>
            <w:tcW w:w="1533" w:type="dxa"/>
          </w:tcPr>
          <w:p w14:paraId="283CC83F" w14:textId="77777777" w:rsidR="00706CEE" w:rsidRPr="00AB6D7A" w:rsidRDefault="00706CEE" w:rsidP="001A6B48">
            <w:pPr>
              <w:pStyle w:val="Tabletext0"/>
              <w:jc w:val="center"/>
            </w:pPr>
            <w:r w:rsidRPr="00AB6D7A">
              <w:t>-$279,712</w:t>
            </w:r>
          </w:p>
        </w:tc>
        <w:tc>
          <w:tcPr>
            <w:tcW w:w="1533" w:type="dxa"/>
          </w:tcPr>
          <w:p w14:paraId="3EDAEB9C" w14:textId="77777777" w:rsidR="00706CEE" w:rsidRPr="00AB6D7A" w:rsidRDefault="00706CEE" w:rsidP="001A6B48">
            <w:pPr>
              <w:pStyle w:val="Tabletext0"/>
              <w:jc w:val="center"/>
            </w:pPr>
            <w:r w:rsidRPr="00AB6D7A">
              <w:t>-$288,643</w:t>
            </w:r>
          </w:p>
        </w:tc>
        <w:tc>
          <w:tcPr>
            <w:tcW w:w="1533" w:type="dxa"/>
          </w:tcPr>
          <w:p w14:paraId="6F8D8787" w14:textId="77777777" w:rsidR="00706CEE" w:rsidRPr="00AB6D7A" w:rsidRDefault="00706CEE" w:rsidP="001A6B48">
            <w:pPr>
              <w:pStyle w:val="Tabletext0"/>
              <w:jc w:val="center"/>
            </w:pPr>
            <w:r w:rsidRPr="00AB6D7A">
              <w:t>-$295,772</w:t>
            </w:r>
          </w:p>
        </w:tc>
      </w:tr>
      <w:tr w:rsidR="00706CEE" w:rsidRPr="00AF64A9" w14:paraId="6A3BE8CA" w14:textId="77777777" w:rsidTr="00E75BE6">
        <w:tc>
          <w:tcPr>
            <w:tcW w:w="1352" w:type="dxa"/>
          </w:tcPr>
          <w:p w14:paraId="2C11861F" w14:textId="77777777" w:rsidR="00706CEE" w:rsidRPr="00DD6F7D" w:rsidRDefault="00706CEE" w:rsidP="001A6B48">
            <w:pPr>
              <w:pStyle w:val="Tabletext0"/>
            </w:pPr>
            <w:r w:rsidRPr="00DD6F7D">
              <w:t>Hospital</w:t>
            </w:r>
          </w:p>
        </w:tc>
        <w:tc>
          <w:tcPr>
            <w:tcW w:w="1532" w:type="dxa"/>
          </w:tcPr>
          <w:p w14:paraId="3753223D" w14:textId="77777777" w:rsidR="00706CEE" w:rsidRPr="00AB6D7A" w:rsidRDefault="00706CEE" w:rsidP="001A6B48">
            <w:pPr>
              <w:pStyle w:val="Tabletext0"/>
              <w:jc w:val="center"/>
            </w:pPr>
            <w:r w:rsidRPr="00AB6D7A">
              <w:t>$272,719</w:t>
            </w:r>
          </w:p>
        </w:tc>
        <w:tc>
          <w:tcPr>
            <w:tcW w:w="1533" w:type="dxa"/>
          </w:tcPr>
          <w:p w14:paraId="0B5542DF" w14:textId="77777777" w:rsidR="00706CEE" w:rsidRPr="00AB6D7A" w:rsidRDefault="00706CEE" w:rsidP="001A6B48">
            <w:pPr>
              <w:pStyle w:val="Tabletext0"/>
              <w:jc w:val="center"/>
            </w:pPr>
            <w:r w:rsidRPr="00AB6D7A">
              <w:t>$285,804</w:t>
            </w:r>
          </w:p>
        </w:tc>
        <w:tc>
          <w:tcPr>
            <w:tcW w:w="1533" w:type="dxa"/>
          </w:tcPr>
          <w:p w14:paraId="60F32E24" w14:textId="77777777" w:rsidR="00706CEE" w:rsidRPr="00AB6D7A" w:rsidRDefault="00706CEE" w:rsidP="001A6B48">
            <w:pPr>
              <w:pStyle w:val="Tabletext0"/>
              <w:jc w:val="center"/>
            </w:pPr>
            <w:r w:rsidRPr="00AB6D7A">
              <w:t>$304,143</w:t>
            </w:r>
          </w:p>
        </w:tc>
        <w:tc>
          <w:tcPr>
            <w:tcW w:w="1533" w:type="dxa"/>
          </w:tcPr>
          <w:p w14:paraId="6C3DFFB4" w14:textId="77777777" w:rsidR="00706CEE" w:rsidRPr="00AB6D7A" w:rsidRDefault="00706CEE" w:rsidP="001A6B48">
            <w:pPr>
              <w:pStyle w:val="Tabletext0"/>
              <w:jc w:val="center"/>
            </w:pPr>
            <w:r w:rsidRPr="00AB6D7A">
              <w:t>$325,215</w:t>
            </w:r>
          </w:p>
        </w:tc>
        <w:tc>
          <w:tcPr>
            <w:tcW w:w="1533" w:type="dxa"/>
          </w:tcPr>
          <w:p w14:paraId="21879A6C" w14:textId="77777777" w:rsidR="00706CEE" w:rsidRPr="00AB6D7A" w:rsidRDefault="00706CEE" w:rsidP="001A6B48">
            <w:pPr>
              <w:pStyle w:val="Tabletext0"/>
              <w:jc w:val="center"/>
            </w:pPr>
            <w:r w:rsidRPr="00AB6D7A">
              <w:t>$352,446</w:t>
            </w:r>
          </w:p>
        </w:tc>
      </w:tr>
      <w:tr w:rsidR="00706CEE" w:rsidRPr="00AF64A9" w14:paraId="0B2C3B9F" w14:textId="77777777" w:rsidTr="00E75BE6">
        <w:tc>
          <w:tcPr>
            <w:tcW w:w="1352" w:type="dxa"/>
          </w:tcPr>
          <w:p w14:paraId="175E7922" w14:textId="77777777" w:rsidR="00706CEE" w:rsidRDefault="00706CEE" w:rsidP="001A6B48">
            <w:pPr>
              <w:pStyle w:val="Tabletext0"/>
            </w:pPr>
            <w:r w:rsidRPr="00DD6F7D">
              <w:t>Prosthesis</w:t>
            </w:r>
          </w:p>
        </w:tc>
        <w:tc>
          <w:tcPr>
            <w:tcW w:w="1532" w:type="dxa"/>
          </w:tcPr>
          <w:p w14:paraId="1E59C879" w14:textId="77777777" w:rsidR="00706CEE" w:rsidRPr="00AB6D7A" w:rsidRDefault="00706CEE" w:rsidP="001A6B48">
            <w:pPr>
              <w:pStyle w:val="Tabletext0"/>
              <w:jc w:val="center"/>
            </w:pPr>
            <w:r w:rsidRPr="00AB6D7A">
              <w:t>$329,436</w:t>
            </w:r>
          </w:p>
        </w:tc>
        <w:tc>
          <w:tcPr>
            <w:tcW w:w="1533" w:type="dxa"/>
          </w:tcPr>
          <w:p w14:paraId="756C897E" w14:textId="77777777" w:rsidR="00706CEE" w:rsidRPr="00AB6D7A" w:rsidRDefault="00706CEE" w:rsidP="001A6B48">
            <w:pPr>
              <w:pStyle w:val="Tabletext0"/>
              <w:jc w:val="center"/>
            </w:pPr>
            <w:r w:rsidRPr="00AB6D7A">
              <w:t>$341,755</w:t>
            </w:r>
          </w:p>
        </w:tc>
        <w:tc>
          <w:tcPr>
            <w:tcW w:w="1533" w:type="dxa"/>
          </w:tcPr>
          <w:p w14:paraId="5FE3A82C" w14:textId="77777777" w:rsidR="00706CEE" w:rsidRPr="00AB6D7A" w:rsidRDefault="00706CEE" w:rsidP="001A6B48">
            <w:pPr>
              <w:pStyle w:val="Tabletext0"/>
              <w:jc w:val="center"/>
            </w:pPr>
            <w:r w:rsidRPr="00AB6D7A">
              <w:t>$356,822</w:t>
            </w:r>
          </w:p>
        </w:tc>
        <w:tc>
          <w:tcPr>
            <w:tcW w:w="1533" w:type="dxa"/>
          </w:tcPr>
          <w:p w14:paraId="3BB79480" w14:textId="77777777" w:rsidR="00706CEE" w:rsidRPr="00AB6D7A" w:rsidRDefault="00706CEE" w:rsidP="001A6B48">
            <w:pPr>
              <w:pStyle w:val="Tabletext0"/>
              <w:jc w:val="center"/>
            </w:pPr>
            <w:r w:rsidRPr="00AB6D7A">
              <w:t>$369,265</w:t>
            </w:r>
          </w:p>
        </w:tc>
        <w:tc>
          <w:tcPr>
            <w:tcW w:w="1533" w:type="dxa"/>
          </w:tcPr>
          <w:p w14:paraId="0CC8B74A" w14:textId="77777777" w:rsidR="00706CEE" w:rsidRDefault="00706CEE" w:rsidP="001A6B48">
            <w:pPr>
              <w:pStyle w:val="Tabletext0"/>
              <w:jc w:val="center"/>
            </w:pPr>
            <w:r w:rsidRPr="00AB6D7A">
              <w:t>$381,677</w:t>
            </w:r>
          </w:p>
        </w:tc>
      </w:tr>
      <w:tr w:rsidR="00706CEE" w:rsidRPr="00AF64A9" w14:paraId="2849DBD7" w14:textId="77777777" w:rsidTr="00E75BE6">
        <w:tc>
          <w:tcPr>
            <w:tcW w:w="1352" w:type="dxa"/>
          </w:tcPr>
          <w:p w14:paraId="3AF7FCE8" w14:textId="77777777" w:rsidR="00706CEE" w:rsidRPr="00E75BE6" w:rsidRDefault="00706CEE" w:rsidP="001A6B48">
            <w:pPr>
              <w:pStyle w:val="Tabletext0"/>
              <w:rPr>
                <w:b/>
              </w:rPr>
            </w:pPr>
            <w:r w:rsidRPr="00E75BE6">
              <w:rPr>
                <w:b/>
              </w:rPr>
              <w:t>TOTAL COST</w:t>
            </w:r>
          </w:p>
        </w:tc>
        <w:tc>
          <w:tcPr>
            <w:tcW w:w="1532" w:type="dxa"/>
          </w:tcPr>
          <w:p w14:paraId="56AE2852" w14:textId="77777777" w:rsidR="00706CEE" w:rsidRPr="00E75BE6" w:rsidRDefault="00706CEE" w:rsidP="001A6B48">
            <w:pPr>
              <w:pStyle w:val="Tabletext0"/>
              <w:jc w:val="center"/>
              <w:rPr>
                <w:b/>
              </w:rPr>
            </w:pPr>
            <w:r w:rsidRPr="00E75BE6">
              <w:rPr>
                <w:b/>
              </w:rPr>
              <w:t>$349,945</w:t>
            </w:r>
          </w:p>
        </w:tc>
        <w:tc>
          <w:tcPr>
            <w:tcW w:w="1533" w:type="dxa"/>
          </w:tcPr>
          <w:p w14:paraId="724DBC09" w14:textId="77777777" w:rsidR="00706CEE" w:rsidRPr="00E75BE6" w:rsidRDefault="00706CEE" w:rsidP="001A6B48">
            <w:pPr>
              <w:pStyle w:val="Tabletext0"/>
              <w:jc w:val="center"/>
              <w:rPr>
                <w:b/>
              </w:rPr>
            </w:pPr>
            <w:r w:rsidRPr="00E75BE6">
              <w:rPr>
                <w:b/>
              </w:rPr>
              <w:t>$363,964</w:t>
            </w:r>
          </w:p>
        </w:tc>
        <w:tc>
          <w:tcPr>
            <w:tcW w:w="1533" w:type="dxa"/>
          </w:tcPr>
          <w:p w14:paraId="2B3394D7" w14:textId="77777777" w:rsidR="00706CEE" w:rsidRPr="00E75BE6" w:rsidRDefault="00706CEE" w:rsidP="001A6B48">
            <w:pPr>
              <w:pStyle w:val="Tabletext0"/>
              <w:jc w:val="center"/>
              <w:rPr>
                <w:b/>
              </w:rPr>
            </w:pPr>
            <w:r w:rsidRPr="00E75BE6">
              <w:rPr>
                <w:b/>
              </w:rPr>
              <w:t>$387,777</w:t>
            </w:r>
          </w:p>
        </w:tc>
        <w:tc>
          <w:tcPr>
            <w:tcW w:w="1533" w:type="dxa"/>
          </w:tcPr>
          <w:p w14:paraId="74E1C169" w14:textId="77777777" w:rsidR="00706CEE" w:rsidRPr="00E75BE6" w:rsidRDefault="00706CEE" w:rsidP="001A6B48">
            <w:pPr>
              <w:pStyle w:val="Tabletext0"/>
              <w:jc w:val="center"/>
              <w:rPr>
                <w:b/>
              </w:rPr>
            </w:pPr>
            <w:r w:rsidRPr="00E75BE6">
              <w:rPr>
                <w:b/>
              </w:rPr>
              <w:t>$420,339</w:t>
            </w:r>
          </w:p>
        </w:tc>
        <w:tc>
          <w:tcPr>
            <w:tcW w:w="1533" w:type="dxa"/>
          </w:tcPr>
          <w:p w14:paraId="13C5DA06" w14:textId="77777777" w:rsidR="00706CEE" w:rsidRPr="00E75BE6" w:rsidRDefault="00706CEE" w:rsidP="001A6B48">
            <w:pPr>
              <w:pStyle w:val="Tabletext0"/>
              <w:jc w:val="center"/>
              <w:rPr>
                <w:b/>
              </w:rPr>
            </w:pPr>
            <w:r w:rsidRPr="00E75BE6">
              <w:rPr>
                <w:b/>
              </w:rPr>
              <w:t>$467,537</w:t>
            </w:r>
          </w:p>
        </w:tc>
      </w:tr>
    </w:tbl>
    <w:p w14:paraId="38E1D42A" w14:textId="575400B2" w:rsidR="0023569C" w:rsidRPr="00F9490F" w:rsidRDefault="0023569C" w:rsidP="00B670AD">
      <w:pPr>
        <w:spacing w:before="240"/>
        <w:rPr>
          <w:rFonts w:ascii="Arial Narrow" w:hAnsi="Arial Narrow"/>
          <w:b/>
          <w:sz w:val="20"/>
        </w:rPr>
      </w:pPr>
      <w:bookmarkStart w:id="33" w:name="_Ref13664138"/>
      <w:r w:rsidRPr="00F9490F">
        <w:rPr>
          <w:rFonts w:ascii="Arial Narrow" w:hAnsi="Arial Narrow"/>
          <w:b/>
          <w:sz w:val="20"/>
        </w:rPr>
        <w:t xml:space="preserve">Table </w:t>
      </w:r>
      <w:bookmarkEnd w:id="33"/>
      <w:r w:rsidR="00E75BE6" w:rsidRPr="00F9490F">
        <w:rPr>
          <w:rFonts w:ascii="Arial Narrow" w:hAnsi="Arial Narrow"/>
          <w:b/>
          <w:sz w:val="20"/>
        </w:rPr>
        <w:t>12</w:t>
      </w:r>
      <w:r w:rsidR="00951F0C" w:rsidRPr="00F9490F">
        <w:rPr>
          <w:rFonts w:ascii="Arial Narrow" w:hAnsi="Arial Narrow"/>
          <w:b/>
          <w:sz w:val="20"/>
        </w:rPr>
        <w:t xml:space="preserve"> </w:t>
      </w:r>
      <w:r w:rsidRPr="00F9490F">
        <w:rPr>
          <w:rFonts w:ascii="Arial Narrow" w:hAnsi="Arial Narrow"/>
          <w:b/>
          <w:sz w:val="20"/>
        </w:rPr>
        <w:t>Revised Post-ESC model: Total forecasted services, overall deconstructed costs for each treatment arm and the difference between the treatment arms between 2020 and 2024 using outputs from the amended model.</w:t>
      </w:r>
    </w:p>
    <w:tbl>
      <w:tblPr>
        <w:tblStyle w:val="TableGrid"/>
        <w:tblW w:w="0" w:type="auto"/>
        <w:tblLook w:val="04A0" w:firstRow="1" w:lastRow="0" w:firstColumn="1" w:lastColumn="0" w:noHBand="0" w:noVBand="1"/>
        <w:tblCaption w:val="Revised Post-ESC model: Total forecasted services, overall deconstructed costs for each treatment arm and the difference between the treatment arms between 2020 and 2024 using outputs from the amended model."/>
        <w:tblDescription w:val="Breakdown of financials from revised Pre-ESC model"/>
      </w:tblPr>
      <w:tblGrid>
        <w:gridCol w:w="1501"/>
        <w:gridCol w:w="1503"/>
        <w:gridCol w:w="1503"/>
        <w:gridCol w:w="1503"/>
        <w:gridCol w:w="1503"/>
        <w:gridCol w:w="1503"/>
      </w:tblGrid>
      <w:tr w:rsidR="0023569C" w14:paraId="52BF0C78" w14:textId="77777777" w:rsidTr="001A6B48">
        <w:trPr>
          <w:tblHeader/>
        </w:trPr>
        <w:tc>
          <w:tcPr>
            <w:tcW w:w="1501" w:type="dxa"/>
          </w:tcPr>
          <w:p w14:paraId="4A9521AE" w14:textId="77777777" w:rsidR="0023569C" w:rsidRDefault="0023569C" w:rsidP="001A6B48">
            <w:pPr>
              <w:pStyle w:val="TableHeading"/>
            </w:pPr>
            <w:r>
              <w:t>Description</w:t>
            </w:r>
          </w:p>
        </w:tc>
        <w:tc>
          <w:tcPr>
            <w:tcW w:w="1503" w:type="dxa"/>
          </w:tcPr>
          <w:p w14:paraId="5639E28E" w14:textId="77777777" w:rsidR="0023569C" w:rsidRDefault="0023569C" w:rsidP="001A6B48">
            <w:pPr>
              <w:pStyle w:val="TableHeading"/>
              <w:jc w:val="center"/>
            </w:pPr>
            <w:r>
              <w:t>2020</w:t>
            </w:r>
          </w:p>
        </w:tc>
        <w:tc>
          <w:tcPr>
            <w:tcW w:w="1503" w:type="dxa"/>
          </w:tcPr>
          <w:p w14:paraId="05B55355" w14:textId="77777777" w:rsidR="0023569C" w:rsidRDefault="0023569C" w:rsidP="001A6B48">
            <w:pPr>
              <w:pStyle w:val="TableHeading"/>
              <w:jc w:val="center"/>
            </w:pPr>
            <w:r>
              <w:t>2021</w:t>
            </w:r>
          </w:p>
        </w:tc>
        <w:tc>
          <w:tcPr>
            <w:tcW w:w="1503" w:type="dxa"/>
          </w:tcPr>
          <w:p w14:paraId="184A8D04" w14:textId="77777777" w:rsidR="0023569C" w:rsidRDefault="0023569C" w:rsidP="001A6B48">
            <w:pPr>
              <w:pStyle w:val="TableHeading"/>
              <w:jc w:val="center"/>
            </w:pPr>
            <w:r>
              <w:t>2022</w:t>
            </w:r>
          </w:p>
        </w:tc>
        <w:tc>
          <w:tcPr>
            <w:tcW w:w="1503" w:type="dxa"/>
          </w:tcPr>
          <w:p w14:paraId="7F10A193" w14:textId="77777777" w:rsidR="0023569C" w:rsidRDefault="0023569C" w:rsidP="001A6B48">
            <w:pPr>
              <w:pStyle w:val="TableHeading"/>
              <w:jc w:val="center"/>
            </w:pPr>
            <w:r>
              <w:t>2023</w:t>
            </w:r>
          </w:p>
        </w:tc>
        <w:tc>
          <w:tcPr>
            <w:tcW w:w="1503" w:type="dxa"/>
          </w:tcPr>
          <w:p w14:paraId="3C137D69" w14:textId="77777777" w:rsidR="0023569C" w:rsidRDefault="0023569C" w:rsidP="001A6B48">
            <w:pPr>
              <w:pStyle w:val="TableHeading"/>
              <w:jc w:val="center"/>
            </w:pPr>
            <w:r>
              <w:t>2024</w:t>
            </w:r>
          </w:p>
        </w:tc>
      </w:tr>
      <w:tr w:rsidR="0023569C" w:rsidRPr="00AF64A9" w14:paraId="2396DC47" w14:textId="77777777" w:rsidTr="00A14CB5">
        <w:tc>
          <w:tcPr>
            <w:tcW w:w="1501" w:type="dxa"/>
            <w:tcBorders>
              <w:bottom w:val="single" w:sz="4" w:space="0" w:color="auto"/>
            </w:tcBorders>
          </w:tcPr>
          <w:p w14:paraId="064E43F2" w14:textId="77777777" w:rsidR="0023569C" w:rsidRPr="00AF64A9" w:rsidRDefault="0023569C" w:rsidP="001A6B48">
            <w:pPr>
              <w:pStyle w:val="Tabletext0"/>
            </w:pPr>
            <w:r w:rsidRPr="00AF64A9">
              <w:t>Total services</w:t>
            </w:r>
          </w:p>
        </w:tc>
        <w:tc>
          <w:tcPr>
            <w:tcW w:w="1503" w:type="dxa"/>
            <w:tcBorders>
              <w:bottom w:val="single" w:sz="4" w:space="0" w:color="auto"/>
            </w:tcBorders>
          </w:tcPr>
          <w:p w14:paraId="0391410E" w14:textId="77777777" w:rsidR="0023569C" w:rsidRPr="00AF64A9" w:rsidRDefault="0023569C" w:rsidP="001A6B48">
            <w:pPr>
              <w:pStyle w:val="Tabletext0"/>
              <w:jc w:val="center"/>
            </w:pPr>
            <w:r>
              <w:t>107</w:t>
            </w:r>
          </w:p>
        </w:tc>
        <w:tc>
          <w:tcPr>
            <w:tcW w:w="1503" w:type="dxa"/>
            <w:tcBorders>
              <w:bottom w:val="single" w:sz="4" w:space="0" w:color="auto"/>
            </w:tcBorders>
          </w:tcPr>
          <w:p w14:paraId="76797B04" w14:textId="77777777" w:rsidR="0023569C" w:rsidRPr="00AF64A9" w:rsidRDefault="0023569C" w:rsidP="001A6B48">
            <w:pPr>
              <w:pStyle w:val="Tabletext0"/>
              <w:jc w:val="center"/>
            </w:pPr>
            <w:r>
              <w:t>111</w:t>
            </w:r>
          </w:p>
        </w:tc>
        <w:tc>
          <w:tcPr>
            <w:tcW w:w="1503" w:type="dxa"/>
            <w:tcBorders>
              <w:bottom w:val="single" w:sz="4" w:space="0" w:color="auto"/>
            </w:tcBorders>
          </w:tcPr>
          <w:p w14:paraId="2D714CDA" w14:textId="77777777" w:rsidR="0023569C" w:rsidRPr="00AF64A9" w:rsidRDefault="0023569C" w:rsidP="001A6B48">
            <w:pPr>
              <w:pStyle w:val="Tabletext0"/>
              <w:jc w:val="center"/>
            </w:pPr>
            <w:r>
              <w:t>116</w:t>
            </w:r>
          </w:p>
        </w:tc>
        <w:tc>
          <w:tcPr>
            <w:tcW w:w="1503" w:type="dxa"/>
            <w:tcBorders>
              <w:bottom w:val="single" w:sz="4" w:space="0" w:color="auto"/>
            </w:tcBorders>
          </w:tcPr>
          <w:p w14:paraId="6E9E1F89" w14:textId="77777777" w:rsidR="0023569C" w:rsidRPr="00AF64A9" w:rsidRDefault="0023569C" w:rsidP="001A6B48">
            <w:pPr>
              <w:pStyle w:val="Tabletext0"/>
              <w:jc w:val="center"/>
            </w:pPr>
            <w:r>
              <w:t>120</w:t>
            </w:r>
          </w:p>
        </w:tc>
        <w:tc>
          <w:tcPr>
            <w:tcW w:w="1503" w:type="dxa"/>
            <w:tcBorders>
              <w:bottom w:val="single" w:sz="4" w:space="0" w:color="auto"/>
            </w:tcBorders>
          </w:tcPr>
          <w:p w14:paraId="432CAA87" w14:textId="77777777" w:rsidR="0023569C" w:rsidRPr="00AF64A9" w:rsidRDefault="0023569C" w:rsidP="001A6B48">
            <w:pPr>
              <w:pStyle w:val="Tabletext0"/>
              <w:jc w:val="center"/>
            </w:pPr>
            <w:r>
              <w:t>124</w:t>
            </w:r>
          </w:p>
        </w:tc>
      </w:tr>
      <w:tr w:rsidR="00A14CB5" w:rsidRPr="00AF64A9" w14:paraId="1BB2035F" w14:textId="77777777" w:rsidTr="00A14CB5">
        <w:tc>
          <w:tcPr>
            <w:tcW w:w="1501" w:type="dxa"/>
            <w:tcBorders>
              <w:top w:val="single" w:sz="4" w:space="0" w:color="auto"/>
              <w:left w:val="single" w:sz="4" w:space="0" w:color="auto"/>
              <w:bottom w:val="single" w:sz="4" w:space="0" w:color="auto"/>
              <w:right w:val="nil"/>
            </w:tcBorders>
          </w:tcPr>
          <w:p w14:paraId="2049060A" w14:textId="2A7EABC9" w:rsidR="00A14CB5" w:rsidRPr="00DD6F7D" w:rsidRDefault="00A14CB5" w:rsidP="001A6B48">
            <w:pPr>
              <w:pStyle w:val="Tabletext0"/>
            </w:pPr>
            <w:r w:rsidRPr="00F22DE7">
              <w:rPr>
                <w:b/>
              </w:rPr>
              <w:t>LDR-BT boost</w:t>
            </w:r>
          </w:p>
        </w:tc>
        <w:tc>
          <w:tcPr>
            <w:tcW w:w="1503" w:type="dxa"/>
            <w:tcBorders>
              <w:top w:val="single" w:sz="4" w:space="0" w:color="auto"/>
              <w:left w:val="nil"/>
              <w:bottom w:val="single" w:sz="4" w:space="0" w:color="auto"/>
              <w:right w:val="nil"/>
            </w:tcBorders>
          </w:tcPr>
          <w:p w14:paraId="2C795E6A" w14:textId="77777777" w:rsidR="00A14CB5" w:rsidRPr="008A10CE" w:rsidRDefault="00A14CB5" w:rsidP="001A6B48">
            <w:pPr>
              <w:pStyle w:val="Tabletext0"/>
              <w:jc w:val="center"/>
            </w:pPr>
          </w:p>
        </w:tc>
        <w:tc>
          <w:tcPr>
            <w:tcW w:w="1503" w:type="dxa"/>
            <w:tcBorders>
              <w:top w:val="single" w:sz="4" w:space="0" w:color="auto"/>
              <w:left w:val="nil"/>
              <w:bottom w:val="single" w:sz="4" w:space="0" w:color="auto"/>
              <w:right w:val="nil"/>
            </w:tcBorders>
          </w:tcPr>
          <w:p w14:paraId="4727C580" w14:textId="77777777" w:rsidR="00A14CB5" w:rsidRPr="008A10CE" w:rsidRDefault="00A14CB5" w:rsidP="001A6B48">
            <w:pPr>
              <w:pStyle w:val="Tabletext0"/>
              <w:jc w:val="center"/>
            </w:pPr>
          </w:p>
        </w:tc>
        <w:tc>
          <w:tcPr>
            <w:tcW w:w="1503" w:type="dxa"/>
            <w:tcBorders>
              <w:top w:val="single" w:sz="4" w:space="0" w:color="auto"/>
              <w:left w:val="nil"/>
              <w:bottom w:val="single" w:sz="4" w:space="0" w:color="auto"/>
              <w:right w:val="nil"/>
            </w:tcBorders>
          </w:tcPr>
          <w:p w14:paraId="5BD093CB" w14:textId="77777777" w:rsidR="00A14CB5" w:rsidRPr="008A10CE" w:rsidRDefault="00A14CB5" w:rsidP="001A6B48">
            <w:pPr>
              <w:pStyle w:val="Tabletext0"/>
              <w:jc w:val="center"/>
            </w:pPr>
          </w:p>
        </w:tc>
        <w:tc>
          <w:tcPr>
            <w:tcW w:w="1503" w:type="dxa"/>
            <w:tcBorders>
              <w:top w:val="single" w:sz="4" w:space="0" w:color="auto"/>
              <w:left w:val="nil"/>
              <w:bottom w:val="single" w:sz="4" w:space="0" w:color="auto"/>
              <w:right w:val="nil"/>
            </w:tcBorders>
          </w:tcPr>
          <w:p w14:paraId="6BC2B9D8" w14:textId="77777777" w:rsidR="00A14CB5" w:rsidRPr="008A10CE" w:rsidRDefault="00A14CB5" w:rsidP="001A6B48">
            <w:pPr>
              <w:pStyle w:val="Tabletext0"/>
              <w:jc w:val="center"/>
            </w:pPr>
          </w:p>
        </w:tc>
        <w:tc>
          <w:tcPr>
            <w:tcW w:w="1503" w:type="dxa"/>
            <w:tcBorders>
              <w:top w:val="single" w:sz="4" w:space="0" w:color="auto"/>
              <w:left w:val="nil"/>
              <w:bottom w:val="single" w:sz="4" w:space="0" w:color="auto"/>
              <w:right w:val="single" w:sz="4" w:space="0" w:color="auto"/>
            </w:tcBorders>
          </w:tcPr>
          <w:p w14:paraId="28609146" w14:textId="77777777" w:rsidR="00A14CB5" w:rsidRPr="008A10CE" w:rsidRDefault="00A14CB5" w:rsidP="001A6B48">
            <w:pPr>
              <w:pStyle w:val="Tabletext0"/>
              <w:jc w:val="center"/>
            </w:pPr>
          </w:p>
        </w:tc>
      </w:tr>
      <w:tr w:rsidR="0023569C" w:rsidRPr="00AF64A9" w14:paraId="5AFBE1A9" w14:textId="77777777" w:rsidTr="00A14CB5">
        <w:tc>
          <w:tcPr>
            <w:tcW w:w="1501" w:type="dxa"/>
            <w:tcBorders>
              <w:top w:val="single" w:sz="4" w:space="0" w:color="auto"/>
            </w:tcBorders>
          </w:tcPr>
          <w:p w14:paraId="01BC8CB1" w14:textId="77777777" w:rsidR="0023569C" w:rsidRPr="00DD6F7D" w:rsidRDefault="0023569C" w:rsidP="001A6B48">
            <w:pPr>
              <w:pStyle w:val="Tabletext0"/>
            </w:pPr>
            <w:r w:rsidRPr="00DD6F7D">
              <w:t>PBS Costs</w:t>
            </w:r>
          </w:p>
        </w:tc>
        <w:tc>
          <w:tcPr>
            <w:tcW w:w="1503" w:type="dxa"/>
            <w:tcBorders>
              <w:top w:val="single" w:sz="4" w:space="0" w:color="auto"/>
            </w:tcBorders>
          </w:tcPr>
          <w:p w14:paraId="396E1DA5" w14:textId="77777777" w:rsidR="0023569C" w:rsidRPr="008A10CE" w:rsidRDefault="0023569C" w:rsidP="001A6B48">
            <w:pPr>
              <w:pStyle w:val="Tabletext0"/>
              <w:jc w:val="center"/>
            </w:pPr>
            <w:r w:rsidRPr="008A10CE">
              <w:t>$790,485</w:t>
            </w:r>
          </w:p>
        </w:tc>
        <w:tc>
          <w:tcPr>
            <w:tcW w:w="1503" w:type="dxa"/>
            <w:tcBorders>
              <w:top w:val="single" w:sz="4" w:space="0" w:color="auto"/>
            </w:tcBorders>
          </w:tcPr>
          <w:p w14:paraId="50741763" w14:textId="77777777" w:rsidR="0023569C" w:rsidRPr="008A10CE" w:rsidRDefault="0023569C" w:rsidP="001A6B48">
            <w:pPr>
              <w:pStyle w:val="Tabletext0"/>
              <w:jc w:val="center"/>
            </w:pPr>
            <w:r w:rsidRPr="008A10CE">
              <w:t>$877,178</w:t>
            </w:r>
          </w:p>
        </w:tc>
        <w:tc>
          <w:tcPr>
            <w:tcW w:w="1503" w:type="dxa"/>
            <w:tcBorders>
              <w:top w:val="single" w:sz="4" w:space="0" w:color="auto"/>
            </w:tcBorders>
          </w:tcPr>
          <w:p w14:paraId="10B216A5" w14:textId="77777777" w:rsidR="0023569C" w:rsidRPr="008A10CE" w:rsidRDefault="0023569C" w:rsidP="001A6B48">
            <w:pPr>
              <w:pStyle w:val="Tabletext0"/>
              <w:jc w:val="center"/>
            </w:pPr>
            <w:r w:rsidRPr="008A10CE">
              <w:t>$1,006,112</w:t>
            </w:r>
          </w:p>
        </w:tc>
        <w:tc>
          <w:tcPr>
            <w:tcW w:w="1503" w:type="dxa"/>
            <w:tcBorders>
              <w:top w:val="single" w:sz="4" w:space="0" w:color="auto"/>
            </w:tcBorders>
          </w:tcPr>
          <w:p w14:paraId="1B1B7E14" w14:textId="77777777" w:rsidR="0023569C" w:rsidRPr="008A10CE" w:rsidRDefault="0023569C" w:rsidP="001A6B48">
            <w:pPr>
              <w:pStyle w:val="Tabletext0"/>
              <w:jc w:val="center"/>
            </w:pPr>
            <w:r w:rsidRPr="008A10CE">
              <w:t>$1,162,435</w:t>
            </w:r>
          </w:p>
        </w:tc>
        <w:tc>
          <w:tcPr>
            <w:tcW w:w="1503" w:type="dxa"/>
            <w:tcBorders>
              <w:top w:val="single" w:sz="4" w:space="0" w:color="auto"/>
            </w:tcBorders>
          </w:tcPr>
          <w:p w14:paraId="08C07958" w14:textId="77777777" w:rsidR="0023569C" w:rsidRPr="008A10CE" w:rsidRDefault="0023569C" w:rsidP="001A6B48">
            <w:pPr>
              <w:pStyle w:val="Tabletext0"/>
              <w:jc w:val="center"/>
            </w:pPr>
            <w:r w:rsidRPr="008A10CE">
              <w:t>$1,349,915</w:t>
            </w:r>
          </w:p>
        </w:tc>
      </w:tr>
      <w:tr w:rsidR="0023569C" w:rsidRPr="00AF64A9" w14:paraId="13EC324D" w14:textId="77777777" w:rsidTr="001A6B48">
        <w:tc>
          <w:tcPr>
            <w:tcW w:w="1501" w:type="dxa"/>
          </w:tcPr>
          <w:p w14:paraId="0C0CEF2F" w14:textId="77777777" w:rsidR="0023569C" w:rsidRPr="00DD6F7D" w:rsidRDefault="0023569C" w:rsidP="001A6B48">
            <w:pPr>
              <w:pStyle w:val="Tabletext0"/>
            </w:pPr>
            <w:r w:rsidRPr="00DD6F7D">
              <w:t>MBS</w:t>
            </w:r>
          </w:p>
        </w:tc>
        <w:tc>
          <w:tcPr>
            <w:tcW w:w="1503" w:type="dxa"/>
          </w:tcPr>
          <w:p w14:paraId="674088EE" w14:textId="77777777" w:rsidR="0023569C" w:rsidRPr="008A10CE" w:rsidRDefault="0023569C" w:rsidP="001A6B48">
            <w:pPr>
              <w:pStyle w:val="Tabletext0"/>
              <w:jc w:val="center"/>
            </w:pPr>
            <w:r w:rsidRPr="008A10CE">
              <w:t>$10,447</w:t>
            </w:r>
          </w:p>
        </w:tc>
        <w:tc>
          <w:tcPr>
            <w:tcW w:w="1503" w:type="dxa"/>
          </w:tcPr>
          <w:p w14:paraId="31D20EC5" w14:textId="77777777" w:rsidR="0023569C" w:rsidRPr="008A10CE" w:rsidRDefault="0023569C" w:rsidP="001A6B48">
            <w:pPr>
              <w:pStyle w:val="Tabletext0"/>
              <w:jc w:val="center"/>
            </w:pPr>
            <w:r w:rsidRPr="008A10CE">
              <w:t>$17,060</w:t>
            </w:r>
          </w:p>
        </w:tc>
        <w:tc>
          <w:tcPr>
            <w:tcW w:w="1503" w:type="dxa"/>
          </w:tcPr>
          <w:p w14:paraId="628D5C27" w14:textId="77777777" w:rsidR="0023569C" w:rsidRPr="008A10CE" w:rsidRDefault="0023569C" w:rsidP="001A6B48">
            <w:pPr>
              <w:pStyle w:val="Tabletext0"/>
              <w:jc w:val="center"/>
            </w:pPr>
            <w:r w:rsidRPr="008A10CE">
              <w:t>$29,706</w:t>
            </w:r>
          </w:p>
        </w:tc>
        <w:tc>
          <w:tcPr>
            <w:tcW w:w="1503" w:type="dxa"/>
          </w:tcPr>
          <w:p w14:paraId="64153409" w14:textId="77777777" w:rsidR="0023569C" w:rsidRPr="008A10CE" w:rsidRDefault="0023569C" w:rsidP="001A6B48">
            <w:pPr>
              <w:pStyle w:val="Tabletext0"/>
              <w:jc w:val="center"/>
            </w:pPr>
            <w:r w:rsidRPr="008A10CE">
              <w:t>$47,985</w:t>
            </w:r>
          </w:p>
        </w:tc>
        <w:tc>
          <w:tcPr>
            <w:tcW w:w="1503" w:type="dxa"/>
          </w:tcPr>
          <w:p w14:paraId="1C7A1E61" w14:textId="77777777" w:rsidR="0023569C" w:rsidRPr="008A10CE" w:rsidRDefault="0023569C" w:rsidP="001A6B48">
            <w:pPr>
              <w:pStyle w:val="Tabletext0"/>
              <w:jc w:val="center"/>
            </w:pPr>
            <w:r w:rsidRPr="008A10CE">
              <w:t>$71,701</w:t>
            </w:r>
          </w:p>
        </w:tc>
      </w:tr>
      <w:tr w:rsidR="0023569C" w:rsidRPr="00AF64A9" w14:paraId="0241FF6D" w14:textId="77777777" w:rsidTr="001A6B48">
        <w:tc>
          <w:tcPr>
            <w:tcW w:w="1501" w:type="dxa"/>
          </w:tcPr>
          <w:p w14:paraId="67527D40" w14:textId="77777777" w:rsidR="0023569C" w:rsidRPr="00DD6F7D" w:rsidRDefault="0023569C" w:rsidP="001A6B48">
            <w:pPr>
              <w:pStyle w:val="Tabletext0"/>
            </w:pPr>
            <w:r w:rsidRPr="00DD6F7D">
              <w:t>Hospital</w:t>
            </w:r>
          </w:p>
        </w:tc>
        <w:tc>
          <w:tcPr>
            <w:tcW w:w="1503" w:type="dxa"/>
          </w:tcPr>
          <w:p w14:paraId="629BF2D0" w14:textId="77777777" w:rsidR="0023569C" w:rsidRPr="008A10CE" w:rsidRDefault="0023569C" w:rsidP="001A6B48">
            <w:pPr>
              <w:pStyle w:val="Tabletext0"/>
              <w:jc w:val="center"/>
            </w:pPr>
            <w:r w:rsidRPr="008A10CE">
              <w:t>$177,882</w:t>
            </w:r>
          </w:p>
        </w:tc>
        <w:tc>
          <w:tcPr>
            <w:tcW w:w="1503" w:type="dxa"/>
          </w:tcPr>
          <w:p w14:paraId="13BF0B5A" w14:textId="77777777" w:rsidR="0023569C" w:rsidRPr="008A10CE" w:rsidRDefault="0023569C" w:rsidP="001A6B48">
            <w:pPr>
              <w:pStyle w:val="Tabletext0"/>
              <w:jc w:val="center"/>
            </w:pPr>
            <w:r w:rsidRPr="008A10CE">
              <w:t>$208,730</w:t>
            </w:r>
          </w:p>
        </w:tc>
        <w:tc>
          <w:tcPr>
            <w:tcW w:w="1503" w:type="dxa"/>
          </w:tcPr>
          <w:p w14:paraId="232343DA" w14:textId="77777777" w:rsidR="0023569C" w:rsidRPr="008A10CE" w:rsidRDefault="0023569C" w:rsidP="001A6B48">
            <w:pPr>
              <w:pStyle w:val="Tabletext0"/>
              <w:jc w:val="center"/>
            </w:pPr>
            <w:r w:rsidRPr="008A10CE">
              <w:t>$246,014</w:t>
            </w:r>
          </w:p>
        </w:tc>
        <w:tc>
          <w:tcPr>
            <w:tcW w:w="1503" w:type="dxa"/>
          </w:tcPr>
          <w:p w14:paraId="1AEED8F7" w14:textId="77777777" w:rsidR="0023569C" w:rsidRPr="008A10CE" w:rsidRDefault="0023569C" w:rsidP="001A6B48">
            <w:pPr>
              <w:pStyle w:val="Tabletext0"/>
              <w:jc w:val="center"/>
            </w:pPr>
            <w:r w:rsidRPr="008A10CE">
              <w:t>$286,687</w:t>
            </w:r>
          </w:p>
        </w:tc>
        <w:tc>
          <w:tcPr>
            <w:tcW w:w="1503" w:type="dxa"/>
          </w:tcPr>
          <w:p w14:paraId="58063C3E" w14:textId="77777777" w:rsidR="0023569C" w:rsidRPr="008A10CE" w:rsidRDefault="0023569C" w:rsidP="001A6B48">
            <w:pPr>
              <w:pStyle w:val="Tabletext0"/>
              <w:jc w:val="center"/>
            </w:pPr>
            <w:r w:rsidRPr="008A10CE">
              <w:t>$331,667</w:t>
            </w:r>
          </w:p>
        </w:tc>
      </w:tr>
      <w:tr w:rsidR="0023569C" w:rsidRPr="00AF64A9" w14:paraId="467D0DE7" w14:textId="77777777" w:rsidTr="001A6B48">
        <w:tc>
          <w:tcPr>
            <w:tcW w:w="1501" w:type="dxa"/>
          </w:tcPr>
          <w:p w14:paraId="38F0B777" w14:textId="77777777" w:rsidR="0023569C" w:rsidRDefault="0023569C" w:rsidP="001A6B48">
            <w:pPr>
              <w:pStyle w:val="Tabletext0"/>
            </w:pPr>
            <w:r w:rsidRPr="00DD6F7D">
              <w:t>Prosthesis</w:t>
            </w:r>
          </w:p>
        </w:tc>
        <w:tc>
          <w:tcPr>
            <w:tcW w:w="1503" w:type="dxa"/>
          </w:tcPr>
          <w:p w14:paraId="05BB12EC" w14:textId="77777777" w:rsidR="0023569C" w:rsidRPr="008A10CE" w:rsidRDefault="0023569C" w:rsidP="001A6B48">
            <w:pPr>
              <w:pStyle w:val="Tabletext0"/>
              <w:jc w:val="center"/>
            </w:pPr>
            <w:r w:rsidRPr="008A10CE">
              <w:t>$272,719</w:t>
            </w:r>
          </w:p>
        </w:tc>
        <w:tc>
          <w:tcPr>
            <w:tcW w:w="1503" w:type="dxa"/>
          </w:tcPr>
          <w:p w14:paraId="74D1A52C" w14:textId="77777777" w:rsidR="0023569C" w:rsidRPr="008A10CE" w:rsidRDefault="0023569C" w:rsidP="001A6B48">
            <w:pPr>
              <w:pStyle w:val="Tabletext0"/>
              <w:jc w:val="center"/>
            </w:pPr>
            <w:r w:rsidRPr="008A10CE">
              <w:t>$309,632</w:t>
            </w:r>
          </w:p>
        </w:tc>
        <w:tc>
          <w:tcPr>
            <w:tcW w:w="1503" w:type="dxa"/>
          </w:tcPr>
          <w:p w14:paraId="29BA8717" w14:textId="77777777" w:rsidR="0023569C" w:rsidRPr="008A10CE" w:rsidRDefault="0023569C" w:rsidP="001A6B48">
            <w:pPr>
              <w:pStyle w:val="Tabletext0"/>
              <w:jc w:val="center"/>
            </w:pPr>
            <w:r w:rsidRPr="008A10CE">
              <w:t>$373,570</w:t>
            </w:r>
          </w:p>
        </w:tc>
        <w:tc>
          <w:tcPr>
            <w:tcW w:w="1503" w:type="dxa"/>
          </w:tcPr>
          <w:p w14:paraId="73DD4BCD" w14:textId="77777777" w:rsidR="0023569C" w:rsidRPr="008A10CE" w:rsidRDefault="0023569C" w:rsidP="001A6B48">
            <w:pPr>
              <w:pStyle w:val="Tabletext0"/>
              <w:jc w:val="center"/>
            </w:pPr>
            <w:r w:rsidRPr="008A10CE">
              <w:t>$458,497</w:t>
            </w:r>
          </w:p>
        </w:tc>
        <w:tc>
          <w:tcPr>
            <w:tcW w:w="1503" w:type="dxa"/>
          </w:tcPr>
          <w:p w14:paraId="0BB1FE7F" w14:textId="77777777" w:rsidR="0023569C" w:rsidRPr="008A10CE" w:rsidRDefault="0023569C" w:rsidP="001A6B48">
            <w:pPr>
              <w:pStyle w:val="Tabletext0"/>
              <w:jc w:val="center"/>
            </w:pPr>
            <w:r w:rsidRPr="008A10CE">
              <w:t>$564,871</w:t>
            </w:r>
          </w:p>
        </w:tc>
      </w:tr>
      <w:tr w:rsidR="0023569C" w:rsidRPr="00AF64A9" w14:paraId="3F41496A" w14:textId="77777777" w:rsidTr="00A14CB5">
        <w:tc>
          <w:tcPr>
            <w:tcW w:w="1501" w:type="dxa"/>
            <w:tcBorders>
              <w:bottom w:val="single" w:sz="4" w:space="0" w:color="auto"/>
            </w:tcBorders>
          </w:tcPr>
          <w:p w14:paraId="468B207F" w14:textId="77777777" w:rsidR="0023569C" w:rsidRPr="00DD6F7D" w:rsidRDefault="0023569C" w:rsidP="001A6B48">
            <w:pPr>
              <w:pStyle w:val="Tabletext0"/>
            </w:pPr>
            <w:r w:rsidRPr="00DD6F7D">
              <w:t>TOTAL</w:t>
            </w:r>
            <w:r>
              <w:t xml:space="preserve"> COST</w:t>
            </w:r>
          </w:p>
        </w:tc>
        <w:tc>
          <w:tcPr>
            <w:tcW w:w="1503" w:type="dxa"/>
            <w:tcBorders>
              <w:bottom w:val="single" w:sz="4" w:space="0" w:color="auto"/>
            </w:tcBorders>
          </w:tcPr>
          <w:p w14:paraId="626A9036" w14:textId="77777777" w:rsidR="0023569C" w:rsidRPr="008A10CE" w:rsidRDefault="0023569C" w:rsidP="001A6B48">
            <w:pPr>
              <w:pStyle w:val="Tabletext0"/>
              <w:jc w:val="center"/>
            </w:pPr>
            <w:r w:rsidRPr="008A10CE">
              <w:t>$329,436</w:t>
            </w:r>
          </w:p>
        </w:tc>
        <w:tc>
          <w:tcPr>
            <w:tcW w:w="1503" w:type="dxa"/>
            <w:tcBorders>
              <w:bottom w:val="single" w:sz="4" w:space="0" w:color="auto"/>
            </w:tcBorders>
          </w:tcPr>
          <w:p w14:paraId="2D2B4CEC" w14:textId="77777777" w:rsidR="0023569C" w:rsidRPr="008A10CE" w:rsidRDefault="0023569C" w:rsidP="001A6B48">
            <w:pPr>
              <w:pStyle w:val="Tabletext0"/>
              <w:jc w:val="center"/>
            </w:pPr>
            <w:r w:rsidRPr="008A10CE">
              <w:t>$341,755</w:t>
            </w:r>
          </w:p>
        </w:tc>
        <w:tc>
          <w:tcPr>
            <w:tcW w:w="1503" w:type="dxa"/>
            <w:tcBorders>
              <w:bottom w:val="single" w:sz="4" w:space="0" w:color="auto"/>
            </w:tcBorders>
          </w:tcPr>
          <w:p w14:paraId="7132C363" w14:textId="77777777" w:rsidR="0023569C" w:rsidRPr="008A10CE" w:rsidRDefault="0023569C" w:rsidP="001A6B48">
            <w:pPr>
              <w:pStyle w:val="Tabletext0"/>
              <w:jc w:val="center"/>
            </w:pPr>
            <w:r w:rsidRPr="008A10CE">
              <w:t>$356,822</w:t>
            </w:r>
          </w:p>
        </w:tc>
        <w:tc>
          <w:tcPr>
            <w:tcW w:w="1503" w:type="dxa"/>
            <w:tcBorders>
              <w:bottom w:val="single" w:sz="4" w:space="0" w:color="auto"/>
            </w:tcBorders>
          </w:tcPr>
          <w:p w14:paraId="437E9C02" w14:textId="77777777" w:rsidR="0023569C" w:rsidRPr="008A10CE" w:rsidRDefault="0023569C" w:rsidP="001A6B48">
            <w:pPr>
              <w:pStyle w:val="Tabletext0"/>
              <w:jc w:val="center"/>
            </w:pPr>
            <w:r w:rsidRPr="008A10CE">
              <w:t>$369,265</w:t>
            </w:r>
          </w:p>
        </w:tc>
        <w:tc>
          <w:tcPr>
            <w:tcW w:w="1503" w:type="dxa"/>
            <w:tcBorders>
              <w:bottom w:val="single" w:sz="4" w:space="0" w:color="auto"/>
            </w:tcBorders>
          </w:tcPr>
          <w:p w14:paraId="6B33DA0E" w14:textId="77777777" w:rsidR="0023569C" w:rsidRDefault="0023569C" w:rsidP="001A6B48">
            <w:pPr>
              <w:pStyle w:val="Tabletext0"/>
              <w:jc w:val="center"/>
            </w:pPr>
            <w:r w:rsidRPr="008A10CE">
              <w:t>$381,677</w:t>
            </w:r>
          </w:p>
        </w:tc>
      </w:tr>
      <w:tr w:rsidR="00A14CB5" w:rsidRPr="00AF64A9" w14:paraId="5FB043D6" w14:textId="77777777" w:rsidTr="00A14CB5">
        <w:tc>
          <w:tcPr>
            <w:tcW w:w="1501" w:type="dxa"/>
            <w:tcBorders>
              <w:top w:val="single" w:sz="4" w:space="0" w:color="auto"/>
              <w:left w:val="single" w:sz="4" w:space="0" w:color="auto"/>
              <w:bottom w:val="single" w:sz="4" w:space="0" w:color="auto"/>
              <w:right w:val="nil"/>
            </w:tcBorders>
          </w:tcPr>
          <w:p w14:paraId="16EE05AF" w14:textId="67038626" w:rsidR="00A14CB5" w:rsidRPr="00DD6F7D" w:rsidRDefault="00A14CB5" w:rsidP="001A6B48">
            <w:pPr>
              <w:pStyle w:val="Tabletext0"/>
            </w:pPr>
            <w:r w:rsidRPr="00F22DE7">
              <w:rPr>
                <w:b/>
              </w:rPr>
              <w:t>DE-EBRT</w:t>
            </w:r>
          </w:p>
        </w:tc>
        <w:tc>
          <w:tcPr>
            <w:tcW w:w="1503" w:type="dxa"/>
            <w:tcBorders>
              <w:top w:val="single" w:sz="4" w:space="0" w:color="auto"/>
              <w:left w:val="nil"/>
              <w:bottom w:val="single" w:sz="4" w:space="0" w:color="auto"/>
              <w:right w:val="nil"/>
            </w:tcBorders>
          </w:tcPr>
          <w:p w14:paraId="445CD0A2" w14:textId="77777777" w:rsidR="00A14CB5" w:rsidRPr="00746D4C" w:rsidRDefault="00A14CB5" w:rsidP="001A6B48">
            <w:pPr>
              <w:pStyle w:val="Tabletext0"/>
              <w:jc w:val="center"/>
            </w:pPr>
          </w:p>
        </w:tc>
        <w:tc>
          <w:tcPr>
            <w:tcW w:w="1503" w:type="dxa"/>
            <w:tcBorders>
              <w:top w:val="single" w:sz="4" w:space="0" w:color="auto"/>
              <w:left w:val="nil"/>
              <w:bottom w:val="single" w:sz="4" w:space="0" w:color="auto"/>
              <w:right w:val="nil"/>
            </w:tcBorders>
          </w:tcPr>
          <w:p w14:paraId="37BCAA53" w14:textId="77777777" w:rsidR="00A14CB5" w:rsidRPr="00746D4C" w:rsidRDefault="00A14CB5" w:rsidP="001A6B48">
            <w:pPr>
              <w:pStyle w:val="Tabletext0"/>
              <w:jc w:val="center"/>
            </w:pPr>
          </w:p>
        </w:tc>
        <w:tc>
          <w:tcPr>
            <w:tcW w:w="1503" w:type="dxa"/>
            <w:tcBorders>
              <w:top w:val="single" w:sz="4" w:space="0" w:color="auto"/>
              <w:left w:val="nil"/>
              <w:bottom w:val="single" w:sz="4" w:space="0" w:color="auto"/>
              <w:right w:val="nil"/>
            </w:tcBorders>
          </w:tcPr>
          <w:p w14:paraId="5BDEF2F7" w14:textId="77777777" w:rsidR="00A14CB5" w:rsidRPr="00746D4C" w:rsidRDefault="00A14CB5" w:rsidP="001A6B48">
            <w:pPr>
              <w:pStyle w:val="Tabletext0"/>
              <w:jc w:val="center"/>
            </w:pPr>
          </w:p>
        </w:tc>
        <w:tc>
          <w:tcPr>
            <w:tcW w:w="1503" w:type="dxa"/>
            <w:tcBorders>
              <w:top w:val="single" w:sz="4" w:space="0" w:color="auto"/>
              <w:left w:val="nil"/>
              <w:bottom w:val="single" w:sz="4" w:space="0" w:color="auto"/>
              <w:right w:val="nil"/>
            </w:tcBorders>
          </w:tcPr>
          <w:p w14:paraId="131BCC25" w14:textId="77777777" w:rsidR="00A14CB5" w:rsidRPr="00746D4C" w:rsidRDefault="00A14CB5" w:rsidP="001A6B48">
            <w:pPr>
              <w:pStyle w:val="Tabletext0"/>
              <w:jc w:val="center"/>
            </w:pPr>
          </w:p>
        </w:tc>
        <w:tc>
          <w:tcPr>
            <w:tcW w:w="1503" w:type="dxa"/>
            <w:tcBorders>
              <w:top w:val="single" w:sz="4" w:space="0" w:color="auto"/>
              <w:left w:val="nil"/>
              <w:bottom w:val="single" w:sz="4" w:space="0" w:color="auto"/>
              <w:right w:val="single" w:sz="4" w:space="0" w:color="auto"/>
            </w:tcBorders>
          </w:tcPr>
          <w:p w14:paraId="2C7355D3" w14:textId="77777777" w:rsidR="00A14CB5" w:rsidRPr="00746D4C" w:rsidRDefault="00A14CB5" w:rsidP="001A6B48">
            <w:pPr>
              <w:pStyle w:val="Tabletext0"/>
              <w:jc w:val="center"/>
            </w:pPr>
          </w:p>
        </w:tc>
      </w:tr>
      <w:tr w:rsidR="0023569C" w:rsidRPr="00AF64A9" w14:paraId="33A4DB85" w14:textId="77777777" w:rsidTr="00A14CB5">
        <w:tc>
          <w:tcPr>
            <w:tcW w:w="1501" w:type="dxa"/>
            <w:tcBorders>
              <w:top w:val="single" w:sz="4" w:space="0" w:color="auto"/>
            </w:tcBorders>
          </w:tcPr>
          <w:p w14:paraId="255C82C2" w14:textId="77777777" w:rsidR="0023569C" w:rsidRPr="00DD6F7D" w:rsidRDefault="0023569C" w:rsidP="001A6B48">
            <w:pPr>
              <w:pStyle w:val="Tabletext0"/>
            </w:pPr>
            <w:r w:rsidRPr="00DD6F7D">
              <w:t>PBS Costs</w:t>
            </w:r>
          </w:p>
        </w:tc>
        <w:tc>
          <w:tcPr>
            <w:tcW w:w="1503" w:type="dxa"/>
            <w:tcBorders>
              <w:top w:val="single" w:sz="4" w:space="0" w:color="auto"/>
            </w:tcBorders>
          </w:tcPr>
          <w:p w14:paraId="6911244A" w14:textId="77777777" w:rsidR="0023569C" w:rsidRPr="00746D4C" w:rsidRDefault="0023569C" w:rsidP="001A6B48">
            <w:pPr>
              <w:pStyle w:val="Tabletext0"/>
              <w:jc w:val="center"/>
            </w:pPr>
            <w:r w:rsidRPr="00746D4C">
              <w:t>$440,540</w:t>
            </w:r>
          </w:p>
        </w:tc>
        <w:tc>
          <w:tcPr>
            <w:tcW w:w="1503" w:type="dxa"/>
            <w:tcBorders>
              <w:top w:val="single" w:sz="4" w:space="0" w:color="auto"/>
            </w:tcBorders>
          </w:tcPr>
          <w:p w14:paraId="51AA2697" w14:textId="77777777" w:rsidR="0023569C" w:rsidRPr="00746D4C" w:rsidRDefault="0023569C" w:rsidP="001A6B48">
            <w:pPr>
              <w:pStyle w:val="Tabletext0"/>
              <w:jc w:val="center"/>
            </w:pPr>
            <w:r w:rsidRPr="00746D4C">
              <w:t>$513,214</w:t>
            </w:r>
          </w:p>
        </w:tc>
        <w:tc>
          <w:tcPr>
            <w:tcW w:w="1503" w:type="dxa"/>
            <w:tcBorders>
              <w:top w:val="single" w:sz="4" w:space="0" w:color="auto"/>
            </w:tcBorders>
          </w:tcPr>
          <w:p w14:paraId="0797446D" w14:textId="77777777" w:rsidR="0023569C" w:rsidRPr="00746D4C" w:rsidRDefault="0023569C" w:rsidP="001A6B48">
            <w:pPr>
              <w:pStyle w:val="Tabletext0"/>
              <w:jc w:val="center"/>
            </w:pPr>
            <w:r w:rsidRPr="00746D4C">
              <w:t>$625,228</w:t>
            </w:r>
          </w:p>
        </w:tc>
        <w:tc>
          <w:tcPr>
            <w:tcW w:w="1503" w:type="dxa"/>
            <w:tcBorders>
              <w:top w:val="single" w:sz="4" w:space="0" w:color="auto"/>
            </w:tcBorders>
          </w:tcPr>
          <w:p w14:paraId="5128CDB5" w14:textId="77777777" w:rsidR="0023569C" w:rsidRPr="00746D4C" w:rsidRDefault="0023569C" w:rsidP="001A6B48">
            <w:pPr>
              <w:pStyle w:val="Tabletext0"/>
              <w:jc w:val="center"/>
            </w:pPr>
            <w:r w:rsidRPr="00746D4C">
              <w:t>$768,154</w:t>
            </w:r>
          </w:p>
        </w:tc>
        <w:tc>
          <w:tcPr>
            <w:tcW w:w="1503" w:type="dxa"/>
            <w:tcBorders>
              <w:top w:val="single" w:sz="4" w:space="0" w:color="auto"/>
            </w:tcBorders>
          </w:tcPr>
          <w:p w14:paraId="256876DE" w14:textId="77777777" w:rsidR="0023569C" w:rsidRPr="00746D4C" w:rsidRDefault="0023569C" w:rsidP="001A6B48">
            <w:pPr>
              <w:pStyle w:val="Tabletext0"/>
              <w:jc w:val="center"/>
            </w:pPr>
            <w:r w:rsidRPr="00746D4C">
              <w:t>$943,556</w:t>
            </w:r>
          </w:p>
        </w:tc>
      </w:tr>
      <w:tr w:rsidR="0023569C" w:rsidRPr="00AF64A9" w14:paraId="40F2407F" w14:textId="77777777" w:rsidTr="001A6B48">
        <w:tc>
          <w:tcPr>
            <w:tcW w:w="1501" w:type="dxa"/>
          </w:tcPr>
          <w:p w14:paraId="568651FC" w14:textId="77777777" w:rsidR="0023569C" w:rsidRPr="00DD6F7D" w:rsidRDefault="0023569C" w:rsidP="001A6B48">
            <w:pPr>
              <w:pStyle w:val="Tabletext0"/>
            </w:pPr>
            <w:r w:rsidRPr="00DD6F7D">
              <w:t>MBS</w:t>
            </w:r>
          </w:p>
        </w:tc>
        <w:tc>
          <w:tcPr>
            <w:tcW w:w="1503" w:type="dxa"/>
          </w:tcPr>
          <w:p w14:paraId="7A041420" w14:textId="77777777" w:rsidR="0023569C" w:rsidRPr="00746D4C" w:rsidRDefault="0023569C" w:rsidP="001A6B48">
            <w:pPr>
              <w:pStyle w:val="Tabletext0"/>
              <w:jc w:val="center"/>
            </w:pPr>
            <w:r w:rsidRPr="00746D4C">
              <w:t>$6,961</w:t>
            </w:r>
          </w:p>
        </w:tc>
        <w:tc>
          <w:tcPr>
            <w:tcW w:w="1503" w:type="dxa"/>
          </w:tcPr>
          <w:p w14:paraId="0984F8D4" w14:textId="77777777" w:rsidR="0023569C" w:rsidRPr="00746D4C" w:rsidRDefault="0023569C" w:rsidP="001A6B48">
            <w:pPr>
              <w:pStyle w:val="Tabletext0"/>
              <w:jc w:val="center"/>
            </w:pPr>
            <w:r w:rsidRPr="00746D4C">
              <w:t>$13,434</w:t>
            </w:r>
          </w:p>
        </w:tc>
        <w:tc>
          <w:tcPr>
            <w:tcW w:w="1503" w:type="dxa"/>
          </w:tcPr>
          <w:p w14:paraId="4D4A9164" w14:textId="77777777" w:rsidR="0023569C" w:rsidRPr="00746D4C" w:rsidRDefault="0023569C" w:rsidP="001A6B48">
            <w:pPr>
              <w:pStyle w:val="Tabletext0"/>
              <w:jc w:val="center"/>
            </w:pPr>
            <w:r w:rsidRPr="00746D4C">
              <w:t>$26,304</w:t>
            </w:r>
          </w:p>
        </w:tc>
        <w:tc>
          <w:tcPr>
            <w:tcW w:w="1503" w:type="dxa"/>
          </w:tcPr>
          <w:p w14:paraId="40B881E5" w14:textId="77777777" w:rsidR="0023569C" w:rsidRPr="00746D4C" w:rsidRDefault="0023569C" w:rsidP="001A6B48">
            <w:pPr>
              <w:pStyle w:val="Tabletext0"/>
              <w:jc w:val="center"/>
            </w:pPr>
            <w:r w:rsidRPr="00746D4C">
              <w:t>$45,511</w:t>
            </w:r>
          </w:p>
        </w:tc>
        <w:tc>
          <w:tcPr>
            <w:tcW w:w="1503" w:type="dxa"/>
          </w:tcPr>
          <w:p w14:paraId="015BFC7F" w14:textId="77777777" w:rsidR="0023569C" w:rsidRPr="00746D4C" w:rsidRDefault="0023569C" w:rsidP="001A6B48">
            <w:pPr>
              <w:pStyle w:val="Tabletext0"/>
              <w:jc w:val="center"/>
            </w:pPr>
            <w:r w:rsidRPr="00746D4C">
              <w:t>$71,019</w:t>
            </w:r>
          </w:p>
        </w:tc>
      </w:tr>
      <w:tr w:rsidR="0023569C" w:rsidRPr="00AF64A9" w14:paraId="4FB65146" w14:textId="77777777" w:rsidTr="001A6B48">
        <w:tc>
          <w:tcPr>
            <w:tcW w:w="1501" w:type="dxa"/>
          </w:tcPr>
          <w:p w14:paraId="28A10FFF" w14:textId="77777777" w:rsidR="0023569C" w:rsidRPr="00DD6F7D" w:rsidRDefault="0023569C" w:rsidP="001A6B48">
            <w:pPr>
              <w:pStyle w:val="Tabletext0"/>
            </w:pPr>
            <w:r w:rsidRPr="00DD6F7D">
              <w:t>Hospital</w:t>
            </w:r>
          </w:p>
        </w:tc>
        <w:tc>
          <w:tcPr>
            <w:tcW w:w="1503" w:type="dxa"/>
          </w:tcPr>
          <w:p w14:paraId="45EF6FFF" w14:textId="77777777" w:rsidR="0023569C" w:rsidRPr="00746D4C" w:rsidRDefault="0023569C" w:rsidP="001A6B48">
            <w:pPr>
              <w:pStyle w:val="Tabletext0"/>
              <w:jc w:val="center"/>
            </w:pPr>
            <w:r w:rsidRPr="00746D4C">
              <w:t>$433,579</w:t>
            </w:r>
          </w:p>
        </w:tc>
        <w:tc>
          <w:tcPr>
            <w:tcW w:w="1503" w:type="dxa"/>
          </w:tcPr>
          <w:p w14:paraId="0DA8529F" w14:textId="77777777" w:rsidR="0023569C" w:rsidRPr="00746D4C" w:rsidRDefault="0023569C" w:rsidP="001A6B48">
            <w:pPr>
              <w:pStyle w:val="Tabletext0"/>
              <w:jc w:val="center"/>
            </w:pPr>
            <w:r w:rsidRPr="00746D4C">
              <w:t>$475,952</w:t>
            </w:r>
          </w:p>
        </w:tc>
        <w:tc>
          <w:tcPr>
            <w:tcW w:w="1503" w:type="dxa"/>
          </w:tcPr>
          <w:p w14:paraId="0D764E18" w14:textId="77777777" w:rsidR="0023569C" w:rsidRPr="00746D4C" w:rsidRDefault="0023569C" w:rsidP="001A6B48">
            <w:pPr>
              <w:pStyle w:val="Tabletext0"/>
              <w:jc w:val="center"/>
            </w:pPr>
            <w:r w:rsidRPr="00746D4C">
              <w:t>$528,637</w:t>
            </w:r>
          </w:p>
        </w:tc>
        <w:tc>
          <w:tcPr>
            <w:tcW w:w="1503" w:type="dxa"/>
          </w:tcPr>
          <w:p w14:paraId="0E9EA844" w14:textId="77777777" w:rsidR="0023569C" w:rsidRPr="00746D4C" w:rsidRDefault="0023569C" w:rsidP="001A6B48">
            <w:pPr>
              <w:pStyle w:val="Tabletext0"/>
              <w:jc w:val="center"/>
            </w:pPr>
            <w:r w:rsidRPr="00746D4C">
              <w:t>$584,232</w:t>
            </w:r>
          </w:p>
        </w:tc>
        <w:tc>
          <w:tcPr>
            <w:tcW w:w="1503" w:type="dxa"/>
          </w:tcPr>
          <w:p w14:paraId="77A9FF5C" w14:textId="77777777" w:rsidR="0023569C" w:rsidRPr="00746D4C" w:rsidRDefault="0023569C" w:rsidP="001A6B48">
            <w:pPr>
              <w:pStyle w:val="Tabletext0"/>
              <w:jc w:val="center"/>
            </w:pPr>
            <w:r w:rsidRPr="00746D4C">
              <w:t>$645,478</w:t>
            </w:r>
          </w:p>
        </w:tc>
      </w:tr>
      <w:tr w:rsidR="0023569C" w:rsidRPr="00AF64A9" w14:paraId="103C69E9" w14:textId="77777777" w:rsidTr="001A6B48">
        <w:tc>
          <w:tcPr>
            <w:tcW w:w="1501" w:type="dxa"/>
          </w:tcPr>
          <w:p w14:paraId="2058D727" w14:textId="77777777" w:rsidR="0023569C" w:rsidRDefault="0023569C" w:rsidP="001A6B48">
            <w:pPr>
              <w:pStyle w:val="Tabletext0"/>
            </w:pPr>
            <w:r w:rsidRPr="00DD6F7D">
              <w:t>Prosthesis</w:t>
            </w:r>
          </w:p>
        </w:tc>
        <w:tc>
          <w:tcPr>
            <w:tcW w:w="1503" w:type="dxa"/>
          </w:tcPr>
          <w:p w14:paraId="0B42BC27" w14:textId="77777777" w:rsidR="0023569C" w:rsidRPr="00746D4C" w:rsidRDefault="0023569C" w:rsidP="001A6B48">
            <w:pPr>
              <w:pStyle w:val="Tabletext0"/>
              <w:jc w:val="center"/>
            </w:pPr>
            <w:r w:rsidRPr="00746D4C">
              <w:t>$0</w:t>
            </w:r>
          </w:p>
        </w:tc>
        <w:tc>
          <w:tcPr>
            <w:tcW w:w="1503" w:type="dxa"/>
          </w:tcPr>
          <w:p w14:paraId="1A38D480" w14:textId="77777777" w:rsidR="0023569C" w:rsidRPr="00746D4C" w:rsidRDefault="0023569C" w:rsidP="001A6B48">
            <w:pPr>
              <w:pStyle w:val="Tabletext0"/>
              <w:jc w:val="center"/>
            </w:pPr>
            <w:r w:rsidRPr="00746D4C">
              <w:t>$23,828</w:t>
            </w:r>
          </w:p>
        </w:tc>
        <w:tc>
          <w:tcPr>
            <w:tcW w:w="1503" w:type="dxa"/>
          </w:tcPr>
          <w:p w14:paraId="113CEC0C" w14:textId="77777777" w:rsidR="0023569C" w:rsidRPr="00746D4C" w:rsidRDefault="0023569C" w:rsidP="001A6B48">
            <w:pPr>
              <w:pStyle w:val="Tabletext0"/>
              <w:jc w:val="center"/>
            </w:pPr>
            <w:r w:rsidRPr="00746D4C">
              <w:t>$70,287</w:t>
            </w:r>
          </w:p>
        </w:tc>
        <w:tc>
          <w:tcPr>
            <w:tcW w:w="1503" w:type="dxa"/>
          </w:tcPr>
          <w:p w14:paraId="69384F04" w14:textId="77777777" w:rsidR="0023569C" w:rsidRPr="00746D4C" w:rsidRDefault="0023569C" w:rsidP="001A6B48">
            <w:pPr>
              <w:pStyle w:val="Tabletext0"/>
              <w:jc w:val="center"/>
            </w:pPr>
            <w:r w:rsidRPr="00746D4C">
              <w:t>$138,410</w:t>
            </w:r>
          </w:p>
        </w:tc>
        <w:tc>
          <w:tcPr>
            <w:tcW w:w="1503" w:type="dxa"/>
          </w:tcPr>
          <w:p w14:paraId="303C314F" w14:textId="77777777" w:rsidR="0023569C" w:rsidRPr="00746D4C" w:rsidRDefault="0023569C" w:rsidP="001A6B48">
            <w:pPr>
              <w:pStyle w:val="Tabletext0"/>
              <w:jc w:val="center"/>
            </w:pPr>
            <w:r w:rsidRPr="00746D4C">
              <w:t>$227,059</w:t>
            </w:r>
          </w:p>
        </w:tc>
      </w:tr>
      <w:tr w:rsidR="0023569C" w:rsidRPr="00AF64A9" w14:paraId="49C6C106" w14:textId="77777777" w:rsidTr="00A14CB5">
        <w:tc>
          <w:tcPr>
            <w:tcW w:w="1501" w:type="dxa"/>
            <w:tcBorders>
              <w:bottom w:val="single" w:sz="4" w:space="0" w:color="auto"/>
            </w:tcBorders>
          </w:tcPr>
          <w:p w14:paraId="78B7CAAF" w14:textId="77777777" w:rsidR="0023569C" w:rsidRPr="00DD6F7D" w:rsidRDefault="0023569C" w:rsidP="001A6B48">
            <w:pPr>
              <w:pStyle w:val="Tabletext0"/>
            </w:pPr>
            <w:r w:rsidRPr="00DD6F7D">
              <w:t>TOTAL</w:t>
            </w:r>
            <w:r>
              <w:t xml:space="preserve"> COST</w:t>
            </w:r>
          </w:p>
        </w:tc>
        <w:tc>
          <w:tcPr>
            <w:tcW w:w="1503" w:type="dxa"/>
            <w:tcBorders>
              <w:bottom w:val="single" w:sz="4" w:space="0" w:color="auto"/>
            </w:tcBorders>
          </w:tcPr>
          <w:p w14:paraId="3DE7A0DF" w14:textId="77777777" w:rsidR="0023569C" w:rsidRPr="00746D4C" w:rsidRDefault="0023569C" w:rsidP="001A6B48">
            <w:pPr>
              <w:pStyle w:val="Tabletext0"/>
              <w:jc w:val="center"/>
            </w:pPr>
            <w:r w:rsidRPr="00746D4C">
              <w:t>$0</w:t>
            </w:r>
          </w:p>
        </w:tc>
        <w:tc>
          <w:tcPr>
            <w:tcW w:w="1503" w:type="dxa"/>
            <w:tcBorders>
              <w:bottom w:val="single" w:sz="4" w:space="0" w:color="auto"/>
            </w:tcBorders>
          </w:tcPr>
          <w:p w14:paraId="7A136A3E" w14:textId="77777777" w:rsidR="0023569C" w:rsidRPr="00746D4C" w:rsidRDefault="0023569C" w:rsidP="001A6B48">
            <w:pPr>
              <w:pStyle w:val="Tabletext0"/>
              <w:jc w:val="center"/>
            </w:pPr>
            <w:r w:rsidRPr="00746D4C">
              <w:t>$0</w:t>
            </w:r>
          </w:p>
        </w:tc>
        <w:tc>
          <w:tcPr>
            <w:tcW w:w="1503" w:type="dxa"/>
            <w:tcBorders>
              <w:bottom w:val="single" w:sz="4" w:space="0" w:color="auto"/>
            </w:tcBorders>
          </w:tcPr>
          <w:p w14:paraId="55DFC78E" w14:textId="77777777" w:rsidR="0023569C" w:rsidRPr="00746D4C" w:rsidRDefault="0023569C" w:rsidP="001A6B48">
            <w:pPr>
              <w:pStyle w:val="Tabletext0"/>
              <w:jc w:val="center"/>
            </w:pPr>
            <w:r w:rsidRPr="00746D4C">
              <w:t>$0</w:t>
            </w:r>
          </w:p>
        </w:tc>
        <w:tc>
          <w:tcPr>
            <w:tcW w:w="1503" w:type="dxa"/>
            <w:tcBorders>
              <w:bottom w:val="single" w:sz="4" w:space="0" w:color="auto"/>
            </w:tcBorders>
          </w:tcPr>
          <w:p w14:paraId="04F77652" w14:textId="77777777" w:rsidR="0023569C" w:rsidRPr="00746D4C" w:rsidRDefault="0023569C" w:rsidP="001A6B48">
            <w:pPr>
              <w:pStyle w:val="Tabletext0"/>
              <w:jc w:val="center"/>
            </w:pPr>
            <w:r w:rsidRPr="00746D4C">
              <w:t>$0</w:t>
            </w:r>
          </w:p>
        </w:tc>
        <w:tc>
          <w:tcPr>
            <w:tcW w:w="1503" w:type="dxa"/>
            <w:tcBorders>
              <w:bottom w:val="single" w:sz="4" w:space="0" w:color="auto"/>
            </w:tcBorders>
          </w:tcPr>
          <w:p w14:paraId="2482D233" w14:textId="77777777" w:rsidR="0023569C" w:rsidRDefault="0023569C" w:rsidP="001A6B48">
            <w:pPr>
              <w:pStyle w:val="Tabletext0"/>
              <w:jc w:val="center"/>
            </w:pPr>
            <w:r w:rsidRPr="00746D4C">
              <w:t>$0</w:t>
            </w:r>
          </w:p>
        </w:tc>
      </w:tr>
      <w:tr w:rsidR="00A14CB5" w:rsidRPr="00AF64A9" w14:paraId="28922AC4" w14:textId="77777777" w:rsidTr="00A14CB5">
        <w:tc>
          <w:tcPr>
            <w:tcW w:w="1501" w:type="dxa"/>
            <w:tcBorders>
              <w:top w:val="single" w:sz="4" w:space="0" w:color="auto"/>
              <w:left w:val="single" w:sz="4" w:space="0" w:color="auto"/>
              <w:bottom w:val="single" w:sz="4" w:space="0" w:color="auto"/>
              <w:right w:val="nil"/>
            </w:tcBorders>
          </w:tcPr>
          <w:p w14:paraId="0228B0D5" w14:textId="41497F69" w:rsidR="00A14CB5" w:rsidRPr="00DD6F7D" w:rsidRDefault="00A14CB5" w:rsidP="001A6B48">
            <w:pPr>
              <w:pStyle w:val="Tabletext0"/>
            </w:pPr>
            <w:r w:rsidRPr="00F22DE7">
              <w:rPr>
                <w:b/>
              </w:rPr>
              <w:t>Difference</w:t>
            </w:r>
          </w:p>
        </w:tc>
        <w:tc>
          <w:tcPr>
            <w:tcW w:w="1503" w:type="dxa"/>
            <w:tcBorders>
              <w:top w:val="single" w:sz="4" w:space="0" w:color="auto"/>
              <w:left w:val="nil"/>
              <w:bottom w:val="single" w:sz="4" w:space="0" w:color="auto"/>
              <w:right w:val="nil"/>
            </w:tcBorders>
          </w:tcPr>
          <w:p w14:paraId="6E149166" w14:textId="77777777" w:rsidR="00A14CB5" w:rsidRPr="00FC1737" w:rsidRDefault="00A14CB5" w:rsidP="001A6B48">
            <w:pPr>
              <w:pStyle w:val="Tabletext0"/>
              <w:jc w:val="center"/>
            </w:pPr>
          </w:p>
        </w:tc>
        <w:tc>
          <w:tcPr>
            <w:tcW w:w="1503" w:type="dxa"/>
            <w:tcBorders>
              <w:top w:val="single" w:sz="4" w:space="0" w:color="auto"/>
              <w:left w:val="nil"/>
              <w:bottom w:val="single" w:sz="4" w:space="0" w:color="auto"/>
              <w:right w:val="nil"/>
            </w:tcBorders>
          </w:tcPr>
          <w:p w14:paraId="261AF4D6" w14:textId="77777777" w:rsidR="00A14CB5" w:rsidRPr="00FC1737" w:rsidRDefault="00A14CB5" w:rsidP="001A6B48">
            <w:pPr>
              <w:pStyle w:val="Tabletext0"/>
              <w:jc w:val="center"/>
            </w:pPr>
          </w:p>
        </w:tc>
        <w:tc>
          <w:tcPr>
            <w:tcW w:w="1503" w:type="dxa"/>
            <w:tcBorders>
              <w:top w:val="single" w:sz="4" w:space="0" w:color="auto"/>
              <w:left w:val="nil"/>
              <w:bottom w:val="single" w:sz="4" w:space="0" w:color="auto"/>
              <w:right w:val="nil"/>
            </w:tcBorders>
          </w:tcPr>
          <w:p w14:paraId="732F8D2E" w14:textId="77777777" w:rsidR="00A14CB5" w:rsidRPr="00FC1737" w:rsidRDefault="00A14CB5" w:rsidP="001A6B48">
            <w:pPr>
              <w:pStyle w:val="Tabletext0"/>
              <w:jc w:val="center"/>
            </w:pPr>
          </w:p>
        </w:tc>
        <w:tc>
          <w:tcPr>
            <w:tcW w:w="1503" w:type="dxa"/>
            <w:tcBorders>
              <w:top w:val="single" w:sz="4" w:space="0" w:color="auto"/>
              <w:left w:val="nil"/>
              <w:bottom w:val="single" w:sz="4" w:space="0" w:color="auto"/>
              <w:right w:val="nil"/>
            </w:tcBorders>
          </w:tcPr>
          <w:p w14:paraId="02481CF1" w14:textId="77777777" w:rsidR="00A14CB5" w:rsidRPr="00FC1737" w:rsidRDefault="00A14CB5" w:rsidP="001A6B48">
            <w:pPr>
              <w:pStyle w:val="Tabletext0"/>
              <w:jc w:val="center"/>
            </w:pPr>
          </w:p>
        </w:tc>
        <w:tc>
          <w:tcPr>
            <w:tcW w:w="1503" w:type="dxa"/>
            <w:tcBorders>
              <w:top w:val="single" w:sz="4" w:space="0" w:color="auto"/>
              <w:left w:val="nil"/>
              <w:bottom w:val="single" w:sz="4" w:space="0" w:color="auto"/>
              <w:right w:val="single" w:sz="4" w:space="0" w:color="auto"/>
            </w:tcBorders>
          </w:tcPr>
          <w:p w14:paraId="238B0D83" w14:textId="77777777" w:rsidR="00A14CB5" w:rsidRPr="00FC1737" w:rsidRDefault="00A14CB5" w:rsidP="001A6B48">
            <w:pPr>
              <w:pStyle w:val="Tabletext0"/>
              <w:jc w:val="center"/>
            </w:pPr>
          </w:p>
        </w:tc>
      </w:tr>
      <w:tr w:rsidR="0023569C" w:rsidRPr="00AF64A9" w14:paraId="3FD21DE0" w14:textId="77777777" w:rsidTr="00A14CB5">
        <w:tc>
          <w:tcPr>
            <w:tcW w:w="1501" w:type="dxa"/>
            <w:tcBorders>
              <w:top w:val="single" w:sz="4" w:space="0" w:color="auto"/>
            </w:tcBorders>
          </w:tcPr>
          <w:p w14:paraId="5DDBE190" w14:textId="77777777" w:rsidR="0023569C" w:rsidRPr="00DD6F7D" w:rsidRDefault="0023569C" w:rsidP="001A6B48">
            <w:pPr>
              <w:pStyle w:val="Tabletext0"/>
            </w:pPr>
            <w:r w:rsidRPr="00DD6F7D">
              <w:t>PBS Costs</w:t>
            </w:r>
          </w:p>
        </w:tc>
        <w:tc>
          <w:tcPr>
            <w:tcW w:w="1503" w:type="dxa"/>
            <w:tcBorders>
              <w:top w:val="single" w:sz="4" w:space="0" w:color="auto"/>
            </w:tcBorders>
          </w:tcPr>
          <w:p w14:paraId="57694347" w14:textId="77777777" w:rsidR="0023569C" w:rsidRPr="00FC1737" w:rsidRDefault="0023569C" w:rsidP="001A6B48">
            <w:pPr>
              <w:pStyle w:val="Tabletext0"/>
              <w:jc w:val="center"/>
            </w:pPr>
            <w:r w:rsidRPr="00FC1737">
              <w:t>$349,945</w:t>
            </w:r>
          </w:p>
        </w:tc>
        <w:tc>
          <w:tcPr>
            <w:tcW w:w="1503" w:type="dxa"/>
            <w:tcBorders>
              <w:top w:val="single" w:sz="4" w:space="0" w:color="auto"/>
            </w:tcBorders>
          </w:tcPr>
          <w:p w14:paraId="7C46DF32" w14:textId="77777777" w:rsidR="0023569C" w:rsidRPr="00FC1737" w:rsidRDefault="0023569C" w:rsidP="001A6B48">
            <w:pPr>
              <w:pStyle w:val="Tabletext0"/>
              <w:jc w:val="center"/>
            </w:pPr>
            <w:r w:rsidRPr="00FC1737">
              <w:t>$363,964</w:t>
            </w:r>
          </w:p>
        </w:tc>
        <w:tc>
          <w:tcPr>
            <w:tcW w:w="1503" w:type="dxa"/>
            <w:tcBorders>
              <w:top w:val="single" w:sz="4" w:space="0" w:color="auto"/>
            </w:tcBorders>
          </w:tcPr>
          <w:p w14:paraId="45ED6A4A" w14:textId="77777777" w:rsidR="0023569C" w:rsidRPr="00FC1737" w:rsidRDefault="0023569C" w:rsidP="001A6B48">
            <w:pPr>
              <w:pStyle w:val="Tabletext0"/>
              <w:jc w:val="center"/>
            </w:pPr>
            <w:r w:rsidRPr="00FC1737">
              <w:t>$380,884</w:t>
            </w:r>
          </w:p>
        </w:tc>
        <w:tc>
          <w:tcPr>
            <w:tcW w:w="1503" w:type="dxa"/>
            <w:tcBorders>
              <w:top w:val="single" w:sz="4" w:space="0" w:color="auto"/>
            </w:tcBorders>
          </w:tcPr>
          <w:p w14:paraId="40136CBA" w14:textId="77777777" w:rsidR="0023569C" w:rsidRPr="00FC1737" w:rsidRDefault="0023569C" w:rsidP="001A6B48">
            <w:pPr>
              <w:pStyle w:val="Tabletext0"/>
              <w:jc w:val="center"/>
            </w:pPr>
            <w:r w:rsidRPr="00FC1737">
              <w:t>$394,281</w:t>
            </w:r>
          </w:p>
        </w:tc>
        <w:tc>
          <w:tcPr>
            <w:tcW w:w="1503" w:type="dxa"/>
            <w:tcBorders>
              <w:top w:val="single" w:sz="4" w:space="0" w:color="auto"/>
            </w:tcBorders>
          </w:tcPr>
          <w:p w14:paraId="443EFF3A" w14:textId="77777777" w:rsidR="0023569C" w:rsidRPr="00FC1737" w:rsidRDefault="0023569C" w:rsidP="001A6B48">
            <w:pPr>
              <w:pStyle w:val="Tabletext0"/>
              <w:jc w:val="center"/>
            </w:pPr>
            <w:r w:rsidRPr="00FC1737">
              <w:t>$406,360</w:t>
            </w:r>
          </w:p>
        </w:tc>
      </w:tr>
      <w:tr w:rsidR="0023569C" w:rsidRPr="00AF64A9" w14:paraId="7F5F2257" w14:textId="77777777" w:rsidTr="001A6B48">
        <w:tc>
          <w:tcPr>
            <w:tcW w:w="1501" w:type="dxa"/>
          </w:tcPr>
          <w:p w14:paraId="7AD0F0FD" w14:textId="77777777" w:rsidR="0023569C" w:rsidRPr="00DD6F7D" w:rsidRDefault="0023569C" w:rsidP="001A6B48">
            <w:pPr>
              <w:pStyle w:val="Tabletext0"/>
            </w:pPr>
            <w:r w:rsidRPr="00DD6F7D">
              <w:t>MBS</w:t>
            </w:r>
          </w:p>
        </w:tc>
        <w:tc>
          <w:tcPr>
            <w:tcW w:w="1503" w:type="dxa"/>
          </w:tcPr>
          <w:p w14:paraId="3CBA1937" w14:textId="77777777" w:rsidR="0023569C" w:rsidRPr="00FC1737" w:rsidRDefault="0023569C" w:rsidP="001A6B48">
            <w:pPr>
              <w:pStyle w:val="Tabletext0"/>
              <w:jc w:val="center"/>
            </w:pPr>
            <w:r w:rsidRPr="00FC1737">
              <w:t>$3,486</w:t>
            </w:r>
          </w:p>
        </w:tc>
        <w:tc>
          <w:tcPr>
            <w:tcW w:w="1503" w:type="dxa"/>
          </w:tcPr>
          <w:p w14:paraId="4A661DD5" w14:textId="77777777" w:rsidR="0023569C" w:rsidRPr="00FC1737" w:rsidRDefault="0023569C" w:rsidP="001A6B48">
            <w:pPr>
              <w:pStyle w:val="Tabletext0"/>
              <w:jc w:val="center"/>
            </w:pPr>
            <w:r w:rsidRPr="00FC1737">
              <w:t>$3,626</w:t>
            </w:r>
          </w:p>
        </w:tc>
        <w:tc>
          <w:tcPr>
            <w:tcW w:w="1503" w:type="dxa"/>
          </w:tcPr>
          <w:p w14:paraId="4A935FD3" w14:textId="77777777" w:rsidR="0023569C" w:rsidRPr="00FC1737" w:rsidRDefault="0023569C" w:rsidP="001A6B48">
            <w:pPr>
              <w:pStyle w:val="Tabletext0"/>
              <w:jc w:val="center"/>
            </w:pPr>
            <w:r w:rsidRPr="00FC1737">
              <w:t>$3,402</w:t>
            </w:r>
          </w:p>
        </w:tc>
        <w:tc>
          <w:tcPr>
            <w:tcW w:w="1503" w:type="dxa"/>
          </w:tcPr>
          <w:p w14:paraId="12D00DA1" w14:textId="77777777" w:rsidR="0023569C" w:rsidRPr="00FC1737" w:rsidRDefault="0023569C" w:rsidP="001A6B48">
            <w:pPr>
              <w:pStyle w:val="Tabletext0"/>
              <w:jc w:val="center"/>
            </w:pPr>
            <w:r w:rsidRPr="00FC1737">
              <w:t>$2,474</w:t>
            </w:r>
          </w:p>
        </w:tc>
        <w:tc>
          <w:tcPr>
            <w:tcW w:w="1503" w:type="dxa"/>
          </w:tcPr>
          <w:p w14:paraId="52A78326" w14:textId="77777777" w:rsidR="0023569C" w:rsidRPr="00FC1737" w:rsidRDefault="0023569C" w:rsidP="001A6B48">
            <w:pPr>
              <w:pStyle w:val="Tabletext0"/>
              <w:jc w:val="center"/>
            </w:pPr>
            <w:r w:rsidRPr="00FC1737">
              <w:t>$682</w:t>
            </w:r>
          </w:p>
        </w:tc>
      </w:tr>
      <w:tr w:rsidR="0023569C" w:rsidRPr="00AF64A9" w14:paraId="5669E9A2" w14:textId="77777777" w:rsidTr="001A6B48">
        <w:tc>
          <w:tcPr>
            <w:tcW w:w="1501" w:type="dxa"/>
          </w:tcPr>
          <w:p w14:paraId="7FB56621" w14:textId="77777777" w:rsidR="0023569C" w:rsidRPr="00DD6F7D" w:rsidRDefault="0023569C" w:rsidP="001A6B48">
            <w:pPr>
              <w:pStyle w:val="Tabletext0"/>
            </w:pPr>
            <w:r w:rsidRPr="00DD6F7D">
              <w:t>Hospital</w:t>
            </w:r>
          </w:p>
        </w:tc>
        <w:tc>
          <w:tcPr>
            <w:tcW w:w="1503" w:type="dxa"/>
          </w:tcPr>
          <w:p w14:paraId="6D1BEA02" w14:textId="77777777" w:rsidR="0023569C" w:rsidRPr="00FC1737" w:rsidRDefault="0023569C" w:rsidP="001A6B48">
            <w:pPr>
              <w:pStyle w:val="Tabletext0"/>
              <w:jc w:val="center"/>
            </w:pPr>
            <w:r w:rsidRPr="00FC1737">
              <w:t>-$255,696</w:t>
            </w:r>
          </w:p>
        </w:tc>
        <w:tc>
          <w:tcPr>
            <w:tcW w:w="1503" w:type="dxa"/>
          </w:tcPr>
          <w:p w14:paraId="62ED4FD4" w14:textId="77777777" w:rsidR="0023569C" w:rsidRPr="00FC1737" w:rsidRDefault="0023569C" w:rsidP="001A6B48">
            <w:pPr>
              <w:pStyle w:val="Tabletext0"/>
              <w:jc w:val="center"/>
            </w:pPr>
            <w:r w:rsidRPr="00FC1737">
              <w:t>-$267,222</w:t>
            </w:r>
          </w:p>
        </w:tc>
        <w:tc>
          <w:tcPr>
            <w:tcW w:w="1503" w:type="dxa"/>
          </w:tcPr>
          <w:p w14:paraId="451C50A8" w14:textId="77777777" w:rsidR="0023569C" w:rsidRPr="00FC1737" w:rsidRDefault="0023569C" w:rsidP="001A6B48">
            <w:pPr>
              <w:pStyle w:val="Tabletext0"/>
              <w:jc w:val="center"/>
            </w:pPr>
            <w:r w:rsidRPr="00FC1737">
              <w:t>-$282,623</w:t>
            </w:r>
          </w:p>
        </w:tc>
        <w:tc>
          <w:tcPr>
            <w:tcW w:w="1503" w:type="dxa"/>
          </w:tcPr>
          <w:p w14:paraId="6A4F124C" w14:textId="77777777" w:rsidR="0023569C" w:rsidRPr="00FC1737" w:rsidRDefault="0023569C" w:rsidP="001A6B48">
            <w:pPr>
              <w:pStyle w:val="Tabletext0"/>
              <w:jc w:val="center"/>
            </w:pPr>
            <w:r w:rsidRPr="00FC1737">
              <w:t>-$297,545</w:t>
            </w:r>
          </w:p>
        </w:tc>
        <w:tc>
          <w:tcPr>
            <w:tcW w:w="1503" w:type="dxa"/>
          </w:tcPr>
          <w:p w14:paraId="767DE292" w14:textId="77777777" w:rsidR="0023569C" w:rsidRPr="00FC1737" w:rsidRDefault="0023569C" w:rsidP="001A6B48">
            <w:pPr>
              <w:pStyle w:val="Tabletext0"/>
              <w:jc w:val="center"/>
            </w:pPr>
            <w:r w:rsidRPr="00FC1737">
              <w:t>-$313,812</w:t>
            </w:r>
          </w:p>
        </w:tc>
      </w:tr>
      <w:tr w:rsidR="0023569C" w:rsidRPr="00AF64A9" w14:paraId="4AC62E90" w14:textId="77777777" w:rsidTr="001A6B48">
        <w:tc>
          <w:tcPr>
            <w:tcW w:w="1501" w:type="dxa"/>
          </w:tcPr>
          <w:p w14:paraId="3834C996" w14:textId="77777777" w:rsidR="0023569C" w:rsidRDefault="0023569C" w:rsidP="001A6B48">
            <w:pPr>
              <w:pStyle w:val="Tabletext0"/>
            </w:pPr>
            <w:r w:rsidRPr="00DD6F7D">
              <w:t>Prosthesis</w:t>
            </w:r>
          </w:p>
        </w:tc>
        <w:tc>
          <w:tcPr>
            <w:tcW w:w="1503" w:type="dxa"/>
          </w:tcPr>
          <w:p w14:paraId="5C26623F" w14:textId="77777777" w:rsidR="0023569C" w:rsidRPr="00FC1737" w:rsidRDefault="0023569C" w:rsidP="001A6B48">
            <w:pPr>
              <w:pStyle w:val="Tabletext0"/>
              <w:jc w:val="center"/>
            </w:pPr>
            <w:r w:rsidRPr="00FC1737">
              <w:t>$272,719</w:t>
            </w:r>
          </w:p>
        </w:tc>
        <w:tc>
          <w:tcPr>
            <w:tcW w:w="1503" w:type="dxa"/>
          </w:tcPr>
          <w:p w14:paraId="4793F429" w14:textId="77777777" w:rsidR="0023569C" w:rsidRPr="00FC1737" w:rsidRDefault="0023569C" w:rsidP="001A6B48">
            <w:pPr>
              <w:pStyle w:val="Tabletext0"/>
              <w:jc w:val="center"/>
            </w:pPr>
            <w:r w:rsidRPr="00FC1737">
              <w:t>$285,804</w:t>
            </w:r>
          </w:p>
        </w:tc>
        <w:tc>
          <w:tcPr>
            <w:tcW w:w="1503" w:type="dxa"/>
          </w:tcPr>
          <w:p w14:paraId="120AAA9B" w14:textId="77777777" w:rsidR="0023569C" w:rsidRPr="00FC1737" w:rsidRDefault="0023569C" w:rsidP="001A6B48">
            <w:pPr>
              <w:pStyle w:val="Tabletext0"/>
              <w:jc w:val="center"/>
            </w:pPr>
            <w:r w:rsidRPr="00FC1737">
              <w:t>$303,283</w:t>
            </w:r>
          </w:p>
        </w:tc>
        <w:tc>
          <w:tcPr>
            <w:tcW w:w="1503" w:type="dxa"/>
          </w:tcPr>
          <w:p w14:paraId="3E3FAA64" w14:textId="77777777" w:rsidR="0023569C" w:rsidRPr="00FC1737" w:rsidRDefault="0023569C" w:rsidP="001A6B48">
            <w:pPr>
              <w:pStyle w:val="Tabletext0"/>
              <w:jc w:val="center"/>
            </w:pPr>
            <w:r w:rsidRPr="00FC1737">
              <w:t>$320,087</w:t>
            </w:r>
          </w:p>
        </w:tc>
        <w:tc>
          <w:tcPr>
            <w:tcW w:w="1503" w:type="dxa"/>
          </w:tcPr>
          <w:p w14:paraId="2B788D01" w14:textId="77777777" w:rsidR="0023569C" w:rsidRPr="00FC1737" w:rsidRDefault="0023569C" w:rsidP="001A6B48">
            <w:pPr>
              <w:pStyle w:val="Tabletext0"/>
              <w:jc w:val="center"/>
            </w:pPr>
            <w:r w:rsidRPr="00FC1737">
              <w:t>$337,812</w:t>
            </w:r>
          </w:p>
        </w:tc>
      </w:tr>
      <w:tr w:rsidR="0023569C" w:rsidRPr="00AF64A9" w14:paraId="7327FF97" w14:textId="77777777" w:rsidTr="001A6B48">
        <w:tc>
          <w:tcPr>
            <w:tcW w:w="1501" w:type="dxa"/>
          </w:tcPr>
          <w:p w14:paraId="2FF523EE" w14:textId="77777777" w:rsidR="0023569C" w:rsidRPr="00E75BE6" w:rsidRDefault="0023569C" w:rsidP="001A6B48">
            <w:pPr>
              <w:pStyle w:val="Tabletext0"/>
              <w:rPr>
                <w:b/>
              </w:rPr>
            </w:pPr>
            <w:r w:rsidRPr="00E75BE6">
              <w:rPr>
                <w:b/>
              </w:rPr>
              <w:t>TOTAL COST</w:t>
            </w:r>
          </w:p>
        </w:tc>
        <w:tc>
          <w:tcPr>
            <w:tcW w:w="1503" w:type="dxa"/>
          </w:tcPr>
          <w:p w14:paraId="6A701E3A" w14:textId="77777777" w:rsidR="0023569C" w:rsidRPr="00E75BE6" w:rsidRDefault="0023569C" w:rsidP="001A6B48">
            <w:pPr>
              <w:pStyle w:val="Tabletext0"/>
              <w:jc w:val="center"/>
              <w:rPr>
                <w:b/>
              </w:rPr>
            </w:pPr>
            <w:r w:rsidRPr="00E75BE6">
              <w:rPr>
                <w:b/>
              </w:rPr>
              <w:t>$329,436</w:t>
            </w:r>
          </w:p>
        </w:tc>
        <w:tc>
          <w:tcPr>
            <w:tcW w:w="1503" w:type="dxa"/>
          </w:tcPr>
          <w:p w14:paraId="6A447CD2" w14:textId="77777777" w:rsidR="0023569C" w:rsidRPr="00E75BE6" w:rsidRDefault="0023569C" w:rsidP="001A6B48">
            <w:pPr>
              <w:pStyle w:val="Tabletext0"/>
              <w:jc w:val="center"/>
              <w:rPr>
                <w:b/>
              </w:rPr>
            </w:pPr>
            <w:r w:rsidRPr="00E75BE6">
              <w:rPr>
                <w:b/>
              </w:rPr>
              <w:t>$341,755</w:t>
            </w:r>
          </w:p>
        </w:tc>
        <w:tc>
          <w:tcPr>
            <w:tcW w:w="1503" w:type="dxa"/>
          </w:tcPr>
          <w:p w14:paraId="607577C0" w14:textId="77777777" w:rsidR="0023569C" w:rsidRPr="00E75BE6" w:rsidRDefault="0023569C" w:rsidP="001A6B48">
            <w:pPr>
              <w:pStyle w:val="Tabletext0"/>
              <w:jc w:val="center"/>
              <w:rPr>
                <w:b/>
              </w:rPr>
            </w:pPr>
            <w:r w:rsidRPr="00E75BE6">
              <w:rPr>
                <w:b/>
              </w:rPr>
              <w:t>$356,822</w:t>
            </w:r>
          </w:p>
        </w:tc>
        <w:tc>
          <w:tcPr>
            <w:tcW w:w="1503" w:type="dxa"/>
          </w:tcPr>
          <w:p w14:paraId="157FFD6F" w14:textId="77777777" w:rsidR="0023569C" w:rsidRPr="00E75BE6" w:rsidRDefault="0023569C" w:rsidP="001A6B48">
            <w:pPr>
              <w:pStyle w:val="Tabletext0"/>
              <w:jc w:val="center"/>
              <w:rPr>
                <w:b/>
              </w:rPr>
            </w:pPr>
            <w:r w:rsidRPr="00E75BE6">
              <w:rPr>
                <w:b/>
              </w:rPr>
              <w:t>$369,265</w:t>
            </w:r>
          </w:p>
        </w:tc>
        <w:tc>
          <w:tcPr>
            <w:tcW w:w="1503" w:type="dxa"/>
          </w:tcPr>
          <w:p w14:paraId="6A2A4863" w14:textId="77777777" w:rsidR="0023569C" w:rsidRPr="00E75BE6" w:rsidRDefault="0023569C" w:rsidP="001A6B48">
            <w:pPr>
              <w:pStyle w:val="Tabletext0"/>
              <w:jc w:val="center"/>
              <w:rPr>
                <w:b/>
              </w:rPr>
            </w:pPr>
            <w:r w:rsidRPr="00E75BE6">
              <w:rPr>
                <w:b/>
              </w:rPr>
              <w:t>$381,677</w:t>
            </w:r>
          </w:p>
        </w:tc>
      </w:tr>
    </w:tbl>
    <w:p w14:paraId="608526D6" w14:textId="77777777" w:rsidR="006A0D97" w:rsidRPr="00F715D1" w:rsidRDefault="006A0D97" w:rsidP="0023569C">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for MSAC"/>
      </w:tblPr>
      <w:tblGrid>
        <w:gridCol w:w="4361"/>
        <w:gridCol w:w="4655"/>
      </w:tblGrid>
      <w:tr w:rsidR="00F6451D" w:rsidRPr="00BB1700" w14:paraId="0A5482B5" w14:textId="77777777" w:rsidTr="00A14CB5">
        <w:trPr>
          <w:tblHeader/>
        </w:trPr>
        <w:tc>
          <w:tcPr>
            <w:tcW w:w="4361" w:type="dxa"/>
          </w:tcPr>
          <w:p w14:paraId="6F2FB7A1" w14:textId="77777777" w:rsidR="00F6451D" w:rsidRPr="00BB1700" w:rsidRDefault="00F6451D" w:rsidP="00B90C44">
            <w:pPr>
              <w:pStyle w:val="TableHeading"/>
              <w:rPr>
                <w:rFonts w:ascii="Arial" w:hAnsi="Arial" w:cs="Arial"/>
                <w:szCs w:val="22"/>
              </w:rPr>
            </w:pPr>
            <w:r w:rsidRPr="00BB1700">
              <w:rPr>
                <w:rFonts w:ascii="Arial" w:hAnsi="Arial" w:cs="Arial"/>
                <w:szCs w:val="22"/>
              </w:rPr>
              <w:t>Key Issues from ESC to MSAC</w:t>
            </w:r>
          </w:p>
        </w:tc>
        <w:tc>
          <w:tcPr>
            <w:tcW w:w="4655" w:type="dxa"/>
          </w:tcPr>
          <w:p w14:paraId="14A49E2B" w14:textId="77777777" w:rsidR="00F6451D" w:rsidRPr="00BB1700" w:rsidRDefault="00F6451D" w:rsidP="00B90C44">
            <w:pPr>
              <w:pStyle w:val="TableHeading"/>
              <w:rPr>
                <w:rFonts w:ascii="Arial" w:hAnsi="Arial" w:cs="Arial"/>
                <w:szCs w:val="22"/>
              </w:rPr>
            </w:pPr>
            <w:r w:rsidRPr="00BB1700">
              <w:rPr>
                <w:rFonts w:ascii="Arial" w:hAnsi="Arial" w:cs="Arial"/>
                <w:szCs w:val="22"/>
              </w:rPr>
              <w:t>ESC advice to MSAC</w:t>
            </w:r>
          </w:p>
        </w:tc>
      </w:tr>
      <w:tr w:rsidR="00F6451D" w:rsidRPr="00BB1700" w14:paraId="76B76460" w14:textId="77777777" w:rsidTr="00B90C44">
        <w:tc>
          <w:tcPr>
            <w:tcW w:w="4361" w:type="dxa"/>
          </w:tcPr>
          <w:p w14:paraId="67271E3C"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Is the data from the RCT of high enough quality? Does effectiveness (biochemical progression-free survival) balance adverse effects and their QoL effect?</w:t>
            </w:r>
          </w:p>
        </w:tc>
        <w:tc>
          <w:tcPr>
            <w:tcW w:w="4655" w:type="dxa"/>
          </w:tcPr>
          <w:p w14:paraId="62BFE4BF"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The ASCENDE-RT trial showed superior effectiveness of EBRT + LDR-BT compared with dose escalated (DE)–EBRT, but with inferior safety and lower health-related QoL scores. The Critique downgraded the evidence from the trial, but this may not be appropriate.</w:t>
            </w:r>
          </w:p>
        </w:tc>
      </w:tr>
      <w:tr w:rsidR="00F6451D" w:rsidRPr="00BB1700" w14:paraId="3604BC56" w14:textId="77777777" w:rsidTr="00B90C44">
        <w:tc>
          <w:tcPr>
            <w:tcW w:w="4361" w:type="dxa"/>
          </w:tcPr>
          <w:p w14:paraId="7492B3C7"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Are the adverse events reported in the trial still representative?</w:t>
            </w:r>
          </w:p>
        </w:tc>
        <w:tc>
          <w:tcPr>
            <w:tcW w:w="4655" w:type="dxa"/>
          </w:tcPr>
          <w:p w14:paraId="3B07D1B4"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Adverse events observed in the trial may be avoidable with improvements in planning and imaging techniques since the trial was conducted.</w:t>
            </w:r>
          </w:p>
        </w:tc>
      </w:tr>
      <w:tr w:rsidR="00F6451D" w:rsidRPr="00BB1700" w14:paraId="2393CA49" w14:textId="77777777" w:rsidTr="00B90C44">
        <w:tc>
          <w:tcPr>
            <w:tcW w:w="4361" w:type="dxa"/>
          </w:tcPr>
          <w:p w14:paraId="6EB9EFD4"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 xml:space="preserve">Item descriptor needs to be refined </w:t>
            </w:r>
          </w:p>
        </w:tc>
        <w:tc>
          <w:tcPr>
            <w:tcW w:w="4655" w:type="dxa"/>
          </w:tcPr>
          <w:p w14:paraId="6E3287E2"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Avoid use of ‘recommended’ in statement specifying that LDR-BT is to be used only as a ‘boost’ treatment after EBRT. Retain ‘</w:t>
            </w:r>
            <w:r w:rsidRPr="00BB1700">
              <w:rPr>
                <w:rFonts w:ascii="Arial" w:hAnsi="Arial" w:cs="Arial"/>
                <w:iCs/>
                <w:sz w:val="20"/>
                <w:szCs w:val="22"/>
              </w:rPr>
              <w:t xml:space="preserve">in association with [a radiation oncologist/urologist]’ to ensure the </w:t>
            </w:r>
            <w:r w:rsidRPr="00BB1700">
              <w:rPr>
                <w:rFonts w:ascii="Arial" w:hAnsi="Arial" w:cs="Arial"/>
                <w:sz w:val="20"/>
                <w:szCs w:val="22"/>
              </w:rPr>
              <w:t>radiolog</w:t>
            </w:r>
            <w:bookmarkStart w:id="34" w:name="Editing"/>
            <w:bookmarkEnd w:id="34"/>
            <w:r w:rsidRPr="00BB1700">
              <w:rPr>
                <w:rFonts w:ascii="Arial" w:hAnsi="Arial" w:cs="Arial"/>
                <w:sz w:val="20"/>
                <w:szCs w:val="22"/>
              </w:rPr>
              <w:t>y oncology and urology components of the procedure</w:t>
            </w:r>
            <w:r w:rsidRPr="00BB1700">
              <w:rPr>
                <w:rFonts w:ascii="Arial" w:hAnsi="Arial" w:cs="Arial"/>
                <w:iCs/>
                <w:sz w:val="20"/>
                <w:szCs w:val="22"/>
              </w:rPr>
              <w:t xml:space="preserve"> are done together. Stipulate that LDR-BT would also be in addition </w:t>
            </w:r>
            <w:r w:rsidRPr="00BB1700">
              <w:rPr>
                <w:rFonts w:ascii="Arial" w:hAnsi="Arial" w:cs="Arial"/>
                <w:sz w:val="20"/>
                <w:szCs w:val="22"/>
              </w:rPr>
              <w:t>to androgen blockade.</w:t>
            </w:r>
          </w:p>
        </w:tc>
      </w:tr>
      <w:tr w:rsidR="00F6451D" w:rsidRPr="00BB1700" w14:paraId="26CC7CCC" w14:textId="77777777" w:rsidTr="00B90C44">
        <w:tc>
          <w:tcPr>
            <w:tcW w:w="4361" w:type="dxa"/>
          </w:tcPr>
          <w:p w14:paraId="77C41C9F"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Issues with model:</w:t>
            </w:r>
          </w:p>
          <w:p w14:paraId="398AF241"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transition between remission and late GU/GI toxicity should be two-way</w:t>
            </w:r>
          </w:p>
          <w:p w14:paraId="227C7012"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incorrect transition probability from biochemical failure to metastases</w:t>
            </w:r>
          </w:p>
          <w:p w14:paraId="1AE42ED2"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utility decrement for acute and late adverse events derived using EQ-5D 3L rather than EQ-5D 5L</w:t>
            </w:r>
          </w:p>
          <w:p w14:paraId="3EE4DE52"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query whether utility decrement for acute grade toxicity has been carried through</w:t>
            </w:r>
          </w:p>
        </w:tc>
        <w:tc>
          <w:tcPr>
            <w:tcW w:w="4655" w:type="dxa"/>
          </w:tcPr>
          <w:p w14:paraId="6D31B3D2"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Model should be checked and verified, and the analysis re-run. Corrections will affect the ICER significantly and likely favour the intervention.</w:t>
            </w:r>
          </w:p>
        </w:tc>
      </w:tr>
      <w:tr w:rsidR="00F6451D" w:rsidRPr="00BB1700" w14:paraId="502B4BA7" w14:textId="77777777" w:rsidTr="00B90C44">
        <w:tc>
          <w:tcPr>
            <w:tcW w:w="4361" w:type="dxa"/>
          </w:tcPr>
          <w:p w14:paraId="0DDC5B2E"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Corrected model should use Australian utility weights</w:t>
            </w:r>
          </w:p>
        </w:tc>
        <w:tc>
          <w:tcPr>
            <w:tcW w:w="4655" w:type="dxa"/>
          </w:tcPr>
          <w:p w14:paraId="59A2A89C"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 xml:space="preserve">Mapping from SF-36 using Australian SF-6D algorithms will require data for individual item levels. Check whether applicant has access to study item data. </w:t>
            </w:r>
          </w:p>
        </w:tc>
      </w:tr>
      <w:tr w:rsidR="00F6451D" w:rsidRPr="00BB1700" w14:paraId="530C5E9C" w14:textId="77777777" w:rsidTr="00B90C44">
        <w:tc>
          <w:tcPr>
            <w:tcW w:w="4361" w:type="dxa"/>
          </w:tcPr>
          <w:p w14:paraId="28021D7C"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Net cost per year may be lower than that estimated in the Contracted Assessment</w:t>
            </w:r>
          </w:p>
        </w:tc>
        <w:tc>
          <w:tcPr>
            <w:tcW w:w="4655" w:type="dxa"/>
          </w:tcPr>
          <w:p w14:paraId="7431F363" w14:textId="77777777" w:rsidR="00F6451D" w:rsidRPr="00BB1700" w:rsidRDefault="00F6451D" w:rsidP="00B90C44">
            <w:pPr>
              <w:pStyle w:val="TableText"/>
              <w:rPr>
                <w:rFonts w:ascii="Arial" w:hAnsi="Arial" w:cs="Arial"/>
                <w:sz w:val="20"/>
                <w:szCs w:val="22"/>
              </w:rPr>
            </w:pPr>
            <w:r w:rsidRPr="00BB1700">
              <w:rPr>
                <w:rFonts w:ascii="Arial" w:hAnsi="Arial" w:cs="Arial"/>
                <w:sz w:val="20"/>
                <w:szCs w:val="22"/>
              </w:rPr>
              <w:t xml:space="preserve">Further cost offsets should be considered: </w:t>
            </w:r>
          </w:p>
          <w:p w14:paraId="3B5318E6"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 xml:space="preserve">cost of treating adverse events after HDR-BT </w:t>
            </w:r>
          </w:p>
          <w:p w14:paraId="7DEEF3D0" w14:textId="77777777" w:rsidR="00F6451D" w:rsidRPr="00BB1700" w:rsidRDefault="00F6451D" w:rsidP="00B90C44">
            <w:pPr>
              <w:pStyle w:val="TableBullet"/>
              <w:rPr>
                <w:rFonts w:ascii="Arial" w:hAnsi="Arial" w:cs="Arial"/>
                <w:sz w:val="20"/>
                <w:szCs w:val="22"/>
              </w:rPr>
            </w:pPr>
            <w:r w:rsidRPr="00BB1700">
              <w:rPr>
                <w:rFonts w:ascii="Arial" w:hAnsi="Arial" w:cs="Arial"/>
                <w:sz w:val="20"/>
                <w:szCs w:val="22"/>
              </w:rPr>
              <w:t>PBS cost of hormone therapy to treat patients who progress to biochemical failure.</w:t>
            </w:r>
          </w:p>
        </w:tc>
      </w:tr>
    </w:tbl>
    <w:p w14:paraId="5BFD26AA" w14:textId="0A5ACCBF" w:rsidR="00F6451D" w:rsidRPr="00E75BE6" w:rsidRDefault="00F6451D" w:rsidP="00DD52C0">
      <w:pPr>
        <w:pStyle w:val="Heading2"/>
        <w:spacing w:after="120"/>
        <w:rPr>
          <w:i w:val="0"/>
        </w:rPr>
      </w:pPr>
      <w:r w:rsidRPr="00E75BE6">
        <w:rPr>
          <w:b/>
          <w:i w:val="0"/>
        </w:rPr>
        <w:t>ESC discussion</w:t>
      </w:r>
    </w:p>
    <w:p w14:paraId="19C12EDD" w14:textId="77777777" w:rsidR="00F6451D" w:rsidRPr="001E6AD4" w:rsidRDefault="00F6451D" w:rsidP="00F6451D">
      <w:r>
        <w:t>A</w:t>
      </w:r>
      <w:r w:rsidRPr="00AE1CA3">
        <w:t xml:space="preserve">pplication </w:t>
      </w:r>
      <w:r>
        <w:t>1525 requests</w:t>
      </w:r>
      <w:r w:rsidRPr="00AE1CA3">
        <w:t xml:space="preserve"> </w:t>
      </w:r>
      <w:r>
        <w:t>Medicare Benefits Schedule (</w:t>
      </w:r>
      <w:r w:rsidRPr="00AE1CA3">
        <w:t>MBS</w:t>
      </w:r>
      <w:r>
        <w:t>)</w:t>
      </w:r>
      <w:r w:rsidRPr="00AE1CA3">
        <w:t xml:space="preserve"> listing of</w:t>
      </w:r>
      <w:r>
        <w:t xml:space="preserve"> l</w:t>
      </w:r>
      <w:r w:rsidRPr="0072123E">
        <w:t>ow dose-rate brachytherapy</w:t>
      </w:r>
      <w:r>
        <w:t xml:space="preserve"> </w:t>
      </w:r>
      <w:r w:rsidRPr="0072123E">
        <w:t>(LDR</w:t>
      </w:r>
      <w:r>
        <w:t>-BT</w:t>
      </w:r>
      <w:r w:rsidRPr="0072123E">
        <w:t>)</w:t>
      </w:r>
      <w:r>
        <w:t xml:space="preserve"> </w:t>
      </w:r>
      <w:r w:rsidRPr="00AE1CA3">
        <w:t>as a boost following external beam radiation therapy (EBRT)</w:t>
      </w:r>
      <w:r>
        <w:t xml:space="preserve"> in the treatment of high-</w:t>
      </w:r>
      <w:r w:rsidRPr="00116C9B">
        <w:t>intermediate and high-risk prostate cancer</w:t>
      </w:r>
      <w:r>
        <w:t xml:space="preserve">. ESC recalled that </w:t>
      </w:r>
      <w:r w:rsidRPr="00116C9B">
        <w:t xml:space="preserve">LDR-BT is </w:t>
      </w:r>
      <w:r>
        <w:t xml:space="preserve">already </w:t>
      </w:r>
      <w:r w:rsidRPr="00116C9B">
        <w:t xml:space="preserve">included on </w:t>
      </w:r>
      <w:r>
        <w:t xml:space="preserve">the </w:t>
      </w:r>
      <w:r w:rsidRPr="00116C9B">
        <w:t xml:space="preserve">MBS </w:t>
      </w:r>
      <w:r>
        <w:t xml:space="preserve">for </w:t>
      </w:r>
      <w:r w:rsidRPr="00116C9B">
        <w:t>low</w:t>
      </w:r>
      <w:r>
        <w:t>-</w:t>
      </w:r>
      <w:r w:rsidRPr="00116C9B">
        <w:t>risk prostate cancer</w:t>
      </w:r>
      <w:r>
        <w:t>.</w:t>
      </w:r>
    </w:p>
    <w:p w14:paraId="711C19A6" w14:textId="4F119304" w:rsidR="00F6451D" w:rsidRDefault="00F6451D" w:rsidP="00592104">
      <w:pPr>
        <w:spacing w:before="240" w:after="240"/>
      </w:pPr>
      <w:r w:rsidRPr="00F75472">
        <w:t>For the purpose</w:t>
      </w:r>
      <w:r>
        <w:t>s</w:t>
      </w:r>
      <w:r w:rsidRPr="00F75472">
        <w:t xml:space="preserve"> of this application, high-inte</w:t>
      </w:r>
      <w:r>
        <w:t>rmediate risk is defined as PSA</w:t>
      </w:r>
      <w:r w:rsidRPr="00F75472">
        <w:t>&gt;10.0</w:t>
      </w:r>
      <w:r>
        <w:t>–</w:t>
      </w:r>
      <w:r w:rsidRPr="00F75472">
        <w:t>&lt;20.0</w:t>
      </w:r>
      <w:r>
        <w:t> </w:t>
      </w:r>
      <w:r w:rsidRPr="00F75472">
        <w:t>ng/m</w:t>
      </w:r>
      <w:r>
        <w:t>L</w:t>
      </w:r>
      <w:r w:rsidRPr="00F75472">
        <w:t xml:space="preserve"> </w:t>
      </w:r>
      <w:r w:rsidRPr="00F75472">
        <w:rPr>
          <w:b/>
        </w:rPr>
        <w:t>and</w:t>
      </w:r>
      <w:r w:rsidRPr="00F75472">
        <w:t xml:space="preserve"> Gleason </w:t>
      </w:r>
      <w:r>
        <w:t>score </w:t>
      </w:r>
      <w:r w:rsidRPr="00F75472">
        <w:t xml:space="preserve">7 </w:t>
      </w:r>
      <w:r w:rsidRPr="00F75472">
        <w:rPr>
          <w:b/>
        </w:rPr>
        <w:t>and</w:t>
      </w:r>
      <w:r w:rsidRPr="00F75472">
        <w:t xml:space="preserve"> </w:t>
      </w:r>
      <w:r>
        <w:t xml:space="preserve">stage </w:t>
      </w:r>
      <w:r w:rsidRPr="00F75472">
        <w:t>T2b</w:t>
      </w:r>
      <w:r>
        <w:t>–</w:t>
      </w:r>
      <w:r w:rsidRPr="00F75472">
        <w:t>c</w:t>
      </w:r>
      <w:r>
        <w:t>, while</w:t>
      </w:r>
      <w:r w:rsidRPr="00F75472">
        <w:t xml:space="preserve"> high risk is defined as PSA&gt;20.0</w:t>
      </w:r>
      <w:r>
        <w:t> ng/mL</w:t>
      </w:r>
      <w:r w:rsidRPr="00F75472">
        <w:t xml:space="preserve"> </w:t>
      </w:r>
      <w:r w:rsidRPr="00F75472">
        <w:rPr>
          <w:b/>
        </w:rPr>
        <w:t>and/or</w:t>
      </w:r>
      <w:r w:rsidRPr="00F75472">
        <w:t xml:space="preserve"> Gleason</w:t>
      </w:r>
      <w:r>
        <w:t xml:space="preserve"> score</w:t>
      </w:r>
      <w:r w:rsidRPr="00F75472">
        <w:t xml:space="preserve"> 8</w:t>
      </w:r>
      <w:r>
        <w:t>–</w:t>
      </w:r>
      <w:r w:rsidRPr="00F75472">
        <w:t xml:space="preserve">10 </w:t>
      </w:r>
      <w:r w:rsidRPr="00A468B2">
        <w:rPr>
          <w:b/>
        </w:rPr>
        <w:t>and/or</w:t>
      </w:r>
      <w:r w:rsidRPr="00F75472">
        <w:t xml:space="preserve"> </w:t>
      </w:r>
      <w:r>
        <w:t xml:space="preserve">stage </w:t>
      </w:r>
      <w:r w:rsidRPr="00F75472">
        <w:t>T3a</w:t>
      </w:r>
      <w:r>
        <w:t>. ESC noted the importance of the differentiation between ‘and’ and ‘and/or’ in these definitions. A patient does not need to meet all three criteria in the high risk definition to be considered high risk.</w:t>
      </w:r>
    </w:p>
    <w:p w14:paraId="485A33FF" w14:textId="1352D563" w:rsidR="00F6451D" w:rsidRDefault="00F6451D" w:rsidP="00592104">
      <w:pPr>
        <w:spacing w:after="240"/>
      </w:pPr>
      <w:r>
        <w:t xml:space="preserve">ESC noted the Critique’s comment that the </w:t>
      </w:r>
      <w:r w:rsidRPr="0088249D">
        <w:t xml:space="preserve">populations included in </w:t>
      </w:r>
      <w:r>
        <w:t>the primary sources of evidence – the ASCENDE-RT randomised controlled trial (RCT) and a retrospective cohort study (Johnson et al., 2017) – were</w:t>
      </w:r>
      <w:r w:rsidRPr="0088249D">
        <w:t xml:space="preserve"> more extensive tha</w:t>
      </w:r>
      <w:r>
        <w:t>n</w:t>
      </w:r>
      <w:r w:rsidRPr="0088249D">
        <w:t xml:space="preserve"> those proposed in the PICO</w:t>
      </w:r>
      <w:r>
        <w:t xml:space="preserve">. </w:t>
      </w:r>
      <w:r>
        <w:lastRenderedPageBreak/>
        <w:t xml:space="preserve">Definitions of intermediate and high risk in these studies were based on </w:t>
      </w:r>
      <w:r w:rsidRPr="00CC5A1F">
        <w:t xml:space="preserve">National Comprehensive Cancer Network </w:t>
      </w:r>
      <w:r>
        <w:t>(</w:t>
      </w:r>
      <w:r w:rsidRPr="00CB4402">
        <w:t>NCCN</w:t>
      </w:r>
      <w:r>
        <w:t>) risk strata. ESC noted that the designation of intermediate and high risk is arbitrary from a clinical point of view and queried which definition of intermediate risk</w:t>
      </w:r>
      <w:r w:rsidR="00592104">
        <w:t xml:space="preserve"> should be used (NCCN or PICO).</w:t>
      </w:r>
    </w:p>
    <w:p w14:paraId="0317E56C" w14:textId="21CC3AC3" w:rsidR="00F6451D" w:rsidRDefault="00F6451D" w:rsidP="00592104">
      <w:pPr>
        <w:spacing w:after="240"/>
      </w:pPr>
      <w:r w:rsidRPr="000C083F">
        <w:t>ESC considered that the proposed fees</w:t>
      </w:r>
      <w:r>
        <w:t xml:space="preserve"> for the radiology oncology and urology components of the procedure are appropriate and in line wit</w:t>
      </w:r>
      <w:r w:rsidR="00592104">
        <w:t>h existing brachytherapy items.</w:t>
      </w:r>
    </w:p>
    <w:p w14:paraId="28E6B73C" w14:textId="6AD9A691" w:rsidR="00F6451D" w:rsidRDefault="00F6451D" w:rsidP="00592104">
      <w:pPr>
        <w:spacing w:after="240"/>
        <w:rPr>
          <w:iCs/>
        </w:rPr>
      </w:pPr>
      <w:r>
        <w:t>ESC noted that the item descriptor needs to be reworded to avoid the use of ‘recommended’ with regard to LDR-BT being used only as a ‘boost’ treatment after EBRT. ESC noted the Department’s proposed wording: ‘</w:t>
      </w:r>
      <w:r w:rsidRPr="00FA5CD3">
        <w:rPr>
          <w:iCs/>
          <w:lang w:val="en-US"/>
        </w:rPr>
        <w:t xml:space="preserve">For the populations this procedure will be rebated if it is performed as a </w:t>
      </w:r>
      <w:r>
        <w:rPr>
          <w:iCs/>
          <w:lang w:val="en-US"/>
        </w:rPr>
        <w:t>“</w:t>
      </w:r>
      <w:r w:rsidRPr="00FA5CD3">
        <w:rPr>
          <w:iCs/>
          <w:lang w:val="en-US"/>
        </w:rPr>
        <w:t>boost</w:t>
      </w:r>
      <w:r>
        <w:rPr>
          <w:iCs/>
          <w:lang w:val="en-US"/>
        </w:rPr>
        <w:t>”</w:t>
      </w:r>
      <w:r w:rsidRPr="00FA5CD3">
        <w:rPr>
          <w:iCs/>
          <w:lang w:val="en-US"/>
        </w:rPr>
        <w:t xml:space="preserve"> treatment, in addition to external beam radiotherapy, at an approved site.</w:t>
      </w:r>
      <w:r>
        <w:rPr>
          <w:iCs/>
          <w:lang w:val="en-US"/>
        </w:rPr>
        <w:t xml:space="preserve">’ And that </w:t>
      </w:r>
      <w:r>
        <w:rPr>
          <w:iCs/>
        </w:rPr>
        <w:t>[</w:t>
      </w:r>
      <w:r w:rsidRPr="00FA5CD3">
        <w:rPr>
          <w:iCs/>
        </w:rPr>
        <w:t>a radiation oncologist</w:t>
      </w:r>
      <w:r>
        <w:rPr>
          <w:iCs/>
        </w:rPr>
        <w:t>/</w:t>
      </w:r>
      <w:r w:rsidRPr="00FA5CD3">
        <w:rPr>
          <w:iCs/>
        </w:rPr>
        <w:t>urologist</w:t>
      </w:r>
      <w:r>
        <w:rPr>
          <w:iCs/>
        </w:rPr>
        <w:t xml:space="preserve">]’ should be retained in the descriptor to ensure the </w:t>
      </w:r>
      <w:r>
        <w:t>radiology oncology and urology components of the procedure</w:t>
      </w:r>
      <w:r>
        <w:rPr>
          <w:iCs/>
        </w:rPr>
        <w:t xml:space="preserve"> are done together.</w:t>
      </w:r>
    </w:p>
    <w:p w14:paraId="2A9E1021" w14:textId="4ACD0E04" w:rsidR="00F6451D" w:rsidRDefault="00F6451D" w:rsidP="00592104">
      <w:pPr>
        <w:spacing w:after="240"/>
      </w:pPr>
      <w:r>
        <w:rPr>
          <w:iCs/>
        </w:rPr>
        <w:t xml:space="preserve">ESC also noted that the item descriptor should be further refined to stipulate that LDR-BT would also be in addition </w:t>
      </w:r>
      <w:r>
        <w:t>to androgen blockade, which is standard practice in Australia and consistent with the ASCENDE-RT trial.</w:t>
      </w:r>
    </w:p>
    <w:p w14:paraId="2CB5A56E" w14:textId="27D37F04" w:rsidR="00F6451D" w:rsidRPr="001E6AD4" w:rsidRDefault="00F6451D" w:rsidP="00592104">
      <w:pPr>
        <w:spacing w:after="240"/>
      </w:pPr>
      <w:r>
        <w:t>ESC noted that the one of the comparators in practice would be surgery. However, the item descriptor does not indicate when to use LDR-BT instead of surgery. There is no direct evidence comparing LDR-BT boost with surgery; the comparator in the trial was d</w:t>
      </w:r>
      <w:r w:rsidRPr="002F793E">
        <w:t>ose escalated (DE)–EBRT</w:t>
      </w:r>
      <w:r>
        <w:t>.</w:t>
      </w:r>
    </w:p>
    <w:p w14:paraId="1E938726" w14:textId="58785037" w:rsidR="00F6451D" w:rsidRDefault="00F6451D" w:rsidP="00592104">
      <w:pPr>
        <w:spacing w:after="240"/>
      </w:pPr>
      <w:r>
        <w:t>ESC noted that, although the ASCENDE-RT trial was well designed and had a low risk of bias, the Critique applied a low certainty rating to the data because ‘</w:t>
      </w:r>
      <w:r w:rsidRPr="00D04FD8">
        <w:t>around half the population comprises low intermediate risk patients</w:t>
      </w:r>
      <w:r>
        <w:t>’. However, the applicant disputed this, claiming that the Critique based this judgement on a misinterpretation of the definition of high risk. The applicant reiterated that t</w:t>
      </w:r>
      <w:r w:rsidRPr="00CB4402">
        <w:t xml:space="preserve">he baseline characteristics of the ASCENDE-RT trial population </w:t>
      </w:r>
      <w:r>
        <w:t xml:space="preserve">were based on </w:t>
      </w:r>
      <w:r w:rsidRPr="00CB4402">
        <w:t>NCCN risk strat</w:t>
      </w:r>
      <w:r>
        <w:t xml:space="preserve">a and the majority of patients in the trial were at high risk. ESC noted that the conclusions in the Critique and Contracted Assessment about the quality of the </w:t>
      </w:r>
      <w:r w:rsidRPr="004E0A94">
        <w:t>trial are difficult to reconcile</w:t>
      </w:r>
      <w:r>
        <w:t>,</w:t>
      </w:r>
      <w:r w:rsidRPr="004E0A94">
        <w:t xml:space="preserve"> </w:t>
      </w:r>
      <w:r>
        <w:t>and downgrading may not have been appropriate.</w:t>
      </w:r>
    </w:p>
    <w:p w14:paraId="57610042" w14:textId="7E029D05" w:rsidR="00F6451D" w:rsidRDefault="00F6451D" w:rsidP="00592104">
      <w:pPr>
        <w:spacing w:after="240"/>
      </w:pPr>
      <w:r>
        <w:t>ESC noted that the ASCENDE-RT trial showed late genitourinary (GU) and gastrointestinal (GI) adverse effects were more frequent in the</w:t>
      </w:r>
      <w:r w:rsidRPr="00AA6B77">
        <w:t xml:space="preserve"> </w:t>
      </w:r>
      <w:r>
        <w:t>EBRT +</w:t>
      </w:r>
      <w:r w:rsidRPr="00AA6B77">
        <w:t xml:space="preserve"> </w:t>
      </w:r>
      <w:r w:rsidRPr="00116C9B">
        <w:t>LDR-BT</w:t>
      </w:r>
      <w:r>
        <w:t xml:space="preserve"> boost arm than in the </w:t>
      </w:r>
      <w:r w:rsidRPr="002F793E">
        <w:t>DE</w:t>
      </w:r>
      <w:r>
        <w:t>-</w:t>
      </w:r>
      <w:r w:rsidRPr="002F793E">
        <w:t>EBRT</w:t>
      </w:r>
      <w:r>
        <w:t xml:space="preserve"> arm, and health-related quality of life (QoL) scores were lower. However, there was no significant difference in serious adverse events. ESC noted that, importantly, there were no differences in the frequency of erectile dysfunction. ESC commented that although GU and GI side-effects affect patients’ QoL, they pass and are treatable; consumer feedback indicates that irreversible erectile dysfunction is of more importance to patients. ESC considered that adverse events observed in the trial may be avoidable with improvements in planning and modern imaging techniques that have occurred since the trial was conducted.</w:t>
      </w:r>
    </w:p>
    <w:p w14:paraId="0A52705A" w14:textId="10C0D7FF" w:rsidR="00F6451D" w:rsidRDefault="00F6451D" w:rsidP="00592104">
      <w:pPr>
        <w:spacing w:after="240"/>
      </w:pPr>
      <w:r>
        <w:t xml:space="preserve">ESC noted that adverse events in the ASCENDE-RT trial were balanced by superior effectiveness for biochemical </w:t>
      </w:r>
      <w:r w:rsidRPr="0088249D">
        <w:t>progression-free survival (b-PFS)</w:t>
      </w:r>
      <w:r>
        <w:t xml:space="preserve">, the primary outcome, for those </w:t>
      </w:r>
      <w:r w:rsidRPr="0088249D">
        <w:t xml:space="preserve">receiving LDR-BT boost </w:t>
      </w:r>
      <w:r>
        <w:t>compared with</w:t>
      </w:r>
      <w:r w:rsidRPr="0088249D">
        <w:t xml:space="preserve"> DE-EBRT</w:t>
      </w:r>
      <w:r>
        <w:t>; however, there was no difference in overall survival, metastas</w:t>
      </w:r>
      <w:r w:rsidRPr="0089153F">
        <w:t>i</w:t>
      </w:r>
      <w:r>
        <w:t>s-</w:t>
      </w:r>
      <w:r w:rsidRPr="0089153F">
        <w:t xml:space="preserve">free survival </w:t>
      </w:r>
      <w:r>
        <w:t xml:space="preserve">or </w:t>
      </w:r>
      <w:r w:rsidRPr="0089153F">
        <w:t>prostate cancer</w:t>
      </w:r>
      <w:r>
        <w:t>–</w:t>
      </w:r>
      <w:r w:rsidRPr="0089153F">
        <w:t>specific survival</w:t>
      </w:r>
      <w:r w:rsidR="00592104">
        <w:t>.</w:t>
      </w:r>
    </w:p>
    <w:p w14:paraId="5EB922CD" w14:textId="3D1ACCBE" w:rsidR="00F6451D" w:rsidRDefault="00F6451D" w:rsidP="00592104">
      <w:pPr>
        <w:spacing w:after="240"/>
      </w:pPr>
      <w:r>
        <w:t>ESC noted that the differences between the two arms of the ASCENDE-RT trial were well accounted for, but the study was not powered or long enou</w:t>
      </w:r>
      <w:r w:rsidR="00592104">
        <w:t>gh to assess survival outcomes.</w:t>
      </w:r>
    </w:p>
    <w:p w14:paraId="5EC09734" w14:textId="459FEDAB" w:rsidR="00F6451D" w:rsidRDefault="00F6451D" w:rsidP="00592104">
      <w:pPr>
        <w:spacing w:after="240"/>
      </w:pPr>
      <w:r>
        <w:lastRenderedPageBreak/>
        <w:t>ESC noted that the retrospective cohort study showed better overall survival</w:t>
      </w:r>
      <w:r w:rsidRPr="00603023">
        <w:t xml:space="preserve"> for</w:t>
      </w:r>
      <w:r>
        <w:t xml:space="preserve"> </w:t>
      </w:r>
      <w:r w:rsidRPr="00603023">
        <w:t>EBRT</w:t>
      </w:r>
      <w:r>
        <w:t xml:space="preserve"> </w:t>
      </w:r>
      <w:r w:rsidRPr="00603023">
        <w:t>+</w:t>
      </w:r>
      <w:r>
        <w:t xml:space="preserve"> </w:t>
      </w:r>
      <w:r w:rsidRPr="00603023">
        <w:t xml:space="preserve">LDR-BT boost </w:t>
      </w:r>
      <w:r>
        <w:t>than for</w:t>
      </w:r>
      <w:r w:rsidRPr="00603023">
        <w:t xml:space="preserve"> DE-EBRT</w:t>
      </w:r>
      <w:r>
        <w:t>. However, ESC agreed with the Critique that this study is at a high risk of bias and low applicability because the majority of patients were at low-intermediate risk. ESC noted that survival data from this study were not used in the economic model.</w:t>
      </w:r>
    </w:p>
    <w:p w14:paraId="1D759D41" w14:textId="77777777" w:rsidR="00F6451D" w:rsidRDefault="00F6451D" w:rsidP="00F6451D">
      <w:r>
        <w:t>ESC noted that cost utility analysis was appropriate, and the 10-year time horizon is consistent with the RCT and appropriate for the target population.</w:t>
      </w:r>
    </w:p>
    <w:p w14:paraId="6246DE9E" w14:textId="6CC5B2C5" w:rsidR="00F6451D" w:rsidRDefault="00F6451D" w:rsidP="00592104">
      <w:pPr>
        <w:spacing w:before="240" w:after="240"/>
      </w:pPr>
      <w:r>
        <w:t xml:space="preserve">ESC noted a structural issue with the model (raised by the applicant) in that it does not allow for remission of patients with late GU/GI toxicity. ESC noted that some of these late events may resolve with treatment, and there is evidence from the RCT that some of these events are transitory. The applicant claimed that the model </w:t>
      </w:r>
      <w:r w:rsidRPr="0087616E">
        <w:t>should have included options to progress from late toxicity to remission without toxicity or to biochemical failure without toxicity</w:t>
      </w:r>
      <w:r>
        <w:t>.</w:t>
      </w:r>
      <w:r w:rsidRPr="0087616E">
        <w:t xml:space="preserve"> </w:t>
      </w:r>
      <w:r>
        <w:t xml:space="preserve">Not allowing for this in the model would overestimate the QoL detriment of adverse events, as </w:t>
      </w:r>
      <w:r w:rsidRPr="009D7F4B">
        <w:t>patients enter the late toxicity state and remain there, accruing costs but with lower utility</w:t>
      </w:r>
      <w:r>
        <w:t xml:space="preserve">. </w:t>
      </w:r>
    </w:p>
    <w:p w14:paraId="04114AC1" w14:textId="2E9CB7ED" w:rsidR="00F6451D" w:rsidRDefault="00F6451D" w:rsidP="00592104">
      <w:pPr>
        <w:spacing w:after="240"/>
      </w:pPr>
      <w:r>
        <w:t xml:space="preserve">ESC agreed with the submission that this would have a significant effect on the </w:t>
      </w:r>
      <w:r w:rsidRPr="0055088E">
        <w:t xml:space="preserve">incremental cost-effectiveness ratio </w:t>
      </w:r>
      <w:r>
        <w:t>(ICER).</w:t>
      </w:r>
      <w:r w:rsidRPr="00A73EA1">
        <w:t xml:space="preserve"> </w:t>
      </w:r>
      <w:r>
        <w:t>ESC suggested a sensitivity analysis should be done on the proportions of patients with transitory events.</w:t>
      </w:r>
    </w:p>
    <w:p w14:paraId="522B2E5D" w14:textId="726F2F96" w:rsidR="00F6451D" w:rsidRDefault="00F6451D" w:rsidP="00592104">
      <w:pPr>
        <w:spacing w:after="240"/>
      </w:pPr>
      <w:r>
        <w:t xml:space="preserve">ESC noted that the transition probabilities from acute toxicity to late toxicity make clinical sense. However, the transition probability from biochemical failure to metastases seems to be incorrect. The model gives a transition probability for </w:t>
      </w:r>
      <w:r w:rsidRPr="00603023">
        <w:t>LDR-BT boost</w:t>
      </w:r>
      <w:r>
        <w:t xml:space="preserve"> that is 2.5-times higher than for DE-EBRT. This is a key driver in the model (with high cost and low utility) so will have a significant effect on the ICER. ESC agreed with the applicant that there is no reason for probability in the two arms to be different; there is no evidence from the trial that this is the case. ESC queried whether this may be a codi</w:t>
      </w:r>
      <w:r w:rsidR="00592104">
        <w:t>ng error in the model.</w:t>
      </w:r>
    </w:p>
    <w:p w14:paraId="24B28D60" w14:textId="356855A3" w:rsidR="00F6451D" w:rsidRDefault="00F6451D" w:rsidP="00592104">
      <w:pPr>
        <w:spacing w:after="240"/>
      </w:pPr>
      <w:r>
        <w:t>ESC noted that a conditional probability (using the number of patients who progressed as a denominator) would be more appropriate than a transition probability. A corrected calculation resulted in a conditional probability of 0.085 (</w:t>
      </w:r>
      <w:r w:rsidRPr="002D79A0">
        <w:rPr>
          <w:lang w:val="en-US"/>
        </w:rPr>
        <w:t>17/25</w:t>
      </w:r>
      <w:r>
        <w:rPr>
          <w:lang w:val="en-US"/>
        </w:rPr>
        <w:t>×</w:t>
      </w:r>
      <w:r w:rsidRPr="002D79A0">
        <w:rPr>
          <w:lang w:val="en-US"/>
        </w:rPr>
        <w:t xml:space="preserve">25/198 </w:t>
      </w:r>
      <w:r>
        <w:rPr>
          <w:lang w:val="en-US"/>
        </w:rPr>
        <w:t>or</w:t>
      </w:r>
      <w:r w:rsidRPr="002D79A0">
        <w:rPr>
          <w:lang w:val="en-US"/>
        </w:rPr>
        <w:t xml:space="preserve"> 17/198</w:t>
      </w:r>
      <w:r>
        <w:rPr>
          <w:lang w:val="en-US"/>
        </w:rPr>
        <w:t xml:space="preserve">) </w:t>
      </w:r>
      <w:r>
        <w:t xml:space="preserve">for </w:t>
      </w:r>
      <w:r w:rsidRPr="00603023">
        <w:t>LDR-BT boost</w:t>
      </w:r>
      <w:r>
        <w:t xml:space="preserve"> </w:t>
      </w:r>
      <w:r>
        <w:rPr>
          <w:lang w:val="en-US"/>
        </w:rPr>
        <w:t>versus 0.09 (</w:t>
      </w:r>
      <w:r w:rsidRPr="002D79A0">
        <w:rPr>
          <w:lang w:val="en-US"/>
        </w:rPr>
        <w:t>18/51</w:t>
      </w:r>
      <w:r>
        <w:rPr>
          <w:lang w:val="en-US"/>
        </w:rPr>
        <w:t>×</w:t>
      </w:r>
      <w:r w:rsidRPr="002D79A0">
        <w:rPr>
          <w:lang w:val="en-US"/>
        </w:rPr>
        <w:t xml:space="preserve">51/200 </w:t>
      </w:r>
      <w:r>
        <w:rPr>
          <w:lang w:val="en-US"/>
        </w:rPr>
        <w:t>or</w:t>
      </w:r>
      <w:r w:rsidRPr="002D79A0">
        <w:rPr>
          <w:lang w:val="en-US"/>
        </w:rPr>
        <w:t xml:space="preserve"> 18/200</w:t>
      </w:r>
      <w:r>
        <w:rPr>
          <w:lang w:val="en-US"/>
        </w:rPr>
        <w:t xml:space="preserve">) for </w:t>
      </w:r>
      <w:r>
        <w:t>DE-EBRT. ESC recommended that probabili</w:t>
      </w:r>
      <w:r w:rsidR="00592104">
        <w:t>ties be verified and corrected.</w:t>
      </w:r>
    </w:p>
    <w:p w14:paraId="53222BF4" w14:textId="70F9B9DB" w:rsidR="00F6451D" w:rsidRDefault="00F6451D" w:rsidP="00592104">
      <w:pPr>
        <w:spacing w:after="240"/>
      </w:pPr>
      <w:r>
        <w:t>ESC noted that changing the model structure and transitional probabilities will reduce costs, as acute GU/GI toxicity (all grades), late GU/GI toxicity (grade ≥3) and metastases make up the highest proportions of total incremental costs.</w:t>
      </w:r>
    </w:p>
    <w:p w14:paraId="794DD934" w14:textId="6A533033" w:rsidR="00A14CB5" w:rsidRDefault="00F6451D" w:rsidP="00592104">
      <w:pPr>
        <w:spacing w:after="240"/>
      </w:pPr>
      <w:r>
        <w:t>ESC noted that changes in the model will also change QoL outcomes. ESC queried why there is no QoL included for acute GU/GI toxicity (all grades). ESC noted that the Contracted Assessment assumes that the utility decrement for acute grade toxicity symptoms starts at 12 months, but the model has no-one left in that health state beyond 12 months. ESC recommended that the model is checked to ensure that utilities are</w:t>
      </w:r>
      <w:r w:rsidR="00A14CB5">
        <w:t xml:space="preserve"> carried through in that state.</w:t>
      </w:r>
    </w:p>
    <w:p w14:paraId="5BA6BF31" w14:textId="77777777" w:rsidR="00F6451D" w:rsidRDefault="00F6451D" w:rsidP="00F6451D">
      <w:r>
        <w:t xml:space="preserve">ESC noted an issue with utility weights used in the model. SF-36 scores from the ASCENDE-RT trial were mapped to the EQ-5D index using the method by Ara and Brazier (2008), which ESC considered to be appropriate if only mean values were available from the trial. However, the EQ-5D 3L instrument that was used in this method has been largely replaced by the EQ-5D 5L. The utility decrement when a patient moves from one level to another (i.e. no problems to some problems) is likely to be lower with the 5L instrument, which would favour the intervention. </w:t>
      </w:r>
    </w:p>
    <w:p w14:paraId="28B710E4" w14:textId="24F68B29" w:rsidR="00F6451D" w:rsidRDefault="00F6451D" w:rsidP="00592104">
      <w:pPr>
        <w:spacing w:after="240"/>
      </w:pPr>
      <w:r>
        <w:lastRenderedPageBreak/>
        <w:t xml:space="preserve">ESC agreed with the applicant that Australian utility weights should be used in the model. It is possible to map from SF-36 using SF-6D algorithms available for Australia. However, this would require data for individual item levels. ESC recommended checking whether the applicant has access to </w:t>
      </w:r>
      <w:r w:rsidRPr="003F2B62">
        <w:t xml:space="preserve">study item data </w:t>
      </w:r>
      <w:r>
        <w:t>to allow</w:t>
      </w:r>
      <w:r w:rsidRPr="003F2B62">
        <w:t xml:space="preserve"> </w:t>
      </w:r>
      <w:r>
        <w:t>m</w:t>
      </w:r>
      <w:r w:rsidRPr="003F2B62">
        <w:t>apping to actual Australian utilities rather than EQ</w:t>
      </w:r>
      <w:r>
        <w:t>-</w:t>
      </w:r>
      <w:r w:rsidRPr="003F2B62">
        <w:t>5D</w:t>
      </w:r>
      <w:r>
        <w:t>.</w:t>
      </w:r>
    </w:p>
    <w:p w14:paraId="62A33140" w14:textId="6C8530FF" w:rsidR="00F6451D" w:rsidRDefault="00F6451D" w:rsidP="00592104">
      <w:pPr>
        <w:spacing w:after="240"/>
      </w:pPr>
      <w:r>
        <w:t>ESC noted the applicant’s claim that t</w:t>
      </w:r>
      <w:r w:rsidRPr="00130238">
        <w:t xml:space="preserve">he utility weight </w:t>
      </w:r>
      <w:r>
        <w:t xml:space="preserve">used in the model </w:t>
      </w:r>
      <w:r w:rsidRPr="00130238">
        <w:t xml:space="preserve">for the remission without toxicity health state </w:t>
      </w:r>
      <w:r>
        <w:t>is too high</w:t>
      </w:r>
      <w:r w:rsidRPr="00130238">
        <w:t xml:space="preserve"> and is inconsistent with other derived Australian utility scores.</w:t>
      </w:r>
      <w:r>
        <w:t xml:space="preserve"> QoL values suggested by the applicant based on Australian algorithms were lower and would favour the intervention. ESC considered that using an Australian derived utility measure for remission may not be possible without changing the relative utility values.</w:t>
      </w:r>
      <w:r w:rsidR="00592104">
        <w:t xml:space="preserve"> </w:t>
      </w:r>
      <w:r>
        <w:t>O</w:t>
      </w:r>
      <w:r w:rsidRPr="00193925">
        <w:t xml:space="preserve">ther utility weights </w:t>
      </w:r>
      <w:r>
        <w:t xml:space="preserve">were </w:t>
      </w:r>
      <w:r w:rsidRPr="00193925">
        <w:t>derived from another paper</w:t>
      </w:r>
      <w:r>
        <w:t>,</w:t>
      </w:r>
      <w:r w:rsidRPr="00193925">
        <w:t xml:space="preserve"> whi</w:t>
      </w:r>
      <w:r>
        <w:t>c</w:t>
      </w:r>
      <w:r w:rsidRPr="00193925">
        <w:t xml:space="preserve">h </w:t>
      </w:r>
      <w:r>
        <w:t>ESC considered</w:t>
      </w:r>
      <w:r w:rsidRPr="00193925">
        <w:t xml:space="preserve"> approp</w:t>
      </w:r>
      <w:r>
        <w:t>r</w:t>
      </w:r>
      <w:r w:rsidRPr="00193925">
        <w:t>iate</w:t>
      </w:r>
      <w:r>
        <w:t>.</w:t>
      </w:r>
    </w:p>
    <w:p w14:paraId="29A548A8" w14:textId="77777777" w:rsidR="00F6451D" w:rsidRDefault="00F6451D" w:rsidP="00F6451D">
      <w:pPr>
        <w:pStyle w:val="NormalBeforeBullet"/>
      </w:pPr>
      <w:r>
        <w:t>ESC recommended that, to be able to draw any conclusions, the model should be verified and corrected before going to MSAC, to ensure it is consistent with the clinical pathway with regard to remission following late toxicity. Analysis should be re-run using:</w:t>
      </w:r>
    </w:p>
    <w:p w14:paraId="44E12342" w14:textId="77777777" w:rsidR="00F6451D" w:rsidRDefault="00F6451D" w:rsidP="00F6451D">
      <w:pPr>
        <w:pStyle w:val="Bullet"/>
      </w:pPr>
      <w:r>
        <w:t>corrected metastasis transition probabilities</w:t>
      </w:r>
    </w:p>
    <w:p w14:paraId="0C1266BC" w14:textId="77777777" w:rsidR="00F6451D" w:rsidRDefault="00F6451D" w:rsidP="00F6451D">
      <w:pPr>
        <w:pStyle w:val="Bullet"/>
      </w:pPr>
      <w:r>
        <w:t>lower decrement for acute and late adverse events (using EQ-5D 5L instrument)</w:t>
      </w:r>
    </w:p>
    <w:p w14:paraId="38FBDFE9" w14:textId="77777777" w:rsidR="00F6451D" w:rsidRDefault="00F6451D" w:rsidP="00F6451D">
      <w:pPr>
        <w:pStyle w:val="BulletLast"/>
      </w:pPr>
      <w:r>
        <w:t>Australian utility weights.</w:t>
      </w:r>
    </w:p>
    <w:p w14:paraId="21AECD7C" w14:textId="27A5E702" w:rsidR="00592104" w:rsidRDefault="00F6451D" w:rsidP="00592104">
      <w:pPr>
        <w:spacing w:after="240"/>
      </w:pPr>
      <w:r>
        <w:t>ESC noted that these corrections will all likely favour the intervention, and will affect the ICER significantly.</w:t>
      </w:r>
    </w:p>
    <w:p w14:paraId="64307415" w14:textId="048A156F" w:rsidR="00F6451D" w:rsidRDefault="00F6451D" w:rsidP="00592104">
      <w:pPr>
        <w:spacing w:after="240"/>
      </w:pPr>
      <w:r>
        <w:t>ESC considered that the e</w:t>
      </w:r>
      <w:r w:rsidRPr="00462638">
        <w:t>pidemiological appr</w:t>
      </w:r>
      <w:r>
        <w:t xml:space="preserve">oach used to estimate financial implications is appropriate. </w:t>
      </w:r>
    </w:p>
    <w:p w14:paraId="31E2239E" w14:textId="77777777" w:rsidR="00F6451D" w:rsidRDefault="00F6451D" w:rsidP="00F6451D">
      <w:pPr>
        <w:pStyle w:val="NormalBeforeBullet"/>
      </w:pPr>
      <w:r>
        <w:t xml:space="preserve">ESC noted the potential for the net cost per year to be lower than that estimated in the Contracted Assessment. Cost offsets would be greater if the cost of treating adverse events after high dose-rate (HDR)-BT was included. The impact on the </w:t>
      </w:r>
      <w:r w:rsidRPr="00625DE2">
        <w:t xml:space="preserve">PBS should </w:t>
      </w:r>
      <w:r>
        <w:t xml:space="preserve">also </w:t>
      </w:r>
      <w:r w:rsidRPr="00625DE2">
        <w:t xml:space="preserve">have been considered </w:t>
      </w:r>
      <w:r>
        <w:t>(</w:t>
      </w:r>
      <w:r w:rsidRPr="00625DE2">
        <w:t xml:space="preserve">at </w:t>
      </w:r>
      <w:r>
        <w:t>least</w:t>
      </w:r>
      <w:r w:rsidRPr="00625DE2">
        <w:t xml:space="preserve"> the cost of hormone therapy to treat patients who progress to biochemical failure</w:t>
      </w:r>
      <w:r>
        <w:t>).</w:t>
      </w:r>
    </w:p>
    <w:p w14:paraId="4B7D4402" w14:textId="77777777" w:rsidR="00D90A38" w:rsidRPr="00F715D1" w:rsidRDefault="00BC1364" w:rsidP="00F715D1">
      <w:pPr>
        <w:pStyle w:val="Heading1"/>
      </w:pPr>
      <w:r w:rsidRPr="00F715D1">
        <w:t>Other significant factors</w:t>
      </w:r>
    </w:p>
    <w:p w14:paraId="1FA6D1E0" w14:textId="68614DA4" w:rsidR="00BC1364" w:rsidRPr="005A4362" w:rsidRDefault="00F36B5E" w:rsidP="00E75BE6">
      <w:r>
        <w:t>Nil.</w:t>
      </w:r>
    </w:p>
    <w:p w14:paraId="5DCE4D59" w14:textId="77777777" w:rsidR="00BC1364" w:rsidRPr="00F715D1" w:rsidRDefault="00BC1364" w:rsidP="00F715D1">
      <w:pPr>
        <w:pStyle w:val="Heading1"/>
      </w:pPr>
      <w:r w:rsidRPr="00F715D1">
        <w:t xml:space="preserve">Applicant’s comments on MSAC’s </w:t>
      </w:r>
      <w:r w:rsidR="00DA56AA" w:rsidRPr="00F715D1">
        <w:t>Public Summary Document</w:t>
      </w:r>
    </w:p>
    <w:p w14:paraId="4E7A3A67" w14:textId="445BC224" w:rsidR="00BC1364" w:rsidRPr="00592104" w:rsidRDefault="00592104" w:rsidP="00F715D1">
      <w:pPr>
        <w:spacing w:after="240"/>
        <w:rPr>
          <w:szCs w:val="24"/>
        </w:rPr>
      </w:pPr>
      <w:r w:rsidRPr="00592104">
        <w:rPr>
          <w:szCs w:val="24"/>
        </w:rPr>
        <w:t>The applicant had no comment.</w:t>
      </w:r>
    </w:p>
    <w:p w14:paraId="421F70E9" w14:textId="77777777" w:rsidR="00BC1364" w:rsidRPr="00F715D1" w:rsidRDefault="00271F18" w:rsidP="00F715D1">
      <w:pPr>
        <w:pStyle w:val="Heading1"/>
      </w:pPr>
      <w:r w:rsidRPr="00F715D1">
        <w:t>Further information on MSAC</w:t>
      </w:r>
    </w:p>
    <w:p w14:paraId="4B3B7F4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1CFB" w14:textId="77777777" w:rsidR="00592104" w:rsidRDefault="00592104" w:rsidP="00065623">
      <w:r>
        <w:separator/>
      </w:r>
    </w:p>
  </w:endnote>
  <w:endnote w:type="continuationSeparator" w:id="0">
    <w:p w14:paraId="378643CE" w14:textId="77777777" w:rsidR="00592104" w:rsidRDefault="0059210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ECC4" w14:textId="77777777" w:rsidR="003B5B03" w:rsidRDefault="003B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8B959DF" w14:textId="11A3BA0C" w:rsidR="00592104" w:rsidRDefault="00592104">
        <w:pPr>
          <w:pStyle w:val="Footer"/>
          <w:jc w:val="right"/>
        </w:pPr>
        <w:r>
          <w:fldChar w:fldCharType="begin"/>
        </w:r>
        <w:r>
          <w:instrText xml:space="preserve"> PAGE   \* MERGEFORMAT </w:instrText>
        </w:r>
        <w:r>
          <w:fldChar w:fldCharType="separate"/>
        </w:r>
        <w:r w:rsidR="00AE740B">
          <w:rPr>
            <w:noProof/>
          </w:rPr>
          <w:t>1</w:t>
        </w:r>
        <w:r>
          <w:rPr>
            <w:noProof/>
          </w:rPr>
          <w:fldChar w:fldCharType="end"/>
        </w:r>
      </w:p>
    </w:sdtContent>
  </w:sdt>
  <w:p w14:paraId="69B986D1" w14:textId="77777777" w:rsidR="00592104" w:rsidRDefault="0059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B415" w14:textId="77777777" w:rsidR="003B5B03" w:rsidRDefault="003B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E9ED" w14:textId="77777777" w:rsidR="00592104" w:rsidRDefault="00592104" w:rsidP="00065623">
      <w:r>
        <w:separator/>
      </w:r>
    </w:p>
  </w:footnote>
  <w:footnote w:type="continuationSeparator" w:id="0">
    <w:p w14:paraId="65AE2287" w14:textId="77777777" w:rsidR="00592104" w:rsidRDefault="00592104"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A2D6" w14:textId="77777777" w:rsidR="003B5B03" w:rsidRDefault="003B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2802" w14:textId="77777777" w:rsidR="003B5B03" w:rsidRDefault="003B5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7E9AB" w14:textId="77777777" w:rsidR="003B5B03" w:rsidRDefault="003B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9C9"/>
    <w:multiLevelType w:val="hybridMultilevel"/>
    <w:tmpl w:val="F3FCA5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5E25F6"/>
    <w:multiLevelType w:val="hybridMultilevel"/>
    <w:tmpl w:val="B6403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9B2266"/>
    <w:multiLevelType w:val="hybridMultilevel"/>
    <w:tmpl w:val="A2F8B5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A56A7"/>
    <w:multiLevelType w:val="hybridMultilevel"/>
    <w:tmpl w:val="EA74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
  </w:num>
  <w:num w:numId="4">
    <w:abstractNumId w:val="19"/>
  </w:num>
  <w:num w:numId="5">
    <w:abstractNumId w:val="11"/>
  </w:num>
  <w:num w:numId="6">
    <w:abstractNumId w:val="18"/>
  </w:num>
  <w:num w:numId="7">
    <w:abstractNumId w:val="22"/>
  </w:num>
  <w:num w:numId="8">
    <w:abstractNumId w:val="14"/>
  </w:num>
  <w:num w:numId="9">
    <w:abstractNumId w:val="30"/>
  </w:num>
  <w:num w:numId="10">
    <w:abstractNumId w:val="1"/>
  </w:num>
  <w:num w:numId="11">
    <w:abstractNumId w:val="21"/>
  </w:num>
  <w:num w:numId="12">
    <w:abstractNumId w:val="23"/>
  </w:num>
  <w:num w:numId="13">
    <w:abstractNumId w:val="5"/>
  </w:num>
  <w:num w:numId="14">
    <w:abstractNumId w:val="27"/>
  </w:num>
  <w:num w:numId="15">
    <w:abstractNumId w:val="20"/>
  </w:num>
  <w:num w:numId="16">
    <w:abstractNumId w:val="24"/>
  </w:num>
  <w:num w:numId="17">
    <w:abstractNumId w:val="15"/>
  </w:num>
  <w:num w:numId="18">
    <w:abstractNumId w:val="16"/>
  </w:num>
  <w:num w:numId="19">
    <w:abstractNumId w:val="26"/>
  </w:num>
  <w:num w:numId="20">
    <w:abstractNumId w:val="25"/>
  </w:num>
  <w:num w:numId="21">
    <w:abstractNumId w:val="4"/>
  </w:num>
  <w:num w:numId="22">
    <w:abstractNumId w:val="10"/>
  </w:num>
  <w:num w:numId="23">
    <w:abstractNumId w:val="3"/>
  </w:num>
  <w:num w:numId="24">
    <w:abstractNumId w:val="9"/>
  </w:num>
  <w:num w:numId="25">
    <w:abstractNumId w:val="7"/>
  </w:num>
  <w:num w:numId="26">
    <w:abstractNumId w:val="13"/>
  </w:num>
  <w:num w:numId="27">
    <w:abstractNumId w:val="28"/>
  </w:num>
  <w:num w:numId="28">
    <w:abstractNumId w:val="12"/>
  </w:num>
  <w:num w:numId="29">
    <w:abstractNumId w:val="6"/>
  </w:num>
  <w:num w:numId="30">
    <w:abstractNumId w:val="2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757"/>
    <w:rsid w:val="00011A36"/>
    <w:rsid w:val="00023530"/>
    <w:rsid w:val="00047606"/>
    <w:rsid w:val="00065623"/>
    <w:rsid w:val="000756B9"/>
    <w:rsid w:val="00096B67"/>
    <w:rsid w:val="00096DAF"/>
    <w:rsid w:val="000A5983"/>
    <w:rsid w:val="000C2F47"/>
    <w:rsid w:val="000D2B9A"/>
    <w:rsid w:val="000D6C00"/>
    <w:rsid w:val="000E4E04"/>
    <w:rsid w:val="000F14B4"/>
    <w:rsid w:val="000F75DF"/>
    <w:rsid w:val="0010075C"/>
    <w:rsid w:val="001023DC"/>
    <w:rsid w:val="00107780"/>
    <w:rsid w:val="001077BD"/>
    <w:rsid w:val="00124797"/>
    <w:rsid w:val="001328FA"/>
    <w:rsid w:val="00147AAF"/>
    <w:rsid w:val="001552C0"/>
    <w:rsid w:val="001640B1"/>
    <w:rsid w:val="0016573C"/>
    <w:rsid w:val="00183058"/>
    <w:rsid w:val="0018435E"/>
    <w:rsid w:val="001A6B48"/>
    <w:rsid w:val="001D52C7"/>
    <w:rsid w:val="001E4F87"/>
    <w:rsid w:val="002041A1"/>
    <w:rsid w:val="002054F0"/>
    <w:rsid w:val="0021182F"/>
    <w:rsid w:val="00230D6B"/>
    <w:rsid w:val="00232068"/>
    <w:rsid w:val="002330F2"/>
    <w:rsid w:val="0023569C"/>
    <w:rsid w:val="00243D9E"/>
    <w:rsid w:val="00253B66"/>
    <w:rsid w:val="00254249"/>
    <w:rsid w:val="00261DF1"/>
    <w:rsid w:val="00271F18"/>
    <w:rsid w:val="00282779"/>
    <w:rsid w:val="0028334D"/>
    <w:rsid w:val="002B7FFA"/>
    <w:rsid w:val="002C2BCF"/>
    <w:rsid w:val="002F279D"/>
    <w:rsid w:val="002F43B8"/>
    <w:rsid w:val="00336856"/>
    <w:rsid w:val="0034554D"/>
    <w:rsid w:val="00352224"/>
    <w:rsid w:val="003671E6"/>
    <w:rsid w:val="00384272"/>
    <w:rsid w:val="00386D67"/>
    <w:rsid w:val="003945B8"/>
    <w:rsid w:val="003A05EA"/>
    <w:rsid w:val="003B5B03"/>
    <w:rsid w:val="003D7F29"/>
    <w:rsid w:val="00401B30"/>
    <w:rsid w:val="00405A6B"/>
    <w:rsid w:val="00407B1F"/>
    <w:rsid w:val="0041184F"/>
    <w:rsid w:val="00414C57"/>
    <w:rsid w:val="0041758C"/>
    <w:rsid w:val="00441CDA"/>
    <w:rsid w:val="004539DE"/>
    <w:rsid w:val="00497A2F"/>
    <w:rsid w:val="004A2CF1"/>
    <w:rsid w:val="004B63A0"/>
    <w:rsid w:val="004C3035"/>
    <w:rsid w:val="004C307F"/>
    <w:rsid w:val="004C3F33"/>
    <w:rsid w:val="004E4BA8"/>
    <w:rsid w:val="004F340F"/>
    <w:rsid w:val="004F6378"/>
    <w:rsid w:val="004F7B7C"/>
    <w:rsid w:val="0052243D"/>
    <w:rsid w:val="00532435"/>
    <w:rsid w:val="0054192F"/>
    <w:rsid w:val="00544D78"/>
    <w:rsid w:val="00550354"/>
    <w:rsid w:val="00571236"/>
    <w:rsid w:val="00574027"/>
    <w:rsid w:val="00592104"/>
    <w:rsid w:val="005953A1"/>
    <w:rsid w:val="005A4362"/>
    <w:rsid w:val="005B5434"/>
    <w:rsid w:val="005C49EA"/>
    <w:rsid w:val="005D0332"/>
    <w:rsid w:val="005D0D8C"/>
    <w:rsid w:val="00673CEE"/>
    <w:rsid w:val="006776AE"/>
    <w:rsid w:val="006A0D97"/>
    <w:rsid w:val="006B1F86"/>
    <w:rsid w:val="006C0A91"/>
    <w:rsid w:val="007054BB"/>
    <w:rsid w:val="00706CEE"/>
    <w:rsid w:val="00707064"/>
    <w:rsid w:val="00730683"/>
    <w:rsid w:val="007374A8"/>
    <w:rsid w:val="00746FF7"/>
    <w:rsid w:val="0075261F"/>
    <w:rsid w:val="0075468E"/>
    <w:rsid w:val="007665D8"/>
    <w:rsid w:val="00766E36"/>
    <w:rsid w:val="007765F4"/>
    <w:rsid w:val="00776633"/>
    <w:rsid w:val="00784D53"/>
    <w:rsid w:val="00797797"/>
    <w:rsid w:val="007A63C9"/>
    <w:rsid w:val="007B32D1"/>
    <w:rsid w:val="007B3959"/>
    <w:rsid w:val="007B477B"/>
    <w:rsid w:val="007B7095"/>
    <w:rsid w:val="007D21AE"/>
    <w:rsid w:val="007D24E1"/>
    <w:rsid w:val="007D6288"/>
    <w:rsid w:val="007F4CE9"/>
    <w:rsid w:val="007F4E20"/>
    <w:rsid w:val="00822C7E"/>
    <w:rsid w:val="00825FD1"/>
    <w:rsid w:val="00847060"/>
    <w:rsid w:val="00847A36"/>
    <w:rsid w:val="00856A33"/>
    <w:rsid w:val="00877595"/>
    <w:rsid w:val="00892620"/>
    <w:rsid w:val="008933C4"/>
    <w:rsid w:val="008C7D37"/>
    <w:rsid w:val="008D5885"/>
    <w:rsid w:val="00914924"/>
    <w:rsid w:val="00923FA2"/>
    <w:rsid w:val="00951F0C"/>
    <w:rsid w:val="00956809"/>
    <w:rsid w:val="0096060D"/>
    <w:rsid w:val="00974A50"/>
    <w:rsid w:val="0097585A"/>
    <w:rsid w:val="009924B0"/>
    <w:rsid w:val="009942C9"/>
    <w:rsid w:val="009B35C4"/>
    <w:rsid w:val="009C630A"/>
    <w:rsid w:val="009E0D98"/>
    <w:rsid w:val="00A068A1"/>
    <w:rsid w:val="00A1207D"/>
    <w:rsid w:val="00A12FD8"/>
    <w:rsid w:val="00A14CB5"/>
    <w:rsid w:val="00A346FC"/>
    <w:rsid w:val="00A846F2"/>
    <w:rsid w:val="00A84F93"/>
    <w:rsid w:val="00AB1AC5"/>
    <w:rsid w:val="00AB3BFC"/>
    <w:rsid w:val="00AB7D05"/>
    <w:rsid w:val="00AC4F2E"/>
    <w:rsid w:val="00AD0C37"/>
    <w:rsid w:val="00AD385F"/>
    <w:rsid w:val="00AE6E2A"/>
    <w:rsid w:val="00AE740B"/>
    <w:rsid w:val="00B03EAB"/>
    <w:rsid w:val="00B16C62"/>
    <w:rsid w:val="00B31E9C"/>
    <w:rsid w:val="00B35595"/>
    <w:rsid w:val="00B515C7"/>
    <w:rsid w:val="00B51C6D"/>
    <w:rsid w:val="00B51E8A"/>
    <w:rsid w:val="00B571A1"/>
    <w:rsid w:val="00B670AD"/>
    <w:rsid w:val="00B702B7"/>
    <w:rsid w:val="00B76782"/>
    <w:rsid w:val="00B83DD2"/>
    <w:rsid w:val="00B86D64"/>
    <w:rsid w:val="00B90C44"/>
    <w:rsid w:val="00BA4AC5"/>
    <w:rsid w:val="00BB1700"/>
    <w:rsid w:val="00BC1364"/>
    <w:rsid w:val="00BC2667"/>
    <w:rsid w:val="00BC7DE9"/>
    <w:rsid w:val="00BE1006"/>
    <w:rsid w:val="00BE450A"/>
    <w:rsid w:val="00BF479B"/>
    <w:rsid w:val="00C02577"/>
    <w:rsid w:val="00C06E1F"/>
    <w:rsid w:val="00C204FB"/>
    <w:rsid w:val="00C20BEE"/>
    <w:rsid w:val="00C2158D"/>
    <w:rsid w:val="00C42FCD"/>
    <w:rsid w:val="00C67DD2"/>
    <w:rsid w:val="00C725CB"/>
    <w:rsid w:val="00C74943"/>
    <w:rsid w:val="00C76F5C"/>
    <w:rsid w:val="00C96BAD"/>
    <w:rsid w:val="00CA6944"/>
    <w:rsid w:val="00CB0F8E"/>
    <w:rsid w:val="00CB7E7D"/>
    <w:rsid w:val="00CC2911"/>
    <w:rsid w:val="00CE731D"/>
    <w:rsid w:val="00CF0C6D"/>
    <w:rsid w:val="00CF7307"/>
    <w:rsid w:val="00CF7C68"/>
    <w:rsid w:val="00D124FA"/>
    <w:rsid w:val="00D340DE"/>
    <w:rsid w:val="00D55723"/>
    <w:rsid w:val="00D62FAD"/>
    <w:rsid w:val="00D64355"/>
    <w:rsid w:val="00D6534C"/>
    <w:rsid w:val="00D70450"/>
    <w:rsid w:val="00D81752"/>
    <w:rsid w:val="00D83BFD"/>
    <w:rsid w:val="00D86EFF"/>
    <w:rsid w:val="00D90A38"/>
    <w:rsid w:val="00DA0515"/>
    <w:rsid w:val="00DA171E"/>
    <w:rsid w:val="00DA56AA"/>
    <w:rsid w:val="00DB5833"/>
    <w:rsid w:val="00DB5C03"/>
    <w:rsid w:val="00DD2858"/>
    <w:rsid w:val="00DD52C0"/>
    <w:rsid w:val="00E03E33"/>
    <w:rsid w:val="00E059E0"/>
    <w:rsid w:val="00E22159"/>
    <w:rsid w:val="00E3642A"/>
    <w:rsid w:val="00E415C4"/>
    <w:rsid w:val="00E50016"/>
    <w:rsid w:val="00E50EAA"/>
    <w:rsid w:val="00E656D6"/>
    <w:rsid w:val="00E75BE6"/>
    <w:rsid w:val="00E977EE"/>
    <w:rsid w:val="00EA2F24"/>
    <w:rsid w:val="00EA67A2"/>
    <w:rsid w:val="00EB2DEB"/>
    <w:rsid w:val="00EB630F"/>
    <w:rsid w:val="00EB6B6F"/>
    <w:rsid w:val="00EC4F98"/>
    <w:rsid w:val="00EE3FB5"/>
    <w:rsid w:val="00F12C78"/>
    <w:rsid w:val="00F12F02"/>
    <w:rsid w:val="00F32E0D"/>
    <w:rsid w:val="00F35134"/>
    <w:rsid w:val="00F36B5E"/>
    <w:rsid w:val="00F37B9C"/>
    <w:rsid w:val="00F41812"/>
    <w:rsid w:val="00F6451D"/>
    <w:rsid w:val="00F715D1"/>
    <w:rsid w:val="00F72715"/>
    <w:rsid w:val="00F73333"/>
    <w:rsid w:val="00F9490F"/>
    <w:rsid w:val="00F95D8F"/>
    <w:rsid w:val="00FA3BBE"/>
    <w:rsid w:val="00FB350A"/>
    <w:rsid w:val="00FB4C5D"/>
    <w:rsid w:val="00FC1554"/>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558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6451D"/>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6451D"/>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F645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F6451D"/>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F6451D"/>
    <w:rPr>
      <w:rFonts w:ascii="Arial Narrow" w:eastAsia="Times New Roman" w:hAnsi="Arial Narrow" w:cs="Tahoma"/>
      <w:b/>
      <w:noProof/>
      <w:sz w:val="20"/>
      <w:szCs w:val="20"/>
    </w:rPr>
  </w:style>
  <w:style w:type="paragraph" w:customStyle="1" w:styleId="TableText">
    <w:name w:val="TableText"/>
    <w:basedOn w:val="Normal"/>
    <w:rsid w:val="00F6451D"/>
    <w:pPr>
      <w:keepNext/>
      <w:spacing w:before="60" w:after="60"/>
    </w:pPr>
    <w:rPr>
      <w:color w:val="000000"/>
      <w:sz w:val="21"/>
      <w:szCs w:val="21"/>
    </w:rPr>
  </w:style>
  <w:style w:type="paragraph" w:customStyle="1" w:styleId="TableBullet">
    <w:name w:val="TableBullet"/>
    <w:basedOn w:val="TableText"/>
    <w:rsid w:val="00F6451D"/>
    <w:pPr>
      <w:numPr>
        <w:numId w:val="26"/>
      </w:numPr>
      <w:tabs>
        <w:tab w:val="clear" w:pos="360"/>
        <w:tab w:val="left" w:pos="216"/>
      </w:tabs>
      <w:ind w:left="216" w:hanging="216"/>
    </w:pPr>
  </w:style>
  <w:style w:type="paragraph" w:customStyle="1" w:styleId="BulletBeforeDash">
    <w:name w:val="BulletBeforeDash"/>
    <w:basedOn w:val="Normal"/>
    <w:rsid w:val="00F6451D"/>
    <w:pPr>
      <w:numPr>
        <w:numId w:val="27"/>
      </w:numPr>
      <w:ind w:left="720"/>
    </w:pPr>
    <w:rPr>
      <w:color w:val="000000"/>
    </w:rPr>
  </w:style>
  <w:style w:type="paragraph" w:customStyle="1" w:styleId="Bullet">
    <w:name w:val="Bullet"/>
    <w:basedOn w:val="BulletBeforeDash"/>
    <w:qFormat/>
    <w:rsid w:val="00F6451D"/>
    <w:pPr>
      <w:spacing w:after="120"/>
    </w:pPr>
  </w:style>
  <w:style w:type="paragraph" w:customStyle="1" w:styleId="BulletLast">
    <w:name w:val="BulletLast"/>
    <w:basedOn w:val="Bullet"/>
    <w:qFormat/>
    <w:rsid w:val="00F6451D"/>
    <w:pPr>
      <w:spacing w:after="240"/>
    </w:pPr>
  </w:style>
  <w:style w:type="paragraph" w:customStyle="1" w:styleId="NormalBeforeBullet">
    <w:name w:val="NormalBeforeBullet"/>
    <w:basedOn w:val="Normal"/>
    <w:qFormat/>
    <w:rsid w:val="00F6451D"/>
    <w:pPr>
      <w:keepNext/>
      <w:spacing w:after="120"/>
    </w:pPr>
    <w:rPr>
      <w:color w:val="000000"/>
    </w:rPr>
  </w:style>
  <w:style w:type="paragraph" w:customStyle="1" w:styleId="Tabletext0">
    <w:name w:val="Table text"/>
    <w:basedOn w:val="Normal"/>
    <w:link w:val="TabletextChar"/>
    <w:qFormat/>
    <w:rsid w:val="00F6451D"/>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F6451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F6451D"/>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F6451D"/>
    <w:rPr>
      <w:rFonts w:ascii="Arial Narrow" w:eastAsia="Times New Roman" w:hAnsi="Arial Narrow" w:cs="Arial"/>
      <w:b/>
      <w:bCs/>
      <w:iCs/>
      <w:sz w:val="20"/>
      <w:szCs w:val="20"/>
      <w:lang w:eastAsia="en-US"/>
    </w:rPr>
  </w:style>
  <w:style w:type="character" w:customStyle="1" w:styleId="ListParagraphChar">
    <w:name w:val="List Paragraph Char"/>
    <w:aliases w:val="Styl moj Char,Akapit z listą1 Char,Akapit z listą11 Char"/>
    <w:link w:val="ListParagraph"/>
    <w:uiPriority w:val="34"/>
    <w:rsid w:val="00F6451D"/>
    <w:rPr>
      <w:rFonts w:eastAsia="Times New Roman"/>
      <w:sz w:val="24"/>
      <w:szCs w:val="20"/>
    </w:rPr>
  </w:style>
  <w:style w:type="paragraph" w:customStyle="1" w:styleId="Tablenotes">
    <w:name w:val="Tablenotes"/>
    <w:basedOn w:val="Normal"/>
    <w:link w:val="TablenotesChar"/>
    <w:autoRedefine/>
    <w:qFormat/>
    <w:rsid w:val="00FC1554"/>
    <w:pPr>
      <w:widowControl w:val="0"/>
      <w:spacing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C1554"/>
    <w:rPr>
      <w:rFonts w:ascii="Arial Narrow" w:eastAsia="Times New Roman" w:hAnsi="Arial Narrow" w:cs="Arial"/>
      <w:snapToGrid w:val="0"/>
      <w:sz w:val="18"/>
      <w:szCs w:val="20"/>
      <w:lang w:eastAsia="en-US"/>
    </w:rPr>
  </w:style>
  <w:style w:type="table" w:customStyle="1" w:styleId="TableGrid2">
    <w:name w:val="Table Grid2"/>
    <w:basedOn w:val="TableNormal"/>
    <w:next w:val="TableGrid"/>
    <w:rsid w:val="00AB7D05"/>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paragraph">
    <w:name w:val="paragraph"/>
    <w:basedOn w:val="Normal"/>
    <w:rsid w:val="00544D78"/>
    <w:rPr>
      <w:szCs w:val="24"/>
    </w:rPr>
  </w:style>
  <w:style w:type="character" w:customStyle="1" w:styleId="normaltextrun1">
    <w:name w:val="normaltextrun1"/>
    <w:basedOn w:val="DefaultParagraphFont"/>
    <w:rsid w:val="00544D78"/>
  </w:style>
  <w:style w:type="character" w:customStyle="1" w:styleId="eop">
    <w:name w:val="eop"/>
    <w:basedOn w:val="DefaultParagraphFont"/>
    <w:rsid w:val="0054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9454">
      <w:bodyDiv w:val="1"/>
      <w:marLeft w:val="0"/>
      <w:marRight w:val="0"/>
      <w:marTop w:val="0"/>
      <w:marBottom w:val="0"/>
      <w:divBdr>
        <w:top w:val="none" w:sz="0" w:space="0" w:color="auto"/>
        <w:left w:val="none" w:sz="0" w:space="0" w:color="auto"/>
        <w:bottom w:val="none" w:sz="0" w:space="0" w:color="auto"/>
        <w:right w:val="none" w:sz="0" w:space="0" w:color="auto"/>
      </w:divBdr>
      <w:divsChild>
        <w:div w:id="530266356">
          <w:marLeft w:val="0"/>
          <w:marRight w:val="0"/>
          <w:marTop w:val="0"/>
          <w:marBottom w:val="0"/>
          <w:divBdr>
            <w:top w:val="none" w:sz="0" w:space="0" w:color="auto"/>
            <w:left w:val="none" w:sz="0" w:space="0" w:color="auto"/>
            <w:bottom w:val="none" w:sz="0" w:space="0" w:color="auto"/>
            <w:right w:val="none" w:sz="0" w:space="0" w:color="auto"/>
          </w:divBdr>
          <w:divsChild>
            <w:div w:id="26415610">
              <w:marLeft w:val="0"/>
              <w:marRight w:val="0"/>
              <w:marTop w:val="0"/>
              <w:marBottom w:val="0"/>
              <w:divBdr>
                <w:top w:val="none" w:sz="0" w:space="0" w:color="auto"/>
                <w:left w:val="none" w:sz="0" w:space="0" w:color="auto"/>
                <w:bottom w:val="none" w:sz="0" w:space="0" w:color="auto"/>
                <w:right w:val="none" w:sz="0" w:space="0" w:color="auto"/>
              </w:divBdr>
              <w:divsChild>
                <w:div w:id="850996107">
                  <w:marLeft w:val="0"/>
                  <w:marRight w:val="0"/>
                  <w:marTop w:val="0"/>
                  <w:marBottom w:val="0"/>
                  <w:divBdr>
                    <w:top w:val="none" w:sz="0" w:space="0" w:color="auto"/>
                    <w:left w:val="none" w:sz="0" w:space="0" w:color="auto"/>
                    <w:bottom w:val="none" w:sz="0" w:space="0" w:color="auto"/>
                    <w:right w:val="none" w:sz="0" w:space="0" w:color="auto"/>
                  </w:divBdr>
                  <w:divsChild>
                    <w:div w:id="603656878">
                      <w:marLeft w:val="0"/>
                      <w:marRight w:val="0"/>
                      <w:marTop w:val="0"/>
                      <w:marBottom w:val="0"/>
                      <w:divBdr>
                        <w:top w:val="none" w:sz="0" w:space="0" w:color="auto"/>
                        <w:left w:val="none" w:sz="0" w:space="0" w:color="auto"/>
                        <w:bottom w:val="none" w:sz="0" w:space="0" w:color="auto"/>
                        <w:right w:val="none" w:sz="0" w:space="0" w:color="auto"/>
                      </w:divBdr>
                      <w:divsChild>
                        <w:div w:id="1703243928">
                          <w:marLeft w:val="0"/>
                          <w:marRight w:val="0"/>
                          <w:marTop w:val="0"/>
                          <w:marBottom w:val="0"/>
                          <w:divBdr>
                            <w:top w:val="none" w:sz="0" w:space="0" w:color="auto"/>
                            <w:left w:val="none" w:sz="0" w:space="0" w:color="auto"/>
                            <w:bottom w:val="none" w:sz="0" w:space="0" w:color="auto"/>
                            <w:right w:val="none" w:sz="0" w:space="0" w:color="auto"/>
                          </w:divBdr>
                          <w:divsChild>
                            <w:div w:id="170068378">
                              <w:marLeft w:val="0"/>
                              <w:marRight w:val="0"/>
                              <w:marTop w:val="0"/>
                              <w:marBottom w:val="0"/>
                              <w:divBdr>
                                <w:top w:val="none" w:sz="0" w:space="0" w:color="auto"/>
                                <w:left w:val="none" w:sz="0" w:space="0" w:color="auto"/>
                                <w:bottom w:val="none" w:sz="0" w:space="0" w:color="auto"/>
                                <w:right w:val="none" w:sz="0" w:space="0" w:color="auto"/>
                              </w:divBdr>
                              <w:divsChild>
                                <w:div w:id="1125663415">
                                  <w:marLeft w:val="0"/>
                                  <w:marRight w:val="0"/>
                                  <w:marTop w:val="0"/>
                                  <w:marBottom w:val="0"/>
                                  <w:divBdr>
                                    <w:top w:val="none" w:sz="0" w:space="0" w:color="auto"/>
                                    <w:left w:val="none" w:sz="0" w:space="0" w:color="auto"/>
                                    <w:bottom w:val="none" w:sz="0" w:space="0" w:color="auto"/>
                                    <w:right w:val="none" w:sz="0" w:space="0" w:color="auto"/>
                                  </w:divBdr>
                                  <w:divsChild>
                                    <w:div w:id="1577321120">
                                      <w:marLeft w:val="0"/>
                                      <w:marRight w:val="0"/>
                                      <w:marTop w:val="0"/>
                                      <w:marBottom w:val="0"/>
                                      <w:divBdr>
                                        <w:top w:val="none" w:sz="0" w:space="0" w:color="auto"/>
                                        <w:left w:val="none" w:sz="0" w:space="0" w:color="auto"/>
                                        <w:bottom w:val="none" w:sz="0" w:space="0" w:color="auto"/>
                                        <w:right w:val="none" w:sz="0" w:space="0" w:color="auto"/>
                                      </w:divBdr>
                                      <w:divsChild>
                                        <w:div w:id="1100761422">
                                          <w:marLeft w:val="0"/>
                                          <w:marRight w:val="0"/>
                                          <w:marTop w:val="0"/>
                                          <w:marBottom w:val="0"/>
                                          <w:divBdr>
                                            <w:top w:val="none" w:sz="0" w:space="0" w:color="auto"/>
                                            <w:left w:val="none" w:sz="0" w:space="0" w:color="auto"/>
                                            <w:bottom w:val="none" w:sz="0" w:space="0" w:color="auto"/>
                                            <w:right w:val="none" w:sz="0" w:space="0" w:color="auto"/>
                                          </w:divBdr>
                                          <w:divsChild>
                                            <w:div w:id="89738891">
                                              <w:marLeft w:val="0"/>
                                              <w:marRight w:val="0"/>
                                              <w:marTop w:val="0"/>
                                              <w:marBottom w:val="0"/>
                                              <w:divBdr>
                                                <w:top w:val="none" w:sz="0" w:space="0" w:color="auto"/>
                                                <w:left w:val="none" w:sz="0" w:space="0" w:color="auto"/>
                                                <w:bottom w:val="none" w:sz="0" w:space="0" w:color="auto"/>
                                                <w:right w:val="none" w:sz="0" w:space="0" w:color="auto"/>
                                              </w:divBdr>
                                              <w:divsChild>
                                                <w:div w:id="1571844100">
                                                  <w:marLeft w:val="0"/>
                                                  <w:marRight w:val="0"/>
                                                  <w:marTop w:val="0"/>
                                                  <w:marBottom w:val="0"/>
                                                  <w:divBdr>
                                                    <w:top w:val="none" w:sz="0" w:space="0" w:color="auto"/>
                                                    <w:left w:val="none" w:sz="0" w:space="0" w:color="auto"/>
                                                    <w:bottom w:val="none" w:sz="0" w:space="0" w:color="auto"/>
                                                    <w:right w:val="none" w:sz="0" w:space="0" w:color="auto"/>
                                                  </w:divBdr>
                                                  <w:divsChild>
                                                    <w:div w:id="7492049">
                                                      <w:marLeft w:val="0"/>
                                                      <w:marRight w:val="0"/>
                                                      <w:marTop w:val="0"/>
                                                      <w:marBottom w:val="0"/>
                                                      <w:divBdr>
                                                        <w:top w:val="single" w:sz="6" w:space="0" w:color="ABABAB"/>
                                                        <w:left w:val="single" w:sz="6" w:space="0" w:color="ABABAB"/>
                                                        <w:bottom w:val="none" w:sz="0" w:space="0" w:color="auto"/>
                                                        <w:right w:val="single" w:sz="6" w:space="0" w:color="ABABAB"/>
                                                      </w:divBdr>
                                                      <w:divsChild>
                                                        <w:div w:id="1617247059">
                                                          <w:marLeft w:val="0"/>
                                                          <w:marRight w:val="0"/>
                                                          <w:marTop w:val="0"/>
                                                          <w:marBottom w:val="0"/>
                                                          <w:divBdr>
                                                            <w:top w:val="none" w:sz="0" w:space="0" w:color="auto"/>
                                                            <w:left w:val="none" w:sz="0" w:space="0" w:color="auto"/>
                                                            <w:bottom w:val="none" w:sz="0" w:space="0" w:color="auto"/>
                                                            <w:right w:val="none" w:sz="0" w:space="0" w:color="auto"/>
                                                          </w:divBdr>
                                                          <w:divsChild>
                                                            <w:div w:id="1307667850">
                                                              <w:marLeft w:val="0"/>
                                                              <w:marRight w:val="0"/>
                                                              <w:marTop w:val="0"/>
                                                              <w:marBottom w:val="0"/>
                                                              <w:divBdr>
                                                                <w:top w:val="none" w:sz="0" w:space="0" w:color="auto"/>
                                                                <w:left w:val="none" w:sz="0" w:space="0" w:color="auto"/>
                                                                <w:bottom w:val="none" w:sz="0" w:space="0" w:color="auto"/>
                                                                <w:right w:val="none" w:sz="0" w:space="0" w:color="auto"/>
                                                              </w:divBdr>
                                                              <w:divsChild>
                                                                <w:div w:id="251202229">
                                                                  <w:marLeft w:val="0"/>
                                                                  <w:marRight w:val="0"/>
                                                                  <w:marTop w:val="0"/>
                                                                  <w:marBottom w:val="0"/>
                                                                  <w:divBdr>
                                                                    <w:top w:val="none" w:sz="0" w:space="0" w:color="auto"/>
                                                                    <w:left w:val="none" w:sz="0" w:space="0" w:color="auto"/>
                                                                    <w:bottom w:val="none" w:sz="0" w:space="0" w:color="auto"/>
                                                                    <w:right w:val="none" w:sz="0" w:space="0" w:color="auto"/>
                                                                  </w:divBdr>
                                                                  <w:divsChild>
                                                                    <w:div w:id="613055233">
                                                                      <w:marLeft w:val="0"/>
                                                                      <w:marRight w:val="0"/>
                                                                      <w:marTop w:val="0"/>
                                                                      <w:marBottom w:val="0"/>
                                                                      <w:divBdr>
                                                                        <w:top w:val="none" w:sz="0" w:space="0" w:color="auto"/>
                                                                        <w:left w:val="none" w:sz="0" w:space="0" w:color="auto"/>
                                                                        <w:bottom w:val="none" w:sz="0" w:space="0" w:color="auto"/>
                                                                        <w:right w:val="none" w:sz="0" w:space="0" w:color="auto"/>
                                                                      </w:divBdr>
                                                                      <w:divsChild>
                                                                        <w:div w:id="812601214">
                                                                          <w:marLeft w:val="0"/>
                                                                          <w:marRight w:val="0"/>
                                                                          <w:marTop w:val="0"/>
                                                                          <w:marBottom w:val="0"/>
                                                                          <w:divBdr>
                                                                            <w:top w:val="none" w:sz="0" w:space="0" w:color="auto"/>
                                                                            <w:left w:val="none" w:sz="0" w:space="0" w:color="auto"/>
                                                                            <w:bottom w:val="none" w:sz="0" w:space="0" w:color="auto"/>
                                                                            <w:right w:val="none" w:sz="0" w:space="0" w:color="auto"/>
                                                                          </w:divBdr>
                                                                          <w:divsChild>
                                                                            <w:div w:id="1353342907">
                                                                              <w:marLeft w:val="0"/>
                                                                              <w:marRight w:val="0"/>
                                                                              <w:marTop w:val="0"/>
                                                                              <w:marBottom w:val="0"/>
                                                                              <w:divBdr>
                                                                                <w:top w:val="none" w:sz="0" w:space="0" w:color="auto"/>
                                                                                <w:left w:val="none" w:sz="0" w:space="0" w:color="auto"/>
                                                                                <w:bottom w:val="none" w:sz="0" w:space="0" w:color="auto"/>
                                                                                <w:right w:val="none" w:sz="0" w:space="0" w:color="auto"/>
                                                                              </w:divBdr>
                                                                              <w:divsChild>
                                                                                <w:div w:id="1157576178">
                                                                                  <w:marLeft w:val="0"/>
                                                                                  <w:marRight w:val="0"/>
                                                                                  <w:marTop w:val="0"/>
                                                                                  <w:marBottom w:val="0"/>
                                                                                  <w:divBdr>
                                                                                    <w:top w:val="none" w:sz="0" w:space="0" w:color="auto"/>
                                                                                    <w:left w:val="none" w:sz="0" w:space="0" w:color="auto"/>
                                                                                    <w:bottom w:val="none" w:sz="0" w:space="0" w:color="auto"/>
                                                                                    <w:right w:val="none" w:sz="0" w:space="0" w:color="auto"/>
                                                                                  </w:divBdr>
                                                                                </w:div>
                                                                                <w:div w:id="181742832">
                                                                                  <w:marLeft w:val="0"/>
                                                                                  <w:marRight w:val="0"/>
                                                                                  <w:marTop w:val="0"/>
                                                                                  <w:marBottom w:val="0"/>
                                                                                  <w:divBdr>
                                                                                    <w:top w:val="none" w:sz="0" w:space="0" w:color="auto"/>
                                                                                    <w:left w:val="none" w:sz="0" w:space="0" w:color="auto"/>
                                                                                    <w:bottom w:val="none" w:sz="0" w:space="0" w:color="auto"/>
                                                                                    <w:right w:val="none" w:sz="0" w:space="0" w:color="auto"/>
                                                                                  </w:divBdr>
                                                                                </w:div>
                                                                                <w:div w:id="925529932">
                                                                                  <w:marLeft w:val="0"/>
                                                                                  <w:marRight w:val="0"/>
                                                                                  <w:marTop w:val="0"/>
                                                                                  <w:marBottom w:val="0"/>
                                                                                  <w:divBdr>
                                                                                    <w:top w:val="none" w:sz="0" w:space="0" w:color="auto"/>
                                                                                    <w:left w:val="none" w:sz="0" w:space="0" w:color="auto"/>
                                                                                    <w:bottom w:val="none" w:sz="0" w:space="0" w:color="auto"/>
                                                                                    <w:right w:val="none" w:sz="0" w:space="0" w:color="auto"/>
                                                                                  </w:divBdr>
                                                                                  <w:divsChild>
                                                                                    <w:div w:id="838542804">
                                                                                      <w:marLeft w:val="-75"/>
                                                                                      <w:marRight w:val="0"/>
                                                                                      <w:marTop w:val="30"/>
                                                                                      <w:marBottom w:val="30"/>
                                                                                      <w:divBdr>
                                                                                        <w:top w:val="none" w:sz="0" w:space="0" w:color="auto"/>
                                                                                        <w:left w:val="none" w:sz="0" w:space="0" w:color="auto"/>
                                                                                        <w:bottom w:val="none" w:sz="0" w:space="0" w:color="auto"/>
                                                                                        <w:right w:val="none" w:sz="0" w:space="0" w:color="auto"/>
                                                                                      </w:divBdr>
                                                                                      <w:divsChild>
                                                                                        <w:div w:id="1819684692">
                                                                                          <w:marLeft w:val="0"/>
                                                                                          <w:marRight w:val="0"/>
                                                                                          <w:marTop w:val="0"/>
                                                                                          <w:marBottom w:val="0"/>
                                                                                          <w:divBdr>
                                                                                            <w:top w:val="none" w:sz="0" w:space="0" w:color="auto"/>
                                                                                            <w:left w:val="none" w:sz="0" w:space="0" w:color="auto"/>
                                                                                            <w:bottom w:val="none" w:sz="0" w:space="0" w:color="auto"/>
                                                                                            <w:right w:val="none" w:sz="0" w:space="0" w:color="auto"/>
                                                                                          </w:divBdr>
                                                                                          <w:divsChild>
                                                                                            <w:div w:id="348068872">
                                                                                              <w:marLeft w:val="0"/>
                                                                                              <w:marRight w:val="0"/>
                                                                                              <w:marTop w:val="0"/>
                                                                                              <w:marBottom w:val="0"/>
                                                                                              <w:divBdr>
                                                                                                <w:top w:val="none" w:sz="0" w:space="0" w:color="auto"/>
                                                                                                <w:left w:val="none" w:sz="0" w:space="0" w:color="auto"/>
                                                                                                <w:bottom w:val="none" w:sz="0" w:space="0" w:color="auto"/>
                                                                                                <w:right w:val="none" w:sz="0" w:space="0" w:color="auto"/>
                                                                                              </w:divBdr>
                                                                                            </w:div>
                                                                                          </w:divsChild>
                                                                                        </w:div>
                                                                                        <w:div w:id="1323585402">
                                                                                          <w:marLeft w:val="0"/>
                                                                                          <w:marRight w:val="0"/>
                                                                                          <w:marTop w:val="0"/>
                                                                                          <w:marBottom w:val="0"/>
                                                                                          <w:divBdr>
                                                                                            <w:top w:val="none" w:sz="0" w:space="0" w:color="auto"/>
                                                                                            <w:left w:val="none" w:sz="0" w:space="0" w:color="auto"/>
                                                                                            <w:bottom w:val="none" w:sz="0" w:space="0" w:color="auto"/>
                                                                                            <w:right w:val="none" w:sz="0" w:space="0" w:color="auto"/>
                                                                                          </w:divBdr>
                                                                                          <w:divsChild>
                                                                                            <w:div w:id="949968578">
                                                                                              <w:marLeft w:val="0"/>
                                                                                              <w:marRight w:val="0"/>
                                                                                              <w:marTop w:val="0"/>
                                                                                              <w:marBottom w:val="0"/>
                                                                                              <w:divBdr>
                                                                                                <w:top w:val="none" w:sz="0" w:space="0" w:color="auto"/>
                                                                                                <w:left w:val="none" w:sz="0" w:space="0" w:color="auto"/>
                                                                                                <w:bottom w:val="none" w:sz="0" w:space="0" w:color="auto"/>
                                                                                                <w:right w:val="none" w:sz="0" w:space="0" w:color="auto"/>
                                                                                              </w:divBdr>
                                                                                            </w:div>
                                                                                          </w:divsChild>
                                                                                        </w:div>
                                                                                        <w:div w:id="1991979510">
                                                                                          <w:marLeft w:val="0"/>
                                                                                          <w:marRight w:val="0"/>
                                                                                          <w:marTop w:val="0"/>
                                                                                          <w:marBottom w:val="0"/>
                                                                                          <w:divBdr>
                                                                                            <w:top w:val="none" w:sz="0" w:space="0" w:color="auto"/>
                                                                                            <w:left w:val="none" w:sz="0" w:space="0" w:color="auto"/>
                                                                                            <w:bottom w:val="none" w:sz="0" w:space="0" w:color="auto"/>
                                                                                            <w:right w:val="none" w:sz="0" w:space="0" w:color="auto"/>
                                                                                          </w:divBdr>
                                                                                          <w:divsChild>
                                                                                            <w:div w:id="406148822">
                                                                                              <w:marLeft w:val="0"/>
                                                                                              <w:marRight w:val="0"/>
                                                                                              <w:marTop w:val="0"/>
                                                                                              <w:marBottom w:val="0"/>
                                                                                              <w:divBdr>
                                                                                                <w:top w:val="none" w:sz="0" w:space="0" w:color="auto"/>
                                                                                                <w:left w:val="none" w:sz="0" w:space="0" w:color="auto"/>
                                                                                                <w:bottom w:val="none" w:sz="0" w:space="0" w:color="auto"/>
                                                                                                <w:right w:val="none" w:sz="0" w:space="0" w:color="auto"/>
                                                                                              </w:divBdr>
                                                                                            </w:div>
                                                                                          </w:divsChild>
                                                                                        </w:div>
                                                                                        <w:div w:id="1744375636">
                                                                                          <w:marLeft w:val="0"/>
                                                                                          <w:marRight w:val="0"/>
                                                                                          <w:marTop w:val="0"/>
                                                                                          <w:marBottom w:val="0"/>
                                                                                          <w:divBdr>
                                                                                            <w:top w:val="none" w:sz="0" w:space="0" w:color="auto"/>
                                                                                            <w:left w:val="none" w:sz="0" w:space="0" w:color="auto"/>
                                                                                            <w:bottom w:val="none" w:sz="0" w:space="0" w:color="auto"/>
                                                                                            <w:right w:val="none" w:sz="0" w:space="0" w:color="auto"/>
                                                                                          </w:divBdr>
                                                                                          <w:divsChild>
                                                                                            <w:div w:id="1278950463">
                                                                                              <w:marLeft w:val="0"/>
                                                                                              <w:marRight w:val="0"/>
                                                                                              <w:marTop w:val="0"/>
                                                                                              <w:marBottom w:val="0"/>
                                                                                              <w:divBdr>
                                                                                                <w:top w:val="none" w:sz="0" w:space="0" w:color="auto"/>
                                                                                                <w:left w:val="none" w:sz="0" w:space="0" w:color="auto"/>
                                                                                                <w:bottom w:val="none" w:sz="0" w:space="0" w:color="auto"/>
                                                                                                <w:right w:val="none" w:sz="0" w:space="0" w:color="auto"/>
                                                                                              </w:divBdr>
                                                                                            </w:div>
                                                                                          </w:divsChild>
                                                                                        </w:div>
                                                                                        <w:div w:id="1596010558">
                                                                                          <w:marLeft w:val="0"/>
                                                                                          <w:marRight w:val="0"/>
                                                                                          <w:marTop w:val="0"/>
                                                                                          <w:marBottom w:val="0"/>
                                                                                          <w:divBdr>
                                                                                            <w:top w:val="none" w:sz="0" w:space="0" w:color="auto"/>
                                                                                            <w:left w:val="none" w:sz="0" w:space="0" w:color="auto"/>
                                                                                            <w:bottom w:val="none" w:sz="0" w:space="0" w:color="auto"/>
                                                                                            <w:right w:val="none" w:sz="0" w:space="0" w:color="auto"/>
                                                                                          </w:divBdr>
                                                                                          <w:divsChild>
                                                                                            <w:div w:id="353306937">
                                                                                              <w:marLeft w:val="0"/>
                                                                                              <w:marRight w:val="0"/>
                                                                                              <w:marTop w:val="0"/>
                                                                                              <w:marBottom w:val="0"/>
                                                                                              <w:divBdr>
                                                                                                <w:top w:val="none" w:sz="0" w:space="0" w:color="auto"/>
                                                                                                <w:left w:val="none" w:sz="0" w:space="0" w:color="auto"/>
                                                                                                <w:bottom w:val="none" w:sz="0" w:space="0" w:color="auto"/>
                                                                                                <w:right w:val="none" w:sz="0" w:space="0" w:color="auto"/>
                                                                                              </w:divBdr>
                                                                                            </w:div>
                                                                                          </w:divsChild>
                                                                                        </w:div>
                                                                                        <w:div w:id="1846896619">
                                                                                          <w:marLeft w:val="0"/>
                                                                                          <w:marRight w:val="0"/>
                                                                                          <w:marTop w:val="0"/>
                                                                                          <w:marBottom w:val="0"/>
                                                                                          <w:divBdr>
                                                                                            <w:top w:val="none" w:sz="0" w:space="0" w:color="auto"/>
                                                                                            <w:left w:val="none" w:sz="0" w:space="0" w:color="auto"/>
                                                                                            <w:bottom w:val="none" w:sz="0" w:space="0" w:color="auto"/>
                                                                                            <w:right w:val="none" w:sz="0" w:space="0" w:color="auto"/>
                                                                                          </w:divBdr>
                                                                                          <w:divsChild>
                                                                                            <w:div w:id="1243949795">
                                                                                              <w:marLeft w:val="0"/>
                                                                                              <w:marRight w:val="0"/>
                                                                                              <w:marTop w:val="0"/>
                                                                                              <w:marBottom w:val="0"/>
                                                                                              <w:divBdr>
                                                                                                <w:top w:val="none" w:sz="0" w:space="0" w:color="auto"/>
                                                                                                <w:left w:val="none" w:sz="0" w:space="0" w:color="auto"/>
                                                                                                <w:bottom w:val="none" w:sz="0" w:space="0" w:color="auto"/>
                                                                                                <w:right w:val="none" w:sz="0" w:space="0" w:color="auto"/>
                                                                                              </w:divBdr>
                                                                                            </w:div>
                                                                                          </w:divsChild>
                                                                                        </w:div>
                                                                                        <w:div w:id="1029985119">
                                                                                          <w:marLeft w:val="0"/>
                                                                                          <w:marRight w:val="0"/>
                                                                                          <w:marTop w:val="0"/>
                                                                                          <w:marBottom w:val="0"/>
                                                                                          <w:divBdr>
                                                                                            <w:top w:val="none" w:sz="0" w:space="0" w:color="auto"/>
                                                                                            <w:left w:val="none" w:sz="0" w:space="0" w:color="auto"/>
                                                                                            <w:bottom w:val="none" w:sz="0" w:space="0" w:color="auto"/>
                                                                                            <w:right w:val="none" w:sz="0" w:space="0" w:color="auto"/>
                                                                                          </w:divBdr>
                                                                                          <w:divsChild>
                                                                                            <w:div w:id="1429883324">
                                                                                              <w:marLeft w:val="0"/>
                                                                                              <w:marRight w:val="0"/>
                                                                                              <w:marTop w:val="0"/>
                                                                                              <w:marBottom w:val="0"/>
                                                                                              <w:divBdr>
                                                                                                <w:top w:val="none" w:sz="0" w:space="0" w:color="auto"/>
                                                                                                <w:left w:val="none" w:sz="0" w:space="0" w:color="auto"/>
                                                                                                <w:bottom w:val="none" w:sz="0" w:space="0" w:color="auto"/>
                                                                                                <w:right w:val="none" w:sz="0" w:space="0" w:color="auto"/>
                                                                                              </w:divBdr>
                                                                                            </w:div>
                                                                                          </w:divsChild>
                                                                                        </w:div>
                                                                                        <w:div w:id="2119785960">
                                                                                          <w:marLeft w:val="0"/>
                                                                                          <w:marRight w:val="0"/>
                                                                                          <w:marTop w:val="0"/>
                                                                                          <w:marBottom w:val="0"/>
                                                                                          <w:divBdr>
                                                                                            <w:top w:val="none" w:sz="0" w:space="0" w:color="auto"/>
                                                                                            <w:left w:val="none" w:sz="0" w:space="0" w:color="auto"/>
                                                                                            <w:bottom w:val="none" w:sz="0" w:space="0" w:color="auto"/>
                                                                                            <w:right w:val="none" w:sz="0" w:space="0" w:color="auto"/>
                                                                                          </w:divBdr>
                                                                                          <w:divsChild>
                                                                                            <w:div w:id="2023235423">
                                                                                              <w:marLeft w:val="0"/>
                                                                                              <w:marRight w:val="0"/>
                                                                                              <w:marTop w:val="0"/>
                                                                                              <w:marBottom w:val="0"/>
                                                                                              <w:divBdr>
                                                                                                <w:top w:val="none" w:sz="0" w:space="0" w:color="auto"/>
                                                                                                <w:left w:val="none" w:sz="0" w:space="0" w:color="auto"/>
                                                                                                <w:bottom w:val="none" w:sz="0" w:space="0" w:color="auto"/>
                                                                                                <w:right w:val="none" w:sz="0" w:space="0" w:color="auto"/>
                                                                                              </w:divBdr>
                                                                                            </w:div>
                                                                                          </w:divsChild>
                                                                                        </w:div>
                                                                                        <w:div w:id="1021278179">
                                                                                          <w:marLeft w:val="0"/>
                                                                                          <w:marRight w:val="0"/>
                                                                                          <w:marTop w:val="0"/>
                                                                                          <w:marBottom w:val="0"/>
                                                                                          <w:divBdr>
                                                                                            <w:top w:val="none" w:sz="0" w:space="0" w:color="auto"/>
                                                                                            <w:left w:val="none" w:sz="0" w:space="0" w:color="auto"/>
                                                                                            <w:bottom w:val="none" w:sz="0" w:space="0" w:color="auto"/>
                                                                                            <w:right w:val="none" w:sz="0" w:space="0" w:color="auto"/>
                                                                                          </w:divBdr>
                                                                                          <w:divsChild>
                                                                                            <w:div w:id="833566412">
                                                                                              <w:marLeft w:val="0"/>
                                                                                              <w:marRight w:val="0"/>
                                                                                              <w:marTop w:val="0"/>
                                                                                              <w:marBottom w:val="0"/>
                                                                                              <w:divBdr>
                                                                                                <w:top w:val="none" w:sz="0" w:space="0" w:color="auto"/>
                                                                                                <w:left w:val="none" w:sz="0" w:space="0" w:color="auto"/>
                                                                                                <w:bottom w:val="none" w:sz="0" w:space="0" w:color="auto"/>
                                                                                                <w:right w:val="none" w:sz="0" w:space="0" w:color="auto"/>
                                                                                              </w:divBdr>
                                                                                            </w:div>
                                                                                          </w:divsChild>
                                                                                        </w:div>
                                                                                        <w:div w:id="421991372">
                                                                                          <w:marLeft w:val="0"/>
                                                                                          <w:marRight w:val="0"/>
                                                                                          <w:marTop w:val="0"/>
                                                                                          <w:marBottom w:val="0"/>
                                                                                          <w:divBdr>
                                                                                            <w:top w:val="none" w:sz="0" w:space="0" w:color="auto"/>
                                                                                            <w:left w:val="none" w:sz="0" w:space="0" w:color="auto"/>
                                                                                            <w:bottom w:val="none" w:sz="0" w:space="0" w:color="auto"/>
                                                                                            <w:right w:val="none" w:sz="0" w:space="0" w:color="auto"/>
                                                                                          </w:divBdr>
                                                                                          <w:divsChild>
                                                                                            <w:div w:id="1745031753">
                                                                                              <w:marLeft w:val="0"/>
                                                                                              <w:marRight w:val="0"/>
                                                                                              <w:marTop w:val="0"/>
                                                                                              <w:marBottom w:val="0"/>
                                                                                              <w:divBdr>
                                                                                                <w:top w:val="none" w:sz="0" w:space="0" w:color="auto"/>
                                                                                                <w:left w:val="none" w:sz="0" w:space="0" w:color="auto"/>
                                                                                                <w:bottom w:val="none" w:sz="0" w:space="0" w:color="auto"/>
                                                                                                <w:right w:val="none" w:sz="0" w:space="0" w:color="auto"/>
                                                                                              </w:divBdr>
                                                                                            </w:div>
                                                                                          </w:divsChild>
                                                                                        </w:div>
                                                                                        <w:div w:id="105975821">
                                                                                          <w:marLeft w:val="0"/>
                                                                                          <w:marRight w:val="0"/>
                                                                                          <w:marTop w:val="0"/>
                                                                                          <w:marBottom w:val="0"/>
                                                                                          <w:divBdr>
                                                                                            <w:top w:val="none" w:sz="0" w:space="0" w:color="auto"/>
                                                                                            <w:left w:val="none" w:sz="0" w:space="0" w:color="auto"/>
                                                                                            <w:bottom w:val="none" w:sz="0" w:space="0" w:color="auto"/>
                                                                                            <w:right w:val="none" w:sz="0" w:space="0" w:color="auto"/>
                                                                                          </w:divBdr>
                                                                                          <w:divsChild>
                                                                                            <w:div w:id="324863714">
                                                                                              <w:marLeft w:val="0"/>
                                                                                              <w:marRight w:val="0"/>
                                                                                              <w:marTop w:val="0"/>
                                                                                              <w:marBottom w:val="0"/>
                                                                                              <w:divBdr>
                                                                                                <w:top w:val="none" w:sz="0" w:space="0" w:color="auto"/>
                                                                                                <w:left w:val="none" w:sz="0" w:space="0" w:color="auto"/>
                                                                                                <w:bottom w:val="none" w:sz="0" w:space="0" w:color="auto"/>
                                                                                                <w:right w:val="none" w:sz="0" w:space="0" w:color="auto"/>
                                                                                              </w:divBdr>
                                                                                            </w:div>
                                                                                          </w:divsChild>
                                                                                        </w:div>
                                                                                        <w:div w:id="1577671127">
                                                                                          <w:marLeft w:val="0"/>
                                                                                          <w:marRight w:val="0"/>
                                                                                          <w:marTop w:val="0"/>
                                                                                          <w:marBottom w:val="0"/>
                                                                                          <w:divBdr>
                                                                                            <w:top w:val="none" w:sz="0" w:space="0" w:color="auto"/>
                                                                                            <w:left w:val="none" w:sz="0" w:space="0" w:color="auto"/>
                                                                                            <w:bottom w:val="none" w:sz="0" w:space="0" w:color="auto"/>
                                                                                            <w:right w:val="none" w:sz="0" w:space="0" w:color="auto"/>
                                                                                          </w:divBdr>
                                                                                          <w:divsChild>
                                                                                            <w:div w:id="1479228743">
                                                                                              <w:marLeft w:val="0"/>
                                                                                              <w:marRight w:val="0"/>
                                                                                              <w:marTop w:val="0"/>
                                                                                              <w:marBottom w:val="0"/>
                                                                                              <w:divBdr>
                                                                                                <w:top w:val="none" w:sz="0" w:space="0" w:color="auto"/>
                                                                                                <w:left w:val="none" w:sz="0" w:space="0" w:color="auto"/>
                                                                                                <w:bottom w:val="none" w:sz="0" w:space="0" w:color="auto"/>
                                                                                                <w:right w:val="none" w:sz="0" w:space="0" w:color="auto"/>
                                                                                              </w:divBdr>
                                                                                            </w:div>
                                                                                          </w:divsChild>
                                                                                        </w:div>
                                                                                        <w:div w:id="1250310015">
                                                                                          <w:marLeft w:val="0"/>
                                                                                          <w:marRight w:val="0"/>
                                                                                          <w:marTop w:val="0"/>
                                                                                          <w:marBottom w:val="0"/>
                                                                                          <w:divBdr>
                                                                                            <w:top w:val="none" w:sz="0" w:space="0" w:color="auto"/>
                                                                                            <w:left w:val="none" w:sz="0" w:space="0" w:color="auto"/>
                                                                                            <w:bottom w:val="none" w:sz="0" w:space="0" w:color="auto"/>
                                                                                            <w:right w:val="none" w:sz="0" w:space="0" w:color="auto"/>
                                                                                          </w:divBdr>
                                                                                          <w:divsChild>
                                                                                            <w:div w:id="901646475">
                                                                                              <w:marLeft w:val="0"/>
                                                                                              <w:marRight w:val="0"/>
                                                                                              <w:marTop w:val="0"/>
                                                                                              <w:marBottom w:val="0"/>
                                                                                              <w:divBdr>
                                                                                                <w:top w:val="none" w:sz="0" w:space="0" w:color="auto"/>
                                                                                                <w:left w:val="none" w:sz="0" w:space="0" w:color="auto"/>
                                                                                                <w:bottom w:val="none" w:sz="0" w:space="0" w:color="auto"/>
                                                                                                <w:right w:val="none" w:sz="0" w:space="0" w:color="auto"/>
                                                                                              </w:divBdr>
                                                                                            </w:div>
                                                                                          </w:divsChild>
                                                                                        </w:div>
                                                                                        <w:div w:id="15156954">
                                                                                          <w:marLeft w:val="0"/>
                                                                                          <w:marRight w:val="0"/>
                                                                                          <w:marTop w:val="0"/>
                                                                                          <w:marBottom w:val="0"/>
                                                                                          <w:divBdr>
                                                                                            <w:top w:val="none" w:sz="0" w:space="0" w:color="auto"/>
                                                                                            <w:left w:val="none" w:sz="0" w:space="0" w:color="auto"/>
                                                                                            <w:bottom w:val="none" w:sz="0" w:space="0" w:color="auto"/>
                                                                                            <w:right w:val="none" w:sz="0" w:space="0" w:color="auto"/>
                                                                                          </w:divBdr>
                                                                                          <w:divsChild>
                                                                                            <w:div w:id="189268618">
                                                                                              <w:marLeft w:val="0"/>
                                                                                              <w:marRight w:val="0"/>
                                                                                              <w:marTop w:val="0"/>
                                                                                              <w:marBottom w:val="0"/>
                                                                                              <w:divBdr>
                                                                                                <w:top w:val="none" w:sz="0" w:space="0" w:color="auto"/>
                                                                                                <w:left w:val="none" w:sz="0" w:space="0" w:color="auto"/>
                                                                                                <w:bottom w:val="none" w:sz="0" w:space="0" w:color="auto"/>
                                                                                                <w:right w:val="none" w:sz="0" w:space="0" w:color="auto"/>
                                                                                              </w:divBdr>
                                                                                            </w:div>
                                                                                          </w:divsChild>
                                                                                        </w:div>
                                                                                        <w:div w:id="569774714">
                                                                                          <w:marLeft w:val="0"/>
                                                                                          <w:marRight w:val="0"/>
                                                                                          <w:marTop w:val="0"/>
                                                                                          <w:marBottom w:val="0"/>
                                                                                          <w:divBdr>
                                                                                            <w:top w:val="none" w:sz="0" w:space="0" w:color="auto"/>
                                                                                            <w:left w:val="none" w:sz="0" w:space="0" w:color="auto"/>
                                                                                            <w:bottom w:val="none" w:sz="0" w:space="0" w:color="auto"/>
                                                                                            <w:right w:val="none" w:sz="0" w:space="0" w:color="auto"/>
                                                                                          </w:divBdr>
                                                                                          <w:divsChild>
                                                                                            <w:div w:id="615602783">
                                                                                              <w:marLeft w:val="0"/>
                                                                                              <w:marRight w:val="0"/>
                                                                                              <w:marTop w:val="0"/>
                                                                                              <w:marBottom w:val="0"/>
                                                                                              <w:divBdr>
                                                                                                <w:top w:val="none" w:sz="0" w:space="0" w:color="auto"/>
                                                                                                <w:left w:val="none" w:sz="0" w:space="0" w:color="auto"/>
                                                                                                <w:bottom w:val="none" w:sz="0" w:space="0" w:color="auto"/>
                                                                                                <w:right w:val="none" w:sz="0" w:space="0" w:color="auto"/>
                                                                                              </w:divBdr>
                                                                                            </w:div>
                                                                                          </w:divsChild>
                                                                                        </w:div>
                                                                                        <w:div w:id="1419791517">
                                                                                          <w:marLeft w:val="0"/>
                                                                                          <w:marRight w:val="0"/>
                                                                                          <w:marTop w:val="0"/>
                                                                                          <w:marBottom w:val="0"/>
                                                                                          <w:divBdr>
                                                                                            <w:top w:val="none" w:sz="0" w:space="0" w:color="auto"/>
                                                                                            <w:left w:val="none" w:sz="0" w:space="0" w:color="auto"/>
                                                                                            <w:bottom w:val="none" w:sz="0" w:space="0" w:color="auto"/>
                                                                                            <w:right w:val="none" w:sz="0" w:space="0" w:color="auto"/>
                                                                                          </w:divBdr>
                                                                                          <w:divsChild>
                                                                                            <w:div w:id="1747222159">
                                                                                              <w:marLeft w:val="0"/>
                                                                                              <w:marRight w:val="0"/>
                                                                                              <w:marTop w:val="0"/>
                                                                                              <w:marBottom w:val="0"/>
                                                                                              <w:divBdr>
                                                                                                <w:top w:val="none" w:sz="0" w:space="0" w:color="auto"/>
                                                                                                <w:left w:val="none" w:sz="0" w:space="0" w:color="auto"/>
                                                                                                <w:bottom w:val="none" w:sz="0" w:space="0" w:color="auto"/>
                                                                                                <w:right w:val="none" w:sz="0" w:space="0" w:color="auto"/>
                                                                                              </w:divBdr>
                                                                                            </w:div>
                                                                                          </w:divsChild>
                                                                                        </w:div>
                                                                                        <w:div w:id="428888900">
                                                                                          <w:marLeft w:val="0"/>
                                                                                          <w:marRight w:val="0"/>
                                                                                          <w:marTop w:val="0"/>
                                                                                          <w:marBottom w:val="0"/>
                                                                                          <w:divBdr>
                                                                                            <w:top w:val="none" w:sz="0" w:space="0" w:color="auto"/>
                                                                                            <w:left w:val="none" w:sz="0" w:space="0" w:color="auto"/>
                                                                                            <w:bottom w:val="none" w:sz="0" w:space="0" w:color="auto"/>
                                                                                            <w:right w:val="none" w:sz="0" w:space="0" w:color="auto"/>
                                                                                          </w:divBdr>
                                                                                          <w:divsChild>
                                                                                            <w:div w:id="1357541428">
                                                                                              <w:marLeft w:val="0"/>
                                                                                              <w:marRight w:val="0"/>
                                                                                              <w:marTop w:val="0"/>
                                                                                              <w:marBottom w:val="0"/>
                                                                                              <w:divBdr>
                                                                                                <w:top w:val="none" w:sz="0" w:space="0" w:color="auto"/>
                                                                                                <w:left w:val="none" w:sz="0" w:space="0" w:color="auto"/>
                                                                                                <w:bottom w:val="none" w:sz="0" w:space="0" w:color="auto"/>
                                                                                                <w:right w:val="none" w:sz="0" w:space="0" w:color="auto"/>
                                                                                              </w:divBdr>
                                                                                            </w:div>
                                                                                          </w:divsChild>
                                                                                        </w:div>
                                                                                        <w:div w:id="1423991333">
                                                                                          <w:marLeft w:val="0"/>
                                                                                          <w:marRight w:val="0"/>
                                                                                          <w:marTop w:val="0"/>
                                                                                          <w:marBottom w:val="0"/>
                                                                                          <w:divBdr>
                                                                                            <w:top w:val="none" w:sz="0" w:space="0" w:color="auto"/>
                                                                                            <w:left w:val="none" w:sz="0" w:space="0" w:color="auto"/>
                                                                                            <w:bottom w:val="none" w:sz="0" w:space="0" w:color="auto"/>
                                                                                            <w:right w:val="none" w:sz="0" w:space="0" w:color="auto"/>
                                                                                          </w:divBdr>
                                                                                          <w:divsChild>
                                                                                            <w:div w:id="1809202129">
                                                                                              <w:marLeft w:val="0"/>
                                                                                              <w:marRight w:val="0"/>
                                                                                              <w:marTop w:val="0"/>
                                                                                              <w:marBottom w:val="0"/>
                                                                                              <w:divBdr>
                                                                                                <w:top w:val="none" w:sz="0" w:space="0" w:color="auto"/>
                                                                                                <w:left w:val="none" w:sz="0" w:space="0" w:color="auto"/>
                                                                                                <w:bottom w:val="none" w:sz="0" w:space="0" w:color="auto"/>
                                                                                                <w:right w:val="none" w:sz="0" w:space="0" w:color="auto"/>
                                                                                              </w:divBdr>
                                                                                            </w:div>
                                                                                          </w:divsChild>
                                                                                        </w:div>
                                                                                        <w:div w:id="1913153360">
                                                                                          <w:marLeft w:val="0"/>
                                                                                          <w:marRight w:val="0"/>
                                                                                          <w:marTop w:val="0"/>
                                                                                          <w:marBottom w:val="0"/>
                                                                                          <w:divBdr>
                                                                                            <w:top w:val="none" w:sz="0" w:space="0" w:color="auto"/>
                                                                                            <w:left w:val="none" w:sz="0" w:space="0" w:color="auto"/>
                                                                                            <w:bottom w:val="none" w:sz="0" w:space="0" w:color="auto"/>
                                                                                            <w:right w:val="none" w:sz="0" w:space="0" w:color="auto"/>
                                                                                          </w:divBdr>
                                                                                          <w:divsChild>
                                                                                            <w:div w:id="1394352527">
                                                                                              <w:marLeft w:val="0"/>
                                                                                              <w:marRight w:val="0"/>
                                                                                              <w:marTop w:val="0"/>
                                                                                              <w:marBottom w:val="0"/>
                                                                                              <w:divBdr>
                                                                                                <w:top w:val="none" w:sz="0" w:space="0" w:color="auto"/>
                                                                                                <w:left w:val="none" w:sz="0" w:space="0" w:color="auto"/>
                                                                                                <w:bottom w:val="none" w:sz="0" w:space="0" w:color="auto"/>
                                                                                                <w:right w:val="none" w:sz="0" w:space="0" w:color="auto"/>
                                                                                              </w:divBdr>
                                                                                            </w:div>
                                                                                          </w:divsChild>
                                                                                        </w:div>
                                                                                        <w:div w:id="1075904865">
                                                                                          <w:marLeft w:val="0"/>
                                                                                          <w:marRight w:val="0"/>
                                                                                          <w:marTop w:val="0"/>
                                                                                          <w:marBottom w:val="0"/>
                                                                                          <w:divBdr>
                                                                                            <w:top w:val="none" w:sz="0" w:space="0" w:color="auto"/>
                                                                                            <w:left w:val="none" w:sz="0" w:space="0" w:color="auto"/>
                                                                                            <w:bottom w:val="none" w:sz="0" w:space="0" w:color="auto"/>
                                                                                            <w:right w:val="none" w:sz="0" w:space="0" w:color="auto"/>
                                                                                          </w:divBdr>
                                                                                          <w:divsChild>
                                                                                            <w:div w:id="3870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1035">
                                                                                  <w:marLeft w:val="0"/>
                                                                                  <w:marRight w:val="0"/>
                                                                                  <w:marTop w:val="0"/>
                                                                                  <w:marBottom w:val="0"/>
                                                                                  <w:divBdr>
                                                                                    <w:top w:val="none" w:sz="0" w:space="0" w:color="auto"/>
                                                                                    <w:left w:val="none" w:sz="0" w:space="0" w:color="auto"/>
                                                                                    <w:bottom w:val="none" w:sz="0" w:space="0" w:color="auto"/>
                                                                                    <w:right w:val="none" w:sz="0" w:space="0" w:color="auto"/>
                                                                                  </w:divBdr>
                                                                                </w:div>
                                                                                <w:div w:id="9650709">
                                                                                  <w:marLeft w:val="0"/>
                                                                                  <w:marRight w:val="0"/>
                                                                                  <w:marTop w:val="0"/>
                                                                                  <w:marBottom w:val="0"/>
                                                                                  <w:divBdr>
                                                                                    <w:top w:val="none" w:sz="0" w:space="0" w:color="auto"/>
                                                                                    <w:left w:val="none" w:sz="0" w:space="0" w:color="auto"/>
                                                                                    <w:bottom w:val="none" w:sz="0" w:space="0" w:color="auto"/>
                                                                                    <w:right w:val="none" w:sz="0" w:space="0" w:color="auto"/>
                                                                                  </w:divBdr>
                                                                                </w:div>
                                                                                <w:div w:id="1127578697">
                                                                                  <w:marLeft w:val="0"/>
                                                                                  <w:marRight w:val="0"/>
                                                                                  <w:marTop w:val="0"/>
                                                                                  <w:marBottom w:val="0"/>
                                                                                  <w:divBdr>
                                                                                    <w:top w:val="none" w:sz="0" w:space="0" w:color="auto"/>
                                                                                    <w:left w:val="none" w:sz="0" w:space="0" w:color="auto"/>
                                                                                    <w:bottom w:val="none" w:sz="0" w:space="0" w:color="auto"/>
                                                                                    <w:right w:val="none" w:sz="0" w:space="0" w:color="auto"/>
                                                                                  </w:divBdr>
                                                                                </w:div>
                                                                                <w:div w:id="7313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64289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9874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t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t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05AE-70DF-411D-B2FF-1F0568A3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6950</Words>
  <Characters>42810</Characters>
  <Application>Microsoft Office Word</Application>
  <DocSecurity>0</DocSecurity>
  <Lines>356</Lines>
  <Paragraphs>99</Paragraphs>
  <ScaleCrop>false</ScaleCrop>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2019-11-05T22:23:00Z</dcterms:created>
  <dcterms:modified xsi:type="dcterms:W3CDTF">2019-11-05T22:23:00Z</dcterms:modified>
</cp:coreProperties>
</file>