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F1647D">
        <w:rPr>
          <w:rFonts w:ascii="Arial" w:hAnsi="Arial" w:cs="Arial"/>
          <w:b/>
          <w:sz w:val="52"/>
          <w:szCs w:val="52"/>
        </w:rPr>
        <w:t xml:space="preserve">1525 - </w:t>
      </w:r>
      <w:r w:rsidR="00F1647D" w:rsidRPr="00F1647D">
        <w:rPr>
          <w:rFonts w:ascii="Arial" w:hAnsi="Arial" w:cs="Arial"/>
          <w:b/>
          <w:sz w:val="52"/>
          <w:szCs w:val="52"/>
        </w:rPr>
        <w:t>Low dose rate (LDR) brachytherapy for intermediate and high-risk prostate cancer</w:t>
      </w:r>
      <w:bookmarkStart w:id="0" w:name="_GoBack"/>
      <w:bookmarkEnd w:id="0"/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647D">
        <w:rPr>
          <w:b w:val="0"/>
        </w:rPr>
      </w:r>
      <w:r w:rsidR="00F1647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1647D" w:rsidRPr="00F1647D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1647D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2018-01-23T05:23:00Z</dcterms:created>
  <dcterms:modified xsi:type="dcterms:W3CDTF">2018-01-23T05:23:00Z</dcterms:modified>
</cp:coreProperties>
</file>