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19BBC43" wp14:editId="6E920BB0">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1032C1">
        <w:rPr>
          <w:rFonts w:ascii="Arial" w:hAnsi="Arial" w:cs="Arial"/>
          <w:b/>
          <w:bCs/>
          <w:i/>
          <w:color w:val="000080"/>
          <w:sz w:val="28"/>
          <w:szCs w:val="28"/>
        </w:rPr>
        <w:t>13</w:t>
      </w:r>
      <w:r w:rsidR="00BB101F">
        <w:rPr>
          <w:rFonts w:ascii="Arial" w:hAnsi="Arial" w:cs="Arial"/>
          <w:b/>
          <w:bCs/>
          <w:i/>
          <w:color w:val="000080"/>
          <w:sz w:val="28"/>
          <w:szCs w:val="28"/>
        </w:rPr>
        <w:t xml:space="preserve">98 – Implantation of a permanent leadless and </w:t>
      </w:r>
      <w:proofErr w:type="spellStart"/>
      <w:r w:rsidR="00BB101F">
        <w:rPr>
          <w:rFonts w:ascii="Arial" w:hAnsi="Arial" w:cs="Arial"/>
          <w:b/>
          <w:bCs/>
          <w:i/>
          <w:color w:val="000080"/>
          <w:sz w:val="28"/>
          <w:szCs w:val="28"/>
        </w:rPr>
        <w:t>batteryless</w:t>
      </w:r>
      <w:proofErr w:type="spellEnd"/>
      <w:r w:rsidR="00BB101F">
        <w:rPr>
          <w:rFonts w:ascii="Arial" w:hAnsi="Arial" w:cs="Arial"/>
          <w:b/>
          <w:bCs/>
          <w:i/>
          <w:color w:val="000080"/>
          <w:sz w:val="28"/>
          <w:szCs w:val="28"/>
        </w:rPr>
        <w:t xml:space="preserve"> haemodynamic sensor and associated remote analysis of pulmonary artery pressure for patients with moderate chronic heart failure (New York Heart Association class III)</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35595" w:rsidP="000B17FC">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proofErr w:type="spellStart"/>
      <w:r w:rsidR="00BB101F" w:rsidRPr="00BB101F">
        <w:rPr>
          <w:rFonts w:ascii="Arial" w:hAnsi="Arial" w:cs="Arial"/>
          <w:b/>
          <w:szCs w:val="24"/>
        </w:rPr>
        <w:t>Optum</w:t>
      </w:r>
      <w:proofErr w:type="spellEnd"/>
      <w:r w:rsidR="00BB101F" w:rsidRPr="00BB101F">
        <w:rPr>
          <w:rFonts w:ascii="Arial" w:hAnsi="Arial" w:cs="Arial"/>
          <w:b/>
          <w:szCs w:val="24"/>
        </w:rPr>
        <w:t xml:space="preserve"> on behalf of</w:t>
      </w:r>
      <w:r w:rsidR="004B4966">
        <w:rPr>
          <w:rFonts w:ascii="Arial" w:hAnsi="Arial" w:cs="Arial"/>
          <w:b/>
          <w:szCs w:val="24"/>
        </w:rPr>
        <w:t xml:space="preserve"> St. </w:t>
      </w:r>
      <w:proofErr w:type="spellStart"/>
      <w:r w:rsidR="004B4966">
        <w:rPr>
          <w:rFonts w:ascii="Arial" w:hAnsi="Arial" w:cs="Arial"/>
          <w:b/>
          <w:szCs w:val="24"/>
        </w:rPr>
        <w:t>Judes</w:t>
      </w:r>
      <w:proofErr w:type="spellEnd"/>
      <w:r w:rsidR="004B4966">
        <w:rPr>
          <w:rFonts w:ascii="Arial" w:hAnsi="Arial" w:cs="Arial"/>
          <w:b/>
          <w:szCs w:val="24"/>
        </w:rPr>
        <w:t xml:space="preserve"> Medical Australia</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B17FC">
        <w:rPr>
          <w:rFonts w:ascii="Arial" w:hAnsi="Arial" w:cs="Arial"/>
          <w:b/>
          <w:szCs w:val="24"/>
        </w:rPr>
        <w:t>5th</w:t>
      </w:r>
      <w:r w:rsidRPr="00D90A38">
        <w:rPr>
          <w:rFonts w:ascii="Arial" w:hAnsi="Arial" w:cs="Arial"/>
          <w:b/>
          <w:szCs w:val="24"/>
        </w:rPr>
        <w:t xml:space="preserve"> Meeting, </w:t>
      </w:r>
      <w:r w:rsidR="00B35595">
        <w:rPr>
          <w:rFonts w:ascii="Arial" w:hAnsi="Arial" w:cs="Arial"/>
          <w:b/>
          <w:szCs w:val="24"/>
        </w:rPr>
        <w:t>26 November 201</w:t>
      </w:r>
      <w:r w:rsidR="000B17FC">
        <w:rPr>
          <w:rFonts w:ascii="Arial" w:hAnsi="Arial" w:cs="Arial"/>
          <w:b/>
          <w:szCs w:val="24"/>
        </w:rPr>
        <w:t>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Link to Medical Services Advisory Committee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AB52F0" w:rsidRPr="004B4966" w:rsidRDefault="00AB52F0" w:rsidP="00AB52F0">
      <w:pPr>
        <w:tabs>
          <w:tab w:val="left" w:pos="720"/>
          <w:tab w:val="left" w:pos="1140"/>
        </w:tabs>
        <w:rPr>
          <w:bCs/>
          <w:szCs w:val="24"/>
        </w:rPr>
      </w:pPr>
    </w:p>
    <w:p w:rsidR="00A73B98" w:rsidRDefault="00A73B98" w:rsidP="00A73B98">
      <w:r w:rsidRPr="00FF1CF7">
        <w:t xml:space="preserve">A </w:t>
      </w:r>
      <w:r w:rsidR="004B4966">
        <w:t>submission-based assessment r</w:t>
      </w:r>
      <w:r>
        <w:t xml:space="preserve">eport (the </w:t>
      </w:r>
      <w:r w:rsidR="004B4966">
        <w:t>application</w:t>
      </w:r>
      <w:r>
        <w:t xml:space="preserve">) </w:t>
      </w:r>
      <w:r w:rsidRPr="00FF1CF7">
        <w:t>requesting Medicare Benefits Schedule (MBS) listing of a wireless pulmonary artery pressure sensor for patients with moderate chronic heart failure was received from St. Jude Medical Australia Pty Ltd by the Dep</w:t>
      </w:r>
      <w:r w:rsidR="004B4966">
        <w:t>artment of Health in June 2015.</w:t>
      </w:r>
    </w:p>
    <w:p w:rsidR="00AB52F0" w:rsidRPr="004B4966" w:rsidRDefault="00AB52F0" w:rsidP="004B4966">
      <w:pPr>
        <w:tabs>
          <w:tab w:val="left" w:pos="720"/>
          <w:tab w:val="left" w:pos="1140"/>
        </w:tabs>
        <w:rPr>
          <w:bCs/>
          <w:szCs w:val="24"/>
        </w:rPr>
      </w:pPr>
    </w:p>
    <w:p w:rsidR="00E977EE" w:rsidRDefault="00E977EE" w:rsidP="00E977EE">
      <w:pPr>
        <w:pStyle w:val="Heading1"/>
        <w:numPr>
          <w:ilvl w:val="0"/>
          <w:numId w:val="23"/>
        </w:numPr>
        <w:ind w:hanging="720"/>
      </w:pPr>
      <w:r w:rsidRPr="008D5885">
        <w:t>MSAC’s advice to the Minister</w:t>
      </w:r>
    </w:p>
    <w:p w:rsidR="00E977EE" w:rsidRPr="004B4966" w:rsidRDefault="00E977EE" w:rsidP="00E977EE">
      <w:pPr>
        <w:tabs>
          <w:tab w:val="left" w:pos="720"/>
        </w:tabs>
        <w:ind w:left="709" w:hanging="709"/>
        <w:rPr>
          <w:szCs w:val="24"/>
        </w:rPr>
      </w:pPr>
    </w:p>
    <w:p w:rsidR="00AC61E3" w:rsidRDefault="00AC61E3" w:rsidP="00AC61E3">
      <w:r>
        <w:t xml:space="preserve">After considering the available evidence in relation to safety, clinical effectiveness and cost-effectiveness, MSAC deferred its advice for public funding for a permanent leadless and </w:t>
      </w:r>
      <w:proofErr w:type="spellStart"/>
      <w:r>
        <w:t>batteryless</w:t>
      </w:r>
      <w:proofErr w:type="spellEnd"/>
      <w:r>
        <w:t xml:space="preserve"> haemodynamic sensor and associated remote analysis of pulmonary artery pressure for patients with moderate chronic heart failure (NYHA class III) for at least 3 months regardless of ejection fraction, a stable and optimised medication regimen, and a heart failure-related hospitalisation within the previous 12 months.</w:t>
      </w:r>
    </w:p>
    <w:p w:rsidR="00AC61E3" w:rsidRDefault="00AC61E3" w:rsidP="00AC61E3"/>
    <w:p w:rsidR="00AC61E3" w:rsidRDefault="00AC61E3" w:rsidP="00AC61E3">
      <w:r>
        <w:t xml:space="preserve">MSAC recommended reconsideration of the application via </w:t>
      </w:r>
      <w:r w:rsidR="009B5FEF">
        <w:t xml:space="preserve">the </w:t>
      </w:r>
      <w:r>
        <w:t>E</w:t>
      </w:r>
      <w:r w:rsidR="00B35879">
        <w:t xml:space="preserve">valuation </w:t>
      </w:r>
      <w:r>
        <w:t>S</w:t>
      </w:r>
      <w:r w:rsidR="00B35879">
        <w:t xml:space="preserve">ub-Committee (ESC) </w:t>
      </w:r>
      <w:r>
        <w:t xml:space="preserve">after </w:t>
      </w:r>
      <w:r w:rsidR="00615F73">
        <w:t xml:space="preserve">the </w:t>
      </w:r>
      <w:r>
        <w:t xml:space="preserve">Prostheses List Advisory Committee (PLAC) </w:t>
      </w:r>
      <w:r w:rsidR="00615F73">
        <w:t xml:space="preserve">has </w:t>
      </w:r>
      <w:r>
        <w:t>review</w:t>
      </w:r>
      <w:r w:rsidR="00615F73">
        <w:t>ed</w:t>
      </w:r>
      <w:r>
        <w:t xml:space="preserve"> the </w:t>
      </w:r>
      <w:r w:rsidR="00615F73">
        <w:t xml:space="preserve">recommendation of the </w:t>
      </w:r>
      <w:r w:rsidRPr="003B4BE3">
        <w:t xml:space="preserve">Cardiac Prostheses Clinical Advisory Group </w:t>
      </w:r>
      <w:r>
        <w:t xml:space="preserve">(CPCAG) </w:t>
      </w:r>
      <w:r w:rsidR="00615F73">
        <w:t xml:space="preserve">to </w:t>
      </w:r>
      <w:r>
        <w:t>not support inclusion of the device in the Prostheses List, and when economic analyses have been re-evaluated and the patient selection has been clearly delineated.</w:t>
      </w:r>
    </w:p>
    <w:p w:rsidR="00E977EE" w:rsidRPr="004B4966" w:rsidRDefault="00E977EE" w:rsidP="004B4966">
      <w:pPr>
        <w:pStyle w:val="Default"/>
        <w:rPr>
          <w:color w:val="auto"/>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AC61E3" w:rsidRDefault="00AC61E3" w:rsidP="00AC61E3">
      <w:r>
        <w:t>MSAC considered the</w:t>
      </w:r>
      <w:r w:rsidRPr="00EA6D7C">
        <w:t xml:space="preserve"> application for</w:t>
      </w:r>
      <w:r>
        <w:t xml:space="preserve"> a leadless and </w:t>
      </w:r>
      <w:proofErr w:type="spellStart"/>
      <w:r>
        <w:t>batteryless</w:t>
      </w:r>
      <w:proofErr w:type="spellEnd"/>
      <w:r>
        <w:t xml:space="preserve"> pulmonary artery pressure sensor for patients with moderate chronic heart failure (NYHA III). MSAC agreed that a </w:t>
      </w:r>
      <w:r>
        <w:lastRenderedPageBreak/>
        <w:t>clinical need for the device was established with this patient population still experiencing moderate symptoms and remaining at 10-15% risk of death within a year despite optimal care.</w:t>
      </w:r>
    </w:p>
    <w:p w:rsidR="00AC61E3" w:rsidRDefault="00AC61E3" w:rsidP="00AC61E3"/>
    <w:p w:rsidR="00AC61E3" w:rsidRDefault="00AC61E3" w:rsidP="00AC61E3">
      <w:r>
        <w:t>Issues with the descriptor were identified that require clarification:</w:t>
      </w:r>
    </w:p>
    <w:p w:rsidR="00AC61E3" w:rsidRDefault="00AC61E3" w:rsidP="00AC61E3">
      <w:pPr>
        <w:pStyle w:val="ListParagraph"/>
        <w:numPr>
          <w:ilvl w:val="0"/>
          <w:numId w:val="28"/>
        </w:numPr>
      </w:pPr>
      <w:r>
        <w:t>whether to describe the device more precisely as a pulmonary artery pressure sensor rather than a haemodynamic sensor;</w:t>
      </w:r>
    </w:p>
    <w:p w:rsidR="00AC61E3" w:rsidRDefault="00AC61E3" w:rsidP="00AC61E3">
      <w:pPr>
        <w:pStyle w:val="ListParagraph"/>
        <w:numPr>
          <w:ilvl w:val="0"/>
          <w:numId w:val="28"/>
        </w:numPr>
      </w:pPr>
      <w:r>
        <w:t>possible separation of MBS items to insert, remove and replace the device (noting that the last of these items would not be consistent with the applicant’s assumption of one device inserted per lifetime);</w:t>
      </w:r>
    </w:p>
    <w:p w:rsidR="00AC61E3" w:rsidRDefault="00AC61E3" w:rsidP="00AC61E3">
      <w:pPr>
        <w:pStyle w:val="ListParagraph"/>
        <w:numPr>
          <w:ilvl w:val="0"/>
          <w:numId w:val="28"/>
        </w:numPr>
      </w:pPr>
      <w:r>
        <w:t>whether to more closely align the MBS eligible patient population to that defined for recruitment into the key trial (CHAMPION);</w:t>
      </w:r>
    </w:p>
    <w:p w:rsidR="00AC61E3" w:rsidRDefault="00AC61E3" w:rsidP="00AC61E3">
      <w:pPr>
        <w:pStyle w:val="ListParagraph"/>
        <w:numPr>
          <w:ilvl w:val="0"/>
          <w:numId w:val="28"/>
        </w:numPr>
      </w:pPr>
      <w:proofErr w:type="gramStart"/>
      <w:r>
        <w:t>qualifications</w:t>
      </w:r>
      <w:proofErr w:type="gramEnd"/>
      <w:r>
        <w:t xml:space="preserve"> and competencies of the clinicians performing the implantation via a catheter and interpreting the device output in order to modify subsequent treatment.</w:t>
      </w:r>
    </w:p>
    <w:p w:rsidR="00AC61E3" w:rsidRDefault="00AC61E3" w:rsidP="00AC61E3"/>
    <w:p w:rsidR="00AC61E3" w:rsidRDefault="00AC61E3" w:rsidP="00AC61E3">
      <w:r>
        <w:t>Issues with the identification of how best to optimise the delivery of the proposed service were identified that also require clarification:</w:t>
      </w:r>
    </w:p>
    <w:p w:rsidR="00AC61E3" w:rsidRDefault="00AC61E3" w:rsidP="00AC61E3">
      <w:pPr>
        <w:pStyle w:val="ListParagraph"/>
        <w:numPr>
          <w:ilvl w:val="0"/>
          <w:numId w:val="31"/>
        </w:numPr>
        <w:spacing w:after="120"/>
      </w:pPr>
      <w:r>
        <w:t>definition of which centres should provide this service and by what criteria they should be identified;</w:t>
      </w:r>
    </w:p>
    <w:p w:rsidR="00AC61E3" w:rsidRDefault="00AC61E3" w:rsidP="00AC61E3">
      <w:pPr>
        <w:pStyle w:val="ListParagraph"/>
        <w:numPr>
          <w:ilvl w:val="0"/>
          <w:numId w:val="31"/>
        </w:numPr>
        <w:spacing w:after="120"/>
      </w:pPr>
      <w:r>
        <w:t>definition of who should perform the remote monitoring of the haemodynamic sensor output and by what criteria these individuals should be identified;</w:t>
      </w:r>
    </w:p>
    <w:p w:rsidR="00AC61E3" w:rsidRDefault="00AC61E3" w:rsidP="00AC61E3">
      <w:pPr>
        <w:pStyle w:val="ListParagraph"/>
        <w:numPr>
          <w:ilvl w:val="0"/>
          <w:numId w:val="31"/>
        </w:numPr>
        <w:spacing w:after="120"/>
      </w:pPr>
      <w:r>
        <w:t>definition of any entities which should not receive the haemodynamic sensor output for privacy reasons (such as the device manufacturer);</w:t>
      </w:r>
    </w:p>
    <w:p w:rsidR="00AC61E3" w:rsidRDefault="00AC61E3" w:rsidP="004B4966">
      <w:pPr>
        <w:pStyle w:val="ListParagraph"/>
        <w:numPr>
          <w:ilvl w:val="0"/>
          <w:numId w:val="31"/>
        </w:numPr>
        <w:ind w:left="714" w:hanging="357"/>
      </w:pPr>
      <w:r>
        <w:t>clearer statement of the optimal frequency of specialist consultations following the insertion of the haemodynamic sensor, and of the rationale for this frequency (noting that the pre-MSAC response reported that the CHAMPION trial protocol provided for consultations at 1, 3 and 6 months and then 6-monthly, and clinicians logged in to access pulmonary arterial pressure data 2.5 times per patient per week, which reduced to once weekly when the patient stabilised).</w:t>
      </w:r>
    </w:p>
    <w:p w:rsidR="00AC61E3" w:rsidRDefault="00AC61E3" w:rsidP="00AC61E3"/>
    <w:p w:rsidR="00AC61E3" w:rsidRDefault="00AC61E3" w:rsidP="00AC61E3">
      <w:r>
        <w:t>The current clinical management algorithm for this patient group is complex thus leading to variability in standard care practices which may contribute to variations in the likelihood of being hospitalised. MSAC agreed on the importance of defining current standard care for this patient population for use as the comparator for care that would also involve the proposed device.</w:t>
      </w:r>
    </w:p>
    <w:p w:rsidR="00AC61E3" w:rsidRDefault="00AC61E3" w:rsidP="00AC61E3"/>
    <w:p w:rsidR="00AC61E3" w:rsidRDefault="00AC61E3" w:rsidP="00AC61E3">
      <w:r>
        <w:t>The applicant's literature review identified a single randomised controlled trial (CHAMPION) upon which safety and clinical effectiveness of the device were assessed. An additional three randomised trials might be relevant (COMPASS-HF, REDUCE-HF and LAPTOP-HF), but were not central to the MSAC deliberations because they assessed haemodynamic function in other parts of the heart, and also because they involved haemodynamic sensors containing batteries and leads. MSAC noted that these other trials produced less favourable results, and considered that a meta-analysis of all four trials would likely result in less favourable estimates of improved patient outcomes for haemodynamic sensors more broadly compared with the pulmonary artery pressure sensor alone.</w:t>
      </w:r>
    </w:p>
    <w:p w:rsidR="00AC61E3" w:rsidRDefault="00AC61E3" w:rsidP="00AC61E3"/>
    <w:p w:rsidR="00AC61E3" w:rsidRDefault="00AC61E3" w:rsidP="00AC61E3">
      <w:r>
        <w:t xml:space="preserve">MSAC noted that the pulmonary artery pressure sensor was at least non-inferior to standard care, however longer-term safety and rate of device failure was unclear beyond the nonrandomised extension of the CHAMPION trial to a total mean duration of follow-up of 31 months. In addition, MSAC agreed that the pulmonary artery pressure sensor was effective at decreasing heart failure-related hospitalisations, but the trial was underpowered to confirm </w:t>
      </w:r>
      <w:r>
        <w:lastRenderedPageBreak/>
        <w:t>any effect on mortality to conventional standards of statistical significance, as suggested by the favourable trend.</w:t>
      </w:r>
      <w:r w:rsidR="00B67DE2">
        <w:t xml:space="preserve"> A statistically significant reduction in all-cause </w:t>
      </w:r>
      <w:r w:rsidR="00E30948">
        <w:t xml:space="preserve">admissions to </w:t>
      </w:r>
      <w:r w:rsidR="00B67DE2">
        <w:t>hospital was reported after an 18-month mean duration of follow-up in the article by Abraham et al in the Lancet, 8 November 2015 (</w:t>
      </w:r>
      <w:r w:rsidR="00E30948">
        <w:t>hazard ratio of</w:t>
      </w:r>
      <w:r w:rsidR="00B67DE2">
        <w:t xml:space="preserve"> </w:t>
      </w:r>
      <w:r w:rsidR="00E30948">
        <w:t>0.84, 95% confidence interval of 0.75 to 0.95).</w:t>
      </w:r>
    </w:p>
    <w:p w:rsidR="00AC61E3" w:rsidRDefault="00AC61E3" w:rsidP="00AC61E3"/>
    <w:p w:rsidR="00AC61E3" w:rsidRDefault="00AC61E3" w:rsidP="00AC61E3">
      <w:r>
        <w:t>MSAC noted that measures to minimise bias in the CHAMPION trial seemed reasonable, but noted the following limitations in its design which highlighted areas of clinical uncertainty that MSAC were concerned with:</w:t>
      </w:r>
    </w:p>
    <w:p w:rsidR="00AC61E3" w:rsidRDefault="00AC61E3" w:rsidP="00AC61E3">
      <w:pPr>
        <w:pStyle w:val="ListParagraph"/>
        <w:numPr>
          <w:ilvl w:val="0"/>
          <w:numId w:val="29"/>
        </w:numPr>
      </w:pPr>
      <w:r>
        <w:t>the non-comparative nature of any safety assessment due to implanting the device in both the control and treatment groups (the reduced safety of adding at least one more procedure to the patient’s management was not sufficient to doubt the overall safety profile);</w:t>
      </w:r>
    </w:p>
    <w:p w:rsidR="00AC61E3" w:rsidRDefault="00AC61E3" w:rsidP="00AC61E3">
      <w:pPr>
        <w:pStyle w:val="ListParagraph"/>
        <w:numPr>
          <w:ilvl w:val="0"/>
          <w:numId w:val="29"/>
        </w:numPr>
      </w:pPr>
      <w:r>
        <w:t>the limitations associated with single-blind assessment of subjectively determined outcomes (although 74% of trial participants were hospitalised via an emergency department admission, which gave some degree of confidence to these results);</w:t>
      </w:r>
    </w:p>
    <w:p w:rsidR="00AC61E3" w:rsidRDefault="00AC61E3" w:rsidP="00AC61E3">
      <w:pPr>
        <w:pStyle w:val="ListParagraph"/>
        <w:numPr>
          <w:ilvl w:val="0"/>
          <w:numId w:val="29"/>
        </w:numPr>
      </w:pPr>
      <w:r>
        <w:t>the short-term time frame of 15.2 months mean duration of extended follow-up</w:t>
      </w:r>
      <w:r w:rsidR="00B67DE2">
        <w:t xml:space="preserve"> (noting that this was extended to 18 months mean duration of follow-up of the randomised trial in the article by Abraham et al in the Lancet, 8 November 2015)</w:t>
      </w:r>
      <w:r>
        <w:t>;</w:t>
      </w:r>
    </w:p>
    <w:p w:rsidR="00AC61E3" w:rsidRDefault="00AC61E3" w:rsidP="00AC61E3">
      <w:pPr>
        <w:pStyle w:val="ListParagraph"/>
        <w:numPr>
          <w:ilvl w:val="0"/>
          <w:numId w:val="29"/>
        </w:numPr>
      </w:pPr>
      <w:r>
        <w:t>the external validity to the proposed MBS eligible patient population, including from a trial conducted in a health care system with different definitions of standard care, and with different thresholds for hospitalisation, but noting from the pre-MSAC response that there was no signal for reduced effectiveness in the subgroup of CHAMPION participants who were aged 65 years or older;</w:t>
      </w:r>
    </w:p>
    <w:p w:rsidR="00AC61E3" w:rsidRDefault="00AC61E3" w:rsidP="00AC61E3">
      <w:pPr>
        <w:pStyle w:val="ListParagraph"/>
        <w:numPr>
          <w:ilvl w:val="0"/>
          <w:numId w:val="29"/>
        </w:numPr>
      </w:pPr>
      <w:proofErr w:type="gramStart"/>
      <w:r>
        <w:t>any</w:t>
      </w:r>
      <w:proofErr w:type="gramEnd"/>
      <w:r>
        <w:t xml:space="preserve"> effect on mortality was not established.</w:t>
      </w:r>
    </w:p>
    <w:p w:rsidR="00AC61E3" w:rsidRDefault="00AC61E3" w:rsidP="00AC61E3"/>
    <w:p w:rsidR="00AC61E3" w:rsidRDefault="00AC61E3" w:rsidP="00AC61E3">
      <w:r>
        <w:t>MSAC noted that the estimate of quality-adjusted life-years (QALYs) gained was driven by the numerically improved survival and symptom benefit over the modelled lifetime time horizon (and 5 years) extrapolated from the CHAMPION study. Furthermore, the main contributor to the cost per patient was the hospitalisation for the procedure and the hospital's monitoring system equipment. MSAC noted that the cost for ongoing monitoring of the pulmonary artery pressure by the clinician was absorbed by standard care and therefore was not accounted for in the economic modelling.</w:t>
      </w:r>
    </w:p>
    <w:p w:rsidR="00AC61E3" w:rsidRDefault="00AC61E3" w:rsidP="00AC61E3"/>
    <w:p w:rsidR="00AC61E3" w:rsidRDefault="00AC61E3" w:rsidP="00AC61E3">
      <w:r>
        <w:t>The economic evaluation resulted in a moderate incremental cost-effectiveness ratio of $25,163/QALY for the base case of the model. MSAC noted that the key drivers of the model indicated by the sensitivity analyses were the baseline rate of heart failure-related hospitalisations; the extent of effects on heart failure-related hospitalisation, mortality and utility; the cost of the device implantation; and the costs associated with heart failure-related hospitalisation.</w:t>
      </w:r>
    </w:p>
    <w:p w:rsidR="00AC61E3" w:rsidRDefault="00AC61E3" w:rsidP="00AC61E3"/>
    <w:p w:rsidR="00AC61E3" w:rsidRDefault="00AC61E3" w:rsidP="00AC61E3">
      <w:r>
        <w:t>It was unclear whether the pulmonary artery pressure sensor is cost-effective with several areas of uncertainty identified including:</w:t>
      </w:r>
    </w:p>
    <w:p w:rsidR="00AC61E3" w:rsidRDefault="00AC61E3" w:rsidP="00AC61E3">
      <w:pPr>
        <w:pStyle w:val="ListParagraph"/>
        <w:numPr>
          <w:ilvl w:val="0"/>
          <w:numId w:val="30"/>
        </w:numPr>
      </w:pPr>
      <w:r>
        <w:t>costs associated with training and monitoring;</w:t>
      </w:r>
    </w:p>
    <w:p w:rsidR="00AC61E3" w:rsidRDefault="00AC61E3" w:rsidP="00AC61E3">
      <w:pPr>
        <w:pStyle w:val="ListParagraph"/>
        <w:numPr>
          <w:ilvl w:val="0"/>
          <w:numId w:val="30"/>
        </w:numPr>
      </w:pPr>
      <w:r>
        <w:t>additional workup costs;</w:t>
      </w:r>
    </w:p>
    <w:p w:rsidR="00AC61E3" w:rsidRDefault="00AC61E3" w:rsidP="00AC61E3">
      <w:pPr>
        <w:pStyle w:val="ListParagraph"/>
        <w:numPr>
          <w:ilvl w:val="0"/>
          <w:numId w:val="30"/>
        </w:numPr>
      </w:pPr>
      <w:r>
        <w:t>assumptions of survival benefit;</w:t>
      </w:r>
    </w:p>
    <w:p w:rsidR="00AC61E3" w:rsidRDefault="00AC61E3" w:rsidP="00AC61E3">
      <w:pPr>
        <w:pStyle w:val="ListParagraph"/>
        <w:numPr>
          <w:ilvl w:val="0"/>
          <w:numId w:val="30"/>
        </w:numPr>
      </w:pPr>
      <w:r>
        <w:t>assumptions of ongoing quality of life benefit beyond 12 months;</w:t>
      </w:r>
    </w:p>
    <w:p w:rsidR="00AC61E3" w:rsidRDefault="00AC61E3" w:rsidP="00AC61E3">
      <w:pPr>
        <w:pStyle w:val="ListParagraph"/>
        <w:numPr>
          <w:ilvl w:val="0"/>
          <w:numId w:val="30"/>
        </w:numPr>
      </w:pPr>
      <w:proofErr w:type="gramStart"/>
      <w:r>
        <w:t>the</w:t>
      </w:r>
      <w:proofErr w:type="gramEnd"/>
      <w:r>
        <w:t xml:space="preserve"> method of applying utilities in the Markov model, which had the implausible effect of improving quality of life in patients in the intervention arm.</w:t>
      </w:r>
    </w:p>
    <w:p w:rsidR="00AC61E3" w:rsidRDefault="00AC61E3" w:rsidP="00AC61E3"/>
    <w:p w:rsidR="00AC61E3" w:rsidRDefault="00AC61E3" w:rsidP="00AC61E3">
      <w:r>
        <w:t xml:space="preserve">MSAC agreed that, although it was reasonable to assume a single insertion over a patient's lifetime, incremental costs associated with aspirin therapy and complications associated with </w:t>
      </w:r>
      <w:r>
        <w:lastRenderedPageBreak/>
        <w:t>aspirin therapy, and incremental costs associated with training and monitoring should also be included in the economic analysis.</w:t>
      </w:r>
    </w:p>
    <w:p w:rsidR="00AC61E3" w:rsidRDefault="00AC61E3" w:rsidP="00AC61E3"/>
    <w:p w:rsidR="00AC61E3" w:rsidRDefault="00AC61E3" w:rsidP="00AC61E3">
      <w:r>
        <w:t xml:space="preserve">MSAC considered that the estimate of likely patient numbers (48–960) may be conservative. The financial impact to the government, calculated to be $1.3 </w:t>
      </w:r>
      <w:r w:rsidR="00A31DB7">
        <w:t>million in year one</w:t>
      </w:r>
      <w:r>
        <w:t xml:space="preserve"> incre</w:t>
      </w:r>
      <w:r w:rsidR="00A31DB7">
        <w:t>asing to $27.6 million in year five</w:t>
      </w:r>
      <w:r>
        <w:t>, was therefore a likely underestimation.  Uptake of the device was also likely to be underestimated unless the eligible population is more clearly restricted by clinical criteria or by limiting the access only to accredited sites of excellence.</w:t>
      </w:r>
      <w:r w:rsidRPr="00CA7B23">
        <w:t xml:space="preserve"> </w:t>
      </w:r>
      <w:r>
        <w:t>MSAC therefore considered whether it would be a better investment to improve outcomes with standard care by improving current disease management strategies and access to care teams.</w:t>
      </w:r>
    </w:p>
    <w:p w:rsidR="00AC61E3" w:rsidRDefault="00AC61E3" w:rsidP="00AC61E3"/>
    <w:p w:rsidR="00AC61E3" w:rsidRDefault="00AC61E3" w:rsidP="00AC61E3">
      <w:r>
        <w:t>In deferring the application, MSAC requested that the following issues be addressed in particular:</w:t>
      </w:r>
    </w:p>
    <w:p w:rsidR="00AC61E3" w:rsidRDefault="00AC61E3" w:rsidP="00AC61E3">
      <w:pPr>
        <w:pStyle w:val="ListParagraph"/>
        <w:numPr>
          <w:ilvl w:val="0"/>
          <w:numId w:val="31"/>
        </w:numPr>
        <w:spacing w:after="120"/>
      </w:pPr>
      <w:r>
        <w:t>definition of which centres should provide this service and by what criteria they should be identified;</w:t>
      </w:r>
    </w:p>
    <w:p w:rsidR="00AC61E3" w:rsidRDefault="00AC61E3" w:rsidP="00AC61E3">
      <w:pPr>
        <w:pStyle w:val="ListParagraph"/>
        <w:numPr>
          <w:ilvl w:val="0"/>
          <w:numId w:val="31"/>
        </w:numPr>
        <w:spacing w:after="120"/>
      </w:pPr>
      <w:r>
        <w:t>definition of who should perform the remote monitoring of the haemodynamic sensor output and by what criteria these individuals should be identified;</w:t>
      </w:r>
    </w:p>
    <w:p w:rsidR="00AC61E3" w:rsidRDefault="00AC61E3" w:rsidP="00AC61E3">
      <w:pPr>
        <w:pStyle w:val="ListParagraph"/>
        <w:numPr>
          <w:ilvl w:val="0"/>
          <w:numId w:val="31"/>
        </w:numPr>
        <w:spacing w:after="120"/>
      </w:pPr>
      <w:r>
        <w:t>definition of any entities which should not receive the haemodynamic sensor output for privacy reasons (such as the device manufacturer);</w:t>
      </w:r>
    </w:p>
    <w:p w:rsidR="00AC61E3" w:rsidRDefault="00AC61E3" w:rsidP="00AC61E3">
      <w:pPr>
        <w:pStyle w:val="ListParagraph"/>
        <w:numPr>
          <w:ilvl w:val="0"/>
          <w:numId w:val="31"/>
        </w:numPr>
        <w:spacing w:after="120"/>
      </w:pPr>
      <w:r>
        <w:t>clearer definition of the ‘standard of care’ for chronic heart failure as the comparator for the haemodynamic sensor;</w:t>
      </w:r>
    </w:p>
    <w:p w:rsidR="00AC61E3" w:rsidRDefault="00AC61E3" w:rsidP="00AC61E3">
      <w:pPr>
        <w:pStyle w:val="ListParagraph"/>
        <w:numPr>
          <w:ilvl w:val="0"/>
          <w:numId w:val="31"/>
        </w:numPr>
        <w:spacing w:after="120"/>
      </w:pPr>
      <w:r>
        <w:t>clearer statement of the extent to which the frequency of specialist consultations would vary with the introduction of the haemodynamic sensor, and of the rationale for this expected change in frequency;</w:t>
      </w:r>
    </w:p>
    <w:p w:rsidR="00AC61E3" w:rsidRDefault="00AC61E3" w:rsidP="00AC61E3">
      <w:pPr>
        <w:pStyle w:val="ListParagraph"/>
        <w:numPr>
          <w:ilvl w:val="0"/>
          <w:numId w:val="31"/>
        </w:numPr>
        <w:spacing w:after="120"/>
      </w:pPr>
      <w:proofErr w:type="gramStart"/>
      <w:r>
        <w:t>reconsideration</w:t>
      </w:r>
      <w:proofErr w:type="gramEnd"/>
      <w:r>
        <w:t xml:space="preserve"> of economic model uncertainties – particularly in relation to the method of applying utilities, and the need to include the costs of training and monitoring.</w:t>
      </w:r>
    </w:p>
    <w:p w:rsidR="00AC61E3" w:rsidRDefault="00AC61E3" w:rsidP="00AC61E3"/>
    <w:p w:rsidR="00BC1364" w:rsidRPr="00D90A38" w:rsidRDefault="00BC1364" w:rsidP="007B32D1">
      <w:pPr>
        <w:pStyle w:val="Heading1"/>
        <w:numPr>
          <w:ilvl w:val="0"/>
          <w:numId w:val="23"/>
        </w:numPr>
        <w:ind w:hanging="720"/>
      </w:pPr>
      <w:r w:rsidRPr="00D90A38">
        <w:t>Background</w:t>
      </w:r>
    </w:p>
    <w:p w:rsidR="00BC1364" w:rsidRPr="004B4966" w:rsidRDefault="00BC1364" w:rsidP="00DD2858">
      <w:pPr>
        <w:rPr>
          <w:szCs w:val="24"/>
        </w:rPr>
      </w:pPr>
    </w:p>
    <w:p w:rsidR="00A73B98" w:rsidRDefault="00A73B98" w:rsidP="00A73B98">
      <w:pPr>
        <w:tabs>
          <w:tab w:val="left" w:pos="720"/>
          <w:tab w:val="left" w:pos="1140"/>
        </w:tabs>
      </w:pPr>
      <w:r w:rsidRPr="00FF1CF7">
        <w:t xml:space="preserve">This technology has not been considered previously by </w:t>
      </w:r>
      <w:r>
        <w:t xml:space="preserve">MSAC. </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4B4966" w:rsidRDefault="00BC1364" w:rsidP="004B4966">
      <w:pPr>
        <w:tabs>
          <w:tab w:val="left" w:pos="720"/>
          <w:tab w:val="left" w:pos="1140"/>
        </w:tabs>
        <w:rPr>
          <w:szCs w:val="24"/>
        </w:rPr>
      </w:pPr>
    </w:p>
    <w:p w:rsidR="00A73B98" w:rsidRDefault="00A73B98" w:rsidP="00A73B98">
      <w:r>
        <w:t xml:space="preserve">The </w:t>
      </w:r>
      <w:r w:rsidR="004B4966">
        <w:t>application</w:t>
      </w:r>
      <w:r>
        <w:t xml:space="preserve"> identifie</w:t>
      </w:r>
      <w:r w:rsidR="00656CBC">
        <w:t>d</w:t>
      </w:r>
      <w:r>
        <w:t xml:space="preserve"> the </w:t>
      </w:r>
      <w:proofErr w:type="spellStart"/>
      <w:r w:rsidRPr="00BA43F8">
        <w:t>CardioMEMS</w:t>
      </w:r>
      <w:proofErr w:type="spellEnd"/>
      <w:r w:rsidRPr="00BA43F8">
        <w:t xml:space="preserve"> PA Sensor and Delivery System model CM2000 (AIMD class, ARTG number 236015) and the </w:t>
      </w:r>
      <w:proofErr w:type="spellStart"/>
      <w:r w:rsidRPr="00BA43F8">
        <w:t>CardioMEMS</w:t>
      </w:r>
      <w:proofErr w:type="spellEnd"/>
      <w:r w:rsidRPr="00BA43F8">
        <w:t xml:space="preserve"> Hospital Electronics System CM3000 (Class III, ARTG number 236016), </w:t>
      </w:r>
      <w:r>
        <w:t xml:space="preserve">which </w:t>
      </w:r>
      <w:r w:rsidRPr="00BA43F8">
        <w:t xml:space="preserve">were listed </w:t>
      </w:r>
      <w:r>
        <w:t>on the ARTG in April 2015, and that i</w:t>
      </w:r>
      <w:r w:rsidRPr="00BA43F8">
        <w:t xml:space="preserve">t </w:t>
      </w:r>
      <w:r>
        <w:t xml:space="preserve">was </w:t>
      </w:r>
      <w:r w:rsidRPr="00BA43F8">
        <w:t>anticipated that the i3 patient electronics system (Class I medical device) w</w:t>
      </w:r>
      <w:r w:rsidR="00656CBC">
        <w:t>ould</w:t>
      </w:r>
      <w:r w:rsidRPr="00BA43F8">
        <w:t xml:space="preserve"> receive TGA approval in Q3 2015.</w:t>
      </w:r>
    </w:p>
    <w:p w:rsidR="00A73B98" w:rsidRDefault="00A73B98" w:rsidP="00A73B98"/>
    <w:p w:rsidR="00A73B98" w:rsidRDefault="00A73B98" w:rsidP="00A73B98">
      <w:r>
        <w:t xml:space="preserve">Consultation feedback from a competing device manufacturer at the PASC stage advocated for a generic process and listing, and advocated for changes to the technology description. PASC </w:t>
      </w:r>
      <w:r w:rsidR="00656CBC">
        <w:t xml:space="preserve">decided to </w:t>
      </w:r>
      <w:r>
        <w:t xml:space="preserve">accept the revised </w:t>
      </w:r>
      <w:r w:rsidR="00656CBC">
        <w:t>P</w:t>
      </w:r>
      <w:r>
        <w:t xml:space="preserve">rotocol’s description of the technology as </w:t>
      </w:r>
      <w:r w:rsidRPr="00AA19C4">
        <w:t xml:space="preserve">a permanent leadless and </w:t>
      </w:r>
      <w:proofErr w:type="spellStart"/>
      <w:r w:rsidRPr="00AA19C4">
        <w:t>batteryless</w:t>
      </w:r>
      <w:proofErr w:type="spellEnd"/>
      <w:r w:rsidRPr="00AA19C4">
        <w:t xml:space="preserve"> haemodynamic sensor</w:t>
      </w:r>
      <w:r w:rsidR="00656CBC">
        <w:t>.</w:t>
      </w:r>
    </w:p>
    <w:p w:rsidR="00A73B98" w:rsidRDefault="00A73B98" w:rsidP="00A73B98">
      <w:pPr>
        <w:pStyle w:val="ListParagraph"/>
        <w:ind w:left="360"/>
      </w:pPr>
    </w:p>
    <w:p w:rsidR="00A73B98" w:rsidRDefault="00A73B98" w:rsidP="00A73B98">
      <w:r>
        <w:t xml:space="preserve">The independent critique noted that </w:t>
      </w:r>
      <w:proofErr w:type="spellStart"/>
      <w:r>
        <w:t>CardioMEMS</w:t>
      </w:r>
      <w:proofErr w:type="spellEnd"/>
      <w:r>
        <w:t xml:space="preserve"> was</w:t>
      </w:r>
      <w:r w:rsidRPr="0043417E">
        <w:t xml:space="preserve"> one type of pulmonary artery sensor and </w:t>
      </w:r>
      <w:r>
        <w:t>that the</w:t>
      </w:r>
      <w:r w:rsidRPr="0043417E">
        <w:t xml:space="preserve"> proposed medical service item would apply to all future sensor devices that become available in Australia. </w:t>
      </w:r>
      <w:r>
        <w:t xml:space="preserve">However, the current assessment </w:t>
      </w:r>
      <w:r w:rsidR="00656CBC">
        <w:t>wa</w:t>
      </w:r>
      <w:r>
        <w:t xml:space="preserve">s limited to consideration of haemodynamic sensors which are both leadless and </w:t>
      </w:r>
      <w:proofErr w:type="spellStart"/>
      <w:r>
        <w:t>batteryless</w:t>
      </w:r>
      <w:proofErr w:type="spellEnd"/>
      <w:r>
        <w:t>.</w:t>
      </w:r>
    </w:p>
    <w:p w:rsidR="00A73B98" w:rsidRDefault="00A73B98" w:rsidP="00A73B98"/>
    <w:p w:rsidR="00BC1364" w:rsidRPr="007B32D1" w:rsidRDefault="00BC1364" w:rsidP="007B32D1">
      <w:pPr>
        <w:pStyle w:val="Heading1"/>
        <w:numPr>
          <w:ilvl w:val="0"/>
          <w:numId w:val="23"/>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A73B98" w:rsidRDefault="00A73B98" w:rsidP="00A73B98">
      <w:r w:rsidRPr="00FF1CF7">
        <w:t xml:space="preserve">The </w:t>
      </w:r>
      <w:r w:rsidR="004B4966">
        <w:t>application</w:t>
      </w:r>
      <w:r w:rsidRPr="00FF1CF7">
        <w:t xml:space="preserve"> request</w:t>
      </w:r>
      <w:r w:rsidR="00656CBC">
        <w:t>ed</w:t>
      </w:r>
      <w:r w:rsidRPr="00FF1CF7">
        <w:t xml:space="preserve"> listing of the insertion, removal, and replacement of a permanent leadless and </w:t>
      </w:r>
      <w:proofErr w:type="spellStart"/>
      <w:r w:rsidRPr="00FF1CF7">
        <w:t>batteryless</w:t>
      </w:r>
      <w:proofErr w:type="spellEnd"/>
      <w:r w:rsidRPr="00FF1CF7">
        <w:t xml:space="preserve"> haemodynamic sensor in one proposed MBS item. </w:t>
      </w:r>
      <w:r>
        <w:fldChar w:fldCharType="begin"/>
      </w:r>
      <w:r>
        <w:instrText xml:space="preserve"> REF _Ref430959413 \h </w:instrText>
      </w:r>
      <w:r>
        <w:fldChar w:fldCharType="separate"/>
      </w:r>
      <w:r>
        <w:t xml:space="preserve">Table </w:t>
      </w:r>
      <w:r>
        <w:rPr>
          <w:noProof/>
        </w:rPr>
        <w:t>1</w:t>
      </w:r>
      <w:r>
        <w:fldChar w:fldCharType="end"/>
      </w:r>
      <w:r w:rsidRPr="00FF1CF7">
        <w:t xml:space="preserve"> sets out the proposed MBS item descriptor and restrictions on the use of the proposed intervention.</w:t>
      </w:r>
    </w:p>
    <w:p w:rsidR="00A73B98" w:rsidRDefault="00A73B98" w:rsidP="00A73B98"/>
    <w:p w:rsidR="00A73B98" w:rsidRDefault="00A73B98" w:rsidP="00A73B98">
      <w:r>
        <w:t xml:space="preserve">The </w:t>
      </w:r>
      <w:r w:rsidR="004B4966">
        <w:t>application</w:t>
      </w:r>
      <w:r>
        <w:t xml:space="preserve"> note</w:t>
      </w:r>
      <w:r w:rsidR="00656CBC">
        <w:t>d</w:t>
      </w:r>
      <w:r>
        <w:t xml:space="preserve"> that t</w:t>
      </w:r>
      <w:r w:rsidRPr="00BA43F8">
        <w:t xml:space="preserve">here are two components to the overall medical service, one </w:t>
      </w:r>
      <w:r w:rsidR="00656CBC">
        <w:t>to</w:t>
      </w:r>
      <w:r w:rsidRPr="00BA43F8">
        <w:t xml:space="preserve"> implant the sensor and another </w:t>
      </w:r>
      <w:r w:rsidR="00656CBC">
        <w:t xml:space="preserve">to </w:t>
      </w:r>
      <w:r w:rsidRPr="00BA43F8">
        <w:t xml:space="preserve">monitor the data from the device. </w:t>
      </w:r>
      <w:r>
        <w:t xml:space="preserve">However, the </w:t>
      </w:r>
      <w:r w:rsidR="004B4966">
        <w:t>application</w:t>
      </w:r>
      <w:r>
        <w:t xml:space="preserve"> only request</w:t>
      </w:r>
      <w:r w:rsidR="00656CBC">
        <w:t>ed</w:t>
      </w:r>
      <w:r>
        <w:t xml:space="preserve"> MBS listing for </w:t>
      </w:r>
      <w:r w:rsidRPr="00BA43F8">
        <w:t xml:space="preserve">the insertion, removal and replacement of a permanent leadless and </w:t>
      </w:r>
      <w:proofErr w:type="spellStart"/>
      <w:r w:rsidRPr="00BA43F8">
        <w:t>batteryless</w:t>
      </w:r>
      <w:proofErr w:type="spellEnd"/>
      <w:r w:rsidRPr="00BA43F8">
        <w:t xml:space="preserve"> sensor</w:t>
      </w:r>
      <w:r>
        <w:t xml:space="preserve"> based on the assumption that </w:t>
      </w:r>
      <w:r w:rsidRPr="00BA43F8">
        <w:t xml:space="preserve">remote monitoring of </w:t>
      </w:r>
      <w:r w:rsidR="00656CBC">
        <w:t>pulmonary artery</w:t>
      </w:r>
      <w:r w:rsidRPr="00BA43F8">
        <w:t xml:space="preserve"> pressure data </w:t>
      </w:r>
      <w:r>
        <w:t>would</w:t>
      </w:r>
      <w:r w:rsidRPr="00BA43F8">
        <w:t xml:space="preserve"> be incorporated into standard care </w:t>
      </w:r>
      <w:r w:rsidR="00656CBC">
        <w:t>heart failure (</w:t>
      </w:r>
      <w:r w:rsidRPr="00BA43F8">
        <w:t>HF</w:t>
      </w:r>
      <w:r w:rsidR="00656CBC">
        <w:t>)</w:t>
      </w:r>
      <w:r w:rsidRPr="00BA43F8">
        <w:t xml:space="preserve"> management programs</w:t>
      </w:r>
      <w:r>
        <w:t>.</w:t>
      </w:r>
      <w:r w:rsidRPr="00BA43F8">
        <w:t xml:space="preserve"> </w:t>
      </w:r>
      <w:r>
        <w:t>T</w:t>
      </w:r>
      <w:r w:rsidRPr="00BA43F8">
        <w:t xml:space="preserve">his assumption </w:t>
      </w:r>
      <w:r>
        <w:t xml:space="preserve">was supported </w:t>
      </w:r>
      <w:r w:rsidRPr="00BA43F8">
        <w:t xml:space="preserve">by </w:t>
      </w:r>
      <w:r w:rsidR="00A94AAD">
        <w:t xml:space="preserve">the </w:t>
      </w:r>
      <w:r w:rsidRPr="00BA43F8">
        <w:t>P</w:t>
      </w:r>
      <w:r w:rsidR="00A94AAD">
        <w:t xml:space="preserve">rotocol </w:t>
      </w:r>
      <w:r w:rsidRPr="00BA43F8">
        <w:t>A</w:t>
      </w:r>
      <w:r w:rsidR="00A94AAD">
        <w:t xml:space="preserve">dvisory </w:t>
      </w:r>
      <w:r w:rsidRPr="00BA43F8">
        <w:t>S</w:t>
      </w:r>
      <w:r w:rsidR="00A94AAD">
        <w:t>ub-</w:t>
      </w:r>
      <w:r w:rsidRPr="00BA43F8">
        <w:t>C</w:t>
      </w:r>
      <w:r w:rsidR="00A94AAD">
        <w:t>ommittee (PASC)</w:t>
      </w:r>
      <w:r w:rsidRPr="00BA43F8">
        <w:t>.</w:t>
      </w:r>
      <w:bookmarkStart w:id="1" w:name="_Ref308709232"/>
    </w:p>
    <w:p w:rsidR="00656CBC" w:rsidRPr="00FF1CF7" w:rsidRDefault="00656CBC" w:rsidP="00A73B98"/>
    <w:p w:rsidR="00A73B98" w:rsidRDefault="00A73B98" w:rsidP="00656CBC">
      <w:pPr>
        <w:pStyle w:val="Caption"/>
        <w:spacing w:before="0" w:after="0"/>
        <w:ind w:left="0" w:firstLine="0"/>
      </w:pPr>
      <w:bookmarkStart w:id="2" w:name="_Ref430959413"/>
      <w:bookmarkStart w:id="3" w:name="_Ref430959405"/>
      <w:bookmarkEnd w:id="1"/>
      <w:r>
        <w:t xml:space="preserve">Table </w:t>
      </w:r>
      <w:fldSimple w:instr=" SEQ Table \* ARABIC ">
        <w:r>
          <w:rPr>
            <w:noProof/>
          </w:rPr>
          <w:t>1</w:t>
        </w:r>
      </w:fldSimple>
      <w:bookmarkEnd w:id="2"/>
      <w:r w:rsidR="00656CBC">
        <w:rPr>
          <w:noProof/>
        </w:rPr>
        <w:t>:</w:t>
      </w:r>
      <w:r>
        <w:t xml:space="preserve"> </w:t>
      </w:r>
      <w:r w:rsidRPr="00464355">
        <w:t>Proposed MBS item descriptor</w:t>
      </w:r>
      <w:bookmarkEnd w:id="3"/>
    </w:p>
    <w:tbl>
      <w:tblPr>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A.2.1: Proposed MBS item descriptor"/>
        <w:tblDescription w:val="Table A.2.1: Proposed MBS item descriptor"/>
      </w:tblPr>
      <w:tblGrid>
        <w:gridCol w:w="9090"/>
      </w:tblGrid>
      <w:tr w:rsidR="00A73B98" w:rsidRPr="00FF1CF7" w:rsidTr="004B4966">
        <w:tc>
          <w:tcPr>
            <w:tcW w:w="5000" w:type="pct"/>
          </w:tcPr>
          <w:p w:rsidR="00A73B98" w:rsidRPr="00FF1CF7" w:rsidRDefault="00A73B98" w:rsidP="004B4966">
            <w:pPr>
              <w:pStyle w:val="Tabletextright"/>
              <w:rPr>
                <w:sz w:val="24"/>
              </w:rPr>
            </w:pPr>
            <w:r w:rsidRPr="00FF1CF7">
              <w:t>Category 3 – Therapeutic Procedures</w:t>
            </w:r>
          </w:p>
        </w:tc>
      </w:tr>
      <w:tr w:rsidR="00A73B98" w:rsidRPr="00FF1CF7" w:rsidTr="004B4966">
        <w:tc>
          <w:tcPr>
            <w:tcW w:w="5000" w:type="pct"/>
          </w:tcPr>
          <w:p w:rsidR="00A73B98" w:rsidRPr="00FF1CF7" w:rsidRDefault="00A73B98" w:rsidP="004B4966">
            <w:pPr>
              <w:pStyle w:val="Tabletext"/>
              <w:spacing w:before="0" w:after="0"/>
            </w:pPr>
            <w:r w:rsidRPr="00FF1CF7">
              <w:t>MBS Item number XXXX</w:t>
            </w:r>
          </w:p>
          <w:p w:rsidR="00A73B98" w:rsidRPr="00FF1CF7" w:rsidRDefault="00A73B98" w:rsidP="004B4966">
            <w:pPr>
              <w:pStyle w:val="Tabletext"/>
              <w:spacing w:before="0" w:after="0"/>
              <w:rPr>
                <w:snapToGrid w:val="0"/>
              </w:rPr>
            </w:pPr>
          </w:p>
          <w:p w:rsidR="00A73B98" w:rsidRPr="00FF1CF7" w:rsidRDefault="00A73B98" w:rsidP="004B4966">
            <w:pPr>
              <w:pStyle w:val="Tabletext"/>
              <w:spacing w:before="0" w:after="0"/>
              <w:rPr>
                <w:snapToGrid w:val="0"/>
              </w:rPr>
            </w:pPr>
            <w:r w:rsidRPr="00FF1CF7">
              <w:rPr>
                <w:snapToGrid w:val="0"/>
              </w:rPr>
              <w:t>PERMANENT LEADLESS AND BATTERYLESS PULMONARY ARTERY PRESSURE SENSOR, insertion, removal and replacement of, for patients with a diagnosis of moderate HF (NYHA class III) for at least 3 months regardless of ejection fraction, a stable and optimised medication regimen, and a HF-related hospitalisation</w:t>
            </w:r>
            <w:r w:rsidR="00656CBC">
              <w:rPr>
                <w:snapToGrid w:val="0"/>
              </w:rPr>
              <w:t xml:space="preserve"> within the previous 12 months.</w:t>
            </w:r>
          </w:p>
          <w:p w:rsidR="00A73B98" w:rsidRPr="00FF1CF7" w:rsidRDefault="00A73B98" w:rsidP="004B4966">
            <w:pPr>
              <w:pStyle w:val="Tabletext"/>
              <w:spacing w:before="0" w:after="0"/>
              <w:rPr>
                <w:snapToGrid w:val="0"/>
              </w:rPr>
            </w:pPr>
          </w:p>
          <w:p w:rsidR="00A73B98" w:rsidRPr="00FF1CF7" w:rsidRDefault="00A73B98" w:rsidP="004B4966">
            <w:pPr>
              <w:pStyle w:val="Tabletext"/>
              <w:spacing w:before="0" w:after="0"/>
              <w:rPr>
                <w:snapToGrid w:val="0"/>
                <w:sz w:val="24"/>
              </w:rPr>
            </w:pPr>
            <w:r w:rsidRPr="00FF1CF7">
              <w:rPr>
                <w:snapToGrid w:val="0"/>
              </w:rPr>
              <w:t>Criteria for a HF-related hospitalisation includes: (a) a hospitalisation during which a patient is admitted for HF or HF is the primary reason for admission; and (b) the patient displays signs and symptoms of HF on admission; and (c) the use of intravenous diuretic, vasodilator, inotropic, or ultrafiltration therapy is required for the purposes of treating HF. The augmentation of oral therapy may be allowable for defining the admission as HF, if no other reasonable diagnosis can be attributed to the admission.</w:t>
            </w:r>
          </w:p>
        </w:tc>
      </w:tr>
      <w:tr w:rsidR="00A73B98" w:rsidRPr="00FF1CF7" w:rsidTr="004B4966">
        <w:tc>
          <w:tcPr>
            <w:tcW w:w="5000" w:type="pct"/>
          </w:tcPr>
          <w:p w:rsidR="00A73B98" w:rsidRPr="00FF1CF7" w:rsidRDefault="00A73B98" w:rsidP="004B4966">
            <w:pPr>
              <w:pStyle w:val="Tabletext"/>
              <w:spacing w:before="0" w:after="0"/>
              <w:rPr>
                <w:sz w:val="24"/>
              </w:rPr>
            </w:pPr>
            <w:r w:rsidRPr="00FF1CF7">
              <w:t>Fee: $816.60 Benefit: 75% = $612.45 Benefit: $85% = $694.10</w:t>
            </w:r>
          </w:p>
        </w:tc>
      </w:tr>
    </w:tbl>
    <w:p w:rsidR="00A73B98" w:rsidRDefault="00A73B98" w:rsidP="00656CBC">
      <w:pPr>
        <w:pStyle w:val="Tablecaption"/>
        <w:rPr>
          <w:sz w:val="18"/>
          <w:szCs w:val="18"/>
        </w:rPr>
      </w:pPr>
      <w:r w:rsidRPr="00FF1CF7">
        <w:rPr>
          <w:sz w:val="18"/>
          <w:szCs w:val="18"/>
        </w:rPr>
        <w:t>Source: Table A.2-1, p</w:t>
      </w:r>
      <w:r>
        <w:rPr>
          <w:sz w:val="18"/>
          <w:szCs w:val="18"/>
        </w:rPr>
        <w:t>1</w:t>
      </w:r>
      <w:r w:rsidRPr="00FF1CF7">
        <w:rPr>
          <w:sz w:val="18"/>
          <w:szCs w:val="18"/>
        </w:rPr>
        <w:t xml:space="preserve">8 of the </w:t>
      </w:r>
      <w:r w:rsidR="004B4966">
        <w:t>application</w:t>
      </w:r>
    </w:p>
    <w:p w:rsidR="00A73B98" w:rsidRPr="00FF1CF7" w:rsidRDefault="00A73B98" w:rsidP="00656CBC">
      <w:pPr>
        <w:pStyle w:val="Tablecaption"/>
        <w:rPr>
          <w:sz w:val="18"/>
          <w:szCs w:val="18"/>
        </w:rPr>
      </w:pPr>
      <w:r>
        <w:rPr>
          <w:sz w:val="18"/>
          <w:szCs w:val="18"/>
        </w:rPr>
        <w:t>HF = heart failure; NYHA = New York Heart Association</w:t>
      </w:r>
    </w:p>
    <w:p w:rsidR="00A73B98" w:rsidRDefault="00A73B98" w:rsidP="00A73B98">
      <w:pPr>
        <w:tabs>
          <w:tab w:val="left" w:pos="720"/>
          <w:tab w:val="left" w:pos="1140"/>
        </w:tabs>
        <w:rPr>
          <w:szCs w:val="24"/>
        </w:rPr>
      </w:pPr>
    </w:p>
    <w:p w:rsidR="00A73B98" w:rsidRDefault="00A73B98" w:rsidP="00A73B98">
      <w:r w:rsidRPr="00A73B98">
        <w:rPr>
          <w:szCs w:val="24"/>
          <w:lang w:val="en-US"/>
        </w:rPr>
        <w:t xml:space="preserve">ESC noted that the descriptor did not specify who should perform the implantation or the qualifications required, but </w:t>
      </w:r>
      <w:r w:rsidRPr="00A73B98">
        <w:t xml:space="preserve">the final protocol had indicated initial uptake of the system would likely be led by cardiologists </w:t>
      </w:r>
      <w:r w:rsidR="00656CBC">
        <w:t>who</w:t>
      </w:r>
      <w:r w:rsidRPr="00A73B98">
        <w:t xml:space="preserve"> are also heart failure specialists. ESC also noted from the final </w:t>
      </w:r>
      <w:r w:rsidR="00656CBC">
        <w:t>P</w:t>
      </w:r>
      <w:r w:rsidRPr="00A73B98">
        <w:t>rotocol that general cardiologists, cardiac surgeons, and electro</w:t>
      </w:r>
      <w:r w:rsidRPr="00A73B98">
        <w:rPr>
          <w:rFonts w:ascii="Cambria Math" w:hAnsi="Cambria Math" w:cs="Cambria Math"/>
        </w:rPr>
        <w:t>‐</w:t>
      </w:r>
      <w:r w:rsidRPr="00A73B98">
        <w:t xml:space="preserve">physiologists could manage aspects of the system, whilst the monitoring service component could be led by specially trained nurses. However, ESC noted that no monitoring item had been proposed in the </w:t>
      </w:r>
      <w:r w:rsidR="00656CBC">
        <w:t>application.</w:t>
      </w:r>
    </w:p>
    <w:p w:rsidR="00A73B98" w:rsidRDefault="00A73B98" w:rsidP="00A73B98"/>
    <w:p w:rsidR="00A73B98" w:rsidRPr="00FD23C0" w:rsidRDefault="00A73B98" w:rsidP="00A73B98">
      <w:r w:rsidRPr="00FF1CF7">
        <w:t xml:space="preserve">The </w:t>
      </w:r>
      <w:r>
        <w:t xml:space="preserve">proposed MBS item </w:t>
      </w:r>
      <w:r w:rsidR="00656CBC">
        <w:t>wa</w:t>
      </w:r>
      <w:r>
        <w:t xml:space="preserve">s specific to </w:t>
      </w:r>
      <w:r w:rsidRPr="00FF1CF7">
        <w:t xml:space="preserve">those </w:t>
      </w:r>
      <w:r>
        <w:t xml:space="preserve">patients </w:t>
      </w:r>
      <w:r w:rsidRPr="00FF1CF7">
        <w:t>with a diagnosis of moderate heart failure (NYHA class III) for at least three months (regardless of ejection fraction), a stable and optimised medication regime</w:t>
      </w:r>
      <w:r w:rsidR="00656CBC">
        <w:t>n</w:t>
      </w:r>
      <w:r w:rsidRPr="00FF1CF7">
        <w:t xml:space="preserve">, and a </w:t>
      </w:r>
      <w:r>
        <w:t>heart failure</w:t>
      </w:r>
      <w:r w:rsidRPr="00FF1CF7">
        <w:t>-related hospitalisation</w:t>
      </w:r>
      <w:r w:rsidR="00656CBC">
        <w:t xml:space="preserve"> within the previous 12 months.</w:t>
      </w:r>
    </w:p>
    <w:p w:rsidR="00BC1364" w:rsidRPr="00656CBC" w:rsidRDefault="00BC1364" w:rsidP="00AB3BFC">
      <w:pPr>
        <w:tabs>
          <w:tab w:val="left" w:pos="720"/>
          <w:tab w:val="left" w:pos="1140"/>
        </w:tabs>
        <w:rPr>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A73B98" w:rsidRDefault="00A73B98" w:rsidP="00A73B98">
      <w:pPr>
        <w:tabs>
          <w:tab w:val="left" w:pos="720"/>
          <w:tab w:val="left" w:pos="1140"/>
        </w:tabs>
        <w:rPr>
          <w:szCs w:val="24"/>
        </w:rPr>
      </w:pPr>
      <w:r>
        <w:rPr>
          <w:szCs w:val="24"/>
        </w:rPr>
        <w:t xml:space="preserve">No consumer impact statement </w:t>
      </w:r>
      <w:r w:rsidR="00836063">
        <w:rPr>
          <w:szCs w:val="24"/>
        </w:rPr>
        <w:t>w</w:t>
      </w:r>
      <w:r>
        <w:rPr>
          <w:szCs w:val="24"/>
        </w:rPr>
        <w:t>as provided and no consumers or consumer groups provided feedback during the consultation stage of the Protocol Advisory Sub Committee (PASC) process.</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Pr="00836063" w:rsidRDefault="00BC1364" w:rsidP="00DD2858">
      <w:pPr>
        <w:rPr>
          <w:szCs w:val="24"/>
        </w:rPr>
      </w:pPr>
    </w:p>
    <w:p w:rsidR="00A73B98" w:rsidRDefault="00A73B98" w:rsidP="00A73B98">
      <w:r>
        <w:t xml:space="preserve">The service proposed for MBS listing </w:t>
      </w:r>
      <w:r w:rsidR="00836063">
        <w:t>wa</w:t>
      </w:r>
      <w:r>
        <w:t xml:space="preserve">s the </w:t>
      </w:r>
      <w:r w:rsidRPr="00FF1CF7">
        <w:t xml:space="preserve">implantation, removal and replacement of </w:t>
      </w:r>
      <w:r>
        <w:t>a</w:t>
      </w:r>
      <w:r w:rsidRPr="00FF1CF7">
        <w:t xml:space="preserve"> haemodynamic sensor system for patients with moderate heart failure. The </w:t>
      </w:r>
      <w:r w:rsidR="00836063">
        <w:t xml:space="preserve">proposed </w:t>
      </w:r>
      <w:r w:rsidRPr="00FF1CF7">
        <w:t xml:space="preserve">system contains a permanent leadless and </w:t>
      </w:r>
      <w:proofErr w:type="spellStart"/>
      <w:r w:rsidRPr="00FF1CF7">
        <w:t>batteryless</w:t>
      </w:r>
      <w:proofErr w:type="spellEnd"/>
      <w:r w:rsidRPr="00FF1CF7">
        <w:t xml:space="preserve"> sensor and external home electronics unit that </w:t>
      </w:r>
      <w:r w:rsidRPr="00FF1CF7">
        <w:lastRenderedPageBreak/>
        <w:t>receives the pulmonary artery pressure transmission from the sensor, and sends the data to a centralised data storage fa</w:t>
      </w:r>
      <w:r>
        <w:t>cility. The</w:t>
      </w:r>
      <w:r w:rsidRPr="00FF1CF7">
        <w:t xml:space="preserve"> intervention is intended to provide extra information (i.e. pulmonary artery pressure data) to doctors to better monitor and manage patient</w:t>
      </w:r>
      <w:r>
        <w:t>s with moderate heart f</w:t>
      </w:r>
      <w:r w:rsidR="00836063">
        <w:t>ailure.</w:t>
      </w:r>
    </w:p>
    <w:p w:rsidR="00A73B98" w:rsidRDefault="00A73B98" w:rsidP="00A73B98"/>
    <w:p w:rsidR="00A73B98" w:rsidRDefault="00A73B98" w:rsidP="00A73B98">
      <w:r>
        <w:t xml:space="preserve">The </w:t>
      </w:r>
      <w:r w:rsidR="004B4966">
        <w:t>application</w:t>
      </w:r>
      <w:r>
        <w:t xml:space="preserve"> stated that: </w:t>
      </w:r>
    </w:p>
    <w:p w:rsidR="00A73B98" w:rsidRDefault="00A73B98" w:rsidP="00A73B98">
      <w:pPr>
        <w:pStyle w:val="BodyText"/>
        <w:spacing w:after="0"/>
        <w:ind w:left="426"/>
        <w:rPr>
          <w:lang w:eastAsia="en-GB"/>
        </w:rPr>
      </w:pPr>
      <w:r w:rsidRPr="0024180E">
        <w:rPr>
          <w:lang w:val="en-GB" w:eastAsia="en-GB"/>
        </w:rPr>
        <w:t xml:space="preserve">Heart failure (HF) (or ‘chronic HF’ or ‘congestive HF) is characterised by insufficient cardiac output to meet the requirements of the body, leading to acute episodes of fluid accumulation often resulting in hospitalisation. </w:t>
      </w:r>
      <w:r w:rsidRPr="0024180E">
        <w:rPr>
          <w:lang w:eastAsia="en-GB"/>
        </w:rPr>
        <w:t>HF is a progressive and complex clinical syndrome that is characterised by an underlying structural abnormality or cardiac dysfunction that impairs the ability of the heart ventricle t</w:t>
      </w:r>
      <w:r>
        <w:rPr>
          <w:lang w:eastAsia="en-GB"/>
        </w:rPr>
        <w:t>o fill and / or eject blood</w:t>
      </w:r>
      <w:r w:rsidRPr="0024180E">
        <w:rPr>
          <w:lang w:eastAsia="en-GB"/>
        </w:rPr>
        <w:t>. HF is mostly a chronic and long-term condition associated with acute episodes of decompensation, and may also develop suddenly. HF can be caused by a number of clinical conditions including ischaemic heart disease, prior myocardial infarction, hypertension and less commonly, non-ischaemic idiopathic dilated cardiomyopathy.</w:t>
      </w:r>
      <w:r w:rsidR="00836063">
        <w:rPr>
          <w:lang w:eastAsia="en-GB"/>
        </w:rPr>
        <w:t xml:space="preserve"> Figure </w:t>
      </w:r>
      <w:r>
        <w:rPr>
          <w:lang w:eastAsia="en-GB"/>
        </w:rPr>
        <w:t xml:space="preserve">1 </w:t>
      </w:r>
      <w:r w:rsidRPr="0024180E">
        <w:rPr>
          <w:lang w:eastAsia="en-GB"/>
        </w:rPr>
        <w:t>shows the typical ‘trajectory of illness’ associated with HF showing the cyclical and progressive clinical instability following each hospitalisation, which is</w:t>
      </w:r>
      <w:r w:rsidR="00836063">
        <w:rPr>
          <w:lang w:eastAsia="en-GB"/>
        </w:rPr>
        <w:t xml:space="preserve"> associated with declining </w:t>
      </w:r>
      <w:proofErr w:type="spellStart"/>
      <w:r w:rsidR="00836063">
        <w:rPr>
          <w:lang w:eastAsia="en-GB"/>
        </w:rPr>
        <w:t>QoL</w:t>
      </w:r>
      <w:proofErr w:type="spellEnd"/>
      <w:r w:rsidR="00836063">
        <w:rPr>
          <w:lang w:eastAsia="en-GB"/>
        </w:rPr>
        <w:t>.</w:t>
      </w:r>
    </w:p>
    <w:p w:rsidR="00A73B98" w:rsidRPr="000D24D2" w:rsidRDefault="00A73B98" w:rsidP="00836063"/>
    <w:p w:rsidR="00A73B98" w:rsidRDefault="00A73B98" w:rsidP="00836063">
      <w:pPr>
        <w:pStyle w:val="Caption"/>
        <w:spacing w:before="0" w:after="0"/>
        <w:ind w:left="426" w:firstLine="0"/>
        <w:jc w:val="left"/>
      </w:pPr>
      <w:r>
        <w:t xml:space="preserve">Figure </w:t>
      </w:r>
      <w:fldSimple w:instr=" SEQ Figure \* ARABIC ">
        <w:r>
          <w:rPr>
            <w:noProof/>
          </w:rPr>
          <w:t>1</w:t>
        </w:r>
      </w:fldSimple>
      <w:r w:rsidR="00836063">
        <w:rPr>
          <w:noProof/>
        </w:rPr>
        <w:t>:</w:t>
      </w:r>
      <w:r>
        <w:t xml:space="preserve"> </w:t>
      </w:r>
      <w:r w:rsidRPr="002668D0">
        <w:t>Typical 'trajectory of illness' associated with heart failure</w:t>
      </w:r>
    </w:p>
    <w:p w:rsidR="00A73B98" w:rsidRDefault="00A73B98" w:rsidP="00A73B98">
      <w:pPr>
        <w:pStyle w:val="BodyText"/>
        <w:spacing w:after="0"/>
        <w:ind w:left="426"/>
        <w:jc w:val="center"/>
        <w:rPr>
          <w:lang w:val="en-GB" w:eastAsia="en-GB"/>
        </w:rPr>
      </w:pPr>
      <w:r>
        <w:rPr>
          <w:rFonts w:cstheme="minorHAnsi"/>
          <w:noProof/>
          <w:lang w:eastAsia="en-AU"/>
        </w:rPr>
        <w:drawing>
          <wp:inline distT="0" distB="0" distL="0" distR="0" wp14:anchorId="10CF7028" wp14:editId="010E7292">
            <wp:extent cx="2506134" cy="2420600"/>
            <wp:effectExtent l="0" t="0" r="8890" b="0"/>
            <wp:docPr id="12" name="Picture 12" descr="The typical ‘trajectory of illness’ associated with HF showing the cyclical and progressive clinical instability following each hospitalisation, as presented in a graph" title="The typical ‘trajectory of illness’ associated with 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trajectory.tif"/>
                    <pic:cNvPicPr/>
                  </pic:nvPicPr>
                  <pic:blipFill>
                    <a:blip r:embed="rId10">
                      <a:extLst>
                        <a:ext uri="{28A0092B-C50C-407E-A947-70E740481C1C}">
                          <a14:useLocalDpi xmlns:a14="http://schemas.microsoft.com/office/drawing/2010/main" val="0"/>
                        </a:ext>
                      </a:extLst>
                    </a:blip>
                    <a:stretch>
                      <a:fillRect/>
                    </a:stretch>
                  </pic:blipFill>
                  <pic:spPr>
                    <a:xfrm>
                      <a:off x="0" y="0"/>
                      <a:ext cx="2505824" cy="2420301"/>
                    </a:xfrm>
                    <a:prstGeom prst="rect">
                      <a:avLst/>
                    </a:prstGeom>
                  </pic:spPr>
                </pic:pic>
              </a:graphicData>
            </a:graphic>
          </wp:inline>
        </w:drawing>
      </w:r>
    </w:p>
    <w:p w:rsidR="00A73B98" w:rsidRDefault="00A73B98" w:rsidP="00A73B98">
      <w:pPr>
        <w:pStyle w:val="BodyText"/>
        <w:spacing w:after="0"/>
        <w:ind w:left="426"/>
        <w:rPr>
          <w:lang w:val="en-GB" w:eastAsia="en-GB"/>
        </w:rPr>
      </w:pPr>
      <w:r w:rsidRPr="0024180E">
        <w:rPr>
          <w:lang w:val="en-GB" w:eastAsia="en-GB"/>
        </w:rPr>
        <w:t>Early detection of fluid accumulation via real time access to pulmonary artery (PA) pressure changes permits appropriate corrective management to remove fluid, lower intra-cardiac pressures, and thus minimise decompensation requiring hospitalisation. The addition of haemodynamic monitoring to usual outpatient management leads to improved patient outcomes and allows prevention of unnec</w:t>
      </w:r>
      <w:r w:rsidR="00836063">
        <w:rPr>
          <w:lang w:val="en-GB" w:eastAsia="en-GB"/>
        </w:rPr>
        <w:t>essary healthcare resource use.</w:t>
      </w:r>
    </w:p>
    <w:p w:rsidR="00A73B98" w:rsidRDefault="00A73B98" w:rsidP="00A73B98"/>
    <w:p w:rsidR="00836063" w:rsidRDefault="00A73B98" w:rsidP="00A73B98">
      <w:r>
        <w:t>The proposed service would be provided in addition to ‘standard care’ in line with the</w:t>
      </w:r>
      <w:r w:rsidRPr="00FF1CF7">
        <w:t xml:space="preserve"> clinical management algorithm</w:t>
      </w:r>
      <w:r>
        <w:t xml:space="preserve"> below.</w:t>
      </w:r>
    </w:p>
    <w:p w:rsidR="00A73B98" w:rsidRDefault="00A73B98" w:rsidP="00A73B98"/>
    <w:p w:rsidR="00A73B98" w:rsidRDefault="00A73B98" w:rsidP="00A73B98">
      <w:pPr>
        <w:pStyle w:val="Caption"/>
        <w:spacing w:before="0" w:after="0"/>
        <w:ind w:hanging="1741"/>
      </w:pPr>
      <w:r>
        <w:lastRenderedPageBreak/>
        <w:t xml:space="preserve">Figure </w:t>
      </w:r>
      <w:fldSimple w:instr=" SEQ Figure \* ARABIC ">
        <w:r>
          <w:rPr>
            <w:noProof/>
          </w:rPr>
          <w:t>2</w:t>
        </w:r>
      </w:fldSimple>
      <w:r w:rsidR="00836063">
        <w:rPr>
          <w:noProof/>
        </w:rPr>
        <w:t>:</w:t>
      </w:r>
      <w:r>
        <w:t xml:space="preserve"> </w:t>
      </w:r>
      <w:r w:rsidRPr="00A15303">
        <w:t xml:space="preserve">Proposed clinical management algorithm with </w:t>
      </w:r>
      <w:proofErr w:type="spellStart"/>
      <w:r w:rsidRPr="00A15303">
        <w:t>CardioMEMS</w:t>
      </w:r>
      <w:proofErr w:type="spellEnd"/>
      <w:r w:rsidRPr="00A15303">
        <w:t xml:space="preserve"> Heart Failure system</w:t>
      </w:r>
    </w:p>
    <w:p w:rsidR="00A73B98" w:rsidRPr="004B4966" w:rsidRDefault="00A73B98" w:rsidP="00A73B98">
      <w:pPr>
        <w:rPr>
          <w:rFonts w:ascii="Arial Narrow" w:hAnsi="Arial Narrow" w:cs="Arial"/>
          <w:b/>
          <w:bCs/>
          <w:iCs/>
          <w:sz w:val="18"/>
          <w:szCs w:val="18"/>
        </w:rPr>
      </w:pPr>
      <w:r>
        <w:rPr>
          <w:noProof/>
        </w:rPr>
        <w:drawing>
          <wp:inline distT="0" distB="0" distL="0" distR="0" wp14:anchorId="224DFBD2" wp14:editId="24C26449">
            <wp:extent cx="5731510" cy="4879975"/>
            <wp:effectExtent l="0" t="0" r="2540" b="0"/>
            <wp:docPr id="1" name="Picture 1" descr="Figure A.5.1: Proposed clinical management algorithm with CardioMEMS HF system" title="Figure A.5.1: Proposed clinical management algorithm with CardioMEMS HF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igure A.4.2 p21 of submission.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4879975"/>
                    </a:xfrm>
                    <a:prstGeom prst="rect">
                      <a:avLst/>
                    </a:prstGeom>
                  </pic:spPr>
                </pic:pic>
              </a:graphicData>
            </a:graphic>
          </wp:inline>
        </w:drawing>
      </w:r>
      <w:r w:rsidRPr="004B4966">
        <w:rPr>
          <w:rFonts w:ascii="Arial Narrow" w:hAnsi="Arial Narrow"/>
          <w:sz w:val="18"/>
          <w:szCs w:val="18"/>
        </w:rPr>
        <w:t xml:space="preserve">Source: Figure A.4-2, p21 of the </w:t>
      </w:r>
      <w:r w:rsidR="004B4966" w:rsidRPr="004B4966">
        <w:rPr>
          <w:rFonts w:ascii="Arial Narrow" w:hAnsi="Arial Narrow"/>
          <w:sz w:val="18"/>
          <w:szCs w:val="18"/>
        </w:rPr>
        <w:t>application</w:t>
      </w:r>
    </w:p>
    <w:p w:rsidR="00A73B98" w:rsidRDefault="00A73B98" w:rsidP="00A73B98">
      <w:pPr>
        <w:pStyle w:val="Tablecaption"/>
      </w:pPr>
      <w:r w:rsidRPr="00FF1CF7">
        <w:rPr>
          <w:sz w:val="18"/>
          <w:szCs w:val="18"/>
        </w:rPr>
        <w:t>HF</w:t>
      </w:r>
      <w:r>
        <w:rPr>
          <w:sz w:val="18"/>
          <w:szCs w:val="18"/>
        </w:rPr>
        <w:t xml:space="preserve"> =</w:t>
      </w:r>
      <w:r w:rsidRPr="00FF1CF7">
        <w:rPr>
          <w:sz w:val="18"/>
          <w:szCs w:val="18"/>
        </w:rPr>
        <w:t xml:space="preserve"> heart failure; NYHA</w:t>
      </w:r>
      <w:r>
        <w:rPr>
          <w:sz w:val="18"/>
          <w:szCs w:val="18"/>
        </w:rPr>
        <w:t xml:space="preserve"> =</w:t>
      </w:r>
      <w:r w:rsidRPr="00FF1CF7">
        <w:rPr>
          <w:sz w:val="18"/>
          <w:szCs w:val="18"/>
        </w:rPr>
        <w:t xml:space="preserve"> New York Heart Association; PA</w:t>
      </w:r>
      <w:r>
        <w:rPr>
          <w:sz w:val="18"/>
          <w:szCs w:val="18"/>
        </w:rPr>
        <w:t xml:space="preserve"> =</w:t>
      </w:r>
      <w:r w:rsidRPr="00FF1CF7">
        <w:rPr>
          <w:sz w:val="18"/>
          <w:szCs w:val="18"/>
        </w:rPr>
        <w:t xml:space="preserve"> pulmonary artery</w:t>
      </w:r>
    </w:p>
    <w:p w:rsidR="00A73B98" w:rsidRDefault="00A73B98" w:rsidP="00836063"/>
    <w:p w:rsidR="00BC1364" w:rsidRPr="008D5885" w:rsidRDefault="00836063" w:rsidP="007B32D1">
      <w:pPr>
        <w:pStyle w:val="Heading1"/>
        <w:numPr>
          <w:ilvl w:val="0"/>
          <w:numId w:val="23"/>
        </w:numPr>
        <w:ind w:hanging="720"/>
      </w:pPr>
      <w:r>
        <w:t>Comparator</w:t>
      </w:r>
    </w:p>
    <w:p w:rsidR="00BC1364" w:rsidRPr="00836063" w:rsidRDefault="00BC1364" w:rsidP="00DD2858">
      <w:pPr>
        <w:rPr>
          <w:szCs w:val="24"/>
        </w:rPr>
      </w:pPr>
    </w:p>
    <w:p w:rsidR="00485D6F" w:rsidRDefault="00836063" w:rsidP="00485D6F">
      <w:pPr>
        <w:tabs>
          <w:tab w:val="left" w:pos="720"/>
          <w:tab w:val="left" w:pos="1140"/>
        </w:tabs>
      </w:pPr>
      <w:r>
        <w:t>Consistent with the PASC-</w:t>
      </w:r>
      <w:r w:rsidR="00485D6F">
        <w:t>ratified Protocol, t</w:t>
      </w:r>
      <w:r w:rsidR="00485D6F" w:rsidRPr="00FF1CF7">
        <w:t xml:space="preserve">he </w:t>
      </w:r>
      <w:r w:rsidR="004B4966">
        <w:t>application</w:t>
      </w:r>
      <w:r w:rsidR="00485D6F" w:rsidRPr="00FF1CF7">
        <w:t xml:space="preserve"> nominate</w:t>
      </w:r>
      <w:r>
        <w:t>d</w:t>
      </w:r>
      <w:r w:rsidR="00485D6F" w:rsidRPr="00FF1CF7">
        <w:t xml:space="preserve"> ‘standard care’ as the appropriate m</w:t>
      </w:r>
      <w:r w:rsidR="00485D6F">
        <w:t xml:space="preserve">ain comparator, which includes </w:t>
      </w:r>
      <w:r w:rsidR="00485D6F" w:rsidRPr="00FF1CF7">
        <w:t>best practice pharmacotherapy, non</w:t>
      </w:r>
      <w:r w:rsidR="00485D6F">
        <w:noBreakHyphen/>
      </w:r>
      <w:r w:rsidR="00485D6F" w:rsidRPr="00FF1CF7">
        <w:t>pharmacological strategies, other implantable cardiac devices and heart failure management programs.</w:t>
      </w:r>
    </w:p>
    <w:p w:rsidR="00BC1364" w:rsidRPr="00836063" w:rsidRDefault="00BC1364" w:rsidP="00DD2858">
      <w:pPr>
        <w:rPr>
          <w:szCs w:val="24"/>
        </w:rPr>
      </w:pPr>
    </w:p>
    <w:p w:rsidR="00BC1364" w:rsidRPr="008D5885" w:rsidRDefault="00BC1364" w:rsidP="007B32D1">
      <w:pPr>
        <w:pStyle w:val="Heading1"/>
        <w:numPr>
          <w:ilvl w:val="0"/>
          <w:numId w:val="23"/>
        </w:numPr>
        <w:ind w:hanging="720"/>
      </w:pPr>
      <w:r w:rsidRPr="008D5885">
        <w:t>Comparative safety</w:t>
      </w:r>
    </w:p>
    <w:p w:rsidR="00BC1364" w:rsidRPr="00836063" w:rsidRDefault="00BC1364" w:rsidP="00DD2858">
      <w:pPr>
        <w:pStyle w:val="ListParagraph"/>
        <w:ind w:left="0"/>
        <w:rPr>
          <w:szCs w:val="24"/>
        </w:rPr>
      </w:pPr>
    </w:p>
    <w:p w:rsidR="00485D6F" w:rsidRDefault="00485D6F" w:rsidP="00485D6F">
      <w:pPr>
        <w:tabs>
          <w:tab w:val="left" w:pos="720"/>
        </w:tabs>
      </w:pPr>
      <w:r>
        <w:rPr>
          <w:szCs w:val="24"/>
        </w:rPr>
        <w:t xml:space="preserve">The </w:t>
      </w:r>
      <w:r w:rsidR="004B4966">
        <w:t>application</w:t>
      </w:r>
      <w:r>
        <w:rPr>
          <w:szCs w:val="24"/>
        </w:rPr>
        <w:t xml:space="preserve"> presented evidence on safety from a single study; the CHAMPION trial. This trial was </w:t>
      </w:r>
      <w:r w:rsidRPr="00FF1CF7">
        <w:t>a prospective, multi</w:t>
      </w:r>
      <w:r>
        <w:t>-</w:t>
      </w:r>
      <w:r w:rsidRPr="00FF1CF7">
        <w:t>centre, single-blind randomised controlled trial. Participants in both groups were implanted with the sensor</w:t>
      </w:r>
      <w:r>
        <w:t>. T</w:t>
      </w:r>
      <w:r w:rsidRPr="00FF1CF7">
        <w:t>he intervention and control groups compared patients with and without the assessment of haemodynamic sensor readings.</w:t>
      </w:r>
    </w:p>
    <w:p w:rsidR="00485D6F" w:rsidRDefault="00485D6F" w:rsidP="00485D6F">
      <w:pPr>
        <w:tabs>
          <w:tab w:val="left" w:pos="720"/>
        </w:tabs>
      </w:pPr>
    </w:p>
    <w:p w:rsidR="00485D6F" w:rsidRPr="00FD23C0" w:rsidRDefault="00485D6F" w:rsidP="004B4966">
      <w:pPr>
        <w:rPr>
          <w:b/>
          <w:bCs/>
          <w:iCs/>
        </w:rPr>
      </w:pPr>
      <w:r w:rsidRPr="00594A3A">
        <w:t xml:space="preserve">The </w:t>
      </w:r>
      <w:r w:rsidR="004B4966">
        <w:t>application</w:t>
      </w:r>
      <w:r w:rsidRPr="00594A3A">
        <w:t xml:space="preserve"> presented two main saf</w:t>
      </w:r>
      <w:r>
        <w:t>ety endpoints (d</w:t>
      </w:r>
      <w:r w:rsidRPr="00FD23C0">
        <w:t>evice-related or system</w:t>
      </w:r>
      <w:r w:rsidR="00836063">
        <w:t>-</w:t>
      </w:r>
      <w:r w:rsidRPr="00FD23C0">
        <w:t xml:space="preserve">related complications and </w:t>
      </w:r>
      <w:r>
        <w:t>p</w:t>
      </w:r>
      <w:r w:rsidRPr="00FD23C0">
        <w:t>ressure sensor failure</w:t>
      </w:r>
      <w:r>
        <w:t xml:space="preserve">) as well as </w:t>
      </w:r>
      <w:r w:rsidRPr="00A32495">
        <w:t>an analysis of adverse events, including device</w:t>
      </w:r>
      <w:r>
        <w:t>;</w:t>
      </w:r>
      <w:r w:rsidRPr="00A32495">
        <w:t xml:space="preserve"> procedure-related</w:t>
      </w:r>
      <w:r>
        <w:t>;</w:t>
      </w:r>
      <w:r w:rsidRPr="00A32495">
        <w:t xml:space="preserve"> anticipated</w:t>
      </w:r>
      <w:r>
        <w:t>;</w:t>
      </w:r>
      <w:r w:rsidRPr="00A32495">
        <w:t xml:space="preserve"> serious</w:t>
      </w:r>
      <w:r>
        <w:t>;</w:t>
      </w:r>
      <w:r w:rsidRPr="00A32495">
        <w:t xml:space="preserve"> and non-serious adverse events. The </w:t>
      </w:r>
      <w:r w:rsidR="004B4966">
        <w:t>application</w:t>
      </w:r>
      <w:r w:rsidRPr="00A32495">
        <w:t xml:space="preserve"> noted that all adverse events were treated by established standards of care that protected the life and safety of the participants.</w:t>
      </w:r>
    </w:p>
    <w:p w:rsidR="00485D6F" w:rsidRDefault="00485D6F" w:rsidP="00485D6F"/>
    <w:p w:rsidR="00485D6F" w:rsidRPr="00FF1CF7" w:rsidRDefault="00485D6F" w:rsidP="00485D6F">
      <w:r>
        <w:lastRenderedPageBreak/>
        <w:t>The independent critique considered that, as the main function of the haemodynamic sensor is measuring pulmonary artery pressure for monitoring early signs of heart failure, the primary efficacy and safety outcomes were necessary but insufficient. T</w:t>
      </w:r>
      <w:r w:rsidR="00836063">
        <w:t>he critique considered that all-</w:t>
      </w:r>
      <w:r>
        <w:t>cause hospitalisation and overall survival were important outcomes for this technology.</w:t>
      </w:r>
    </w:p>
    <w:p w:rsidR="00485D6F" w:rsidRPr="00BB418D" w:rsidRDefault="00485D6F" w:rsidP="00485D6F">
      <w:pPr>
        <w:tabs>
          <w:tab w:val="left" w:pos="720"/>
        </w:tabs>
        <w:rPr>
          <w:szCs w:val="24"/>
        </w:rPr>
      </w:pPr>
    </w:p>
    <w:p w:rsidR="00485D6F" w:rsidRPr="00FF1CF7" w:rsidRDefault="00485D6F" w:rsidP="00485D6F">
      <w:r w:rsidRPr="00FF1CF7">
        <w:t xml:space="preserve">A summary of serious events for the CHAMPION </w:t>
      </w:r>
      <w:r w:rsidR="00836063">
        <w:t xml:space="preserve">trial </w:t>
      </w:r>
      <w:r w:rsidRPr="00FF1CF7">
        <w:t xml:space="preserve">is presented in Table </w:t>
      </w:r>
      <w:r w:rsidR="00836063">
        <w:t>2</w:t>
      </w:r>
      <w:r w:rsidRPr="00FF1CF7">
        <w:t xml:space="preserve"> below.</w:t>
      </w:r>
    </w:p>
    <w:p w:rsidR="00485D6F" w:rsidRPr="00FF1CF7" w:rsidRDefault="00485D6F" w:rsidP="004B4966"/>
    <w:p w:rsidR="00485D6F" w:rsidRDefault="00485D6F" w:rsidP="00485D6F">
      <w:pPr>
        <w:pStyle w:val="Caption"/>
        <w:spacing w:before="0" w:after="0"/>
        <w:ind w:left="0" w:firstLine="0"/>
      </w:pPr>
      <w:r>
        <w:t xml:space="preserve">Table </w:t>
      </w:r>
      <w:fldSimple w:instr=" SEQ Table \* ARABIC ">
        <w:r>
          <w:rPr>
            <w:noProof/>
          </w:rPr>
          <w:t>2</w:t>
        </w:r>
      </w:fldSimple>
      <w:r w:rsidR="00836063">
        <w:t>:</w:t>
      </w:r>
      <w:r>
        <w:t xml:space="preserve"> </w:t>
      </w:r>
      <w:r w:rsidRPr="00BF55D3">
        <w:t>Overall summary of adverse events up to six month follow-up visit</w:t>
      </w:r>
    </w:p>
    <w:tbl>
      <w:tblPr>
        <w:tblW w:w="4908"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B.6.3: Overall summary of adverse events up to six month follow-up visit "/>
        <w:tblDescription w:val="Table B.6.3: Overall summary of adverse events up to six month follow-up visit "/>
      </w:tblPr>
      <w:tblGrid>
        <w:gridCol w:w="2835"/>
        <w:gridCol w:w="1820"/>
        <w:gridCol w:w="1157"/>
        <w:gridCol w:w="1701"/>
        <w:gridCol w:w="1559"/>
      </w:tblGrid>
      <w:tr w:rsidR="00836063" w:rsidRPr="00FF1CF7" w:rsidTr="00615F73">
        <w:trPr>
          <w:cantSplit/>
          <w:tblHeader/>
        </w:trPr>
        <w:tc>
          <w:tcPr>
            <w:tcW w:w="2835" w:type="dxa"/>
            <w:tcBorders>
              <w:right w:val="nil"/>
            </w:tcBorders>
            <w:shd w:val="clear" w:color="auto" w:fill="auto"/>
            <w:vAlign w:val="center"/>
          </w:tcPr>
          <w:p w:rsidR="00836063" w:rsidRPr="00FF1CF7" w:rsidRDefault="00836063" w:rsidP="004B4966">
            <w:pPr>
              <w:pStyle w:val="Tabletext"/>
              <w:spacing w:before="0" w:after="0"/>
            </w:pPr>
          </w:p>
        </w:tc>
        <w:tc>
          <w:tcPr>
            <w:tcW w:w="2977" w:type="dxa"/>
            <w:gridSpan w:val="2"/>
            <w:tcBorders>
              <w:left w:val="single" w:sz="4" w:space="0" w:color="auto"/>
              <w:right w:val="single" w:sz="4" w:space="0" w:color="auto"/>
            </w:tcBorders>
            <w:shd w:val="clear" w:color="auto" w:fill="auto"/>
            <w:vAlign w:val="center"/>
          </w:tcPr>
          <w:p w:rsidR="00836063" w:rsidRPr="00FF1CF7" w:rsidRDefault="00836063" w:rsidP="00836063">
            <w:pPr>
              <w:pStyle w:val="Tabletext"/>
              <w:spacing w:before="0" w:after="0"/>
              <w:jc w:val="center"/>
              <w:rPr>
                <w:b/>
              </w:rPr>
            </w:pPr>
            <w:r w:rsidRPr="00FF1CF7">
              <w:rPr>
                <w:b/>
              </w:rPr>
              <w:t>Intervention (N=270)</w:t>
            </w:r>
          </w:p>
        </w:tc>
        <w:tc>
          <w:tcPr>
            <w:tcW w:w="3260" w:type="dxa"/>
            <w:gridSpan w:val="2"/>
            <w:tcBorders>
              <w:left w:val="single" w:sz="4" w:space="0" w:color="auto"/>
              <w:right w:val="single" w:sz="4" w:space="0" w:color="auto"/>
            </w:tcBorders>
            <w:shd w:val="clear" w:color="auto" w:fill="auto"/>
            <w:vAlign w:val="center"/>
          </w:tcPr>
          <w:p w:rsidR="00836063" w:rsidRPr="00FF1CF7" w:rsidRDefault="00836063" w:rsidP="00836063">
            <w:pPr>
              <w:pStyle w:val="Tabletext"/>
              <w:spacing w:before="0" w:after="0"/>
              <w:jc w:val="center"/>
              <w:rPr>
                <w:b/>
              </w:rPr>
            </w:pPr>
            <w:r w:rsidRPr="00FF1CF7">
              <w:rPr>
                <w:b/>
              </w:rPr>
              <w:t>Control (N=280)</w:t>
            </w:r>
          </w:p>
        </w:tc>
      </w:tr>
      <w:tr w:rsidR="00485D6F" w:rsidRPr="00FF1CF7" w:rsidTr="004B4966">
        <w:trPr>
          <w:cantSplit/>
          <w:trHeight w:val="181"/>
          <w:tblHeader/>
        </w:trPr>
        <w:tc>
          <w:tcPr>
            <w:tcW w:w="2835" w:type="dxa"/>
            <w:tcBorders>
              <w:right w:val="nil"/>
            </w:tcBorders>
            <w:vAlign w:val="center"/>
          </w:tcPr>
          <w:p w:rsidR="00485D6F" w:rsidRPr="00FF1CF7" w:rsidRDefault="00485D6F" w:rsidP="004B4966">
            <w:pPr>
              <w:pStyle w:val="Tabletext"/>
              <w:spacing w:before="0" w:after="0"/>
            </w:pPr>
            <w:r w:rsidRPr="00FF1CF7">
              <w:t>-</w:t>
            </w:r>
          </w:p>
        </w:tc>
        <w:tc>
          <w:tcPr>
            <w:tcW w:w="1820" w:type="dxa"/>
            <w:vAlign w:val="center"/>
          </w:tcPr>
          <w:p w:rsidR="00485D6F" w:rsidRPr="00FF1CF7" w:rsidRDefault="00485D6F" w:rsidP="004B4966">
            <w:pPr>
              <w:pStyle w:val="Tabletext"/>
              <w:spacing w:before="0" w:after="0"/>
              <w:jc w:val="center"/>
              <w:rPr>
                <w:b/>
              </w:rPr>
            </w:pPr>
            <w:r>
              <w:rPr>
                <w:b/>
              </w:rPr>
              <w:t>Participants</w:t>
            </w:r>
            <w:r w:rsidRPr="00FF1CF7">
              <w:rPr>
                <w:b/>
              </w:rPr>
              <w:t xml:space="preserve"> (%)</w:t>
            </w:r>
          </w:p>
        </w:tc>
        <w:tc>
          <w:tcPr>
            <w:tcW w:w="1157" w:type="dxa"/>
            <w:vAlign w:val="center"/>
          </w:tcPr>
          <w:p w:rsidR="00485D6F" w:rsidRPr="00FF1CF7" w:rsidRDefault="00485D6F" w:rsidP="004B4966">
            <w:pPr>
              <w:pStyle w:val="Tabletext"/>
              <w:spacing w:before="0" w:after="0"/>
              <w:jc w:val="center"/>
              <w:rPr>
                <w:b/>
              </w:rPr>
            </w:pPr>
            <w:r w:rsidRPr="00FF1CF7">
              <w:rPr>
                <w:b/>
              </w:rPr>
              <w:t>Events (n)</w:t>
            </w:r>
          </w:p>
        </w:tc>
        <w:tc>
          <w:tcPr>
            <w:tcW w:w="1701" w:type="dxa"/>
            <w:vAlign w:val="center"/>
          </w:tcPr>
          <w:p w:rsidR="00485D6F" w:rsidRPr="00FF1CF7" w:rsidRDefault="00485D6F" w:rsidP="004B4966">
            <w:pPr>
              <w:pStyle w:val="Tabletext"/>
              <w:spacing w:before="0" w:after="0"/>
              <w:jc w:val="center"/>
              <w:rPr>
                <w:b/>
              </w:rPr>
            </w:pPr>
            <w:r>
              <w:rPr>
                <w:b/>
              </w:rPr>
              <w:t>Participants</w:t>
            </w:r>
            <w:r w:rsidRPr="00FF1CF7">
              <w:rPr>
                <w:b/>
              </w:rPr>
              <w:t xml:space="preserve"> (%)</w:t>
            </w:r>
          </w:p>
        </w:tc>
        <w:tc>
          <w:tcPr>
            <w:tcW w:w="1559" w:type="dxa"/>
            <w:vAlign w:val="center"/>
          </w:tcPr>
          <w:p w:rsidR="00485D6F" w:rsidRPr="00FF1CF7" w:rsidRDefault="00485D6F" w:rsidP="004B4966">
            <w:pPr>
              <w:pStyle w:val="Tabletext"/>
              <w:spacing w:before="0" w:after="0"/>
              <w:jc w:val="center"/>
              <w:rPr>
                <w:b/>
              </w:rPr>
            </w:pPr>
            <w:r w:rsidRPr="00FF1CF7">
              <w:rPr>
                <w:b/>
              </w:rPr>
              <w:t>Events (n)</w:t>
            </w:r>
          </w:p>
        </w:tc>
      </w:tr>
      <w:tr w:rsidR="00485D6F" w:rsidRPr="00FF1CF7" w:rsidTr="004B4966">
        <w:trPr>
          <w:cantSplit/>
          <w:trHeight w:val="228"/>
        </w:trPr>
        <w:tc>
          <w:tcPr>
            <w:tcW w:w="2835" w:type="dxa"/>
            <w:tcBorders>
              <w:right w:val="nil"/>
            </w:tcBorders>
            <w:vAlign w:val="center"/>
          </w:tcPr>
          <w:p w:rsidR="00485D6F" w:rsidRPr="00FF1CF7" w:rsidRDefault="00485D6F" w:rsidP="004B4966">
            <w:pPr>
              <w:pStyle w:val="Tabletext"/>
              <w:spacing w:before="0" w:after="0"/>
            </w:pPr>
            <w:r w:rsidRPr="00FF1CF7">
              <w:t>Unanticipated SADEs</w:t>
            </w:r>
          </w:p>
        </w:tc>
        <w:tc>
          <w:tcPr>
            <w:tcW w:w="1820" w:type="dxa"/>
            <w:tcMar>
              <w:left w:w="85" w:type="dxa"/>
              <w:right w:w="85" w:type="dxa"/>
            </w:tcMar>
            <w:vAlign w:val="center"/>
          </w:tcPr>
          <w:p w:rsidR="00485D6F" w:rsidRPr="00FF1CF7" w:rsidRDefault="00485D6F" w:rsidP="004B4966">
            <w:pPr>
              <w:pStyle w:val="Tabletext"/>
              <w:spacing w:before="0" w:after="0"/>
              <w:jc w:val="center"/>
            </w:pPr>
            <w:r w:rsidRPr="00FF1CF7">
              <w:t>0 (0.0%)</w:t>
            </w:r>
          </w:p>
        </w:tc>
        <w:tc>
          <w:tcPr>
            <w:tcW w:w="1157" w:type="dxa"/>
            <w:tcMar>
              <w:left w:w="85" w:type="dxa"/>
              <w:right w:w="85" w:type="dxa"/>
            </w:tcMar>
            <w:vAlign w:val="center"/>
          </w:tcPr>
          <w:p w:rsidR="00485D6F" w:rsidRPr="00FF1CF7" w:rsidRDefault="00485D6F" w:rsidP="004B4966">
            <w:pPr>
              <w:pStyle w:val="Tabletext"/>
              <w:spacing w:before="0" w:after="0"/>
              <w:jc w:val="center"/>
            </w:pPr>
            <w:r w:rsidRPr="00FF1CF7">
              <w:t>0</w:t>
            </w:r>
          </w:p>
        </w:tc>
        <w:tc>
          <w:tcPr>
            <w:tcW w:w="1701" w:type="dxa"/>
            <w:tcMar>
              <w:left w:w="85" w:type="dxa"/>
              <w:right w:w="85" w:type="dxa"/>
            </w:tcMar>
            <w:vAlign w:val="center"/>
          </w:tcPr>
          <w:p w:rsidR="00485D6F" w:rsidRPr="00FF1CF7" w:rsidRDefault="00485D6F" w:rsidP="004B4966">
            <w:pPr>
              <w:pStyle w:val="Tabletext"/>
              <w:spacing w:before="0" w:after="0"/>
              <w:jc w:val="center"/>
            </w:pPr>
            <w:r w:rsidRPr="00FF1CF7">
              <w:t>1 (0.4%)</w:t>
            </w:r>
          </w:p>
        </w:tc>
        <w:tc>
          <w:tcPr>
            <w:tcW w:w="1559" w:type="dxa"/>
            <w:tcMar>
              <w:left w:w="85" w:type="dxa"/>
              <w:right w:w="85" w:type="dxa"/>
            </w:tcMar>
            <w:vAlign w:val="center"/>
          </w:tcPr>
          <w:p w:rsidR="00485D6F" w:rsidRPr="00FF1CF7" w:rsidRDefault="00485D6F" w:rsidP="004B4966">
            <w:pPr>
              <w:pStyle w:val="Tabletext"/>
              <w:spacing w:before="0" w:after="0"/>
              <w:jc w:val="center"/>
            </w:pPr>
            <w:r w:rsidRPr="00FF1CF7">
              <w:t>1</w:t>
            </w:r>
          </w:p>
        </w:tc>
      </w:tr>
      <w:tr w:rsidR="00485D6F" w:rsidRPr="00FF1CF7" w:rsidTr="004B4966">
        <w:trPr>
          <w:cantSplit/>
          <w:trHeight w:val="117"/>
        </w:trPr>
        <w:tc>
          <w:tcPr>
            <w:tcW w:w="2835" w:type="dxa"/>
            <w:tcBorders>
              <w:right w:val="nil"/>
            </w:tcBorders>
            <w:vAlign w:val="center"/>
          </w:tcPr>
          <w:p w:rsidR="00485D6F" w:rsidRPr="00FF1CF7" w:rsidRDefault="00485D6F" w:rsidP="004B4966">
            <w:pPr>
              <w:pStyle w:val="Tabletext"/>
              <w:spacing w:before="0" w:after="0"/>
            </w:pPr>
            <w:r w:rsidRPr="00FF1CF7">
              <w:t>SADEs</w:t>
            </w:r>
          </w:p>
        </w:tc>
        <w:tc>
          <w:tcPr>
            <w:tcW w:w="1820" w:type="dxa"/>
            <w:tcMar>
              <w:left w:w="85" w:type="dxa"/>
              <w:right w:w="85" w:type="dxa"/>
            </w:tcMar>
            <w:vAlign w:val="center"/>
          </w:tcPr>
          <w:p w:rsidR="00485D6F" w:rsidRPr="00FF1CF7" w:rsidRDefault="00485D6F" w:rsidP="004B4966">
            <w:pPr>
              <w:pStyle w:val="Tabletext"/>
              <w:spacing w:before="0" w:after="0"/>
              <w:jc w:val="center"/>
            </w:pPr>
            <w:r w:rsidRPr="00FF1CF7">
              <w:t>2 (0.7%)</w:t>
            </w:r>
          </w:p>
        </w:tc>
        <w:tc>
          <w:tcPr>
            <w:tcW w:w="1157" w:type="dxa"/>
            <w:tcMar>
              <w:left w:w="85" w:type="dxa"/>
              <w:right w:w="85" w:type="dxa"/>
            </w:tcMar>
            <w:vAlign w:val="center"/>
          </w:tcPr>
          <w:p w:rsidR="00485D6F" w:rsidRPr="00FF1CF7" w:rsidRDefault="00485D6F" w:rsidP="004B4966">
            <w:pPr>
              <w:pStyle w:val="Tabletext"/>
              <w:spacing w:before="0" w:after="0"/>
              <w:jc w:val="center"/>
            </w:pPr>
            <w:r w:rsidRPr="00FF1CF7">
              <w:t>2</w:t>
            </w:r>
          </w:p>
        </w:tc>
        <w:tc>
          <w:tcPr>
            <w:tcW w:w="1701" w:type="dxa"/>
            <w:tcMar>
              <w:left w:w="85" w:type="dxa"/>
              <w:right w:w="85" w:type="dxa"/>
            </w:tcMar>
            <w:vAlign w:val="center"/>
          </w:tcPr>
          <w:p w:rsidR="00485D6F" w:rsidRPr="00FF1CF7" w:rsidRDefault="00485D6F" w:rsidP="004B4966">
            <w:pPr>
              <w:pStyle w:val="Tabletext"/>
              <w:spacing w:before="0" w:after="0"/>
              <w:jc w:val="center"/>
            </w:pPr>
            <w:r w:rsidRPr="00FF1CF7">
              <w:t>0 (0.0%)</w:t>
            </w:r>
          </w:p>
        </w:tc>
        <w:tc>
          <w:tcPr>
            <w:tcW w:w="1559" w:type="dxa"/>
            <w:tcMar>
              <w:left w:w="85" w:type="dxa"/>
              <w:right w:w="85" w:type="dxa"/>
            </w:tcMar>
            <w:vAlign w:val="center"/>
          </w:tcPr>
          <w:p w:rsidR="00485D6F" w:rsidRPr="00FF1CF7" w:rsidRDefault="00485D6F" w:rsidP="004B4966">
            <w:pPr>
              <w:pStyle w:val="Tabletext"/>
              <w:spacing w:before="0" w:after="0"/>
              <w:jc w:val="center"/>
            </w:pPr>
            <w:r w:rsidRPr="00FF1CF7">
              <w:t>0</w:t>
            </w:r>
          </w:p>
        </w:tc>
      </w:tr>
      <w:tr w:rsidR="00485D6F" w:rsidRPr="00FF1CF7" w:rsidTr="004B4966">
        <w:trPr>
          <w:cantSplit/>
          <w:trHeight w:val="163"/>
        </w:trPr>
        <w:tc>
          <w:tcPr>
            <w:tcW w:w="2835" w:type="dxa"/>
            <w:tcBorders>
              <w:right w:val="nil"/>
            </w:tcBorders>
            <w:vAlign w:val="center"/>
          </w:tcPr>
          <w:p w:rsidR="00485D6F" w:rsidRPr="00FF1CF7" w:rsidRDefault="00485D6F" w:rsidP="004B4966">
            <w:pPr>
              <w:pStyle w:val="Tabletext"/>
              <w:spacing w:before="0" w:after="0"/>
            </w:pPr>
            <w:r w:rsidRPr="00FF1CF7">
              <w:t>Non-Serious ADEs</w:t>
            </w:r>
          </w:p>
        </w:tc>
        <w:tc>
          <w:tcPr>
            <w:tcW w:w="1820" w:type="dxa"/>
            <w:tcMar>
              <w:left w:w="85" w:type="dxa"/>
              <w:right w:w="85" w:type="dxa"/>
            </w:tcMar>
            <w:vAlign w:val="center"/>
          </w:tcPr>
          <w:p w:rsidR="00485D6F" w:rsidRPr="00FF1CF7" w:rsidRDefault="00485D6F" w:rsidP="004B4966">
            <w:pPr>
              <w:pStyle w:val="Tabletext"/>
              <w:spacing w:before="0" w:after="0"/>
              <w:jc w:val="center"/>
            </w:pPr>
            <w:r w:rsidRPr="00FF1CF7">
              <w:t>5 (1.9%)</w:t>
            </w:r>
          </w:p>
        </w:tc>
        <w:tc>
          <w:tcPr>
            <w:tcW w:w="1157" w:type="dxa"/>
            <w:tcMar>
              <w:left w:w="85" w:type="dxa"/>
              <w:right w:w="85" w:type="dxa"/>
            </w:tcMar>
            <w:vAlign w:val="center"/>
          </w:tcPr>
          <w:p w:rsidR="00485D6F" w:rsidRPr="00FF1CF7" w:rsidRDefault="00485D6F" w:rsidP="004B4966">
            <w:pPr>
              <w:pStyle w:val="Tabletext"/>
              <w:spacing w:before="0" w:after="0"/>
              <w:jc w:val="center"/>
            </w:pPr>
            <w:r w:rsidRPr="00FF1CF7">
              <w:t>6</w:t>
            </w:r>
          </w:p>
        </w:tc>
        <w:tc>
          <w:tcPr>
            <w:tcW w:w="1701" w:type="dxa"/>
            <w:tcMar>
              <w:left w:w="85" w:type="dxa"/>
              <w:right w:w="85" w:type="dxa"/>
            </w:tcMar>
            <w:vAlign w:val="center"/>
          </w:tcPr>
          <w:p w:rsidR="00485D6F" w:rsidRPr="00FF1CF7" w:rsidRDefault="00485D6F" w:rsidP="004B4966">
            <w:pPr>
              <w:pStyle w:val="Tabletext"/>
              <w:spacing w:before="0" w:after="0"/>
              <w:jc w:val="center"/>
            </w:pPr>
            <w:r w:rsidRPr="00FF1CF7">
              <w:t>7 (2.5%)</w:t>
            </w:r>
          </w:p>
        </w:tc>
        <w:tc>
          <w:tcPr>
            <w:tcW w:w="1559" w:type="dxa"/>
            <w:tcMar>
              <w:left w:w="85" w:type="dxa"/>
              <w:right w:w="85" w:type="dxa"/>
            </w:tcMar>
            <w:vAlign w:val="center"/>
          </w:tcPr>
          <w:p w:rsidR="00485D6F" w:rsidRPr="00FF1CF7" w:rsidRDefault="00485D6F" w:rsidP="004B4966">
            <w:pPr>
              <w:pStyle w:val="Tabletext"/>
              <w:spacing w:before="0" w:after="0"/>
              <w:jc w:val="center"/>
            </w:pPr>
            <w:r w:rsidRPr="00FF1CF7">
              <w:t>11</w:t>
            </w:r>
          </w:p>
        </w:tc>
      </w:tr>
      <w:tr w:rsidR="00485D6F" w:rsidRPr="00FF1CF7" w:rsidTr="004B4966">
        <w:trPr>
          <w:cantSplit/>
          <w:trHeight w:val="68"/>
        </w:trPr>
        <w:tc>
          <w:tcPr>
            <w:tcW w:w="2835" w:type="dxa"/>
            <w:tcBorders>
              <w:right w:val="nil"/>
            </w:tcBorders>
            <w:vAlign w:val="center"/>
          </w:tcPr>
          <w:p w:rsidR="00485D6F" w:rsidRPr="00FF1CF7" w:rsidRDefault="00485D6F" w:rsidP="004B4966">
            <w:pPr>
              <w:pStyle w:val="Tabletext"/>
              <w:spacing w:before="0" w:after="0"/>
            </w:pPr>
            <w:r w:rsidRPr="00FF1CF7">
              <w:t>Anticipated AEs (up to 30 days)</w:t>
            </w:r>
          </w:p>
        </w:tc>
        <w:tc>
          <w:tcPr>
            <w:tcW w:w="1820" w:type="dxa"/>
            <w:tcMar>
              <w:left w:w="85" w:type="dxa"/>
              <w:right w:w="85" w:type="dxa"/>
            </w:tcMar>
            <w:vAlign w:val="center"/>
          </w:tcPr>
          <w:p w:rsidR="00485D6F" w:rsidRPr="00FF1CF7" w:rsidRDefault="00485D6F" w:rsidP="004B4966">
            <w:pPr>
              <w:pStyle w:val="Tabletext"/>
              <w:spacing w:before="0" w:after="0"/>
              <w:jc w:val="center"/>
            </w:pPr>
            <w:r w:rsidRPr="00FF1CF7">
              <w:t>38 (14.1%)</w:t>
            </w:r>
          </w:p>
        </w:tc>
        <w:tc>
          <w:tcPr>
            <w:tcW w:w="1157" w:type="dxa"/>
            <w:tcMar>
              <w:left w:w="85" w:type="dxa"/>
              <w:right w:w="85" w:type="dxa"/>
            </w:tcMar>
            <w:vAlign w:val="center"/>
          </w:tcPr>
          <w:p w:rsidR="00485D6F" w:rsidRPr="00FF1CF7" w:rsidRDefault="00485D6F" w:rsidP="004B4966">
            <w:pPr>
              <w:jc w:val="center"/>
              <w:rPr>
                <w:rFonts w:ascii="Arial Narrow" w:hAnsi="Arial Narrow"/>
                <w:sz w:val="20"/>
              </w:rPr>
            </w:pPr>
            <w:r w:rsidRPr="00FF1CF7">
              <w:rPr>
                <w:rFonts w:ascii="Arial Narrow" w:hAnsi="Arial Narrow"/>
                <w:sz w:val="20"/>
              </w:rPr>
              <w:t>47</w:t>
            </w:r>
          </w:p>
        </w:tc>
        <w:tc>
          <w:tcPr>
            <w:tcW w:w="1701" w:type="dxa"/>
            <w:tcMar>
              <w:left w:w="85" w:type="dxa"/>
              <w:right w:w="85" w:type="dxa"/>
            </w:tcMar>
            <w:vAlign w:val="center"/>
          </w:tcPr>
          <w:p w:rsidR="00485D6F" w:rsidRPr="00FF1CF7" w:rsidRDefault="00485D6F" w:rsidP="004B4966">
            <w:pPr>
              <w:pStyle w:val="Tabletext"/>
              <w:spacing w:before="0" w:after="0"/>
              <w:jc w:val="center"/>
            </w:pPr>
            <w:r w:rsidRPr="00FF1CF7">
              <w:t>31 (11.1%)</w:t>
            </w:r>
          </w:p>
        </w:tc>
        <w:tc>
          <w:tcPr>
            <w:tcW w:w="1559" w:type="dxa"/>
            <w:tcMar>
              <w:left w:w="85" w:type="dxa"/>
              <w:right w:w="85" w:type="dxa"/>
            </w:tcMar>
            <w:vAlign w:val="center"/>
          </w:tcPr>
          <w:p w:rsidR="00485D6F" w:rsidRPr="00FF1CF7" w:rsidRDefault="00485D6F" w:rsidP="004B4966">
            <w:pPr>
              <w:pStyle w:val="Tabletext"/>
              <w:spacing w:before="0" w:after="0"/>
              <w:jc w:val="center"/>
            </w:pPr>
            <w:r w:rsidRPr="00FF1CF7">
              <w:t>34</w:t>
            </w:r>
          </w:p>
        </w:tc>
      </w:tr>
      <w:tr w:rsidR="00485D6F" w:rsidRPr="00FF1CF7" w:rsidTr="004B4966">
        <w:trPr>
          <w:cantSplit/>
          <w:trHeight w:val="160"/>
        </w:trPr>
        <w:tc>
          <w:tcPr>
            <w:tcW w:w="2835" w:type="dxa"/>
            <w:tcBorders>
              <w:right w:val="nil"/>
            </w:tcBorders>
            <w:vAlign w:val="center"/>
          </w:tcPr>
          <w:p w:rsidR="00485D6F" w:rsidRPr="00FF1CF7" w:rsidRDefault="00485D6F" w:rsidP="004B4966">
            <w:pPr>
              <w:pStyle w:val="Tabletext"/>
              <w:spacing w:before="0" w:after="0"/>
            </w:pPr>
            <w:r w:rsidRPr="00FF1CF7">
              <w:t>Anticipated SAEs</w:t>
            </w:r>
          </w:p>
        </w:tc>
        <w:tc>
          <w:tcPr>
            <w:tcW w:w="1820" w:type="dxa"/>
            <w:tcMar>
              <w:left w:w="85" w:type="dxa"/>
              <w:right w:w="85" w:type="dxa"/>
            </w:tcMar>
            <w:vAlign w:val="center"/>
          </w:tcPr>
          <w:p w:rsidR="00485D6F" w:rsidRPr="00FF1CF7" w:rsidRDefault="00485D6F" w:rsidP="004B4966">
            <w:pPr>
              <w:pStyle w:val="Tabletext"/>
              <w:spacing w:before="0" w:after="0"/>
              <w:jc w:val="center"/>
            </w:pPr>
            <w:r w:rsidRPr="00FF1CF7">
              <w:t>0 (0.0%)</w:t>
            </w:r>
          </w:p>
        </w:tc>
        <w:tc>
          <w:tcPr>
            <w:tcW w:w="1157" w:type="dxa"/>
            <w:tcMar>
              <w:left w:w="85" w:type="dxa"/>
              <w:right w:w="85" w:type="dxa"/>
            </w:tcMar>
            <w:vAlign w:val="center"/>
          </w:tcPr>
          <w:p w:rsidR="00485D6F" w:rsidRPr="00FF1CF7" w:rsidRDefault="00485D6F" w:rsidP="004B4966">
            <w:pPr>
              <w:pStyle w:val="Tabletext"/>
              <w:spacing w:before="0" w:after="0"/>
              <w:jc w:val="center"/>
            </w:pPr>
            <w:r w:rsidRPr="00FF1CF7">
              <w:t>0</w:t>
            </w:r>
          </w:p>
        </w:tc>
        <w:tc>
          <w:tcPr>
            <w:tcW w:w="1701" w:type="dxa"/>
            <w:tcMar>
              <w:left w:w="85" w:type="dxa"/>
              <w:right w:w="85" w:type="dxa"/>
            </w:tcMar>
            <w:vAlign w:val="center"/>
          </w:tcPr>
          <w:p w:rsidR="00485D6F" w:rsidRPr="00FF1CF7" w:rsidRDefault="00485D6F" w:rsidP="004B4966">
            <w:pPr>
              <w:pStyle w:val="Tabletext"/>
              <w:spacing w:before="0" w:after="0"/>
              <w:jc w:val="center"/>
            </w:pPr>
            <w:r w:rsidRPr="00FF1CF7">
              <w:t>0 (0.0%)</w:t>
            </w:r>
          </w:p>
        </w:tc>
        <w:tc>
          <w:tcPr>
            <w:tcW w:w="1559" w:type="dxa"/>
            <w:tcMar>
              <w:left w:w="85" w:type="dxa"/>
              <w:right w:w="85" w:type="dxa"/>
            </w:tcMar>
            <w:vAlign w:val="center"/>
          </w:tcPr>
          <w:p w:rsidR="00485D6F" w:rsidRPr="00FF1CF7" w:rsidRDefault="00485D6F" w:rsidP="004B4966">
            <w:pPr>
              <w:pStyle w:val="Tabletext"/>
              <w:spacing w:before="0" w:after="0"/>
              <w:jc w:val="center"/>
            </w:pPr>
            <w:r w:rsidRPr="00FF1CF7">
              <w:t>0</w:t>
            </w:r>
          </w:p>
        </w:tc>
      </w:tr>
      <w:tr w:rsidR="00485D6F" w:rsidRPr="00FF1CF7" w:rsidTr="004B4966">
        <w:trPr>
          <w:cantSplit/>
          <w:trHeight w:val="47"/>
        </w:trPr>
        <w:tc>
          <w:tcPr>
            <w:tcW w:w="2835" w:type="dxa"/>
            <w:tcBorders>
              <w:right w:val="nil"/>
            </w:tcBorders>
            <w:vAlign w:val="center"/>
          </w:tcPr>
          <w:p w:rsidR="00485D6F" w:rsidRPr="00FF1CF7" w:rsidRDefault="00485D6F" w:rsidP="004B4966">
            <w:pPr>
              <w:pStyle w:val="Tabletext"/>
              <w:spacing w:before="0" w:after="0"/>
            </w:pPr>
            <w:r w:rsidRPr="00FF1CF7">
              <w:t>SAEs</w:t>
            </w:r>
          </w:p>
        </w:tc>
        <w:tc>
          <w:tcPr>
            <w:tcW w:w="1820" w:type="dxa"/>
            <w:tcMar>
              <w:left w:w="85" w:type="dxa"/>
              <w:right w:w="85" w:type="dxa"/>
            </w:tcMar>
            <w:vAlign w:val="center"/>
          </w:tcPr>
          <w:p w:rsidR="00485D6F" w:rsidRPr="00FF1CF7" w:rsidRDefault="00485D6F" w:rsidP="004B4966">
            <w:pPr>
              <w:pStyle w:val="Tabletext"/>
              <w:spacing w:before="0" w:after="0"/>
              <w:jc w:val="center"/>
            </w:pPr>
            <w:r w:rsidRPr="00FF1CF7">
              <w:t>121 (44.8%)</w:t>
            </w:r>
          </w:p>
        </w:tc>
        <w:tc>
          <w:tcPr>
            <w:tcW w:w="1157" w:type="dxa"/>
            <w:tcMar>
              <w:left w:w="85" w:type="dxa"/>
              <w:right w:w="85" w:type="dxa"/>
            </w:tcMar>
            <w:vAlign w:val="center"/>
          </w:tcPr>
          <w:p w:rsidR="00485D6F" w:rsidRPr="00FF1CF7" w:rsidRDefault="00836063" w:rsidP="004B4966">
            <w:pPr>
              <w:jc w:val="center"/>
              <w:rPr>
                <w:rFonts w:ascii="Arial Narrow" w:hAnsi="Arial Narrow"/>
                <w:sz w:val="20"/>
              </w:rPr>
            </w:pPr>
            <w:r>
              <w:rPr>
                <w:rFonts w:ascii="Arial Narrow" w:hAnsi="Arial Narrow"/>
                <w:sz w:val="20"/>
              </w:rPr>
              <w:t>339</w:t>
            </w:r>
          </w:p>
        </w:tc>
        <w:tc>
          <w:tcPr>
            <w:tcW w:w="1701" w:type="dxa"/>
            <w:tcMar>
              <w:left w:w="85" w:type="dxa"/>
              <w:right w:w="85" w:type="dxa"/>
            </w:tcMar>
            <w:vAlign w:val="center"/>
          </w:tcPr>
          <w:p w:rsidR="00485D6F" w:rsidRPr="00FF1CF7" w:rsidRDefault="00485D6F" w:rsidP="004B4966">
            <w:pPr>
              <w:pStyle w:val="Tabletext"/>
              <w:spacing w:before="0" w:after="0"/>
              <w:jc w:val="center"/>
            </w:pPr>
            <w:r w:rsidRPr="00FF1CF7">
              <w:t>155 (55.4%)</w:t>
            </w:r>
          </w:p>
        </w:tc>
        <w:tc>
          <w:tcPr>
            <w:tcW w:w="1559" w:type="dxa"/>
            <w:tcMar>
              <w:left w:w="85" w:type="dxa"/>
              <w:right w:w="85" w:type="dxa"/>
            </w:tcMar>
            <w:vAlign w:val="center"/>
          </w:tcPr>
          <w:p w:rsidR="00485D6F" w:rsidRPr="00FF1CF7" w:rsidRDefault="00485D6F" w:rsidP="004B4966">
            <w:pPr>
              <w:jc w:val="center"/>
              <w:rPr>
                <w:rFonts w:ascii="Arial Narrow" w:hAnsi="Arial Narrow"/>
                <w:sz w:val="20"/>
              </w:rPr>
            </w:pPr>
            <w:r w:rsidRPr="00FF1CF7">
              <w:rPr>
                <w:rFonts w:ascii="Arial Narrow" w:hAnsi="Arial Narrow"/>
                <w:sz w:val="20"/>
              </w:rPr>
              <w:t>385</w:t>
            </w:r>
          </w:p>
        </w:tc>
      </w:tr>
      <w:tr w:rsidR="00485D6F" w:rsidRPr="00FF1CF7" w:rsidTr="004B4966">
        <w:trPr>
          <w:cantSplit/>
          <w:trHeight w:val="151"/>
        </w:trPr>
        <w:tc>
          <w:tcPr>
            <w:tcW w:w="2835" w:type="dxa"/>
            <w:tcBorders>
              <w:right w:val="nil"/>
            </w:tcBorders>
            <w:vAlign w:val="center"/>
          </w:tcPr>
          <w:p w:rsidR="00485D6F" w:rsidRPr="00FF1CF7" w:rsidRDefault="00485D6F" w:rsidP="004B4966">
            <w:pPr>
              <w:pStyle w:val="Tabletext"/>
              <w:keepNext/>
              <w:keepLines/>
              <w:spacing w:before="0" w:after="0"/>
            </w:pPr>
            <w:r w:rsidRPr="00FF1CF7">
              <w:t>Non-Serious AEs</w:t>
            </w:r>
          </w:p>
        </w:tc>
        <w:tc>
          <w:tcPr>
            <w:tcW w:w="1820" w:type="dxa"/>
            <w:tcMar>
              <w:left w:w="85" w:type="dxa"/>
              <w:right w:w="85" w:type="dxa"/>
            </w:tcMar>
            <w:vAlign w:val="center"/>
          </w:tcPr>
          <w:p w:rsidR="00485D6F" w:rsidRPr="00FF1CF7" w:rsidRDefault="00485D6F" w:rsidP="004B4966">
            <w:pPr>
              <w:pStyle w:val="Tabletext"/>
              <w:keepNext/>
              <w:keepLines/>
              <w:spacing w:before="0" w:after="0"/>
              <w:jc w:val="center"/>
            </w:pPr>
            <w:r w:rsidRPr="00FF1CF7">
              <w:t>175 (64.8%)</w:t>
            </w:r>
          </w:p>
        </w:tc>
        <w:tc>
          <w:tcPr>
            <w:tcW w:w="1157" w:type="dxa"/>
            <w:tcMar>
              <w:left w:w="85" w:type="dxa"/>
              <w:right w:w="85" w:type="dxa"/>
            </w:tcMar>
            <w:vAlign w:val="center"/>
          </w:tcPr>
          <w:p w:rsidR="00485D6F" w:rsidRPr="00FF1CF7" w:rsidRDefault="00485D6F" w:rsidP="004B4966">
            <w:pPr>
              <w:pStyle w:val="Tabletext"/>
              <w:keepNext/>
              <w:keepLines/>
              <w:spacing w:before="0" w:after="0"/>
              <w:jc w:val="center"/>
            </w:pPr>
            <w:r w:rsidRPr="00FF1CF7">
              <w:t>603</w:t>
            </w:r>
          </w:p>
        </w:tc>
        <w:tc>
          <w:tcPr>
            <w:tcW w:w="1701" w:type="dxa"/>
            <w:tcMar>
              <w:left w:w="85" w:type="dxa"/>
              <w:right w:w="85" w:type="dxa"/>
            </w:tcMar>
            <w:vAlign w:val="center"/>
          </w:tcPr>
          <w:p w:rsidR="00485D6F" w:rsidRPr="00FF1CF7" w:rsidRDefault="00485D6F" w:rsidP="004B4966">
            <w:pPr>
              <w:pStyle w:val="Tabletext"/>
              <w:keepNext/>
              <w:keepLines/>
              <w:spacing w:before="0" w:after="0"/>
              <w:jc w:val="center"/>
            </w:pPr>
            <w:r w:rsidRPr="00FF1CF7">
              <w:t>174 (62.1%)</w:t>
            </w:r>
          </w:p>
        </w:tc>
        <w:tc>
          <w:tcPr>
            <w:tcW w:w="1559" w:type="dxa"/>
            <w:tcMar>
              <w:left w:w="85" w:type="dxa"/>
              <w:right w:w="85" w:type="dxa"/>
            </w:tcMar>
            <w:vAlign w:val="center"/>
          </w:tcPr>
          <w:p w:rsidR="00485D6F" w:rsidRPr="00FF1CF7" w:rsidRDefault="00485D6F" w:rsidP="004B4966">
            <w:pPr>
              <w:pStyle w:val="Tabletext"/>
              <w:keepNext/>
              <w:keepLines/>
              <w:spacing w:before="0" w:after="0"/>
              <w:jc w:val="center"/>
            </w:pPr>
            <w:r w:rsidRPr="00FF1CF7">
              <w:t>505</w:t>
            </w:r>
          </w:p>
        </w:tc>
      </w:tr>
    </w:tbl>
    <w:p w:rsidR="00485D6F" w:rsidRPr="00FF1CF7" w:rsidRDefault="00485D6F" w:rsidP="00485D6F">
      <w:pPr>
        <w:pStyle w:val="Tablecaption"/>
        <w:rPr>
          <w:sz w:val="18"/>
          <w:szCs w:val="18"/>
        </w:rPr>
      </w:pPr>
      <w:r w:rsidRPr="00FF1CF7">
        <w:rPr>
          <w:sz w:val="18"/>
          <w:szCs w:val="18"/>
        </w:rPr>
        <w:t>Source: Table B.6</w:t>
      </w:r>
      <w:r>
        <w:rPr>
          <w:sz w:val="18"/>
          <w:szCs w:val="18"/>
        </w:rPr>
        <w:t>-</w:t>
      </w:r>
      <w:r w:rsidRPr="00FF1CF7">
        <w:rPr>
          <w:sz w:val="18"/>
          <w:szCs w:val="18"/>
        </w:rPr>
        <w:t>6, p</w:t>
      </w:r>
      <w:r>
        <w:rPr>
          <w:sz w:val="18"/>
          <w:szCs w:val="18"/>
        </w:rPr>
        <w:t>4</w:t>
      </w:r>
      <w:r w:rsidRPr="00FF1CF7">
        <w:rPr>
          <w:sz w:val="18"/>
          <w:szCs w:val="18"/>
        </w:rPr>
        <w:t xml:space="preserve">6 of the </w:t>
      </w:r>
      <w:r w:rsidR="004B4966">
        <w:t>application</w:t>
      </w:r>
    </w:p>
    <w:p w:rsidR="00485D6F" w:rsidRPr="00FD23C0" w:rsidRDefault="00485D6F" w:rsidP="00485D6F">
      <w:pPr>
        <w:pStyle w:val="Tablecaption"/>
        <w:rPr>
          <w:sz w:val="18"/>
          <w:szCs w:val="18"/>
        </w:rPr>
      </w:pPr>
      <w:r w:rsidRPr="00FF1CF7">
        <w:rPr>
          <w:sz w:val="18"/>
          <w:szCs w:val="18"/>
        </w:rPr>
        <w:t xml:space="preserve">ADEs = </w:t>
      </w:r>
      <w:r>
        <w:rPr>
          <w:sz w:val="18"/>
          <w:szCs w:val="18"/>
        </w:rPr>
        <w:t>a</w:t>
      </w:r>
      <w:r w:rsidRPr="00FF1CF7">
        <w:rPr>
          <w:sz w:val="18"/>
          <w:szCs w:val="18"/>
        </w:rPr>
        <w:t xml:space="preserve">dverse device events; AEs = adverse events; SADEs = </w:t>
      </w:r>
      <w:r>
        <w:rPr>
          <w:sz w:val="18"/>
          <w:szCs w:val="18"/>
        </w:rPr>
        <w:t>s</w:t>
      </w:r>
      <w:r w:rsidRPr="00FF1CF7">
        <w:rPr>
          <w:sz w:val="18"/>
          <w:szCs w:val="18"/>
        </w:rPr>
        <w:t>erious adverse device events</w:t>
      </w:r>
      <w:r>
        <w:rPr>
          <w:sz w:val="18"/>
          <w:szCs w:val="18"/>
        </w:rPr>
        <w:t>; SAEs = serious adverse events</w:t>
      </w:r>
    </w:p>
    <w:p w:rsidR="00485D6F" w:rsidRPr="00836063" w:rsidRDefault="00485D6F" w:rsidP="00485D6F">
      <w:pPr>
        <w:rPr>
          <w:szCs w:val="24"/>
        </w:rPr>
      </w:pPr>
    </w:p>
    <w:p w:rsidR="00485D6F" w:rsidRPr="00A32495" w:rsidRDefault="00485D6F" w:rsidP="00485D6F">
      <w:pPr>
        <w:tabs>
          <w:tab w:val="left" w:pos="720"/>
        </w:tabs>
      </w:pPr>
      <w:r w:rsidRPr="00FF1CF7">
        <w:t xml:space="preserve">The </w:t>
      </w:r>
      <w:r w:rsidR="004B4966">
        <w:t>application</w:t>
      </w:r>
      <w:r w:rsidRPr="00FF1CF7">
        <w:t xml:space="preserve"> claimed that the intervention </w:t>
      </w:r>
      <w:r>
        <w:t>was</w:t>
      </w:r>
      <w:r w:rsidRPr="00FF1CF7">
        <w:t xml:space="preserve"> non-inferior in terms of safety compared to standard care. </w:t>
      </w:r>
      <w:r>
        <w:t>The independent critique considered that t</w:t>
      </w:r>
      <w:r w:rsidRPr="00357C14">
        <w:t xml:space="preserve">his </w:t>
      </w:r>
      <w:r>
        <w:t xml:space="preserve">may </w:t>
      </w:r>
      <w:r w:rsidRPr="00357C14">
        <w:t xml:space="preserve">not be reasonable because the control arm in the CHAMPION trial </w:t>
      </w:r>
      <w:r>
        <w:t>was</w:t>
      </w:r>
      <w:r w:rsidRPr="00357C14">
        <w:t xml:space="preserve"> not strictly ‘standard care’</w:t>
      </w:r>
      <w:r w:rsidR="00836063">
        <w:t>,</w:t>
      </w:r>
      <w:r w:rsidRPr="00357C14">
        <w:t xml:space="preserve"> patients in the control arm were implanted with the device before randomisation</w:t>
      </w:r>
      <w:r w:rsidR="00836063">
        <w:t>,</w:t>
      </w:r>
      <w:r w:rsidRPr="00357C14">
        <w:t xml:space="preserve"> and there were device-related and system-related complications in both arms.</w:t>
      </w:r>
    </w:p>
    <w:p w:rsidR="00BC1364" w:rsidRPr="00836063" w:rsidRDefault="00BC1364" w:rsidP="00DD2858">
      <w:pPr>
        <w:pStyle w:val="ListParagraph"/>
        <w:ind w:left="0"/>
        <w:rPr>
          <w:szCs w:val="24"/>
        </w:rPr>
      </w:pPr>
    </w:p>
    <w:p w:rsidR="00BC1364" w:rsidRPr="008D5885" w:rsidRDefault="00BC1364" w:rsidP="007B32D1">
      <w:pPr>
        <w:pStyle w:val="Heading1"/>
        <w:numPr>
          <w:ilvl w:val="0"/>
          <w:numId w:val="23"/>
        </w:numPr>
        <w:ind w:hanging="720"/>
      </w:pPr>
      <w:r w:rsidRPr="008D5885">
        <w:t>Comparative effectiveness</w:t>
      </w:r>
    </w:p>
    <w:p w:rsidR="00BC1364" w:rsidRPr="00836063" w:rsidRDefault="00BC1364" w:rsidP="00DD2858"/>
    <w:p w:rsidR="00485D6F" w:rsidRPr="00C0244F" w:rsidRDefault="00485D6F" w:rsidP="00485D6F">
      <w:pPr>
        <w:tabs>
          <w:tab w:val="left" w:pos="720"/>
          <w:tab w:val="left" w:pos="1140"/>
        </w:tabs>
        <w:rPr>
          <w:szCs w:val="24"/>
        </w:rPr>
      </w:pPr>
      <w:r w:rsidRPr="00C0244F">
        <w:rPr>
          <w:szCs w:val="24"/>
        </w:rPr>
        <w:t xml:space="preserve">The </w:t>
      </w:r>
      <w:r w:rsidR="004B4966">
        <w:t>application</w:t>
      </w:r>
      <w:r w:rsidRPr="00C0244F">
        <w:rPr>
          <w:szCs w:val="24"/>
        </w:rPr>
        <w:t xml:space="preserve"> presented evidence on the efficacy of the intervention through the CHAMPION trial</w:t>
      </w:r>
      <w:r w:rsidR="00836063">
        <w:rPr>
          <w:szCs w:val="24"/>
        </w:rPr>
        <w:t>.</w:t>
      </w:r>
      <w:r w:rsidRPr="00C0244F">
        <w:rPr>
          <w:szCs w:val="24"/>
        </w:rPr>
        <w:t xml:space="preserve"> The primary efficacy endpoint of the trial was the rate of heart failure-related hospitalisations within six months of implantation. Secondary endpoints included: change in pulmonary artery pressure from baseline, proportion of patients admitted to hospital for heart failure, days alive outside hospital for heart failure and di</w:t>
      </w:r>
      <w:r w:rsidR="00836063">
        <w:rPr>
          <w:szCs w:val="24"/>
        </w:rPr>
        <w:t>sease-specific quality of life.</w:t>
      </w:r>
    </w:p>
    <w:p w:rsidR="00485D6F" w:rsidRPr="00C0244F" w:rsidRDefault="00485D6F" w:rsidP="00485D6F">
      <w:pPr>
        <w:tabs>
          <w:tab w:val="left" w:pos="720"/>
          <w:tab w:val="left" w:pos="1140"/>
        </w:tabs>
        <w:rPr>
          <w:szCs w:val="24"/>
        </w:rPr>
      </w:pPr>
    </w:p>
    <w:p w:rsidR="00485D6F" w:rsidRDefault="00485D6F" w:rsidP="00485D6F">
      <w:pPr>
        <w:tabs>
          <w:tab w:val="left" w:pos="720"/>
          <w:tab w:val="left" w:pos="1140"/>
        </w:tabs>
        <w:rPr>
          <w:szCs w:val="24"/>
        </w:rPr>
      </w:pPr>
      <w:r w:rsidRPr="00C0244F">
        <w:rPr>
          <w:szCs w:val="24"/>
        </w:rPr>
        <w:t>The independent critique considered that, although the measures taken by investigators to minimise bias in the comparative randomised trials were sufficient, the risk of bias in the CHAMPION trial was high as the investigators and outcome assessors were not blinded. It also considered that six-month follow-up data may not be sufficient to inform a model with a long duration</w:t>
      </w:r>
      <w:r w:rsidR="00836063">
        <w:rPr>
          <w:szCs w:val="24"/>
        </w:rPr>
        <w:t>,</w:t>
      </w:r>
      <w:r w:rsidRPr="00C0244F">
        <w:rPr>
          <w:szCs w:val="24"/>
        </w:rPr>
        <w:t xml:space="preserve"> but considered the data from the open access period info</w:t>
      </w:r>
      <w:r>
        <w:rPr>
          <w:szCs w:val="24"/>
        </w:rPr>
        <w:t>rmative for the economic model.</w:t>
      </w:r>
    </w:p>
    <w:p w:rsidR="00485D6F" w:rsidRPr="00C0244F" w:rsidRDefault="00485D6F" w:rsidP="00485D6F">
      <w:pPr>
        <w:tabs>
          <w:tab w:val="left" w:pos="720"/>
          <w:tab w:val="left" w:pos="1140"/>
        </w:tabs>
        <w:rPr>
          <w:szCs w:val="24"/>
        </w:rPr>
      </w:pPr>
    </w:p>
    <w:p w:rsidR="00485D6F" w:rsidRDefault="00485D6F" w:rsidP="00485D6F">
      <w:pPr>
        <w:rPr>
          <w:szCs w:val="24"/>
        </w:rPr>
      </w:pPr>
      <w:r w:rsidRPr="00242926">
        <w:rPr>
          <w:szCs w:val="24"/>
        </w:rPr>
        <w:t xml:space="preserve">The </w:t>
      </w:r>
      <w:r w:rsidR="004B4966">
        <w:t>application</w:t>
      </w:r>
      <w:r w:rsidRPr="00242926">
        <w:rPr>
          <w:szCs w:val="24"/>
        </w:rPr>
        <w:t xml:space="preserve"> excluded two other direct randomised trials: the </w:t>
      </w:r>
      <w:proofErr w:type="spellStart"/>
      <w:r w:rsidRPr="00242926">
        <w:rPr>
          <w:szCs w:val="24"/>
        </w:rPr>
        <w:t>REDUCEhf</w:t>
      </w:r>
      <w:proofErr w:type="spellEnd"/>
      <w:r w:rsidRPr="00242926">
        <w:rPr>
          <w:szCs w:val="24"/>
        </w:rPr>
        <w:t xml:space="preserve"> trial; and the COMPASS-HF study trial. The independent critique supported e</w:t>
      </w:r>
      <w:r w:rsidR="00836063">
        <w:rPr>
          <w:szCs w:val="24"/>
        </w:rPr>
        <w:t>xc</w:t>
      </w:r>
      <w:r w:rsidRPr="00242926">
        <w:rPr>
          <w:szCs w:val="24"/>
        </w:rPr>
        <w:t xml:space="preserve">lusion of the </w:t>
      </w:r>
      <w:proofErr w:type="spellStart"/>
      <w:r w:rsidRPr="00242926">
        <w:rPr>
          <w:szCs w:val="24"/>
        </w:rPr>
        <w:t>REDUCEhf</w:t>
      </w:r>
      <w:proofErr w:type="spellEnd"/>
      <w:r w:rsidRPr="00242926">
        <w:rPr>
          <w:szCs w:val="24"/>
        </w:rPr>
        <w:t xml:space="preserve"> trial, but considered that exclusion of the COMPASS-HF study was inappropriate, and noted that 86% of patients had NYHA class III and the trial was </w:t>
      </w:r>
      <w:r w:rsidR="00E30948">
        <w:rPr>
          <w:szCs w:val="24"/>
        </w:rPr>
        <w:t>initially</w:t>
      </w:r>
      <w:r w:rsidRPr="00242926">
        <w:rPr>
          <w:szCs w:val="24"/>
        </w:rPr>
        <w:t xml:space="preserve"> powered to satisfy all efficacy and safety endpoints (</w:t>
      </w:r>
      <w:proofErr w:type="spellStart"/>
      <w:r w:rsidRPr="00242926">
        <w:rPr>
          <w:szCs w:val="24"/>
        </w:rPr>
        <w:t>Bourge</w:t>
      </w:r>
      <w:proofErr w:type="spellEnd"/>
      <w:r w:rsidRPr="00242926">
        <w:rPr>
          <w:szCs w:val="24"/>
        </w:rPr>
        <w:t xml:space="preserve"> et al, 2008). The critique considered that the study’s use of negative binomial regression was correct for count data analyses and noted that all other patient characteristics were similar to the CHAMPION trial.</w:t>
      </w:r>
      <w:r w:rsidRPr="00836063">
        <w:rPr>
          <w:szCs w:val="24"/>
        </w:rPr>
        <w:t xml:space="preserve"> ESC supported the </w:t>
      </w:r>
      <w:r w:rsidRPr="00467B89">
        <w:rPr>
          <w:szCs w:val="24"/>
        </w:rPr>
        <w:t>applicant’s exclusion of this trial on the basis that COMPASS</w:t>
      </w:r>
      <w:r w:rsidR="00836063">
        <w:rPr>
          <w:szCs w:val="24"/>
        </w:rPr>
        <w:t>-HF</w:t>
      </w:r>
      <w:r w:rsidRPr="00467B89">
        <w:rPr>
          <w:szCs w:val="24"/>
        </w:rPr>
        <w:t xml:space="preserve"> included a patient population with more advanced disease.</w:t>
      </w:r>
    </w:p>
    <w:p w:rsidR="00217ED8" w:rsidRPr="00242926" w:rsidRDefault="00217ED8" w:rsidP="00485D6F">
      <w:pPr>
        <w:rPr>
          <w:i/>
          <w:szCs w:val="24"/>
        </w:rPr>
      </w:pPr>
    </w:p>
    <w:p w:rsidR="00485D6F" w:rsidRPr="00467B89" w:rsidRDefault="00485D6F" w:rsidP="00217ED8">
      <w:pPr>
        <w:rPr>
          <w:bCs/>
          <w:iCs/>
        </w:rPr>
      </w:pPr>
      <w:r w:rsidRPr="00467B89">
        <w:t xml:space="preserve">ESC noted that the average age of patients in the CHAMPION trial was 61, whereas the target population would be 80 in the Australian setting. This created some uncertainty about </w:t>
      </w:r>
      <w:r w:rsidRPr="00467B89">
        <w:lastRenderedPageBreak/>
        <w:t xml:space="preserve">the effectiveness in the Australian population. </w:t>
      </w:r>
      <w:r w:rsidRPr="00467B89">
        <w:rPr>
          <w:bCs/>
          <w:iCs/>
        </w:rPr>
        <w:t xml:space="preserve">ESC also noted that the COMPASS-HF trial used a device which was not leadless or </w:t>
      </w:r>
      <w:proofErr w:type="spellStart"/>
      <w:r w:rsidRPr="00467B89">
        <w:rPr>
          <w:bCs/>
          <w:iCs/>
        </w:rPr>
        <w:t>batteryless</w:t>
      </w:r>
      <w:proofErr w:type="spellEnd"/>
      <w:r w:rsidRPr="00467B89">
        <w:rPr>
          <w:bCs/>
          <w:iCs/>
        </w:rPr>
        <w:t>, and would therefore be out of s</w:t>
      </w:r>
      <w:r w:rsidR="00217ED8">
        <w:rPr>
          <w:bCs/>
          <w:iCs/>
        </w:rPr>
        <w:t>cope according to the Protocol.</w:t>
      </w:r>
    </w:p>
    <w:p w:rsidR="00485D6F" w:rsidRPr="00467B89" w:rsidRDefault="00485D6F" w:rsidP="00485D6F"/>
    <w:p w:rsidR="00485D6F" w:rsidRPr="00467B89" w:rsidRDefault="00485D6F" w:rsidP="00485D6F">
      <w:r w:rsidRPr="00467B89">
        <w:t xml:space="preserve">Whilst the critique of the assessment raised concerns regarding risk of bias, difference between the control and intervention arms, and statistically significant survival benefits, ESC agreed that the applicant’s </w:t>
      </w:r>
      <w:r w:rsidR="00217ED8">
        <w:t xml:space="preserve">Pre-ESC </w:t>
      </w:r>
      <w:r w:rsidRPr="00467B89">
        <w:t>responses addressed these concerns</w:t>
      </w:r>
      <w:r w:rsidR="00217ED8">
        <w:t>.</w:t>
      </w:r>
    </w:p>
    <w:p w:rsidR="00485D6F" w:rsidRPr="00467B89" w:rsidRDefault="00485D6F" w:rsidP="00485D6F">
      <w:pPr>
        <w:rPr>
          <w:iCs/>
        </w:rPr>
      </w:pPr>
    </w:p>
    <w:p w:rsidR="00485D6F" w:rsidRPr="00467B89" w:rsidRDefault="00485D6F" w:rsidP="00485D6F">
      <w:r w:rsidRPr="00467B89">
        <w:rPr>
          <w:iCs/>
        </w:rPr>
        <w:t>ESC noted that while the study showed heart failure related hospitalisations were reduced with the haemodynamic sensor, all-cause hospitalisations at six months were not significantly different between the intervention and control arms (due to other cardiac problems and comorbidities).</w:t>
      </w:r>
    </w:p>
    <w:p w:rsidR="00DB5833" w:rsidRPr="00217ED8" w:rsidRDefault="00DB5833" w:rsidP="00856A33">
      <w:pPr>
        <w:pStyle w:val="ListParagraph"/>
        <w:ind w:left="0"/>
        <w:rPr>
          <w:szCs w:val="24"/>
        </w:rPr>
      </w:pPr>
    </w:p>
    <w:p w:rsidR="00485D6F" w:rsidRDefault="00485D6F" w:rsidP="00485D6F">
      <w:r w:rsidRPr="00FF1CF7">
        <w:t>The key efficacy results are presented in</w:t>
      </w:r>
      <w:r>
        <w:t xml:space="preserve"> Table 3 </w:t>
      </w:r>
      <w:r w:rsidRPr="00FF1CF7">
        <w:t>and</w:t>
      </w:r>
      <w:r>
        <w:t xml:space="preserve"> </w:t>
      </w:r>
      <w:r>
        <w:fldChar w:fldCharType="begin"/>
      </w:r>
      <w:r>
        <w:instrText xml:space="preserve"> REF _Ref430959268 \h </w:instrText>
      </w:r>
      <w:r>
        <w:fldChar w:fldCharType="separate"/>
      </w:r>
      <w:r>
        <w:t xml:space="preserve">Figure </w:t>
      </w:r>
      <w:r>
        <w:rPr>
          <w:noProof/>
        </w:rPr>
        <w:t>1</w:t>
      </w:r>
      <w:r>
        <w:fldChar w:fldCharType="end"/>
      </w:r>
      <w:r w:rsidR="00217ED8">
        <w:t>.</w:t>
      </w:r>
    </w:p>
    <w:p w:rsidR="00217ED8" w:rsidRPr="00FD23C0" w:rsidRDefault="00217ED8" w:rsidP="00485D6F">
      <w:pPr>
        <w:rPr>
          <w:i/>
        </w:rPr>
      </w:pPr>
    </w:p>
    <w:p w:rsidR="00485D6F" w:rsidRDefault="00485D6F" w:rsidP="00217ED8">
      <w:pPr>
        <w:pStyle w:val="Caption"/>
        <w:spacing w:before="0" w:after="0"/>
        <w:ind w:left="0" w:firstLine="0"/>
      </w:pPr>
      <w:bookmarkStart w:id="4" w:name="_Ref430959249"/>
      <w:r>
        <w:t xml:space="preserve">Table </w:t>
      </w:r>
      <w:fldSimple w:instr=" SEQ Table \* ARABIC ">
        <w:r>
          <w:rPr>
            <w:noProof/>
          </w:rPr>
          <w:t>3</w:t>
        </w:r>
      </w:fldSimple>
      <w:bookmarkEnd w:id="4"/>
      <w:r w:rsidR="00217ED8">
        <w:rPr>
          <w:noProof/>
        </w:rPr>
        <w:t>:</w:t>
      </w:r>
      <w:r>
        <w:t xml:space="preserve"> </w:t>
      </w:r>
      <w:r w:rsidRPr="00B43CBB">
        <w:t>Results of efficacy outcomes of the randomised trial CHAMPION</w:t>
      </w:r>
    </w:p>
    <w:tbl>
      <w:tblPr>
        <w:tblW w:w="5000" w:type="pct"/>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ES.2: Results of selected efficacy outcomes of the direct randomised trial CHAMPION "/>
        <w:tblDescription w:val="Table ES.2: Results of selected efficacy outcomes of the direct randomised trial CHAMPION "/>
      </w:tblPr>
      <w:tblGrid>
        <w:gridCol w:w="3970"/>
        <w:gridCol w:w="1617"/>
        <w:gridCol w:w="1577"/>
        <w:gridCol w:w="1242"/>
        <w:gridCol w:w="676"/>
      </w:tblGrid>
      <w:tr w:rsidR="00485D6F" w:rsidRPr="00FF1CF7" w:rsidTr="004B4966">
        <w:trPr>
          <w:cantSplit/>
          <w:tblHeader/>
        </w:trPr>
        <w:tc>
          <w:tcPr>
            <w:tcW w:w="2186" w:type="pct"/>
            <w:tcMar>
              <w:left w:w="28" w:type="dxa"/>
              <w:right w:w="28" w:type="dxa"/>
            </w:tcMar>
            <w:vAlign w:val="center"/>
          </w:tcPr>
          <w:p w:rsidR="00485D6F" w:rsidRPr="00FF1CF7" w:rsidRDefault="00485D6F" w:rsidP="004B4966">
            <w:pPr>
              <w:pStyle w:val="Tabletextboldleft"/>
              <w:rPr>
                <w:sz w:val="24"/>
                <w:szCs w:val="24"/>
              </w:rPr>
            </w:pPr>
            <w:r w:rsidRPr="00FF1CF7">
              <w:t>Outcome</w:t>
            </w:r>
          </w:p>
        </w:tc>
        <w:tc>
          <w:tcPr>
            <w:tcW w:w="890" w:type="pct"/>
            <w:tcMar>
              <w:left w:w="28" w:type="dxa"/>
              <w:right w:w="28" w:type="dxa"/>
            </w:tcMar>
            <w:vAlign w:val="center"/>
          </w:tcPr>
          <w:p w:rsidR="00485D6F" w:rsidRPr="00FF1CF7" w:rsidRDefault="00485D6F" w:rsidP="004B4966">
            <w:pPr>
              <w:pStyle w:val="Tabletextbold"/>
            </w:pPr>
            <w:r w:rsidRPr="00FF1CF7">
              <w:t>Intervention</w:t>
            </w:r>
          </w:p>
          <w:p w:rsidR="00485D6F" w:rsidRPr="00FF1CF7" w:rsidRDefault="00485D6F" w:rsidP="004B4966">
            <w:pPr>
              <w:pStyle w:val="Tabletextbold"/>
              <w:rPr>
                <w:sz w:val="24"/>
                <w:szCs w:val="24"/>
              </w:rPr>
            </w:pPr>
            <w:r w:rsidRPr="00FF1CF7">
              <w:t>(N=270)</w:t>
            </w:r>
          </w:p>
        </w:tc>
        <w:tc>
          <w:tcPr>
            <w:tcW w:w="868" w:type="pct"/>
            <w:tcMar>
              <w:left w:w="28" w:type="dxa"/>
              <w:right w:w="28" w:type="dxa"/>
            </w:tcMar>
            <w:vAlign w:val="center"/>
          </w:tcPr>
          <w:p w:rsidR="00485D6F" w:rsidRPr="00FF1CF7" w:rsidRDefault="00485D6F" w:rsidP="004B4966">
            <w:pPr>
              <w:pStyle w:val="Tabletextbold"/>
            </w:pPr>
            <w:r w:rsidRPr="00FF1CF7">
              <w:t xml:space="preserve">Control </w:t>
            </w:r>
          </w:p>
          <w:p w:rsidR="00485D6F" w:rsidRPr="00FF1CF7" w:rsidRDefault="00485D6F" w:rsidP="004B4966">
            <w:pPr>
              <w:pStyle w:val="Tabletextbold"/>
              <w:rPr>
                <w:sz w:val="24"/>
                <w:szCs w:val="24"/>
              </w:rPr>
            </w:pPr>
            <w:r w:rsidRPr="00FF1CF7">
              <w:t>(N=280)</w:t>
            </w:r>
          </w:p>
        </w:tc>
        <w:tc>
          <w:tcPr>
            <w:tcW w:w="684" w:type="pct"/>
            <w:tcMar>
              <w:left w:w="28" w:type="dxa"/>
              <w:right w:w="28" w:type="dxa"/>
            </w:tcMar>
            <w:vAlign w:val="center"/>
          </w:tcPr>
          <w:p w:rsidR="00485D6F" w:rsidRPr="00FF1CF7" w:rsidRDefault="00485D6F" w:rsidP="004B4966">
            <w:pPr>
              <w:pStyle w:val="Tabletextbold"/>
              <w:rPr>
                <w:sz w:val="24"/>
                <w:szCs w:val="24"/>
              </w:rPr>
            </w:pPr>
            <w:r>
              <w:t>Relative risk</w:t>
            </w:r>
            <w:r w:rsidRPr="00FF1CF7">
              <w:t xml:space="preserve"> (95% CI)</w:t>
            </w:r>
          </w:p>
        </w:tc>
        <w:tc>
          <w:tcPr>
            <w:tcW w:w="372" w:type="pct"/>
            <w:tcMar>
              <w:left w:w="28" w:type="dxa"/>
              <w:right w:w="28" w:type="dxa"/>
            </w:tcMar>
            <w:vAlign w:val="center"/>
          </w:tcPr>
          <w:p w:rsidR="00485D6F" w:rsidRPr="00FF1CF7" w:rsidRDefault="00485D6F" w:rsidP="004B4966">
            <w:pPr>
              <w:pStyle w:val="Tabletextbold"/>
            </w:pPr>
            <w:r w:rsidRPr="00FF1CF7">
              <w:t>p-value</w:t>
            </w:r>
          </w:p>
        </w:tc>
      </w:tr>
      <w:tr w:rsidR="00485D6F" w:rsidRPr="00FF1CF7" w:rsidTr="004B4966">
        <w:trPr>
          <w:cantSplit/>
        </w:trPr>
        <w:tc>
          <w:tcPr>
            <w:tcW w:w="2186" w:type="pct"/>
            <w:tcMar>
              <w:left w:w="28" w:type="dxa"/>
              <w:right w:w="28" w:type="dxa"/>
            </w:tcMar>
            <w:vAlign w:val="center"/>
          </w:tcPr>
          <w:p w:rsidR="00485D6F" w:rsidRPr="00FF1CF7" w:rsidRDefault="00485D6F" w:rsidP="004B4966">
            <w:pPr>
              <w:pStyle w:val="Tabletext"/>
              <w:spacing w:before="0" w:after="0"/>
            </w:pPr>
            <w:r w:rsidRPr="00FF1CF7">
              <w:t>Number of HF-related hospitalisations within 6 months</w:t>
            </w:r>
            <w:r>
              <w:t xml:space="preserve"> (event/patient)</w:t>
            </w:r>
          </w:p>
        </w:tc>
        <w:tc>
          <w:tcPr>
            <w:tcW w:w="890" w:type="pct"/>
            <w:tcMar>
              <w:left w:w="28" w:type="dxa"/>
              <w:right w:w="28" w:type="dxa"/>
            </w:tcMar>
            <w:vAlign w:val="center"/>
          </w:tcPr>
          <w:p w:rsidR="00485D6F" w:rsidRPr="00FF1CF7" w:rsidRDefault="00485D6F" w:rsidP="004B4966">
            <w:pPr>
              <w:pStyle w:val="Tabletext"/>
              <w:spacing w:before="0" w:after="0"/>
              <w:jc w:val="center"/>
            </w:pPr>
            <w:r w:rsidRPr="00FF1CF7">
              <w:t>84 (0.32)</w:t>
            </w:r>
          </w:p>
        </w:tc>
        <w:tc>
          <w:tcPr>
            <w:tcW w:w="868" w:type="pct"/>
            <w:tcMar>
              <w:left w:w="28" w:type="dxa"/>
              <w:right w:w="28" w:type="dxa"/>
            </w:tcMar>
            <w:vAlign w:val="center"/>
          </w:tcPr>
          <w:p w:rsidR="00485D6F" w:rsidRPr="00FF1CF7" w:rsidRDefault="00485D6F" w:rsidP="004B4966">
            <w:pPr>
              <w:pStyle w:val="Tabletext"/>
              <w:spacing w:before="0" w:after="0"/>
              <w:jc w:val="center"/>
            </w:pPr>
            <w:r w:rsidRPr="00FF1CF7">
              <w:t>120 (0.44)</w:t>
            </w:r>
          </w:p>
        </w:tc>
        <w:tc>
          <w:tcPr>
            <w:tcW w:w="684" w:type="pct"/>
            <w:tcMar>
              <w:left w:w="28" w:type="dxa"/>
              <w:right w:w="28" w:type="dxa"/>
            </w:tcMar>
            <w:vAlign w:val="center"/>
          </w:tcPr>
          <w:p w:rsidR="00E30948" w:rsidRDefault="00E30948" w:rsidP="004B4966">
            <w:pPr>
              <w:pStyle w:val="Tabletext"/>
              <w:spacing w:before="0" w:after="0"/>
              <w:jc w:val="center"/>
            </w:pPr>
            <w:r>
              <w:t>0.73</w:t>
            </w:r>
          </w:p>
          <w:p w:rsidR="00485D6F" w:rsidRPr="00217ED8" w:rsidRDefault="00485D6F" w:rsidP="004B4966">
            <w:pPr>
              <w:pStyle w:val="Tabletext"/>
              <w:spacing w:before="0" w:after="0"/>
              <w:jc w:val="center"/>
            </w:pPr>
            <w:r w:rsidRPr="00217ED8">
              <w:t>(0.58-0.91)</w:t>
            </w:r>
          </w:p>
        </w:tc>
        <w:tc>
          <w:tcPr>
            <w:tcW w:w="372" w:type="pct"/>
            <w:tcMar>
              <w:left w:w="28" w:type="dxa"/>
              <w:right w:w="28" w:type="dxa"/>
            </w:tcMar>
            <w:vAlign w:val="center"/>
          </w:tcPr>
          <w:p w:rsidR="00485D6F" w:rsidRPr="00FF1CF7" w:rsidRDefault="00485D6F" w:rsidP="004B4966">
            <w:pPr>
              <w:pStyle w:val="Tabletext"/>
              <w:spacing w:before="0" w:after="0"/>
              <w:jc w:val="center"/>
            </w:pPr>
            <w:r w:rsidRPr="00FF1CF7">
              <w:t>0.0002</w:t>
            </w:r>
          </w:p>
        </w:tc>
      </w:tr>
      <w:tr w:rsidR="00485D6F" w:rsidRPr="00FF1CF7" w:rsidTr="004B4966">
        <w:trPr>
          <w:cantSplit/>
        </w:trPr>
        <w:tc>
          <w:tcPr>
            <w:tcW w:w="2186" w:type="pct"/>
            <w:tcMar>
              <w:left w:w="28" w:type="dxa"/>
              <w:right w:w="28" w:type="dxa"/>
            </w:tcMar>
            <w:vAlign w:val="center"/>
          </w:tcPr>
          <w:p w:rsidR="00485D6F" w:rsidRPr="00FF1CF7" w:rsidRDefault="00485D6F" w:rsidP="004B4966">
            <w:pPr>
              <w:pStyle w:val="Tabletext"/>
              <w:spacing w:before="0" w:after="0"/>
              <w:rPr>
                <w:vertAlign w:val="superscript"/>
              </w:rPr>
            </w:pPr>
            <w:r w:rsidRPr="00FF1CF7">
              <w:t>Number of HF-related hospitalisations during randomised follow-up (</w:t>
            </w:r>
            <w:r>
              <w:t xml:space="preserve">event/patient) </w:t>
            </w:r>
            <w:r w:rsidRPr="00FF1CF7">
              <w:t>mean follow-up 1</w:t>
            </w:r>
            <w:r>
              <w:t>5.2</w:t>
            </w:r>
            <w:r w:rsidRPr="00FF1CF7">
              <w:t xml:space="preserve"> months</w:t>
            </w:r>
            <w:r>
              <w:t xml:space="preserve"> </w:t>
            </w:r>
            <w:r w:rsidRPr="00FF1CF7">
              <w:rPr>
                <w:vertAlign w:val="superscript"/>
              </w:rPr>
              <w:t>a</w:t>
            </w:r>
          </w:p>
        </w:tc>
        <w:tc>
          <w:tcPr>
            <w:tcW w:w="890" w:type="pct"/>
            <w:tcMar>
              <w:left w:w="28" w:type="dxa"/>
              <w:right w:w="28" w:type="dxa"/>
            </w:tcMar>
            <w:vAlign w:val="center"/>
          </w:tcPr>
          <w:p w:rsidR="00485D6F" w:rsidRPr="00FF1CF7" w:rsidRDefault="00485D6F" w:rsidP="004B4966">
            <w:pPr>
              <w:pStyle w:val="Tabletext"/>
              <w:spacing w:before="0" w:after="0"/>
              <w:jc w:val="center"/>
            </w:pPr>
            <w:r w:rsidRPr="00FF1CF7">
              <w:t>158 (0.59)</w:t>
            </w:r>
          </w:p>
        </w:tc>
        <w:tc>
          <w:tcPr>
            <w:tcW w:w="868" w:type="pct"/>
            <w:tcMar>
              <w:left w:w="28" w:type="dxa"/>
              <w:right w:w="28" w:type="dxa"/>
            </w:tcMar>
            <w:vAlign w:val="center"/>
          </w:tcPr>
          <w:p w:rsidR="00485D6F" w:rsidRPr="00FF1CF7" w:rsidRDefault="00485D6F" w:rsidP="004B4966">
            <w:pPr>
              <w:pStyle w:val="Tabletext"/>
              <w:spacing w:before="0" w:after="0"/>
              <w:jc w:val="center"/>
            </w:pPr>
            <w:r w:rsidRPr="00FF1CF7">
              <w:t>254 (0.91)</w:t>
            </w:r>
          </w:p>
        </w:tc>
        <w:tc>
          <w:tcPr>
            <w:tcW w:w="684" w:type="pct"/>
            <w:tcMar>
              <w:left w:w="28" w:type="dxa"/>
              <w:right w:w="28" w:type="dxa"/>
            </w:tcMar>
            <w:vAlign w:val="center"/>
          </w:tcPr>
          <w:p w:rsidR="00E30948" w:rsidRDefault="00E30948" w:rsidP="004B4966">
            <w:pPr>
              <w:pStyle w:val="Tabletext"/>
              <w:spacing w:before="0" w:after="0"/>
              <w:jc w:val="center"/>
            </w:pPr>
            <w:r>
              <w:t>0.65</w:t>
            </w:r>
          </w:p>
          <w:p w:rsidR="00485D6F" w:rsidRPr="00217ED8" w:rsidRDefault="00485D6F" w:rsidP="004B4966">
            <w:pPr>
              <w:pStyle w:val="Tabletext"/>
              <w:spacing w:before="0" w:after="0"/>
              <w:jc w:val="center"/>
            </w:pPr>
            <w:r w:rsidRPr="00217ED8">
              <w:t>(0.58-0.72)</w:t>
            </w:r>
          </w:p>
        </w:tc>
        <w:tc>
          <w:tcPr>
            <w:tcW w:w="372" w:type="pct"/>
            <w:tcMar>
              <w:left w:w="28" w:type="dxa"/>
              <w:right w:w="28" w:type="dxa"/>
            </w:tcMar>
            <w:vAlign w:val="center"/>
          </w:tcPr>
          <w:p w:rsidR="00485D6F" w:rsidRPr="00FF1CF7" w:rsidRDefault="00485D6F" w:rsidP="004B4966">
            <w:pPr>
              <w:pStyle w:val="Tabletext"/>
              <w:spacing w:before="0" w:after="0"/>
              <w:jc w:val="center"/>
            </w:pPr>
            <w:r w:rsidRPr="00FF1CF7">
              <w:t>&lt;0.0001</w:t>
            </w:r>
          </w:p>
        </w:tc>
      </w:tr>
      <w:tr w:rsidR="00485D6F" w:rsidRPr="007A101B" w:rsidTr="004B4966">
        <w:trPr>
          <w:cantSplit/>
        </w:trPr>
        <w:tc>
          <w:tcPr>
            <w:tcW w:w="2186" w:type="pct"/>
            <w:tcMar>
              <w:left w:w="28" w:type="dxa"/>
              <w:right w:w="28" w:type="dxa"/>
            </w:tcMar>
            <w:vAlign w:val="center"/>
          </w:tcPr>
          <w:p w:rsidR="00485D6F" w:rsidRPr="00217ED8" w:rsidRDefault="00485D6F" w:rsidP="004B4966">
            <w:pPr>
              <w:pStyle w:val="Tabletext"/>
              <w:spacing w:before="0" w:after="0"/>
            </w:pPr>
            <w:r w:rsidRPr="00217ED8">
              <w:t>Number of all-cause hospitalisations within 6 months (event/patient)</w:t>
            </w:r>
          </w:p>
        </w:tc>
        <w:tc>
          <w:tcPr>
            <w:tcW w:w="890" w:type="pct"/>
            <w:tcMar>
              <w:left w:w="28" w:type="dxa"/>
              <w:right w:w="28" w:type="dxa"/>
            </w:tcMar>
            <w:vAlign w:val="center"/>
          </w:tcPr>
          <w:p w:rsidR="00485D6F" w:rsidRPr="00217ED8" w:rsidRDefault="00485D6F" w:rsidP="004B4966">
            <w:pPr>
              <w:pStyle w:val="Tabletext"/>
              <w:spacing w:before="0" w:after="0"/>
              <w:jc w:val="center"/>
            </w:pPr>
            <w:r w:rsidRPr="00217ED8">
              <w:t>232 (0.88)</w:t>
            </w:r>
          </w:p>
        </w:tc>
        <w:tc>
          <w:tcPr>
            <w:tcW w:w="868" w:type="pct"/>
            <w:tcMar>
              <w:left w:w="28" w:type="dxa"/>
              <w:right w:w="28" w:type="dxa"/>
            </w:tcMar>
            <w:vAlign w:val="center"/>
          </w:tcPr>
          <w:p w:rsidR="00485D6F" w:rsidRPr="00217ED8" w:rsidRDefault="00485D6F" w:rsidP="004B4966">
            <w:pPr>
              <w:pStyle w:val="Tabletext"/>
              <w:spacing w:before="0" w:after="0"/>
              <w:jc w:val="center"/>
            </w:pPr>
            <w:r w:rsidRPr="00217ED8">
              <w:t>263 (0.96)</w:t>
            </w:r>
          </w:p>
        </w:tc>
        <w:tc>
          <w:tcPr>
            <w:tcW w:w="684" w:type="pct"/>
            <w:tcMar>
              <w:left w:w="28" w:type="dxa"/>
              <w:right w:w="28" w:type="dxa"/>
            </w:tcMar>
            <w:vAlign w:val="center"/>
          </w:tcPr>
          <w:p w:rsidR="00E30948" w:rsidRDefault="00485D6F" w:rsidP="00E30948">
            <w:pPr>
              <w:pStyle w:val="Tabletext"/>
              <w:spacing w:before="0" w:after="0"/>
              <w:jc w:val="center"/>
            </w:pPr>
            <w:r w:rsidRPr="00217ED8">
              <w:t>0.91</w:t>
            </w:r>
          </w:p>
          <w:p w:rsidR="00485D6F" w:rsidRPr="00217ED8" w:rsidRDefault="00E55ADE" w:rsidP="00E30948">
            <w:pPr>
              <w:pStyle w:val="Tabletext"/>
              <w:spacing w:before="0" w:after="0"/>
              <w:jc w:val="center"/>
            </w:pPr>
            <w:r>
              <w:t>(not provided)</w:t>
            </w:r>
          </w:p>
        </w:tc>
        <w:tc>
          <w:tcPr>
            <w:tcW w:w="372" w:type="pct"/>
            <w:tcMar>
              <w:left w:w="28" w:type="dxa"/>
              <w:right w:w="28" w:type="dxa"/>
            </w:tcMar>
            <w:vAlign w:val="center"/>
          </w:tcPr>
          <w:p w:rsidR="00485D6F" w:rsidRPr="00443299" w:rsidRDefault="00485D6F" w:rsidP="004B4966">
            <w:pPr>
              <w:pStyle w:val="Tabletext"/>
              <w:spacing w:before="0" w:after="0"/>
              <w:jc w:val="center"/>
            </w:pPr>
            <w:r w:rsidRPr="00443299">
              <w:t>0.407</w:t>
            </w:r>
          </w:p>
        </w:tc>
      </w:tr>
      <w:tr w:rsidR="00485D6F" w:rsidRPr="00FF1CF7" w:rsidTr="004B4966">
        <w:trPr>
          <w:cantSplit/>
        </w:trPr>
        <w:tc>
          <w:tcPr>
            <w:tcW w:w="2186" w:type="pct"/>
            <w:tcBorders>
              <w:right w:val="nil"/>
            </w:tcBorders>
            <w:tcMar>
              <w:left w:w="28" w:type="dxa"/>
              <w:right w:w="28" w:type="dxa"/>
            </w:tcMar>
            <w:vAlign w:val="center"/>
          </w:tcPr>
          <w:p w:rsidR="00485D6F" w:rsidRPr="00FF1CF7" w:rsidRDefault="00485D6F" w:rsidP="004B4966">
            <w:pPr>
              <w:pStyle w:val="Tabletext"/>
              <w:spacing w:before="0" w:after="0"/>
            </w:pPr>
            <w:r w:rsidRPr="00FF1CF7">
              <w:rPr>
                <w:b/>
              </w:rPr>
              <w:t xml:space="preserve">Secondary outcomes (at six months) </w:t>
            </w:r>
          </w:p>
        </w:tc>
        <w:tc>
          <w:tcPr>
            <w:tcW w:w="890" w:type="pct"/>
            <w:tcBorders>
              <w:left w:val="nil"/>
              <w:right w:val="nil"/>
            </w:tcBorders>
            <w:tcMar>
              <w:left w:w="28" w:type="dxa"/>
              <w:right w:w="28" w:type="dxa"/>
            </w:tcMar>
            <w:vAlign w:val="center"/>
          </w:tcPr>
          <w:p w:rsidR="00485D6F" w:rsidRPr="00FF1CF7" w:rsidRDefault="00485D6F" w:rsidP="004B4966">
            <w:pPr>
              <w:pStyle w:val="Tabletext"/>
              <w:spacing w:before="0" w:after="0"/>
              <w:jc w:val="center"/>
            </w:pPr>
          </w:p>
        </w:tc>
        <w:tc>
          <w:tcPr>
            <w:tcW w:w="868" w:type="pct"/>
            <w:tcBorders>
              <w:left w:val="nil"/>
              <w:right w:val="nil"/>
            </w:tcBorders>
            <w:tcMar>
              <w:left w:w="28" w:type="dxa"/>
              <w:right w:w="28" w:type="dxa"/>
            </w:tcMar>
            <w:vAlign w:val="center"/>
          </w:tcPr>
          <w:p w:rsidR="00485D6F" w:rsidRPr="00FF1CF7" w:rsidRDefault="00485D6F" w:rsidP="004B4966">
            <w:pPr>
              <w:pStyle w:val="Tabletext"/>
              <w:spacing w:before="0" w:after="0"/>
              <w:jc w:val="center"/>
            </w:pPr>
          </w:p>
        </w:tc>
        <w:tc>
          <w:tcPr>
            <w:tcW w:w="684" w:type="pct"/>
            <w:tcBorders>
              <w:left w:val="nil"/>
              <w:right w:val="nil"/>
            </w:tcBorders>
            <w:tcMar>
              <w:left w:w="28" w:type="dxa"/>
              <w:right w:w="28" w:type="dxa"/>
            </w:tcMar>
            <w:vAlign w:val="center"/>
          </w:tcPr>
          <w:p w:rsidR="00485D6F" w:rsidRPr="00FF1CF7" w:rsidRDefault="00485D6F" w:rsidP="004B4966">
            <w:pPr>
              <w:pStyle w:val="Tabletext"/>
              <w:spacing w:before="0" w:after="0"/>
              <w:jc w:val="center"/>
            </w:pPr>
          </w:p>
        </w:tc>
        <w:tc>
          <w:tcPr>
            <w:tcW w:w="372" w:type="pct"/>
            <w:tcBorders>
              <w:left w:val="nil"/>
            </w:tcBorders>
            <w:tcMar>
              <w:left w:w="28" w:type="dxa"/>
              <w:right w:w="28" w:type="dxa"/>
            </w:tcMar>
            <w:vAlign w:val="center"/>
          </w:tcPr>
          <w:p w:rsidR="00485D6F" w:rsidRPr="00FF1CF7" w:rsidRDefault="00485D6F" w:rsidP="004B4966">
            <w:pPr>
              <w:pStyle w:val="Tabletext"/>
              <w:spacing w:before="0" w:after="0"/>
              <w:jc w:val="center"/>
            </w:pPr>
          </w:p>
        </w:tc>
      </w:tr>
      <w:tr w:rsidR="00485D6F" w:rsidRPr="00FF1CF7" w:rsidTr="004B4966">
        <w:trPr>
          <w:cantSplit/>
        </w:trPr>
        <w:tc>
          <w:tcPr>
            <w:tcW w:w="2186" w:type="pct"/>
            <w:tcMar>
              <w:left w:w="28" w:type="dxa"/>
              <w:right w:w="28" w:type="dxa"/>
            </w:tcMar>
            <w:vAlign w:val="center"/>
          </w:tcPr>
          <w:p w:rsidR="00485D6F" w:rsidRDefault="00485D6F" w:rsidP="004B4966">
            <w:pPr>
              <w:pStyle w:val="Tabletext"/>
              <w:spacing w:before="0" w:after="0"/>
            </w:pPr>
            <w:r w:rsidRPr="00FF1CF7">
              <w:t>Change from baseline in PA mean pressure (mmHg, mean AUC)</w:t>
            </w:r>
          </w:p>
          <w:p w:rsidR="00485D6F" w:rsidRPr="00FF1CF7" w:rsidRDefault="00485D6F" w:rsidP="004B4966">
            <w:pPr>
              <w:pStyle w:val="Tabletext"/>
              <w:spacing w:before="0" w:after="0"/>
            </w:pPr>
            <w:r>
              <w:t>Median (min, max)</w:t>
            </w:r>
          </w:p>
        </w:tc>
        <w:tc>
          <w:tcPr>
            <w:tcW w:w="890" w:type="pct"/>
            <w:tcMar>
              <w:left w:w="28" w:type="dxa"/>
              <w:right w:w="28" w:type="dxa"/>
            </w:tcMar>
            <w:vAlign w:val="bottom"/>
          </w:tcPr>
          <w:p w:rsidR="00485D6F" w:rsidRDefault="00485D6F" w:rsidP="004B4966">
            <w:pPr>
              <w:pStyle w:val="Tabletext"/>
              <w:spacing w:before="0" w:after="0"/>
              <w:jc w:val="center"/>
            </w:pPr>
            <w:r w:rsidRPr="00FF1CF7">
              <w:t>-155.7</w:t>
            </w:r>
          </w:p>
          <w:p w:rsidR="00485D6F" w:rsidRPr="00FF1CF7" w:rsidRDefault="00485D6F" w:rsidP="004B4966">
            <w:pPr>
              <w:pStyle w:val="Tabletext"/>
              <w:spacing w:before="0" w:after="0"/>
              <w:jc w:val="center"/>
            </w:pPr>
            <w:r>
              <w:t>-7.2 (-3121, 4783)</w:t>
            </w:r>
          </w:p>
        </w:tc>
        <w:tc>
          <w:tcPr>
            <w:tcW w:w="868" w:type="pct"/>
            <w:tcMar>
              <w:left w:w="28" w:type="dxa"/>
              <w:right w:w="28" w:type="dxa"/>
            </w:tcMar>
            <w:vAlign w:val="bottom"/>
          </w:tcPr>
          <w:p w:rsidR="00485D6F" w:rsidRDefault="00485D6F" w:rsidP="004B4966">
            <w:pPr>
              <w:pStyle w:val="Tabletext"/>
              <w:spacing w:before="0" w:after="0"/>
              <w:jc w:val="center"/>
            </w:pPr>
            <w:r w:rsidRPr="00FF1CF7">
              <w:t>33.1</w:t>
            </w:r>
          </w:p>
          <w:p w:rsidR="00485D6F" w:rsidRPr="00FF1CF7" w:rsidRDefault="00485D6F" w:rsidP="004B4966">
            <w:pPr>
              <w:pStyle w:val="Tabletext"/>
              <w:spacing w:before="0" w:after="0"/>
              <w:jc w:val="center"/>
            </w:pPr>
            <w:r>
              <w:t>33.7 (-3694, 5726)</w:t>
            </w:r>
          </w:p>
        </w:tc>
        <w:tc>
          <w:tcPr>
            <w:tcW w:w="684" w:type="pct"/>
            <w:tcMar>
              <w:left w:w="28" w:type="dxa"/>
              <w:right w:w="28" w:type="dxa"/>
            </w:tcMar>
            <w:vAlign w:val="center"/>
          </w:tcPr>
          <w:p w:rsidR="00485D6F" w:rsidRPr="00FF1CF7" w:rsidRDefault="00485D6F" w:rsidP="004B4966">
            <w:pPr>
              <w:pStyle w:val="Tabletext"/>
              <w:spacing w:before="0" w:after="0"/>
              <w:jc w:val="center"/>
            </w:pPr>
            <w:r w:rsidRPr="00FF1CF7">
              <w:t>NA</w:t>
            </w:r>
          </w:p>
        </w:tc>
        <w:tc>
          <w:tcPr>
            <w:tcW w:w="372" w:type="pct"/>
            <w:tcMar>
              <w:left w:w="28" w:type="dxa"/>
              <w:right w:w="28" w:type="dxa"/>
            </w:tcMar>
            <w:vAlign w:val="center"/>
          </w:tcPr>
          <w:p w:rsidR="00485D6F" w:rsidRPr="00FF1CF7" w:rsidRDefault="00485D6F" w:rsidP="004B4966">
            <w:pPr>
              <w:pStyle w:val="Tabletext"/>
              <w:spacing w:before="0" w:after="0"/>
              <w:jc w:val="center"/>
            </w:pPr>
            <w:r w:rsidRPr="00FF1CF7">
              <w:t>0.008</w:t>
            </w:r>
          </w:p>
        </w:tc>
      </w:tr>
      <w:tr w:rsidR="00485D6F" w:rsidRPr="00FF1CF7" w:rsidTr="004B4966">
        <w:trPr>
          <w:cantSplit/>
        </w:trPr>
        <w:tc>
          <w:tcPr>
            <w:tcW w:w="2186" w:type="pct"/>
            <w:tcMar>
              <w:left w:w="28" w:type="dxa"/>
              <w:right w:w="28" w:type="dxa"/>
            </w:tcMar>
            <w:vAlign w:val="center"/>
          </w:tcPr>
          <w:p w:rsidR="00485D6F" w:rsidRPr="00FF1CF7" w:rsidRDefault="00485D6F" w:rsidP="004B4966">
            <w:pPr>
              <w:pStyle w:val="Tabletext"/>
              <w:spacing w:before="0" w:after="0"/>
            </w:pPr>
            <w:r>
              <w:t>Number</w:t>
            </w:r>
            <w:r w:rsidRPr="00FF1CF7">
              <w:t xml:space="preserve"> of patients admitted to hospital for HF (%)</w:t>
            </w:r>
          </w:p>
        </w:tc>
        <w:tc>
          <w:tcPr>
            <w:tcW w:w="890" w:type="pct"/>
            <w:tcMar>
              <w:left w:w="28" w:type="dxa"/>
              <w:right w:w="28" w:type="dxa"/>
            </w:tcMar>
            <w:vAlign w:val="center"/>
          </w:tcPr>
          <w:p w:rsidR="00485D6F" w:rsidRPr="00FF1CF7" w:rsidRDefault="00485D6F" w:rsidP="004B4966">
            <w:pPr>
              <w:pStyle w:val="Tabletext"/>
              <w:spacing w:before="0" w:after="0"/>
              <w:jc w:val="center"/>
            </w:pPr>
            <w:r w:rsidRPr="00FF1CF7">
              <w:t>55 (20.4%)</w:t>
            </w:r>
          </w:p>
        </w:tc>
        <w:tc>
          <w:tcPr>
            <w:tcW w:w="868" w:type="pct"/>
            <w:tcMar>
              <w:left w:w="28" w:type="dxa"/>
              <w:right w:w="28" w:type="dxa"/>
            </w:tcMar>
            <w:vAlign w:val="center"/>
          </w:tcPr>
          <w:p w:rsidR="00485D6F" w:rsidRPr="00FF1CF7" w:rsidRDefault="00485D6F" w:rsidP="004B4966">
            <w:pPr>
              <w:pStyle w:val="Tabletext"/>
              <w:spacing w:before="0" w:after="0"/>
              <w:jc w:val="center"/>
            </w:pPr>
            <w:r w:rsidRPr="00FF1CF7">
              <w:t>80 (29.0%)</w:t>
            </w:r>
          </w:p>
        </w:tc>
        <w:tc>
          <w:tcPr>
            <w:tcW w:w="684" w:type="pct"/>
            <w:tcMar>
              <w:left w:w="28" w:type="dxa"/>
              <w:right w:w="28" w:type="dxa"/>
            </w:tcMar>
            <w:vAlign w:val="center"/>
          </w:tcPr>
          <w:p w:rsidR="004A1459" w:rsidRDefault="00485D6F" w:rsidP="004B4966">
            <w:pPr>
              <w:pStyle w:val="Tabletext"/>
              <w:spacing w:before="0" w:after="0"/>
              <w:jc w:val="center"/>
            </w:pPr>
            <w:r w:rsidRPr="00FF1CF7">
              <w:t>0.71</w:t>
            </w:r>
          </w:p>
          <w:p w:rsidR="00485D6F" w:rsidRPr="00FF1CF7" w:rsidRDefault="00485D6F" w:rsidP="004B4966">
            <w:pPr>
              <w:pStyle w:val="Tabletext"/>
              <w:spacing w:before="0" w:after="0"/>
              <w:jc w:val="center"/>
            </w:pPr>
            <w:r w:rsidRPr="00FF1CF7">
              <w:t>(0.53-0.96)</w:t>
            </w:r>
          </w:p>
        </w:tc>
        <w:tc>
          <w:tcPr>
            <w:tcW w:w="372" w:type="pct"/>
            <w:tcMar>
              <w:left w:w="28" w:type="dxa"/>
              <w:right w:w="28" w:type="dxa"/>
            </w:tcMar>
            <w:vAlign w:val="center"/>
          </w:tcPr>
          <w:p w:rsidR="00485D6F" w:rsidRPr="00FF1CF7" w:rsidRDefault="00485D6F" w:rsidP="004B4966">
            <w:pPr>
              <w:pStyle w:val="Tabletext"/>
              <w:spacing w:before="0" w:after="0"/>
              <w:jc w:val="center"/>
            </w:pPr>
            <w:r w:rsidRPr="00FF1CF7">
              <w:t>0.029</w:t>
            </w:r>
          </w:p>
        </w:tc>
      </w:tr>
      <w:tr w:rsidR="00485D6F" w:rsidRPr="00FF1CF7" w:rsidTr="004B4966">
        <w:trPr>
          <w:cantSplit/>
        </w:trPr>
        <w:tc>
          <w:tcPr>
            <w:tcW w:w="2186" w:type="pct"/>
            <w:tcMar>
              <w:left w:w="28" w:type="dxa"/>
              <w:right w:w="28" w:type="dxa"/>
            </w:tcMar>
            <w:vAlign w:val="center"/>
          </w:tcPr>
          <w:p w:rsidR="00485D6F" w:rsidRDefault="00485D6F" w:rsidP="004B4966">
            <w:pPr>
              <w:pStyle w:val="Tabletext"/>
              <w:spacing w:before="0" w:after="0"/>
            </w:pPr>
            <w:r w:rsidRPr="00FF1CF7">
              <w:t>Days alive outside hospital (days, mean, SD)</w:t>
            </w:r>
          </w:p>
          <w:p w:rsidR="00485D6F" w:rsidRPr="00FF1CF7" w:rsidRDefault="00485D6F" w:rsidP="004B4966">
            <w:pPr>
              <w:pStyle w:val="Tabletext"/>
              <w:spacing w:before="0" w:after="0"/>
            </w:pPr>
            <w:r>
              <w:t>Median (min, max)</w:t>
            </w:r>
          </w:p>
        </w:tc>
        <w:tc>
          <w:tcPr>
            <w:tcW w:w="890" w:type="pct"/>
            <w:tcMar>
              <w:left w:w="28" w:type="dxa"/>
              <w:right w:w="28" w:type="dxa"/>
            </w:tcMar>
            <w:vAlign w:val="center"/>
          </w:tcPr>
          <w:p w:rsidR="00485D6F" w:rsidRDefault="00485D6F" w:rsidP="004B4966">
            <w:pPr>
              <w:pStyle w:val="Tabletext"/>
              <w:spacing w:before="0" w:after="0"/>
              <w:jc w:val="center"/>
            </w:pPr>
            <w:r>
              <w:t>174 ± 31</w:t>
            </w:r>
          </w:p>
          <w:p w:rsidR="00485D6F" w:rsidRPr="00FF1CF7" w:rsidRDefault="00485D6F" w:rsidP="004B4966">
            <w:pPr>
              <w:pStyle w:val="Tabletext"/>
              <w:spacing w:before="0" w:after="0"/>
              <w:jc w:val="center"/>
            </w:pPr>
            <w:r>
              <w:t>179 (4, 281)</w:t>
            </w:r>
          </w:p>
        </w:tc>
        <w:tc>
          <w:tcPr>
            <w:tcW w:w="868" w:type="pct"/>
            <w:tcMar>
              <w:left w:w="28" w:type="dxa"/>
              <w:right w:w="28" w:type="dxa"/>
            </w:tcMar>
            <w:vAlign w:val="center"/>
          </w:tcPr>
          <w:p w:rsidR="00485D6F" w:rsidRDefault="00485D6F" w:rsidP="004B4966">
            <w:pPr>
              <w:pStyle w:val="Tabletext"/>
              <w:spacing w:before="0" w:after="0"/>
              <w:jc w:val="center"/>
            </w:pPr>
            <w:r>
              <w:t>172 ± 3</w:t>
            </w:r>
            <w:r w:rsidRPr="00FF1CF7">
              <w:t>8</w:t>
            </w:r>
          </w:p>
          <w:p w:rsidR="00485D6F" w:rsidRPr="00FF1CF7" w:rsidRDefault="00485D6F" w:rsidP="004B4966">
            <w:pPr>
              <w:pStyle w:val="Tabletext"/>
              <w:spacing w:before="0" w:after="0"/>
              <w:jc w:val="center"/>
            </w:pPr>
            <w:r>
              <w:t>178 (48, 201)</w:t>
            </w:r>
          </w:p>
        </w:tc>
        <w:tc>
          <w:tcPr>
            <w:tcW w:w="684" w:type="pct"/>
            <w:tcMar>
              <w:left w:w="28" w:type="dxa"/>
              <w:right w:w="28" w:type="dxa"/>
            </w:tcMar>
            <w:vAlign w:val="center"/>
          </w:tcPr>
          <w:p w:rsidR="00485D6F" w:rsidRPr="00FF1CF7" w:rsidRDefault="00485D6F" w:rsidP="004B4966">
            <w:pPr>
              <w:pStyle w:val="Tabletext"/>
              <w:spacing w:before="0" w:after="0"/>
              <w:jc w:val="center"/>
            </w:pPr>
            <w:r w:rsidRPr="00FF1CF7">
              <w:t>NA</w:t>
            </w:r>
          </w:p>
        </w:tc>
        <w:tc>
          <w:tcPr>
            <w:tcW w:w="372" w:type="pct"/>
            <w:tcMar>
              <w:left w:w="28" w:type="dxa"/>
              <w:right w:w="28" w:type="dxa"/>
            </w:tcMar>
            <w:vAlign w:val="center"/>
          </w:tcPr>
          <w:p w:rsidR="00485D6F" w:rsidRPr="00FF1CF7" w:rsidRDefault="00485D6F" w:rsidP="004B4966">
            <w:pPr>
              <w:pStyle w:val="Tabletext"/>
              <w:spacing w:before="0" w:after="0"/>
              <w:jc w:val="center"/>
            </w:pPr>
            <w:r w:rsidRPr="00FF1CF7">
              <w:t>0.028</w:t>
            </w:r>
          </w:p>
        </w:tc>
      </w:tr>
      <w:tr w:rsidR="00485D6F" w:rsidRPr="00FF1CF7" w:rsidTr="004B4966">
        <w:trPr>
          <w:cantSplit/>
        </w:trPr>
        <w:tc>
          <w:tcPr>
            <w:tcW w:w="2186" w:type="pct"/>
            <w:tcMar>
              <w:left w:w="28" w:type="dxa"/>
              <w:right w:w="28" w:type="dxa"/>
            </w:tcMar>
            <w:vAlign w:val="center"/>
          </w:tcPr>
          <w:p w:rsidR="00485D6F" w:rsidRDefault="00485D6F" w:rsidP="004B4966">
            <w:pPr>
              <w:pStyle w:val="Tabletext"/>
              <w:spacing w:before="0" w:after="0"/>
            </w:pPr>
            <w:r w:rsidRPr="00FF1CF7">
              <w:t>Days hospitalised (days, mean, SD)</w:t>
            </w:r>
          </w:p>
          <w:p w:rsidR="00485D6F" w:rsidRPr="00FF1CF7" w:rsidRDefault="00485D6F" w:rsidP="004B4966">
            <w:pPr>
              <w:pStyle w:val="Tabletext"/>
              <w:spacing w:before="0" w:after="0"/>
            </w:pPr>
            <w:r>
              <w:t>Median (min, max)</w:t>
            </w:r>
          </w:p>
        </w:tc>
        <w:tc>
          <w:tcPr>
            <w:tcW w:w="890" w:type="pct"/>
            <w:tcMar>
              <w:left w:w="28" w:type="dxa"/>
              <w:right w:w="28" w:type="dxa"/>
            </w:tcMar>
            <w:vAlign w:val="center"/>
          </w:tcPr>
          <w:p w:rsidR="00485D6F" w:rsidRDefault="00485D6F" w:rsidP="004B4966">
            <w:pPr>
              <w:pStyle w:val="Tabletext"/>
              <w:spacing w:before="0" w:after="0"/>
              <w:jc w:val="center"/>
            </w:pPr>
            <w:r w:rsidRPr="00FF1CF7">
              <w:t>2.2 ± 6.8</w:t>
            </w:r>
          </w:p>
          <w:p w:rsidR="00485D6F" w:rsidRPr="00FF1CF7" w:rsidRDefault="00485D6F" w:rsidP="004B4966">
            <w:pPr>
              <w:pStyle w:val="Tabletext"/>
              <w:spacing w:before="0" w:after="0"/>
              <w:jc w:val="center"/>
            </w:pPr>
            <w:r>
              <w:t>0 (0, 66)</w:t>
            </w:r>
          </w:p>
        </w:tc>
        <w:tc>
          <w:tcPr>
            <w:tcW w:w="868" w:type="pct"/>
            <w:tcMar>
              <w:left w:w="28" w:type="dxa"/>
              <w:right w:w="28" w:type="dxa"/>
            </w:tcMar>
            <w:vAlign w:val="center"/>
          </w:tcPr>
          <w:p w:rsidR="00485D6F" w:rsidRDefault="00485D6F" w:rsidP="004B4966">
            <w:pPr>
              <w:pStyle w:val="Tabletext"/>
              <w:spacing w:before="0" w:after="0"/>
              <w:jc w:val="center"/>
            </w:pPr>
            <w:r w:rsidRPr="00FF1CF7">
              <w:t>3.8 ± 11.1</w:t>
            </w:r>
          </w:p>
          <w:p w:rsidR="00485D6F" w:rsidRPr="00FF1CF7" w:rsidRDefault="00485D6F" w:rsidP="004B4966">
            <w:pPr>
              <w:pStyle w:val="Tabletext"/>
              <w:spacing w:before="0" w:after="0"/>
              <w:jc w:val="center"/>
            </w:pPr>
            <w:r>
              <w:t>0 (0, 88)</w:t>
            </w:r>
          </w:p>
        </w:tc>
        <w:tc>
          <w:tcPr>
            <w:tcW w:w="684" w:type="pct"/>
            <w:tcMar>
              <w:left w:w="28" w:type="dxa"/>
              <w:right w:w="28" w:type="dxa"/>
            </w:tcMar>
            <w:vAlign w:val="center"/>
          </w:tcPr>
          <w:p w:rsidR="00485D6F" w:rsidRPr="00FF1CF7" w:rsidRDefault="00485D6F" w:rsidP="004B4966">
            <w:pPr>
              <w:pStyle w:val="Tabletext"/>
              <w:spacing w:before="0" w:after="0"/>
              <w:jc w:val="center"/>
            </w:pPr>
            <w:r w:rsidRPr="00FF1CF7">
              <w:t>NA</w:t>
            </w:r>
          </w:p>
        </w:tc>
        <w:tc>
          <w:tcPr>
            <w:tcW w:w="372" w:type="pct"/>
            <w:tcMar>
              <w:left w:w="28" w:type="dxa"/>
              <w:right w:w="28" w:type="dxa"/>
            </w:tcMar>
            <w:vAlign w:val="center"/>
          </w:tcPr>
          <w:p w:rsidR="00485D6F" w:rsidRPr="00FF1CF7" w:rsidRDefault="00485D6F" w:rsidP="004B4966">
            <w:pPr>
              <w:pStyle w:val="Tabletext"/>
              <w:spacing w:before="0" w:after="0"/>
              <w:jc w:val="center"/>
            </w:pPr>
            <w:r w:rsidRPr="00FF1CF7">
              <w:t>0.025</w:t>
            </w:r>
          </w:p>
        </w:tc>
      </w:tr>
      <w:tr w:rsidR="00485D6F" w:rsidRPr="00FF1CF7" w:rsidTr="004B4966">
        <w:trPr>
          <w:cantSplit/>
        </w:trPr>
        <w:tc>
          <w:tcPr>
            <w:tcW w:w="2186" w:type="pct"/>
            <w:tcMar>
              <w:left w:w="28" w:type="dxa"/>
              <w:right w:w="28" w:type="dxa"/>
            </w:tcMar>
            <w:vAlign w:val="center"/>
          </w:tcPr>
          <w:p w:rsidR="00485D6F" w:rsidRPr="00FF1CF7" w:rsidRDefault="00485D6F" w:rsidP="004B4966">
            <w:pPr>
              <w:pStyle w:val="Tabletext"/>
              <w:keepNext/>
              <w:keepLines/>
              <w:spacing w:before="0" w:after="0"/>
              <w:rPr>
                <w:vertAlign w:val="superscript"/>
              </w:rPr>
            </w:pPr>
            <w:r w:rsidRPr="00FF1CF7">
              <w:t>Quality of life measured by the Minnesota Living with Heart Failure Questionnaire (mean, SD)</w:t>
            </w:r>
            <w:r>
              <w:t xml:space="preserve"> </w:t>
            </w:r>
            <w:r w:rsidRPr="00FF1CF7">
              <w:rPr>
                <w:vertAlign w:val="superscript"/>
              </w:rPr>
              <w:t>b</w:t>
            </w:r>
          </w:p>
        </w:tc>
        <w:tc>
          <w:tcPr>
            <w:tcW w:w="890" w:type="pct"/>
            <w:tcBorders>
              <w:bottom w:val="single" w:sz="4" w:space="0" w:color="auto"/>
            </w:tcBorders>
            <w:tcMar>
              <w:left w:w="28" w:type="dxa"/>
              <w:right w:w="28" w:type="dxa"/>
            </w:tcMar>
            <w:vAlign w:val="center"/>
          </w:tcPr>
          <w:p w:rsidR="00485D6F" w:rsidRPr="00FF1CF7" w:rsidRDefault="00485D6F" w:rsidP="004B4966">
            <w:pPr>
              <w:pStyle w:val="Tabletext"/>
              <w:keepNext/>
              <w:keepLines/>
              <w:spacing w:before="0" w:after="0"/>
              <w:jc w:val="center"/>
            </w:pPr>
            <w:r w:rsidRPr="00FF1CF7">
              <w:t>45 ± 26</w:t>
            </w:r>
          </w:p>
        </w:tc>
        <w:tc>
          <w:tcPr>
            <w:tcW w:w="868" w:type="pct"/>
            <w:tcBorders>
              <w:bottom w:val="single" w:sz="4" w:space="0" w:color="auto"/>
            </w:tcBorders>
            <w:tcMar>
              <w:left w:w="28" w:type="dxa"/>
              <w:right w:w="28" w:type="dxa"/>
            </w:tcMar>
            <w:vAlign w:val="center"/>
          </w:tcPr>
          <w:p w:rsidR="00485D6F" w:rsidRPr="00FF1CF7" w:rsidRDefault="00485D6F" w:rsidP="004B4966">
            <w:pPr>
              <w:pStyle w:val="Tabletext"/>
              <w:keepNext/>
              <w:keepLines/>
              <w:spacing w:before="0" w:after="0"/>
              <w:jc w:val="center"/>
            </w:pPr>
            <w:r w:rsidRPr="00FF1CF7">
              <w:t>51 ± 25</w:t>
            </w:r>
          </w:p>
        </w:tc>
        <w:tc>
          <w:tcPr>
            <w:tcW w:w="684" w:type="pct"/>
            <w:tcBorders>
              <w:bottom w:val="single" w:sz="4" w:space="0" w:color="auto"/>
            </w:tcBorders>
            <w:tcMar>
              <w:left w:w="28" w:type="dxa"/>
              <w:right w:w="28" w:type="dxa"/>
            </w:tcMar>
            <w:vAlign w:val="center"/>
          </w:tcPr>
          <w:p w:rsidR="00485D6F" w:rsidRPr="00FF1CF7" w:rsidRDefault="00485D6F" w:rsidP="004B4966">
            <w:pPr>
              <w:pStyle w:val="Tabletext"/>
              <w:keepNext/>
              <w:keepLines/>
              <w:spacing w:before="0" w:after="0"/>
              <w:jc w:val="center"/>
            </w:pPr>
            <w:r w:rsidRPr="00FF1CF7">
              <w:t>NA</w:t>
            </w:r>
          </w:p>
        </w:tc>
        <w:tc>
          <w:tcPr>
            <w:tcW w:w="372" w:type="pct"/>
            <w:tcBorders>
              <w:bottom w:val="single" w:sz="4" w:space="0" w:color="auto"/>
            </w:tcBorders>
            <w:tcMar>
              <w:left w:w="28" w:type="dxa"/>
              <w:right w:w="28" w:type="dxa"/>
            </w:tcMar>
            <w:vAlign w:val="center"/>
          </w:tcPr>
          <w:p w:rsidR="00485D6F" w:rsidRPr="00FF1CF7" w:rsidRDefault="00485D6F" w:rsidP="004B4966">
            <w:pPr>
              <w:pStyle w:val="Tabletext"/>
              <w:keepNext/>
              <w:keepLines/>
              <w:spacing w:before="0" w:after="0"/>
              <w:jc w:val="center"/>
            </w:pPr>
            <w:r w:rsidRPr="00FF1CF7">
              <w:t>0.020</w:t>
            </w:r>
          </w:p>
        </w:tc>
      </w:tr>
    </w:tbl>
    <w:p w:rsidR="00485D6F" w:rsidRPr="00FF1CF7" w:rsidRDefault="00485D6F" w:rsidP="00485D6F">
      <w:pPr>
        <w:pStyle w:val="Tablecaption"/>
        <w:rPr>
          <w:sz w:val="18"/>
          <w:szCs w:val="18"/>
        </w:rPr>
      </w:pPr>
      <w:r w:rsidRPr="00FF1CF7">
        <w:rPr>
          <w:sz w:val="18"/>
          <w:szCs w:val="18"/>
        </w:rPr>
        <w:t>Source: Table B.6</w:t>
      </w:r>
      <w:r>
        <w:rPr>
          <w:sz w:val="18"/>
          <w:szCs w:val="18"/>
        </w:rPr>
        <w:t>-</w:t>
      </w:r>
      <w:r w:rsidRPr="00FF1CF7">
        <w:rPr>
          <w:sz w:val="18"/>
          <w:szCs w:val="18"/>
        </w:rPr>
        <w:t>1, p</w:t>
      </w:r>
      <w:r>
        <w:rPr>
          <w:sz w:val="18"/>
          <w:szCs w:val="18"/>
        </w:rPr>
        <w:t>4</w:t>
      </w:r>
      <w:r w:rsidRPr="00FF1CF7">
        <w:rPr>
          <w:sz w:val="18"/>
          <w:szCs w:val="18"/>
        </w:rPr>
        <w:t>3, Table B.6</w:t>
      </w:r>
      <w:r>
        <w:rPr>
          <w:sz w:val="18"/>
          <w:szCs w:val="18"/>
        </w:rPr>
        <w:t>-</w:t>
      </w:r>
      <w:r w:rsidRPr="00FF1CF7">
        <w:rPr>
          <w:sz w:val="18"/>
          <w:szCs w:val="18"/>
        </w:rPr>
        <w:t>4, p</w:t>
      </w:r>
      <w:r>
        <w:rPr>
          <w:sz w:val="18"/>
          <w:szCs w:val="18"/>
        </w:rPr>
        <w:t>4</w:t>
      </w:r>
      <w:r w:rsidRPr="00FF1CF7">
        <w:rPr>
          <w:sz w:val="18"/>
          <w:szCs w:val="18"/>
        </w:rPr>
        <w:t>5</w:t>
      </w:r>
      <w:r>
        <w:rPr>
          <w:sz w:val="18"/>
          <w:szCs w:val="18"/>
        </w:rPr>
        <w:t>,</w:t>
      </w:r>
      <w:r w:rsidRPr="00FF1CF7">
        <w:rPr>
          <w:sz w:val="18"/>
          <w:szCs w:val="18"/>
        </w:rPr>
        <w:t xml:space="preserve"> and Table B.6</w:t>
      </w:r>
      <w:r>
        <w:rPr>
          <w:sz w:val="18"/>
          <w:szCs w:val="18"/>
        </w:rPr>
        <w:t>-</w:t>
      </w:r>
      <w:r w:rsidRPr="00FF1CF7">
        <w:rPr>
          <w:sz w:val="18"/>
          <w:szCs w:val="18"/>
        </w:rPr>
        <w:t>3, p</w:t>
      </w:r>
      <w:r>
        <w:rPr>
          <w:sz w:val="18"/>
          <w:szCs w:val="18"/>
        </w:rPr>
        <w:t>4</w:t>
      </w:r>
      <w:r w:rsidRPr="00FF1CF7">
        <w:rPr>
          <w:sz w:val="18"/>
          <w:szCs w:val="18"/>
        </w:rPr>
        <w:t xml:space="preserve">4 of the </w:t>
      </w:r>
      <w:r w:rsidR="004B4966" w:rsidRPr="004B4966">
        <w:rPr>
          <w:sz w:val="18"/>
          <w:szCs w:val="18"/>
        </w:rPr>
        <w:t>application</w:t>
      </w:r>
      <w:r>
        <w:rPr>
          <w:sz w:val="18"/>
          <w:szCs w:val="18"/>
        </w:rPr>
        <w:t>, Table 8.3 page 125 of trial report.</w:t>
      </w:r>
    </w:p>
    <w:p w:rsidR="00485D6F" w:rsidRPr="00FF1CF7" w:rsidRDefault="00485D6F" w:rsidP="00485D6F">
      <w:pPr>
        <w:pStyle w:val="Tablecaption"/>
        <w:jc w:val="left"/>
        <w:rPr>
          <w:sz w:val="18"/>
          <w:szCs w:val="18"/>
        </w:rPr>
      </w:pPr>
      <w:r w:rsidRPr="00FF1CF7">
        <w:rPr>
          <w:sz w:val="18"/>
          <w:szCs w:val="18"/>
        </w:rPr>
        <w:t>AUC</w:t>
      </w:r>
      <w:r>
        <w:rPr>
          <w:sz w:val="18"/>
          <w:szCs w:val="18"/>
        </w:rPr>
        <w:t xml:space="preserve"> </w:t>
      </w:r>
      <w:r w:rsidRPr="00FF1CF7">
        <w:rPr>
          <w:sz w:val="18"/>
          <w:szCs w:val="18"/>
        </w:rPr>
        <w:t>=</w:t>
      </w:r>
      <w:r>
        <w:rPr>
          <w:sz w:val="18"/>
          <w:szCs w:val="18"/>
        </w:rPr>
        <w:t xml:space="preserve"> </w:t>
      </w:r>
      <w:r w:rsidRPr="00FF1CF7">
        <w:rPr>
          <w:sz w:val="18"/>
          <w:szCs w:val="18"/>
        </w:rPr>
        <w:t>area under curve; CI</w:t>
      </w:r>
      <w:r>
        <w:rPr>
          <w:sz w:val="18"/>
          <w:szCs w:val="18"/>
        </w:rPr>
        <w:t xml:space="preserve"> </w:t>
      </w:r>
      <w:r w:rsidRPr="00FF1CF7">
        <w:rPr>
          <w:sz w:val="18"/>
          <w:szCs w:val="18"/>
        </w:rPr>
        <w:t>=</w:t>
      </w:r>
      <w:r>
        <w:rPr>
          <w:sz w:val="18"/>
          <w:szCs w:val="18"/>
        </w:rPr>
        <w:t xml:space="preserve"> </w:t>
      </w:r>
      <w:r w:rsidRPr="00FF1CF7">
        <w:rPr>
          <w:sz w:val="18"/>
          <w:szCs w:val="18"/>
        </w:rPr>
        <w:t>confidence interval; HF</w:t>
      </w:r>
      <w:r>
        <w:rPr>
          <w:sz w:val="18"/>
          <w:szCs w:val="18"/>
        </w:rPr>
        <w:t xml:space="preserve"> </w:t>
      </w:r>
      <w:r w:rsidRPr="00FF1CF7">
        <w:rPr>
          <w:sz w:val="18"/>
          <w:szCs w:val="18"/>
        </w:rPr>
        <w:t>=</w:t>
      </w:r>
      <w:r>
        <w:rPr>
          <w:sz w:val="18"/>
          <w:szCs w:val="18"/>
        </w:rPr>
        <w:t xml:space="preserve"> </w:t>
      </w:r>
      <w:r w:rsidRPr="00FF1CF7">
        <w:rPr>
          <w:sz w:val="18"/>
          <w:szCs w:val="18"/>
        </w:rPr>
        <w:t>heart failure; NA</w:t>
      </w:r>
      <w:r>
        <w:rPr>
          <w:sz w:val="18"/>
          <w:szCs w:val="18"/>
        </w:rPr>
        <w:t xml:space="preserve"> </w:t>
      </w:r>
      <w:r w:rsidRPr="00FF1CF7">
        <w:rPr>
          <w:sz w:val="18"/>
          <w:szCs w:val="18"/>
        </w:rPr>
        <w:t>=</w:t>
      </w:r>
      <w:r>
        <w:rPr>
          <w:sz w:val="18"/>
          <w:szCs w:val="18"/>
        </w:rPr>
        <w:t xml:space="preserve"> </w:t>
      </w:r>
      <w:r w:rsidRPr="00FF1CF7">
        <w:rPr>
          <w:sz w:val="18"/>
          <w:szCs w:val="18"/>
        </w:rPr>
        <w:t>not applicable; PA</w:t>
      </w:r>
      <w:r>
        <w:rPr>
          <w:sz w:val="18"/>
          <w:szCs w:val="18"/>
        </w:rPr>
        <w:t xml:space="preserve"> </w:t>
      </w:r>
      <w:r w:rsidRPr="00FF1CF7">
        <w:rPr>
          <w:sz w:val="18"/>
          <w:szCs w:val="18"/>
        </w:rPr>
        <w:t>=</w:t>
      </w:r>
      <w:r>
        <w:rPr>
          <w:sz w:val="18"/>
          <w:szCs w:val="18"/>
        </w:rPr>
        <w:t xml:space="preserve"> </w:t>
      </w:r>
      <w:r w:rsidRPr="00FF1CF7">
        <w:rPr>
          <w:sz w:val="18"/>
          <w:szCs w:val="18"/>
        </w:rPr>
        <w:t>pulmonary artery; SD</w:t>
      </w:r>
      <w:r>
        <w:rPr>
          <w:sz w:val="18"/>
          <w:szCs w:val="18"/>
        </w:rPr>
        <w:t xml:space="preserve"> </w:t>
      </w:r>
      <w:r w:rsidRPr="00FF1CF7">
        <w:rPr>
          <w:sz w:val="18"/>
          <w:szCs w:val="18"/>
        </w:rPr>
        <w:t xml:space="preserve">=standard deviation </w:t>
      </w:r>
    </w:p>
    <w:p w:rsidR="00485D6F" w:rsidRPr="00FF1CF7" w:rsidRDefault="00485D6F" w:rsidP="00485D6F">
      <w:pPr>
        <w:pStyle w:val="Tablecaption"/>
        <w:rPr>
          <w:sz w:val="18"/>
          <w:szCs w:val="18"/>
        </w:rPr>
      </w:pPr>
      <w:proofErr w:type="spellStart"/>
      <w:proofErr w:type="gramStart"/>
      <w:r w:rsidRPr="00FF1CF7">
        <w:rPr>
          <w:sz w:val="18"/>
          <w:szCs w:val="18"/>
          <w:vertAlign w:val="superscript"/>
        </w:rPr>
        <w:t>a</w:t>
      </w:r>
      <w:proofErr w:type="spellEnd"/>
      <w:proofErr w:type="gramEnd"/>
      <w:r w:rsidRPr="00FF1CF7">
        <w:rPr>
          <w:sz w:val="18"/>
          <w:szCs w:val="18"/>
        </w:rPr>
        <w:t xml:space="preserve"> </w:t>
      </w:r>
      <w:r>
        <w:rPr>
          <w:sz w:val="18"/>
          <w:szCs w:val="18"/>
        </w:rPr>
        <w:t>T</w:t>
      </w:r>
      <w:r w:rsidRPr="00FF1CF7">
        <w:rPr>
          <w:sz w:val="18"/>
          <w:szCs w:val="18"/>
        </w:rPr>
        <w:t>his is a supplementary endpoint</w:t>
      </w:r>
    </w:p>
    <w:p w:rsidR="00485D6F" w:rsidRDefault="00485D6F" w:rsidP="00485D6F">
      <w:pPr>
        <w:pStyle w:val="Tablecaption"/>
        <w:rPr>
          <w:sz w:val="18"/>
          <w:szCs w:val="18"/>
        </w:rPr>
      </w:pPr>
      <w:proofErr w:type="gramStart"/>
      <w:r w:rsidRPr="00FF1CF7">
        <w:rPr>
          <w:sz w:val="18"/>
          <w:szCs w:val="18"/>
          <w:vertAlign w:val="superscript"/>
        </w:rPr>
        <w:t>b</w:t>
      </w:r>
      <w:proofErr w:type="gramEnd"/>
      <w:r w:rsidRPr="00FF1CF7">
        <w:rPr>
          <w:sz w:val="18"/>
          <w:szCs w:val="18"/>
          <w:vertAlign w:val="superscript"/>
        </w:rPr>
        <w:t xml:space="preserve"> </w:t>
      </w:r>
      <w:r>
        <w:rPr>
          <w:sz w:val="18"/>
          <w:szCs w:val="18"/>
        </w:rPr>
        <w:t>A</w:t>
      </w:r>
      <w:r w:rsidRPr="00FF1CF7">
        <w:rPr>
          <w:sz w:val="18"/>
          <w:szCs w:val="18"/>
        </w:rPr>
        <w:t xml:space="preserve"> lower score indicates improved quality of life</w:t>
      </w:r>
    </w:p>
    <w:p w:rsidR="00485D6F" w:rsidRPr="00FF1CF7" w:rsidRDefault="00485D6F" w:rsidP="00485D6F"/>
    <w:p w:rsidR="00485D6F" w:rsidRDefault="00485D6F" w:rsidP="00217ED8">
      <w:pPr>
        <w:pStyle w:val="Caption"/>
        <w:spacing w:before="0" w:after="0"/>
        <w:ind w:left="0" w:firstLine="0"/>
        <w:jc w:val="left"/>
      </w:pPr>
      <w:bookmarkStart w:id="5" w:name="_Ref430959268"/>
      <w:r>
        <w:lastRenderedPageBreak/>
        <w:t xml:space="preserve">Figure </w:t>
      </w:r>
      <w:fldSimple w:instr=" SEQ Figure \* ARABIC ">
        <w:r>
          <w:rPr>
            <w:noProof/>
          </w:rPr>
          <w:t>3</w:t>
        </w:r>
      </w:fldSimple>
      <w:bookmarkEnd w:id="5"/>
      <w:r w:rsidR="00217ED8">
        <w:rPr>
          <w:noProof/>
        </w:rPr>
        <w:t>:</w:t>
      </w:r>
      <w:r>
        <w:t xml:space="preserve"> </w:t>
      </w:r>
      <w:r w:rsidRPr="001A2ED2">
        <w:t>Kaplan-Meier survival plots at the end of the study (30 months)</w:t>
      </w:r>
    </w:p>
    <w:p w:rsidR="00485D6F" w:rsidRPr="00FF1CF7" w:rsidRDefault="00485D6F" w:rsidP="00485D6F">
      <w:pPr>
        <w:keepNext/>
        <w:keepLines/>
      </w:pPr>
      <w:r>
        <w:rPr>
          <w:noProof/>
        </w:rPr>
        <w:drawing>
          <wp:inline distT="0" distB="0" distL="0" distR="0" wp14:anchorId="686BC489" wp14:editId="095FAF3D">
            <wp:extent cx="4267200" cy="3055973"/>
            <wp:effectExtent l="0" t="0" r="0" b="0"/>
            <wp:docPr id="3" name="Picture 3" descr="Figure ES.1: Kaplan-Meier survival plots at the end of randomisation (mean follow-up 18 months)" title="Figure ES.1: Kaplan-Meier survival plots at the end of random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Source Figure 8.6 p139 of the clinical report.tiff"/>
                    <pic:cNvPicPr/>
                  </pic:nvPicPr>
                  <pic:blipFill>
                    <a:blip r:embed="rId12">
                      <a:extLst>
                        <a:ext uri="{28A0092B-C50C-407E-A947-70E740481C1C}">
                          <a14:useLocalDpi xmlns:a14="http://schemas.microsoft.com/office/drawing/2010/main" val="0"/>
                        </a:ext>
                      </a:extLst>
                    </a:blip>
                    <a:stretch>
                      <a:fillRect/>
                    </a:stretch>
                  </pic:blipFill>
                  <pic:spPr>
                    <a:xfrm>
                      <a:off x="0" y="0"/>
                      <a:ext cx="4276822" cy="3062864"/>
                    </a:xfrm>
                    <a:prstGeom prst="rect">
                      <a:avLst/>
                    </a:prstGeom>
                  </pic:spPr>
                </pic:pic>
              </a:graphicData>
            </a:graphic>
          </wp:inline>
        </w:drawing>
      </w:r>
    </w:p>
    <w:p w:rsidR="00485D6F" w:rsidRPr="00FD23C0" w:rsidRDefault="00485D6F" w:rsidP="00485D6F">
      <w:pPr>
        <w:keepNext/>
        <w:keepLines/>
        <w:rPr>
          <w:rFonts w:ascii="Arial Narrow" w:hAnsi="Arial Narrow" w:cs="Arial"/>
          <w:sz w:val="18"/>
          <w:szCs w:val="18"/>
        </w:rPr>
      </w:pPr>
      <w:r w:rsidRPr="00FD23C0">
        <w:rPr>
          <w:rFonts w:ascii="Arial Narrow" w:hAnsi="Arial Narrow" w:cs="Arial"/>
          <w:sz w:val="18"/>
          <w:szCs w:val="18"/>
        </w:rPr>
        <w:t xml:space="preserve">Source: Figure 8.6, p139 of the Clinical Report </w:t>
      </w:r>
    </w:p>
    <w:p w:rsidR="00485D6F" w:rsidRPr="00FD23C0" w:rsidRDefault="00485D6F" w:rsidP="00485D6F">
      <w:pPr>
        <w:keepNext/>
        <w:keepLines/>
        <w:rPr>
          <w:rFonts w:ascii="Arial Narrow" w:hAnsi="Arial Narrow" w:cs="Arial"/>
          <w:sz w:val="18"/>
          <w:szCs w:val="18"/>
        </w:rPr>
      </w:pPr>
      <w:r w:rsidRPr="00FD23C0">
        <w:rPr>
          <w:rFonts w:ascii="Arial Narrow" w:hAnsi="Arial Narrow" w:cs="Arial"/>
          <w:sz w:val="18"/>
          <w:szCs w:val="18"/>
        </w:rPr>
        <w:t xml:space="preserve">HR = hazard ratio </w:t>
      </w:r>
    </w:p>
    <w:p w:rsidR="00485D6F" w:rsidRPr="00217ED8" w:rsidRDefault="00485D6F" w:rsidP="00856A33">
      <w:pPr>
        <w:pStyle w:val="ListParagraph"/>
        <w:ind w:left="0"/>
        <w:rPr>
          <w:szCs w:val="24"/>
        </w:rPr>
      </w:pPr>
    </w:p>
    <w:p w:rsidR="00485D6F" w:rsidRPr="00217ED8" w:rsidRDefault="00485D6F" w:rsidP="00217ED8">
      <w:r w:rsidRPr="00FF1CF7">
        <w:t xml:space="preserve">Based on the evidence from the CHAMPION trial, the </w:t>
      </w:r>
      <w:r w:rsidR="004B4966">
        <w:t>application</w:t>
      </w:r>
      <w:r w:rsidRPr="00FF1CF7">
        <w:t xml:space="preserve"> concluded that the haemodynamic sensor was clinically more effective than standard care and non-inferior in terms of safety, compared to standard care.</w:t>
      </w:r>
    </w:p>
    <w:p w:rsidR="00BC1364" w:rsidRPr="00217ED8" w:rsidRDefault="00BC1364" w:rsidP="00DD2858">
      <w:pPr>
        <w:rPr>
          <w:szCs w:val="24"/>
        </w:rPr>
      </w:pPr>
    </w:p>
    <w:p w:rsidR="00BC1364" w:rsidRDefault="00BC1364" w:rsidP="007B32D1">
      <w:pPr>
        <w:pStyle w:val="Heading1"/>
        <w:numPr>
          <w:ilvl w:val="0"/>
          <w:numId w:val="23"/>
        </w:numPr>
        <w:ind w:hanging="720"/>
      </w:pPr>
      <w:r w:rsidRPr="008D5885">
        <w:t>Economic evaluation</w:t>
      </w:r>
    </w:p>
    <w:p w:rsidR="00BC1364" w:rsidRPr="00217ED8" w:rsidRDefault="00BC1364" w:rsidP="00DD2858">
      <w:pPr>
        <w:rPr>
          <w:szCs w:val="24"/>
        </w:rPr>
      </w:pPr>
    </w:p>
    <w:p w:rsidR="00485D6F" w:rsidRDefault="00485D6F" w:rsidP="00217ED8">
      <w:r>
        <w:t xml:space="preserve">The </w:t>
      </w:r>
      <w:r w:rsidR="004B4966">
        <w:t>application</w:t>
      </w:r>
      <w:r>
        <w:t xml:space="preserve"> presented a</w:t>
      </w:r>
      <w:r w:rsidRPr="00247CBA">
        <w:t xml:space="preserve"> stepped economic evaluation in the form of a cost-utility analysis using </w:t>
      </w:r>
      <w:proofErr w:type="spellStart"/>
      <w:r w:rsidRPr="00247CBA">
        <w:t>TreeAge</w:t>
      </w:r>
      <w:proofErr w:type="spellEnd"/>
      <w:r w:rsidRPr="00247CBA">
        <w:t xml:space="preserve"> Pro 2015. The structure was a lifetime Markov cohort model, with monthly cycles and four health states: (</w:t>
      </w:r>
      <w:proofErr w:type="spellStart"/>
      <w:r w:rsidRPr="00247CBA">
        <w:t>i</w:t>
      </w:r>
      <w:proofErr w:type="spellEnd"/>
      <w:r w:rsidRPr="00247CBA">
        <w:t>) standard care and sensor implant, (ii) stable heart failure, (iii) heart failure-related h</w:t>
      </w:r>
      <w:r w:rsidR="00217ED8">
        <w:t xml:space="preserve">ospitalisation, and </w:t>
      </w:r>
      <w:proofErr w:type="gramStart"/>
      <w:r w:rsidR="00217ED8">
        <w:t>(iv) death</w:t>
      </w:r>
      <w:proofErr w:type="gramEnd"/>
      <w:r w:rsidR="00217ED8">
        <w:t>.</w:t>
      </w:r>
    </w:p>
    <w:p w:rsidR="00217ED8" w:rsidRDefault="00217ED8" w:rsidP="00217ED8"/>
    <w:p w:rsidR="00485D6F" w:rsidRDefault="00485D6F" w:rsidP="00485D6F">
      <w:pPr>
        <w:tabs>
          <w:tab w:val="left" w:pos="720"/>
        </w:tabs>
      </w:pPr>
      <w:r>
        <w:t>The independent critique considered that t</w:t>
      </w:r>
      <w:r w:rsidRPr="00422C9D">
        <w:t>he model duration (lifetime) might not be appropriate</w:t>
      </w:r>
      <w:r>
        <w:t xml:space="preserve">, noting that </w:t>
      </w:r>
      <w:r w:rsidRPr="00422C9D">
        <w:t xml:space="preserve">extrapolation of outcomes from 17 months to lifetime </w:t>
      </w:r>
      <w:r>
        <w:t>was</w:t>
      </w:r>
      <w:r w:rsidRPr="00422C9D">
        <w:t xml:space="preserve"> problematic</w:t>
      </w:r>
      <w:r>
        <w:t xml:space="preserve"> and that</w:t>
      </w:r>
      <w:r w:rsidRPr="00422C9D">
        <w:t xml:space="preserve"> </w:t>
      </w:r>
      <w:proofErr w:type="gramStart"/>
      <w:r>
        <w:t>a shorter</w:t>
      </w:r>
      <w:proofErr w:type="gramEnd"/>
      <w:r>
        <w:t xml:space="preserve"> model duration would be warranted as p</w:t>
      </w:r>
      <w:r w:rsidRPr="00422C9D">
        <w:t xml:space="preserve">atients with moderate heart failure typically have a shorter life expectancy. The </w:t>
      </w:r>
      <w:r>
        <w:t xml:space="preserve">critique also noted that the </w:t>
      </w:r>
      <w:r w:rsidRPr="00422C9D">
        <w:t>model did not produce similar outcomes to the trial evidence.</w:t>
      </w:r>
    </w:p>
    <w:p w:rsidR="00DB5833" w:rsidRPr="00217ED8" w:rsidRDefault="00DB5833" w:rsidP="00096B67">
      <w:pPr>
        <w:pStyle w:val="Default"/>
        <w:rPr>
          <w:color w:val="auto"/>
        </w:rPr>
      </w:pPr>
    </w:p>
    <w:p w:rsidR="009F5CD9" w:rsidRDefault="00485D6F" w:rsidP="00485D6F">
      <w:pPr>
        <w:tabs>
          <w:tab w:val="left" w:pos="720"/>
        </w:tabs>
      </w:pPr>
      <w:r>
        <w:t xml:space="preserve">The </w:t>
      </w:r>
      <w:r w:rsidR="004B4966">
        <w:t>application</w:t>
      </w:r>
      <w:r>
        <w:t xml:space="preserve"> provided a s</w:t>
      </w:r>
      <w:r w:rsidRPr="00004496">
        <w:t>ummary of input parameters included in the economic evaluation</w:t>
      </w:r>
      <w:r w:rsidR="00217ED8">
        <w:t xml:space="preserve"> (Table 4).</w:t>
      </w:r>
    </w:p>
    <w:p w:rsidR="008D270E" w:rsidRDefault="008D270E">
      <w:r>
        <w:br w:type="page"/>
      </w:r>
    </w:p>
    <w:p w:rsidR="00485D6F" w:rsidRDefault="00485D6F" w:rsidP="00485D6F">
      <w:pPr>
        <w:pStyle w:val="Caption"/>
        <w:spacing w:before="0" w:after="0"/>
        <w:ind w:hanging="1741"/>
      </w:pPr>
      <w:r>
        <w:lastRenderedPageBreak/>
        <w:t xml:space="preserve">Table </w:t>
      </w:r>
      <w:fldSimple w:instr=" SEQ Table \* ARABIC ">
        <w:r>
          <w:rPr>
            <w:noProof/>
          </w:rPr>
          <w:t>4</w:t>
        </w:r>
      </w:fldSimple>
      <w:r w:rsidR="00217ED8">
        <w:rPr>
          <w:noProof/>
        </w:rPr>
        <w:t>:</w:t>
      </w:r>
      <w:r>
        <w:t xml:space="preserve"> inputs to the clinical evaluation</w:t>
      </w:r>
    </w:p>
    <w:tbl>
      <w:tblPr>
        <w:tblStyle w:val="OPTUMTableNormal"/>
        <w:tblW w:w="5000" w:type="pct"/>
        <w:tblInd w:w="108" w:type="dxa"/>
        <w:tblLayout w:type="fixed"/>
        <w:tblLook w:val="04A0" w:firstRow="1" w:lastRow="0" w:firstColumn="1" w:lastColumn="0" w:noHBand="0" w:noVBand="1"/>
        <w:tblCaption w:val="Table 4: inputs to the clinical evaluation"/>
        <w:tblDescription w:val="Table shows the clinical input parameters and the parameter estimates included in the economic evaluation."/>
      </w:tblPr>
      <w:tblGrid>
        <w:gridCol w:w="5608"/>
        <w:gridCol w:w="2207"/>
        <w:gridCol w:w="1427"/>
      </w:tblGrid>
      <w:tr w:rsidR="00485D6F" w:rsidRPr="00E05B60" w:rsidTr="003C30D9">
        <w:trPr>
          <w:cnfStyle w:val="100000000000" w:firstRow="1" w:lastRow="0" w:firstColumn="0" w:lastColumn="0" w:oddVBand="0" w:evenVBand="0" w:oddHBand="0" w:evenHBand="0" w:firstRowFirstColumn="0" w:firstRowLastColumn="0" w:lastRowFirstColumn="0" w:lastRowLastColumn="0"/>
          <w:trHeight w:val="70"/>
          <w:tblHeader/>
        </w:trPr>
        <w:tc>
          <w:tcPr>
            <w:tcW w:w="3034" w:type="pct"/>
            <w:tcBorders>
              <w:bottom w:val="nil"/>
            </w:tcBorders>
            <w:noWrap/>
            <w:hideMark/>
          </w:tcPr>
          <w:p w:rsidR="00485D6F" w:rsidRPr="00217ED8" w:rsidRDefault="00485D6F" w:rsidP="00061996">
            <w:pPr>
              <w:pStyle w:val="Tableheader"/>
              <w:spacing w:before="0" w:after="0"/>
            </w:pPr>
            <w:r w:rsidRPr="00217ED8">
              <w:t>Clinical input parameters</w:t>
            </w:r>
          </w:p>
        </w:tc>
        <w:tc>
          <w:tcPr>
            <w:tcW w:w="1966" w:type="pct"/>
            <w:gridSpan w:val="2"/>
            <w:noWrap/>
            <w:hideMark/>
          </w:tcPr>
          <w:p w:rsidR="00485D6F" w:rsidRPr="00217ED8" w:rsidRDefault="00485D6F" w:rsidP="00061996">
            <w:pPr>
              <w:pStyle w:val="Tableheader"/>
              <w:spacing w:before="0" w:after="0"/>
              <w:jc w:val="center"/>
            </w:pPr>
            <w:r w:rsidRPr="00217ED8">
              <w:t>Parameter estimate</w:t>
            </w:r>
          </w:p>
        </w:tc>
      </w:tr>
      <w:tr w:rsidR="00485D6F" w:rsidRPr="00E05B60" w:rsidTr="00061996">
        <w:trPr>
          <w:trHeight w:val="128"/>
        </w:trPr>
        <w:tc>
          <w:tcPr>
            <w:tcW w:w="3034" w:type="pct"/>
            <w:tcBorders>
              <w:top w:val="nil"/>
            </w:tcBorders>
            <w:noWrap/>
            <w:hideMark/>
          </w:tcPr>
          <w:p w:rsidR="00485D6F" w:rsidRPr="00217ED8" w:rsidRDefault="00485D6F" w:rsidP="00061996">
            <w:pPr>
              <w:pStyle w:val="Tableheader"/>
              <w:spacing w:before="0" w:after="0"/>
            </w:pPr>
          </w:p>
        </w:tc>
        <w:tc>
          <w:tcPr>
            <w:tcW w:w="1194" w:type="pct"/>
            <w:noWrap/>
            <w:hideMark/>
          </w:tcPr>
          <w:p w:rsidR="00485D6F" w:rsidRPr="00217ED8" w:rsidRDefault="00485D6F" w:rsidP="00061996">
            <w:pPr>
              <w:pStyle w:val="Tableheader"/>
              <w:spacing w:before="0" w:after="0"/>
              <w:jc w:val="center"/>
            </w:pPr>
            <w:r w:rsidRPr="00217ED8">
              <w:t>LAB-IHMS</w:t>
            </w:r>
          </w:p>
        </w:tc>
        <w:tc>
          <w:tcPr>
            <w:tcW w:w="772" w:type="pct"/>
            <w:noWrap/>
            <w:hideMark/>
          </w:tcPr>
          <w:p w:rsidR="00485D6F" w:rsidRPr="00217ED8" w:rsidRDefault="00485D6F" w:rsidP="00061996">
            <w:pPr>
              <w:pStyle w:val="Tableheader"/>
              <w:spacing w:before="0" w:after="0"/>
              <w:jc w:val="center"/>
            </w:pPr>
            <w:r w:rsidRPr="00217ED8">
              <w:t>SOC</w:t>
            </w:r>
          </w:p>
        </w:tc>
      </w:tr>
      <w:tr w:rsidR="00485D6F" w:rsidRPr="00E05B60" w:rsidTr="00217ED8">
        <w:trPr>
          <w:trHeight w:val="131"/>
        </w:trPr>
        <w:tc>
          <w:tcPr>
            <w:tcW w:w="3034" w:type="pct"/>
            <w:noWrap/>
            <w:hideMark/>
          </w:tcPr>
          <w:p w:rsidR="00485D6F" w:rsidRPr="00E05B60" w:rsidRDefault="00485D6F" w:rsidP="004B4966">
            <w:pPr>
              <w:pStyle w:val="Tabletext"/>
              <w:keepNext/>
              <w:spacing w:before="0" w:after="0"/>
            </w:pPr>
            <w:r w:rsidRPr="007A39AA">
              <w:t>Probability of device or procedure related complication</w:t>
            </w:r>
          </w:p>
        </w:tc>
        <w:tc>
          <w:tcPr>
            <w:tcW w:w="1194" w:type="pct"/>
            <w:noWrap/>
            <w:hideMark/>
          </w:tcPr>
          <w:p w:rsidR="00485D6F" w:rsidRPr="00E05B60" w:rsidRDefault="00485D6F" w:rsidP="004B4966">
            <w:pPr>
              <w:pStyle w:val="Tabletext"/>
              <w:keepNext/>
              <w:spacing w:before="0" w:after="0"/>
              <w:jc w:val="center"/>
            </w:pPr>
            <w:r>
              <w:t>2</w:t>
            </w:r>
            <w:r w:rsidRPr="00E05B60">
              <w:t>.</w:t>
            </w:r>
            <w:r>
              <w:t>6</w:t>
            </w:r>
            <w:r w:rsidRPr="00E05B60">
              <w:t>%</w:t>
            </w:r>
          </w:p>
        </w:tc>
        <w:tc>
          <w:tcPr>
            <w:tcW w:w="772" w:type="pct"/>
            <w:noWrap/>
            <w:hideMark/>
          </w:tcPr>
          <w:p w:rsidR="00485D6F" w:rsidRPr="00E05B60" w:rsidRDefault="00485D6F" w:rsidP="004B4966">
            <w:pPr>
              <w:pStyle w:val="Tabletext"/>
              <w:keepNext/>
              <w:spacing w:before="0" w:after="0"/>
              <w:jc w:val="center"/>
            </w:pPr>
            <w:r>
              <w:t>NA</w:t>
            </w:r>
          </w:p>
        </w:tc>
      </w:tr>
      <w:tr w:rsidR="00485D6F" w:rsidRPr="00E05B60" w:rsidTr="00217ED8">
        <w:trPr>
          <w:trHeight w:val="107"/>
        </w:trPr>
        <w:tc>
          <w:tcPr>
            <w:tcW w:w="3034" w:type="pct"/>
            <w:noWrap/>
          </w:tcPr>
          <w:p w:rsidR="00485D6F" w:rsidRPr="00A20367" w:rsidRDefault="00485D6F" w:rsidP="004B4966">
            <w:pPr>
              <w:pStyle w:val="Tabletext"/>
              <w:keepNext/>
              <w:spacing w:before="0" w:after="0"/>
            </w:pPr>
            <w:r w:rsidRPr="00A20367">
              <w:t>Annual HF hospitalisation rate</w:t>
            </w:r>
          </w:p>
        </w:tc>
        <w:tc>
          <w:tcPr>
            <w:tcW w:w="1194" w:type="pct"/>
            <w:noWrap/>
          </w:tcPr>
          <w:p w:rsidR="00485D6F" w:rsidRPr="00A20367" w:rsidRDefault="00485D6F" w:rsidP="004B4966">
            <w:pPr>
              <w:pStyle w:val="Tabletext"/>
              <w:keepNext/>
              <w:spacing w:before="0" w:after="0"/>
              <w:jc w:val="center"/>
            </w:pPr>
            <w:r w:rsidRPr="00A20367">
              <w:t>0.49</w:t>
            </w:r>
            <w:r>
              <w:t xml:space="preserve"> (based on RR below)</w:t>
            </w:r>
          </w:p>
        </w:tc>
        <w:tc>
          <w:tcPr>
            <w:tcW w:w="772" w:type="pct"/>
            <w:noWrap/>
          </w:tcPr>
          <w:p w:rsidR="00485D6F" w:rsidRPr="00A20367" w:rsidRDefault="00485D6F" w:rsidP="004B4966">
            <w:pPr>
              <w:pStyle w:val="Tabletext"/>
              <w:keepNext/>
              <w:spacing w:before="0" w:after="0"/>
              <w:jc w:val="center"/>
            </w:pPr>
            <w:r w:rsidRPr="00A20367">
              <w:t>0.72</w:t>
            </w:r>
          </w:p>
        </w:tc>
      </w:tr>
      <w:tr w:rsidR="00485D6F" w:rsidRPr="00E05B60" w:rsidTr="00217ED8">
        <w:trPr>
          <w:trHeight w:val="225"/>
        </w:trPr>
        <w:tc>
          <w:tcPr>
            <w:tcW w:w="3034" w:type="pct"/>
            <w:noWrap/>
          </w:tcPr>
          <w:p w:rsidR="00485D6F" w:rsidRPr="00A20367" w:rsidRDefault="00485D6F" w:rsidP="004B4966">
            <w:pPr>
              <w:pStyle w:val="Tabletext"/>
              <w:keepNext/>
              <w:spacing w:before="0" w:after="0"/>
            </w:pPr>
            <w:r w:rsidRPr="00A20367">
              <w:t>Annual RR of hospitalisation for heart failure</w:t>
            </w:r>
          </w:p>
        </w:tc>
        <w:tc>
          <w:tcPr>
            <w:tcW w:w="1194" w:type="pct"/>
            <w:noWrap/>
          </w:tcPr>
          <w:p w:rsidR="00485D6F" w:rsidRPr="00A20367" w:rsidRDefault="00485D6F" w:rsidP="004B4966">
            <w:pPr>
              <w:pStyle w:val="Tabletext"/>
              <w:keepNext/>
              <w:spacing w:before="0" w:after="0"/>
              <w:jc w:val="center"/>
            </w:pPr>
            <w:r w:rsidRPr="00A20367">
              <w:t>0.68</w:t>
            </w:r>
          </w:p>
        </w:tc>
        <w:tc>
          <w:tcPr>
            <w:tcW w:w="772" w:type="pct"/>
            <w:noWrap/>
          </w:tcPr>
          <w:p w:rsidR="00485D6F" w:rsidRPr="00A20367" w:rsidRDefault="00485D6F" w:rsidP="004B4966">
            <w:pPr>
              <w:pStyle w:val="Tabletext"/>
              <w:keepNext/>
              <w:spacing w:before="0" w:after="0"/>
              <w:jc w:val="center"/>
            </w:pPr>
            <w:r w:rsidRPr="00A20367">
              <w:t>1.00</w:t>
            </w:r>
          </w:p>
        </w:tc>
      </w:tr>
      <w:tr w:rsidR="00485D6F" w:rsidRPr="00E05B60" w:rsidTr="00217ED8">
        <w:trPr>
          <w:trHeight w:val="187"/>
        </w:trPr>
        <w:tc>
          <w:tcPr>
            <w:tcW w:w="3034" w:type="pct"/>
            <w:noWrap/>
          </w:tcPr>
          <w:p w:rsidR="00485D6F" w:rsidRPr="00A20367" w:rsidRDefault="00485D6F" w:rsidP="004B4966">
            <w:pPr>
              <w:pStyle w:val="Tabletext"/>
              <w:keepNext/>
              <w:spacing w:before="0" w:after="0"/>
            </w:pPr>
            <w:r w:rsidRPr="00A20367">
              <w:t>Annual death rate</w:t>
            </w:r>
          </w:p>
        </w:tc>
        <w:tc>
          <w:tcPr>
            <w:tcW w:w="1194" w:type="pct"/>
            <w:noWrap/>
          </w:tcPr>
          <w:p w:rsidR="00485D6F" w:rsidRPr="00A20367" w:rsidRDefault="00485D6F" w:rsidP="004B4966">
            <w:pPr>
              <w:pStyle w:val="Tabletext"/>
              <w:keepNext/>
              <w:spacing w:before="0" w:after="0"/>
              <w:jc w:val="center"/>
            </w:pPr>
            <w:r w:rsidRPr="00A20367">
              <w:t>0.13</w:t>
            </w:r>
          </w:p>
        </w:tc>
        <w:tc>
          <w:tcPr>
            <w:tcW w:w="772" w:type="pct"/>
            <w:noWrap/>
          </w:tcPr>
          <w:p w:rsidR="00485D6F" w:rsidRPr="00A20367" w:rsidRDefault="00485D6F" w:rsidP="004B4966">
            <w:pPr>
              <w:pStyle w:val="Tabletext"/>
              <w:keepNext/>
              <w:spacing w:before="0" w:after="0"/>
              <w:jc w:val="center"/>
            </w:pPr>
            <w:r w:rsidRPr="00A20367">
              <w:t>0.16</w:t>
            </w:r>
          </w:p>
        </w:tc>
      </w:tr>
      <w:tr w:rsidR="00485D6F" w:rsidRPr="00E05B60" w:rsidTr="004B4966">
        <w:trPr>
          <w:trHeight w:val="210"/>
        </w:trPr>
        <w:tc>
          <w:tcPr>
            <w:tcW w:w="3034" w:type="pct"/>
            <w:noWrap/>
            <w:hideMark/>
          </w:tcPr>
          <w:p w:rsidR="00485D6F" w:rsidRPr="00A20367" w:rsidRDefault="00485D6F" w:rsidP="004B4966">
            <w:pPr>
              <w:pStyle w:val="Tabletext"/>
              <w:keepNext/>
              <w:spacing w:before="0" w:after="0"/>
            </w:pPr>
            <w:r w:rsidRPr="00A20367">
              <w:t xml:space="preserve">RR of </w:t>
            </w:r>
            <w:r>
              <w:t>death</w:t>
            </w:r>
          </w:p>
        </w:tc>
        <w:tc>
          <w:tcPr>
            <w:tcW w:w="1194" w:type="pct"/>
            <w:noWrap/>
            <w:hideMark/>
          </w:tcPr>
          <w:p w:rsidR="00485D6F" w:rsidRPr="00A20367" w:rsidRDefault="00485D6F" w:rsidP="004B4966">
            <w:pPr>
              <w:pStyle w:val="Tabletext"/>
              <w:keepNext/>
              <w:spacing w:before="0" w:after="0"/>
              <w:jc w:val="center"/>
            </w:pPr>
            <w:r w:rsidRPr="00A20367">
              <w:t>0.</w:t>
            </w:r>
            <w:r>
              <w:t>79(based on RR below)</w:t>
            </w:r>
          </w:p>
        </w:tc>
        <w:tc>
          <w:tcPr>
            <w:tcW w:w="772" w:type="pct"/>
            <w:noWrap/>
            <w:hideMark/>
          </w:tcPr>
          <w:p w:rsidR="00485D6F" w:rsidRDefault="00485D6F" w:rsidP="004B4966">
            <w:pPr>
              <w:pStyle w:val="Tabletext"/>
              <w:keepNext/>
              <w:spacing w:before="0" w:after="0"/>
              <w:jc w:val="center"/>
            </w:pPr>
            <w:r w:rsidRPr="00A20367">
              <w:t>1.00</w:t>
            </w:r>
          </w:p>
        </w:tc>
      </w:tr>
      <w:tr w:rsidR="00485D6F" w:rsidRPr="00E05B60" w:rsidTr="00217ED8">
        <w:trPr>
          <w:trHeight w:val="136"/>
        </w:trPr>
        <w:tc>
          <w:tcPr>
            <w:tcW w:w="3034" w:type="pct"/>
            <w:noWrap/>
          </w:tcPr>
          <w:p w:rsidR="00485D6F" w:rsidRPr="00B73867" w:rsidRDefault="00485D6F" w:rsidP="004B4966">
            <w:pPr>
              <w:pStyle w:val="Tabletext"/>
              <w:keepNext/>
              <w:spacing w:before="0" w:after="0"/>
            </w:pPr>
            <w:r w:rsidRPr="00B73867">
              <w:t>Mean utility at baseline</w:t>
            </w:r>
          </w:p>
        </w:tc>
        <w:tc>
          <w:tcPr>
            <w:tcW w:w="1194" w:type="pct"/>
            <w:noWrap/>
          </w:tcPr>
          <w:p w:rsidR="00485D6F" w:rsidRPr="00B73867" w:rsidRDefault="00485D6F" w:rsidP="004B4966">
            <w:pPr>
              <w:pStyle w:val="Tabletext"/>
              <w:keepNext/>
              <w:spacing w:before="0" w:after="0"/>
              <w:jc w:val="center"/>
            </w:pPr>
            <w:r w:rsidRPr="00B73867">
              <w:t>0.711</w:t>
            </w:r>
          </w:p>
        </w:tc>
        <w:tc>
          <w:tcPr>
            <w:tcW w:w="772" w:type="pct"/>
            <w:noWrap/>
          </w:tcPr>
          <w:p w:rsidR="00485D6F" w:rsidRPr="00B73867" w:rsidRDefault="00485D6F" w:rsidP="004B4966">
            <w:pPr>
              <w:pStyle w:val="Tabletext"/>
              <w:keepNext/>
              <w:spacing w:before="0" w:after="0"/>
              <w:jc w:val="center"/>
            </w:pPr>
            <w:r w:rsidRPr="00B73867">
              <w:t>0.711</w:t>
            </w:r>
          </w:p>
        </w:tc>
      </w:tr>
      <w:tr w:rsidR="00485D6F" w:rsidRPr="00E05B60" w:rsidTr="00217ED8">
        <w:trPr>
          <w:trHeight w:val="195"/>
        </w:trPr>
        <w:tc>
          <w:tcPr>
            <w:tcW w:w="3034" w:type="pct"/>
            <w:noWrap/>
          </w:tcPr>
          <w:p w:rsidR="00485D6F" w:rsidRPr="00B73867" w:rsidRDefault="00485D6F" w:rsidP="004B4966">
            <w:pPr>
              <w:pStyle w:val="Tabletext"/>
              <w:keepNext/>
              <w:spacing w:before="0" w:after="0"/>
            </w:pPr>
            <w:r w:rsidRPr="00B73867">
              <w:t>Mean utility of patients from baseline to Month 6</w:t>
            </w:r>
          </w:p>
        </w:tc>
        <w:tc>
          <w:tcPr>
            <w:tcW w:w="1194" w:type="pct"/>
            <w:noWrap/>
          </w:tcPr>
          <w:p w:rsidR="00485D6F" w:rsidRPr="00B73867" w:rsidRDefault="00485D6F" w:rsidP="004B4966">
            <w:pPr>
              <w:pStyle w:val="Tabletext"/>
              <w:keepNext/>
              <w:spacing w:before="0" w:after="0"/>
              <w:jc w:val="center"/>
            </w:pPr>
            <w:r w:rsidRPr="00B73867">
              <w:t>0.719</w:t>
            </w:r>
          </w:p>
        </w:tc>
        <w:tc>
          <w:tcPr>
            <w:tcW w:w="772" w:type="pct"/>
            <w:noWrap/>
          </w:tcPr>
          <w:p w:rsidR="00485D6F" w:rsidRPr="00B73867" w:rsidRDefault="00485D6F" w:rsidP="004B4966">
            <w:pPr>
              <w:pStyle w:val="Tabletext"/>
              <w:keepNext/>
              <w:spacing w:before="0" w:after="0"/>
              <w:jc w:val="center"/>
            </w:pPr>
            <w:r w:rsidRPr="00B73867">
              <w:t>0.681</w:t>
            </w:r>
          </w:p>
        </w:tc>
      </w:tr>
      <w:tr w:rsidR="00485D6F" w:rsidRPr="00E05B60" w:rsidTr="00217ED8">
        <w:trPr>
          <w:trHeight w:val="100"/>
        </w:trPr>
        <w:tc>
          <w:tcPr>
            <w:tcW w:w="3034" w:type="pct"/>
            <w:noWrap/>
          </w:tcPr>
          <w:p w:rsidR="00485D6F" w:rsidRPr="00B73867" w:rsidRDefault="00485D6F" w:rsidP="004B4966">
            <w:pPr>
              <w:pStyle w:val="Tabletext"/>
              <w:keepNext/>
              <w:spacing w:before="0" w:after="0"/>
            </w:pPr>
            <w:r w:rsidRPr="00B73867">
              <w:t>Mean utility of patients from baseline to Month 12</w:t>
            </w:r>
          </w:p>
        </w:tc>
        <w:tc>
          <w:tcPr>
            <w:tcW w:w="1194" w:type="pct"/>
            <w:noWrap/>
          </w:tcPr>
          <w:p w:rsidR="00485D6F" w:rsidRPr="00B73867" w:rsidRDefault="00485D6F" w:rsidP="004B4966">
            <w:pPr>
              <w:pStyle w:val="Tabletext"/>
              <w:keepNext/>
              <w:spacing w:before="0" w:after="0"/>
              <w:jc w:val="center"/>
            </w:pPr>
            <w:r w:rsidRPr="00B73867">
              <w:t>0.739</w:t>
            </w:r>
          </w:p>
        </w:tc>
        <w:tc>
          <w:tcPr>
            <w:tcW w:w="772" w:type="pct"/>
            <w:noWrap/>
          </w:tcPr>
          <w:p w:rsidR="00485D6F" w:rsidRDefault="00485D6F" w:rsidP="004B4966">
            <w:pPr>
              <w:pStyle w:val="Tabletext"/>
              <w:keepNext/>
              <w:spacing w:before="0" w:after="0"/>
              <w:jc w:val="center"/>
            </w:pPr>
            <w:r w:rsidRPr="00B73867">
              <w:t>0.660</w:t>
            </w:r>
          </w:p>
        </w:tc>
      </w:tr>
      <w:tr w:rsidR="00485D6F" w:rsidRPr="00E05B60" w:rsidTr="00217ED8">
        <w:trPr>
          <w:trHeight w:val="132"/>
        </w:trPr>
        <w:tc>
          <w:tcPr>
            <w:tcW w:w="3034" w:type="pct"/>
            <w:noWrap/>
          </w:tcPr>
          <w:p w:rsidR="00485D6F" w:rsidRPr="00E850F1" w:rsidRDefault="00485D6F" w:rsidP="004B4966">
            <w:pPr>
              <w:pStyle w:val="Tabletext"/>
              <w:keepNext/>
              <w:spacing w:before="0" w:after="0"/>
              <w:rPr>
                <w:b/>
              </w:rPr>
            </w:pPr>
            <w:r w:rsidRPr="00E850F1">
              <w:rPr>
                <w:b/>
              </w:rPr>
              <w:t>Cost estimates</w:t>
            </w:r>
          </w:p>
        </w:tc>
        <w:tc>
          <w:tcPr>
            <w:tcW w:w="1194" w:type="pct"/>
            <w:noWrap/>
          </w:tcPr>
          <w:p w:rsidR="00485D6F" w:rsidRPr="00E05B60" w:rsidRDefault="00485D6F" w:rsidP="004B4966">
            <w:pPr>
              <w:pStyle w:val="Tabletext"/>
              <w:keepNext/>
              <w:spacing w:before="0" w:after="0"/>
            </w:pPr>
          </w:p>
        </w:tc>
        <w:tc>
          <w:tcPr>
            <w:tcW w:w="772" w:type="pct"/>
            <w:noWrap/>
          </w:tcPr>
          <w:p w:rsidR="00485D6F" w:rsidRPr="00E05B60" w:rsidRDefault="00485D6F" w:rsidP="004B4966">
            <w:pPr>
              <w:pStyle w:val="Tabletext"/>
              <w:keepNext/>
              <w:spacing w:before="0" w:after="0"/>
            </w:pPr>
          </w:p>
        </w:tc>
      </w:tr>
      <w:tr w:rsidR="00485D6F" w:rsidRPr="00E05B60" w:rsidTr="00217ED8">
        <w:trPr>
          <w:trHeight w:val="178"/>
        </w:trPr>
        <w:tc>
          <w:tcPr>
            <w:tcW w:w="3034" w:type="pct"/>
            <w:noWrap/>
          </w:tcPr>
          <w:p w:rsidR="00485D6F" w:rsidRPr="00D8115A" w:rsidRDefault="00485D6F" w:rsidP="004B4966">
            <w:pPr>
              <w:pStyle w:val="Tabletext"/>
              <w:keepNext/>
              <w:spacing w:before="0" w:after="0"/>
            </w:pPr>
            <w:r>
              <w:t>LAB-IHMS</w:t>
            </w:r>
            <w:r w:rsidRPr="00D8115A">
              <w:t xml:space="preserve"> procedure</w:t>
            </w:r>
          </w:p>
        </w:tc>
        <w:tc>
          <w:tcPr>
            <w:tcW w:w="1194" w:type="pct"/>
            <w:noWrap/>
            <w:vAlign w:val="bottom"/>
          </w:tcPr>
          <w:p w:rsidR="00485D6F" w:rsidRPr="0039590F" w:rsidRDefault="00485D6F" w:rsidP="004B4966">
            <w:pPr>
              <w:pStyle w:val="Tabletext"/>
              <w:keepNext/>
              <w:spacing w:before="0" w:after="0"/>
              <w:jc w:val="center"/>
            </w:pPr>
            <w:r w:rsidRPr="0039590F">
              <w:t>$26,274.92</w:t>
            </w:r>
          </w:p>
        </w:tc>
        <w:tc>
          <w:tcPr>
            <w:tcW w:w="772" w:type="pct"/>
            <w:noWrap/>
            <w:vAlign w:val="bottom"/>
          </w:tcPr>
          <w:p w:rsidR="00485D6F" w:rsidRPr="0039590F" w:rsidRDefault="00485D6F" w:rsidP="004B4966">
            <w:pPr>
              <w:pStyle w:val="Tabletext"/>
              <w:keepNext/>
              <w:spacing w:before="0" w:after="0"/>
              <w:jc w:val="center"/>
            </w:pPr>
            <w:r w:rsidRPr="0039590F">
              <w:t>NA</w:t>
            </w:r>
          </w:p>
        </w:tc>
      </w:tr>
      <w:tr w:rsidR="00485D6F" w:rsidRPr="00E05B60" w:rsidTr="00217ED8">
        <w:trPr>
          <w:trHeight w:val="82"/>
        </w:trPr>
        <w:tc>
          <w:tcPr>
            <w:tcW w:w="3034" w:type="pct"/>
            <w:noWrap/>
          </w:tcPr>
          <w:p w:rsidR="00485D6F" w:rsidRPr="00D8115A" w:rsidRDefault="00485D6F" w:rsidP="004B4966">
            <w:pPr>
              <w:pStyle w:val="Tabletext"/>
              <w:keepNext/>
              <w:spacing w:before="0" w:after="0"/>
            </w:pPr>
            <w:r>
              <w:t>LAB-IHMS</w:t>
            </w:r>
            <w:r w:rsidRPr="00D8115A">
              <w:t xml:space="preserve"> complication</w:t>
            </w:r>
          </w:p>
        </w:tc>
        <w:tc>
          <w:tcPr>
            <w:tcW w:w="1194" w:type="pct"/>
            <w:noWrap/>
            <w:vAlign w:val="bottom"/>
          </w:tcPr>
          <w:p w:rsidR="00485D6F" w:rsidRPr="0039590F" w:rsidRDefault="00485D6F" w:rsidP="004B4966">
            <w:pPr>
              <w:pStyle w:val="Tabletext"/>
              <w:keepNext/>
              <w:spacing w:before="0" w:after="0"/>
              <w:jc w:val="center"/>
            </w:pPr>
            <w:r w:rsidRPr="0039590F">
              <w:t>$12,968.00</w:t>
            </w:r>
          </w:p>
        </w:tc>
        <w:tc>
          <w:tcPr>
            <w:tcW w:w="772" w:type="pct"/>
            <w:noWrap/>
            <w:vAlign w:val="bottom"/>
          </w:tcPr>
          <w:p w:rsidR="00485D6F" w:rsidRPr="0039590F" w:rsidRDefault="00485D6F" w:rsidP="004B4966">
            <w:pPr>
              <w:pStyle w:val="Tabletext"/>
              <w:keepNext/>
              <w:spacing w:before="0" w:after="0"/>
              <w:jc w:val="center"/>
            </w:pPr>
            <w:r w:rsidRPr="0039590F">
              <w:t>NA</w:t>
            </w:r>
          </w:p>
        </w:tc>
      </w:tr>
      <w:tr w:rsidR="00485D6F" w:rsidRPr="00E05B60" w:rsidTr="00217ED8">
        <w:trPr>
          <w:trHeight w:val="128"/>
        </w:trPr>
        <w:tc>
          <w:tcPr>
            <w:tcW w:w="3034" w:type="pct"/>
            <w:noWrap/>
          </w:tcPr>
          <w:p w:rsidR="00485D6F" w:rsidRPr="00D8115A" w:rsidRDefault="00485D6F" w:rsidP="004B4966">
            <w:pPr>
              <w:pStyle w:val="Tabletext"/>
              <w:keepNext/>
              <w:spacing w:before="0" w:after="0"/>
            </w:pPr>
            <w:r w:rsidRPr="00D8115A">
              <w:t>Hospitalisation for heart failure</w:t>
            </w:r>
          </w:p>
        </w:tc>
        <w:tc>
          <w:tcPr>
            <w:tcW w:w="1194" w:type="pct"/>
            <w:noWrap/>
          </w:tcPr>
          <w:p w:rsidR="00485D6F" w:rsidRPr="0039590F" w:rsidRDefault="00485D6F" w:rsidP="004B4966">
            <w:pPr>
              <w:pStyle w:val="Tabletext"/>
              <w:keepNext/>
              <w:spacing w:before="0" w:after="0"/>
              <w:jc w:val="center"/>
            </w:pPr>
            <w:r w:rsidRPr="0039590F">
              <w:t>$7,672</w:t>
            </w:r>
          </w:p>
        </w:tc>
        <w:tc>
          <w:tcPr>
            <w:tcW w:w="772" w:type="pct"/>
            <w:noWrap/>
          </w:tcPr>
          <w:p w:rsidR="00485D6F" w:rsidRPr="0039590F" w:rsidRDefault="00485D6F" w:rsidP="004B4966">
            <w:pPr>
              <w:pStyle w:val="Tabletext"/>
              <w:keepNext/>
              <w:spacing w:before="0" w:after="0"/>
              <w:jc w:val="center"/>
            </w:pPr>
            <w:r w:rsidRPr="0039590F">
              <w:t>$7,672</w:t>
            </w:r>
          </w:p>
        </w:tc>
      </w:tr>
      <w:tr w:rsidR="00485D6F" w:rsidRPr="00E05B60" w:rsidTr="00217ED8">
        <w:trPr>
          <w:trHeight w:val="174"/>
        </w:trPr>
        <w:tc>
          <w:tcPr>
            <w:tcW w:w="3034" w:type="pct"/>
            <w:noWrap/>
          </w:tcPr>
          <w:p w:rsidR="00485D6F" w:rsidRPr="00D8115A" w:rsidRDefault="00485D6F" w:rsidP="004B4966">
            <w:pPr>
              <w:pStyle w:val="Tabletext"/>
              <w:keepNext/>
              <w:spacing w:before="0" w:after="0"/>
            </w:pPr>
            <w:r w:rsidRPr="00D8115A">
              <w:t xml:space="preserve">Annual cost of ongoing monitoring </w:t>
            </w:r>
          </w:p>
        </w:tc>
        <w:tc>
          <w:tcPr>
            <w:tcW w:w="1194" w:type="pct"/>
            <w:noWrap/>
          </w:tcPr>
          <w:p w:rsidR="00485D6F" w:rsidRPr="0039590F" w:rsidRDefault="00485D6F" w:rsidP="004B4966">
            <w:pPr>
              <w:pStyle w:val="Tabletext"/>
              <w:keepNext/>
              <w:spacing w:before="0" w:after="0"/>
              <w:jc w:val="center"/>
            </w:pPr>
            <w:r w:rsidRPr="0039590F">
              <w:t>$141</w:t>
            </w:r>
          </w:p>
        </w:tc>
        <w:tc>
          <w:tcPr>
            <w:tcW w:w="772" w:type="pct"/>
            <w:noWrap/>
          </w:tcPr>
          <w:p w:rsidR="00485D6F" w:rsidRPr="0039590F" w:rsidRDefault="00485D6F" w:rsidP="004B4966">
            <w:pPr>
              <w:pStyle w:val="Tabletext"/>
              <w:keepNext/>
              <w:spacing w:before="0" w:after="0"/>
              <w:jc w:val="center"/>
            </w:pPr>
            <w:r w:rsidRPr="0039590F">
              <w:t>$141</w:t>
            </w:r>
          </w:p>
        </w:tc>
      </w:tr>
      <w:tr w:rsidR="00485D6F" w:rsidRPr="00E05B60" w:rsidTr="00217ED8">
        <w:trPr>
          <w:trHeight w:val="77"/>
        </w:trPr>
        <w:tc>
          <w:tcPr>
            <w:tcW w:w="3034" w:type="pct"/>
            <w:noWrap/>
            <w:vAlign w:val="bottom"/>
          </w:tcPr>
          <w:p w:rsidR="00485D6F" w:rsidRPr="00D8115A" w:rsidRDefault="00485D6F" w:rsidP="004B4966">
            <w:pPr>
              <w:pStyle w:val="Tabletext"/>
              <w:keepNext/>
              <w:spacing w:before="0" w:after="0"/>
            </w:pPr>
            <w:r w:rsidRPr="00D8115A">
              <w:t>Annual cost OMT</w:t>
            </w:r>
          </w:p>
        </w:tc>
        <w:tc>
          <w:tcPr>
            <w:tcW w:w="1194" w:type="pct"/>
            <w:noWrap/>
            <w:vAlign w:val="bottom"/>
          </w:tcPr>
          <w:p w:rsidR="00485D6F" w:rsidRPr="0039590F" w:rsidRDefault="00485D6F" w:rsidP="004B4966">
            <w:pPr>
              <w:pStyle w:val="Tabletext"/>
              <w:keepNext/>
              <w:spacing w:before="0" w:after="0"/>
              <w:jc w:val="center"/>
            </w:pPr>
            <w:r w:rsidRPr="0039590F">
              <w:t>$443</w:t>
            </w:r>
          </w:p>
        </w:tc>
        <w:tc>
          <w:tcPr>
            <w:tcW w:w="772" w:type="pct"/>
            <w:noWrap/>
            <w:vAlign w:val="bottom"/>
          </w:tcPr>
          <w:p w:rsidR="00485D6F" w:rsidRPr="0039590F" w:rsidRDefault="00485D6F" w:rsidP="004B4966">
            <w:pPr>
              <w:pStyle w:val="Tabletext"/>
              <w:keepNext/>
              <w:spacing w:before="0" w:after="0"/>
              <w:jc w:val="center"/>
            </w:pPr>
            <w:r w:rsidRPr="0039590F">
              <w:t>$443</w:t>
            </w:r>
          </w:p>
        </w:tc>
      </w:tr>
    </w:tbl>
    <w:p w:rsidR="00217ED8" w:rsidRPr="00217ED8" w:rsidRDefault="00485D6F" w:rsidP="00217ED8">
      <w:pPr>
        <w:pStyle w:val="TableFigNotes18"/>
        <w:spacing w:after="0"/>
        <w:rPr>
          <w:rFonts w:ascii="Arial Narrow" w:hAnsi="Arial Narrow"/>
          <w:sz w:val="18"/>
          <w:lang w:val="en-AU"/>
        </w:rPr>
      </w:pPr>
      <w:r w:rsidRPr="00217ED8">
        <w:rPr>
          <w:rFonts w:ascii="Arial Narrow" w:hAnsi="Arial Narrow"/>
          <w:sz w:val="18"/>
          <w:lang w:val="en-AU"/>
        </w:rPr>
        <w:t xml:space="preserve">Source: </w:t>
      </w:r>
      <w:r w:rsidR="00061996">
        <w:rPr>
          <w:rFonts w:ascii="Arial Narrow" w:hAnsi="Arial Narrow"/>
          <w:sz w:val="18"/>
          <w:lang w:val="en-AU"/>
        </w:rPr>
        <w:t>T</w:t>
      </w:r>
      <w:r w:rsidR="00120776">
        <w:rPr>
          <w:rFonts w:ascii="Arial Narrow" w:hAnsi="Arial Narrow"/>
          <w:sz w:val="18"/>
          <w:lang w:val="en-AU"/>
        </w:rPr>
        <w:t xml:space="preserve">able E6, </w:t>
      </w:r>
      <w:proofErr w:type="spellStart"/>
      <w:r w:rsidR="00120776">
        <w:rPr>
          <w:rFonts w:ascii="Arial Narrow" w:hAnsi="Arial Narrow"/>
          <w:sz w:val="18"/>
          <w:lang w:val="en-AU"/>
        </w:rPr>
        <w:t>pVII</w:t>
      </w:r>
      <w:proofErr w:type="spellEnd"/>
      <w:r w:rsidR="00120776">
        <w:rPr>
          <w:rFonts w:ascii="Arial Narrow" w:hAnsi="Arial Narrow"/>
          <w:sz w:val="18"/>
          <w:lang w:val="en-AU"/>
        </w:rPr>
        <w:t xml:space="preserve"> </w:t>
      </w:r>
      <w:r w:rsidR="00061996">
        <w:rPr>
          <w:rFonts w:ascii="Arial Narrow" w:hAnsi="Arial Narrow"/>
          <w:sz w:val="18"/>
          <w:lang w:val="en-AU"/>
        </w:rPr>
        <w:t>of the application</w:t>
      </w:r>
    </w:p>
    <w:p w:rsidR="00485D6F" w:rsidRPr="00217ED8" w:rsidRDefault="00485D6F" w:rsidP="00217ED8">
      <w:pPr>
        <w:pStyle w:val="TableFigNotes18"/>
        <w:spacing w:after="0"/>
        <w:rPr>
          <w:rFonts w:ascii="Arial Narrow" w:hAnsi="Arial Narrow"/>
          <w:sz w:val="18"/>
          <w:lang w:val="en-AU"/>
        </w:rPr>
      </w:pPr>
      <w:r w:rsidRPr="00217ED8">
        <w:rPr>
          <w:rFonts w:ascii="Arial Narrow" w:hAnsi="Arial Narrow"/>
          <w:sz w:val="18"/>
          <w:lang w:val="en-AU"/>
        </w:rPr>
        <w:t>Abbreviations: DSRC device system-related complication; HF, heart failure; OMT, optimised medical therapy; SOC, standard care</w:t>
      </w:r>
    </w:p>
    <w:p w:rsidR="00217ED8" w:rsidRPr="00217ED8" w:rsidRDefault="00217ED8" w:rsidP="00217ED8"/>
    <w:p w:rsidR="00485D6F" w:rsidRDefault="00485D6F" w:rsidP="00485D6F">
      <w:pPr>
        <w:pStyle w:val="Caption"/>
        <w:spacing w:before="0" w:after="0"/>
        <w:ind w:hanging="1741"/>
      </w:pPr>
      <w:r>
        <w:t xml:space="preserve">Table </w:t>
      </w:r>
      <w:fldSimple w:instr=" SEQ Table \* ARABIC ">
        <w:r>
          <w:rPr>
            <w:noProof/>
          </w:rPr>
          <w:t>5</w:t>
        </w:r>
      </w:fldSimple>
      <w:r w:rsidR="00061996">
        <w:rPr>
          <w:noProof/>
        </w:rPr>
        <w:t>:</w:t>
      </w:r>
      <w:r>
        <w:t xml:space="preserve"> </w:t>
      </w:r>
      <w:r w:rsidRPr="00823F87">
        <w:t>Results of the economic evaluation</w:t>
      </w:r>
    </w:p>
    <w:tbl>
      <w:tblPr>
        <w:tblW w:w="4923"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ES.4: Results of the economic evaluation"/>
        <w:tblDescription w:val="Table ES.4: Results of the economic evaluation"/>
      </w:tblPr>
      <w:tblGrid>
        <w:gridCol w:w="4678"/>
        <w:gridCol w:w="1985"/>
        <w:gridCol w:w="1274"/>
        <w:gridCol w:w="1062"/>
      </w:tblGrid>
      <w:tr w:rsidR="00485D6F" w:rsidRPr="00CD6CF9" w:rsidTr="004B4966">
        <w:trPr>
          <w:trHeight w:val="282"/>
          <w:tblHeader/>
        </w:trPr>
        <w:tc>
          <w:tcPr>
            <w:tcW w:w="2599" w:type="pct"/>
            <w:shd w:val="clear" w:color="auto" w:fill="auto"/>
            <w:tcMar>
              <w:left w:w="57" w:type="dxa"/>
              <w:right w:w="57" w:type="dxa"/>
            </w:tcMar>
            <w:vAlign w:val="center"/>
          </w:tcPr>
          <w:p w:rsidR="00485D6F" w:rsidRPr="007B4413" w:rsidRDefault="00485D6F" w:rsidP="004B4966">
            <w:pPr>
              <w:pStyle w:val="Tabletext"/>
              <w:keepNext/>
              <w:keepLines/>
              <w:spacing w:before="0" w:after="0"/>
              <w:rPr>
                <w:b/>
              </w:rPr>
            </w:pPr>
            <w:r w:rsidRPr="007B4413">
              <w:rPr>
                <w:b/>
              </w:rPr>
              <w:t>Description</w:t>
            </w:r>
          </w:p>
        </w:tc>
        <w:tc>
          <w:tcPr>
            <w:tcW w:w="1103" w:type="pct"/>
            <w:shd w:val="clear" w:color="auto" w:fill="auto"/>
            <w:tcMar>
              <w:left w:w="57" w:type="dxa"/>
              <w:right w:w="57" w:type="dxa"/>
            </w:tcMar>
            <w:vAlign w:val="center"/>
          </w:tcPr>
          <w:p w:rsidR="00485D6F" w:rsidRPr="007B4413" w:rsidRDefault="00485D6F" w:rsidP="004B4966">
            <w:pPr>
              <w:pStyle w:val="Tabletext"/>
              <w:keepNext/>
              <w:keepLines/>
              <w:spacing w:before="0" w:after="0"/>
              <w:jc w:val="center"/>
              <w:rPr>
                <w:b/>
              </w:rPr>
            </w:pPr>
            <w:r w:rsidRPr="007B4413">
              <w:rPr>
                <w:b/>
              </w:rPr>
              <w:t>Haemodynamic sensor</w:t>
            </w:r>
          </w:p>
        </w:tc>
        <w:tc>
          <w:tcPr>
            <w:tcW w:w="708" w:type="pct"/>
            <w:shd w:val="clear" w:color="auto" w:fill="auto"/>
            <w:tcMar>
              <w:left w:w="57" w:type="dxa"/>
              <w:right w:w="57" w:type="dxa"/>
            </w:tcMar>
            <w:vAlign w:val="center"/>
          </w:tcPr>
          <w:p w:rsidR="00485D6F" w:rsidRPr="007B4413" w:rsidRDefault="00485D6F" w:rsidP="004B4966">
            <w:pPr>
              <w:pStyle w:val="Tabletext"/>
              <w:keepNext/>
              <w:keepLines/>
              <w:spacing w:before="0" w:after="0"/>
              <w:jc w:val="center"/>
              <w:rPr>
                <w:b/>
              </w:rPr>
            </w:pPr>
            <w:r w:rsidRPr="007B4413">
              <w:rPr>
                <w:b/>
              </w:rPr>
              <w:t>Standard care</w:t>
            </w:r>
          </w:p>
        </w:tc>
        <w:tc>
          <w:tcPr>
            <w:tcW w:w="590" w:type="pct"/>
            <w:shd w:val="clear" w:color="auto" w:fill="auto"/>
            <w:tcMar>
              <w:left w:w="57" w:type="dxa"/>
              <w:right w:w="57" w:type="dxa"/>
            </w:tcMar>
            <w:vAlign w:val="center"/>
          </w:tcPr>
          <w:p w:rsidR="00485D6F" w:rsidRPr="007B4413" w:rsidRDefault="00485D6F" w:rsidP="004B4966">
            <w:pPr>
              <w:pStyle w:val="Tabletext"/>
              <w:keepNext/>
              <w:keepLines/>
              <w:spacing w:before="0" w:after="0"/>
              <w:jc w:val="center"/>
              <w:rPr>
                <w:b/>
              </w:rPr>
            </w:pPr>
            <w:r w:rsidRPr="007B4413">
              <w:rPr>
                <w:b/>
              </w:rPr>
              <w:t>Difference</w:t>
            </w:r>
          </w:p>
        </w:tc>
      </w:tr>
      <w:tr w:rsidR="00485D6F" w:rsidRPr="00CD6CF9" w:rsidTr="004B4966">
        <w:trPr>
          <w:trHeight w:val="273"/>
          <w:tblHeader/>
        </w:trPr>
        <w:tc>
          <w:tcPr>
            <w:tcW w:w="2599" w:type="pct"/>
            <w:shd w:val="clear" w:color="auto" w:fill="auto"/>
            <w:tcMar>
              <w:left w:w="57" w:type="dxa"/>
              <w:right w:w="57" w:type="dxa"/>
            </w:tcMar>
            <w:vAlign w:val="center"/>
          </w:tcPr>
          <w:p w:rsidR="00485D6F" w:rsidRPr="007B4413" w:rsidRDefault="00485D6F" w:rsidP="004B4966">
            <w:pPr>
              <w:pStyle w:val="Tabletext"/>
              <w:keepNext/>
              <w:keepLines/>
              <w:spacing w:before="0" w:after="0"/>
              <w:rPr>
                <w:b/>
              </w:rPr>
            </w:pPr>
            <w:r w:rsidRPr="007B4413">
              <w:rPr>
                <w:b/>
              </w:rPr>
              <w:t>Step 1a: 18 months, hospitalisation no discount</w:t>
            </w:r>
            <w:r w:rsidRPr="007B4413">
              <w:rPr>
                <w:b/>
                <w:vertAlign w:val="superscript"/>
              </w:rPr>
              <w:t xml:space="preserve"> </w:t>
            </w:r>
          </w:p>
        </w:tc>
        <w:tc>
          <w:tcPr>
            <w:tcW w:w="1103" w:type="pct"/>
            <w:shd w:val="clear" w:color="auto" w:fill="auto"/>
            <w:vAlign w:val="center"/>
          </w:tcPr>
          <w:p w:rsidR="00485D6F" w:rsidRPr="007B4413" w:rsidRDefault="00485D6F" w:rsidP="004B4966">
            <w:pPr>
              <w:pStyle w:val="Tabletext"/>
              <w:keepNext/>
              <w:keepLines/>
              <w:spacing w:before="0" w:after="0"/>
              <w:jc w:val="center"/>
              <w:rPr>
                <w:b/>
              </w:rPr>
            </w:pPr>
            <w:r w:rsidRPr="007B4413">
              <w:rPr>
                <w:b/>
              </w:rPr>
              <w:t>-</w:t>
            </w:r>
          </w:p>
        </w:tc>
        <w:tc>
          <w:tcPr>
            <w:tcW w:w="708" w:type="pct"/>
            <w:shd w:val="clear" w:color="auto" w:fill="auto"/>
            <w:vAlign w:val="center"/>
          </w:tcPr>
          <w:p w:rsidR="00485D6F" w:rsidRPr="007B4413" w:rsidRDefault="00485D6F" w:rsidP="004B4966">
            <w:pPr>
              <w:pStyle w:val="Tabletext"/>
              <w:keepNext/>
              <w:keepLines/>
              <w:spacing w:before="0" w:after="0"/>
              <w:jc w:val="center"/>
              <w:rPr>
                <w:b/>
              </w:rPr>
            </w:pPr>
            <w:r w:rsidRPr="007B4413">
              <w:rPr>
                <w:b/>
              </w:rPr>
              <w:t>-</w:t>
            </w:r>
          </w:p>
        </w:tc>
        <w:tc>
          <w:tcPr>
            <w:tcW w:w="590" w:type="pct"/>
            <w:shd w:val="clear" w:color="auto" w:fill="auto"/>
            <w:vAlign w:val="center"/>
          </w:tcPr>
          <w:p w:rsidR="00485D6F" w:rsidRPr="007B4413" w:rsidRDefault="00485D6F" w:rsidP="004B4966">
            <w:pPr>
              <w:pStyle w:val="Tabletext"/>
              <w:keepNext/>
              <w:keepLines/>
              <w:spacing w:before="0" w:after="0"/>
              <w:jc w:val="center"/>
              <w:rPr>
                <w:b/>
              </w:rPr>
            </w:pPr>
            <w:r w:rsidRPr="007B4413">
              <w:rPr>
                <w:b/>
              </w:rPr>
              <w:t>-</w:t>
            </w:r>
          </w:p>
        </w:tc>
      </w:tr>
      <w:tr w:rsidR="00485D6F" w:rsidRPr="00CD6CF9" w:rsidTr="004B4966">
        <w:trPr>
          <w:tblHeader/>
        </w:trPr>
        <w:tc>
          <w:tcPr>
            <w:tcW w:w="2599" w:type="pct"/>
            <w:shd w:val="clear" w:color="auto" w:fill="auto"/>
            <w:tcMar>
              <w:left w:w="57" w:type="dxa"/>
              <w:right w:w="57" w:type="dxa"/>
            </w:tcMar>
            <w:vAlign w:val="center"/>
          </w:tcPr>
          <w:p w:rsidR="00485D6F" w:rsidRPr="007B4413" w:rsidRDefault="00485D6F" w:rsidP="004B4966">
            <w:pPr>
              <w:pStyle w:val="Tabletext"/>
              <w:keepNext/>
              <w:keepLines/>
              <w:spacing w:before="0" w:after="0"/>
              <w:rPr>
                <w:lang w:val="en-US"/>
              </w:rPr>
            </w:pPr>
            <w:r w:rsidRPr="007B4413">
              <w:rPr>
                <w:lang w:val="en-US"/>
              </w:rPr>
              <w:t xml:space="preserve">  Cost</w:t>
            </w:r>
          </w:p>
        </w:tc>
        <w:tc>
          <w:tcPr>
            <w:tcW w:w="1103" w:type="pct"/>
            <w:shd w:val="clear" w:color="auto" w:fill="auto"/>
            <w:tcMar>
              <w:left w:w="57" w:type="dxa"/>
              <w:right w:w="57" w:type="dxa"/>
            </w:tcMar>
            <w:vAlign w:val="center"/>
          </w:tcPr>
          <w:p w:rsidR="00485D6F" w:rsidRPr="007B4413" w:rsidRDefault="00485D6F" w:rsidP="004B4966">
            <w:pPr>
              <w:pStyle w:val="Tabletext"/>
              <w:keepNext/>
              <w:keepLines/>
              <w:spacing w:before="0" w:after="0"/>
              <w:jc w:val="center"/>
            </w:pPr>
            <w:r w:rsidRPr="007B4413">
              <w:t>$34,79</w:t>
            </w:r>
            <w:r>
              <w:t>8</w:t>
            </w:r>
          </w:p>
        </w:tc>
        <w:tc>
          <w:tcPr>
            <w:tcW w:w="708" w:type="pct"/>
            <w:shd w:val="clear" w:color="auto" w:fill="auto"/>
            <w:tcMar>
              <w:left w:w="57" w:type="dxa"/>
              <w:right w:w="57" w:type="dxa"/>
            </w:tcMar>
            <w:vAlign w:val="center"/>
          </w:tcPr>
          <w:p w:rsidR="00485D6F" w:rsidRPr="007B4413" w:rsidRDefault="00485D6F" w:rsidP="004B4966">
            <w:pPr>
              <w:pStyle w:val="Tabletext"/>
              <w:keepNext/>
              <w:keepLines/>
              <w:spacing w:before="0" w:after="0"/>
              <w:jc w:val="center"/>
            </w:pPr>
            <w:r w:rsidRPr="007B4413">
              <w:t>$7,098</w:t>
            </w:r>
          </w:p>
        </w:tc>
        <w:tc>
          <w:tcPr>
            <w:tcW w:w="590" w:type="pct"/>
            <w:shd w:val="clear" w:color="auto" w:fill="auto"/>
            <w:tcMar>
              <w:left w:w="57" w:type="dxa"/>
              <w:right w:w="57" w:type="dxa"/>
            </w:tcMar>
            <w:vAlign w:val="center"/>
          </w:tcPr>
          <w:p w:rsidR="00485D6F" w:rsidRPr="007B4413" w:rsidRDefault="00485D6F" w:rsidP="004B4966">
            <w:pPr>
              <w:pStyle w:val="Tabletext"/>
              <w:keepNext/>
              <w:keepLines/>
              <w:spacing w:before="0" w:after="0"/>
              <w:jc w:val="center"/>
            </w:pPr>
            <w:r w:rsidRPr="007B4413">
              <w:t>$27,697</w:t>
            </w:r>
          </w:p>
        </w:tc>
      </w:tr>
      <w:tr w:rsidR="00485D6F" w:rsidRPr="00CD6CF9" w:rsidTr="004B4966">
        <w:trPr>
          <w:tblHeader/>
        </w:trPr>
        <w:tc>
          <w:tcPr>
            <w:tcW w:w="2599" w:type="pct"/>
            <w:shd w:val="clear" w:color="auto" w:fill="auto"/>
            <w:tcMar>
              <w:left w:w="57" w:type="dxa"/>
              <w:right w:w="57" w:type="dxa"/>
            </w:tcMar>
            <w:vAlign w:val="center"/>
          </w:tcPr>
          <w:p w:rsidR="00485D6F" w:rsidRPr="007B4413" w:rsidRDefault="00485D6F" w:rsidP="004B4966">
            <w:pPr>
              <w:pStyle w:val="Tabletext"/>
              <w:widowControl w:val="0"/>
              <w:spacing w:before="0" w:after="0"/>
              <w:rPr>
                <w:lang w:val="en-US"/>
              </w:rPr>
            </w:pPr>
            <w:r w:rsidRPr="007B4413">
              <w:rPr>
                <w:lang w:val="en-US"/>
              </w:rPr>
              <w:t xml:space="preserve">  Effect (% </w:t>
            </w:r>
            <w:proofErr w:type="spellStart"/>
            <w:r w:rsidRPr="007B4413">
              <w:rPr>
                <w:lang w:val="en-US"/>
              </w:rPr>
              <w:t>hospitalisations</w:t>
            </w:r>
            <w:proofErr w:type="spellEnd"/>
            <w:r w:rsidRPr="007B4413">
              <w:rPr>
                <w:lang w:val="en-US"/>
              </w:rPr>
              <w:t>)</w:t>
            </w:r>
          </w:p>
        </w:tc>
        <w:tc>
          <w:tcPr>
            <w:tcW w:w="1103"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0.674</w:t>
            </w:r>
          </w:p>
        </w:tc>
        <w:tc>
          <w:tcPr>
            <w:tcW w:w="708"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0.995</w:t>
            </w:r>
          </w:p>
        </w:tc>
        <w:tc>
          <w:tcPr>
            <w:tcW w:w="590"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-0.321</w:t>
            </w:r>
          </w:p>
        </w:tc>
      </w:tr>
      <w:tr w:rsidR="00485D6F" w:rsidRPr="00CD6CF9" w:rsidTr="004B4966">
        <w:tc>
          <w:tcPr>
            <w:tcW w:w="2599"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rPr>
                <w:b/>
              </w:rPr>
            </w:pPr>
            <w:r w:rsidRPr="007B4413">
              <w:rPr>
                <w:b/>
              </w:rPr>
              <w:t xml:space="preserve">  Incremental cost per hospitalisation avoided</w:t>
            </w:r>
          </w:p>
        </w:tc>
        <w:tc>
          <w:tcPr>
            <w:tcW w:w="1103" w:type="pct"/>
            <w:tcBorders>
              <w:bottom w:val="single" w:sz="4" w:space="0" w:color="auto"/>
            </w:tcBorders>
            <w:shd w:val="clear" w:color="auto" w:fill="auto"/>
            <w:vAlign w:val="center"/>
          </w:tcPr>
          <w:p w:rsidR="00485D6F" w:rsidRPr="007B4413" w:rsidRDefault="00485D6F" w:rsidP="004B4966">
            <w:pPr>
              <w:pStyle w:val="Tabletext"/>
              <w:widowControl w:val="0"/>
              <w:spacing w:before="0" w:after="0"/>
              <w:jc w:val="center"/>
              <w:rPr>
                <w:b/>
              </w:rPr>
            </w:pPr>
            <w:r w:rsidRPr="007B4413">
              <w:rPr>
                <w:b/>
              </w:rPr>
              <w:t>-</w:t>
            </w:r>
          </w:p>
        </w:tc>
        <w:tc>
          <w:tcPr>
            <w:tcW w:w="708" w:type="pct"/>
            <w:tcBorders>
              <w:bottom w:val="single" w:sz="4" w:space="0" w:color="auto"/>
            </w:tcBorders>
            <w:shd w:val="clear" w:color="auto" w:fill="auto"/>
            <w:vAlign w:val="center"/>
          </w:tcPr>
          <w:p w:rsidR="00485D6F" w:rsidRPr="007B4413" w:rsidRDefault="00485D6F" w:rsidP="004B4966">
            <w:pPr>
              <w:pStyle w:val="Tabletext"/>
              <w:widowControl w:val="0"/>
              <w:spacing w:before="0" w:after="0"/>
              <w:jc w:val="center"/>
              <w:rPr>
                <w:b/>
              </w:rPr>
            </w:pPr>
            <w:r w:rsidRPr="007B4413">
              <w:rPr>
                <w:b/>
              </w:rPr>
              <w:t>-</w:t>
            </w:r>
          </w:p>
        </w:tc>
        <w:tc>
          <w:tcPr>
            <w:tcW w:w="590"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$86,284</w:t>
            </w:r>
          </w:p>
        </w:tc>
      </w:tr>
      <w:tr w:rsidR="00485D6F" w:rsidRPr="00CD6CF9" w:rsidTr="004B4966">
        <w:tc>
          <w:tcPr>
            <w:tcW w:w="2599" w:type="pct"/>
            <w:tcBorders>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rPr>
                <w:b/>
                <w:vertAlign w:val="superscript"/>
              </w:rPr>
            </w:pPr>
            <w:r w:rsidRPr="007B4413">
              <w:rPr>
                <w:b/>
              </w:rPr>
              <w:t>Step 1b: 18 months, QALY, no discounting</w:t>
            </w:r>
          </w:p>
        </w:tc>
        <w:tc>
          <w:tcPr>
            <w:tcW w:w="1103" w:type="pct"/>
            <w:tcBorders>
              <w:left w:val="single" w:sz="4" w:space="0" w:color="auto"/>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708" w:type="pct"/>
            <w:tcBorders>
              <w:left w:val="single" w:sz="4" w:space="0" w:color="auto"/>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590" w:type="pct"/>
            <w:tcBorders>
              <w:lef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r>
      <w:tr w:rsidR="00485D6F" w:rsidRPr="00CD6CF9" w:rsidTr="004B4966">
        <w:tc>
          <w:tcPr>
            <w:tcW w:w="2599"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rPr>
                <w:lang w:val="en-US"/>
              </w:rPr>
            </w:pPr>
            <w:r w:rsidRPr="007B4413">
              <w:rPr>
                <w:lang w:val="en-US"/>
              </w:rPr>
              <w:t xml:space="preserve">  Cost</w:t>
            </w:r>
          </w:p>
        </w:tc>
        <w:tc>
          <w:tcPr>
            <w:tcW w:w="1103"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$34,79</w:t>
            </w:r>
            <w:r>
              <w:t>8</w:t>
            </w:r>
          </w:p>
        </w:tc>
        <w:tc>
          <w:tcPr>
            <w:tcW w:w="708"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$7,098</w:t>
            </w:r>
          </w:p>
        </w:tc>
        <w:tc>
          <w:tcPr>
            <w:tcW w:w="590"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$27,697</w:t>
            </w:r>
          </w:p>
        </w:tc>
      </w:tr>
      <w:tr w:rsidR="00485D6F" w:rsidRPr="00CD6CF9" w:rsidTr="004B4966">
        <w:tc>
          <w:tcPr>
            <w:tcW w:w="2599" w:type="pct"/>
            <w:shd w:val="clear" w:color="auto" w:fill="auto"/>
            <w:tcMar>
              <w:left w:w="57" w:type="dxa"/>
              <w:right w:w="57" w:type="dxa"/>
            </w:tcMar>
            <w:vAlign w:val="center"/>
          </w:tcPr>
          <w:p w:rsidR="00485D6F" w:rsidRPr="007B4413" w:rsidRDefault="00485D6F" w:rsidP="004B4966">
            <w:pPr>
              <w:pStyle w:val="Tabletext"/>
              <w:widowControl w:val="0"/>
              <w:spacing w:before="0" w:after="0"/>
              <w:rPr>
                <w:lang w:val="en-US"/>
              </w:rPr>
            </w:pPr>
            <w:r w:rsidRPr="007B4413">
              <w:rPr>
                <w:lang w:val="en-US"/>
              </w:rPr>
              <w:t xml:space="preserve">  Effect (QALYs)</w:t>
            </w:r>
          </w:p>
        </w:tc>
        <w:tc>
          <w:tcPr>
            <w:tcW w:w="1103"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0.95</w:t>
            </w:r>
          </w:p>
        </w:tc>
        <w:tc>
          <w:tcPr>
            <w:tcW w:w="708"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0.86</w:t>
            </w:r>
          </w:p>
        </w:tc>
        <w:tc>
          <w:tcPr>
            <w:tcW w:w="590"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0.09</w:t>
            </w:r>
          </w:p>
        </w:tc>
      </w:tr>
      <w:tr w:rsidR="00485D6F" w:rsidRPr="00CD6CF9" w:rsidTr="004B4966">
        <w:trPr>
          <w:trHeight w:val="243"/>
        </w:trPr>
        <w:tc>
          <w:tcPr>
            <w:tcW w:w="2599" w:type="pct"/>
            <w:shd w:val="clear" w:color="auto" w:fill="auto"/>
            <w:tcMar>
              <w:left w:w="57" w:type="dxa"/>
              <w:right w:w="57" w:type="dxa"/>
            </w:tcMar>
            <w:vAlign w:val="center"/>
          </w:tcPr>
          <w:p w:rsidR="00485D6F" w:rsidRPr="007B4413" w:rsidRDefault="00485D6F" w:rsidP="004B4966">
            <w:pPr>
              <w:pStyle w:val="Tabletext"/>
              <w:widowControl w:val="0"/>
              <w:spacing w:before="0" w:after="0"/>
              <w:rPr>
                <w:b/>
              </w:rPr>
            </w:pPr>
            <w:r w:rsidRPr="007B4413">
              <w:rPr>
                <w:b/>
              </w:rPr>
              <w:t xml:space="preserve">  Incremental cost per QALY</w:t>
            </w:r>
          </w:p>
        </w:tc>
        <w:tc>
          <w:tcPr>
            <w:tcW w:w="1103" w:type="pct"/>
            <w:shd w:val="clear" w:color="auto" w:fill="auto"/>
            <w:vAlign w:val="center"/>
          </w:tcPr>
          <w:p w:rsidR="00485D6F" w:rsidRPr="007B4413" w:rsidRDefault="00485D6F" w:rsidP="004B4966">
            <w:pPr>
              <w:pStyle w:val="Tabletext"/>
              <w:widowControl w:val="0"/>
              <w:spacing w:before="0" w:after="0"/>
              <w:jc w:val="center"/>
              <w:rPr>
                <w:b/>
              </w:rPr>
            </w:pPr>
            <w:r w:rsidRPr="007B4413">
              <w:rPr>
                <w:b/>
              </w:rPr>
              <w:t>-</w:t>
            </w:r>
          </w:p>
        </w:tc>
        <w:tc>
          <w:tcPr>
            <w:tcW w:w="708" w:type="pct"/>
            <w:shd w:val="clear" w:color="auto" w:fill="auto"/>
            <w:vAlign w:val="center"/>
          </w:tcPr>
          <w:p w:rsidR="00485D6F" w:rsidRPr="007B4413" w:rsidRDefault="00485D6F" w:rsidP="004B4966">
            <w:pPr>
              <w:pStyle w:val="Tabletext"/>
              <w:widowControl w:val="0"/>
              <w:spacing w:before="0" w:after="0"/>
              <w:jc w:val="center"/>
              <w:rPr>
                <w:b/>
              </w:rPr>
            </w:pPr>
            <w:r w:rsidRPr="007B4413">
              <w:rPr>
                <w:b/>
              </w:rPr>
              <w:t>-</w:t>
            </w:r>
          </w:p>
        </w:tc>
        <w:tc>
          <w:tcPr>
            <w:tcW w:w="590"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$299,743</w:t>
            </w:r>
          </w:p>
        </w:tc>
      </w:tr>
      <w:tr w:rsidR="00485D6F" w:rsidRPr="00CD6CF9" w:rsidTr="004B4966">
        <w:tc>
          <w:tcPr>
            <w:tcW w:w="2599" w:type="pct"/>
            <w:tcBorders>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rPr>
                <w:b/>
              </w:rPr>
            </w:pPr>
            <w:r w:rsidRPr="007B4413">
              <w:rPr>
                <w:b/>
              </w:rPr>
              <w:t>Ste</w:t>
            </w:r>
            <w:r w:rsidR="00061996">
              <w:rPr>
                <w:b/>
              </w:rPr>
              <w:t>p 2: 5 years, QALY, discounting</w:t>
            </w:r>
          </w:p>
        </w:tc>
        <w:tc>
          <w:tcPr>
            <w:tcW w:w="1103" w:type="pct"/>
            <w:tcBorders>
              <w:left w:val="single" w:sz="4" w:space="0" w:color="auto"/>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708" w:type="pct"/>
            <w:tcBorders>
              <w:left w:val="single" w:sz="4" w:space="0" w:color="auto"/>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590" w:type="pct"/>
            <w:tcBorders>
              <w:lef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r>
      <w:tr w:rsidR="00485D6F" w:rsidRPr="00CD6CF9" w:rsidTr="004B4966">
        <w:tc>
          <w:tcPr>
            <w:tcW w:w="2599"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rPr>
                <w:lang w:val="en-US"/>
              </w:rPr>
            </w:pPr>
            <w:r w:rsidRPr="007B4413">
              <w:rPr>
                <w:lang w:val="en-US"/>
              </w:rPr>
              <w:t xml:space="preserve">  Cost</w:t>
            </w:r>
          </w:p>
        </w:tc>
        <w:tc>
          <w:tcPr>
            <w:tcW w:w="1103"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$43,354</w:t>
            </w:r>
          </w:p>
        </w:tc>
        <w:tc>
          <w:tcPr>
            <w:tcW w:w="708"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$17,933</w:t>
            </w:r>
          </w:p>
        </w:tc>
        <w:tc>
          <w:tcPr>
            <w:tcW w:w="590"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$25,421</w:t>
            </w:r>
          </w:p>
        </w:tc>
      </w:tr>
      <w:tr w:rsidR="00485D6F" w:rsidRPr="00CD6CF9" w:rsidTr="004B4966">
        <w:tc>
          <w:tcPr>
            <w:tcW w:w="2599" w:type="pct"/>
            <w:shd w:val="clear" w:color="auto" w:fill="auto"/>
            <w:tcMar>
              <w:left w:w="57" w:type="dxa"/>
              <w:right w:w="57" w:type="dxa"/>
            </w:tcMar>
            <w:vAlign w:val="center"/>
          </w:tcPr>
          <w:p w:rsidR="00485D6F" w:rsidRPr="007B4413" w:rsidRDefault="00485D6F" w:rsidP="004B4966">
            <w:pPr>
              <w:pStyle w:val="Tabletext"/>
              <w:widowControl w:val="0"/>
              <w:spacing w:before="0" w:after="0"/>
              <w:rPr>
                <w:lang w:val="en-US"/>
              </w:rPr>
            </w:pPr>
            <w:r w:rsidRPr="007B4413">
              <w:rPr>
                <w:lang w:val="en-US"/>
              </w:rPr>
              <w:t xml:space="preserve">  Effect (QALYs)</w:t>
            </w:r>
          </w:p>
        </w:tc>
        <w:tc>
          <w:tcPr>
            <w:tcW w:w="1103"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2.45</w:t>
            </w:r>
          </w:p>
        </w:tc>
        <w:tc>
          <w:tcPr>
            <w:tcW w:w="708"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2.06</w:t>
            </w:r>
          </w:p>
        </w:tc>
        <w:tc>
          <w:tcPr>
            <w:tcW w:w="590"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0.39</w:t>
            </w:r>
          </w:p>
        </w:tc>
      </w:tr>
      <w:tr w:rsidR="00485D6F" w:rsidRPr="00CD6CF9" w:rsidTr="004B4966">
        <w:tc>
          <w:tcPr>
            <w:tcW w:w="2599" w:type="pct"/>
            <w:shd w:val="clear" w:color="auto" w:fill="auto"/>
            <w:tcMar>
              <w:left w:w="57" w:type="dxa"/>
              <w:right w:w="57" w:type="dxa"/>
            </w:tcMar>
            <w:vAlign w:val="center"/>
          </w:tcPr>
          <w:p w:rsidR="00485D6F" w:rsidRPr="007B4413" w:rsidRDefault="00485D6F" w:rsidP="004B4966">
            <w:pPr>
              <w:pStyle w:val="Tabletext"/>
              <w:widowControl w:val="0"/>
              <w:spacing w:before="0" w:after="0"/>
            </w:pPr>
            <w:r w:rsidRPr="007B4413">
              <w:rPr>
                <w:b/>
              </w:rPr>
              <w:t xml:space="preserve">  Incremental cost per QALY</w:t>
            </w:r>
          </w:p>
        </w:tc>
        <w:tc>
          <w:tcPr>
            <w:tcW w:w="1103" w:type="pct"/>
            <w:shd w:val="clear" w:color="auto" w:fill="auto"/>
            <w:vAlign w:val="center"/>
          </w:tcPr>
          <w:p w:rsidR="00485D6F" w:rsidRPr="007B4413" w:rsidRDefault="00485D6F" w:rsidP="004B4966">
            <w:pPr>
              <w:pStyle w:val="Tabletext"/>
              <w:widowControl w:val="0"/>
              <w:spacing w:before="0" w:after="0"/>
              <w:jc w:val="center"/>
            </w:pPr>
            <w:r w:rsidRPr="007B4413">
              <w:rPr>
                <w:b/>
              </w:rPr>
              <w:t>-</w:t>
            </w:r>
          </w:p>
        </w:tc>
        <w:tc>
          <w:tcPr>
            <w:tcW w:w="708" w:type="pct"/>
            <w:shd w:val="clear" w:color="auto" w:fill="auto"/>
            <w:vAlign w:val="center"/>
          </w:tcPr>
          <w:p w:rsidR="00485D6F" w:rsidRPr="007B4413" w:rsidRDefault="00485D6F" w:rsidP="004B4966">
            <w:pPr>
              <w:pStyle w:val="Tabletext"/>
              <w:widowControl w:val="0"/>
              <w:spacing w:before="0" w:after="0"/>
              <w:jc w:val="center"/>
            </w:pPr>
            <w:r w:rsidRPr="007B4413">
              <w:rPr>
                <w:b/>
              </w:rPr>
              <w:t>-</w:t>
            </w:r>
          </w:p>
        </w:tc>
        <w:tc>
          <w:tcPr>
            <w:tcW w:w="590"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$65,895</w:t>
            </w:r>
          </w:p>
        </w:tc>
      </w:tr>
      <w:tr w:rsidR="00485D6F" w:rsidRPr="00CD6CF9" w:rsidTr="004B4966">
        <w:tc>
          <w:tcPr>
            <w:tcW w:w="2599" w:type="pct"/>
            <w:tcBorders>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rPr>
                <w:b/>
              </w:rPr>
            </w:pPr>
            <w:r w:rsidRPr="007B4413">
              <w:rPr>
                <w:b/>
              </w:rPr>
              <w:t>Step 3: life time, QALY, discounting</w:t>
            </w:r>
          </w:p>
        </w:tc>
        <w:tc>
          <w:tcPr>
            <w:tcW w:w="1103" w:type="pct"/>
            <w:tcBorders>
              <w:left w:val="single" w:sz="4" w:space="0" w:color="auto"/>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708" w:type="pct"/>
            <w:tcBorders>
              <w:left w:val="single" w:sz="4" w:space="0" w:color="auto"/>
              <w:righ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590" w:type="pct"/>
            <w:tcBorders>
              <w:left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r>
      <w:tr w:rsidR="00485D6F" w:rsidRPr="00CD6CF9" w:rsidTr="004B4966">
        <w:tc>
          <w:tcPr>
            <w:tcW w:w="2599"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rPr>
                <w:lang w:val="en-US"/>
              </w:rPr>
            </w:pPr>
            <w:r w:rsidRPr="007B4413">
              <w:rPr>
                <w:lang w:val="en-US"/>
              </w:rPr>
              <w:t xml:space="preserve">  Cost</w:t>
            </w:r>
          </w:p>
        </w:tc>
        <w:tc>
          <w:tcPr>
            <w:tcW w:w="1103"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$53,041</w:t>
            </w:r>
          </w:p>
        </w:tc>
        <w:tc>
          <w:tcPr>
            <w:tcW w:w="708"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$27,536</w:t>
            </w:r>
          </w:p>
        </w:tc>
        <w:tc>
          <w:tcPr>
            <w:tcW w:w="590" w:type="pct"/>
            <w:tcBorders>
              <w:bottom w:val="single" w:sz="4" w:space="0" w:color="auto"/>
            </w:tcBorders>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$25,505</w:t>
            </w:r>
          </w:p>
        </w:tc>
      </w:tr>
      <w:tr w:rsidR="00485D6F" w:rsidRPr="00CD6CF9" w:rsidTr="004B4966">
        <w:tc>
          <w:tcPr>
            <w:tcW w:w="2599" w:type="pct"/>
            <w:shd w:val="clear" w:color="auto" w:fill="auto"/>
            <w:tcMar>
              <w:left w:w="57" w:type="dxa"/>
              <w:right w:w="57" w:type="dxa"/>
            </w:tcMar>
            <w:vAlign w:val="center"/>
          </w:tcPr>
          <w:p w:rsidR="00485D6F" w:rsidRPr="007B4413" w:rsidRDefault="00485D6F" w:rsidP="004B4966">
            <w:pPr>
              <w:pStyle w:val="Tabletext"/>
              <w:widowControl w:val="0"/>
              <w:spacing w:before="0" w:after="0"/>
              <w:rPr>
                <w:lang w:val="en-US"/>
              </w:rPr>
            </w:pPr>
            <w:r w:rsidRPr="007B4413">
              <w:rPr>
                <w:lang w:val="en-US"/>
              </w:rPr>
              <w:t xml:space="preserve">  Effect (QALYs)</w:t>
            </w:r>
          </w:p>
        </w:tc>
        <w:tc>
          <w:tcPr>
            <w:tcW w:w="1103"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4.14</w:t>
            </w:r>
          </w:p>
        </w:tc>
        <w:tc>
          <w:tcPr>
            <w:tcW w:w="708"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3.13</w:t>
            </w:r>
          </w:p>
        </w:tc>
        <w:tc>
          <w:tcPr>
            <w:tcW w:w="590" w:type="pct"/>
            <w:shd w:val="clear" w:color="auto" w:fill="auto"/>
            <w:tcMar>
              <w:left w:w="57" w:type="dxa"/>
              <w:right w:w="57" w:type="dxa"/>
            </w:tcMar>
            <w:vAlign w:val="center"/>
          </w:tcPr>
          <w:p w:rsidR="00485D6F" w:rsidRPr="007B4413" w:rsidRDefault="00485D6F" w:rsidP="004B4966">
            <w:pPr>
              <w:pStyle w:val="Tabletext"/>
              <w:widowControl w:val="0"/>
              <w:spacing w:before="0" w:after="0"/>
              <w:jc w:val="center"/>
            </w:pPr>
            <w:r w:rsidRPr="007B4413">
              <w:t>1.01</w:t>
            </w:r>
          </w:p>
        </w:tc>
      </w:tr>
      <w:tr w:rsidR="00485D6F" w:rsidRPr="00CD6CF9" w:rsidTr="004B4966">
        <w:tc>
          <w:tcPr>
            <w:tcW w:w="2599" w:type="pct"/>
            <w:shd w:val="clear" w:color="auto" w:fill="auto"/>
            <w:tcMar>
              <w:left w:w="57" w:type="dxa"/>
              <w:right w:w="57" w:type="dxa"/>
            </w:tcMar>
            <w:vAlign w:val="center"/>
          </w:tcPr>
          <w:p w:rsidR="00485D6F" w:rsidRPr="007B4413" w:rsidRDefault="00485D6F" w:rsidP="004B4966">
            <w:pPr>
              <w:pStyle w:val="Tabletext"/>
              <w:keepNext/>
              <w:keepLines/>
              <w:spacing w:before="0" w:after="0"/>
              <w:rPr>
                <w:b/>
              </w:rPr>
            </w:pPr>
            <w:r w:rsidRPr="007B4413">
              <w:rPr>
                <w:b/>
              </w:rPr>
              <w:t xml:space="preserve">  Incremental cost per QALY</w:t>
            </w:r>
          </w:p>
        </w:tc>
        <w:tc>
          <w:tcPr>
            <w:tcW w:w="1103" w:type="pct"/>
            <w:shd w:val="clear" w:color="auto" w:fill="auto"/>
            <w:vAlign w:val="center"/>
          </w:tcPr>
          <w:p w:rsidR="00485D6F" w:rsidRPr="007B4413" w:rsidRDefault="00485D6F" w:rsidP="004B4966">
            <w:pPr>
              <w:pStyle w:val="Tabletext"/>
              <w:keepNext/>
              <w:keepLines/>
              <w:spacing w:before="0" w:after="0"/>
              <w:jc w:val="center"/>
              <w:rPr>
                <w:b/>
              </w:rPr>
            </w:pPr>
            <w:r w:rsidRPr="007B4413">
              <w:rPr>
                <w:b/>
              </w:rPr>
              <w:t>-</w:t>
            </w:r>
          </w:p>
        </w:tc>
        <w:tc>
          <w:tcPr>
            <w:tcW w:w="708" w:type="pct"/>
            <w:shd w:val="clear" w:color="auto" w:fill="auto"/>
            <w:vAlign w:val="center"/>
          </w:tcPr>
          <w:p w:rsidR="00485D6F" w:rsidRPr="007B4413" w:rsidRDefault="00485D6F" w:rsidP="004B4966">
            <w:pPr>
              <w:pStyle w:val="Tabletext"/>
              <w:keepNext/>
              <w:keepLines/>
              <w:spacing w:before="0" w:after="0"/>
              <w:jc w:val="center"/>
              <w:rPr>
                <w:b/>
              </w:rPr>
            </w:pPr>
            <w:r w:rsidRPr="007B4413">
              <w:rPr>
                <w:b/>
              </w:rPr>
              <w:t>-</w:t>
            </w:r>
          </w:p>
        </w:tc>
        <w:tc>
          <w:tcPr>
            <w:tcW w:w="590" w:type="pct"/>
            <w:shd w:val="clear" w:color="auto" w:fill="auto"/>
            <w:tcMar>
              <w:left w:w="57" w:type="dxa"/>
              <w:right w:w="57" w:type="dxa"/>
            </w:tcMar>
            <w:vAlign w:val="center"/>
          </w:tcPr>
          <w:p w:rsidR="00485D6F" w:rsidRPr="007B4413" w:rsidRDefault="00485D6F" w:rsidP="004B4966">
            <w:pPr>
              <w:pStyle w:val="Tabletext"/>
              <w:keepNext/>
              <w:keepLines/>
              <w:spacing w:before="0" w:after="0"/>
              <w:jc w:val="center"/>
              <w:rPr>
                <w:b/>
              </w:rPr>
            </w:pPr>
            <w:r w:rsidRPr="007B4413">
              <w:rPr>
                <w:b/>
              </w:rPr>
              <w:t>$25,163</w:t>
            </w:r>
          </w:p>
        </w:tc>
      </w:tr>
    </w:tbl>
    <w:p w:rsidR="00485D6F" w:rsidRPr="00FF1CF7" w:rsidRDefault="00485D6F" w:rsidP="00485D6F">
      <w:pPr>
        <w:pStyle w:val="Tablecaption"/>
        <w:rPr>
          <w:sz w:val="18"/>
        </w:rPr>
      </w:pPr>
      <w:r w:rsidRPr="00FF1CF7">
        <w:rPr>
          <w:sz w:val="18"/>
        </w:rPr>
        <w:t>Source: Table D.4</w:t>
      </w:r>
      <w:r>
        <w:rPr>
          <w:sz w:val="18"/>
        </w:rPr>
        <w:t>-</w:t>
      </w:r>
      <w:r w:rsidRPr="00FF1CF7">
        <w:rPr>
          <w:sz w:val="18"/>
        </w:rPr>
        <w:t>4, p9</w:t>
      </w:r>
      <w:r>
        <w:rPr>
          <w:sz w:val="18"/>
        </w:rPr>
        <w:t>0</w:t>
      </w:r>
      <w:r w:rsidRPr="00FF1CF7">
        <w:rPr>
          <w:sz w:val="18"/>
        </w:rPr>
        <w:t xml:space="preserve"> of the </w:t>
      </w:r>
      <w:r w:rsidR="00217ED8">
        <w:rPr>
          <w:sz w:val="18"/>
        </w:rPr>
        <w:t>a</w:t>
      </w:r>
      <w:r w:rsidRPr="00FF1CF7">
        <w:rPr>
          <w:sz w:val="18"/>
        </w:rPr>
        <w:t>pplication</w:t>
      </w:r>
    </w:p>
    <w:p w:rsidR="00485D6F" w:rsidRPr="00FD23C0" w:rsidRDefault="00485D6F" w:rsidP="00485D6F">
      <w:pPr>
        <w:rPr>
          <w:rFonts w:ascii="Arial Narrow" w:hAnsi="Arial Narrow" w:cs="Arial"/>
          <w:sz w:val="18"/>
          <w:szCs w:val="18"/>
        </w:rPr>
      </w:pPr>
      <w:r w:rsidRPr="00FD23C0">
        <w:rPr>
          <w:rFonts w:ascii="Arial Narrow" w:hAnsi="Arial Narrow" w:cs="Arial"/>
          <w:sz w:val="18"/>
          <w:szCs w:val="18"/>
        </w:rPr>
        <w:t>QAL</w:t>
      </w:r>
      <w:r w:rsidR="00061996">
        <w:rPr>
          <w:rFonts w:ascii="Arial Narrow" w:hAnsi="Arial Narrow" w:cs="Arial"/>
          <w:sz w:val="18"/>
          <w:szCs w:val="18"/>
        </w:rPr>
        <w:t xml:space="preserve">Y = quality-adjusted life year </w:t>
      </w:r>
    </w:p>
    <w:p w:rsidR="00485D6F" w:rsidRPr="00061996" w:rsidRDefault="00485D6F" w:rsidP="00096B67">
      <w:pPr>
        <w:pStyle w:val="Default"/>
        <w:rPr>
          <w:color w:val="auto"/>
        </w:rPr>
      </w:pPr>
    </w:p>
    <w:p w:rsidR="00485D6F" w:rsidRPr="00FF1CF7" w:rsidRDefault="00485D6F" w:rsidP="00485D6F">
      <w:r w:rsidRPr="00FF1CF7">
        <w:t>The base case produce</w:t>
      </w:r>
      <w:r>
        <w:t>d</w:t>
      </w:r>
      <w:r w:rsidRPr="00FF1CF7">
        <w:t xml:space="preserve"> an incremental cost</w:t>
      </w:r>
      <w:r>
        <w:t>-</w:t>
      </w:r>
      <w:r w:rsidRPr="00FF1CF7">
        <w:t>effectiveness ratio (ICER) of $25,163 per QALY gained over the patient’s lifetime. At a 3% discount rate</w:t>
      </w:r>
      <w:r w:rsidR="00061996">
        <w:t>,</w:t>
      </w:r>
      <w:r w:rsidRPr="00FF1CF7">
        <w:t xml:space="preserve"> the </w:t>
      </w:r>
      <w:r w:rsidR="00061996">
        <w:t>ICER was $25,238 per QALY gained.</w:t>
      </w:r>
    </w:p>
    <w:p w:rsidR="00485D6F" w:rsidRDefault="00485D6F" w:rsidP="00485D6F"/>
    <w:p w:rsidR="00485D6F" w:rsidRDefault="00485D6F" w:rsidP="00485D6F">
      <w:r>
        <w:t xml:space="preserve">The </w:t>
      </w:r>
      <w:r w:rsidR="004B4966">
        <w:t>application</w:t>
      </w:r>
      <w:r>
        <w:t xml:space="preserve"> also presented </w:t>
      </w:r>
      <w:r w:rsidRPr="00FF1CF7">
        <w:t>the results of selected univariate sensitivity analyses</w:t>
      </w:r>
      <w:r>
        <w:t>.</w:t>
      </w:r>
    </w:p>
    <w:p w:rsidR="008D270E" w:rsidRDefault="008D270E">
      <w:r>
        <w:br w:type="page"/>
      </w:r>
    </w:p>
    <w:p w:rsidR="00485D6F" w:rsidRDefault="00485D6F" w:rsidP="00485D6F">
      <w:pPr>
        <w:pStyle w:val="Caption"/>
        <w:spacing w:before="0" w:after="0"/>
        <w:ind w:left="0" w:firstLine="0"/>
      </w:pPr>
      <w:r>
        <w:lastRenderedPageBreak/>
        <w:t xml:space="preserve">Table </w:t>
      </w:r>
      <w:fldSimple w:instr=" SEQ Table \* ARABIC ">
        <w:r>
          <w:t>6</w:t>
        </w:r>
      </w:fldSimple>
      <w:r w:rsidR="00061996">
        <w:t>:</w:t>
      </w:r>
      <w:r>
        <w:t xml:space="preserve"> U</w:t>
      </w:r>
      <w:r w:rsidRPr="005A58D8">
        <w:t>nivariate sensitivity analyses</w:t>
      </w:r>
    </w:p>
    <w:tbl>
      <w:tblPr>
        <w:tblW w:w="496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Table D.6.1: Results of univariate sensitivity analyses"/>
        <w:tblDescription w:val="Table D.6.1: Results of univariate sensitivity analyses"/>
      </w:tblPr>
      <w:tblGrid>
        <w:gridCol w:w="5530"/>
        <w:gridCol w:w="1415"/>
        <w:gridCol w:w="1136"/>
        <w:gridCol w:w="991"/>
      </w:tblGrid>
      <w:tr w:rsidR="00485D6F" w:rsidRPr="00E75E97" w:rsidTr="004B4966">
        <w:trPr>
          <w:cantSplit/>
          <w:tblHeader/>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boldleft"/>
              <w:keepNext w:val="0"/>
              <w:widowControl w:val="0"/>
            </w:pPr>
            <w:r w:rsidRPr="007B4413">
              <w:t>Univariate analyses</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7B4413" w:rsidRDefault="00485D6F" w:rsidP="004B4966">
            <w:pPr>
              <w:pStyle w:val="Tabletextbold"/>
              <w:keepNext w:val="0"/>
              <w:widowControl w:val="0"/>
            </w:pPr>
            <w:r w:rsidRPr="007B4413">
              <w:t>Incremental costs</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7B4413" w:rsidRDefault="00485D6F" w:rsidP="004B4966">
            <w:pPr>
              <w:pStyle w:val="Tabletextbold"/>
              <w:keepNext w:val="0"/>
              <w:widowControl w:val="0"/>
            </w:pPr>
            <w:r w:rsidRPr="007B4413">
              <w:t>Incremental QALYs</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7B4413" w:rsidRDefault="00485D6F" w:rsidP="004B4966">
            <w:pPr>
              <w:pStyle w:val="Tabletextbold"/>
              <w:keepNext w:val="0"/>
              <w:widowControl w:val="0"/>
            </w:pPr>
            <w:r w:rsidRPr="007B4413">
              <w:t>ICERs</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rPr>
                <w:b/>
              </w:rPr>
            </w:pPr>
            <w:r w:rsidRPr="007B4413">
              <w:rPr>
                <w:b/>
              </w:rPr>
              <w:t>Base case</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$25,505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$25,163</w:t>
            </w:r>
          </w:p>
        </w:tc>
      </w:tr>
      <w:tr w:rsidR="00485D6F" w:rsidRPr="00E75E97" w:rsidTr="004B4966">
        <w:trPr>
          <w:cantSplit/>
        </w:trPr>
        <w:tc>
          <w:tcPr>
            <w:tcW w:w="3048" w:type="pct"/>
            <w:tcBorders>
              <w:top w:val="single" w:sz="4" w:space="0" w:color="auto"/>
              <w:left w:val="single" w:sz="4" w:space="0" w:color="auto"/>
              <w:bottom w:val="single" w:sz="4" w:space="0" w:color="auto"/>
              <w:right w:val="nil"/>
            </w:tcBorders>
            <w:tcMar>
              <w:left w:w="57" w:type="dxa"/>
              <w:right w:w="57" w:type="dxa"/>
            </w:tcMar>
            <w:vAlign w:val="center"/>
          </w:tcPr>
          <w:p w:rsidR="00485D6F" w:rsidRPr="007B4413" w:rsidRDefault="00061996" w:rsidP="004B4966">
            <w:pPr>
              <w:pStyle w:val="Tabletext"/>
              <w:widowControl w:val="0"/>
              <w:spacing w:before="0" w:after="0"/>
              <w:rPr>
                <w:b/>
              </w:rPr>
            </w:pPr>
            <w:r>
              <w:rPr>
                <w:b/>
              </w:rPr>
              <w:t>Transition probabilities</w:t>
            </w:r>
          </w:p>
        </w:tc>
        <w:tc>
          <w:tcPr>
            <w:tcW w:w="780" w:type="pct"/>
            <w:tcBorders>
              <w:top w:val="single" w:sz="4" w:space="0" w:color="auto"/>
              <w:left w:val="nil"/>
              <w:bottom w:val="single" w:sz="4" w:space="0" w:color="auto"/>
              <w:right w:val="nil"/>
            </w:tcBorders>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626" w:type="pct"/>
            <w:tcBorders>
              <w:top w:val="single" w:sz="4" w:space="0" w:color="auto"/>
              <w:left w:val="nil"/>
              <w:bottom w:val="single" w:sz="4" w:space="0" w:color="auto"/>
              <w:right w:val="nil"/>
            </w:tcBorders>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c>
          <w:tcPr>
            <w:tcW w:w="546" w:type="pct"/>
            <w:tcBorders>
              <w:top w:val="single" w:sz="4" w:space="0" w:color="auto"/>
              <w:left w:val="nil"/>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b/>
              </w:rPr>
            </w:pPr>
            <w:r w:rsidRPr="007B4413">
              <w:rPr>
                <w:b/>
              </w:rPr>
              <w:t>-</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Baseline all-cause mortality estimate 10.2% per annum based on MAGGIC HF risk calculator</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$22,886</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1.29</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$17,774</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Relative risk for all-cause mortality Increased to 0.84 based on 17 month results from CHAMPION</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$24,468</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0.83</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$29,407</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 xml:space="preserve">Baseline HF-related </w:t>
            </w:r>
            <w:proofErr w:type="spellStart"/>
            <w:r w:rsidRPr="007B4413">
              <w:rPr>
                <w:lang w:val="en-US"/>
              </w:rPr>
              <w:t>hospitalisation</w:t>
            </w:r>
            <w:proofErr w:type="spellEnd"/>
            <w:r w:rsidRPr="007B4413">
              <w:rPr>
                <w:lang w:val="en-US"/>
              </w:rPr>
              <w:t xml:space="preserve"> estimate 32% per annum based on Robertson et al 2012</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$28,039</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$29,735</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 xml:space="preserve">Relative risk for HF-related </w:t>
            </w:r>
            <w:proofErr w:type="spellStart"/>
            <w:r w:rsidRPr="007B4413">
              <w:rPr>
                <w:lang w:val="en-US"/>
              </w:rPr>
              <w:t>hospitalisation</w:t>
            </w:r>
            <w:proofErr w:type="spellEnd"/>
            <w:r w:rsidRPr="007B4413">
              <w:rPr>
                <w:lang w:val="en-US"/>
              </w:rPr>
              <w:t xml:space="preserve"> increased to 0.72 based on 17 month results from CHAMPION trial </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$26,690</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06199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$26,333</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 xml:space="preserve">Relative risk of all-cause mortality in the intervention arm set to 1.0 (i.e. no treatment effect compared to standard care) after 3 years </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$23,308</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0.63</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$37,059</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 xml:space="preserve">Relative risk of HF-related </w:t>
            </w:r>
            <w:proofErr w:type="spellStart"/>
            <w:r w:rsidRPr="007B4413">
              <w:rPr>
                <w:lang w:val="en-US"/>
              </w:rPr>
              <w:t>hospitalisation</w:t>
            </w:r>
            <w:proofErr w:type="spellEnd"/>
            <w:r w:rsidRPr="007B4413">
              <w:rPr>
                <w:lang w:val="en-US"/>
              </w:rPr>
              <w:t xml:space="preserve"> in the intervention arm set to 1.0 (i.e. no treatment effect compared to standard care) after 3 years </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$30,961</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$30,547</w:t>
            </w:r>
          </w:p>
        </w:tc>
      </w:tr>
      <w:tr w:rsidR="00485D6F" w:rsidRPr="00E75E97" w:rsidTr="004B4966">
        <w:trPr>
          <w:cantSplit/>
        </w:trPr>
        <w:tc>
          <w:tcPr>
            <w:tcW w:w="3048" w:type="pct"/>
            <w:tcBorders>
              <w:top w:val="single" w:sz="4" w:space="0" w:color="auto"/>
              <w:left w:val="single" w:sz="4" w:space="0" w:color="auto"/>
              <w:bottom w:val="single" w:sz="4" w:space="0" w:color="auto"/>
              <w:right w:val="nil"/>
            </w:tcBorders>
            <w:tcMar>
              <w:left w:w="57" w:type="dxa"/>
              <w:right w:w="57" w:type="dxa"/>
            </w:tcMar>
            <w:vAlign w:val="center"/>
          </w:tcPr>
          <w:p w:rsidR="00485D6F" w:rsidRPr="007B4413" w:rsidRDefault="00485D6F" w:rsidP="004B4966">
            <w:pPr>
              <w:pStyle w:val="Tabletext"/>
              <w:widowControl w:val="0"/>
              <w:spacing w:before="0" w:after="0"/>
              <w:rPr>
                <w:b/>
              </w:rPr>
            </w:pPr>
            <w:r w:rsidRPr="007B4413">
              <w:rPr>
                <w:b/>
              </w:rPr>
              <w:t>Utility values</w:t>
            </w:r>
          </w:p>
        </w:tc>
        <w:tc>
          <w:tcPr>
            <w:tcW w:w="780" w:type="pct"/>
            <w:tcBorders>
              <w:top w:val="single" w:sz="4" w:space="0" w:color="auto"/>
              <w:left w:val="nil"/>
              <w:bottom w:val="single" w:sz="4" w:space="0" w:color="auto"/>
              <w:right w:val="nil"/>
            </w:tcBorders>
            <w:tcMar>
              <w:left w:w="57" w:type="dxa"/>
              <w:right w:w="57" w:type="dxa"/>
            </w:tcMar>
            <w:vAlign w:val="center"/>
          </w:tcPr>
          <w:p w:rsidR="00485D6F" w:rsidRPr="007B4413" w:rsidRDefault="00485D6F" w:rsidP="004B4966">
            <w:pPr>
              <w:pStyle w:val="Tabletext"/>
              <w:widowControl w:val="0"/>
              <w:spacing w:before="0" w:after="0"/>
              <w:jc w:val="center"/>
            </w:pPr>
            <w:r w:rsidRPr="007B4413">
              <w:rPr>
                <w:b/>
              </w:rPr>
              <w:t>-</w:t>
            </w:r>
          </w:p>
        </w:tc>
        <w:tc>
          <w:tcPr>
            <w:tcW w:w="626" w:type="pct"/>
            <w:tcBorders>
              <w:top w:val="single" w:sz="4" w:space="0" w:color="auto"/>
              <w:left w:val="nil"/>
              <w:bottom w:val="single" w:sz="4" w:space="0" w:color="auto"/>
              <w:right w:val="nil"/>
            </w:tcBorders>
            <w:tcMar>
              <w:left w:w="57" w:type="dxa"/>
              <w:right w:w="57" w:type="dxa"/>
            </w:tcMar>
            <w:vAlign w:val="center"/>
          </w:tcPr>
          <w:p w:rsidR="00485D6F" w:rsidRPr="007B4413" w:rsidRDefault="00485D6F" w:rsidP="004B4966">
            <w:pPr>
              <w:pStyle w:val="Tabletext"/>
              <w:widowControl w:val="0"/>
              <w:spacing w:before="0" w:after="0"/>
              <w:jc w:val="center"/>
            </w:pPr>
            <w:r w:rsidRPr="007B4413">
              <w:rPr>
                <w:b/>
              </w:rPr>
              <w:t>-</w:t>
            </w:r>
          </w:p>
        </w:tc>
        <w:tc>
          <w:tcPr>
            <w:tcW w:w="546" w:type="pct"/>
            <w:tcBorders>
              <w:top w:val="single" w:sz="4" w:space="0" w:color="auto"/>
              <w:left w:val="nil"/>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pPr>
            <w:r w:rsidRPr="007B4413">
              <w:rPr>
                <w:b/>
              </w:rPr>
              <w:t>-</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Preference based quality of life weighting for survival removed (i.e. Cost per LY)</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$25,505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0.91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$28,136</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Utility weight set to parity in both arms at 0.711 (baseline utility)</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$25,505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0.64</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$39,572</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 xml:space="preserve">Utility weight assumed to decline 5% per annum (i.e., 0.42% per month) after 17 months </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$25,505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0.75</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$34,085</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061996" w:rsidP="004B4966">
            <w:pPr>
              <w:pStyle w:val="Tabletext"/>
              <w:widowControl w:val="0"/>
              <w:spacing w:before="0" w:after="0"/>
              <w:rPr>
                <w:b/>
              </w:rPr>
            </w:pPr>
            <w:r>
              <w:rPr>
                <w:b/>
              </w:rPr>
              <w:t>Costs</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b/>
              </w:rPr>
              <w:t>-</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b/>
              </w:rPr>
              <w:t>-</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b/>
              </w:rPr>
              <w:t>-</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proofErr w:type="spellStart"/>
            <w:r w:rsidRPr="007B4413">
              <w:rPr>
                <w:lang w:val="en-US"/>
              </w:rPr>
              <w:t>Haemodynamic</w:t>
            </w:r>
            <w:proofErr w:type="spellEnd"/>
            <w:r w:rsidRPr="007B4413">
              <w:rPr>
                <w:lang w:val="en-US"/>
              </w:rPr>
              <w:t xml:space="preserve"> sensor device cost increased by 20%</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$21,505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$21,217</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proofErr w:type="spellStart"/>
            <w:r w:rsidRPr="007B4413">
              <w:rPr>
                <w:lang w:val="en-US"/>
              </w:rPr>
              <w:t>Haemodynamic</w:t>
            </w:r>
            <w:proofErr w:type="spellEnd"/>
            <w:r w:rsidRPr="007B4413">
              <w:rPr>
                <w:lang w:val="en-US"/>
              </w:rPr>
              <w:t xml:space="preserve"> sensor device cost decreased by 20%</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$29,505</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$29,110</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 xml:space="preserve">HF-related </w:t>
            </w:r>
            <w:proofErr w:type="spellStart"/>
            <w:r w:rsidRPr="007B4413">
              <w:rPr>
                <w:lang w:val="en-US"/>
              </w:rPr>
              <w:t>hospitalisation</w:t>
            </w:r>
            <w:proofErr w:type="spellEnd"/>
            <w:r w:rsidRPr="007B4413">
              <w:rPr>
                <w:lang w:val="en-US"/>
              </w:rPr>
              <w:t xml:space="preserve"> cost increased by 20%</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$26,432</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$24,249</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 xml:space="preserve">HF-related </w:t>
            </w:r>
            <w:proofErr w:type="spellStart"/>
            <w:r w:rsidRPr="007B4413">
              <w:rPr>
                <w:lang w:val="en-US"/>
              </w:rPr>
              <w:t>hospitalisation</w:t>
            </w:r>
            <w:proofErr w:type="spellEnd"/>
            <w:r w:rsidRPr="007B4413">
              <w:rPr>
                <w:lang w:val="en-US"/>
              </w:rPr>
              <w:t xml:space="preserve"> cost decreased by 20%</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$24,578</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$26,078</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proofErr w:type="spellStart"/>
            <w:r w:rsidRPr="007B4413">
              <w:rPr>
                <w:lang w:val="en-US"/>
              </w:rPr>
              <w:t>Optimised</w:t>
            </w:r>
            <w:proofErr w:type="spellEnd"/>
            <w:r w:rsidRPr="007B4413">
              <w:rPr>
                <w:lang w:val="en-US"/>
              </w:rPr>
              <w:t xml:space="preserve"> medication costs for the intervention arm doubled </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$24,258</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$23,933</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proofErr w:type="spellStart"/>
            <w:r w:rsidRPr="007B4413">
              <w:rPr>
                <w:lang w:val="en-US"/>
              </w:rPr>
              <w:t>Optimised</w:t>
            </w:r>
            <w:proofErr w:type="spellEnd"/>
            <w:r w:rsidRPr="007B4413">
              <w:rPr>
                <w:lang w:val="en-US"/>
              </w:rPr>
              <w:t xml:space="preserve"> medication costs for the intervention arm halved</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$27,998</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$27,623</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ind w:left="227"/>
              <w:rPr>
                <w:lang w:val="en-US"/>
              </w:rPr>
            </w:pPr>
            <w:r w:rsidRPr="007B4413">
              <w:rPr>
                <w:lang w:val="en-US"/>
              </w:rPr>
              <w:t>Monitoring costs for the intervention arm doubled</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$25,109</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widowControl w:val="0"/>
              <w:spacing w:before="0" w:after="0"/>
              <w:jc w:val="center"/>
              <w:rPr>
                <w:lang w:val="en-US"/>
              </w:rPr>
            </w:pPr>
            <w:r w:rsidRPr="007B4413">
              <w:rPr>
                <w:lang w:val="en-US"/>
              </w:rPr>
              <w:t>$24,773</w:t>
            </w:r>
          </w:p>
        </w:tc>
      </w:tr>
      <w:tr w:rsidR="00485D6F" w:rsidRPr="00E75E97" w:rsidTr="004B4966">
        <w:trPr>
          <w:cantSplit/>
        </w:trPr>
        <w:tc>
          <w:tcPr>
            <w:tcW w:w="304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keepNext/>
              <w:keepLines/>
              <w:spacing w:before="0" w:after="0"/>
              <w:ind w:left="227"/>
              <w:rPr>
                <w:lang w:val="en-US"/>
              </w:rPr>
            </w:pPr>
            <w:r w:rsidRPr="007B4413">
              <w:rPr>
                <w:lang w:val="en-US"/>
              </w:rPr>
              <w:t>Monitoring costs for the intervention arm halved</w:t>
            </w:r>
          </w:p>
        </w:tc>
        <w:tc>
          <w:tcPr>
            <w:tcW w:w="78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keepNext/>
              <w:keepLines/>
              <w:spacing w:before="0" w:after="0"/>
              <w:jc w:val="center"/>
              <w:rPr>
                <w:lang w:val="en-US"/>
              </w:rPr>
            </w:pPr>
            <w:r w:rsidRPr="007B4413">
              <w:rPr>
                <w:lang w:val="en-US"/>
              </w:rPr>
              <w:t>$26,297</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keepNext/>
              <w:keepLines/>
              <w:spacing w:before="0" w:after="0"/>
              <w:jc w:val="center"/>
              <w:rPr>
                <w:lang w:val="en-US"/>
              </w:rPr>
            </w:pPr>
            <w:r w:rsidRPr="007B4413">
              <w:rPr>
                <w:lang w:val="en-US"/>
              </w:rPr>
              <w:t>1.01</w:t>
            </w:r>
          </w:p>
        </w:tc>
        <w:tc>
          <w:tcPr>
            <w:tcW w:w="54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7B4413" w:rsidRDefault="00485D6F" w:rsidP="004B4966">
            <w:pPr>
              <w:pStyle w:val="Tabletext"/>
              <w:keepNext/>
              <w:keepLines/>
              <w:spacing w:before="0" w:after="0"/>
              <w:jc w:val="center"/>
              <w:rPr>
                <w:lang w:val="en-US"/>
              </w:rPr>
            </w:pPr>
            <w:r w:rsidRPr="007B4413">
              <w:rPr>
                <w:lang w:val="en-US"/>
              </w:rPr>
              <w:t>$25,944</w:t>
            </w:r>
          </w:p>
        </w:tc>
      </w:tr>
    </w:tbl>
    <w:p w:rsidR="00485D6F" w:rsidRPr="00061996" w:rsidRDefault="00485D6F" w:rsidP="00485D6F">
      <w:pPr>
        <w:rPr>
          <w:szCs w:val="24"/>
        </w:rPr>
      </w:pPr>
    </w:p>
    <w:p w:rsidR="00485D6F" w:rsidRPr="00FD23C0" w:rsidRDefault="00485D6F" w:rsidP="00485D6F">
      <w:r w:rsidRPr="00FD23C0">
        <w:t>The independent critique considered the ICER results to be “highly uncertain and likely to f</w:t>
      </w:r>
      <w:r w:rsidR="00061996">
        <w:t>avour the intervention</w:t>
      </w:r>
      <w:r w:rsidR="00E30948">
        <w:t>”</w:t>
      </w:r>
      <w:r w:rsidR="00061996">
        <w:t xml:space="preserve"> because:</w:t>
      </w:r>
    </w:p>
    <w:p w:rsidR="00485D6F" w:rsidRPr="00FD23C0" w:rsidRDefault="00485D6F" w:rsidP="00485D6F">
      <w:pPr>
        <w:pStyle w:val="ListParagraph"/>
        <w:numPr>
          <w:ilvl w:val="0"/>
          <w:numId w:val="26"/>
        </w:numPr>
        <w:jc w:val="both"/>
      </w:pPr>
      <w:r w:rsidRPr="00FD23C0">
        <w:t xml:space="preserve">The heart failure-related hospitalisation rate for the standard care arm </w:t>
      </w:r>
      <w:r w:rsidR="00061996">
        <w:t>(71.8%) might be overestimated;</w:t>
      </w:r>
    </w:p>
    <w:p w:rsidR="00485D6F" w:rsidRPr="00FD23C0" w:rsidRDefault="00485D6F" w:rsidP="00485D6F">
      <w:pPr>
        <w:pStyle w:val="ListParagraph"/>
        <w:numPr>
          <w:ilvl w:val="0"/>
          <w:numId w:val="26"/>
        </w:numPr>
        <w:jc w:val="both"/>
      </w:pPr>
      <w:r w:rsidRPr="00FD23C0">
        <w:t xml:space="preserve">The elevated survival benefit for patients with the sensor, compared to the standard care patients, was inappropriate because there was no difference in overall survival between the </w:t>
      </w:r>
      <w:r w:rsidR="00061996">
        <w:t>two arms in the CHAMPION trial;</w:t>
      </w:r>
    </w:p>
    <w:p w:rsidR="00485D6F" w:rsidRPr="00FD23C0" w:rsidRDefault="00485D6F" w:rsidP="00485D6F">
      <w:pPr>
        <w:pStyle w:val="ListParagraph"/>
        <w:numPr>
          <w:ilvl w:val="0"/>
          <w:numId w:val="26"/>
        </w:numPr>
        <w:jc w:val="both"/>
      </w:pPr>
      <w:r w:rsidRPr="00FD23C0">
        <w:t>Utility values were applied inappropriately as they are not associated with health states (such as heart failure, stable condition, complication) but w</w:t>
      </w:r>
      <w:r w:rsidR="00061996">
        <w:t>ith the cycle (advancing time);</w:t>
      </w:r>
    </w:p>
    <w:p w:rsidR="00485D6F" w:rsidRPr="00FD23C0" w:rsidRDefault="00485D6F" w:rsidP="00485D6F">
      <w:pPr>
        <w:pStyle w:val="ListParagraph"/>
        <w:numPr>
          <w:ilvl w:val="0"/>
          <w:numId w:val="26"/>
        </w:numPr>
        <w:jc w:val="both"/>
      </w:pPr>
      <w:r w:rsidRPr="00FD23C0">
        <w:t>Device failure at implantation was not taken into account in the economic model and; and</w:t>
      </w:r>
    </w:p>
    <w:p w:rsidR="00485D6F" w:rsidRPr="00FD23C0" w:rsidRDefault="00485D6F" w:rsidP="00485D6F">
      <w:pPr>
        <w:pStyle w:val="ListParagraph"/>
        <w:numPr>
          <w:ilvl w:val="0"/>
          <w:numId w:val="26"/>
        </w:numPr>
        <w:jc w:val="both"/>
      </w:pPr>
      <w:r w:rsidRPr="00FD23C0">
        <w:t>Anaesthesia and other relevant costs were not accou</w:t>
      </w:r>
      <w:r w:rsidR="00061996">
        <w:t>nted for in the economic model.</w:t>
      </w:r>
    </w:p>
    <w:p w:rsidR="00485D6F" w:rsidRPr="00FF1CF7" w:rsidRDefault="00485D6F" w:rsidP="00485D6F"/>
    <w:p w:rsidR="00485D6F" w:rsidRDefault="00485D6F" w:rsidP="00485D6F">
      <w:r>
        <w:t xml:space="preserve">The independent critique undertook the additional sensitivity analyses outlined in Table 7, and concluded that </w:t>
      </w:r>
      <w:r w:rsidRPr="00CA1EC2">
        <w:t xml:space="preserve">the model </w:t>
      </w:r>
      <w:r>
        <w:t>was</w:t>
      </w:r>
      <w:r w:rsidRPr="00CA1EC2">
        <w:t xml:space="preserve"> not robust with respect t</w:t>
      </w:r>
      <w:r>
        <w:t>o key variables and assumptions, and that</w:t>
      </w:r>
      <w:r w:rsidRPr="00CA1EC2">
        <w:t xml:space="preserve"> </w:t>
      </w:r>
      <w:r>
        <w:t>t</w:t>
      </w:r>
      <w:r w:rsidRPr="00CA1EC2">
        <w:t xml:space="preserve">he ICER presented in the </w:t>
      </w:r>
      <w:r w:rsidR="004B4966">
        <w:t>application</w:t>
      </w:r>
      <w:r>
        <w:t xml:space="preserve"> was</w:t>
      </w:r>
      <w:r w:rsidRPr="00CA1EC2">
        <w:t xml:space="preserve"> highly uncertain and likely to be underestimated.</w:t>
      </w:r>
    </w:p>
    <w:p w:rsidR="008D270E" w:rsidRDefault="008D270E">
      <w:pPr>
        <w:rPr>
          <w:lang w:val="vi-VN"/>
        </w:rPr>
      </w:pPr>
      <w:r>
        <w:rPr>
          <w:lang w:val="vi-VN"/>
        </w:rPr>
        <w:br w:type="page"/>
      </w:r>
    </w:p>
    <w:p w:rsidR="00485D6F" w:rsidRDefault="00485D6F" w:rsidP="00485D6F">
      <w:pPr>
        <w:pStyle w:val="Caption"/>
        <w:spacing w:before="0" w:after="0"/>
        <w:ind w:left="0" w:firstLine="0"/>
      </w:pPr>
      <w:r>
        <w:lastRenderedPageBreak/>
        <w:t xml:space="preserve">Table </w:t>
      </w:r>
      <w:fldSimple w:instr=" SEQ Table \* ARABIC ">
        <w:r>
          <w:rPr>
            <w:noProof/>
          </w:rPr>
          <w:t>7</w:t>
        </w:r>
      </w:fldSimple>
      <w:r w:rsidR="00061996">
        <w:rPr>
          <w:noProof/>
        </w:rPr>
        <w:t>:</w:t>
      </w:r>
      <w:r>
        <w:t xml:space="preserve"> </w:t>
      </w:r>
      <w:r w:rsidRPr="000B283D">
        <w:t>Results of additional sensitivity analyses</w:t>
      </w:r>
    </w:p>
    <w:tbl>
      <w:tblPr>
        <w:tblW w:w="496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ES.5: Results of additional sensitivity analyses "/>
        <w:tblDescription w:val="Table ES.5: Results of additional sensitivity analyses "/>
      </w:tblPr>
      <w:tblGrid>
        <w:gridCol w:w="5245"/>
        <w:gridCol w:w="1114"/>
        <w:gridCol w:w="1154"/>
        <w:gridCol w:w="1559"/>
      </w:tblGrid>
      <w:tr w:rsidR="00485D6F" w:rsidRPr="00061996" w:rsidTr="004B4966">
        <w:trPr>
          <w:cantSplit/>
          <w:tblHeader/>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rPr>
                <w:b/>
              </w:rPr>
            </w:pPr>
            <w:r w:rsidRPr="00061996">
              <w:rPr>
                <w:b/>
              </w:rPr>
              <w:t>Sensitivity analysis</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Incremental costs</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Incremental QALYs</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Incremental cost-per QALY</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rPr>
                <w:b/>
              </w:rPr>
            </w:pPr>
            <w:r w:rsidRPr="00061996">
              <w:rPr>
                <w:b/>
              </w:rPr>
              <w:t>Base case</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$25,505</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1.01</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$25,163</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061996" w:rsidP="004B4966">
            <w:pPr>
              <w:pStyle w:val="Tabletext"/>
              <w:spacing w:before="0" w:after="0"/>
              <w:rPr>
                <w:b/>
              </w:rPr>
            </w:pPr>
            <w:r>
              <w:rPr>
                <w:b/>
              </w:rPr>
              <w:t>Univariate sensitivity analysis</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pPr>
            <w:r w:rsidRPr="00061996">
              <w:t xml:space="preserve">(A) Model duration: 10 years vs. base case = lifetime </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$24,851</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0.69</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$36,070</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rPr>
                <w:lang w:val="en-US"/>
              </w:rPr>
            </w:pPr>
            <w:r w:rsidRPr="00061996">
              <w:rPr>
                <w:lang w:val="en-US"/>
              </w:rPr>
              <w:t>(B) Implantation failure incorporated in device-related and system-related complication: (25+15)/575 vs. base case = 15/575</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$26,062</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1.01</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$25,714</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485D6F" w:rsidP="00061996">
            <w:pPr>
              <w:pStyle w:val="Tabletext"/>
              <w:spacing w:before="0" w:after="0"/>
              <w:rPr>
                <w:lang w:val="en-US"/>
              </w:rPr>
            </w:pPr>
            <w:r w:rsidRPr="00061996">
              <w:rPr>
                <w:lang w:val="en-US"/>
              </w:rPr>
              <w:t xml:space="preserve">(C) Utility values assigned to health states: baseline: 0.711, stable HF = 0.78; </w:t>
            </w:r>
            <w:proofErr w:type="spellStart"/>
            <w:r w:rsidRPr="00061996">
              <w:rPr>
                <w:lang w:val="en-US"/>
              </w:rPr>
              <w:t>hospitalisation</w:t>
            </w:r>
            <w:proofErr w:type="spellEnd"/>
            <w:r w:rsidRPr="00061996">
              <w:rPr>
                <w:lang w:val="en-US"/>
              </w:rPr>
              <w:t xml:space="preserve"> = 0.57; vs. base case = utility assigned by cycle</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$25,505</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0.67</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$37,913</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485D6F" w:rsidP="004B4966">
            <w:pPr>
              <w:pStyle w:val="Tabletext"/>
              <w:spacing w:before="0" w:after="0"/>
              <w:rPr>
                <w:lang w:val="en-US"/>
              </w:rPr>
            </w:pPr>
            <w:r w:rsidRPr="00061996">
              <w:rPr>
                <w:lang w:val="en-US"/>
              </w:rPr>
              <w:t>(D) Revised probabilit</w:t>
            </w:r>
            <w:r w:rsidR="00061996">
              <w:rPr>
                <w:lang w:val="en-US"/>
              </w:rPr>
              <w:t xml:space="preserve">y of HF-related </w:t>
            </w:r>
            <w:proofErr w:type="spellStart"/>
            <w:r w:rsidR="00061996">
              <w:rPr>
                <w:lang w:val="en-US"/>
              </w:rPr>
              <w:t>hospitalisation</w:t>
            </w:r>
            <w:proofErr w:type="spellEnd"/>
            <w:r w:rsidRPr="00061996">
              <w:rPr>
                <w:lang w:val="en-US"/>
              </w:rPr>
              <w:t xml:space="preserve"> </w:t>
            </w:r>
            <w:r w:rsidR="00C41A2F">
              <w:rPr>
                <w:lang w:val="en-US"/>
              </w:rPr>
              <w:t>(</w:t>
            </w:r>
            <w:r w:rsidR="00C41A2F">
              <w:t>8.5% in cycle 1 up to 30.5% in cycle 18+ vs. base case)</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$28,597</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1.01</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$28,214</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485D6F" w:rsidP="004B4966">
            <w:pPr>
              <w:pStyle w:val="Tabletext"/>
              <w:spacing w:before="0" w:after="0"/>
              <w:rPr>
                <w:lang w:val="en-US"/>
              </w:rPr>
            </w:pPr>
            <w:r w:rsidRPr="00061996">
              <w:rPr>
                <w:lang w:val="en-US"/>
              </w:rPr>
              <w:t>(E) Revised relative risk of mortality: 0.94 vs. base case = 0.79</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$22,641</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0.51</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$44,198</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485D6F" w:rsidP="004B4966">
            <w:pPr>
              <w:pStyle w:val="Tabletext"/>
              <w:spacing w:before="0" w:after="0"/>
              <w:rPr>
                <w:b/>
                <w:lang w:val="en-US"/>
              </w:rPr>
            </w:pPr>
            <w:r w:rsidRPr="00061996">
              <w:rPr>
                <w:b/>
                <w:lang w:val="en-US"/>
              </w:rPr>
              <w:t>Multivariate sensitivity analysis</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rPr>
                <w:b/>
              </w:rPr>
            </w:pPr>
            <w:r w:rsidRPr="00061996">
              <w:rPr>
                <w:b/>
              </w:rPr>
              <w:t>-</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rPr>
                <w:lang w:val="en-US"/>
              </w:rPr>
            </w:pPr>
            <w:r w:rsidRPr="00061996">
              <w:rPr>
                <w:lang w:val="en-US"/>
              </w:rPr>
              <w:t>(A) + (B)</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$25,408</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0.69</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$36,880</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485D6F" w:rsidP="004B4966">
            <w:pPr>
              <w:pStyle w:val="Tabletext"/>
              <w:spacing w:before="0" w:after="0"/>
              <w:rPr>
                <w:lang w:val="en-US"/>
              </w:rPr>
            </w:pPr>
            <w:r w:rsidRPr="00061996">
              <w:rPr>
                <w:lang w:val="en-US"/>
              </w:rPr>
              <w:t>(A) + (B) + (C)</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$25,408</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0.36</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$69,780</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061996" w:rsidP="004B4966">
            <w:pPr>
              <w:pStyle w:val="Tabletext"/>
              <w:spacing w:before="0" w:after="0"/>
              <w:rPr>
                <w:lang w:val="en-US"/>
              </w:rPr>
            </w:pPr>
            <w:r>
              <w:rPr>
                <w:lang w:val="en-US"/>
              </w:rPr>
              <w:t>(A) + (B) + (C) + (D)</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$28,514</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0.36</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$79,111</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485D6F" w:rsidP="004B4966">
            <w:pPr>
              <w:pStyle w:val="Tabletext"/>
              <w:spacing w:before="0" w:after="0"/>
              <w:rPr>
                <w:lang w:val="en-US"/>
              </w:rPr>
            </w:pPr>
            <w:r w:rsidRPr="00061996">
              <w:rPr>
                <w:lang w:val="en-US"/>
              </w:rPr>
              <w:t>(D) + (E)</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$22,641</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0.21</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$105,645</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485D6F" w:rsidP="004B4966">
            <w:pPr>
              <w:pStyle w:val="Tabletext"/>
              <w:spacing w:before="0" w:after="0"/>
              <w:rPr>
                <w:lang w:val="en-US"/>
              </w:rPr>
            </w:pPr>
            <w:r w:rsidRPr="00061996">
              <w:rPr>
                <w:lang w:val="en-US"/>
              </w:rPr>
              <w:t>(B) + (C) + (D) + (E)</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$27,200</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0.16</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$171,315</w:t>
            </w:r>
          </w:p>
        </w:tc>
      </w:tr>
      <w:tr w:rsidR="00485D6F" w:rsidRPr="00061996" w:rsidTr="004B4966">
        <w:trPr>
          <w:cantSplit/>
        </w:trPr>
        <w:tc>
          <w:tcPr>
            <w:tcW w:w="2891" w:type="pct"/>
            <w:tcBorders>
              <w:top w:val="single" w:sz="4" w:space="0" w:color="auto"/>
              <w:left w:val="single" w:sz="4" w:space="0" w:color="auto"/>
              <w:bottom w:val="single" w:sz="4" w:space="0" w:color="auto"/>
              <w:right w:val="single" w:sz="4" w:space="0" w:color="auto"/>
            </w:tcBorders>
            <w:tcMar>
              <w:left w:w="57" w:type="dxa"/>
              <w:right w:w="57" w:type="dxa"/>
            </w:tcMar>
          </w:tcPr>
          <w:p w:rsidR="00485D6F" w:rsidRPr="00061996" w:rsidRDefault="00061996" w:rsidP="004B4966">
            <w:pPr>
              <w:pStyle w:val="Tabletext"/>
              <w:spacing w:before="0" w:after="0"/>
              <w:rPr>
                <w:lang w:val="en-US"/>
              </w:rPr>
            </w:pPr>
            <w:r>
              <w:rPr>
                <w:lang w:val="en-US"/>
              </w:rPr>
              <w:t>(A) + (B) + (C) + (D) + (E)</w:t>
            </w:r>
          </w:p>
        </w:tc>
        <w:tc>
          <w:tcPr>
            <w:tcW w:w="61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$27,406</w:t>
            </w:r>
          </w:p>
        </w:tc>
        <w:tc>
          <w:tcPr>
            <w:tcW w:w="63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0.10</w:t>
            </w:r>
          </w:p>
        </w:tc>
        <w:tc>
          <w:tcPr>
            <w:tcW w:w="8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85D6F" w:rsidRPr="00061996" w:rsidRDefault="00485D6F" w:rsidP="004B4966">
            <w:pPr>
              <w:pStyle w:val="Tabletext"/>
              <w:spacing w:before="0" w:after="0"/>
              <w:jc w:val="center"/>
            </w:pPr>
            <w:r w:rsidRPr="00061996">
              <w:t>$276,859</w:t>
            </w:r>
          </w:p>
        </w:tc>
      </w:tr>
    </w:tbl>
    <w:p w:rsidR="00485D6F" w:rsidRPr="00FF1CF7" w:rsidRDefault="00485D6F" w:rsidP="00485D6F">
      <w:pPr>
        <w:pStyle w:val="Tablecaption"/>
        <w:rPr>
          <w:sz w:val="18"/>
        </w:rPr>
      </w:pPr>
      <w:r w:rsidRPr="00FF1CF7">
        <w:rPr>
          <w:sz w:val="18"/>
        </w:rPr>
        <w:t xml:space="preserve">Source: </w:t>
      </w:r>
      <w:r w:rsidR="00061996">
        <w:rPr>
          <w:sz w:val="18"/>
        </w:rPr>
        <w:t>estimated during the evaluation</w:t>
      </w:r>
    </w:p>
    <w:p w:rsidR="00485D6F" w:rsidRDefault="00485D6F" w:rsidP="00485D6F">
      <w:pPr>
        <w:pStyle w:val="Tablecaption"/>
        <w:rPr>
          <w:sz w:val="18"/>
        </w:rPr>
      </w:pPr>
      <w:r w:rsidRPr="00FF1CF7">
        <w:rPr>
          <w:sz w:val="18"/>
        </w:rPr>
        <w:t>HF = heart failure; QALY = quality</w:t>
      </w:r>
      <w:r>
        <w:rPr>
          <w:sz w:val="18"/>
        </w:rPr>
        <w:t>-</w:t>
      </w:r>
      <w:r w:rsidRPr="00FF1CF7">
        <w:rPr>
          <w:sz w:val="18"/>
        </w:rPr>
        <w:t>adjusted life years</w:t>
      </w:r>
    </w:p>
    <w:p w:rsidR="00061996" w:rsidRDefault="00061996" w:rsidP="00485D6F"/>
    <w:p w:rsidR="00485D6F" w:rsidRDefault="00485D6F" w:rsidP="00485D6F">
      <w:pPr>
        <w:rPr>
          <w:color w:val="000000"/>
          <w:szCs w:val="24"/>
        </w:rPr>
      </w:pPr>
      <w:r w:rsidRPr="0017427F">
        <w:t xml:space="preserve">ESC had concerns with the economic model, which presented a different structure to the three proposed structures in the </w:t>
      </w:r>
      <w:r w:rsidR="00061996" w:rsidRPr="0017427F">
        <w:t>f</w:t>
      </w:r>
      <w:r w:rsidRPr="0017427F">
        <w:t xml:space="preserve">inal Protocol. However, </w:t>
      </w:r>
      <w:r w:rsidRPr="0017427F">
        <w:rPr>
          <w:szCs w:val="24"/>
        </w:rPr>
        <w:t>the applicant asserted that the utility values and economic approach used were the same as for MSAC application 1223</w:t>
      </w:r>
      <w:r w:rsidRPr="0017427F">
        <w:rPr>
          <w:rFonts w:ascii="Arial" w:hAnsi="Arial" w:cs="Arial"/>
          <w:color w:val="000000"/>
          <w:sz w:val="18"/>
          <w:szCs w:val="18"/>
        </w:rPr>
        <w:t xml:space="preserve"> </w:t>
      </w:r>
      <w:r w:rsidRPr="0017427F">
        <w:rPr>
          <w:color w:val="000000"/>
          <w:szCs w:val="24"/>
        </w:rPr>
        <w:t xml:space="preserve">(insertion, replacement, or removal of a cardiac resynchronisation therapy device capable of defibrillation for mild, moderate or severe chronic heart failure). The </w:t>
      </w:r>
      <w:r w:rsidR="004B4966">
        <w:t>application</w:t>
      </w:r>
      <w:r w:rsidRPr="0017427F">
        <w:rPr>
          <w:color w:val="000000"/>
          <w:szCs w:val="24"/>
        </w:rPr>
        <w:t xml:space="preserve"> applied utility weights derived from the CHAMPION trial to the intervention and comparator arms over the model lifetime time horizon (assuming continuous utility gains of 0.079 for each cycle after 6 months (0.739-0.660), which led to an ICER </w:t>
      </w:r>
      <w:r w:rsidR="008A3E7C">
        <w:rPr>
          <w:color w:val="000000"/>
          <w:szCs w:val="24"/>
        </w:rPr>
        <w:t xml:space="preserve">in favour of the intervention. </w:t>
      </w:r>
      <w:r w:rsidRPr="0017427F">
        <w:rPr>
          <w:color w:val="000000"/>
          <w:szCs w:val="24"/>
        </w:rPr>
        <w:t xml:space="preserve">ESC suggested that the two models (from this </w:t>
      </w:r>
      <w:r w:rsidR="004B4966">
        <w:t>application</w:t>
      </w:r>
      <w:r w:rsidRPr="0017427F">
        <w:rPr>
          <w:color w:val="000000"/>
          <w:szCs w:val="24"/>
        </w:rPr>
        <w:t xml:space="preserve"> and Application 1223) be compared.</w:t>
      </w:r>
    </w:p>
    <w:p w:rsidR="008A3E7C" w:rsidRPr="0017427F" w:rsidRDefault="008A3E7C" w:rsidP="00485D6F">
      <w:pPr>
        <w:rPr>
          <w:color w:val="000000"/>
          <w:szCs w:val="24"/>
        </w:rPr>
      </w:pPr>
    </w:p>
    <w:p w:rsidR="00485D6F" w:rsidRPr="0017427F" w:rsidRDefault="00485D6F" w:rsidP="00485D6F">
      <w:pPr>
        <w:rPr>
          <w:szCs w:val="24"/>
        </w:rPr>
      </w:pPr>
      <w:r w:rsidRPr="0017427F">
        <w:rPr>
          <w:color w:val="000000"/>
          <w:szCs w:val="24"/>
        </w:rPr>
        <w:t>On further inspection of the model for this application, ESC also had concerns</w:t>
      </w:r>
      <w:r w:rsidRPr="0017427F">
        <w:rPr>
          <w:szCs w:val="24"/>
        </w:rPr>
        <w:t xml:space="preserve"> that the mortality rate was duplicated across both hospitalised and stable patient populations. The same mortality reduction rate w</w:t>
      </w:r>
      <w:r w:rsidR="008A3E7C">
        <w:rPr>
          <w:szCs w:val="24"/>
        </w:rPr>
        <w:t xml:space="preserve">as also used across the model. </w:t>
      </w:r>
      <w:r w:rsidRPr="0017427F">
        <w:rPr>
          <w:szCs w:val="24"/>
        </w:rPr>
        <w:t>ESC again questioned the appropriateness of this methodology.</w:t>
      </w:r>
    </w:p>
    <w:p w:rsidR="00485D6F" w:rsidRPr="0017427F" w:rsidRDefault="00485D6F" w:rsidP="00485D6F">
      <w:pPr>
        <w:rPr>
          <w:szCs w:val="24"/>
        </w:rPr>
      </w:pPr>
    </w:p>
    <w:p w:rsidR="00485D6F" w:rsidRPr="0017427F" w:rsidRDefault="00485D6F" w:rsidP="00485D6F">
      <w:pPr>
        <w:rPr>
          <w:szCs w:val="24"/>
        </w:rPr>
      </w:pPr>
      <w:r w:rsidRPr="0017427F">
        <w:rPr>
          <w:szCs w:val="24"/>
          <w:lang w:val="en-US"/>
        </w:rPr>
        <w:t xml:space="preserve">The critique of the </w:t>
      </w:r>
      <w:r w:rsidR="004B4966">
        <w:t>application</w:t>
      </w:r>
      <w:r w:rsidRPr="0017427F">
        <w:rPr>
          <w:szCs w:val="24"/>
          <w:lang w:val="en-US"/>
        </w:rPr>
        <w:t xml:space="preserve"> suggested that the economic model should have incorporated </w:t>
      </w:r>
      <w:proofErr w:type="spellStart"/>
      <w:r w:rsidRPr="0017427F">
        <w:rPr>
          <w:szCs w:val="24"/>
          <w:lang w:val="en-US"/>
        </w:rPr>
        <w:t>anaesthesia</w:t>
      </w:r>
      <w:proofErr w:type="spellEnd"/>
      <w:r w:rsidRPr="0017427F">
        <w:rPr>
          <w:szCs w:val="24"/>
          <w:lang w:val="en-US"/>
        </w:rPr>
        <w:t xml:space="preserve"> costs. However, ESC supported the applicant’s statement that that sedation alone would be used for the majority of procedures</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8A3E7C" w:rsidRDefault="008A3E7C" w:rsidP="008A3E7C">
      <w:pPr>
        <w:rPr>
          <w:lang w:val="en-GB" w:eastAsia="en-GB"/>
        </w:rPr>
      </w:pPr>
    </w:p>
    <w:p w:rsidR="00485D6F" w:rsidRDefault="00485D6F" w:rsidP="008A3E7C">
      <w:pPr>
        <w:rPr>
          <w:lang w:val="en-GB" w:eastAsia="en-GB"/>
        </w:rPr>
      </w:pPr>
      <w:r w:rsidRPr="00C52B74">
        <w:rPr>
          <w:lang w:val="en-GB" w:eastAsia="en-GB"/>
        </w:rPr>
        <w:t xml:space="preserve">The </w:t>
      </w:r>
      <w:r w:rsidR="004B4966">
        <w:t>application</w:t>
      </w:r>
      <w:r w:rsidRPr="00C52B74">
        <w:rPr>
          <w:lang w:val="en-GB" w:eastAsia="en-GB"/>
        </w:rPr>
        <w:t xml:space="preserve"> presented a financial analysis</w:t>
      </w:r>
      <w:r w:rsidR="008A3E7C">
        <w:rPr>
          <w:lang w:val="en-GB" w:eastAsia="en-GB"/>
        </w:rPr>
        <w:t>,</w:t>
      </w:r>
      <w:r w:rsidRPr="00C52B74">
        <w:rPr>
          <w:lang w:val="en-GB" w:eastAsia="en-GB"/>
        </w:rPr>
        <w:t xml:space="preserve"> which indicated that the cost to the MBS woul</w:t>
      </w:r>
      <w:r w:rsidR="008A3E7C">
        <w:rPr>
          <w:lang w:val="en-GB" w:eastAsia="en-GB"/>
        </w:rPr>
        <w:t>d “remain below $1m in Year 5”.</w:t>
      </w:r>
    </w:p>
    <w:p w:rsidR="008D270E" w:rsidRDefault="008D270E">
      <w:pPr>
        <w:rPr>
          <w:lang w:val="en-GB" w:eastAsia="en-GB"/>
        </w:rPr>
      </w:pPr>
      <w:r>
        <w:rPr>
          <w:lang w:val="en-GB" w:eastAsia="en-GB"/>
        </w:rPr>
        <w:br w:type="page"/>
      </w:r>
    </w:p>
    <w:p w:rsidR="00485D6F" w:rsidRDefault="00485D6F" w:rsidP="00485D6F">
      <w:pPr>
        <w:pStyle w:val="Caption"/>
        <w:spacing w:before="0" w:after="0"/>
        <w:ind w:left="0" w:firstLine="0"/>
      </w:pPr>
      <w:r>
        <w:lastRenderedPageBreak/>
        <w:t xml:space="preserve">Table </w:t>
      </w:r>
      <w:fldSimple w:instr=" SEQ Table \* ARABIC ">
        <w:r>
          <w:rPr>
            <w:noProof/>
          </w:rPr>
          <w:t>8</w:t>
        </w:r>
      </w:fldSimple>
      <w:r w:rsidR="008A3E7C">
        <w:rPr>
          <w:noProof/>
        </w:rPr>
        <w:t>:</w:t>
      </w:r>
      <w:r>
        <w:t xml:space="preserve"> </w:t>
      </w:r>
      <w:r w:rsidRPr="00D70EB2">
        <w:t>Net healthcare costs over 5 years</w:t>
      </w:r>
    </w:p>
    <w:tbl>
      <w:tblPr>
        <w:tblStyle w:val="OPTUMTableNormal"/>
        <w:tblW w:w="5000" w:type="pct"/>
        <w:tblLayout w:type="fixed"/>
        <w:tblLook w:val="04A0" w:firstRow="1" w:lastRow="0" w:firstColumn="1" w:lastColumn="0" w:noHBand="0" w:noVBand="1"/>
        <w:tblCaption w:val="Table 8: Net healthcare costs over 5 years"/>
        <w:tblDescription w:val="Table shows the various healthcare costs considered in the financial analysis from 2016 to 2020."/>
      </w:tblPr>
      <w:tblGrid>
        <w:gridCol w:w="3361"/>
        <w:gridCol w:w="1178"/>
        <w:gridCol w:w="1177"/>
        <w:gridCol w:w="1177"/>
        <w:gridCol w:w="1177"/>
        <w:gridCol w:w="1172"/>
      </w:tblGrid>
      <w:tr w:rsidR="00485D6F" w:rsidRPr="00E73E1D" w:rsidTr="008A3E7C">
        <w:trPr>
          <w:cnfStyle w:val="100000000000" w:firstRow="1" w:lastRow="0" w:firstColumn="0" w:lastColumn="0" w:oddVBand="0" w:evenVBand="0" w:oddHBand="0" w:evenHBand="0" w:firstRowFirstColumn="0" w:firstRowLastColumn="0" w:lastRowFirstColumn="0" w:lastRowLastColumn="0"/>
          <w:trHeight w:val="142"/>
          <w:tblHeader/>
        </w:trPr>
        <w:tc>
          <w:tcPr>
            <w:tcW w:w="1818" w:type="pct"/>
            <w:noWrap/>
            <w:hideMark/>
          </w:tcPr>
          <w:p w:rsidR="00485D6F" w:rsidRPr="008A3E7C" w:rsidRDefault="00485D6F" w:rsidP="00061996">
            <w:pPr>
              <w:pStyle w:val="Tableheader"/>
              <w:rPr>
                <w:rFonts w:ascii="Arial Narrow" w:hAnsi="Arial Narrow"/>
                <w:sz w:val="20"/>
                <w:szCs w:val="20"/>
              </w:rPr>
            </w:pPr>
            <w:r w:rsidRPr="008A3E7C">
              <w:rPr>
                <w:rFonts w:ascii="Arial Narrow" w:hAnsi="Arial Narrow"/>
                <w:sz w:val="20"/>
                <w:szCs w:val="20"/>
              </w:rPr>
              <w:t>Description</w:t>
            </w:r>
          </w:p>
        </w:tc>
        <w:tc>
          <w:tcPr>
            <w:tcW w:w="637" w:type="pct"/>
            <w:noWrap/>
            <w:hideMark/>
          </w:tcPr>
          <w:p w:rsidR="00485D6F" w:rsidRPr="008A3E7C" w:rsidRDefault="00485D6F" w:rsidP="008A3E7C">
            <w:pPr>
              <w:pStyle w:val="Tableheader"/>
              <w:jc w:val="center"/>
              <w:rPr>
                <w:rFonts w:ascii="Arial Narrow" w:hAnsi="Arial Narrow"/>
                <w:sz w:val="20"/>
                <w:szCs w:val="20"/>
              </w:rPr>
            </w:pPr>
            <w:r w:rsidRPr="008A3E7C">
              <w:rPr>
                <w:rFonts w:ascii="Arial Narrow" w:hAnsi="Arial Narrow"/>
                <w:sz w:val="20"/>
                <w:szCs w:val="20"/>
              </w:rPr>
              <w:t>2016</w:t>
            </w:r>
          </w:p>
        </w:tc>
        <w:tc>
          <w:tcPr>
            <w:tcW w:w="637" w:type="pct"/>
            <w:noWrap/>
            <w:hideMark/>
          </w:tcPr>
          <w:p w:rsidR="00485D6F" w:rsidRPr="008A3E7C" w:rsidRDefault="00485D6F" w:rsidP="008A3E7C">
            <w:pPr>
              <w:pStyle w:val="Tableheader"/>
              <w:jc w:val="center"/>
              <w:rPr>
                <w:rFonts w:ascii="Arial Narrow" w:hAnsi="Arial Narrow"/>
                <w:sz w:val="20"/>
                <w:szCs w:val="20"/>
              </w:rPr>
            </w:pPr>
            <w:r w:rsidRPr="008A3E7C">
              <w:rPr>
                <w:rFonts w:ascii="Arial Narrow" w:hAnsi="Arial Narrow"/>
                <w:sz w:val="20"/>
                <w:szCs w:val="20"/>
              </w:rPr>
              <w:t>2017</w:t>
            </w:r>
          </w:p>
        </w:tc>
        <w:tc>
          <w:tcPr>
            <w:tcW w:w="637" w:type="pct"/>
            <w:noWrap/>
            <w:hideMark/>
          </w:tcPr>
          <w:p w:rsidR="00485D6F" w:rsidRPr="008A3E7C" w:rsidRDefault="00485D6F" w:rsidP="008A3E7C">
            <w:pPr>
              <w:pStyle w:val="Tableheader"/>
              <w:jc w:val="center"/>
              <w:rPr>
                <w:rFonts w:ascii="Arial Narrow" w:hAnsi="Arial Narrow"/>
                <w:sz w:val="20"/>
                <w:szCs w:val="20"/>
              </w:rPr>
            </w:pPr>
            <w:r w:rsidRPr="008A3E7C">
              <w:rPr>
                <w:rFonts w:ascii="Arial Narrow" w:hAnsi="Arial Narrow"/>
                <w:sz w:val="20"/>
                <w:szCs w:val="20"/>
              </w:rPr>
              <w:t>2018</w:t>
            </w:r>
          </w:p>
        </w:tc>
        <w:tc>
          <w:tcPr>
            <w:tcW w:w="637" w:type="pct"/>
            <w:noWrap/>
            <w:hideMark/>
          </w:tcPr>
          <w:p w:rsidR="00485D6F" w:rsidRPr="008A3E7C" w:rsidRDefault="00485D6F" w:rsidP="008A3E7C">
            <w:pPr>
              <w:pStyle w:val="Tableheader"/>
              <w:jc w:val="center"/>
              <w:rPr>
                <w:rFonts w:ascii="Arial Narrow" w:hAnsi="Arial Narrow"/>
                <w:sz w:val="20"/>
                <w:szCs w:val="20"/>
              </w:rPr>
            </w:pPr>
            <w:r w:rsidRPr="008A3E7C">
              <w:rPr>
                <w:rFonts w:ascii="Arial Narrow" w:hAnsi="Arial Narrow"/>
                <w:sz w:val="20"/>
                <w:szCs w:val="20"/>
              </w:rPr>
              <w:t>2019</w:t>
            </w:r>
          </w:p>
        </w:tc>
        <w:tc>
          <w:tcPr>
            <w:tcW w:w="634" w:type="pct"/>
            <w:noWrap/>
            <w:hideMark/>
          </w:tcPr>
          <w:p w:rsidR="00485D6F" w:rsidRPr="008A3E7C" w:rsidRDefault="00485D6F" w:rsidP="008A3E7C">
            <w:pPr>
              <w:pStyle w:val="Tableheader"/>
              <w:jc w:val="center"/>
              <w:rPr>
                <w:rFonts w:ascii="Arial Narrow" w:hAnsi="Arial Narrow"/>
                <w:sz w:val="20"/>
                <w:szCs w:val="20"/>
              </w:rPr>
            </w:pPr>
            <w:r w:rsidRPr="008A3E7C">
              <w:rPr>
                <w:rFonts w:ascii="Arial Narrow" w:hAnsi="Arial Narrow"/>
                <w:sz w:val="20"/>
                <w:szCs w:val="20"/>
              </w:rPr>
              <w:t>2020</w:t>
            </w:r>
          </w:p>
        </w:tc>
      </w:tr>
      <w:tr w:rsidR="00485D6F" w:rsidRPr="00DC2472" w:rsidTr="008A3E7C">
        <w:trPr>
          <w:trHeight w:val="70"/>
        </w:trPr>
        <w:tc>
          <w:tcPr>
            <w:tcW w:w="1818" w:type="pct"/>
            <w:noWrap/>
            <w:hideMark/>
          </w:tcPr>
          <w:p w:rsidR="00485D6F" w:rsidRPr="00DC2472" w:rsidRDefault="00485D6F" w:rsidP="008A3E7C">
            <w:pPr>
              <w:pStyle w:val="Tabletext"/>
              <w:spacing w:before="0" w:after="0"/>
            </w:pPr>
            <w:r w:rsidRPr="00DC2472">
              <w:t>Number of patients treated with LAB-IHMS</w:t>
            </w:r>
          </w:p>
        </w:tc>
        <w:tc>
          <w:tcPr>
            <w:tcW w:w="637" w:type="pct"/>
            <w:noWrap/>
            <w:hideMark/>
          </w:tcPr>
          <w:p w:rsidR="00485D6F" w:rsidRPr="00DC2472" w:rsidRDefault="00485D6F" w:rsidP="004B4966">
            <w:pPr>
              <w:pStyle w:val="Tabletext"/>
              <w:keepNext/>
              <w:keepLines/>
              <w:spacing w:before="0" w:after="0"/>
              <w:jc w:val="center"/>
            </w:pPr>
            <w:r>
              <w:t>48</w:t>
            </w:r>
          </w:p>
        </w:tc>
        <w:tc>
          <w:tcPr>
            <w:tcW w:w="637" w:type="pct"/>
            <w:noWrap/>
            <w:hideMark/>
          </w:tcPr>
          <w:p w:rsidR="00485D6F" w:rsidRPr="00DC2472" w:rsidRDefault="00485D6F" w:rsidP="004B4966">
            <w:pPr>
              <w:pStyle w:val="Tabletext"/>
              <w:keepNext/>
              <w:keepLines/>
              <w:spacing w:before="0" w:after="0"/>
              <w:jc w:val="center"/>
            </w:pPr>
            <w:r>
              <w:t>168</w:t>
            </w:r>
          </w:p>
        </w:tc>
        <w:tc>
          <w:tcPr>
            <w:tcW w:w="637" w:type="pct"/>
            <w:noWrap/>
            <w:hideMark/>
          </w:tcPr>
          <w:p w:rsidR="00485D6F" w:rsidRPr="00DC2472" w:rsidRDefault="00485D6F" w:rsidP="004B4966">
            <w:pPr>
              <w:pStyle w:val="Tabletext"/>
              <w:keepNext/>
              <w:keepLines/>
              <w:spacing w:before="0" w:after="0"/>
              <w:jc w:val="center"/>
            </w:pPr>
            <w:r>
              <w:t>384</w:t>
            </w:r>
          </w:p>
        </w:tc>
        <w:tc>
          <w:tcPr>
            <w:tcW w:w="637" w:type="pct"/>
            <w:noWrap/>
            <w:hideMark/>
          </w:tcPr>
          <w:p w:rsidR="00485D6F" w:rsidRPr="00DC2472" w:rsidRDefault="00485D6F" w:rsidP="004B4966">
            <w:pPr>
              <w:pStyle w:val="Tabletext"/>
              <w:keepNext/>
              <w:keepLines/>
              <w:spacing w:before="0" w:after="0"/>
              <w:jc w:val="center"/>
            </w:pPr>
            <w:r>
              <w:t>672</w:t>
            </w:r>
          </w:p>
        </w:tc>
        <w:tc>
          <w:tcPr>
            <w:tcW w:w="634" w:type="pct"/>
            <w:noWrap/>
            <w:hideMark/>
          </w:tcPr>
          <w:p w:rsidR="00485D6F" w:rsidRPr="00DC2472" w:rsidRDefault="00485D6F" w:rsidP="004B4966">
            <w:pPr>
              <w:pStyle w:val="Tabletext"/>
              <w:keepNext/>
              <w:keepLines/>
              <w:spacing w:before="0" w:after="0"/>
              <w:jc w:val="center"/>
            </w:pPr>
            <w:r>
              <w:t>960</w:t>
            </w:r>
          </w:p>
        </w:tc>
      </w:tr>
      <w:tr w:rsidR="00485D6F" w:rsidRPr="00DC2472" w:rsidTr="008A3E7C">
        <w:trPr>
          <w:trHeight w:val="70"/>
        </w:trPr>
        <w:tc>
          <w:tcPr>
            <w:tcW w:w="1818" w:type="pct"/>
            <w:noWrap/>
            <w:vAlign w:val="bottom"/>
          </w:tcPr>
          <w:p w:rsidR="00485D6F" w:rsidRPr="00CA6C18" w:rsidRDefault="00485D6F" w:rsidP="008A3E7C">
            <w:pPr>
              <w:pStyle w:val="Tabletext"/>
              <w:spacing w:before="0" w:after="0"/>
            </w:pPr>
            <w:r w:rsidRPr="00CA6C18">
              <w:t>Medical ser</w:t>
            </w:r>
            <w:r>
              <w:t>vi</w:t>
            </w:r>
            <w:r w:rsidRPr="00CA6C18">
              <w:t>ces cost</w:t>
            </w:r>
          </w:p>
        </w:tc>
        <w:tc>
          <w:tcPr>
            <w:tcW w:w="637" w:type="pct"/>
            <w:noWrap/>
            <w:vAlign w:val="bottom"/>
          </w:tcPr>
          <w:p w:rsidR="00485D6F" w:rsidRPr="001D2014" w:rsidRDefault="00485D6F" w:rsidP="004B4966">
            <w:pPr>
              <w:pStyle w:val="Tabletext"/>
              <w:keepNext/>
              <w:keepLines/>
              <w:spacing w:before="0" w:after="0"/>
              <w:jc w:val="center"/>
            </w:pPr>
            <w:r w:rsidRPr="001D2014">
              <w:t>$38,972</w:t>
            </w:r>
          </w:p>
        </w:tc>
        <w:tc>
          <w:tcPr>
            <w:tcW w:w="637" w:type="pct"/>
            <w:noWrap/>
            <w:vAlign w:val="bottom"/>
          </w:tcPr>
          <w:p w:rsidR="00485D6F" w:rsidRPr="001D2014" w:rsidRDefault="00485D6F" w:rsidP="004B4966">
            <w:pPr>
              <w:pStyle w:val="Tabletext"/>
              <w:keepNext/>
              <w:keepLines/>
              <w:spacing w:before="0" w:after="0"/>
              <w:jc w:val="center"/>
            </w:pPr>
            <w:r w:rsidRPr="001D2014">
              <w:t>$136,403</w:t>
            </w:r>
          </w:p>
        </w:tc>
        <w:tc>
          <w:tcPr>
            <w:tcW w:w="637" w:type="pct"/>
            <w:noWrap/>
            <w:vAlign w:val="bottom"/>
          </w:tcPr>
          <w:p w:rsidR="00485D6F" w:rsidRPr="001D2014" w:rsidRDefault="00485D6F" w:rsidP="004B4966">
            <w:pPr>
              <w:pStyle w:val="Tabletext"/>
              <w:keepNext/>
              <w:keepLines/>
              <w:spacing w:before="0" w:after="0"/>
              <w:jc w:val="center"/>
            </w:pPr>
            <w:r w:rsidRPr="001D2014">
              <w:t>$311,777</w:t>
            </w:r>
          </w:p>
        </w:tc>
        <w:tc>
          <w:tcPr>
            <w:tcW w:w="637" w:type="pct"/>
            <w:noWrap/>
            <w:vAlign w:val="bottom"/>
          </w:tcPr>
          <w:p w:rsidR="00485D6F" w:rsidRPr="001D2014" w:rsidRDefault="00485D6F" w:rsidP="004B4966">
            <w:pPr>
              <w:pStyle w:val="Tabletext"/>
              <w:keepNext/>
              <w:keepLines/>
              <w:spacing w:before="0" w:after="0"/>
              <w:jc w:val="center"/>
            </w:pPr>
            <w:r w:rsidRPr="001D2014">
              <w:t>$545,610</w:t>
            </w:r>
          </w:p>
        </w:tc>
        <w:tc>
          <w:tcPr>
            <w:tcW w:w="634" w:type="pct"/>
            <w:noWrap/>
            <w:vAlign w:val="bottom"/>
          </w:tcPr>
          <w:p w:rsidR="00485D6F" w:rsidRPr="001D2014" w:rsidRDefault="00485D6F" w:rsidP="004B4966">
            <w:pPr>
              <w:pStyle w:val="Tabletext"/>
              <w:keepNext/>
              <w:keepLines/>
              <w:spacing w:before="0" w:after="0"/>
              <w:jc w:val="center"/>
            </w:pPr>
            <w:r w:rsidRPr="001D2014">
              <w:t>$779,443</w:t>
            </w:r>
          </w:p>
        </w:tc>
      </w:tr>
      <w:tr w:rsidR="00485D6F" w:rsidRPr="00DC2472" w:rsidTr="008A3E7C">
        <w:trPr>
          <w:trHeight w:val="70"/>
        </w:trPr>
        <w:tc>
          <w:tcPr>
            <w:tcW w:w="1818" w:type="pct"/>
            <w:noWrap/>
            <w:vAlign w:val="bottom"/>
          </w:tcPr>
          <w:p w:rsidR="00485D6F" w:rsidRPr="00CA6C18" w:rsidRDefault="00485D6F" w:rsidP="008A3E7C">
            <w:pPr>
              <w:pStyle w:val="Tabletext"/>
              <w:spacing w:before="0" w:after="0"/>
            </w:pPr>
            <w:r w:rsidRPr="00CA6C18">
              <w:t>Hospital services cost</w:t>
            </w:r>
          </w:p>
        </w:tc>
        <w:tc>
          <w:tcPr>
            <w:tcW w:w="637" w:type="pct"/>
            <w:noWrap/>
            <w:vAlign w:val="bottom"/>
          </w:tcPr>
          <w:p w:rsidR="00485D6F" w:rsidRPr="001D2014" w:rsidRDefault="00485D6F" w:rsidP="004B4966">
            <w:pPr>
              <w:pStyle w:val="Tabletext"/>
              <w:keepNext/>
              <w:keepLines/>
              <w:spacing w:before="0" w:after="0"/>
              <w:jc w:val="center"/>
            </w:pPr>
            <w:r w:rsidRPr="001D2014">
              <w:t>$406,224</w:t>
            </w:r>
          </w:p>
        </w:tc>
        <w:tc>
          <w:tcPr>
            <w:tcW w:w="637" w:type="pct"/>
            <w:noWrap/>
            <w:vAlign w:val="bottom"/>
          </w:tcPr>
          <w:p w:rsidR="00485D6F" w:rsidRPr="001D2014" w:rsidRDefault="00485D6F" w:rsidP="004B4966">
            <w:pPr>
              <w:pStyle w:val="Tabletext"/>
              <w:keepNext/>
              <w:keepLines/>
              <w:spacing w:before="0" w:after="0"/>
              <w:jc w:val="center"/>
            </w:pPr>
            <w:r w:rsidRPr="001D2014">
              <w:t>$1,421,784</w:t>
            </w:r>
          </w:p>
        </w:tc>
        <w:tc>
          <w:tcPr>
            <w:tcW w:w="637" w:type="pct"/>
            <w:noWrap/>
            <w:vAlign w:val="bottom"/>
          </w:tcPr>
          <w:p w:rsidR="00485D6F" w:rsidRPr="001D2014" w:rsidRDefault="00485D6F" w:rsidP="004B4966">
            <w:pPr>
              <w:pStyle w:val="Tabletext"/>
              <w:keepNext/>
              <w:keepLines/>
              <w:spacing w:before="0" w:after="0"/>
              <w:jc w:val="center"/>
            </w:pPr>
            <w:r w:rsidRPr="001D2014">
              <w:t>$3,249,792</w:t>
            </w:r>
          </w:p>
        </w:tc>
        <w:tc>
          <w:tcPr>
            <w:tcW w:w="637" w:type="pct"/>
            <w:noWrap/>
            <w:vAlign w:val="bottom"/>
          </w:tcPr>
          <w:p w:rsidR="00485D6F" w:rsidRPr="001D2014" w:rsidRDefault="00485D6F" w:rsidP="004B4966">
            <w:pPr>
              <w:pStyle w:val="Tabletext"/>
              <w:keepNext/>
              <w:keepLines/>
              <w:spacing w:before="0" w:after="0"/>
              <w:jc w:val="center"/>
            </w:pPr>
            <w:r w:rsidRPr="001D2014">
              <w:t>$5,687,136</w:t>
            </w:r>
          </w:p>
        </w:tc>
        <w:tc>
          <w:tcPr>
            <w:tcW w:w="634" w:type="pct"/>
            <w:noWrap/>
            <w:vAlign w:val="bottom"/>
          </w:tcPr>
          <w:p w:rsidR="00485D6F" w:rsidRPr="001D2014" w:rsidRDefault="00485D6F" w:rsidP="004B4966">
            <w:pPr>
              <w:pStyle w:val="Tabletext"/>
              <w:keepNext/>
              <w:keepLines/>
              <w:spacing w:before="0" w:after="0"/>
              <w:jc w:val="center"/>
            </w:pPr>
            <w:r w:rsidRPr="001D2014">
              <w:t>$8,124,480</w:t>
            </w:r>
          </w:p>
        </w:tc>
      </w:tr>
      <w:tr w:rsidR="00485D6F" w:rsidRPr="00DC2472" w:rsidTr="008A3E7C">
        <w:trPr>
          <w:trHeight w:val="114"/>
        </w:trPr>
        <w:tc>
          <w:tcPr>
            <w:tcW w:w="1818" w:type="pct"/>
            <w:noWrap/>
            <w:vAlign w:val="bottom"/>
          </w:tcPr>
          <w:p w:rsidR="00485D6F" w:rsidRPr="00CA6C18" w:rsidRDefault="00485D6F" w:rsidP="004B4966">
            <w:pPr>
              <w:pStyle w:val="Tabletext"/>
              <w:spacing w:before="0" w:after="0"/>
            </w:pPr>
            <w:r w:rsidRPr="00CA6C18">
              <w:t>System components cost</w:t>
            </w:r>
          </w:p>
        </w:tc>
        <w:tc>
          <w:tcPr>
            <w:tcW w:w="637" w:type="pct"/>
            <w:noWrap/>
            <w:vAlign w:val="bottom"/>
          </w:tcPr>
          <w:p w:rsidR="00485D6F" w:rsidRPr="001D2014" w:rsidRDefault="00485D6F" w:rsidP="004B4966">
            <w:pPr>
              <w:pStyle w:val="Tabletext"/>
              <w:spacing w:before="0" w:after="0"/>
              <w:jc w:val="center"/>
            </w:pPr>
            <w:r w:rsidRPr="001D2014">
              <w:t>$960,000</w:t>
            </w:r>
          </w:p>
        </w:tc>
        <w:tc>
          <w:tcPr>
            <w:tcW w:w="637" w:type="pct"/>
            <w:noWrap/>
            <w:vAlign w:val="bottom"/>
          </w:tcPr>
          <w:p w:rsidR="00485D6F" w:rsidRPr="001D2014" w:rsidRDefault="00485D6F" w:rsidP="004B4966">
            <w:pPr>
              <w:pStyle w:val="Tabletext"/>
              <w:spacing w:before="0" w:after="0"/>
              <w:jc w:val="center"/>
            </w:pPr>
            <w:r w:rsidRPr="001D2014">
              <w:t>$3,360,000</w:t>
            </w:r>
          </w:p>
        </w:tc>
        <w:tc>
          <w:tcPr>
            <w:tcW w:w="637" w:type="pct"/>
            <w:noWrap/>
            <w:vAlign w:val="bottom"/>
          </w:tcPr>
          <w:p w:rsidR="00485D6F" w:rsidRPr="001D2014" w:rsidRDefault="00485D6F" w:rsidP="004B4966">
            <w:pPr>
              <w:pStyle w:val="Tabletext"/>
              <w:spacing w:before="0" w:after="0"/>
              <w:jc w:val="center"/>
            </w:pPr>
            <w:r w:rsidRPr="001D2014">
              <w:t>$7,680,000</w:t>
            </w:r>
          </w:p>
        </w:tc>
        <w:tc>
          <w:tcPr>
            <w:tcW w:w="637" w:type="pct"/>
            <w:noWrap/>
            <w:vAlign w:val="bottom"/>
          </w:tcPr>
          <w:p w:rsidR="00485D6F" w:rsidRPr="001D2014" w:rsidRDefault="00485D6F" w:rsidP="004B4966">
            <w:pPr>
              <w:pStyle w:val="Tabletext"/>
              <w:spacing w:before="0" w:after="0"/>
              <w:jc w:val="center"/>
            </w:pPr>
            <w:r w:rsidRPr="001D2014">
              <w:t>$13,440,000</w:t>
            </w:r>
          </w:p>
        </w:tc>
        <w:tc>
          <w:tcPr>
            <w:tcW w:w="634" w:type="pct"/>
            <w:noWrap/>
            <w:vAlign w:val="bottom"/>
          </w:tcPr>
          <w:p w:rsidR="00485D6F" w:rsidRPr="001D2014" w:rsidRDefault="00485D6F" w:rsidP="004B4966">
            <w:pPr>
              <w:pStyle w:val="Tabletext"/>
              <w:spacing w:before="0" w:after="0"/>
              <w:jc w:val="center"/>
            </w:pPr>
            <w:r w:rsidRPr="001D2014">
              <w:t>$19,200,000</w:t>
            </w:r>
          </w:p>
        </w:tc>
      </w:tr>
      <w:tr w:rsidR="00485D6F" w:rsidRPr="00DC2472" w:rsidTr="008A3E7C">
        <w:trPr>
          <w:trHeight w:val="70"/>
        </w:trPr>
        <w:tc>
          <w:tcPr>
            <w:tcW w:w="1818" w:type="pct"/>
            <w:noWrap/>
          </w:tcPr>
          <w:p w:rsidR="00485D6F" w:rsidRPr="00E73E1D" w:rsidRDefault="00485D6F" w:rsidP="004B4966">
            <w:pPr>
              <w:pStyle w:val="Tabletext"/>
              <w:spacing w:before="0" w:after="0"/>
            </w:pPr>
            <w:r w:rsidRPr="00E73E1D">
              <w:t>Net healthcare costs</w:t>
            </w:r>
          </w:p>
        </w:tc>
        <w:tc>
          <w:tcPr>
            <w:tcW w:w="637" w:type="pct"/>
            <w:noWrap/>
            <w:vAlign w:val="bottom"/>
          </w:tcPr>
          <w:p w:rsidR="00485D6F" w:rsidRPr="001D2014" w:rsidRDefault="00485D6F" w:rsidP="004B4966">
            <w:pPr>
              <w:pStyle w:val="Tabletext"/>
              <w:spacing w:before="0" w:after="0"/>
              <w:jc w:val="center"/>
            </w:pPr>
            <w:r w:rsidRPr="001D2014">
              <w:t>$1,405,196</w:t>
            </w:r>
          </w:p>
        </w:tc>
        <w:tc>
          <w:tcPr>
            <w:tcW w:w="637" w:type="pct"/>
            <w:noWrap/>
            <w:vAlign w:val="bottom"/>
          </w:tcPr>
          <w:p w:rsidR="00485D6F" w:rsidRPr="001D2014" w:rsidRDefault="00485D6F" w:rsidP="004B4966">
            <w:pPr>
              <w:pStyle w:val="Tabletext"/>
              <w:spacing w:before="0" w:after="0"/>
              <w:jc w:val="center"/>
            </w:pPr>
            <w:r w:rsidRPr="001D2014">
              <w:t>$4,918,187</w:t>
            </w:r>
          </w:p>
        </w:tc>
        <w:tc>
          <w:tcPr>
            <w:tcW w:w="637" w:type="pct"/>
            <w:noWrap/>
            <w:vAlign w:val="bottom"/>
          </w:tcPr>
          <w:p w:rsidR="00485D6F" w:rsidRPr="001D2014" w:rsidRDefault="00485D6F" w:rsidP="004B4966">
            <w:pPr>
              <w:pStyle w:val="Tabletext"/>
              <w:spacing w:before="0" w:after="0"/>
              <w:jc w:val="center"/>
            </w:pPr>
            <w:r w:rsidRPr="001D2014">
              <w:t>$11,241,569</w:t>
            </w:r>
          </w:p>
        </w:tc>
        <w:tc>
          <w:tcPr>
            <w:tcW w:w="637" w:type="pct"/>
            <w:noWrap/>
            <w:vAlign w:val="bottom"/>
          </w:tcPr>
          <w:p w:rsidR="00485D6F" w:rsidRPr="001D2014" w:rsidRDefault="00485D6F" w:rsidP="004B4966">
            <w:pPr>
              <w:pStyle w:val="Tabletext"/>
              <w:spacing w:before="0" w:after="0"/>
              <w:jc w:val="center"/>
            </w:pPr>
            <w:r w:rsidRPr="001D2014">
              <w:t>$19,672,746</w:t>
            </w:r>
          </w:p>
        </w:tc>
        <w:tc>
          <w:tcPr>
            <w:tcW w:w="634" w:type="pct"/>
            <w:noWrap/>
            <w:vAlign w:val="bottom"/>
          </w:tcPr>
          <w:p w:rsidR="00485D6F" w:rsidRPr="001D2014" w:rsidRDefault="00485D6F" w:rsidP="004B4966">
            <w:pPr>
              <w:pStyle w:val="Tabletext"/>
              <w:spacing w:before="0" w:after="0"/>
              <w:jc w:val="center"/>
            </w:pPr>
            <w:r w:rsidRPr="001D2014">
              <w:t>$28,103,923</w:t>
            </w:r>
          </w:p>
        </w:tc>
      </w:tr>
      <w:tr w:rsidR="00485D6F" w:rsidRPr="00DC2472" w:rsidTr="004B4966">
        <w:trPr>
          <w:trHeight w:val="300"/>
        </w:trPr>
        <w:tc>
          <w:tcPr>
            <w:tcW w:w="1818" w:type="pct"/>
            <w:noWrap/>
          </w:tcPr>
          <w:p w:rsidR="00485D6F" w:rsidRDefault="00485D6F" w:rsidP="004B4966">
            <w:pPr>
              <w:pStyle w:val="Tabletext"/>
              <w:spacing w:before="0" w:after="0"/>
            </w:pPr>
            <w:r>
              <w:t>Net offsets from HF-related hospitalisations avoided</w:t>
            </w:r>
          </w:p>
        </w:tc>
        <w:tc>
          <w:tcPr>
            <w:tcW w:w="637" w:type="pct"/>
            <w:noWrap/>
            <w:vAlign w:val="bottom"/>
          </w:tcPr>
          <w:p w:rsidR="00485D6F" w:rsidRPr="001D2014" w:rsidRDefault="00485D6F" w:rsidP="004B4966">
            <w:pPr>
              <w:pStyle w:val="Tabletext"/>
              <w:spacing w:before="0" w:after="0"/>
              <w:jc w:val="center"/>
            </w:pPr>
            <w:r w:rsidRPr="001D2014">
              <w:t>$92,061</w:t>
            </w:r>
          </w:p>
        </w:tc>
        <w:tc>
          <w:tcPr>
            <w:tcW w:w="637" w:type="pct"/>
            <w:noWrap/>
            <w:vAlign w:val="bottom"/>
          </w:tcPr>
          <w:p w:rsidR="00485D6F" w:rsidRPr="001D2014" w:rsidRDefault="00485D6F" w:rsidP="004B4966">
            <w:pPr>
              <w:pStyle w:val="Tabletext"/>
              <w:spacing w:before="0" w:after="0"/>
              <w:jc w:val="center"/>
            </w:pPr>
            <w:r w:rsidRPr="001D2014">
              <w:t>$230,153</w:t>
            </w:r>
          </w:p>
        </w:tc>
        <w:tc>
          <w:tcPr>
            <w:tcW w:w="637" w:type="pct"/>
            <w:noWrap/>
            <w:vAlign w:val="bottom"/>
          </w:tcPr>
          <w:p w:rsidR="00485D6F" w:rsidRPr="001D2014" w:rsidRDefault="00485D6F" w:rsidP="004B4966">
            <w:pPr>
              <w:pStyle w:val="Tabletext"/>
              <w:spacing w:before="0" w:after="0"/>
              <w:jc w:val="center"/>
            </w:pPr>
            <w:r w:rsidRPr="001D2014">
              <w:t>$414,276</w:t>
            </w:r>
          </w:p>
        </w:tc>
        <w:tc>
          <w:tcPr>
            <w:tcW w:w="637" w:type="pct"/>
            <w:noWrap/>
            <w:vAlign w:val="bottom"/>
          </w:tcPr>
          <w:p w:rsidR="00485D6F" w:rsidRPr="001D2014" w:rsidRDefault="00485D6F" w:rsidP="004B4966">
            <w:pPr>
              <w:pStyle w:val="Tabletext"/>
              <w:spacing w:before="0" w:after="0"/>
              <w:jc w:val="center"/>
            </w:pPr>
            <w:r w:rsidRPr="001D2014">
              <w:t>$552,368</w:t>
            </w:r>
          </w:p>
        </w:tc>
        <w:tc>
          <w:tcPr>
            <w:tcW w:w="634" w:type="pct"/>
            <w:noWrap/>
            <w:vAlign w:val="bottom"/>
          </w:tcPr>
          <w:p w:rsidR="00485D6F" w:rsidRPr="001D2014" w:rsidRDefault="00485D6F" w:rsidP="004B4966">
            <w:pPr>
              <w:pStyle w:val="Tabletext"/>
              <w:spacing w:before="0" w:after="0"/>
              <w:jc w:val="center"/>
            </w:pPr>
            <w:r w:rsidRPr="001D2014">
              <w:t>$552,368</w:t>
            </w:r>
          </w:p>
        </w:tc>
      </w:tr>
      <w:tr w:rsidR="00485D6F" w:rsidRPr="00E31D60" w:rsidTr="008A3E7C">
        <w:trPr>
          <w:trHeight w:val="155"/>
        </w:trPr>
        <w:tc>
          <w:tcPr>
            <w:tcW w:w="1818" w:type="pct"/>
            <w:noWrap/>
          </w:tcPr>
          <w:p w:rsidR="00485D6F" w:rsidRPr="00E73E1D" w:rsidRDefault="00485D6F" w:rsidP="004B4966">
            <w:pPr>
              <w:pStyle w:val="Tabletext"/>
              <w:spacing w:before="0" w:after="0"/>
            </w:pPr>
            <w:r w:rsidRPr="00E73E1D">
              <w:t>Net healthcare costs with cost offsets</w:t>
            </w:r>
          </w:p>
        </w:tc>
        <w:tc>
          <w:tcPr>
            <w:tcW w:w="637" w:type="pct"/>
            <w:noWrap/>
            <w:vAlign w:val="bottom"/>
          </w:tcPr>
          <w:p w:rsidR="00485D6F" w:rsidRPr="001D2014" w:rsidRDefault="00485D6F" w:rsidP="004B4966">
            <w:pPr>
              <w:pStyle w:val="Tabletext"/>
              <w:spacing w:before="0" w:after="0"/>
              <w:jc w:val="center"/>
            </w:pPr>
            <w:r w:rsidRPr="001D2014">
              <w:t>$1,313,135</w:t>
            </w:r>
          </w:p>
        </w:tc>
        <w:tc>
          <w:tcPr>
            <w:tcW w:w="637" w:type="pct"/>
            <w:noWrap/>
            <w:vAlign w:val="bottom"/>
          </w:tcPr>
          <w:p w:rsidR="00485D6F" w:rsidRPr="001D2014" w:rsidRDefault="00485D6F" w:rsidP="004B4966">
            <w:pPr>
              <w:pStyle w:val="Tabletext"/>
              <w:spacing w:before="0" w:after="0"/>
              <w:jc w:val="center"/>
            </w:pPr>
            <w:r w:rsidRPr="001D2014">
              <w:t>$4,688,033</w:t>
            </w:r>
          </w:p>
        </w:tc>
        <w:tc>
          <w:tcPr>
            <w:tcW w:w="637" w:type="pct"/>
            <w:noWrap/>
            <w:vAlign w:val="bottom"/>
          </w:tcPr>
          <w:p w:rsidR="00485D6F" w:rsidRPr="001D2014" w:rsidRDefault="00485D6F" w:rsidP="004B4966">
            <w:pPr>
              <w:pStyle w:val="Tabletext"/>
              <w:spacing w:before="0" w:after="0"/>
              <w:jc w:val="center"/>
            </w:pPr>
            <w:r w:rsidRPr="001D2014">
              <w:t>$10,827,293</w:t>
            </w:r>
          </w:p>
        </w:tc>
        <w:tc>
          <w:tcPr>
            <w:tcW w:w="637" w:type="pct"/>
            <w:noWrap/>
            <w:vAlign w:val="bottom"/>
          </w:tcPr>
          <w:p w:rsidR="00485D6F" w:rsidRPr="001D2014" w:rsidRDefault="00485D6F" w:rsidP="004B4966">
            <w:pPr>
              <w:pStyle w:val="Tabletext"/>
              <w:spacing w:before="0" w:after="0"/>
              <w:jc w:val="center"/>
            </w:pPr>
            <w:r w:rsidRPr="001D2014">
              <w:t>$19,120,378</w:t>
            </w:r>
          </w:p>
        </w:tc>
        <w:tc>
          <w:tcPr>
            <w:tcW w:w="634" w:type="pct"/>
            <w:noWrap/>
            <w:vAlign w:val="bottom"/>
          </w:tcPr>
          <w:p w:rsidR="00485D6F" w:rsidRPr="001D2014" w:rsidRDefault="00485D6F" w:rsidP="004B4966">
            <w:pPr>
              <w:pStyle w:val="Tabletext"/>
              <w:spacing w:before="0" w:after="0"/>
              <w:jc w:val="center"/>
            </w:pPr>
            <w:r w:rsidRPr="001D2014">
              <w:t>$27,551,555</w:t>
            </w:r>
          </w:p>
        </w:tc>
      </w:tr>
    </w:tbl>
    <w:p w:rsidR="008A3E7C" w:rsidRDefault="008A3E7C" w:rsidP="00485D6F"/>
    <w:p w:rsidR="00485D6F" w:rsidRDefault="00485D6F" w:rsidP="00485D6F">
      <w:r w:rsidRPr="00FF1CF7">
        <w:t xml:space="preserve">The </w:t>
      </w:r>
      <w:r w:rsidR="004B4966">
        <w:t>application</w:t>
      </w:r>
      <w:r w:rsidRPr="00FF1CF7">
        <w:t xml:space="preserve"> estimated that 2,232 patients </w:t>
      </w:r>
      <w:r>
        <w:t>would</w:t>
      </w:r>
      <w:r w:rsidRPr="00FF1CF7">
        <w:t xml:space="preserve"> receive the sensor in the first five years </w:t>
      </w:r>
      <w:r>
        <w:t>of</w:t>
      </w:r>
      <w:r w:rsidRPr="00FF1CF7">
        <w:t xml:space="preserve"> listing on the MBS</w:t>
      </w:r>
      <w:r>
        <w:t xml:space="preserve"> based on</w:t>
      </w:r>
      <w:r w:rsidRPr="00FF1CF7">
        <w:t xml:space="preserve"> the estimated number of sites that c</w:t>
      </w:r>
      <w:r>
        <w:t>ould</w:t>
      </w:r>
      <w:r w:rsidRPr="00FF1CF7">
        <w:t xml:space="preserve"> perform the surgery and the number of implants per month at each site. </w:t>
      </w:r>
      <w:r>
        <w:t xml:space="preserve">The independent critique considered that there was insufficient information or justification to determine whether these assumptions were reasonable. </w:t>
      </w:r>
      <w:r w:rsidRPr="00FF1CF7">
        <w:t xml:space="preserve">Table </w:t>
      </w:r>
      <w:r>
        <w:t xml:space="preserve">9 </w:t>
      </w:r>
      <w:r w:rsidRPr="00FF1CF7">
        <w:t xml:space="preserve">provides the estimated number of services </w:t>
      </w:r>
      <w:r>
        <w:t xml:space="preserve">per year </w:t>
      </w:r>
      <w:r w:rsidRPr="00FF1CF7">
        <w:t xml:space="preserve">and net costs to MBS provided in the </w:t>
      </w:r>
      <w:r w:rsidR="004B4966">
        <w:t>application</w:t>
      </w:r>
      <w:r>
        <w:t>.</w:t>
      </w:r>
    </w:p>
    <w:p w:rsidR="008A3E7C" w:rsidRPr="00FD23C0" w:rsidRDefault="008A3E7C" w:rsidP="00485D6F">
      <w:pPr>
        <w:rPr>
          <w:i/>
        </w:rPr>
      </w:pPr>
    </w:p>
    <w:p w:rsidR="00485D6F" w:rsidRDefault="00485D6F" w:rsidP="008A3E7C">
      <w:pPr>
        <w:pStyle w:val="Caption"/>
        <w:spacing w:before="0" w:after="0"/>
        <w:ind w:left="0" w:firstLine="0"/>
      </w:pPr>
      <w:r>
        <w:t xml:space="preserve">Table </w:t>
      </w:r>
      <w:fldSimple w:instr=" SEQ Table \* ARABIC ">
        <w:r>
          <w:rPr>
            <w:noProof/>
          </w:rPr>
          <w:t>9</w:t>
        </w:r>
      </w:fldSimple>
      <w:r w:rsidR="008A3E7C">
        <w:rPr>
          <w:noProof/>
        </w:rPr>
        <w:t>:</w:t>
      </w:r>
      <w:r>
        <w:t xml:space="preserve"> </w:t>
      </w:r>
      <w:r w:rsidRPr="00554ADC">
        <w:t>Estimated number of sensor implants provided per patient for Years 1 to 5 and the MBS costs</w:t>
      </w:r>
    </w:p>
    <w:tbl>
      <w:tblPr>
        <w:tblStyle w:val="TableGrid1"/>
        <w:tblW w:w="5000" w:type="pct"/>
        <w:tblInd w:w="51" w:type="dxa"/>
        <w:tblLook w:val="04A0" w:firstRow="1" w:lastRow="0" w:firstColumn="1" w:lastColumn="0" w:noHBand="0" w:noVBand="1"/>
        <w:tblCaption w:val="Table ES.6: Estimated number of sensor implantations provided per patient for Years 1 to 5 and the MBS costs "/>
        <w:tblDescription w:val="Table ES.6: Estimated number of sensor implantations provided per patient for Years 1 to 5 and the MBS costs "/>
      </w:tblPr>
      <w:tblGrid>
        <w:gridCol w:w="3915"/>
        <w:gridCol w:w="1032"/>
        <w:gridCol w:w="1035"/>
        <w:gridCol w:w="1034"/>
        <w:gridCol w:w="1034"/>
        <w:gridCol w:w="1032"/>
      </w:tblGrid>
      <w:tr w:rsidR="00485D6F" w:rsidRPr="008A3E7C" w:rsidTr="004B4966">
        <w:trPr>
          <w:cnfStyle w:val="100000000000" w:firstRow="1" w:lastRow="0" w:firstColumn="0" w:lastColumn="0" w:oddVBand="0" w:evenVBand="0" w:oddHBand="0" w:evenHBand="0" w:firstRowFirstColumn="0" w:firstRowLastColumn="0" w:lastRowFirstColumn="0" w:lastRowLastColumn="0"/>
          <w:tblHeader/>
        </w:trPr>
        <w:tc>
          <w:tcPr>
            <w:tcW w:w="2156" w:type="pct"/>
            <w:tcMar>
              <w:left w:w="28" w:type="dxa"/>
              <w:right w:w="28" w:type="dxa"/>
            </w:tcMar>
            <w:vAlign w:val="center"/>
          </w:tcPr>
          <w:p w:rsidR="00485D6F" w:rsidRPr="008A3E7C" w:rsidRDefault="00485D6F" w:rsidP="004B4966">
            <w:pPr>
              <w:pStyle w:val="Tabletextbold"/>
            </w:pPr>
          </w:p>
        </w:tc>
        <w:tc>
          <w:tcPr>
            <w:tcW w:w="568" w:type="pct"/>
            <w:tcMar>
              <w:left w:w="28" w:type="dxa"/>
              <w:right w:w="28" w:type="dxa"/>
            </w:tcMar>
            <w:vAlign w:val="center"/>
          </w:tcPr>
          <w:p w:rsidR="00485D6F" w:rsidRPr="008A3E7C" w:rsidRDefault="00485D6F" w:rsidP="004B4966">
            <w:pPr>
              <w:pStyle w:val="Tabletextbold"/>
              <w:jc w:val="right"/>
              <w:rPr>
                <w:b/>
              </w:rPr>
            </w:pPr>
            <w:r w:rsidRPr="008A3E7C">
              <w:rPr>
                <w:b/>
              </w:rPr>
              <w:t>Year 1</w:t>
            </w:r>
          </w:p>
        </w:tc>
        <w:tc>
          <w:tcPr>
            <w:tcW w:w="570" w:type="pct"/>
            <w:tcMar>
              <w:left w:w="28" w:type="dxa"/>
              <w:right w:w="28" w:type="dxa"/>
            </w:tcMar>
            <w:vAlign w:val="center"/>
          </w:tcPr>
          <w:p w:rsidR="00485D6F" w:rsidRPr="008A3E7C" w:rsidRDefault="00485D6F" w:rsidP="004B4966">
            <w:pPr>
              <w:pStyle w:val="Tabletextbold"/>
              <w:jc w:val="right"/>
              <w:rPr>
                <w:b/>
              </w:rPr>
            </w:pPr>
            <w:r w:rsidRPr="008A3E7C">
              <w:rPr>
                <w:b/>
              </w:rPr>
              <w:t>Year 2</w:t>
            </w:r>
          </w:p>
        </w:tc>
        <w:tc>
          <w:tcPr>
            <w:tcW w:w="569" w:type="pct"/>
            <w:tcMar>
              <w:left w:w="28" w:type="dxa"/>
              <w:right w:w="28" w:type="dxa"/>
            </w:tcMar>
            <w:vAlign w:val="center"/>
          </w:tcPr>
          <w:p w:rsidR="00485D6F" w:rsidRPr="008A3E7C" w:rsidRDefault="00485D6F" w:rsidP="004B4966">
            <w:pPr>
              <w:pStyle w:val="Tabletextbold"/>
              <w:jc w:val="right"/>
              <w:rPr>
                <w:b/>
              </w:rPr>
            </w:pPr>
            <w:r w:rsidRPr="008A3E7C">
              <w:rPr>
                <w:b/>
              </w:rPr>
              <w:t>Year 3</w:t>
            </w:r>
          </w:p>
        </w:tc>
        <w:tc>
          <w:tcPr>
            <w:tcW w:w="569" w:type="pct"/>
            <w:tcMar>
              <w:left w:w="28" w:type="dxa"/>
              <w:right w:w="28" w:type="dxa"/>
            </w:tcMar>
            <w:vAlign w:val="center"/>
          </w:tcPr>
          <w:p w:rsidR="00485D6F" w:rsidRPr="008A3E7C" w:rsidRDefault="00485D6F" w:rsidP="004B4966">
            <w:pPr>
              <w:pStyle w:val="Tabletextbold"/>
              <w:jc w:val="right"/>
              <w:rPr>
                <w:b/>
              </w:rPr>
            </w:pPr>
            <w:r w:rsidRPr="008A3E7C">
              <w:rPr>
                <w:b/>
              </w:rPr>
              <w:t>Year 4</w:t>
            </w:r>
          </w:p>
        </w:tc>
        <w:tc>
          <w:tcPr>
            <w:tcW w:w="568" w:type="pct"/>
            <w:tcMar>
              <w:left w:w="28" w:type="dxa"/>
              <w:right w:w="28" w:type="dxa"/>
            </w:tcMar>
            <w:vAlign w:val="center"/>
          </w:tcPr>
          <w:p w:rsidR="00485D6F" w:rsidRPr="008A3E7C" w:rsidRDefault="00485D6F" w:rsidP="004B4966">
            <w:pPr>
              <w:pStyle w:val="Tabletextbold"/>
              <w:jc w:val="right"/>
              <w:rPr>
                <w:b/>
              </w:rPr>
            </w:pPr>
            <w:r w:rsidRPr="008A3E7C">
              <w:rPr>
                <w:b/>
              </w:rPr>
              <w:t>Year 5</w:t>
            </w:r>
          </w:p>
        </w:tc>
      </w:tr>
      <w:tr w:rsidR="00485D6F" w:rsidRPr="008A3E7C" w:rsidTr="004B4966">
        <w:tc>
          <w:tcPr>
            <w:tcW w:w="2156" w:type="pct"/>
            <w:tcMar>
              <w:left w:w="28" w:type="dxa"/>
              <w:right w:w="28" w:type="dxa"/>
            </w:tcMar>
            <w:vAlign w:val="center"/>
          </w:tcPr>
          <w:p w:rsidR="00485D6F" w:rsidRPr="008A3E7C" w:rsidRDefault="00485D6F" w:rsidP="004B4966">
            <w:pPr>
              <w:pStyle w:val="Tabletext"/>
              <w:spacing w:before="0" w:after="0"/>
            </w:pPr>
            <w:r w:rsidRPr="008A3E7C">
              <w:t>Number of services per year</w:t>
            </w:r>
          </w:p>
        </w:tc>
        <w:tc>
          <w:tcPr>
            <w:tcW w:w="568"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48</w:t>
            </w:r>
          </w:p>
        </w:tc>
        <w:tc>
          <w:tcPr>
            <w:tcW w:w="570"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168</w:t>
            </w:r>
          </w:p>
        </w:tc>
        <w:tc>
          <w:tcPr>
            <w:tcW w:w="569"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384</w:t>
            </w:r>
          </w:p>
        </w:tc>
        <w:tc>
          <w:tcPr>
            <w:tcW w:w="569"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672</w:t>
            </w:r>
          </w:p>
        </w:tc>
        <w:tc>
          <w:tcPr>
            <w:tcW w:w="568"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960</w:t>
            </w:r>
          </w:p>
        </w:tc>
      </w:tr>
      <w:tr w:rsidR="00485D6F" w:rsidRPr="008A3E7C" w:rsidTr="004B4966">
        <w:tc>
          <w:tcPr>
            <w:tcW w:w="2156" w:type="pct"/>
            <w:tcMar>
              <w:left w:w="28" w:type="dxa"/>
              <w:right w:w="28" w:type="dxa"/>
            </w:tcMar>
            <w:vAlign w:val="center"/>
          </w:tcPr>
          <w:p w:rsidR="00485D6F" w:rsidRPr="008A3E7C" w:rsidRDefault="00485D6F" w:rsidP="004B4966">
            <w:pPr>
              <w:pStyle w:val="Tabletext"/>
              <w:spacing w:before="0" w:after="0"/>
            </w:pPr>
            <w:r w:rsidRPr="008A3E7C">
              <w:t>Cost to MBS (proposed service)</w:t>
            </w:r>
          </w:p>
        </w:tc>
        <w:tc>
          <w:tcPr>
            <w:tcW w:w="568"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$33,317</w:t>
            </w:r>
          </w:p>
        </w:tc>
        <w:tc>
          <w:tcPr>
            <w:tcW w:w="570"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$116,611</w:t>
            </w:r>
          </w:p>
        </w:tc>
        <w:tc>
          <w:tcPr>
            <w:tcW w:w="569"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$266,538</w:t>
            </w:r>
          </w:p>
        </w:tc>
        <w:tc>
          <w:tcPr>
            <w:tcW w:w="569"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$466,442</w:t>
            </w:r>
          </w:p>
        </w:tc>
        <w:tc>
          <w:tcPr>
            <w:tcW w:w="568"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$666,346</w:t>
            </w:r>
          </w:p>
        </w:tc>
      </w:tr>
      <w:tr w:rsidR="00485D6F" w:rsidRPr="008A3E7C" w:rsidTr="004B4966">
        <w:tc>
          <w:tcPr>
            <w:tcW w:w="2156" w:type="pct"/>
            <w:tcMar>
              <w:left w:w="28" w:type="dxa"/>
              <w:right w:w="28" w:type="dxa"/>
            </w:tcMar>
            <w:vAlign w:val="center"/>
          </w:tcPr>
          <w:p w:rsidR="00485D6F" w:rsidRPr="008A3E7C" w:rsidRDefault="00485D6F" w:rsidP="004B4966">
            <w:pPr>
              <w:pStyle w:val="Tabletext"/>
              <w:spacing w:before="0" w:after="0"/>
            </w:pPr>
            <w:r w:rsidRPr="008A3E7C">
              <w:t xml:space="preserve">Cost of anaesthesia required for the implant </w:t>
            </w:r>
          </w:p>
        </w:tc>
        <w:tc>
          <w:tcPr>
            <w:tcW w:w="568"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$5,655</w:t>
            </w:r>
          </w:p>
        </w:tc>
        <w:tc>
          <w:tcPr>
            <w:tcW w:w="570"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$19,792</w:t>
            </w:r>
          </w:p>
        </w:tc>
        <w:tc>
          <w:tcPr>
            <w:tcW w:w="569"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$45,239</w:t>
            </w:r>
          </w:p>
        </w:tc>
        <w:tc>
          <w:tcPr>
            <w:tcW w:w="569"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$79,168</w:t>
            </w:r>
          </w:p>
        </w:tc>
        <w:tc>
          <w:tcPr>
            <w:tcW w:w="568" w:type="pct"/>
            <w:tcMar>
              <w:left w:w="28" w:type="dxa"/>
              <w:right w:w="28" w:type="dxa"/>
            </w:tcMar>
            <w:vAlign w:val="center"/>
          </w:tcPr>
          <w:p w:rsidR="00485D6F" w:rsidRPr="008A3E7C" w:rsidRDefault="00485D6F" w:rsidP="004B4966">
            <w:pPr>
              <w:pStyle w:val="Tabletext"/>
              <w:spacing w:before="0" w:after="0"/>
              <w:jc w:val="right"/>
              <w:rPr>
                <w:lang w:eastAsia="en-GB"/>
              </w:rPr>
            </w:pPr>
            <w:r w:rsidRPr="008A3E7C">
              <w:rPr>
                <w:lang w:eastAsia="en-GB"/>
              </w:rPr>
              <w:t>$113,098</w:t>
            </w:r>
          </w:p>
        </w:tc>
      </w:tr>
      <w:tr w:rsidR="00485D6F" w:rsidRPr="008A3E7C" w:rsidTr="004B4966">
        <w:tc>
          <w:tcPr>
            <w:tcW w:w="2156" w:type="pct"/>
            <w:tcMar>
              <w:left w:w="28" w:type="dxa"/>
              <w:right w:w="28" w:type="dxa"/>
            </w:tcMar>
            <w:vAlign w:val="center"/>
          </w:tcPr>
          <w:p w:rsidR="00485D6F" w:rsidRPr="008A3E7C" w:rsidRDefault="00485D6F" w:rsidP="004B4966">
            <w:pPr>
              <w:pStyle w:val="Tabletext"/>
              <w:spacing w:before="0" w:after="0"/>
            </w:pPr>
            <w:r w:rsidRPr="008A3E7C">
              <w:t xml:space="preserve">Total net cost to the MBS </w:t>
            </w:r>
          </w:p>
        </w:tc>
        <w:tc>
          <w:tcPr>
            <w:tcW w:w="568" w:type="pct"/>
            <w:tcBorders>
              <w:bottom w:val="single" w:sz="4" w:space="0" w:color="auto"/>
            </w:tcBorders>
            <w:tcMar>
              <w:left w:w="28" w:type="dxa"/>
              <w:right w:w="28" w:type="dxa"/>
            </w:tcMar>
            <w:vAlign w:val="center"/>
          </w:tcPr>
          <w:p w:rsidR="00485D6F" w:rsidRPr="008A3E7C" w:rsidRDefault="00485D6F" w:rsidP="004B4966">
            <w:pPr>
              <w:pStyle w:val="Tabletext"/>
              <w:spacing w:before="0" w:after="0"/>
              <w:jc w:val="right"/>
            </w:pPr>
            <w:r w:rsidRPr="008A3E7C">
              <w:t>$38,972</w:t>
            </w:r>
          </w:p>
        </w:tc>
        <w:tc>
          <w:tcPr>
            <w:tcW w:w="570" w:type="pct"/>
            <w:tcBorders>
              <w:bottom w:val="single" w:sz="4" w:space="0" w:color="auto"/>
            </w:tcBorders>
            <w:tcMar>
              <w:left w:w="28" w:type="dxa"/>
              <w:right w:w="28" w:type="dxa"/>
            </w:tcMar>
            <w:vAlign w:val="center"/>
          </w:tcPr>
          <w:p w:rsidR="00485D6F" w:rsidRPr="008A3E7C" w:rsidRDefault="00485D6F" w:rsidP="004B4966">
            <w:pPr>
              <w:pStyle w:val="Tabletext"/>
              <w:spacing w:before="0" w:after="0"/>
              <w:jc w:val="right"/>
            </w:pPr>
            <w:r w:rsidRPr="008A3E7C">
              <w:t>$136,403</w:t>
            </w:r>
          </w:p>
        </w:tc>
        <w:tc>
          <w:tcPr>
            <w:tcW w:w="569" w:type="pct"/>
            <w:tcBorders>
              <w:bottom w:val="single" w:sz="4" w:space="0" w:color="auto"/>
            </w:tcBorders>
            <w:tcMar>
              <w:left w:w="28" w:type="dxa"/>
              <w:right w:w="28" w:type="dxa"/>
            </w:tcMar>
            <w:vAlign w:val="center"/>
          </w:tcPr>
          <w:p w:rsidR="00485D6F" w:rsidRPr="008A3E7C" w:rsidRDefault="00485D6F" w:rsidP="004B4966">
            <w:pPr>
              <w:pStyle w:val="Tabletext"/>
              <w:spacing w:before="0" w:after="0"/>
              <w:jc w:val="right"/>
            </w:pPr>
            <w:r w:rsidRPr="008A3E7C">
              <w:t>$311,777</w:t>
            </w:r>
          </w:p>
        </w:tc>
        <w:tc>
          <w:tcPr>
            <w:tcW w:w="569" w:type="pct"/>
            <w:tcBorders>
              <w:bottom w:val="single" w:sz="4" w:space="0" w:color="auto"/>
            </w:tcBorders>
            <w:tcMar>
              <w:left w:w="28" w:type="dxa"/>
              <w:right w:w="28" w:type="dxa"/>
            </w:tcMar>
            <w:vAlign w:val="center"/>
          </w:tcPr>
          <w:p w:rsidR="00485D6F" w:rsidRPr="008A3E7C" w:rsidRDefault="00485D6F" w:rsidP="004B4966">
            <w:pPr>
              <w:pStyle w:val="Tabletext"/>
              <w:spacing w:before="0" w:after="0"/>
              <w:jc w:val="right"/>
            </w:pPr>
            <w:r w:rsidRPr="008A3E7C">
              <w:t>$545,610</w:t>
            </w:r>
          </w:p>
        </w:tc>
        <w:tc>
          <w:tcPr>
            <w:tcW w:w="568" w:type="pct"/>
            <w:tcBorders>
              <w:bottom w:val="single" w:sz="4" w:space="0" w:color="auto"/>
            </w:tcBorders>
            <w:tcMar>
              <w:left w:w="28" w:type="dxa"/>
              <w:right w:w="28" w:type="dxa"/>
            </w:tcMar>
            <w:vAlign w:val="center"/>
          </w:tcPr>
          <w:p w:rsidR="00485D6F" w:rsidRPr="008A3E7C" w:rsidRDefault="00485D6F" w:rsidP="004B4966">
            <w:pPr>
              <w:pStyle w:val="Tabletext"/>
              <w:spacing w:before="0" w:after="0"/>
              <w:jc w:val="right"/>
            </w:pPr>
            <w:r w:rsidRPr="008A3E7C">
              <w:t>$779,443</w:t>
            </w:r>
          </w:p>
        </w:tc>
      </w:tr>
    </w:tbl>
    <w:p w:rsidR="00485D6F" w:rsidRPr="00FF1CF7" w:rsidRDefault="00485D6F" w:rsidP="00485D6F">
      <w:pPr>
        <w:pStyle w:val="Tablecaption"/>
        <w:rPr>
          <w:sz w:val="18"/>
          <w:szCs w:val="18"/>
        </w:rPr>
      </w:pPr>
      <w:r w:rsidRPr="00FF1CF7">
        <w:rPr>
          <w:sz w:val="18"/>
          <w:szCs w:val="18"/>
        </w:rPr>
        <w:t xml:space="preserve">Source: </w:t>
      </w:r>
      <w:r w:rsidRPr="00FF1CF7">
        <w:rPr>
          <w:sz w:val="18"/>
        </w:rPr>
        <w:t>Table E.2</w:t>
      </w:r>
      <w:r>
        <w:rPr>
          <w:sz w:val="18"/>
        </w:rPr>
        <w:t>-</w:t>
      </w:r>
      <w:r w:rsidRPr="00FF1CF7">
        <w:rPr>
          <w:sz w:val="18"/>
        </w:rPr>
        <w:t>1, p</w:t>
      </w:r>
      <w:r>
        <w:rPr>
          <w:sz w:val="18"/>
        </w:rPr>
        <w:t>94</w:t>
      </w:r>
      <w:r w:rsidRPr="00FF1CF7">
        <w:rPr>
          <w:sz w:val="18"/>
        </w:rPr>
        <w:t xml:space="preserve">, </w:t>
      </w:r>
      <w:r w:rsidRPr="00FF1CF7">
        <w:rPr>
          <w:sz w:val="18"/>
          <w:szCs w:val="18"/>
        </w:rPr>
        <w:t>Table E.4</w:t>
      </w:r>
      <w:r>
        <w:rPr>
          <w:sz w:val="18"/>
          <w:szCs w:val="18"/>
        </w:rPr>
        <w:t>-</w:t>
      </w:r>
      <w:r w:rsidRPr="00FF1CF7">
        <w:rPr>
          <w:sz w:val="18"/>
          <w:szCs w:val="18"/>
        </w:rPr>
        <w:t>2, p</w:t>
      </w:r>
      <w:r>
        <w:rPr>
          <w:sz w:val="18"/>
          <w:szCs w:val="18"/>
        </w:rPr>
        <w:t>9</w:t>
      </w:r>
      <w:r w:rsidRPr="00FF1CF7">
        <w:rPr>
          <w:sz w:val="18"/>
          <w:szCs w:val="18"/>
        </w:rPr>
        <w:t xml:space="preserve">7 of the </w:t>
      </w:r>
      <w:r w:rsidR="004B4966" w:rsidRPr="004B4966">
        <w:rPr>
          <w:sz w:val="18"/>
          <w:szCs w:val="18"/>
        </w:rPr>
        <w:t>application</w:t>
      </w:r>
    </w:p>
    <w:p w:rsidR="00485D6F" w:rsidRPr="00FF1CF7" w:rsidRDefault="00485D6F" w:rsidP="00485D6F">
      <w:pPr>
        <w:pStyle w:val="Tablecaption"/>
        <w:rPr>
          <w:sz w:val="18"/>
          <w:szCs w:val="18"/>
        </w:rPr>
      </w:pPr>
      <w:r w:rsidRPr="00FF1CF7">
        <w:rPr>
          <w:sz w:val="18"/>
          <w:szCs w:val="18"/>
        </w:rPr>
        <w:t xml:space="preserve">MBS = </w:t>
      </w:r>
      <w:r>
        <w:rPr>
          <w:sz w:val="18"/>
          <w:szCs w:val="18"/>
        </w:rPr>
        <w:t>Medicare</w:t>
      </w:r>
      <w:r w:rsidRPr="00FF1CF7">
        <w:rPr>
          <w:sz w:val="18"/>
          <w:szCs w:val="18"/>
        </w:rPr>
        <w:t xml:space="preserve"> </w:t>
      </w:r>
      <w:r>
        <w:rPr>
          <w:sz w:val="18"/>
          <w:szCs w:val="18"/>
        </w:rPr>
        <w:t>B</w:t>
      </w:r>
      <w:r w:rsidRPr="00FF1CF7">
        <w:rPr>
          <w:sz w:val="18"/>
          <w:szCs w:val="18"/>
        </w:rPr>
        <w:t>enefit</w:t>
      </w:r>
      <w:r>
        <w:rPr>
          <w:sz w:val="18"/>
          <w:szCs w:val="18"/>
        </w:rPr>
        <w:t>s</w:t>
      </w:r>
      <w:r w:rsidRPr="00FF1CF7">
        <w:rPr>
          <w:sz w:val="18"/>
          <w:szCs w:val="18"/>
        </w:rPr>
        <w:t xml:space="preserve"> </w:t>
      </w:r>
      <w:r>
        <w:rPr>
          <w:sz w:val="18"/>
          <w:szCs w:val="18"/>
        </w:rPr>
        <w:t>S</w:t>
      </w:r>
      <w:r w:rsidR="008A3E7C">
        <w:rPr>
          <w:sz w:val="18"/>
          <w:szCs w:val="18"/>
        </w:rPr>
        <w:t>chedule</w:t>
      </w:r>
    </w:p>
    <w:p w:rsidR="00485D6F" w:rsidRPr="00766E36" w:rsidRDefault="00485D6F" w:rsidP="00485D6F">
      <w:pPr>
        <w:rPr>
          <w:szCs w:val="24"/>
        </w:rPr>
      </w:pPr>
    </w:p>
    <w:p w:rsidR="00485D6F" w:rsidRPr="00457EDA" w:rsidRDefault="00485D6F" w:rsidP="00485D6F">
      <w:pPr>
        <w:rPr>
          <w:szCs w:val="24"/>
        </w:rPr>
      </w:pPr>
      <w:r w:rsidRPr="00457EDA">
        <w:rPr>
          <w:szCs w:val="24"/>
        </w:rPr>
        <w:t xml:space="preserve">From the evidence included in the </w:t>
      </w:r>
      <w:r w:rsidR="004B4966">
        <w:t>application</w:t>
      </w:r>
      <w:r w:rsidRPr="00457EDA">
        <w:rPr>
          <w:szCs w:val="24"/>
        </w:rPr>
        <w:t xml:space="preserve">, ESC noted that 7% of implantation attempts were unsuccessful. The impact of this on the need for repeat procedures was not factored into the financial impacts </w:t>
      </w:r>
      <w:r w:rsidR="008A3E7C">
        <w:rPr>
          <w:szCs w:val="24"/>
        </w:rPr>
        <w:t>or</w:t>
      </w:r>
      <w:r w:rsidRPr="00457EDA">
        <w:rPr>
          <w:szCs w:val="24"/>
        </w:rPr>
        <w:t xml:space="preserve"> the economic evaluation.</w:t>
      </w:r>
    </w:p>
    <w:p w:rsidR="00BC1364" w:rsidRPr="008A3E7C" w:rsidRDefault="00BC1364" w:rsidP="00D340DE">
      <w:pPr>
        <w:rPr>
          <w:szCs w:val="24"/>
        </w:rPr>
      </w:pPr>
    </w:p>
    <w:p w:rsidR="006A0D97" w:rsidRDefault="006A0D97" w:rsidP="006A0D97">
      <w:pPr>
        <w:pStyle w:val="Heading1"/>
        <w:numPr>
          <w:ilvl w:val="0"/>
          <w:numId w:val="23"/>
        </w:numPr>
        <w:ind w:hanging="720"/>
      </w:pPr>
      <w:r w:rsidRPr="006A0D97">
        <w:t>Key issues from ESC for MSAC</w:t>
      </w:r>
    </w:p>
    <w:p w:rsidR="006A0D97" w:rsidRDefault="006A0D97" w:rsidP="006A0D97"/>
    <w:p w:rsidR="00696AF0" w:rsidRDefault="00696AF0" w:rsidP="00696AF0">
      <w:r>
        <w:t>ESC noted that a range of issue</w:t>
      </w:r>
      <w:r w:rsidR="008A3E7C">
        <w:t xml:space="preserve">s were raised in the critique. </w:t>
      </w:r>
      <w:r>
        <w:t>However, ESC considered that many of these were not highly relevant for decision making, and that others had been adequately addressed in the</w:t>
      </w:r>
      <w:r w:rsidR="008A3E7C">
        <w:t xml:space="preserve"> applicant’s pre-ESC response. </w:t>
      </w:r>
      <w:r>
        <w:t>ESC considered that the key issues which should be considered by MSAC were:</w:t>
      </w:r>
    </w:p>
    <w:p w:rsidR="00696AF0" w:rsidRPr="0072622F" w:rsidRDefault="00C17F03" w:rsidP="00696AF0">
      <w:pPr>
        <w:pStyle w:val="ListParagraph"/>
        <w:numPr>
          <w:ilvl w:val="0"/>
          <w:numId w:val="27"/>
        </w:numPr>
      </w:pPr>
      <w:r>
        <w:rPr>
          <w:szCs w:val="24"/>
        </w:rPr>
        <w:t>w</w:t>
      </w:r>
      <w:r w:rsidR="00696AF0">
        <w:rPr>
          <w:szCs w:val="24"/>
        </w:rPr>
        <w:t>hether there is sufficient evidence of s</w:t>
      </w:r>
      <w:r w:rsidR="00696AF0" w:rsidRPr="0072622F">
        <w:rPr>
          <w:szCs w:val="24"/>
        </w:rPr>
        <w:t xml:space="preserve">afety regarding adverse events of the implantation procedure </w:t>
      </w:r>
      <w:r w:rsidR="00696AF0">
        <w:rPr>
          <w:szCs w:val="24"/>
        </w:rPr>
        <w:t>–</w:t>
      </w:r>
      <w:r w:rsidR="00696AF0" w:rsidRPr="005931BD">
        <w:rPr>
          <w:szCs w:val="24"/>
        </w:rPr>
        <w:t xml:space="preserve"> long-term safety and risk of device failure is unclear</w:t>
      </w:r>
      <w:r w:rsidR="00696AF0" w:rsidRPr="0072622F">
        <w:t>;</w:t>
      </w:r>
    </w:p>
    <w:p w:rsidR="00696AF0" w:rsidRPr="0072622F" w:rsidRDefault="00C17F03" w:rsidP="00696AF0">
      <w:pPr>
        <w:pStyle w:val="ListParagraph"/>
        <w:numPr>
          <w:ilvl w:val="0"/>
          <w:numId w:val="27"/>
        </w:numPr>
      </w:pPr>
      <w:r>
        <w:rPr>
          <w:szCs w:val="24"/>
        </w:rPr>
        <w:t>t</w:t>
      </w:r>
      <w:r w:rsidR="00696AF0" w:rsidRPr="0072622F">
        <w:rPr>
          <w:szCs w:val="24"/>
        </w:rPr>
        <w:t>he level and frequency of patient monitoring needed after the procedure sho</w:t>
      </w:r>
      <w:r w:rsidR="008A3E7C">
        <w:rPr>
          <w:szCs w:val="24"/>
        </w:rPr>
        <w:t>uld be specifically delineated;</w:t>
      </w:r>
    </w:p>
    <w:p w:rsidR="00696AF0" w:rsidRPr="0072622F" w:rsidRDefault="00C17F03" w:rsidP="00696AF0">
      <w:pPr>
        <w:pStyle w:val="ListParagraph"/>
        <w:numPr>
          <w:ilvl w:val="0"/>
          <w:numId w:val="27"/>
        </w:numPr>
      </w:pPr>
      <w:r>
        <w:t>t</w:t>
      </w:r>
      <w:r w:rsidR="00696AF0" w:rsidRPr="0072622F">
        <w:t>he applicability of supporting data to the target population is unclear (average patient age of 61 vs. 80); and</w:t>
      </w:r>
    </w:p>
    <w:p w:rsidR="00696AF0" w:rsidRPr="0072622F" w:rsidRDefault="00C17F03" w:rsidP="00696AF0">
      <w:pPr>
        <w:pStyle w:val="ListParagraph"/>
        <w:numPr>
          <w:ilvl w:val="0"/>
          <w:numId w:val="27"/>
        </w:numPr>
      </w:pPr>
      <w:proofErr w:type="gramStart"/>
      <w:r>
        <w:rPr>
          <w:szCs w:val="24"/>
        </w:rPr>
        <w:t>t</w:t>
      </w:r>
      <w:r w:rsidR="00696AF0" w:rsidRPr="0072622F">
        <w:rPr>
          <w:szCs w:val="24"/>
        </w:rPr>
        <w:t>here</w:t>
      </w:r>
      <w:proofErr w:type="gramEnd"/>
      <w:r w:rsidR="00696AF0" w:rsidRPr="0072622F">
        <w:rPr>
          <w:szCs w:val="24"/>
        </w:rPr>
        <w:t xml:space="preserve"> are economic model uncertainties, such as the duplication of the mortality rate and mortality reduction rate across the model, and rationale for attribution of utility states in the current models.</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485D6F" w:rsidRDefault="00BC1364" w:rsidP="00DD2858">
      <w:pPr>
        <w:rPr>
          <w:szCs w:val="24"/>
        </w:rPr>
      </w:pPr>
      <w:r w:rsidRPr="00485D6F">
        <w:rPr>
          <w:szCs w:val="24"/>
        </w:rPr>
        <w:t>Nil</w:t>
      </w:r>
      <w:r w:rsidR="004824F1">
        <w:rPr>
          <w:szCs w:val="24"/>
        </w:rPr>
        <w:t>.</w:t>
      </w:r>
    </w:p>
    <w:p w:rsidR="008D270E" w:rsidRDefault="008D270E">
      <w:pPr>
        <w:rPr>
          <w:szCs w:val="24"/>
        </w:rPr>
      </w:pPr>
      <w:r>
        <w:rPr>
          <w:szCs w:val="24"/>
        </w:rPr>
        <w:br w:type="page"/>
      </w:r>
    </w:p>
    <w:p w:rsidR="00BC1364" w:rsidRDefault="00BC1364" w:rsidP="007B32D1">
      <w:pPr>
        <w:pStyle w:val="Heading1"/>
        <w:numPr>
          <w:ilvl w:val="0"/>
          <w:numId w:val="23"/>
        </w:numPr>
        <w:ind w:hanging="720"/>
      </w:pPr>
      <w:r w:rsidRPr="008D5885">
        <w:lastRenderedPageBreak/>
        <w:t xml:space="preserve">Applicant’s comments on MSAC’s </w:t>
      </w:r>
      <w:r w:rsidR="00DA56AA">
        <w:t>Public Summary Document</w:t>
      </w:r>
    </w:p>
    <w:p w:rsidR="00BC1364" w:rsidRPr="00656CBC" w:rsidRDefault="00BC1364" w:rsidP="00230D6B">
      <w:pPr>
        <w:tabs>
          <w:tab w:val="left" w:pos="720"/>
        </w:tabs>
        <w:ind w:left="709" w:hanging="709"/>
        <w:rPr>
          <w:szCs w:val="24"/>
        </w:rPr>
      </w:pPr>
    </w:p>
    <w:p w:rsidR="00BC1364" w:rsidRPr="00000C69" w:rsidRDefault="00000C69" w:rsidP="00230D6B">
      <w:pPr>
        <w:rPr>
          <w:szCs w:val="24"/>
        </w:rPr>
      </w:pPr>
      <w:r w:rsidRPr="00000C69">
        <w:rPr>
          <w:szCs w:val="24"/>
        </w:rPr>
        <w:t xml:space="preserve">St Jude Medical acknowledges MSAC’s consideration of the proposed listing of Application 1398 – </w:t>
      </w:r>
      <w:r w:rsidRPr="00000C69">
        <w:rPr>
          <w:i/>
          <w:szCs w:val="24"/>
        </w:rPr>
        <w:t xml:space="preserve">Implantation of a permanent leadless and </w:t>
      </w:r>
      <w:proofErr w:type="spellStart"/>
      <w:r w:rsidRPr="00000C69">
        <w:rPr>
          <w:i/>
          <w:szCs w:val="24"/>
        </w:rPr>
        <w:t>batteryless</w:t>
      </w:r>
      <w:proofErr w:type="spellEnd"/>
      <w:r w:rsidRPr="00000C69">
        <w:rPr>
          <w:i/>
          <w:szCs w:val="24"/>
        </w:rPr>
        <w:t xml:space="preserve"> haemodynamic sensor and associated remote analysis of pulmonary artery pressure for patients with moderate chronic heart failure (New York Heart Association class III)</w:t>
      </w:r>
      <w:r w:rsidRPr="00000C69">
        <w:rPr>
          <w:szCs w:val="24"/>
        </w:rPr>
        <w:t>.We are reassured to note MSAC agreed that a clinical need for pulmona</w:t>
      </w:r>
      <w:r>
        <w:rPr>
          <w:szCs w:val="24"/>
        </w:rPr>
        <w:t xml:space="preserve">ry artery pressure monitoring </w:t>
      </w:r>
      <w:r w:rsidRPr="00000C69">
        <w:rPr>
          <w:szCs w:val="24"/>
        </w:rPr>
        <w:t xml:space="preserve">was established within the target patient population and there were no concerns with the clinical evidence supporting this therapy. The Applicant accepts minor alterations to the economic model are required to address residual areas of uncertainty. In deferring its advice for public funding, MSAC requested information related to the implementation of the proposed service </w:t>
      </w:r>
      <w:proofErr w:type="gramStart"/>
      <w:r w:rsidRPr="00000C69">
        <w:rPr>
          <w:szCs w:val="24"/>
        </w:rPr>
        <w:t>be</w:t>
      </w:r>
      <w:proofErr w:type="gramEnd"/>
      <w:r w:rsidRPr="00000C69">
        <w:rPr>
          <w:szCs w:val="24"/>
        </w:rPr>
        <w:t xml:space="preserve"> addressed. St Jude are committed to working with MSAC to provide this information noting the current clinical management algorithm for this patient group is complex and as a consequence there is considerable variability in standard care practices.</w:t>
      </w:r>
      <w:r>
        <w:rPr>
          <w:szCs w:val="24"/>
        </w:rPr>
        <w:t xml:space="preserve"> </w:t>
      </w:r>
      <w:r w:rsidRPr="00000C69">
        <w:rPr>
          <w:szCs w:val="24"/>
        </w:rPr>
        <w:t>St Jude Medical will continue to work with Australian clinicians and other stakeholders to address issues related to the implementation of pulmona</w:t>
      </w:r>
      <w:r>
        <w:rPr>
          <w:szCs w:val="24"/>
        </w:rPr>
        <w:t xml:space="preserve">ry artery pressure monitoring </w:t>
      </w:r>
      <w:r w:rsidRPr="00000C69">
        <w:rPr>
          <w:szCs w:val="24"/>
        </w:rPr>
        <w:t>into Australian clinical practice but would welcome any guidance offered by MSAC on how this can be achieved.</w:t>
      </w:r>
    </w:p>
    <w:p w:rsidR="00000C69" w:rsidRPr="00656CBC" w:rsidRDefault="00000C69" w:rsidP="00230D6B">
      <w:pPr>
        <w:rPr>
          <w:szCs w:val="24"/>
        </w:rPr>
      </w:pPr>
    </w:p>
    <w:p w:rsidR="00BC1364" w:rsidRDefault="00271F18" w:rsidP="007B32D1">
      <w:pPr>
        <w:pStyle w:val="Heading1"/>
        <w:numPr>
          <w:ilvl w:val="0"/>
          <w:numId w:val="23"/>
        </w:numPr>
        <w:ind w:hanging="720"/>
      </w:pPr>
      <w:r>
        <w:t>Further information on MSAC</w:t>
      </w:r>
    </w:p>
    <w:p w:rsidR="00BC1364" w:rsidRPr="00656CBC" w:rsidRDefault="00BC1364" w:rsidP="00DD2858">
      <w:pPr>
        <w:tabs>
          <w:tab w:val="left" w:pos="720"/>
        </w:tabs>
        <w:ind w:left="709" w:hanging="709"/>
        <w:rPr>
          <w:szCs w:val="24"/>
        </w:rPr>
      </w:pPr>
    </w:p>
    <w:p w:rsidR="008A3E7C" w:rsidRPr="008A3E7C" w:rsidRDefault="00271F18" w:rsidP="00DD2858">
      <w:pPr>
        <w:rPr>
          <w:szCs w:val="24"/>
          <w:u w:val="single"/>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3" w:tooltip="This is a link to the MSAC website" w:history="1">
        <w:r w:rsidR="00BC1364" w:rsidRPr="00DD2858">
          <w:rPr>
            <w:rStyle w:val="Hyperlink"/>
            <w:color w:val="auto"/>
            <w:szCs w:val="24"/>
          </w:rPr>
          <w:t>www.msac.gov.au</w:t>
        </w:r>
      </w:hyperlink>
    </w:p>
    <w:sectPr w:rsidR="008A3E7C" w:rsidRPr="008A3E7C" w:rsidSect="00271F18">
      <w:footerReference w:type="defaul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EC" w:rsidRDefault="009C54EC" w:rsidP="00065623">
      <w:r>
        <w:separator/>
      </w:r>
    </w:p>
  </w:endnote>
  <w:endnote w:type="continuationSeparator" w:id="0">
    <w:p w:rsidR="009C54EC" w:rsidRDefault="009C54E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B87CB1" w:rsidRDefault="00B87CB1">
        <w:pPr>
          <w:pStyle w:val="Footer"/>
          <w:jc w:val="right"/>
        </w:pPr>
        <w:r>
          <w:fldChar w:fldCharType="begin"/>
        </w:r>
        <w:r>
          <w:instrText xml:space="preserve"> PAGE   \* MERGEFORMAT </w:instrText>
        </w:r>
        <w:r>
          <w:fldChar w:fldCharType="separate"/>
        </w:r>
        <w:r w:rsidR="002047A5">
          <w:rPr>
            <w:noProof/>
          </w:rPr>
          <w:t>15</w:t>
        </w:r>
        <w:r>
          <w:rPr>
            <w:noProof/>
          </w:rPr>
          <w:fldChar w:fldCharType="end"/>
        </w:r>
      </w:p>
    </w:sdtContent>
  </w:sdt>
  <w:p w:rsidR="00B87CB1" w:rsidRDefault="00B87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EC" w:rsidRDefault="009C54EC" w:rsidP="00065623">
      <w:r>
        <w:separator/>
      </w:r>
    </w:p>
  </w:footnote>
  <w:footnote w:type="continuationSeparator" w:id="0">
    <w:p w:rsidR="009C54EC" w:rsidRDefault="009C54EC"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456"/>
    <w:multiLevelType w:val="hybridMultilevel"/>
    <w:tmpl w:val="82B49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AF3266"/>
    <w:multiLevelType w:val="hybridMultilevel"/>
    <w:tmpl w:val="5A1EC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563A4D"/>
    <w:multiLevelType w:val="hybridMultilevel"/>
    <w:tmpl w:val="9244B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3503EA"/>
    <w:multiLevelType w:val="hybridMultilevel"/>
    <w:tmpl w:val="95F08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0E5FA3"/>
    <w:multiLevelType w:val="hybridMultilevel"/>
    <w:tmpl w:val="570A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1436334"/>
    <w:multiLevelType w:val="hybridMultilevel"/>
    <w:tmpl w:val="3B00C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2"/>
  </w:num>
  <w:num w:numId="4">
    <w:abstractNumId w:val="19"/>
  </w:num>
  <w:num w:numId="5">
    <w:abstractNumId w:val="10"/>
  </w:num>
  <w:num w:numId="6">
    <w:abstractNumId w:val="18"/>
  </w:num>
  <w:num w:numId="7">
    <w:abstractNumId w:val="22"/>
  </w:num>
  <w:num w:numId="8">
    <w:abstractNumId w:val="11"/>
  </w:num>
  <w:num w:numId="9">
    <w:abstractNumId w:val="30"/>
  </w:num>
  <w:num w:numId="10">
    <w:abstractNumId w:val="1"/>
  </w:num>
  <w:num w:numId="11">
    <w:abstractNumId w:val="21"/>
  </w:num>
  <w:num w:numId="12">
    <w:abstractNumId w:val="23"/>
  </w:num>
  <w:num w:numId="13">
    <w:abstractNumId w:val="5"/>
  </w:num>
  <w:num w:numId="14">
    <w:abstractNumId w:val="28"/>
  </w:num>
  <w:num w:numId="15">
    <w:abstractNumId w:val="20"/>
  </w:num>
  <w:num w:numId="16">
    <w:abstractNumId w:val="24"/>
  </w:num>
  <w:num w:numId="17">
    <w:abstractNumId w:val="12"/>
  </w:num>
  <w:num w:numId="18">
    <w:abstractNumId w:val="14"/>
  </w:num>
  <w:num w:numId="19">
    <w:abstractNumId w:val="27"/>
  </w:num>
  <w:num w:numId="20">
    <w:abstractNumId w:val="26"/>
  </w:num>
  <w:num w:numId="21">
    <w:abstractNumId w:val="4"/>
  </w:num>
  <w:num w:numId="22">
    <w:abstractNumId w:val="9"/>
  </w:num>
  <w:num w:numId="23">
    <w:abstractNumId w:val="3"/>
  </w:num>
  <w:num w:numId="24">
    <w:abstractNumId w:val="8"/>
  </w:num>
  <w:num w:numId="25">
    <w:abstractNumId w:val="6"/>
  </w:num>
  <w:num w:numId="26">
    <w:abstractNumId w:val="0"/>
  </w:num>
  <w:num w:numId="27">
    <w:abstractNumId w:val="25"/>
  </w:num>
  <w:num w:numId="28">
    <w:abstractNumId w:val="15"/>
  </w:num>
  <w:num w:numId="29">
    <w:abstractNumId w:val="13"/>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C69"/>
    <w:rsid w:val="00011A36"/>
    <w:rsid w:val="00047606"/>
    <w:rsid w:val="00061996"/>
    <w:rsid w:val="00065623"/>
    <w:rsid w:val="000756B9"/>
    <w:rsid w:val="00096B67"/>
    <w:rsid w:val="00096DAF"/>
    <w:rsid w:val="000B17FC"/>
    <w:rsid w:val="000C2F47"/>
    <w:rsid w:val="000D6C00"/>
    <w:rsid w:val="000E4E04"/>
    <w:rsid w:val="000F14B4"/>
    <w:rsid w:val="000F75DF"/>
    <w:rsid w:val="001032C1"/>
    <w:rsid w:val="00120776"/>
    <w:rsid w:val="001328FA"/>
    <w:rsid w:val="00147AAF"/>
    <w:rsid w:val="001552C0"/>
    <w:rsid w:val="001640B1"/>
    <w:rsid w:val="0017427F"/>
    <w:rsid w:val="0018435E"/>
    <w:rsid w:val="002041A1"/>
    <w:rsid w:val="002047A5"/>
    <w:rsid w:val="002054F0"/>
    <w:rsid w:val="00217ED8"/>
    <w:rsid w:val="00230D6B"/>
    <w:rsid w:val="00232068"/>
    <w:rsid w:val="002330F2"/>
    <w:rsid w:val="00243D9E"/>
    <w:rsid w:val="00253B66"/>
    <w:rsid w:val="00261DF1"/>
    <w:rsid w:val="00271F18"/>
    <w:rsid w:val="00282779"/>
    <w:rsid w:val="0028334D"/>
    <w:rsid w:val="002B7FFA"/>
    <w:rsid w:val="002C2BCF"/>
    <w:rsid w:val="002F279D"/>
    <w:rsid w:val="002F43B8"/>
    <w:rsid w:val="0034554D"/>
    <w:rsid w:val="00352224"/>
    <w:rsid w:val="003671E6"/>
    <w:rsid w:val="00384272"/>
    <w:rsid w:val="00386D67"/>
    <w:rsid w:val="003945B8"/>
    <w:rsid w:val="003C30D9"/>
    <w:rsid w:val="003D773B"/>
    <w:rsid w:val="003D7F29"/>
    <w:rsid w:val="00405A6B"/>
    <w:rsid w:val="00407B1F"/>
    <w:rsid w:val="00414C57"/>
    <w:rsid w:val="0041758C"/>
    <w:rsid w:val="004539DE"/>
    <w:rsid w:val="00457EDA"/>
    <w:rsid w:val="00467B89"/>
    <w:rsid w:val="004824F1"/>
    <w:rsid w:val="00485D6F"/>
    <w:rsid w:val="00490B8C"/>
    <w:rsid w:val="004A1459"/>
    <w:rsid w:val="004A2CF1"/>
    <w:rsid w:val="004B4966"/>
    <w:rsid w:val="004C0E0C"/>
    <w:rsid w:val="004C3035"/>
    <w:rsid w:val="004C307F"/>
    <w:rsid w:val="004E4BA8"/>
    <w:rsid w:val="004F340F"/>
    <w:rsid w:val="004F7B7C"/>
    <w:rsid w:val="0052243D"/>
    <w:rsid w:val="00522A84"/>
    <w:rsid w:val="00532435"/>
    <w:rsid w:val="00550354"/>
    <w:rsid w:val="00571236"/>
    <w:rsid w:val="005953A1"/>
    <w:rsid w:val="005C58BB"/>
    <w:rsid w:val="005D0332"/>
    <w:rsid w:val="005D0D8C"/>
    <w:rsid w:val="005D282F"/>
    <w:rsid w:val="005E6583"/>
    <w:rsid w:val="00615F73"/>
    <w:rsid w:val="00634606"/>
    <w:rsid w:val="00656101"/>
    <w:rsid w:val="00656CBC"/>
    <w:rsid w:val="006776AE"/>
    <w:rsid w:val="00696AF0"/>
    <w:rsid w:val="006A0D97"/>
    <w:rsid w:val="006B1F86"/>
    <w:rsid w:val="006C0A91"/>
    <w:rsid w:val="007054BB"/>
    <w:rsid w:val="00707064"/>
    <w:rsid w:val="0072710C"/>
    <w:rsid w:val="00730683"/>
    <w:rsid w:val="007409FC"/>
    <w:rsid w:val="0075261F"/>
    <w:rsid w:val="0075468E"/>
    <w:rsid w:val="007665D8"/>
    <w:rsid w:val="00766E36"/>
    <w:rsid w:val="007765F4"/>
    <w:rsid w:val="00776633"/>
    <w:rsid w:val="00784D53"/>
    <w:rsid w:val="00797797"/>
    <w:rsid w:val="007A63C9"/>
    <w:rsid w:val="007B32D1"/>
    <w:rsid w:val="007B7095"/>
    <w:rsid w:val="007D24E1"/>
    <w:rsid w:val="007F4CE9"/>
    <w:rsid w:val="007F4E20"/>
    <w:rsid w:val="00801204"/>
    <w:rsid w:val="00822C7E"/>
    <w:rsid w:val="00836063"/>
    <w:rsid w:val="00847060"/>
    <w:rsid w:val="0085675F"/>
    <w:rsid w:val="00856A33"/>
    <w:rsid w:val="00892620"/>
    <w:rsid w:val="008A3E7C"/>
    <w:rsid w:val="008C7D37"/>
    <w:rsid w:val="008D270E"/>
    <w:rsid w:val="008D5885"/>
    <w:rsid w:val="008F6609"/>
    <w:rsid w:val="00923FA2"/>
    <w:rsid w:val="0096060D"/>
    <w:rsid w:val="009738B4"/>
    <w:rsid w:val="00974A50"/>
    <w:rsid w:val="0097585A"/>
    <w:rsid w:val="009924B0"/>
    <w:rsid w:val="009942C9"/>
    <w:rsid w:val="009B35C4"/>
    <w:rsid w:val="009B5FEF"/>
    <w:rsid w:val="009C54EC"/>
    <w:rsid w:val="009C630A"/>
    <w:rsid w:val="009E0D98"/>
    <w:rsid w:val="009F5CD9"/>
    <w:rsid w:val="00A03A88"/>
    <w:rsid w:val="00A068A1"/>
    <w:rsid w:val="00A1207D"/>
    <w:rsid w:val="00A12FD8"/>
    <w:rsid w:val="00A31DB7"/>
    <w:rsid w:val="00A346FC"/>
    <w:rsid w:val="00A73B98"/>
    <w:rsid w:val="00A84F93"/>
    <w:rsid w:val="00A94AAD"/>
    <w:rsid w:val="00AB1AC5"/>
    <w:rsid w:val="00AB3BFC"/>
    <w:rsid w:val="00AB52F0"/>
    <w:rsid w:val="00AC4F2E"/>
    <w:rsid w:val="00AC61E3"/>
    <w:rsid w:val="00AD0C37"/>
    <w:rsid w:val="00AD385F"/>
    <w:rsid w:val="00AE6E2A"/>
    <w:rsid w:val="00AF33B4"/>
    <w:rsid w:val="00B31E9C"/>
    <w:rsid w:val="00B35595"/>
    <w:rsid w:val="00B35879"/>
    <w:rsid w:val="00B41D88"/>
    <w:rsid w:val="00B51C6D"/>
    <w:rsid w:val="00B67DE2"/>
    <w:rsid w:val="00B86D64"/>
    <w:rsid w:val="00B87CB1"/>
    <w:rsid w:val="00BA4AC5"/>
    <w:rsid w:val="00BB101F"/>
    <w:rsid w:val="00BC1364"/>
    <w:rsid w:val="00BC7DE9"/>
    <w:rsid w:val="00BF479B"/>
    <w:rsid w:val="00C02577"/>
    <w:rsid w:val="00C17F03"/>
    <w:rsid w:val="00C204FB"/>
    <w:rsid w:val="00C20BEE"/>
    <w:rsid w:val="00C2158D"/>
    <w:rsid w:val="00C41A2F"/>
    <w:rsid w:val="00C62AA4"/>
    <w:rsid w:val="00C67DD2"/>
    <w:rsid w:val="00C725CB"/>
    <w:rsid w:val="00C76F5C"/>
    <w:rsid w:val="00C90AE3"/>
    <w:rsid w:val="00C96BAD"/>
    <w:rsid w:val="00CA6944"/>
    <w:rsid w:val="00CB0F8E"/>
    <w:rsid w:val="00CB3599"/>
    <w:rsid w:val="00CB7E7D"/>
    <w:rsid w:val="00CC2911"/>
    <w:rsid w:val="00CE2650"/>
    <w:rsid w:val="00CF0C6D"/>
    <w:rsid w:val="00CF7307"/>
    <w:rsid w:val="00CF7C68"/>
    <w:rsid w:val="00D11197"/>
    <w:rsid w:val="00D124FA"/>
    <w:rsid w:val="00D340DE"/>
    <w:rsid w:val="00D55723"/>
    <w:rsid w:val="00D62FAD"/>
    <w:rsid w:val="00D70450"/>
    <w:rsid w:val="00D83BFD"/>
    <w:rsid w:val="00D90A38"/>
    <w:rsid w:val="00DA0515"/>
    <w:rsid w:val="00DA171E"/>
    <w:rsid w:val="00DA56AA"/>
    <w:rsid w:val="00DA718E"/>
    <w:rsid w:val="00DB5833"/>
    <w:rsid w:val="00DD2858"/>
    <w:rsid w:val="00E03E33"/>
    <w:rsid w:val="00E1521A"/>
    <w:rsid w:val="00E30948"/>
    <w:rsid w:val="00E3642A"/>
    <w:rsid w:val="00E415C4"/>
    <w:rsid w:val="00E50016"/>
    <w:rsid w:val="00E50EAA"/>
    <w:rsid w:val="00E513D7"/>
    <w:rsid w:val="00E55ADE"/>
    <w:rsid w:val="00E656D6"/>
    <w:rsid w:val="00E83ED0"/>
    <w:rsid w:val="00E977EE"/>
    <w:rsid w:val="00EA67A2"/>
    <w:rsid w:val="00EC4F98"/>
    <w:rsid w:val="00EE6E2F"/>
    <w:rsid w:val="00F12F02"/>
    <w:rsid w:val="00F26D6E"/>
    <w:rsid w:val="00F32E0D"/>
    <w:rsid w:val="00F35134"/>
    <w:rsid w:val="00F41812"/>
    <w:rsid w:val="00F73333"/>
    <w:rsid w:val="00F77A04"/>
    <w:rsid w:val="00F95D8F"/>
    <w:rsid w:val="00FA5480"/>
    <w:rsid w:val="00FA6C3F"/>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A73B98"/>
    <w:rPr>
      <w:rFonts w:eastAsia="Times New Roman"/>
      <w:sz w:val="24"/>
      <w:szCs w:val="20"/>
    </w:rPr>
  </w:style>
  <w:style w:type="paragraph" w:customStyle="1" w:styleId="Tabletext">
    <w:name w:val="Table text"/>
    <w:basedOn w:val="Normal"/>
    <w:link w:val="TabletextChar"/>
    <w:qFormat/>
    <w:rsid w:val="00A73B98"/>
    <w:pPr>
      <w:spacing w:before="40" w:after="40"/>
    </w:pPr>
    <w:rPr>
      <w:rFonts w:ascii="Arial Narrow" w:hAnsi="Arial Narrow" w:cs="Tahoma"/>
      <w:sz w:val="20"/>
    </w:rPr>
  </w:style>
  <w:style w:type="character" w:customStyle="1" w:styleId="TabletextChar">
    <w:name w:val="Table text Char"/>
    <w:link w:val="Tabletext"/>
    <w:rsid w:val="00A73B98"/>
    <w:rPr>
      <w:rFonts w:ascii="Arial Narrow" w:eastAsia="Times New Roman" w:hAnsi="Arial Narrow" w:cs="Tahoma"/>
      <w:sz w:val="20"/>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locked/>
    <w:rsid w:val="00A73B98"/>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caption">
    <w:name w:val="Table caption"/>
    <w:basedOn w:val="Normal"/>
    <w:link w:val="TablecaptionChar"/>
    <w:qFormat/>
    <w:rsid w:val="00A73B98"/>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A73B98"/>
    <w:rPr>
      <w:rFonts w:ascii="Arial Narrow" w:eastAsia="Times New Roman" w:hAnsi="Arial Narrow" w:cs="Arial"/>
      <w:sz w:val="20"/>
      <w:szCs w:val="20"/>
      <w:lang w:eastAsia="en-US"/>
    </w:rPr>
  </w:style>
  <w:style w:type="paragraph" w:customStyle="1" w:styleId="Tabletextright">
    <w:name w:val="Table text right"/>
    <w:basedOn w:val="Normal"/>
    <w:link w:val="TabletextrightChar"/>
    <w:qFormat/>
    <w:rsid w:val="00A73B98"/>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A73B98"/>
    <w:rPr>
      <w:rFonts w:ascii="Arial Narrow" w:eastAsia="Times New Roman" w:hAnsi="Arial Narrow" w:cs="Arial"/>
      <w:sz w:val="20"/>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A73B98"/>
    <w:rPr>
      <w:rFonts w:ascii="Arial Narrow" w:eastAsiaTheme="minorHAnsi" w:hAnsi="Arial Narrow" w:cstheme="minorBidi"/>
      <w:b/>
      <w:iCs/>
      <w:sz w:val="20"/>
      <w:szCs w:val="18"/>
      <w:lang w:eastAsia="en-US"/>
    </w:rPr>
  </w:style>
  <w:style w:type="paragraph" w:styleId="BodyText">
    <w:name w:val="Body Text"/>
    <w:basedOn w:val="Normal"/>
    <w:link w:val="BodyTextChar"/>
    <w:uiPriority w:val="99"/>
    <w:unhideWhenUsed/>
    <w:rsid w:val="00A73B98"/>
    <w:pPr>
      <w:spacing w:after="120"/>
      <w:jc w:val="both"/>
    </w:pPr>
    <w:rPr>
      <w:rFonts w:ascii="Garamond" w:hAnsi="Garamond"/>
      <w:szCs w:val="24"/>
      <w:lang w:eastAsia="en-US"/>
    </w:rPr>
  </w:style>
  <w:style w:type="character" w:customStyle="1" w:styleId="BodyTextChar">
    <w:name w:val="Body Text Char"/>
    <w:basedOn w:val="DefaultParagraphFont"/>
    <w:link w:val="BodyText"/>
    <w:uiPriority w:val="99"/>
    <w:rsid w:val="00A73B98"/>
    <w:rPr>
      <w:rFonts w:ascii="Garamond" w:eastAsia="Times New Roman" w:hAnsi="Garamond"/>
      <w:sz w:val="24"/>
      <w:szCs w:val="24"/>
      <w:lang w:eastAsia="en-US"/>
    </w:rPr>
  </w:style>
  <w:style w:type="paragraph" w:customStyle="1" w:styleId="Figurename">
    <w:name w:val="Figure name"/>
    <w:basedOn w:val="Normal"/>
    <w:next w:val="BodyText"/>
    <w:uiPriority w:val="5"/>
    <w:qFormat/>
    <w:rsid w:val="00A73B98"/>
    <w:pPr>
      <w:keepNext/>
      <w:tabs>
        <w:tab w:val="left" w:pos="1418"/>
      </w:tabs>
      <w:spacing w:before="120" w:after="120"/>
      <w:ind w:left="1418" w:hanging="1418"/>
    </w:pPr>
    <w:rPr>
      <w:rFonts w:ascii="Calibri" w:hAnsi="Calibri"/>
      <w:b/>
      <w:bCs/>
      <w:sz w:val="22"/>
      <w:lang w:val="en-US" w:eastAsia="en-US"/>
    </w:rPr>
  </w:style>
  <w:style w:type="paragraph" w:customStyle="1" w:styleId="ESHeading2">
    <w:name w:val="ES Heading 2"/>
    <w:basedOn w:val="Heading2"/>
    <w:link w:val="ESHeading2Char"/>
    <w:qFormat/>
    <w:rsid w:val="00485D6F"/>
    <w:pPr>
      <w:keepLines w:val="0"/>
      <w:spacing w:before="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rsid w:val="00485D6F"/>
    <w:rPr>
      <w:rFonts w:ascii="Garamond" w:eastAsia="Times New Roman" w:hAnsi="Garamond" w:cstheme="majorBidi"/>
      <w:b/>
      <w:bCs/>
      <w:iCs/>
      <w:color w:val="4F81BD" w:themeColor="accent1"/>
      <w:sz w:val="24"/>
      <w:szCs w:val="28"/>
      <w:lang w:eastAsia="en-US"/>
    </w:rPr>
  </w:style>
  <w:style w:type="paragraph" w:customStyle="1" w:styleId="Tabletextboldleft">
    <w:name w:val="Table text bold left"/>
    <w:basedOn w:val="Normal"/>
    <w:link w:val="TabletextboldleftChar"/>
    <w:qFormat/>
    <w:rsid w:val="00485D6F"/>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485D6F"/>
    <w:rPr>
      <w:rFonts w:ascii="Arial Narrow" w:eastAsia="Times New Roman" w:hAnsi="Arial Narrow" w:cs="Arial"/>
      <w:b/>
      <w:sz w:val="20"/>
      <w:szCs w:val="20"/>
      <w:lang w:eastAsia="en-US"/>
    </w:rPr>
  </w:style>
  <w:style w:type="paragraph" w:customStyle="1" w:styleId="Tabletextbold">
    <w:name w:val="Table text bold"/>
    <w:basedOn w:val="Normal"/>
    <w:link w:val="TabletextboldChar"/>
    <w:qFormat/>
    <w:rsid w:val="00485D6F"/>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485D6F"/>
    <w:rPr>
      <w:rFonts w:ascii="Arial Narrow" w:eastAsia="Times New Roman" w:hAnsi="Arial Narrow" w:cs="Arial"/>
      <w:b/>
      <w:sz w:val="20"/>
      <w:szCs w:val="20"/>
      <w:lang w:eastAsia="en-US"/>
    </w:rPr>
  </w:style>
  <w:style w:type="table" w:customStyle="1" w:styleId="OPTUMTableNormal">
    <w:name w:val="OPTUM Table Normal"/>
    <w:basedOn w:val="TableNormal"/>
    <w:rsid w:val="00485D6F"/>
    <w:pPr>
      <w:spacing w:before="40" w:after="20"/>
    </w:pPr>
    <w:rPr>
      <w:rFonts w:ascii="Calibri" w:eastAsia="Times New Roma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18">
    <w:name w:val="TableFigNotes+18"/>
    <w:basedOn w:val="BodyText"/>
    <w:next w:val="BodyText"/>
    <w:link w:val="TableFigNotes18Char"/>
    <w:uiPriority w:val="4"/>
    <w:qFormat/>
    <w:rsid w:val="00485D6F"/>
    <w:pPr>
      <w:keepLines/>
      <w:spacing w:after="360"/>
      <w:jc w:val="left"/>
    </w:pPr>
    <w:rPr>
      <w:rFonts w:ascii="Calibri" w:hAnsi="Calibri" w:cs="Tahoma"/>
      <w:color w:val="000000"/>
      <w:sz w:val="16"/>
      <w:szCs w:val="18"/>
      <w:lang w:val="en-US" w:eastAsia="en-AU"/>
    </w:rPr>
  </w:style>
  <w:style w:type="character" w:customStyle="1" w:styleId="TableFigNotes18Char">
    <w:name w:val="TableFigNotes+18 Char"/>
    <w:basedOn w:val="DefaultParagraphFont"/>
    <w:link w:val="TableFigNotes18"/>
    <w:uiPriority w:val="4"/>
    <w:rsid w:val="00485D6F"/>
    <w:rPr>
      <w:rFonts w:ascii="Calibri" w:eastAsia="Times New Roman" w:hAnsi="Calibri" w:cs="Tahoma"/>
      <w:color w:val="000000"/>
      <w:sz w:val="16"/>
      <w:szCs w:val="18"/>
      <w:lang w:val="en-US"/>
    </w:rPr>
  </w:style>
  <w:style w:type="paragraph" w:customStyle="1" w:styleId="Tableheader">
    <w:name w:val="Table header"/>
    <w:basedOn w:val="Normal"/>
    <w:link w:val="TableheaderChar"/>
    <w:autoRedefine/>
    <w:qFormat/>
    <w:rsid w:val="00061996"/>
    <w:pPr>
      <w:tabs>
        <w:tab w:val="left" w:pos="416"/>
        <w:tab w:val="left" w:pos="582"/>
      </w:tabs>
      <w:spacing w:before="40" w:after="20"/>
    </w:pPr>
    <w:rPr>
      <w:rFonts w:ascii="Calibri" w:hAnsi="Calibri"/>
      <w:b/>
      <w:sz w:val="18"/>
      <w:szCs w:val="18"/>
      <w:lang w:eastAsia="en-GB"/>
    </w:rPr>
  </w:style>
  <w:style w:type="character" w:customStyle="1" w:styleId="TableheaderChar">
    <w:name w:val="Table header Char"/>
    <w:basedOn w:val="DefaultParagraphFont"/>
    <w:link w:val="Tableheader"/>
    <w:rsid w:val="00061996"/>
    <w:rPr>
      <w:rFonts w:ascii="Calibri" w:eastAsia="Times New Roman" w:hAnsi="Calibri"/>
      <w:b/>
      <w:sz w:val="18"/>
      <w:szCs w:val="18"/>
      <w:lang w:eastAsia="en-GB"/>
    </w:rPr>
  </w:style>
  <w:style w:type="table" w:customStyle="1" w:styleId="TableGrid1">
    <w:name w:val="Table Grid1"/>
    <w:basedOn w:val="TableNormal"/>
    <w:next w:val="TableGrid"/>
    <w:rsid w:val="00485D6F"/>
    <w:pPr>
      <w:widowControl w:val="0"/>
      <w:jc w:val="both"/>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leGrid">
    <w:name w:val="Table Grid"/>
    <w:basedOn w:val="TableNormal"/>
    <w:locked/>
    <w:rsid w:val="0048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A73B98"/>
    <w:rPr>
      <w:rFonts w:eastAsia="Times New Roman"/>
      <w:sz w:val="24"/>
      <w:szCs w:val="20"/>
    </w:rPr>
  </w:style>
  <w:style w:type="paragraph" w:customStyle="1" w:styleId="Tabletext">
    <w:name w:val="Table text"/>
    <w:basedOn w:val="Normal"/>
    <w:link w:val="TabletextChar"/>
    <w:qFormat/>
    <w:rsid w:val="00A73B98"/>
    <w:pPr>
      <w:spacing w:before="40" w:after="40"/>
    </w:pPr>
    <w:rPr>
      <w:rFonts w:ascii="Arial Narrow" w:hAnsi="Arial Narrow" w:cs="Tahoma"/>
      <w:sz w:val="20"/>
    </w:rPr>
  </w:style>
  <w:style w:type="character" w:customStyle="1" w:styleId="TabletextChar">
    <w:name w:val="Table text Char"/>
    <w:link w:val="Tabletext"/>
    <w:rsid w:val="00A73B98"/>
    <w:rPr>
      <w:rFonts w:ascii="Arial Narrow" w:eastAsia="Times New Roman" w:hAnsi="Arial Narrow" w:cs="Tahoma"/>
      <w:sz w:val="20"/>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locked/>
    <w:rsid w:val="00A73B98"/>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caption">
    <w:name w:val="Table caption"/>
    <w:basedOn w:val="Normal"/>
    <w:link w:val="TablecaptionChar"/>
    <w:qFormat/>
    <w:rsid w:val="00A73B98"/>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A73B98"/>
    <w:rPr>
      <w:rFonts w:ascii="Arial Narrow" w:eastAsia="Times New Roman" w:hAnsi="Arial Narrow" w:cs="Arial"/>
      <w:sz w:val="20"/>
      <w:szCs w:val="20"/>
      <w:lang w:eastAsia="en-US"/>
    </w:rPr>
  </w:style>
  <w:style w:type="paragraph" w:customStyle="1" w:styleId="Tabletextright">
    <w:name w:val="Table text right"/>
    <w:basedOn w:val="Normal"/>
    <w:link w:val="TabletextrightChar"/>
    <w:qFormat/>
    <w:rsid w:val="00A73B98"/>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A73B98"/>
    <w:rPr>
      <w:rFonts w:ascii="Arial Narrow" w:eastAsia="Times New Roman" w:hAnsi="Arial Narrow" w:cs="Arial"/>
      <w:sz w:val="20"/>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A73B98"/>
    <w:rPr>
      <w:rFonts w:ascii="Arial Narrow" w:eastAsiaTheme="minorHAnsi" w:hAnsi="Arial Narrow" w:cstheme="minorBidi"/>
      <w:b/>
      <w:iCs/>
      <w:sz w:val="20"/>
      <w:szCs w:val="18"/>
      <w:lang w:eastAsia="en-US"/>
    </w:rPr>
  </w:style>
  <w:style w:type="paragraph" w:styleId="BodyText">
    <w:name w:val="Body Text"/>
    <w:basedOn w:val="Normal"/>
    <w:link w:val="BodyTextChar"/>
    <w:uiPriority w:val="99"/>
    <w:unhideWhenUsed/>
    <w:rsid w:val="00A73B98"/>
    <w:pPr>
      <w:spacing w:after="120"/>
      <w:jc w:val="both"/>
    </w:pPr>
    <w:rPr>
      <w:rFonts w:ascii="Garamond" w:hAnsi="Garamond"/>
      <w:szCs w:val="24"/>
      <w:lang w:eastAsia="en-US"/>
    </w:rPr>
  </w:style>
  <w:style w:type="character" w:customStyle="1" w:styleId="BodyTextChar">
    <w:name w:val="Body Text Char"/>
    <w:basedOn w:val="DefaultParagraphFont"/>
    <w:link w:val="BodyText"/>
    <w:uiPriority w:val="99"/>
    <w:rsid w:val="00A73B98"/>
    <w:rPr>
      <w:rFonts w:ascii="Garamond" w:eastAsia="Times New Roman" w:hAnsi="Garamond"/>
      <w:sz w:val="24"/>
      <w:szCs w:val="24"/>
      <w:lang w:eastAsia="en-US"/>
    </w:rPr>
  </w:style>
  <w:style w:type="paragraph" w:customStyle="1" w:styleId="Figurename">
    <w:name w:val="Figure name"/>
    <w:basedOn w:val="Normal"/>
    <w:next w:val="BodyText"/>
    <w:uiPriority w:val="5"/>
    <w:qFormat/>
    <w:rsid w:val="00A73B98"/>
    <w:pPr>
      <w:keepNext/>
      <w:tabs>
        <w:tab w:val="left" w:pos="1418"/>
      </w:tabs>
      <w:spacing w:before="120" w:after="120"/>
      <w:ind w:left="1418" w:hanging="1418"/>
    </w:pPr>
    <w:rPr>
      <w:rFonts w:ascii="Calibri" w:hAnsi="Calibri"/>
      <w:b/>
      <w:bCs/>
      <w:sz w:val="22"/>
      <w:lang w:val="en-US" w:eastAsia="en-US"/>
    </w:rPr>
  </w:style>
  <w:style w:type="paragraph" w:customStyle="1" w:styleId="ESHeading2">
    <w:name w:val="ES Heading 2"/>
    <w:basedOn w:val="Heading2"/>
    <w:link w:val="ESHeading2Char"/>
    <w:qFormat/>
    <w:rsid w:val="00485D6F"/>
    <w:pPr>
      <w:keepLines w:val="0"/>
      <w:spacing w:before="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rsid w:val="00485D6F"/>
    <w:rPr>
      <w:rFonts w:ascii="Garamond" w:eastAsia="Times New Roman" w:hAnsi="Garamond" w:cstheme="majorBidi"/>
      <w:b/>
      <w:bCs/>
      <w:iCs/>
      <w:color w:val="4F81BD" w:themeColor="accent1"/>
      <w:sz w:val="24"/>
      <w:szCs w:val="28"/>
      <w:lang w:eastAsia="en-US"/>
    </w:rPr>
  </w:style>
  <w:style w:type="paragraph" w:customStyle="1" w:styleId="Tabletextboldleft">
    <w:name w:val="Table text bold left"/>
    <w:basedOn w:val="Normal"/>
    <w:link w:val="TabletextboldleftChar"/>
    <w:qFormat/>
    <w:rsid w:val="00485D6F"/>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485D6F"/>
    <w:rPr>
      <w:rFonts w:ascii="Arial Narrow" w:eastAsia="Times New Roman" w:hAnsi="Arial Narrow" w:cs="Arial"/>
      <w:b/>
      <w:sz w:val="20"/>
      <w:szCs w:val="20"/>
      <w:lang w:eastAsia="en-US"/>
    </w:rPr>
  </w:style>
  <w:style w:type="paragraph" w:customStyle="1" w:styleId="Tabletextbold">
    <w:name w:val="Table text bold"/>
    <w:basedOn w:val="Normal"/>
    <w:link w:val="TabletextboldChar"/>
    <w:qFormat/>
    <w:rsid w:val="00485D6F"/>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485D6F"/>
    <w:rPr>
      <w:rFonts w:ascii="Arial Narrow" w:eastAsia="Times New Roman" w:hAnsi="Arial Narrow" w:cs="Arial"/>
      <w:b/>
      <w:sz w:val="20"/>
      <w:szCs w:val="20"/>
      <w:lang w:eastAsia="en-US"/>
    </w:rPr>
  </w:style>
  <w:style w:type="table" w:customStyle="1" w:styleId="OPTUMTableNormal">
    <w:name w:val="OPTUM Table Normal"/>
    <w:basedOn w:val="TableNormal"/>
    <w:rsid w:val="00485D6F"/>
    <w:pPr>
      <w:spacing w:before="40" w:after="20"/>
    </w:pPr>
    <w:rPr>
      <w:rFonts w:ascii="Calibri" w:eastAsia="Times New Roma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18">
    <w:name w:val="TableFigNotes+18"/>
    <w:basedOn w:val="BodyText"/>
    <w:next w:val="BodyText"/>
    <w:link w:val="TableFigNotes18Char"/>
    <w:uiPriority w:val="4"/>
    <w:qFormat/>
    <w:rsid w:val="00485D6F"/>
    <w:pPr>
      <w:keepLines/>
      <w:spacing w:after="360"/>
      <w:jc w:val="left"/>
    </w:pPr>
    <w:rPr>
      <w:rFonts w:ascii="Calibri" w:hAnsi="Calibri" w:cs="Tahoma"/>
      <w:color w:val="000000"/>
      <w:sz w:val="16"/>
      <w:szCs w:val="18"/>
      <w:lang w:val="en-US" w:eastAsia="en-AU"/>
    </w:rPr>
  </w:style>
  <w:style w:type="character" w:customStyle="1" w:styleId="TableFigNotes18Char">
    <w:name w:val="TableFigNotes+18 Char"/>
    <w:basedOn w:val="DefaultParagraphFont"/>
    <w:link w:val="TableFigNotes18"/>
    <w:uiPriority w:val="4"/>
    <w:rsid w:val="00485D6F"/>
    <w:rPr>
      <w:rFonts w:ascii="Calibri" w:eastAsia="Times New Roman" w:hAnsi="Calibri" w:cs="Tahoma"/>
      <w:color w:val="000000"/>
      <w:sz w:val="16"/>
      <w:szCs w:val="18"/>
      <w:lang w:val="en-US"/>
    </w:rPr>
  </w:style>
  <w:style w:type="paragraph" w:customStyle="1" w:styleId="Tableheader">
    <w:name w:val="Table header"/>
    <w:basedOn w:val="Normal"/>
    <w:link w:val="TableheaderChar"/>
    <w:autoRedefine/>
    <w:qFormat/>
    <w:rsid w:val="00061996"/>
    <w:pPr>
      <w:tabs>
        <w:tab w:val="left" w:pos="416"/>
        <w:tab w:val="left" w:pos="582"/>
      </w:tabs>
      <w:spacing w:before="40" w:after="20"/>
    </w:pPr>
    <w:rPr>
      <w:rFonts w:ascii="Calibri" w:hAnsi="Calibri"/>
      <w:b/>
      <w:sz w:val="18"/>
      <w:szCs w:val="18"/>
      <w:lang w:eastAsia="en-GB"/>
    </w:rPr>
  </w:style>
  <w:style w:type="character" w:customStyle="1" w:styleId="TableheaderChar">
    <w:name w:val="Table header Char"/>
    <w:basedOn w:val="DefaultParagraphFont"/>
    <w:link w:val="Tableheader"/>
    <w:rsid w:val="00061996"/>
    <w:rPr>
      <w:rFonts w:ascii="Calibri" w:eastAsia="Times New Roman" w:hAnsi="Calibri"/>
      <w:b/>
      <w:sz w:val="18"/>
      <w:szCs w:val="18"/>
      <w:lang w:eastAsia="en-GB"/>
    </w:rPr>
  </w:style>
  <w:style w:type="table" w:customStyle="1" w:styleId="TableGrid1">
    <w:name w:val="Table Grid1"/>
    <w:basedOn w:val="TableNormal"/>
    <w:next w:val="TableGrid"/>
    <w:rsid w:val="00485D6F"/>
    <w:pPr>
      <w:widowControl w:val="0"/>
      <w:jc w:val="both"/>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leGrid">
    <w:name w:val="Table Grid"/>
    <w:basedOn w:val="TableNormal"/>
    <w:locked/>
    <w:rsid w:val="0048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574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5586</Words>
  <Characters>32419</Characters>
  <Application>Microsoft Office Word</Application>
  <DocSecurity>4</DocSecurity>
  <Lines>270</Lines>
  <Paragraphs>75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2014-01-23T05:11:00Z</cp:lastPrinted>
  <dcterms:created xsi:type="dcterms:W3CDTF">2016-03-11T03:52:00Z</dcterms:created>
  <dcterms:modified xsi:type="dcterms:W3CDTF">2016-03-11T03:52:00Z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